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21" w:rsidRDefault="00694D8E" w:rsidP="00A159CF">
      <w:pPr>
        <w:snapToGrid w:val="0"/>
        <w:spacing w:after="0" w:line="240" w:lineRule="auto"/>
        <w:jc w:val="center"/>
        <w:rPr>
          <w:rFonts w:ascii="Times New Roman" w:hAnsi="Times New Roman" w:cs="Times New Roman"/>
          <w:b/>
          <w:sz w:val="20"/>
          <w:szCs w:val="20"/>
          <w:lang w:eastAsia="zh-CN"/>
        </w:rPr>
      </w:pPr>
      <w:r w:rsidRPr="00A159CF">
        <w:rPr>
          <w:rFonts w:ascii="Times New Roman" w:hAnsi="Times New Roman" w:cs="Times New Roman"/>
          <w:b/>
          <w:sz w:val="20"/>
          <w:szCs w:val="20"/>
        </w:rPr>
        <w:t>Women Wage Earning and Education in Rural Nigeria</w:t>
      </w:r>
    </w:p>
    <w:p w:rsidR="00A159CF" w:rsidRPr="00A159CF" w:rsidRDefault="00A159CF" w:rsidP="00A159CF">
      <w:pPr>
        <w:snapToGrid w:val="0"/>
        <w:spacing w:after="0" w:line="240" w:lineRule="auto"/>
        <w:jc w:val="center"/>
        <w:rPr>
          <w:rFonts w:ascii="Times New Roman" w:hAnsi="Times New Roman" w:cs="Times New Roman"/>
          <w:b/>
          <w:sz w:val="20"/>
          <w:szCs w:val="20"/>
          <w:lang w:eastAsia="zh-CN"/>
        </w:rPr>
      </w:pPr>
    </w:p>
    <w:p w:rsidR="00EE6F8F" w:rsidRPr="00A159CF" w:rsidRDefault="00280C87" w:rsidP="00A159CF">
      <w:pPr>
        <w:autoSpaceDE w:val="0"/>
        <w:autoSpaceDN w:val="0"/>
        <w:adjustRightInd w:val="0"/>
        <w:snapToGrid w:val="0"/>
        <w:spacing w:after="0" w:line="240" w:lineRule="auto"/>
        <w:jc w:val="center"/>
        <w:rPr>
          <w:rFonts w:ascii="Times New Roman" w:eastAsia="Calibri" w:hAnsi="Times New Roman" w:cs="Times New Roman"/>
          <w:bCs/>
          <w:color w:val="000000"/>
          <w:sz w:val="20"/>
          <w:szCs w:val="20"/>
          <w:vertAlign w:val="superscript"/>
        </w:rPr>
      </w:pPr>
      <w:proofErr w:type="spellStart"/>
      <w:r w:rsidRPr="00A159CF">
        <w:rPr>
          <w:rFonts w:ascii="Times New Roman" w:hAnsi="Times New Roman" w:cs="Times New Roman"/>
          <w:color w:val="000000"/>
          <w:sz w:val="20"/>
          <w:szCs w:val="20"/>
        </w:rPr>
        <w:t>O</w:t>
      </w:r>
      <w:r w:rsidR="00286F60" w:rsidRPr="00A159CF">
        <w:rPr>
          <w:rFonts w:ascii="Times New Roman" w:hAnsi="Times New Roman" w:cs="Times New Roman"/>
          <w:color w:val="000000"/>
          <w:sz w:val="20"/>
          <w:szCs w:val="20"/>
        </w:rPr>
        <w:t>mowumi</w:t>
      </w:r>
      <w:proofErr w:type="spellEnd"/>
      <w:r w:rsidR="00286F60" w:rsidRPr="00A159CF">
        <w:rPr>
          <w:rFonts w:ascii="Times New Roman" w:hAnsi="Times New Roman" w:cs="Times New Roman"/>
          <w:color w:val="000000"/>
          <w:sz w:val="20"/>
          <w:szCs w:val="20"/>
        </w:rPr>
        <w:t xml:space="preserve"> </w:t>
      </w:r>
      <w:r w:rsidRPr="00A159CF">
        <w:rPr>
          <w:rFonts w:ascii="Times New Roman" w:hAnsi="Times New Roman" w:cs="Times New Roman"/>
          <w:color w:val="000000"/>
          <w:sz w:val="20"/>
          <w:szCs w:val="20"/>
        </w:rPr>
        <w:t>A. Olowa</w:t>
      </w:r>
      <w:r w:rsidRPr="00A159CF">
        <w:rPr>
          <w:rFonts w:ascii="Times New Roman" w:hAnsi="Times New Roman" w:cs="Times New Roman"/>
          <w:color w:val="000000"/>
          <w:sz w:val="20"/>
          <w:szCs w:val="20"/>
          <w:vertAlign w:val="superscript"/>
        </w:rPr>
        <w:t>1</w:t>
      </w:r>
      <w:r w:rsidR="00CA2124" w:rsidRPr="00A159CF">
        <w:rPr>
          <w:rFonts w:ascii="Times New Roman" w:hAnsi="Times New Roman" w:cs="Times New Roman"/>
          <w:color w:val="000000"/>
          <w:sz w:val="20"/>
          <w:szCs w:val="20"/>
        </w:rPr>
        <w:t xml:space="preserve">, </w:t>
      </w:r>
      <w:proofErr w:type="spellStart"/>
      <w:r w:rsidRPr="00A159CF">
        <w:rPr>
          <w:rFonts w:ascii="Times New Roman" w:hAnsi="Times New Roman" w:cs="Times New Roman"/>
          <w:bCs/>
          <w:color w:val="000000"/>
          <w:sz w:val="20"/>
          <w:szCs w:val="20"/>
        </w:rPr>
        <w:t>A</w:t>
      </w:r>
      <w:r w:rsidR="00286F60" w:rsidRPr="00A159CF">
        <w:rPr>
          <w:rFonts w:ascii="Times New Roman" w:hAnsi="Times New Roman" w:cs="Times New Roman"/>
          <w:bCs/>
          <w:color w:val="000000"/>
          <w:sz w:val="20"/>
          <w:szCs w:val="20"/>
        </w:rPr>
        <w:t>detola</w:t>
      </w:r>
      <w:proofErr w:type="spellEnd"/>
      <w:r w:rsidR="00286F60" w:rsidRPr="00A159CF">
        <w:rPr>
          <w:rFonts w:ascii="Times New Roman" w:hAnsi="Times New Roman" w:cs="Times New Roman"/>
          <w:bCs/>
          <w:color w:val="000000"/>
          <w:sz w:val="20"/>
          <w:szCs w:val="20"/>
        </w:rPr>
        <w:t xml:space="preserve"> </w:t>
      </w:r>
      <w:r w:rsidRPr="00A159CF">
        <w:rPr>
          <w:rFonts w:ascii="Times New Roman" w:hAnsi="Times New Roman" w:cs="Times New Roman"/>
          <w:bCs/>
          <w:color w:val="000000"/>
          <w:sz w:val="20"/>
          <w:szCs w:val="20"/>
        </w:rPr>
        <w:t>I Adeoti</w:t>
      </w:r>
      <w:r w:rsidRPr="00A159CF">
        <w:rPr>
          <w:rFonts w:ascii="Times New Roman" w:hAnsi="Times New Roman" w:cs="Times New Roman"/>
          <w:bCs/>
          <w:color w:val="000000"/>
          <w:sz w:val="20"/>
          <w:szCs w:val="20"/>
          <w:vertAlign w:val="superscript"/>
        </w:rPr>
        <w:t>2</w:t>
      </w:r>
      <w:r w:rsidR="00EE6F8F" w:rsidRPr="00A159CF">
        <w:rPr>
          <w:rFonts w:ascii="Times New Roman" w:eastAsia="Calibri" w:hAnsi="Times New Roman" w:cs="Times New Roman"/>
          <w:bCs/>
          <w:color w:val="000000"/>
          <w:sz w:val="20"/>
          <w:szCs w:val="20"/>
        </w:rPr>
        <w:t xml:space="preserve">, </w:t>
      </w:r>
      <w:proofErr w:type="spellStart"/>
      <w:r w:rsidR="00EE6F8F" w:rsidRPr="00A159CF">
        <w:rPr>
          <w:rFonts w:ascii="Times New Roman" w:eastAsia="Calibri" w:hAnsi="Times New Roman" w:cs="Times New Roman"/>
          <w:bCs/>
          <w:color w:val="000000"/>
          <w:sz w:val="20"/>
          <w:szCs w:val="20"/>
        </w:rPr>
        <w:t>K</w:t>
      </w:r>
      <w:r w:rsidR="00286F60" w:rsidRPr="00A159CF">
        <w:rPr>
          <w:rFonts w:ascii="Times New Roman" w:eastAsia="Calibri" w:hAnsi="Times New Roman" w:cs="Times New Roman"/>
          <w:bCs/>
          <w:color w:val="000000"/>
          <w:sz w:val="20"/>
          <w:szCs w:val="20"/>
        </w:rPr>
        <w:t>emisola</w:t>
      </w:r>
      <w:proofErr w:type="spellEnd"/>
      <w:r w:rsidR="00286F60" w:rsidRPr="00A159CF">
        <w:rPr>
          <w:rFonts w:ascii="Times New Roman" w:eastAsia="Calibri" w:hAnsi="Times New Roman" w:cs="Times New Roman"/>
          <w:bCs/>
          <w:color w:val="000000"/>
          <w:sz w:val="20"/>
          <w:szCs w:val="20"/>
        </w:rPr>
        <w:t xml:space="preserve"> </w:t>
      </w:r>
      <w:r w:rsidR="00EE6F8F" w:rsidRPr="00A159CF">
        <w:rPr>
          <w:rFonts w:ascii="Times New Roman" w:eastAsia="Calibri" w:hAnsi="Times New Roman" w:cs="Times New Roman"/>
          <w:bCs/>
          <w:color w:val="000000"/>
          <w:sz w:val="20"/>
          <w:szCs w:val="20"/>
        </w:rPr>
        <w:t>O. Adenegan</w:t>
      </w:r>
      <w:r w:rsidR="00EE6F8F" w:rsidRPr="00A159CF">
        <w:rPr>
          <w:rFonts w:ascii="Times New Roman" w:eastAsia="Calibri" w:hAnsi="Times New Roman" w:cs="Times New Roman"/>
          <w:bCs/>
          <w:color w:val="000000"/>
          <w:sz w:val="20"/>
          <w:szCs w:val="20"/>
          <w:vertAlign w:val="superscript"/>
        </w:rPr>
        <w:t>2</w:t>
      </w:r>
      <w:r w:rsidR="00EE6F8F" w:rsidRPr="00A159CF">
        <w:rPr>
          <w:rFonts w:ascii="Times New Roman" w:eastAsia="Calibri" w:hAnsi="Times New Roman" w:cs="Times New Roman"/>
          <w:bCs/>
          <w:color w:val="000000"/>
          <w:sz w:val="20"/>
          <w:szCs w:val="20"/>
        </w:rPr>
        <w:t xml:space="preserve"> and </w:t>
      </w:r>
      <w:proofErr w:type="spellStart"/>
      <w:r w:rsidR="00B931FA" w:rsidRPr="00A159CF">
        <w:rPr>
          <w:rFonts w:ascii="Times New Roman" w:eastAsia="Calibri" w:hAnsi="Times New Roman" w:cs="Times New Roman"/>
          <w:bCs/>
          <w:color w:val="000000"/>
          <w:sz w:val="20"/>
          <w:szCs w:val="20"/>
        </w:rPr>
        <w:t>Omobowale</w:t>
      </w:r>
      <w:proofErr w:type="spellEnd"/>
      <w:r w:rsidR="00B931FA" w:rsidRPr="00A159CF">
        <w:rPr>
          <w:rFonts w:ascii="Times New Roman" w:eastAsia="Calibri" w:hAnsi="Times New Roman" w:cs="Times New Roman"/>
          <w:bCs/>
          <w:color w:val="000000"/>
          <w:sz w:val="20"/>
          <w:szCs w:val="20"/>
        </w:rPr>
        <w:t xml:space="preserve"> A</w:t>
      </w:r>
      <w:r w:rsidR="00EE6F8F" w:rsidRPr="00A159CF">
        <w:rPr>
          <w:rFonts w:ascii="Times New Roman" w:eastAsia="Calibri" w:hAnsi="Times New Roman" w:cs="Times New Roman"/>
          <w:bCs/>
          <w:color w:val="000000"/>
          <w:sz w:val="20"/>
          <w:szCs w:val="20"/>
        </w:rPr>
        <w:t>. Oni</w:t>
      </w:r>
      <w:r w:rsidR="00EE6F8F" w:rsidRPr="00A159CF">
        <w:rPr>
          <w:rFonts w:ascii="Times New Roman" w:eastAsia="Calibri" w:hAnsi="Times New Roman" w:cs="Times New Roman"/>
          <w:bCs/>
          <w:color w:val="000000"/>
          <w:sz w:val="20"/>
          <w:szCs w:val="20"/>
          <w:vertAlign w:val="superscript"/>
        </w:rPr>
        <w:t>2</w:t>
      </w:r>
    </w:p>
    <w:p w:rsidR="00280C87" w:rsidRPr="00A159CF" w:rsidRDefault="00280C87" w:rsidP="00A159CF">
      <w:pPr>
        <w:autoSpaceDE w:val="0"/>
        <w:autoSpaceDN w:val="0"/>
        <w:adjustRightInd w:val="0"/>
        <w:snapToGrid w:val="0"/>
        <w:spacing w:after="0" w:line="240" w:lineRule="auto"/>
        <w:jc w:val="center"/>
        <w:rPr>
          <w:rFonts w:ascii="Times New Roman" w:hAnsi="Times New Roman" w:cs="Times New Roman"/>
          <w:b/>
          <w:bCs/>
          <w:color w:val="000000"/>
          <w:sz w:val="20"/>
          <w:szCs w:val="20"/>
          <w:vertAlign w:val="superscript"/>
        </w:rPr>
      </w:pPr>
    </w:p>
    <w:p w:rsidR="00280C87" w:rsidRPr="00A159CF" w:rsidRDefault="00280C87" w:rsidP="00A159CF">
      <w:pPr>
        <w:suppressLineNumbers/>
        <w:autoSpaceDE w:val="0"/>
        <w:autoSpaceDN w:val="0"/>
        <w:adjustRightInd w:val="0"/>
        <w:snapToGrid w:val="0"/>
        <w:spacing w:after="0" w:line="240" w:lineRule="auto"/>
        <w:jc w:val="center"/>
        <w:rPr>
          <w:rFonts w:ascii="Times New Roman" w:hAnsi="Times New Roman" w:cs="Times New Roman"/>
          <w:sz w:val="20"/>
          <w:szCs w:val="20"/>
        </w:rPr>
      </w:pPr>
      <w:r w:rsidRPr="00A159CF">
        <w:rPr>
          <w:rFonts w:ascii="Times New Roman" w:hAnsi="Times New Roman" w:cs="Times New Roman"/>
          <w:bCs/>
          <w:color w:val="000000"/>
          <w:sz w:val="20"/>
          <w:szCs w:val="20"/>
          <w:vertAlign w:val="superscript"/>
        </w:rPr>
        <w:t>1</w:t>
      </w:r>
      <w:r w:rsidRPr="00A159CF">
        <w:rPr>
          <w:rFonts w:ascii="Times New Roman" w:hAnsi="Times New Roman" w:cs="Times New Roman"/>
          <w:b/>
          <w:bCs/>
          <w:color w:val="000000"/>
          <w:sz w:val="20"/>
          <w:szCs w:val="20"/>
          <w:vertAlign w:val="superscript"/>
        </w:rPr>
        <w:t xml:space="preserve">. </w:t>
      </w:r>
      <w:r w:rsidRPr="00A159CF">
        <w:rPr>
          <w:rFonts w:ascii="Times New Roman" w:hAnsi="Times New Roman" w:cs="Times New Roman"/>
          <w:sz w:val="20"/>
          <w:szCs w:val="20"/>
        </w:rPr>
        <w:t xml:space="preserve">Department of Agricultural Education, Federal College of Education (Technical) </w:t>
      </w:r>
      <w:proofErr w:type="spellStart"/>
      <w:r w:rsidRPr="00A159CF">
        <w:rPr>
          <w:rFonts w:ascii="Times New Roman" w:hAnsi="Times New Roman" w:cs="Times New Roman"/>
          <w:sz w:val="20"/>
          <w:szCs w:val="20"/>
        </w:rPr>
        <w:t>Akoka</w:t>
      </w:r>
      <w:proofErr w:type="spellEnd"/>
      <w:r w:rsidRPr="00A159CF">
        <w:rPr>
          <w:rFonts w:ascii="Times New Roman" w:hAnsi="Times New Roman" w:cs="Times New Roman"/>
          <w:sz w:val="20"/>
          <w:szCs w:val="20"/>
        </w:rPr>
        <w:t>, Lagos, Nigeria.</w:t>
      </w:r>
    </w:p>
    <w:p w:rsidR="00280C87" w:rsidRPr="00A159CF" w:rsidRDefault="00280C87" w:rsidP="00A159CF">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vertAlign w:val="superscript"/>
        </w:rPr>
        <w:t xml:space="preserve">2. </w:t>
      </w:r>
      <w:r w:rsidRPr="00A159CF">
        <w:rPr>
          <w:rFonts w:ascii="Times New Roman" w:hAnsi="Times New Roman" w:cs="Times New Roman"/>
          <w:color w:val="000000"/>
          <w:sz w:val="20"/>
          <w:szCs w:val="20"/>
        </w:rPr>
        <w:t>Department of Agricultural Economics, University of Ibadan, Ibadan. Nigeria</w:t>
      </w:r>
    </w:p>
    <w:p w:rsidR="00286F60" w:rsidRDefault="00CE6B66" w:rsidP="00A159CF">
      <w:pPr>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hyperlink r:id="rId8" w:history="1">
        <w:r w:rsidR="00067E14" w:rsidRPr="00D04968">
          <w:rPr>
            <w:rStyle w:val="Hyperlink"/>
            <w:rFonts w:ascii="Times New Roman" w:hAnsi="Times New Roman" w:cs="Times New Roman"/>
            <w:sz w:val="20"/>
            <w:szCs w:val="20"/>
          </w:rPr>
          <w:t>Olowa2@yahoo.com</w:t>
        </w:r>
      </w:hyperlink>
      <w:r w:rsidR="00067E14">
        <w:rPr>
          <w:rFonts w:ascii="Times New Roman" w:hAnsi="Times New Roman" w:cs="Times New Roman" w:hint="eastAsia"/>
          <w:color w:val="000000"/>
          <w:sz w:val="20"/>
          <w:szCs w:val="20"/>
          <w:lang w:eastAsia="zh-CN"/>
        </w:rPr>
        <w:t xml:space="preserve"> </w:t>
      </w:r>
    </w:p>
    <w:p w:rsidR="00A159CF" w:rsidRPr="00A159CF" w:rsidRDefault="00A159CF" w:rsidP="00A159CF">
      <w:pPr>
        <w:autoSpaceDE w:val="0"/>
        <w:autoSpaceDN w:val="0"/>
        <w:adjustRightInd w:val="0"/>
        <w:snapToGrid w:val="0"/>
        <w:spacing w:after="0" w:line="240" w:lineRule="auto"/>
        <w:jc w:val="center"/>
        <w:rPr>
          <w:rFonts w:ascii="Times New Roman" w:hAnsi="Times New Roman" w:cs="Times New Roman"/>
          <w:b/>
          <w:iCs/>
          <w:sz w:val="20"/>
          <w:szCs w:val="20"/>
          <w:lang w:eastAsia="zh-CN"/>
        </w:rPr>
      </w:pPr>
    </w:p>
    <w:p w:rsidR="00777612" w:rsidRPr="00A159CF" w:rsidRDefault="00777612" w:rsidP="00A159CF">
      <w:pPr>
        <w:autoSpaceDE w:val="0"/>
        <w:autoSpaceDN w:val="0"/>
        <w:adjustRightInd w:val="0"/>
        <w:snapToGrid w:val="0"/>
        <w:spacing w:after="0" w:line="240" w:lineRule="auto"/>
        <w:jc w:val="both"/>
        <w:rPr>
          <w:rFonts w:ascii="Times New Roman" w:hAnsi="Times New Roman" w:cs="Times New Roman"/>
          <w:sz w:val="20"/>
          <w:szCs w:val="20"/>
        </w:rPr>
      </w:pPr>
      <w:r w:rsidRPr="00A159CF">
        <w:rPr>
          <w:rFonts w:ascii="Times New Roman" w:hAnsi="Times New Roman" w:cs="Times New Roman"/>
          <w:b/>
          <w:bCs/>
          <w:color w:val="000000"/>
          <w:sz w:val="20"/>
          <w:szCs w:val="20"/>
        </w:rPr>
        <w:t>Abstract</w:t>
      </w:r>
      <w:r w:rsidR="00A159CF">
        <w:rPr>
          <w:rFonts w:ascii="Times New Roman" w:hAnsi="Times New Roman" w:cs="Times New Roman" w:hint="eastAsia"/>
          <w:b/>
          <w:bCs/>
          <w:color w:val="000000"/>
          <w:sz w:val="20"/>
          <w:szCs w:val="20"/>
          <w:lang w:eastAsia="zh-CN"/>
        </w:rPr>
        <w:t xml:space="preserve">: </w:t>
      </w:r>
      <w:r w:rsidRPr="00A159CF">
        <w:rPr>
          <w:rFonts w:ascii="Times New Roman" w:hAnsi="Times New Roman" w:cs="Times New Roman"/>
          <w:sz w:val="20"/>
          <w:szCs w:val="20"/>
        </w:rPr>
        <w:t xml:space="preserve">Determining how women’s </w:t>
      </w:r>
      <w:r w:rsidR="00014BD6" w:rsidRPr="00A159CF">
        <w:rPr>
          <w:rFonts w:ascii="Times New Roman" w:hAnsi="Times New Roman" w:cs="Times New Roman"/>
          <w:sz w:val="20"/>
          <w:szCs w:val="20"/>
        </w:rPr>
        <w:t>education affects</w:t>
      </w:r>
      <w:r w:rsidRPr="00A159CF">
        <w:rPr>
          <w:rFonts w:ascii="Times New Roman" w:hAnsi="Times New Roman" w:cs="Times New Roman"/>
          <w:sz w:val="20"/>
          <w:szCs w:val="20"/>
        </w:rPr>
        <w:t xml:space="preserve"> their wage earnings is remarkably important in today's society where women are increasingly entering the labor market. Human Capital Theory suggests that women who acquire more education earn more than women who have less education. Using a sample of 48067 women from </w:t>
      </w:r>
      <w:proofErr w:type="spellStart"/>
      <w:r w:rsidRPr="00A159CF">
        <w:rPr>
          <w:rFonts w:ascii="Times New Roman" w:hAnsi="Times New Roman" w:cs="Times New Roman"/>
          <w:sz w:val="20"/>
          <w:szCs w:val="20"/>
        </w:rPr>
        <w:t>Harmonised</w:t>
      </w:r>
      <w:proofErr w:type="spellEnd"/>
      <w:r w:rsidRPr="00A159CF">
        <w:rPr>
          <w:rFonts w:ascii="Times New Roman" w:hAnsi="Times New Roman" w:cs="Times New Roman"/>
          <w:sz w:val="20"/>
          <w:szCs w:val="20"/>
        </w:rPr>
        <w:t xml:space="preserve"> National Living Standard Survey 2010 data collected by Nigeria Bureau of Statistics in 2009/</w:t>
      </w:r>
      <w:r w:rsidR="00014BD6" w:rsidRPr="00A159CF">
        <w:rPr>
          <w:rFonts w:ascii="Times New Roman" w:hAnsi="Times New Roman" w:cs="Times New Roman"/>
          <w:sz w:val="20"/>
          <w:szCs w:val="20"/>
        </w:rPr>
        <w:t>2010,</w:t>
      </w:r>
      <w:r w:rsidRPr="00A159CF">
        <w:rPr>
          <w:rFonts w:ascii="Times New Roman" w:hAnsi="Times New Roman" w:cs="Times New Roman"/>
          <w:sz w:val="20"/>
          <w:szCs w:val="20"/>
        </w:rPr>
        <w:t xml:space="preserve"> </w:t>
      </w:r>
      <w:r w:rsidR="00014BD6" w:rsidRPr="00A159CF">
        <w:rPr>
          <w:rFonts w:ascii="Times New Roman" w:hAnsi="Times New Roman" w:cs="Times New Roman"/>
          <w:sz w:val="20"/>
          <w:szCs w:val="20"/>
        </w:rPr>
        <w:t>an</w:t>
      </w:r>
      <w:r w:rsidRPr="00A159CF">
        <w:rPr>
          <w:rFonts w:ascii="Times New Roman" w:hAnsi="Times New Roman" w:cs="Times New Roman"/>
          <w:sz w:val="20"/>
          <w:szCs w:val="20"/>
        </w:rPr>
        <w:t xml:space="preserve"> Heckman model was used to </w:t>
      </w:r>
      <w:r w:rsidR="00F27B7D" w:rsidRPr="00A159CF">
        <w:rPr>
          <w:rFonts w:ascii="Times New Roman" w:hAnsi="Times New Roman" w:cs="Times New Roman"/>
          <w:sz w:val="20"/>
          <w:szCs w:val="20"/>
        </w:rPr>
        <w:t>examine</w:t>
      </w:r>
      <w:r w:rsidRPr="00A159CF">
        <w:rPr>
          <w:rFonts w:ascii="Times New Roman" w:hAnsi="Times New Roman" w:cs="Times New Roman"/>
          <w:sz w:val="20"/>
          <w:szCs w:val="20"/>
        </w:rPr>
        <w:t xml:space="preserve"> the effect of education on women wage earning. It was revealed that the higher the level of education, the higher the wage accruing to individual women in rural Nigeria. The study suggested that women should be encouraged to attend school and when it is necessary try to convince them to obtain higher degree of education.</w:t>
      </w:r>
    </w:p>
    <w:p w:rsidR="00341100" w:rsidRPr="00A159CF" w:rsidRDefault="00341100" w:rsidP="00A159CF">
      <w:pPr>
        <w:pStyle w:val="Default"/>
        <w:snapToGrid w:val="0"/>
        <w:jc w:val="both"/>
        <w:rPr>
          <w:rFonts w:eastAsiaTheme="minorEastAsia"/>
          <w:sz w:val="20"/>
          <w:szCs w:val="20"/>
          <w:lang w:eastAsia="zh-CN"/>
        </w:rPr>
      </w:pPr>
      <w:r w:rsidRPr="00A159CF">
        <w:rPr>
          <w:sz w:val="20"/>
          <w:szCs w:val="20"/>
        </w:rPr>
        <w:t>[</w:t>
      </w:r>
      <w:proofErr w:type="spellStart"/>
      <w:r w:rsidR="00A159CF" w:rsidRPr="00A159CF">
        <w:rPr>
          <w:sz w:val="20"/>
          <w:szCs w:val="20"/>
        </w:rPr>
        <w:t>Omowumi</w:t>
      </w:r>
      <w:proofErr w:type="spellEnd"/>
      <w:r w:rsidR="00A159CF" w:rsidRPr="00A159CF">
        <w:rPr>
          <w:sz w:val="20"/>
          <w:szCs w:val="20"/>
        </w:rPr>
        <w:t xml:space="preserve"> A. </w:t>
      </w:r>
      <w:proofErr w:type="spellStart"/>
      <w:r w:rsidR="00A159CF" w:rsidRPr="00A159CF">
        <w:rPr>
          <w:sz w:val="20"/>
          <w:szCs w:val="20"/>
        </w:rPr>
        <w:t>Olowa</w:t>
      </w:r>
      <w:proofErr w:type="spellEnd"/>
      <w:r w:rsidR="00A159CF" w:rsidRPr="00A159CF">
        <w:rPr>
          <w:sz w:val="20"/>
          <w:szCs w:val="20"/>
        </w:rPr>
        <w:t xml:space="preserve">, </w:t>
      </w:r>
      <w:proofErr w:type="spellStart"/>
      <w:r w:rsidR="00A159CF" w:rsidRPr="00A159CF">
        <w:rPr>
          <w:bCs/>
          <w:sz w:val="20"/>
          <w:szCs w:val="20"/>
        </w:rPr>
        <w:t>Adetola</w:t>
      </w:r>
      <w:proofErr w:type="spellEnd"/>
      <w:r w:rsidR="00A159CF" w:rsidRPr="00A159CF">
        <w:rPr>
          <w:bCs/>
          <w:sz w:val="20"/>
          <w:szCs w:val="20"/>
        </w:rPr>
        <w:t xml:space="preserve"> I </w:t>
      </w:r>
      <w:proofErr w:type="spellStart"/>
      <w:r w:rsidR="00A159CF" w:rsidRPr="00A159CF">
        <w:rPr>
          <w:bCs/>
          <w:sz w:val="20"/>
          <w:szCs w:val="20"/>
        </w:rPr>
        <w:t>Adeoti</w:t>
      </w:r>
      <w:proofErr w:type="spellEnd"/>
      <w:r w:rsidR="00A159CF" w:rsidRPr="00A159CF">
        <w:rPr>
          <w:bCs/>
          <w:sz w:val="20"/>
          <w:szCs w:val="20"/>
        </w:rPr>
        <w:t xml:space="preserve">, </w:t>
      </w:r>
      <w:proofErr w:type="spellStart"/>
      <w:r w:rsidR="00A159CF" w:rsidRPr="00A159CF">
        <w:rPr>
          <w:bCs/>
          <w:sz w:val="20"/>
          <w:szCs w:val="20"/>
        </w:rPr>
        <w:t>Kemisola</w:t>
      </w:r>
      <w:proofErr w:type="spellEnd"/>
      <w:r w:rsidR="00A159CF" w:rsidRPr="00A159CF">
        <w:rPr>
          <w:bCs/>
          <w:sz w:val="20"/>
          <w:szCs w:val="20"/>
        </w:rPr>
        <w:t xml:space="preserve"> O. </w:t>
      </w:r>
      <w:proofErr w:type="spellStart"/>
      <w:r w:rsidR="00A159CF" w:rsidRPr="00A159CF">
        <w:rPr>
          <w:bCs/>
          <w:sz w:val="20"/>
          <w:szCs w:val="20"/>
        </w:rPr>
        <w:t>Adenegan</w:t>
      </w:r>
      <w:proofErr w:type="spellEnd"/>
      <w:r w:rsidR="00067E14">
        <w:rPr>
          <w:bCs/>
          <w:sz w:val="20"/>
          <w:szCs w:val="20"/>
          <w:vertAlign w:val="superscript"/>
        </w:rPr>
        <w:t xml:space="preserve"> </w:t>
      </w:r>
      <w:r w:rsidR="00A159CF" w:rsidRPr="00A159CF">
        <w:rPr>
          <w:bCs/>
          <w:sz w:val="20"/>
          <w:szCs w:val="20"/>
        </w:rPr>
        <w:t xml:space="preserve">and </w:t>
      </w:r>
      <w:proofErr w:type="spellStart"/>
      <w:r w:rsidR="00A159CF" w:rsidRPr="00A159CF">
        <w:rPr>
          <w:bCs/>
          <w:sz w:val="20"/>
          <w:szCs w:val="20"/>
        </w:rPr>
        <w:t>Omobowale</w:t>
      </w:r>
      <w:proofErr w:type="spellEnd"/>
      <w:r w:rsidR="00A159CF" w:rsidRPr="00A159CF">
        <w:rPr>
          <w:bCs/>
          <w:sz w:val="20"/>
          <w:szCs w:val="20"/>
        </w:rPr>
        <w:t xml:space="preserve"> A. Oni</w:t>
      </w:r>
      <w:r w:rsidR="00A159CF">
        <w:rPr>
          <w:bCs/>
          <w:sz w:val="20"/>
          <w:szCs w:val="20"/>
          <w:vertAlign w:val="superscript"/>
        </w:rPr>
        <w:t xml:space="preserve"> </w:t>
      </w:r>
      <w:r w:rsidRPr="00A159CF">
        <w:rPr>
          <w:sz w:val="20"/>
          <w:szCs w:val="20"/>
        </w:rPr>
        <w:t xml:space="preserve">. </w:t>
      </w:r>
      <w:r w:rsidR="00A159CF" w:rsidRPr="00A159CF">
        <w:rPr>
          <w:b/>
          <w:sz w:val="20"/>
          <w:szCs w:val="20"/>
        </w:rPr>
        <w:t>Women Wage Earning and Education in Rural Nigeria</w:t>
      </w:r>
      <w:r w:rsidRPr="00A159CF">
        <w:rPr>
          <w:rFonts w:eastAsia="Times New Roman"/>
          <w:b/>
          <w:bCs/>
          <w:sz w:val="20"/>
          <w:szCs w:val="20"/>
          <w:lang w:bidi="fa-IR"/>
        </w:rPr>
        <w:t>.</w:t>
      </w:r>
      <w:r w:rsidRPr="00A159CF">
        <w:rPr>
          <w:rFonts w:hint="eastAsia"/>
          <w:iCs/>
          <w:sz w:val="20"/>
          <w:szCs w:val="20"/>
        </w:rPr>
        <w:t xml:space="preserve"> </w:t>
      </w:r>
      <w:r w:rsidRPr="00A159CF">
        <w:rPr>
          <w:rFonts w:eastAsia="Times New Roman"/>
          <w:bCs/>
          <w:i/>
          <w:sz w:val="20"/>
          <w:szCs w:val="20"/>
        </w:rPr>
        <w:t xml:space="preserve">World Rural </w:t>
      </w:r>
      <w:proofErr w:type="spellStart"/>
      <w:r w:rsidRPr="00A159CF">
        <w:rPr>
          <w:rFonts w:eastAsia="Times New Roman"/>
          <w:bCs/>
          <w:i/>
          <w:sz w:val="20"/>
          <w:szCs w:val="20"/>
        </w:rPr>
        <w:t>Observ</w:t>
      </w:r>
      <w:proofErr w:type="spellEnd"/>
      <w:r w:rsidRPr="00A159CF">
        <w:rPr>
          <w:rFonts w:eastAsia="Times New Roman"/>
          <w:bCs/>
          <w:sz w:val="20"/>
          <w:szCs w:val="20"/>
        </w:rPr>
        <w:t xml:space="preserve"> </w:t>
      </w:r>
      <w:r w:rsidRPr="00A159CF">
        <w:rPr>
          <w:sz w:val="20"/>
          <w:szCs w:val="20"/>
        </w:rPr>
        <w:t>201</w:t>
      </w:r>
      <w:r w:rsidRPr="00A159CF">
        <w:rPr>
          <w:rFonts w:hint="eastAsia"/>
          <w:sz w:val="20"/>
          <w:szCs w:val="20"/>
        </w:rPr>
        <w:t>4</w:t>
      </w:r>
      <w:r w:rsidRPr="00A159CF">
        <w:rPr>
          <w:sz w:val="20"/>
          <w:szCs w:val="20"/>
        </w:rPr>
        <w:t>;</w:t>
      </w:r>
      <w:r w:rsidRPr="00A159CF">
        <w:rPr>
          <w:rFonts w:hint="eastAsia"/>
          <w:sz w:val="20"/>
          <w:szCs w:val="20"/>
        </w:rPr>
        <w:t>6</w:t>
      </w:r>
      <w:r w:rsidRPr="00A159CF">
        <w:rPr>
          <w:sz w:val="20"/>
          <w:szCs w:val="20"/>
        </w:rPr>
        <w:t>(</w:t>
      </w:r>
      <w:r w:rsidRPr="00A159CF">
        <w:rPr>
          <w:rFonts w:hint="eastAsia"/>
          <w:sz w:val="20"/>
          <w:szCs w:val="20"/>
        </w:rPr>
        <w:t>1</w:t>
      </w:r>
      <w:r w:rsidRPr="00A159CF">
        <w:rPr>
          <w:sz w:val="20"/>
          <w:szCs w:val="20"/>
        </w:rPr>
        <w:t>):</w:t>
      </w:r>
      <w:r w:rsidR="004319A9">
        <w:rPr>
          <w:noProof/>
          <w:sz w:val="20"/>
          <w:szCs w:val="20"/>
        </w:rPr>
        <w:t>26</w:t>
      </w:r>
      <w:r w:rsidRPr="00A159CF">
        <w:rPr>
          <w:sz w:val="20"/>
          <w:szCs w:val="20"/>
        </w:rPr>
        <w:t>-</w:t>
      </w:r>
      <w:r w:rsidR="004319A9">
        <w:rPr>
          <w:noProof/>
          <w:sz w:val="20"/>
          <w:szCs w:val="20"/>
        </w:rPr>
        <w:t>30</w:t>
      </w:r>
      <w:r w:rsidRPr="00A159CF">
        <w:rPr>
          <w:sz w:val="20"/>
          <w:szCs w:val="20"/>
        </w:rPr>
        <w:t>]</w:t>
      </w:r>
      <w:r w:rsidRPr="00A159CF">
        <w:rPr>
          <w:rFonts w:hint="eastAsia"/>
          <w:sz w:val="20"/>
          <w:szCs w:val="20"/>
        </w:rPr>
        <w:t>.</w:t>
      </w:r>
      <w:r w:rsidRPr="00A159CF">
        <w:rPr>
          <w:sz w:val="20"/>
          <w:szCs w:val="20"/>
        </w:rPr>
        <w:t xml:space="preserve"> ISSN: 1944-6543 (Print); ISSN: 1944-6551 (Online). </w:t>
      </w:r>
      <w:hyperlink r:id="rId9" w:history="1">
        <w:r w:rsidRPr="00A159CF">
          <w:rPr>
            <w:rStyle w:val="Hyperlink"/>
            <w:color w:val="0000FF"/>
            <w:sz w:val="20"/>
            <w:szCs w:val="20"/>
          </w:rPr>
          <w:t>http://www.sciencepub.net/rural</w:t>
        </w:r>
      </w:hyperlink>
      <w:r w:rsidRPr="00A159CF">
        <w:rPr>
          <w:sz w:val="20"/>
          <w:szCs w:val="20"/>
        </w:rPr>
        <w:t>.</w:t>
      </w:r>
      <w:r w:rsidRPr="00A159CF">
        <w:rPr>
          <w:rFonts w:hint="eastAsia"/>
          <w:sz w:val="20"/>
          <w:szCs w:val="20"/>
        </w:rPr>
        <w:t xml:space="preserve"> </w:t>
      </w:r>
      <w:r w:rsidR="00A159CF">
        <w:rPr>
          <w:rFonts w:eastAsiaTheme="minorEastAsia" w:hint="eastAsia"/>
          <w:sz w:val="20"/>
          <w:szCs w:val="20"/>
          <w:lang w:eastAsia="zh-CN"/>
        </w:rPr>
        <w:t>5</w:t>
      </w:r>
    </w:p>
    <w:p w:rsidR="00777612" w:rsidRPr="00A159CF" w:rsidRDefault="00777612" w:rsidP="00A159CF">
      <w:pPr>
        <w:autoSpaceDE w:val="0"/>
        <w:autoSpaceDN w:val="0"/>
        <w:adjustRightInd w:val="0"/>
        <w:snapToGrid w:val="0"/>
        <w:spacing w:after="0" w:line="240" w:lineRule="auto"/>
        <w:jc w:val="both"/>
        <w:rPr>
          <w:rFonts w:ascii="Times New Roman" w:hAnsi="Times New Roman" w:cs="Times New Roman"/>
          <w:sz w:val="20"/>
          <w:szCs w:val="20"/>
        </w:rPr>
      </w:pPr>
    </w:p>
    <w:p w:rsidR="00777612" w:rsidRPr="00A159CF" w:rsidRDefault="00777612" w:rsidP="00A159CF">
      <w:pPr>
        <w:autoSpaceDE w:val="0"/>
        <w:autoSpaceDN w:val="0"/>
        <w:adjustRightInd w:val="0"/>
        <w:snapToGrid w:val="0"/>
        <w:spacing w:after="0" w:line="240" w:lineRule="auto"/>
        <w:jc w:val="both"/>
        <w:rPr>
          <w:rFonts w:ascii="Times New Roman" w:hAnsi="Times New Roman" w:cs="Times New Roman"/>
          <w:sz w:val="20"/>
          <w:szCs w:val="20"/>
        </w:rPr>
      </w:pPr>
      <w:r w:rsidRPr="00A159CF">
        <w:rPr>
          <w:rFonts w:ascii="Times New Roman" w:hAnsi="Times New Roman" w:cs="Times New Roman"/>
          <w:b/>
          <w:bCs/>
          <w:sz w:val="20"/>
          <w:szCs w:val="20"/>
        </w:rPr>
        <w:t>Keywords</w:t>
      </w:r>
      <w:r w:rsidR="00956642" w:rsidRPr="00A159CF">
        <w:rPr>
          <w:rFonts w:ascii="Times New Roman" w:hAnsi="Times New Roman" w:cs="Times New Roman"/>
          <w:b/>
          <w:bCs/>
          <w:sz w:val="20"/>
          <w:szCs w:val="20"/>
        </w:rPr>
        <w:t>:</w:t>
      </w:r>
      <w:r w:rsidR="00067E14">
        <w:rPr>
          <w:rFonts w:ascii="Times New Roman" w:hAnsi="Times New Roman" w:cs="Times New Roman"/>
          <w:b/>
          <w:bCs/>
          <w:sz w:val="20"/>
          <w:szCs w:val="20"/>
        </w:rPr>
        <w:t xml:space="preserve"> </w:t>
      </w:r>
      <w:r w:rsidR="00956642" w:rsidRPr="00A159CF">
        <w:rPr>
          <w:rFonts w:ascii="Times New Roman" w:hAnsi="Times New Roman" w:cs="Times New Roman"/>
          <w:sz w:val="20"/>
          <w:szCs w:val="20"/>
        </w:rPr>
        <w:t>W</w:t>
      </w:r>
      <w:r w:rsidRPr="00A159CF">
        <w:rPr>
          <w:rFonts w:ascii="Times New Roman" w:hAnsi="Times New Roman" w:cs="Times New Roman"/>
          <w:sz w:val="20"/>
          <w:szCs w:val="20"/>
        </w:rPr>
        <w:t xml:space="preserve">age </w:t>
      </w:r>
      <w:r w:rsidR="00956642" w:rsidRPr="00A159CF">
        <w:rPr>
          <w:rFonts w:ascii="Times New Roman" w:hAnsi="Times New Roman" w:cs="Times New Roman"/>
          <w:sz w:val="20"/>
          <w:szCs w:val="20"/>
        </w:rPr>
        <w:t>earning</w:t>
      </w:r>
      <w:r w:rsidRPr="00A159CF">
        <w:rPr>
          <w:rFonts w:ascii="Times New Roman" w:hAnsi="Times New Roman" w:cs="Times New Roman"/>
          <w:sz w:val="20"/>
          <w:szCs w:val="20"/>
        </w:rPr>
        <w:t xml:space="preserve">, </w:t>
      </w:r>
      <w:r w:rsidR="00956642" w:rsidRPr="00A159CF">
        <w:rPr>
          <w:rFonts w:ascii="Times New Roman" w:hAnsi="Times New Roman" w:cs="Times New Roman"/>
          <w:sz w:val="20"/>
          <w:szCs w:val="20"/>
        </w:rPr>
        <w:t>R</w:t>
      </w:r>
      <w:r w:rsidR="009F6705" w:rsidRPr="00A159CF">
        <w:rPr>
          <w:rFonts w:ascii="Times New Roman" w:hAnsi="Times New Roman" w:cs="Times New Roman"/>
          <w:sz w:val="20"/>
          <w:szCs w:val="20"/>
        </w:rPr>
        <w:t>ural Nigeria, Agricultural wage,</w:t>
      </w:r>
      <w:r w:rsidR="0096292F" w:rsidRPr="00A159CF">
        <w:rPr>
          <w:rFonts w:ascii="Times New Roman" w:hAnsi="Times New Roman" w:cs="Times New Roman"/>
          <w:sz w:val="20"/>
          <w:szCs w:val="20"/>
        </w:rPr>
        <w:t xml:space="preserve"> Non- Agricultural wage,</w:t>
      </w:r>
      <w:r w:rsidR="009F6705" w:rsidRPr="00A159CF">
        <w:rPr>
          <w:rFonts w:ascii="Times New Roman" w:hAnsi="Times New Roman" w:cs="Times New Roman"/>
          <w:sz w:val="20"/>
          <w:szCs w:val="20"/>
        </w:rPr>
        <w:t xml:space="preserve"> Education.</w:t>
      </w:r>
    </w:p>
    <w:p w:rsidR="00777612" w:rsidRPr="00A159CF" w:rsidRDefault="00777612" w:rsidP="00A159CF">
      <w:pPr>
        <w:snapToGrid w:val="0"/>
        <w:spacing w:after="0" w:line="240" w:lineRule="auto"/>
        <w:ind w:firstLine="425"/>
        <w:jc w:val="both"/>
        <w:rPr>
          <w:rFonts w:ascii="Times New Roman" w:hAnsi="Times New Roman" w:cs="Times New Roman"/>
          <w:sz w:val="20"/>
          <w:szCs w:val="20"/>
        </w:rPr>
      </w:pPr>
    </w:p>
    <w:p w:rsidR="00100711" w:rsidRPr="00A159CF" w:rsidRDefault="00100711" w:rsidP="00A159CF">
      <w:pPr>
        <w:pStyle w:val="Default"/>
        <w:snapToGrid w:val="0"/>
        <w:jc w:val="both"/>
        <w:rPr>
          <w:b/>
          <w:sz w:val="20"/>
          <w:szCs w:val="20"/>
        </w:rPr>
        <w:sectPr w:rsidR="00100711" w:rsidRPr="00A159CF" w:rsidSect="004319A9">
          <w:headerReference w:type="default" r:id="rId10"/>
          <w:footerReference w:type="default" r:id="rId11"/>
          <w:type w:val="continuous"/>
          <w:pgSz w:w="12242" w:h="15842" w:code="1"/>
          <w:pgMar w:top="1440" w:right="1440" w:bottom="1440" w:left="1440" w:header="720" w:footer="720" w:gutter="0"/>
          <w:pgNumType w:start="26"/>
          <w:cols w:space="720"/>
          <w:docGrid w:linePitch="360"/>
        </w:sectPr>
      </w:pPr>
    </w:p>
    <w:p w:rsidR="00D97C0C" w:rsidRPr="00A159CF" w:rsidRDefault="00C85C8D" w:rsidP="00A159CF">
      <w:pPr>
        <w:pStyle w:val="Default"/>
        <w:snapToGrid w:val="0"/>
        <w:jc w:val="both"/>
        <w:rPr>
          <w:b/>
          <w:sz w:val="20"/>
          <w:szCs w:val="20"/>
        </w:rPr>
      </w:pPr>
      <w:r w:rsidRPr="00A159CF">
        <w:rPr>
          <w:b/>
          <w:sz w:val="20"/>
          <w:szCs w:val="20"/>
        </w:rPr>
        <w:lastRenderedPageBreak/>
        <w:t>Introduction</w:t>
      </w:r>
    </w:p>
    <w:p w:rsidR="00C85C8D" w:rsidRPr="00A159CF" w:rsidRDefault="00C85C8D"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In rural areas of developing countries, involvement of women in </w:t>
      </w:r>
      <w:proofErr w:type="spellStart"/>
      <w:r w:rsidRPr="00A159CF">
        <w:rPr>
          <w:rFonts w:ascii="Times New Roman" w:hAnsi="Times New Roman" w:cs="Times New Roman"/>
          <w:sz w:val="20"/>
          <w:szCs w:val="20"/>
        </w:rPr>
        <w:t>labour</w:t>
      </w:r>
      <w:proofErr w:type="spellEnd"/>
      <w:r w:rsidRPr="00A159CF">
        <w:rPr>
          <w:rFonts w:ascii="Times New Roman" w:hAnsi="Times New Roman" w:cs="Times New Roman"/>
          <w:sz w:val="20"/>
          <w:szCs w:val="20"/>
        </w:rPr>
        <w:t xml:space="preserve"> activities is becoming more important. Rural women respond to new economic opportunities by adjusting their labor allocation, considering returns to education, which may differ from activity to activity. This paper is an empirical attempt to quantify this difference. That is, the effects of education on women wage earning in both agriculture and non–agricultural sectors in rural Nigeria.</w:t>
      </w:r>
    </w:p>
    <w:p w:rsidR="00C85C8D" w:rsidRPr="00A159CF" w:rsidRDefault="00C85C8D"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The emergence of human capital theory in the late 1950s drew attention to the investment aspects of education, both at the private and the social level. The treatment of educational investment as investment in human capital rests on the assumption that the additional education acquired by individuals will lead to an increase in their productivity, which will be rewarded with higher wage earnings. Education is thought to raise productivity through the provision of skills and knowledge, which increase the efficiency and hence the value of the more educated.</w:t>
      </w:r>
    </w:p>
    <w:p w:rsidR="00C85C8D" w:rsidRPr="00A159CF" w:rsidRDefault="00C85C8D"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The effect of education on wage earning has been investigated extensively.</w:t>
      </w:r>
      <w:r w:rsidR="00067E14">
        <w:rPr>
          <w:rFonts w:ascii="Times New Roman" w:hAnsi="Times New Roman" w:cs="Times New Roman"/>
          <w:sz w:val="20"/>
          <w:szCs w:val="20"/>
        </w:rPr>
        <w:t xml:space="preserve"> </w:t>
      </w:r>
      <w:r w:rsidRPr="00A159CF">
        <w:rPr>
          <w:rFonts w:ascii="Times New Roman" w:hAnsi="Times New Roman" w:cs="Times New Roman"/>
          <w:sz w:val="20"/>
          <w:szCs w:val="20"/>
        </w:rPr>
        <w:t>Evidence abounds in every-day life and literature for the fact that the acquisition of education improves the present and future earnings of individuals (</w:t>
      </w:r>
      <w:proofErr w:type="spellStart"/>
      <w:r w:rsidRPr="00A159CF">
        <w:rPr>
          <w:rFonts w:ascii="Times New Roman" w:hAnsi="Times New Roman" w:cs="Times New Roman"/>
          <w:sz w:val="20"/>
          <w:szCs w:val="20"/>
        </w:rPr>
        <w:t>Angrist</w:t>
      </w:r>
      <w:proofErr w:type="spellEnd"/>
      <w:r w:rsidRPr="00A159CF">
        <w:rPr>
          <w:rFonts w:ascii="Times New Roman" w:hAnsi="Times New Roman" w:cs="Times New Roman"/>
          <w:sz w:val="20"/>
          <w:szCs w:val="20"/>
        </w:rPr>
        <w:t xml:space="preserve"> and Krueger, 199</w:t>
      </w:r>
      <w:r w:rsidR="000C74F7" w:rsidRPr="00A159CF">
        <w:rPr>
          <w:rFonts w:ascii="Times New Roman" w:hAnsi="Times New Roman" w:cs="Times New Roman"/>
          <w:sz w:val="20"/>
          <w:szCs w:val="20"/>
        </w:rPr>
        <w:t>1</w:t>
      </w:r>
      <w:r w:rsidR="00FD01D8" w:rsidRPr="00A159CF">
        <w:rPr>
          <w:rFonts w:ascii="Times New Roman" w:hAnsi="Times New Roman" w:cs="Times New Roman"/>
          <w:sz w:val="20"/>
          <w:szCs w:val="20"/>
        </w:rPr>
        <w:t xml:space="preserve">; </w:t>
      </w:r>
      <w:proofErr w:type="spellStart"/>
      <w:r w:rsidR="00FD01D8" w:rsidRPr="00A159CF">
        <w:rPr>
          <w:rFonts w:ascii="Times New Roman" w:hAnsi="Times New Roman" w:cs="Times New Roman"/>
          <w:sz w:val="20"/>
          <w:szCs w:val="20"/>
        </w:rPr>
        <w:t>Aro</w:t>
      </w:r>
      <w:r w:rsidRPr="00A159CF">
        <w:rPr>
          <w:rFonts w:ascii="Times New Roman" w:hAnsi="Times New Roman" w:cs="Times New Roman"/>
          <w:sz w:val="20"/>
          <w:szCs w:val="20"/>
        </w:rPr>
        <w:t>molaran</w:t>
      </w:r>
      <w:proofErr w:type="spellEnd"/>
      <w:r w:rsidRPr="00A159CF">
        <w:rPr>
          <w:rFonts w:ascii="Times New Roman" w:hAnsi="Times New Roman" w:cs="Times New Roman"/>
          <w:sz w:val="20"/>
          <w:szCs w:val="20"/>
        </w:rPr>
        <w:t xml:space="preserve">, 2004 and </w:t>
      </w:r>
      <w:proofErr w:type="spellStart"/>
      <w:r w:rsidR="00FA36ED" w:rsidRPr="00A159CF">
        <w:rPr>
          <w:rFonts w:ascii="Times New Roman" w:hAnsi="Times New Roman" w:cs="Times New Roman"/>
          <w:sz w:val="20"/>
          <w:szCs w:val="20"/>
        </w:rPr>
        <w:t>O</w:t>
      </w:r>
      <w:r w:rsidRPr="00A159CF">
        <w:rPr>
          <w:rFonts w:ascii="Times New Roman" w:hAnsi="Times New Roman" w:cs="Times New Roman"/>
          <w:sz w:val="20"/>
          <w:szCs w:val="20"/>
        </w:rPr>
        <w:t>kuwa</w:t>
      </w:r>
      <w:proofErr w:type="spellEnd"/>
      <w:r w:rsidRPr="00A159CF">
        <w:rPr>
          <w:rFonts w:ascii="Times New Roman" w:hAnsi="Times New Roman" w:cs="Times New Roman"/>
          <w:sz w:val="20"/>
          <w:szCs w:val="20"/>
        </w:rPr>
        <w:t xml:space="preserve">, 2004). </w:t>
      </w:r>
      <w:r w:rsidR="00254FFD" w:rsidRPr="00A159CF">
        <w:rPr>
          <w:rFonts w:ascii="Times New Roman" w:hAnsi="Times New Roman" w:cs="Times New Roman"/>
          <w:sz w:val="20"/>
          <w:szCs w:val="20"/>
        </w:rPr>
        <w:t>The</w:t>
      </w:r>
      <w:r w:rsidRPr="00A159CF">
        <w:rPr>
          <w:rFonts w:ascii="Times New Roman" w:hAnsi="Times New Roman" w:cs="Times New Roman"/>
          <w:sz w:val="20"/>
          <w:szCs w:val="20"/>
        </w:rPr>
        <w:t xml:space="preserve"> issue, then, is whether this holds among women in the rural area of Nigeria where it is said that about half of the populace are women. This paper therefore examines the effect of education on women wage earning and provides more updated results, which may </w:t>
      </w:r>
      <w:r w:rsidR="00397E1F" w:rsidRPr="00A159CF">
        <w:rPr>
          <w:rFonts w:ascii="Times New Roman" w:hAnsi="Times New Roman" w:cs="Times New Roman"/>
          <w:sz w:val="20"/>
          <w:szCs w:val="20"/>
        </w:rPr>
        <w:t>have important</w:t>
      </w:r>
      <w:r w:rsidRPr="00A159CF">
        <w:rPr>
          <w:rFonts w:ascii="Times New Roman" w:hAnsi="Times New Roman" w:cs="Times New Roman"/>
          <w:sz w:val="20"/>
          <w:szCs w:val="20"/>
        </w:rPr>
        <w:t xml:space="preserve"> policy implications.</w:t>
      </w:r>
    </w:p>
    <w:p w:rsidR="00D56D7C" w:rsidRPr="00A159CF" w:rsidRDefault="007004FE" w:rsidP="00A159CF">
      <w:pPr>
        <w:snapToGrid w:val="0"/>
        <w:spacing w:after="0" w:line="240" w:lineRule="auto"/>
        <w:ind w:firstLine="425"/>
        <w:jc w:val="both"/>
        <w:rPr>
          <w:rFonts w:ascii="Times New Roman" w:hAnsi="Times New Roman" w:cs="Times New Roman"/>
          <w:b/>
          <w:bCs/>
          <w:sz w:val="20"/>
          <w:szCs w:val="20"/>
        </w:rPr>
      </w:pPr>
      <w:r w:rsidRPr="00A159CF">
        <w:rPr>
          <w:rFonts w:ascii="Times New Roman" w:hAnsi="Times New Roman" w:cs="Times New Roman"/>
          <w:sz w:val="20"/>
          <w:szCs w:val="20"/>
        </w:rPr>
        <w:lastRenderedPageBreak/>
        <w:t>The rest of the paper is structured as follows</w:t>
      </w:r>
      <w:r w:rsidR="00C85C8D" w:rsidRPr="00A159CF">
        <w:rPr>
          <w:rFonts w:ascii="Times New Roman" w:hAnsi="Times New Roman" w:cs="Times New Roman"/>
          <w:sz w:val="20"/>
          <w:szCs w:val="20"/>
        </w:rPr>
        <w:t xml:space="preserve">. Section II provides the </w:t>
      </w:r>
      <w:r w:rsidR="00D56D7C" w:rsidRPr="00A159CF">
        <w:rPr>
          <w:rFonts w:ascii="Times New Roman" w:hAnsi="Times New Roman" w:cs="Times New Roman"/>
          <w:bCs/>
          <w:sz w:val="20"/>
          <w:szCs w:val="20"/>
        </w:rPr>
        <w:t>material and methods.</w:t>
      </w:r>
    </w:p>
    <w:p w:rsidR="00D97C0C" w:rsidRPr="00A159CF" w:rsidRDefault="00C85C8D"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Section III explains the </w:t>
      </w:r>
      <w:r w:rsidR="00D56D7C" w:rsidRPr="00A159CF">
        <w:rPr>
          <w:rFonts w:ascii="Times New Roman" w:hAnsi="Times New Roman" w:cs="Times New Roman"/>
          <w:bCs/>
          <w:sz w:val="20"/>
          <w:szCs w:val="20"/>
        </w:rPr>
        <w:t>theoretical framework and model specification.</w:t>
      </w:r>
      <w:r w:rsidR="00067E14">
        <w:rPr>
          <w:rFonts w:ascii="Times New Roman" w:hAnsi="Times New Roman" w:cs="Times New Roman"/>
          <w:bCs/>
          <w:sz w:val="20"/>
          <w:szCs w:val="20"/>
        </w:rPr>
        <w:t xml:space="preserve"> </w:t>
      </w:r>
      <w:r w:rsidRPr="00A159CF">
        <w:rPr>
          <w:rFonts w:ascii="Times New Roman" w:hAnsi="Times New Roman" w:cs="Times New Roman"/>
          <w:sz w:val="20"/>
          <w:szCs w:val="20"/>
        </w:rPr>
        <w:t>Section IV</w:t>
      </w:r>
      <w:r w:rsidR="00D56D7C" w:rsidRPr="00A159CF">
        <w:rPr>
          <w:rFonts w:ascii="Times New Roman" w:hAnsi="Times New Roman" w:cs="Times New Roman"/>
          <w:sz w:val="20"/>
          <w:szCs w:val="20"/>
        </w:rPr>
        <w:t xml:space="preserve"> contains the results of estimated models</w:t>
      </w:r>
      <w:r w:rsidR="00397E1F" w:rsidRPr="00A159CF">
        <w:rPr>
          <w:rFonts w:ascii="Times New Roman" w:hAnsi="Times New Roman" w:cs="Times New Roman"/>
          <w:sz w:val="20"/>
          <w:szCs w:val="20"/>
        </w:rPr>
        <w:t>.</w:t>
      </w:r>
      <w:r w:rsidR="00D56D7C" w:rsidRPr="00A159CF">
        <w:rPr>
          <w:rFonts w:ascii="Times New Roman" w:hAnsi="Times New Roman" w:cs="Times New Roman"/>
          <w:sz w:val="20"/>
          <w:szCs w:val="20"/>
        </w:rPr>
        <w:t xml:space="preserve"> The last Section </w:t>
      </w:r>
      <w:proofErr w:type="spellStart"/>
      <w:r w:rsidR="00D56D7C" w:rsidRPr="00A159CF">
        <w:rPr>
          <w:rFonts w:ascii="Times New Roman" w:hAnsi="Times New Roman" w:cs="Times New Roman"/>
          <w:sz w:val="20"/>
          <w:szCs w:val="20"/>
        </w:rPr>
        <w:t>summarises</w:t>
      </w:r>
      <w:proofErr w:type="spellEnd"/>
      <w:r w:rsidR="00D56D7C" w:rsidRPr="00A159CF">
        <w:rPr>
          <w:rFonts w:ascii="Times New Roman" w:hAnsi="Times New Roman" w:cs="Times New Roman"/>
          <w:sz w:val="20"/>
          <w:szCs w:val="20"/>
        </w:rPr>
        <w:t xml:space="preserve"> the findings and also concludes</w:t>
      </w:r>
      <w:r w:rsidR="00397E1F" w:rsidRPr="00A159CF">
        <w:rPr>
          <w:rFonts w:ascii="Times New Roman" w:hAnsi="Times New Roman" w:cs="Times New Roman"/>
          <w:sz w:val="20"/>
          <w:szCs w:val="20"/>
        </w:rPr>
        <w:t>.</w:t>
      </w:r>
    </w:p>
    <w:p w:rsidR="00A159CF" w:rsidRDefault="00A159CF" w:rsidP="00A159CF">
      <w:pPr>
        <w:snapToGrid w:val="0"/>
        <w:spacing w:after="0" w:line="240" w:lineRule="auto"/>
        <w:jc w:val="both"/>
        <w:rPr>
          <w:rFonts w:ascii="Times New Roman" w:hAnsi="Times New Roman" w:cs="Times New Roman"/>
          <w:b/>
          <w:bCs/>
          <w:sz w:val="20"/>
          <w:szCs w:val="20"/>
          <w:lang w:eastAsia="zh-CN"/>
        </w:rPr>
      </w:pPr>
    </w:p>
    <w:p w:rsidR="00280C87" w:rsidRPr="00A159CF" w:rsidRDefault="008158A5" w:rsidP="00A159CF">
      <w:pPr>
        <w:snapToGrid w:val="0"/>
        <w:spacing w:after="0" w:line="240" w:lineRule="auto"/>
        <w:jc w:val="both"/>
        <w:rPr>
          <w:rFonts w:ascii="Times New Roman" w:hAnsi="Times New Roman" w:cs="Times New Roman"/>
          <w:b/>
          <w:bCs/>
          <w:sz w:val="20"/>
          <w:szCs w:val="20"/>
        </w:rPr>
      </w:pPr>
      <w:r w:rsidRPr="00A159CF">
        <w:rPr>
          <w:rFonts w:ascii="Times New Roman" w:hAnsi="Times New Roman" w:cs="Times New Roman"/>
          <w:b/>
          <w:bCs/>
          <w:sz w:val="20"/>
          <w:szCs w:val="20"/>
        </w:rPr>
        <w:t>Material and Methods</w:t>
      </w:r>
    </w:p>
    <w:p w:rsidR="00F2134B" w:rsidRPr="00A159CF" w:rsidRDefault="00F2134B" w:rsidP="00A159CF">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A159CF">
        <w:rPr>
          <w:rFonts w:ascii="Times New Roman" w:hAnsi="Times New Roman" w:cs="Times New Roman"/>
          <w:sz w:val="20"/>
          <w:szCs w:val="20"/>
        </w:rPr>
        <w:t xml:space="preserve">The data used in this study was drawn from a cross-sectional data obtained from the field survey conducted in by Nigeria Bureau of Statistics (NBS) in 2009/2010. The survey contains detailed information on </w:t>
      </w:r>
      <w:r w:rsidR="0099796D" w:rsidRPr="00A159CF">
        <w:rPr>
          <w:rFonts w:ascii="Times New Roman" w:hAnsi="Times New Roman" w:cs="Times New Roman"/>
          <w:sz w:val="20"/>
          <w:szCs w:val="20"/>
        </w:rPr>
        <w:t>education and</w:t>
      </w:r>
      <w:r w:rsidRPr="00A159CF">
        <w:rPr>
          <w:rFonts w:ascii="Times New Roman" w:hAnsi="Times New Roman" w:cs="Times New Roman"/>
          <w:sz w:val="20"/>
          <w:szCs w:val="20"/>
        </w:rPr>
        <w:t xml:space="preserve"> earnings as well as a wide range of other data on the </w:t>
      </w:r>
      <w:proofErr w:type="spellStart"/>
      <w:r w:rsidR="0099796D" w:rsidRPr="00A159CF">
        <w:rPr>
          <w:rFonts w:ascii="Times New Roman" w:hAnsi="Times New Roman" w:cs="Times New Roman"/>
          <w:sz w:val="20"/>
          <w:szCs w:val="20"/>
        </w:rPr>
        <w:t>labour</w:t>
      </w:r>
      <w:proofErr w:type="spellEnd"/>
      <w:r w:rsidR="0099796D" w:rsidRPr="00A159CF">
        <w:rPr>
          <w:rFonts w:ascii="Times New Roman" w:hAnsi="Times New Roman" w:cs="Times New Roman"/>
          <w:sz w:val="20"/>
          <w:szCs w:val="20"/>
        </w:rPr>
        <w:t xml:space="preserve"> market activities</w:t>
      </w:r>
      <w:r w:rsidRPr="00A159CF">
        <w:rPr>
          <w:rFonts w:ascii="Times New Roman" w:hAnsi="Times New Roman" w:cs="Times New Roman"/>
          <w:sz w:val="20"/>
          <w:szCs w:val="20"/>
        </w:rPr>
        <w:t xml:space="preserve"> and other socia</w:t>
      </w:r>
      <w:r w:rsidR="0099796D" w:rsidRPr="00A159CF">
        <w:rPr>
          <w:rFonts w:ascii="Times New Roman" w:hAnsi="Times New Roman" w:cs="Times New Roman"/>
          <w:sz w:val="20"/>
          <w:szCs w:val="20"/>
        </w:rPr>
        <w:t>l and economic characteristics of 70374 women</w:t>
      </w:r>
      <w:r w:rsidR="001323B5" w:rsidRPr="00A159CF">
        <w:rPr>
          <w:rFonts w:ascii="Times New Roman" w:hAnsi="Times New Roman" w:cs="Times New Roman"/>
          <w:sz w:val="20"/>
          <w:szCs w:val="20"/>
        </w:rPr>
        <w:t xml:space="preserve"> 15 years of age and older</w:t>
      </w:r>
      <w:r w:rsidR="0099796D" w:rsidRPr="00A159CF">
        <w:rPr>
          <w:rFonts w:ascii="Times New Roman" w:hAnsi="Times New Roman" w:cs="Times New Roman"/>
          <w:sz w:val="20"/>
          <w:szCs w:val="20"/>
        </w:rPr>
        <w:t xml:space="preserve">. </w:t>
      </w:r>
      <w:r w:rsidRPr="00A159CF">
        <w:rPr>
          <w:rFonts w:ascii="Times New Roman" w:hAnsi="Times New Roman" w:cs="Times New Roman"/>
          <w:sz w:val="20"/>
          <w:szCs w:val="20"/>
        </w:rPr>
        <w:t xml:space="preserve">After deleting observations with missing data, </w:t>
      </w:r>
      <w:r w:rsidR="001323B5" w:rsidRPr="00A159CF">
        <w:rPr>
          <w:rFonts w:ascii="Times New Roman" w:hAnsi="Times New Roman" w:cs="Times New Roman"/>
          <w:sz w:val="20"/>
          <w:szCs w:val="20"/>
        </w:rPr>
        <w:t xml:space="preserve">a total of 48067 women </w:t>
      </w:r>
      <w:r w:rsidR="00245810" w:rsidRPr="00A159CF">
        <w:rPr>
          <w:rFonts w:ascii="Times New Roman" w:hAnsi="Times New Roman" w:cs="Times New Roman"/>
          <w:sz w:val="20"/>
          <w:szCs w:val="20"/>
        </w:rPr>
        <w:t>were</w:t>
      </w:r>
      <w:r w:rsidR="001323B5" w:rsidRPr="00A159CF">
        <w:rPr>
          <w:rFonts w:ascii="Times New Roman" w:hAnsi="Times New Roman" w:cs="Times New Roman"/>
          <w:sz w:val="20"/>
          <w:szCs w:val="20"/>
        </w:rPr>
        <w:t xml:space="preserve"> left and that formed </w:t>
      </w:r>
      <w:r w:rsidRPr="00A159CF">
        <w:rPr>
          <w:rFonts w:ascii="Times New Roman" w:hAnsi="Times New Roman" w:cs="Times New Roman"/>
          <w:sz w:val="20"/>
          <w:szCs w:val="20"/>
        </w:rPr>
        <w:t xml:space="preserve">the sample </w:t>
      </w:r>
      <w:r w:rsidR="00245810" w:rsidRPr="00A159CF">
        <w:rPr>
          <w:rFonts w:ascii="Times New Roman" w:hAnsi="Times New Roman" w:cs="Times New Roman"/>
          <w:sz w:val="20"/>
          <w:szCs w:val="20"/>
        </w:rPr>
        <w:t>of this</w:t>
      </w:r>
      <w:r w:rsidR="001323B5" w:rsidRPr="00A159CF">
        <w:rPr>
          <w:rFonts w:ascii="Times New Roman" w:hAnsi="Times New Roman" w:cs="Times New Roman"/>
          <w:sz w:val="20"/>
          <w:szCs w:val="20"/>
        </w:rPr>
        <w:t xml:space="preserve"> study.</w:t>
      </w:r>
    </w:p>
    <w:p w:rsidR="00127FF2" w:rsidRPr="00A159CF" w:rsidRDefault="00127FF2" w:rsidP="00A159CF">
      <w:pPr>
        <w:autoSpaceDE w:val="0"/>
        <w:autoSpaceDN w:val="0"/>
        <w:adjustRightInd w:val="0"/>
        <w:snapToGrid w:val="0"/>
        <w:spacing w:after="0" w:line="240" w:lineRule="auto"/>
        <w:jc w:val="both"/>
        <w:rPr>
          <w:rFonts w:ascii="Times New Roman" w:hAnsi="Times New Roman" w:cs="Times New Roman"/>
          <w:b/>
          <w:bCs/>
          <w:sz w:val="20"/>
          <w:szCs w:val="20"/>
        </w:rPr>
      </w:pPr>
      <w:r w:rsidRPr="00A159CF">
        <w:rPr>
          <w:rFonts w:ascii="Times New Roman" w:hAnsi="Times New Roman" w:cs="Times New Roman"/>
          <w:b/>
          <w:bCs/>
          <w:sz w:val="20"/>
          <w:szCs w:val="20"/>
        </w:rPr>
        <w:t>Theoretical Framework and Model Specification</w:t>
      </w:r>
    </w:p>
    <w:p w:rsidR="00A159CF" w:rsidRDefault="00C45446" w:rsidP="00A159C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159CF">
        <w:rPr>
          <w:rFonts w:ascii="Times New Roman" w:hAnsi="Times New Roman" w:cs="Times New Roman"/>
          <w:sz w:val="20"/>
          <w:szCs w:val="20"/>
        </w:rPr>
        <w:t>The wage of women workers</w:t>
      </w:r>
      <w:r w:rsidRPr="00A159CF">
        <w:rPr>
          <w:rFonts w:ascii="Times New Roman" w:hAnsi="Times New Roman" w:cs="Times New Roman"/>
          <w:b/>
          <w:bCs/>
          <w:sz w:val="20"/>
          <w:szCs w:val="20"/>
        </w:rPr>
        <w:t xml:space="preserve"> </w:t>
      </w:r>
      <w:r w:rsidR="00127FF2" w:rsidRPr="00A159CF">
        <w:rPr>
          <w:rFonts w:ascii="Times New Roman" w:hAnsi="Times New Roman" w:cs="Times New Roman"/>
          <w:sz w:val="20"/>
          <w:szCs w:val="20"/>
        </w:rPr>
        <w:t>both</w:t>
      </w:r>
      <w:r w:rsidRPr="00A159CF">
        <w:rPr>
          <w:rFonts w:ascii="Times New Roman" w:hAnsi="Times New Roman" w:cs="Times New Roman"/>
          <w:sz w:val="20"/>
          <w:szCs w:val="20"/>
        </w:rPr>
        <w:t xml:space="preserve"> in</w:t>
      </w:r>
      <w:r w:rsidR="00127FF2" w:rsidRPr="00A159CF">
        <w:rPr>
          <w:rFonts w:ascii="Times New Roman" w:hAnsi="Times New Roman" w:cs="Times New Roman"/>
          <w:sz w:val="20"/>
          <w:szCs w:val="20"/>
        </w:rPr>
        <w:t xml:space="preserve"> classical and neoclassical economic theory, can be expressed as a function of education, </w:t>
      </w:r>
      <w:r w:rsidR="00227791" w:rsidRPr="00A159CF">
        <w:rPr>
          <w:rFonts w:ascii="Times New Roman" w:hAnsi="Times New Roman" w:cs="Times New Roman"/>
          <w:sz w:val="20"/>
          <w:szCs w:val="20"/>
        </w:rPr>
        <w:t>work</w:t>
      </w:r>
      <w:r w:rsidR="00127FF2" w:rsidRPr="00A159CF">
        <w:rPr>
          <w:rFonts w:ascii="Times New Roman" w:hAnsi="Times New Roman" w:cs="Times New Roman"/>
          <w:sz w:val="20"/>
          <w:szCs w:val="20"/>
        </w:rPr>
        <w:t xml:space="preserve"> ex</w:t>
      </w:r>
      <w:r w:rsidR="00504A08" w:rsidRPr="00A159CF">
        <w:rPr>
          <w:rFonts w:ascii="Times New Roman" w:hAnsi="Times New Roman" w:cs="Times New Roman"/>
          <w:sz w:val="20"/>
          <w:szCs w:val="20"/>
        </w:rPr>
        <w:t xml:space="preserve">perience, number of children </w:t>
      </w:r>
      <w:r w:rsidR="00127FF2" w:rsidRPr="00A159CF">
        <w:rPr>
          <w:rFonts w:ascii="Times New Roman" w:hAnsi="Times New Roman" w:cs="Times New Roman"/>
          <w:sz w:val="20"/>
          <w:szCs w:val="20"/>
        </w:rPr>
        <w:t>and other shifters to account for</w:t>
      </w:r>
      <w:r w:rsidR="00EE6F8F" w:rsidRPr="00A159CF">
        <w:rPr>
          <w:rFonts w:ascii="Times New Roman" w:hAnsi="Times New Roman" w:cs="Times New Roman"/>
          <w:sz w:val="20"/>
          <w:szCs w:val="20"/>
        </w:rPr>
        <w:t xml:space="preserve"> </w:t>
      </w:r>
      <w:r w:rsidR="00127FF2" w:rsidRPr="00A159CF">
        <w:rPr>
          <w:rFonts w:ascii="Times New Roman" w:hAnsi="Times New Roman" w:cs="Times New Roman"/>
          <w:sz w:val="20"/>
          <w:szCs w:val="20"/>
        </w:rPr>
        <w:t>dynamics and time trend.</w:t>
      </w:r>
    </w:p>
    <w:p w:rsidR="000153C8" w:rsidRPr="00A159CF" w:rsidRDefault="000153C8" w:rsidP="00A159CF">
      <w:pPr>
        <w:autoSpaceDE w:val="0"/>
        <w:autoSpaceDN w:val="0"/>
        <w:adjustRightInd w:val="0"/>
        <w:snapToGrid w:val="0"/>
        <w:spacing w:after="0" w:line="240" w:lineRule="auto"/>
        <w:ind w:firstLine="425"/>
        <w:jc w:val="both"/>
        <w:rPr>
          <w:rFonts w:ascii="Times New Roman" w:eastAsiaTheme="minorHAnsi" w:hAnsi="Times New Roman" w:cs="Times New Roman"/>
          <w:b/>
          <w:sz w:val="20"/>
          <w:szCs w:val="20"/>
        </w:rPr>
      </w:pPr>
      <w:r w:rsidRPr="00A159CF">
        <w:rPr>
          <w:rFonts w:ascii="Times New Roman" w:hAnsi="Times New Roman" w:cs="Times New Roman"/>
          <w:sz w:val="20"/>
          <w:szCs w:val="20"/>
        </w:rPr>
        <w:t xml:space="preserve">Following </w:t>
      </w:r>
      <w:proofErr w:type="spellStart"/>
      <w:r w:rsidRPr="00A159CF">
        <w:rPr>
          <w:rFonts w:ascii="Times New Roman" w:hAnsi="Times New Roman" w:cs="Times New Roman"/>
          <w:sz w:val="20"/>
          <w:szCs w:val="20"/>
        </w:rPr>
        <w:t>Olorunfemi</w:t>
      </w:r>
      <w:proofErr w:type="spellEnd"/>
      <w:r w:rsidRPr="00A159CF">
        <w:rPr>
          <w:rFonts w:ascii="Times New Roman" w:hAnsi="Times New Roman" w:cs="Times New Roman"/>
          <w:sz w:val="20"/>
          <w:szCs w:val="20"/>
        </w:rPr>
        <w:t xml:space="preserve"> and </w:t>
      </w:r>
      <w:proofErr w:type="spellStart"/>
      <w:r w:rsidRPr="00A159CF">
        <w:rPr>
          <w:rFonts w:ascii="Times New Roman" w:hAnsi="Times New Roman" w:cs="Times New Roman"/>
          <w:sz w:val="20"/>
          <w:szCs w:val="20"/>
        </w:rPr>
        <w:t>Olowofeso</w:t>
      </w:r>
      <w:proofErr w:type="spellEnd"/>
      <w:r w:rsidR="00127FF2" w:rsidRPr="00A159CF">
        <w:rPr>
          <w:rFonts w:ascii="Times New Roman" w:hAnsi="Times New Roman" w:cs="Times New Roman"/>
          <w:sz w:val="20"/>
          <w:szCs w:val="20"/>
        </w:rPr>
        <w:t xml:space="preserve"> </w:t>
      </w:r>
      <w:r w:rsidRPr="00A159CF">
        <w:rPr>
          <w:rFonts w:ascii="Times New Roman" w:hAnsi="Times New Roman" w:cs="Times New Roman"/>
          <w:sz w:val="20"/>
          <w:szCs w:val="20"/>
        </w:rPr>
        <w:t>(2007) t</w:t>
      </w:r>
      <w:r w:rsidRPr="00A159CF">
        <w:rPr>
          <w:rFonts w:ascii="Times New Roman" w:eastAsiaTheme="minorHAnsi" w:hAnsi="Times New Roman" w:cs="Times New Roman"/>
          <w:sz w:val="20"/>
          <w:szCs w:val="20"/>
        </w:rPr>
        <w:t xml:space="preserve">he Heckman model was used to </w:t>
      </w:r>
      <w:proofErr w:type="spellStart"/>
      <w:r w:rsidRPr="00A159CF">
        <w:rPr>
          <w:rFonts w:ascii="Times New Roman" w:eastAsiaTheme="minorHAnsi" w:hAnsi="Times New Roman" w:cs="Times New Roman"/>
          <w:sz w:val="20"/>
          <w:szCs w:val="20"/>
        </w:rPr>
        <w:t>analyse</w:t>
      </w:r>
      <w:proofErr w:type="spellEnd"/>
      <w:r w:rsidRPr="00A159CF">
        <w:rPr>
          <w:rFonts w:ascii="Times New Roman" w:eastAsiaTheme="minorHAnsi" w:hAnsi="Times New Roman" w:cs="Times New Roman"/>
          <w:sz w:val="20"/>
          <w:szCs w:val="20"/>
        </w:rPr>
        <w:t xml:space="preserve"> the effect of education on female earning. The model represents the classic way for dealing with selection on unobservable variables. The selection on unobservable occurs when the error term in the outcome equation is correlated with the treatment, or with the selection into the sample being used for estimation. The sample selectivity is an acute problem in cross section when studying the </w:t>
      </w:r>
      <w:proofErr w:type="spellStart"/>
      <w:r w:rsidRPr="00A159CF">
        <w:rPr>
          <w:rFonts w:ascii="Times New Roman" w:eastAsiaTheme="minorHAnsi" w:hAnsi="Times New Roman" w:cs="Times New Roman"/>
          <w:sz w:val="20"/>
          <w:szCs w:val="20"/>
        </w:rPr>
        <w:t>labour</w:t>
      </w:r>
      <w:proofErr w:type="spellEnd"/>
      <w:r w:rsidRPr="00A159CF">
        <w:rPr>
          <w:rFonts w:ascii="Times New Roman" w:eastAsiaTheme="minorHAnsi" w:hAnsi="Times New Roman" w:cs="Times New Roman"/>
          <w:sz w:val="20"/>
          <w:szCs w:val="20"/>
        </w:rPr>
        <w:t xml:space="preserve"> participation.</w:t>
      </w:r>
    </w:p>
    <w:p w:rsidR="000153C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lastRenderedPageBreak/>
        <w:t>The difference between workers and non-workers determines the sample selection bias because some components of the work decision are relevant to the wage determining the process and the unobservable characteristics that affect the work decision and the wage.</w:t>
      </w:r>
    </w:p>
    <w:p w:rsidR="000153C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The usual setup is as follows. The wage equation is written as:</w:t>
      </w:r>
    </w:p>
    <w:p w:rsidR="000153C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object w:dxaOrig="1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18.15pt" o:ole="">
            <v:imagedata r:id="rId12" o:title=""/>
          </v:shape>
          <o:OLEObject Type="Embed" ProgID="Equation.3" ShapeID="_x0000_i1025" DrawAspect="Content" ObjectID="_1451330484" r:id="rId13"/>
        </w:object>
      </w:r>
      <w:r w:rsidRPr="00A159CF">
        <w:rPr>
          <w:rFonts w:ascii="Times New Roman" w:hAnsi="Times New Roman" w:cs="Times New Roman"/>
          <w:sz w:val="20"/>
          <w:szCs w:val="20"/>
        </w:rPr>
        <w:t xml:space="preserve">     -------------------------</w:t>
      </w:r>
      <w:r w:rsidR="00245810" w:rsidRPr="00A159CF">
        <w:rPr>
          <w:rFonts w:ascii="Times New Roman" w:hAnsi="Times New Roman" w:cs="Times New Roman"/>
          <w:sz w:val="20"/>
          <w:szCs w:val="20"/>
        </w:rPr>
        <w:t>1</w:t>
      </w:r>
    </w:p>
    <w:p w:rsidR="000153C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where W is the hourly wage and is observed only for working women, X are observed variables related to productivity and "</w:t>
      </w:r>
      <w:proofErr w:type="spellStart"/>
      <w:r w:rsidRPr="00A159CF">
        <w:rPr>
          <w:rFonts w:ascii="Times New Roman" w:hAnsi="Times New Roman" w:cs="Times New Roman"/>
          <w:sz w:val="20"/>
          <w:szCs w:val="20"/>
        </w:rPr>
        <w:t>i</w:t>
      </w:r>
      <w:proofErr w:type="spellEnd"/>
      <w:r w:rsidRPr="00A159CF">
        <w:rPr>
          <w:rFonts w:ascii="Times New Roman" w:hAnsi="Times New Roman" w:cs="Times New Roman"/>
          <w:sz w:val="20"/>
          <w:szCs w:val="20"/>
        </w:rPr>
        <w:t xml:space="preserve"> is the error term that includes all unobserved determinants of wages; it does not matter whether X is observed for just workers or for everyone, as this information will only be</w:t>
      </w:r>
      <w:r w:rsidR="00963B56" w:rsidRPr="00A159CF">
        <w:rPr>
          <w:rFonts w:ascii="Times New Roman" w:hAnsi="Times New Roman" w:cs="Times New Roman"/>
          <w:sz w:val="20"/>
          <w:szCs w:val="20"/>
        </w:rPr>
        <w:t xml:space="preserve"> </w:t>
      </w:r>
      <w:r w:rsidRPr="00A159CF">
        <w:rPr>
          <w:rFonts w:ascii="Times New Roman" w:hAnsi="Times New Roman" w:cs="Times New Roman"/>
          <w:sz w:val="20"/>
          <w:szCs w:val="20"/>
        </w:rPr>
        <w:t>used for workers.</w:t>
      </w:r>
    </w:p>
    <w:p w:rsidR="000153C8" w:rsidRPr="00A159CF" w:rsidRDefault="003C616F"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The </w:t>
      </w:r>
      <w:r w:rsidR="000153C8" w:rsidRPr="00A159CF">
        <w:rPr>
          <w:rFonts w:ascii="Times New Roman" w:hAnsi="Times New Roman" w:cs="Times New Roman"/>
          <w:sz w:val="20"/>
          <w:szCs w:val="20"/>
        </w:rPr>
        <w:t>Heckman model requires the following assumptions:</w:t>
      </w:r>
    </w:p>
    <w:p w:rsidR="000153C8" w:rsidRPr="00A159CF" w:rsidRDefault="000153C8" w:rsidP="00A159CF">
      <w:pPr>
        <w:pStyle w:val="ListParagraph"/>
        <w:numPr>
          <w:ilvl w:val="0"/>
          <w:numId w:val="1"/>
        </w:numPr>
        <w:autoSpaceDE w:val="0"/>
        <w:autoSpaceDN w:val="0"/>
        <w:adjustRightInd w:val="0"/>
        <w:snapToGrid w:val="0"/>
        <w:spacing w:after="0" w:line="240" w:lineRule="auto"/>
        <w:ind w:left="0" w:firstLine="425"/>
        <w:jc w:val="both"/>
        <w:rPr>
          <w:rFonts w:ascii="Times New Roman" w:eastAsiaTheme="minorHAnsi" w:hAnsi="Times New Roman" w:cs="Times New Roman"/>
          <w:sz w:val="20"/>
          <w:szCs w:val="20"/>
        </w:rPr>
      </w:pPr>
      <w:r w:rsidRPr="00A159CF">
        <w:rPr>
          <w:rFonts w:ascii="Times New Roman" w:eastAsiaTheme="minorHAnsi" w:hAnsi="Times New Roman" w:cs="Times New Roman"/>
          <w:sz w:val="20"/>
          <w:szCs w:val="20"/>
        </w:rPr>
        <w:t>(</w:t>
      </w:r>
      <w:proofErr w:type="spellStart"/>
      <w:r w:rsidRPr="00A159CF">
        <w:rPr>
          <w:rFonts w:ascii="Times New Roman" w:eastAsiaTheme="minorHAnsi" w:hAnsi="Times New Roman" w:cs="Times New Roman"/>
          <w:sz w:val="20"/>
          <w:szCs w:val="20"/>
        </w:rPr>
        <w:t>ɛ,μ</w:t>
      </w:r>
      <w:proofErr w:type="spellEnd"/>
      <w:r w:rsidRPr="00A159CF">
        <w:rPr>
          <w:rFonts w:ascii="Times New Roman" w:eastAsiaTheme="minorHAnsi" w:hAnsi="Times New Roman" w:cs="Times New Roman"/>
          <w:sz w:val="20"/>
          <w:szCs w:val="20"/>
        </w:rPr>
        <w:t>) ~N(0, 0, σ</w:t>
      </w:r>
      <w:r w:rsidRPr="00A159CF">
        <w:rPr>
          <w:rFonts w:ascii="Times New Roman" w:eastAsiaTheme="minorHAnsi" w:hAnsi="Times New Roman" w:cs="Times New Roman"/>
          <w:sz w:val="20"/>
          <w:szCs w:val="20"/>
          <w:vertAlign w:val="subscript"/>
        </w:rPr>
        <w:t>ɛ</w:t>
      </w:r>
      <w:r w:rsidRPr="00A159CF">
        <w:rPr>
          <w:rFonts w:ascii="Times New Roman" w:eastAsiaTheme="minorHAnsi" w:hAnsi="Times New Roman" w:cs="Times New Roman"/>
          <w:sz w:val="20"/>
          <w:szCs w:val="20"/>
          <w:vertAlign w:val="superscript"/>
        </w:rPr>
        <w:t>2</w:t>
      </w:r>
      <w:r w:rsidRPr="00A159CF">
        <w:rPr>
          <w:rFonts w:ascii="Times New Roman" w:eastAsiaTheme="minorHAnsi" w:hAnsi="Times New Roman" w:cs="Times New Roman"/>
          <w:sz w:val="20"/>
          <w:szCs w:val="20"/>
        </w:rPr>
        <w:t>, σ</w:t>
      </w:r>
      <w:r w:rsidRPr="00A159CF">
        <w:rPr>
          <w:rFonts w:ascii="Times New Roman" w:eastAsiaTheme="minorHAnsi" w:hAnsi="Times New Roman" w:cs="Times New Roman"/>
          <w:sz w:val="20"/>
          <w:szCs w:val="20"/>
          <w:vertAlign w:val="subscript"/>
        </w:rPr>
        <w:t>μ</w:t>
      </w:r>
      <w:r w:rsidRPr="00A159CF">
        <w:rPr>
          <w:rFonts w:ascii="Times New Roman" w:eastAsiaTheme="minorHAnsi" w:hAnsi="Times New Roman" w:cs="Times New Roman"/>
          <w:sz w:val="20"/>
          <w:szCs w:val="20"/>
          <w:vertAlign w:val="superscript"/>
        </w:rPr>
        <w:t>2</w:t>
      </w:r>
      <w:r w:rsidRPr="00A159CF">
        <w:rPr>
          <w:rFonts w:ascii="Times New Roman" w:eastAsiaTheme="minorHAnsi" w:hAnsi="Times New Roman" w:cs="Times New Roman"/>
          <w:sz w:val="20"/>
          <w:szCs w:val="20"/>
        </w:rPr>
        <w:t>,ρ</w:t>
      </w:r>
      <w:r w:rsidRPr="00A159CF">
        <w:rPr>
          <w:rFonts w:ascii="Times New Roman" w:eastAsiaTheme="minorHAnsi" w:hAnsi="Times New Roman" w:cs="Times New Roman"/>
          <w:sz w:val="20"/>
          <w:szCs w:val="20"/>
          <w:vertAlign w:val="subscript"/>
        </w:rPr>
        <w:t xml:space="preserve">ɛμ </w:t>
      </w:r>
      <w:r w:rsidRPr="00A159CF">
        <w:rPr>
          <w:rFonts w:ascii="Times New Roman" w:eastAsiaTheme="minorHAnsi" w:hAnsi="Times New Roman" w:cs="Times New Roman"/>
          <w:sz w:val="20"/>
          <w:szCs w:val="20"/>
        </w:rPr>
        <w:t>);</w:t>
      </w:r>
    </w:p>
    <w:p w:rsidR="000153C8" w:rsidRPr="00A159CF" w:rsidRDefault="000153C8" w:rsidP="00A159CF">
      <w:pPr>
        <w:pStyle w:val="ListParagraph"/>
        <w:numPr>
          <w:ilvl w:val="0"/>
          <w:numId w:val="1"/>
        </w:numPr>
        <w:autoSpaceDE w:val="0"/>
        <w:autoSpaceDN w:val="0"/>
        <w:adjustRightInd w:val="0"/>
        <w:snapToGrid w:val="0"/>
        <w:spacing w:after="0" w:line="240" w:lineRule="auto"/>
        <w:ind w:left="0" w:firstLine="425"/>
        <w:jc w:val="both"/>
        <w:rPr>
          <w:rFonts w:ascii="Times New Roman" w:eastAsiaTheme="minorHAnsi" w:hAnsi="Times New Roman" w:cs="Times New Roman"/>
          <w:sz w:val="20"/>
          <w:szCs w:val="20"/>
        </w:rPr>
      </w:pPr>
      <w:r w:rsidRPr="00A159CF">
        <w:rPr>
          <w:rFonts w:ascii="Times New Roman" w:eastAsiaTheme="minorHAnsi" w:hAnsi="Times New Roman" w:cs="Times New Roman"/>
          <w:sz w:val="20"/>
          <w:szCs w:val="20"/>
        </w:rPr>
        <w:t>(</w:t>
      </w:r>
      <w:proofErr w:type="spellStart"/>
      <w:r w:rsidRPr="00A159CF">
        <w:rPr>
          <w:rFonts w:ascii="Times New Roman" w:eastAsiaTheme="minorHAnsi" w:hAnsi="Times New Roman" w:cs="Times New Roman"/>
          <w:sz w:val="20"/>
          <w:szCs w:val="20"/>
        </w:rPr>
        <w:t>ɛ,μ</w:t>
      </w:r>
      <w:proofErr w:type="spellEnd"/>
      <w:r w:rsidRPr="00A159CF">
        <w:rPr>
          <w:rFonts w:ascii="Times New Roman" w:eastAsiaTheme="minorHAnsi" w:hAnsi="Times New Roman" w:cs="Times New Roman"/>
          <w:sz w:val="20"/>
          <w:szCs w:val="20"/>
        </w:rPr>
        <w:t>),</w:t>
      </w:r>
    </w:p>
    <w:p w:rsidR="000153C8" w:rsidRPr="00A159CF" w:rsidRDefault="000153C8" w:rsidP="00A159CF">
      <w:pPr>
        <w:pStyle w:val="ListParagraph"/>
        <w:numPr>
          <w:ilvl w:val="0"/>
          <w:numId w:val="1"/>
        </w:numPr>
        <w:autoSpaceDE w:val="0"/>
        <w:autoSpaceDN w:val="0"/>
        <w:adjustRightInd w:val="0"/>
        <w:snapToGrid w:val="0"/>
        <w:spacing w:after="0" w:line="240" w:lineRule="auto"/>
        <w:ind w:left="0" w:firstLine="425"/>
        <w:jc w:val="both"/>
        <w:rPr>
          <w:rFonts w:ascii="Times New Roman" w:eastAsiaTheme="minorHAnsi" w:hAnsi="Times New Roman" w:cs="Times New Roman"/>
          <w:sz w:val="20"/>
          <w:szCs w:val="20"/>
        </w:rPr>
      </w:pPr>
      <w:proofErr w:type="spellStart"/>
      <w:r w:rsidRPr="00A159CF">
        <w:rPr>
          <w:rFonts w:ascii="Times New Roman" w:eastAsiaTheme="minorHAnsi" w:hAnsi="Times New Roman" w:cs="Times New Roman"/>
          <w:sz w:val="20"/>
          <w:szCs w:val="20"/>
        </w:rPr>
        <w:t>Var</w:t>
      </w:r>
      <w:proofErr w:type="spellEnd"/>
      <w:r w:rsidRPr="00A159CF">
        <w:rPr>
          <w:rFonts w:ascii="Times New Roman" w:eastAsiaTheme="minorHAnsi" w:hAnsi="Times New Roman" w:cs="Times New Roman"/>
          <w:sz w:val="20"/>
          <w:szCs w:val="20"/>
        </w:rPr>
        <w:t xml:space="preserve"> μ = σ</w:t>
      </w:r>
      <w:r w:rsidRPr="00A159CF">
        <w:rPr>
          <w:rFonts w:ascii="Times New Roman" w:eastAsiaTheme="minorHAnsi" w:hAnsi="Times New Roman" w:cs="Times New Roman"/>
          <w:sz w:val="20"/>
          <w:szCs w:val="20"/>
          <w:vertAlign w:val="subscript"/>
        </w:rPr>
        <w:t>μ</w:t>
      </w:r>
      <w:r w:rsidRPr="00A159CF">
        <w:rPr>
          <w:rFonts w:ascii="Times New Roman" w:eastAsiaTheme="minorHAnsi" w:hAnsi="Times New Roman" w:cs="Times New Roman"/>
          <w:sz w:val="20"/>
          <w:szCs w:val="20"/>
          <w:vertAlign w:val="superscript"/>
        </w:rPr>
        <w:t>2</w:t>
      </w:r>
      <w:r w:rsidRPr="00A159CF">
        <w:rPr>
          <w:rFonts w:ascii="Times New Roman" w:eastAsiaTheme="minorHAnsi" w:hAnsi="Times New Roman" w:cs="Times New Roman"/>
          <w:sz w:val="20"/>
          <w:szCs w:val="20"/>
        </w:rPr>
        <w:t xml:space="preserve"> =1</w:t>
      </w:r>
    </w:p>
    <w:p w:rsidR="00C07B3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The first assumption represents a very strong functional form assumption-namely joint normality of the distribution of the error terms in the participation and outcome equations. The second equation assumes that both error terms are independent of both sets of observable variables. The final assumption is the standard normalization for the </w:t>
      </w:r>
      <w:proofErr w:type="spellStart"/>
      <w:r w:rsidRPr="00A159CF">
        <w:rPr>
          <w:rFonts w:ascii="Times New Roman" w:hAnsi="Times New Roman" w:cs="Times New Roman"/>
          <w:sz w:val="20"/>
          <w:szCs w:val="20"/>
        </w:rPr>
        <w:t>probit</w:t>
      </w:r>
      <w:proofErr w:type="spellEnd"/>
      <w:r w:rsidRPr="00A159CF">
        <w:rPr>
          <w:rFonts w:ascii="Times New Roman" w:hAnsi="Times New Roman" w:cs="Times New Roman"/>
          <w:sz w:val="20"/>
          <w:szCs w:val="20"/>
        </w:rPr>
        <w:t xml:space="preserve"> selection equation, which is identified only up to scale. Now if we take the expectations of the wage equation conditional on working we have</w:t>
      </w:r>
    </w:p>
    <w:p w:rsidR="000153C8" w:rsidRPr="00A159CF" w:rsidRDefault="00F27B7D" w:rsidP="00067E14">
      <w:pPr>
        <w:autoSpaceDE w:val="0"/>
        <w:autoSpaceDN w:val="0"/>
        <w:adjustRightInd w:val="0"/>
        <w:snapToGrid w:val="0"/>
        <w:spacing w:after="0" w:line="240" w:lineRule="auto"/>
        <w:jc w:val="both"/>
        <w:rPr>
          <w:rFonts w:ascii="Times New Roman" w:hAnsi="Times New Roman" w:cs="Times New Roman"/>
          <w:sz w:val="20"/>
          <w:szCs w:val="20"/>
        </w:rPr>
      </w:pPr>
      <w:r w:rsidRPr="00A159CF">
        <w:rPr>
          <w:rFonts w:ascii="Times New Roman" w:hAnsi="Times New Roman" w:cs="Times New Roman"/>
          <w:sz w:val="20"/>
          <w:szCs w:val="20"/>
        </w:rPr>
        <w:t>E (</w:t>
      </w:r>
      <w:proofErr w:type="spellStart"/>
      <w:r w:rsidR="000153C8" w:rsidRPr="00A159CF">
        <w:rPr>
          <w:rFonts w:ascii="Times New Roman" w:hAnsi="Times New Roman" w:cs="Times New Roman"/>
          <w:sz w:val="20"/>
          <w:szCs w:val="20"/>
        </w:rPr>
        <w:t>W</w:t>
      </w:r>
      <w:r w:rsidR="000153C8" w:rsidRPr="00A159CF">
        <w:rPr>
          <w:rFonts w:ascii="Times New Roman" w:hAnsi="Times New Roman" w:cs="Times New Roman"/>
          <w:sz w:val="20"/>
          <w:szCs w:val="20"/>
          <w:vertAlign w:val="subscript"/>
        </w:rPr>
        <w:t>i</w:t>
      </w:r>
      <w:r w:rsidR="000153C8" w:rsidRPr="00A159CF">
        <w:rPr>
          <w:rFonts w:ascii="Times New Roman" w:hAnsi="Times New Roman" w:cs="Times New Roman"/>
          <w:sz w:val="20"/>
          <w:szCs w:val="20"/>
        </w:rPr>
        <w:t>/ϖ</w:t>
      </w:r>
      <w:r w:rsidR="000153C8" w:rsidRPr="00A159CF">
        <w:rPr>
          <w:rFonts w:ascii="Times New Roman" w:hAnsi="Times New Roman" w:cs="Times New Roman"/>
          <w:sz w:val="20"/>
          <w:szCs w:val="20"/>
          <w:vertAlign w:val="subscript"/>
        </w:rPr>
        <w:t>i</w:t>
      </w:r>
      <w:proofErr w:type="spellEnd"/>
      <w:r w:rsidRPr="00A159CF">
        <w:rPr>
          <w:rFonts w:ascii="Times New Roman" w:hAnsi="Times New Roman" w:cs="Times New Roman"/>
          <w:sz w:val="20"/>
          <w:szCs w:val="20"/>
        </w:rPr>
        <w:t>, Xi</w:t>
      </w:r>
      <w:r w:rsidR="000153C8" w:rsidRPr="00A159CF">
        <w:rPr>
          <w:rFonts w:ascii="Times New Roman" w:hAnsi="Times New Roman" w:cs="Times New Roman"/>
          <w:sz w:val="20"/>
          <w:szCs w:val="20"/>
        </w:rPr>
        <w:t xml:space="preserve">) = </w:t>
      </w:r>
      <w:r w:rsidRPr="00A159CF">
        <w:rPr>
          <w:rFonts w:ascii="Times New Roman" w:hAnsi="Times New Roman" w:cs="Times New Roman"/>
          <w:sz w:val="20"/>
          <w:szCs w:val="20"/>
        </w:rPr>
        <w:t>E (</w:t>
      </w:r>
      <w:proofErr w:type="spellStart"/>
      <w:r w:rsidR="000153C8" w:rsidRPr="00A159CF">
        <w:rPr>
          <w:rFonts w:ascii="Times New Roman" w:hAnsi="Times New Roman" w:cs="Times New Roman"/>
          <w:sz w:val="20"/>
          <w:szCs w:val="20"/>
        </w:rPr>
        <w:t>W</w:t>
      </w:r>
      <w:r w:rsidR="000153C8" w:rsidRPr="00A159CF">
        <w:rPr>
          <w:rFonts w:ascii="Times New Roman" w:hAnsi="Times New Roman" w:cs="Times New Roman"/>
          <w:sz w:val="20"/>
          <w:szCs w:val="20"/>
          <w:vertAlign w:val="subscript"/>
        </w:rPr>
        <w:t>i</w:t>
      </w:r>
      <w:r w:rsidR="000153C8" w:rsidRPr="00A159CF">
        <w:rPr>
          <w:rFonts w:ascii="Times New Roman" w:hAnsi="Times New Roman" w:cs="Times New Roman"/>
          <w:sz w:val="20"/>
          <w:szCs w:val="20"/>
        </w:rPr>
        <w:t>/Z</w:t>
      </w:r>
      <w:r w:rsidR="000153C8" w:rsidRPr="00A159CF">
        <w:rPr>
          <w:rFonts w:ascii="Times New Roman" w:hAnsi="Times New Roman" w:cs="Times New Roman"/>
          <w:sz w:val="20"/>
          <w:szCs w:val="20"/>
          <w:vertAlign w:val="subscript"/>
        </w:rPr>
        <w:t>i</w:t>
      </w:r>
      <w:proofErr w:type="spellEnd"/>
      <w:r w:rsidRPr="00A159CF">
        <w:rPr>
          <w:rFonts w:ascii="Times New Roman" w:hAnsi="Times New Roman" w:cs="Times New Roman"/>
          <w:sz w:val="20"/>
          <w:szCs w:val="20"/>
        </w:rPr>
        <w:t>,</w:t>
      </w:r>
      <w:r w:rsidRPr="00A159CF">
        <w:rPr>
          <w:rFonts w:ascii="Times New Roman" w:hAnsi="Times New Roman" w:cs="Times New Roman"/>
          <w:sz w:val="20"/>
          <w:szCs w:val="20"/>
          <w:vertAlign w:val="subscript"/>
        </w:rPr>
        <w:t xml:space="preserve"> Xi</w:t>
      </w:r>
      <w:r w:rsidR="000153C8" w:rsidRPr="00A159CF">
        <w:rPr>
          <w:rFonts w:ascii="Times New Roman" w:hAnsi="Times New Roman" w:cs="Times New Roman"/>
          <w:sz w:val="20"/>
          <w:szCs w:val="20"/>
        </w:rPr>
        <w:t xml:space="preserve">, </w:t>
      </w:r>
      <w:proofErr w:type="spellStart"/>
      <w:r w:rsidR="000153C8" w:rsidRPr="00A159CF">
        <w:rPr>
          <w:rFonts w:ascii="Times New Roman" w:hAnsi="Times New Roman" w:cs="Times New Roman"/>
          <w:sz w:val="20"/>
          <w:szCs w:val="20"/>
        </w:rPr>
        <w:t>μ</w:t>
      </w:r>
      <w:r w:rsidR="000153C8" w:rsidRPr="00A159CF">
        <w:rPr>
          <w:rFonts w:ascii="Times New Roman" w:hAnsi="Times New Roman" w:cs="Times New Roman"/>
          <w:sz w:val="20"/>
          <w:szCs w:val="20"/>
          <w:vertAlign w:val="subscript"/>
        </w:rPr>
        <w:t>i</w:t>
      </w:r>
      <w:proofErr w:type="spellEnd"/>
      <w:r w:rsidR="000153C8" w:rsidRPr="00A159CF">
        <w:rPr>
          <w:rFonts w:ascii="Times New Roman" w:hAnsi="Times New Roman" w:cs="Times New Roman"/>
          <w:sz w:val="20"/>
          <w:szCs w:val="20"/>
        </w:rPr>
        <w:t>) = _X</w:t>
      </w:r>
      <w:r w:rsidR="000153C8" w:rsidRPr="00A159CF">
        <w:rPr>
          <w:rFonts w:ascii="Times New Roman" w:hAnsi="Times New Roman" w:cs="Times New Roman"/>
          <w:sz w:val="20"/>
          <w:szCs w:val="20"/>
          <w:vertAlign w:val="subscript"/>
        </w:rPr>
        <w:t>i</w:t>
      </w:r>
      <w:r w:rsidR="000153C8" w:rsidRPr="00A159CF">
        <w:rPr>
          <w:rFonts w:ascii="Times New Roman" w:hAnsi="Times New Roman" w:cs="Times New Roman"/>
          <w:sz w:val="20"/>
          <w:szCs w:val="20"/>
        </w:rPr>
        <w:t xml:space="preserve"> + </w:t>
      </w:r>
      <w:r w:rsidRPr="00A159CF">
        <w:rPr>
          <w:rFonts w:ascii="Times New Roman" w:hAnsi="Times New Roman" w:cs="Times New Roman"/>
          <w:sz w:val="20"/>
          <w:szCs w:val="20"/>
        </w:rPr>
        <w:t>E (</w:t>
      </w:r>
      <w:proofErr w:type="spellStart"/>
      <w:r w:rsidR="000153C8" w:rsidRPr="00A159CF">
        <w:rPr>
          <w:rFonts w:ascii="Times New Roman" w:hAnsi="Times New Roman" w:cs="Times New Roman"/>
          <w:sz w:val="20"/>
          <w:szCs w:val="20"/>
        </w:rPr>
        <w:t>W</w:t>
      </w:r>
      <w:r w:rsidR="000153C8" w:rsidRPr="00A159CF">
        <w:rPr>
          <w:rFonts w:ascii="Times New Roman" w:hAnsi="Times New Roman" w:cs="Times New Roman"/>
          <w:sz w:val="20"/>
          <w:szCs w:val="20"/>
          <w:vertAlign w:val="subscript"/>
        </w:rPr>
        <w:t>i</w:t>
      </w:r>
      <w:r w:rsidR="000153C8" w:rsidRPr="00A159CF">
        <w:rPr>
          <w:rFonts w:ascii="Times New Roman" w:hAnsi="Times New Roman" w:cs="Times New Roman"/>
          <w:sz w:val="20"/>
          <w:szCs w:val="20"/>
        </w:rPr>
        <w:t>/Z</w:t>
      </w:r>
      <w:r w:rsidR="000153C8" w:rsidRPr="00A159CF">
        <w:rPr>
          <w:rFonts w:ascii="Times New Roman" w:hAnsi="Times New Roman" w:cs="Times New Roman"/>
          <w:sz w:val="20"/>
          <w:szCs w:val="20"/>
          <w:vertAlign w:val="subscript"/>
        </w:rPr>
        <w:t>i</w:t>
      </w:r>
      <w:proofErr w:type="spellEnd"/>
      <w:r w:rsidRPr="00A159CF">
        <w:rPr>
          <w:rFonts w:ascii="Times New Roman" w:hAnsi="Times New Roman" w:cs="Times New Roman"/>
          <w:sz w:val="20"/>
          <w:szCs w:val="20"/>
        </w:rPr>
        <w:t>, Xi</w:t>
      </w:r>
      <w:r w:rsidR="000153C8" w:rsidRPr="00A159CF">
        <w:rPr>
          <w:rFonts w:ascii="Times New Roman" w:hAnsi="Times New Roman" w:cs="Times New Roman"/>
          <w:sz w:val="20"/>
          <w:szCs w:val="20"/>
        </w:rPr>
        <w:t xml:space="preserve">, </w:t>
      </w:r>
      <w:proofErr w:type="spellStart"/>
      <w:r w:rsidR="000153C8" w:rsidRPr="00A159CF">
        <w:rPr>
          <w:rFonts w:ascii="Times New Roman" w:hAnsi="Times New Roman" w:cs="Times New Roman"/>
          <w:sz w:val="20"/>
          <w:szCs w:val="20"/>
        </w:rPr>
        <w:t>μ</w:t>
      </w:r>
      <w:r w:rsidR="000153C8" w:rsidRPr="00A159CF">
        <w:rPr>
          <w:rFonts w:ascii="Times New Roman" w:hAnsi="Times New Roman" w:cs="Times New Roman"/>
          <w:sz w:val="20"/>
          <w:szCs w:val="20"/>
          <w:vertAlign w:val="subscript"/>
        </w:rPr>
        <w:t>i</w:t>
      </w:r>
      <w:proofErr w:type="spellEnd"/>
      <w:r w:rsidR="000153C8" w:rsidRPr="00A159CF">
        <w:rPr>
          <w:rFonts w:ascii="Times New Roman" w:hAnsi="Times New Roman" w:cs="Times New Roman"/>
          <w:sz w:val="20"/>
          <w:szCs w:val="20"/>
        </w:rPr>
        <w:t xml:space="preserve">) = </w:t>
      </w:r>
      <w:proofErr w:type="spellStart"/>
      <w:r w:rsidR="000153C8" w:rsidRPr="00A159CF">
        <w:rPr>
          <w:rFonts w:ascii="Times New Roman" w:hAnsi="Times New Roman" w:cs="Times New Roman"/>
          <w:sz w:val="20"/>
          <w:szCs w:val="20"/>
        </w:rPr>
        <w:t>βX</w:t>
      </w:r>
      <w:r w:rsidR="000153C8" w:rsidRPr="00A159CF">
        <w:rPr>
          <w:rFonts w:ascii="Times New Roman" w:hAnsi="Times New Roman" w:cs="Times New Roman"/>
          <w:sz w:val="20"/>
          <w:szCs w:val="20"/>
          <w:vertAlign w:val="subscript"/>
        </w:rPr>
        <w:t>i</w:t>
      </w:r>
      <w:proofErr w:type="spellEnd"/>
      <w:r w:rsidR="000153C8" w:rsidRPr="00A159CF">
        <w:rPr>
          <w:rFonts w:ascii="Times New Roman" w:hAnsi="Times New Roman" w:cs="Times New Roman"/>
          <w:sz w:val="20"/>
          <w:szCs w:val="20"/>
        </w:rPr>
        <w:t xml:space="preserve"> + E (</w:t>
      </w:r>
      <w:proofErr w:type="spellStart"/>
      <w:r w:rsidR="000153C8" w:rsidRPr="00A159CF">
        <w:rPr>
          <w:rFonts w:ascii="Times New Roman" w:hAnsi="Times New Roman" w:cs="Times New Roman"/>
          <w:sz w:val="20"/>
          <w:szCs w:val="20"/>
        </w:rPr>
        <w:t>ɛ</w:t>
      </w:r>
      <w:r w:rsidR="000153C8" w:rsidRPr="00A159CF">
        <w:rPr>
          <w:rFonts w:ascii="Times New Roman" w:hAnsi="Times New Roman" w:cs="Times New Roman"/>
          <w:sz w:val="20"/>
          <w:szCs w:val="20"/>
          <w:vertAlign w:val="subscript"/>
        </w:rPr>
        <w:t>i</w:t>
      </w:r>
      <w:r w:rsidR="000153C8" w:rsidRPr="00A159CF">
        <w:rPr>
          <w:rFonts w:ascii="Times New Roman" w:hAnsi="Times New Roman" w:cs="Times New Roman"/>
          <w:sz w:val="20"/>
          <w:szCs w:val="20"/>
        </w:rPr>
        <w:t>/Z</w:t>
      </w:r>
      <w:r w:rsidR="000153C8" w:rsidRPr="00A159CF">
        <w:rPr>
          <w:rFonts w:ascii="Times New Roman" w:hAnsi="Times New Roman" w:cs="Times New Roman"/>
          <w:sz w:val="20"/>
          <w:szCs w:val="20"/>
          <w:vertAlign w:val="subscript"/>
        </w:rPr>
        <w:t>i</w:t>
      </w:r>
      <w:proofErr w:type="spellEnd"/>
      <w:r w:rsidRPr="00A159CF">
        <w:rPr>
          <w:rFonts w:ascii="Times New Roman" w:hAnsi="Times New Roman" w:cs="Times New Roman"/>
          <w:sz w:val="20"/>
          <w:szCs w:val="20"/>
        </w:rPr>
        <w:t>, Xi</w:t>
      </w:r>
      <w:r w:rsidR="000153C8" w:rsidRPr="00A159CF">
        <w:rPr>
          <w:rFonts w:ascii="Times New Roman" w:hAnsi="Times New Roman" w:cs="Times New Roman"/>
          <w:sz w:val="20"/>
          <w:szCs w:val="20"/>
        </w:rPr>
        <w:t xml:space="preserve">, </w:t>
      </w:r>
      <w:proofErr w:type="spellStart"/>
      <w:r w:rsidR="000153C8" w:rsidRPr="00A159CF">
        <w:rPr>
          <w:rFonts w:ascii="Times New Roman" w:hAnsi="Times New Roman" w:cs="Times New Roman"/>
          <w:sz w:val="20"/>
          <w:szCs w:val="20"/>
        </w:rPr>
        <w:t>μ</w:t>
      </w:r>
      <w:r w:rsidR="000153C8" w:rsidRPr="00A159CF">
        <w:rPr>
          <w:rFonts w:ascii="Times New Roman" w:hAnsi="Times New Roman" w:cs="Times New Roman"/>
          <w:sz w:val="20"/>
          <w:szCs w:val="20"/>
          <w:vertAlign w:val="subscript"/>
        </w:rPr>
        <w:t>i</w:t>
      </w:r>
      <w:proofErr w:type="spellEnd"/>
      <w:r w:rsidRPr="00A159CF">
        <w:rPr>
          <w:rFonts w:ascii="Times New Roman" w:hAnsi="Times New Roman" w:cs="Times New Roman"/>
          <w:sz w:val="20"/>
          <w:szCs w:val="20"/>
        </w:rPr>
        <w:t>) ----------------------2</w:t>
      </w:r>
    </w:p>
    <w:p w:rsidR="000153C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The first equality just recognizes the fact that the variables determining employment in this model are Z and μ. The second equality comes from the fact that the expected value of X given X is just X. The final term can be simplified by noting that selection into employment does not depend on X,</w:t>
      </w:r>
      <w:r w:rsidR="00067E14">
        <w:rPr>
          <w:rFonts w:ascii="Times New Roman" w:hAnsi="Times New Roman" w:cs="Times New Roman" w:hint="eastAsia"/>
          <w:sz w:val="20"/>
          <w:szCs w:val="20"/>
          <w:lang w:eastAsia="zh-CN"/>
        </w:rPr>
        <w:t xml:space="preserve"> </w:t>
      </w:r>
      <w:r w:rsidRPr="00A159CF">
        <w:rPr>
          <w:rFonts w:ascii="Times New Roman" w:hAnsi="Times New Roman" w:cs="Times New Roman"/>
          <w:sz w:val="20"/>
          <w:szCs w:val="20"/>
        </w:rPr>
        <w:t>only on Z and μ, so we have:</w:t>
      </w:r>
    </w:p>
    <w:p w:rsidR="000153C8" w:rsidRPr="00A159CF" w:rsidRDefault="00F27B7D" w:rsidP="00067E14">
      <w:pPr>
        <w:autoSpaceDE w:val="0"/>
        <w:autoSpaceDN w:val="0"/>
        <w:adjustRightInd w:val="0"/>
        <w:snapToGrid w:val="0"/>
        <w:spacing w:after="0" w:line="240" w:lineRule="auto"/>
        <w:jc w:val="both"/>
        <w:rPr>
          <w:rFonts w:ascii="Times New Roman" w:hAnsi="Times New Roman" w:cs="Times New Roman"/>
          <w:sz w:val="20"/>
          <w:szCs w:val="20"/>
        </w:rPr>
      </w:pPr>
      <w:r w:rsidRPr="00A159CF">
        <w:rPr>
          <w:rFonts w:ascii="Times New Roman" w:hAnsi="Times New Roman" w:cs="Times New Roman"/>
          <w:sz w:val="20"/>
          <w:szCs w:val="20"/>
        </w:rPr>
        <w:t>E (</w:t>
      </w:r>
      <w:proofErr w:type="spellStart"/>
      <w:r w:rsidR="000153C8" w:rsidRPr="00A159CF">
        <w:rPr>
          <w:rFonts w:ascii="Times New Roman" w:hAnsi="Times New Roman" w:cs="Times New Roman"/>
          <w:sz w:val="20"/>
          <w:szCs w:val="20"/>
        </w:rPr>
        <w:t>Wi</w:t>
      </w:r>
      <w:proofErr w:type="spellEnd"/>
      <w:r w:rsidR="000153C8" w:rsidRPr="00A159CF">
        <w:rPr>
          <w:rFonts w:ascii="Times New Roman" w:hAnsi="Times New Roman" w:cs="Times New Roman"/>
          <w:sz w:val="20"/>
          <w:szCs w:val="20"/>
        </w:rPr>
        <w:t xml:space="preserve">| </w:t>
      </w:r>
      <w:proofErr w:type="spellStart"/>
      <w:r w:rsidRPr="00A159CF">
        <w:rPr>
          <w:rFonts w:ascii="Times New Roman" w:hAnsi="Times New Roman" w:cs="Times New Roman"/>
          <w:sz w:val="20"/>
          <w:szCs w:val="20"/>
        </w:rPr>
        <w:t>ϖ</w:t>
      </w:r>
      <w:r w:rsidRPr="00A159CF">
        <w:rPr>
          <w:rFonts w:ascii="Times New Roman" w:hAnsi="Times New Roman" w:cs="Times New Roman"/>
          <w:sz w:val="20"/>
          <w:szCs w:val="20"/>
          <w:vertAlign w:val="subscript"/>
        </w:rPr>
        <w:t>i</w:t>
      </w:r>
      <w:proofErr w:type="spellEnd"/>
      <w:r w:rsidRPr="00A159CF">
        <w:rPr>
          <w:rFonts w:ascii="Times New Roman" w:hAnsi="Times New Roman" w:cs="Times New Roman"/>
          <w:sz w:val="20"/>
          <w:szCs w:val="20"/>
        </w:rPr>
        <w:t>, Xi</w:t>
      </w:r>
      <w:r w:rsidR="000153C8" w:rsidRPr="00A159CF">
        <w:rPr>
          <w:rFonts w:ascii="Times New Roman" w:hAnsi="Times New Roman" w:cs="Times New Roman"/>
          <w:sz w:val="20"/>
          <w:szCs w:val="20"/>
        </w:rPr>
        <w:t xml:space="preserve">) = </w:t>
      </w:r>
      <w:proofErr w:type="spellStart"/>
      <w:r w:rsidR="000153C8" w:rsidRPr="00A159CF">
        <w:rPr>
          <w:rFonts w:ascii="Times New Roman" w:hAnsi="Times New Roman" w:cs="Times New Roman"/>
          <w:sz w:val="20"/>
          <w:szCs w:val="20"/>
        </w:rPr>
        <w:t>βX</w:t>
      </w:r>
      <w:r w:rsidR="000153C8" w:rsidRPr="00A159CF">
        <w:rPr>
          <w:rFonts w:ascii="Times New Roman" w:hAnsi="Times New Roman" w:cs="Times New Roman"/>
          <w:sz w:val="20"/>
          <w:szCs w:val="20"/>
          <w:vertAlign w:val="subscript"/>
        </w:rPr>
        <w:t>i</w:t>
      </w:r>
      <w:proofErr w:type="spellEnd"/>
      <w:r w:rsidR="000153C8" w:rsidRPr="00A159CF">
        <w:rPr>
          <w:rFonts w:ascii="Times New Roman" w:hAnsi="Times New Roman" w:cs="Times New Roman"/>
          <w:sz w:val="20"/>
          <w:szCs w:val="20"/>
        </w:rPr>
        <w:t xml:space="preserve"> + </w:t>
      </w:r>
      <w:r w:rsidRPr="00A159CF">
        <w:rPr>
          <w:rFonts w:ascii="Times New Roman" w:hAnsi="Times New Roman" w:cs="Times New Roman"/>
          <w:sz w:val="20"/>
          <w:szCs w:val="20"/>
        </w:rPr>
        <w:t>E (</w:t>
      </w:r>
      <w:proofErr w:type="spellStart"/>
      <w:r w:rsidR="000153C8" w:rsidRPr="00A159CF">
        <w:rPr>
          <w:rFonts w:ascii="Times New Roman" w:hAnsi="Times New Roman" w:cs="Times New Roman"/>
          <w:sz w:val="20"/>
          <w:szCs w:val="20"/>
        </w:rPr>
        <w:t>ɛ</w:t>
      </w:r>
      <w:r w:rsidR="000153C8" w:rsidRPr="00A159CF">
        <w:rPr>
          <w:rFonts w:ascii="Times New Roman" w:hAnsi="Times New Roman" w:cs="Times New Roman"/>
          <w:sz w:val="20"/>
          <w:szCs w:val="20"/>
          <w:vertAlign w:val="subscript"/>
        </w:rPr>
        <w:t>i</w:t>
      </w:r>
      <w:proofErr w:type="spellEnd"/>
      <w:r w:rsidR="000153C8" w:rsidRPr="00A159CF">
        <w:rPr>
          <w:rFonts w:ascii="Times New Roman" w:hAnsi="Times New Roman" w:cs="Times New Roman"/>
          <w:sz w:val="20"/>
          <w:szCs w:val="20"/>
        </w:rPr>
        <w:t xml:space="preserve">| </w:t>
      </w:r>
      <w:proofErr w:type="spellStart"/>
      <w:r w:rsidR="000153C8" w:rsidRPr="00A159CF">
        <w:rPr>
          <w:rFonts w:ascii="Times New Roman" w:hAnsi="Times New Roman" w:cs="Times New Roman"/>
          <w:sz w:val="20"/>
          <w:szCs w:val="20"/>
        </w:rPr>
        <w:t>ϖ</w:t>
      </w:r>
      <w:r w:rsidR="000153C8" w:rsidRPr="00A159CF">
        <w:rPr>
          <w:rFonts w:ascii="Times New Roman" w:hAnsi="Times New Roman" w:cs="Times New Roman"/>
          <w:sz w:val="20"/>
          <w:szCs w:val="20"/>
          <w:vertAlign w:val="subscript"/>
        </w:rPr>
        <w:t>i</w:t>
      </w:r>
      <w:proofErr w:type="spellEnd"/>
      <w:r w:rsidR="000153C8" w:rsidRPr="00A159CF">
        <w:rPr>
          <w:rFonts w:ascii="Times New Roman" w:hAnsi="Times New Roman" w:cs="Times New Roman"/>
          <w:sz w:val="20"/>
          <w:szCs w:val="20"/>
        </w:rPr>
        <w:t xml:space="preserve"> = 1) = </w:t>
      </w:r>
      <w:proofErr w:type="spellStart"/>
      <w:r w:rsidR="000153C8" w:rsidRPr="00A159CF">
        <w:rPr>
          <w:rFonts w:ascii="Times New Roman" w:hAnsi="Times New Roman" w:cs="Times New Roman"/>
          <w:sz w:val="20"/>
          <w:szCs w:val="20"/>
        </w:rPr>
        <w:t>βX</w:t>
      </w:r>
      <w:r w:rsidR="000153C8" w:rsidRPr="00A159CF">
        <w:rPr>
          <w:rFonts w:ascii="Times New Roman" w:hAnsi="Times New Roman" w:cs="Times New Roman"/>
          <w:sz w:val="20"/>
          <w:szCs w:val="20"/>
          <w:vertAlign w:val="subscript"/>
        </w:rPr>
        <w:t>i</w:t>
      </w:r>
      <w:proofErr w:type="spellEnd"/>
      <w:r w:rsidR="000153C8" w:rsidRPr="00A159CF">
        <w:rPr>
          <w:rFonts w:ascii="Times New Roman" w:hAnsi="Times New Roman" w:cs="Times New Roman"/>
          <w:sz w:val="20"/>
          <w:szCs w:val="20"/>
        </w:rPr>
        <w:t xml:space="preserve"> + </w:t>
      </w:r>
      <w:r w:rsidRPr="00A159CF">
        <w:rPr>
          <w:rFonts w:ascii="Times New Roman" w:hAnsi="Times New Roman" w:cs="Times New Roman"/>
          <w:sz w:val="20"/>
          <w:szCs w:val="20"/>
        </w:rPr>
        <w:t>E (</w:t>
      </w:r>
      <w:proofErr w:type="spellStart"/>
      <w:r w:rsidR="000153C8" w:rsidRPr="00A159CF">
        <w:rPr>
          <w:rFonts w:ascii="Times New Roman" w:hAnsi="Times New Roman" w:cs="Times New Roman"/>
          <w:sz w:val="20"/>
          <w:szCs w:val="20"/>
        </w:rPr>
        <w:t>ɛ</w:t>
      </w:r>
      <w:r w:rsidR="000153C8" w:rsidRPr="00A159CF">
        <w:rPr>
          <w:rFonts w:ascii="Times New Roman" w:hAnsi="Times New Roman" w:cs="Times New Roman"/>
          <w:sz w:val="20"/>
          <w:szCs w:val="20"/>
          <w:vertAlign w:val="subscript"/>
        </w:rPr>
        <w:t>i</w:t>
      </w:r>
      <w:r w:rsidR="00FF46E6" w:rsidRPr="00A159CF">
        <w:rPr>
          <w:rFonts w:ascii="Times New Roman" w:hAnsi="Times New Roman" w:cs="Times New Roman"/>
          <w:sz w:val="20"/>
          <w:szCs w:val="20"/>
        </w:rPr>
        <w:t>|μi</w:t>
      </w:r>
      <w:proofErr w:type="spellEnd"/>
      <w:r w:rsidR="00FF46E6" w:rsidRPr="00A159CF">
        <w:rPr>
          <w:rFonts w:ascii="Times New Roman" w:hAnsi="Times New Roman" w:cs="Times New Roman"/>
          <w:sz w:val="20"/>
          <w:szCs w:val="20"/>
        </w:rPr>
        <w:t xml:space="preserve"> &gt; −</w:t>
      </w:r>
      <w:proofErr w:type="spellStart"/>
      <w:r w:rsidR="00FF46E6" w:rsidRPr="00A159CF">
        <w:rPr>
          <w:rFonts w:ascii="Times New Roman" w:hAnsi="Times New Roman" w:cs="Times New Roman"/>
          <w:sz w:val="20"/>
          <w:szCs w:val="20"/>
        </w:rPr>
        <w:t>Ziγ</w:t>
      </w:r>
      <w:proofErr w:type="spellEnd"/>
      <w:r w:rsidR="00FF46E6" w:rsidRPr="00A159CF">
        <w:rPr>
          <w:rFonts w:ascii="Times New Roman" w:hAnsi="Times New Roman" w:cs="Times New Roman"/>
          <w:sz w:val="20"/>
          <w:szCs w:val="20"/>
        </w:rPr>
        <w:t xml:space="preserve">) </w:t>
      </w:r>
      <w:r w:rsidR="000153C8" w:rsidRPr="00A159CF">
        <w:rPr>
          <w:rFonts w:ascii="Times New Roman" w:hAnsi="Times New Roman" w:cs="Times New Roman"/>
          <w:sz w:val="20"/>
          <w:szCs w:val="20"/>
        </w:rPr>
        <w:t>----------------------------</w:t>
      </w:r>
      <w:r w:rsidR="006757D0" w:rsidRPr="00A159CF">
        <w:rPr>
          <w:rFonts w:ascii="Times New Roman" w:hAnsi="Times New Roman" w:cs="Times New Roman"/>
          <w:sz w:val="20"/>
          <w:szCs w:val="20"/>
        </w:rPr>
        <w:t>-----</w:t>
      </w:r>
      <w:r w:rsidR="00A159CF" w:rsidRPr="00A159CF">
        <w:rPr>
          <w:rFonts w:ascii="Times New Roman" w:hAnsi="Times New Roman" w:cs="Times New Roman"/>
          <w:sz w:val="20"/>
          <w:szCs w:val="20"/>
        </w:rPr>
        <w:t>------</w:t>
      </w:r>
      <w:r w:rsidR="006757D0" w:rsidRPr="00A159CF">
        <w:rPr>
          <w:rFonts w:ascii="Times New Roman" w:hAnsi="Times New Roman" w:cs="Times New Roman"/>
          <w:sz w:val="20"/>
          <w:szCs w:val="20"/>
        </w:rPr>
        <w:t>-</w:t>
      </w:r>
      <w:r w:rsidR="00245810" w:rsidRPr="00A159CF">
        <w:rPr>
          <w:rFonts w:ascii="Times New Roman" w:hAnsi="Times New Roman" w:cs="Times New Roman"/>
          <w:sz w:val="20"/>
          <w:szCs w:val="20"/>
        </w:rPr>
        <w:t>3</w:t>
      </w:r>
    </w:p>
    <w:p w:rsidR="000153C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Thus, if we estimate the model using only data about workers, we do not get the population wage equation, but rather something else. As a result of this term, the OLS estimation on a sample of workers generally provides inconsistent estimates of the parameters of the population wage</w:t>
      </w:r>
      <w:r w:rsidR="006757D0" w:rsidRPr="00A159CF">
        <w:rPr>
          <w:rFonts w:ascii="Times New Roman" w:hAnsi="Times New Roman" w:cs="Times New Roman"/>
          <w:sz w:val="20"/>
          <w:szCs w:val="20"/>
        </w:rPr>
        <w:t xml:space="preserve"> </w:t>
      </w:r>
      <w:r w:rsidRPr="00A159CF">
        <w:rPr>
          <w:rFonts w:ascii="Times New Roman" w:hAnsi="Times New Roman" w:cs="Times New Roman"/>
          <w:sz w:val="20"/>
          <w:szCs w:val="20"/>
        </w:rPr>
        <w:t>(or outcome) equation.</w:t>
      </w:r>
    </w:p>
    <w:p w:rsidR="000153C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In the first stage, a </w:t>
      </w:r>
      <w:proofErr w:type="spellStart"/>
      <w:r w:rsidRPr="00A159CF">
        <w:rPr>
          <w:rFonts w:ascii="Times New Roman" w:hAnsi="Times New Roman" w:cs="Times New Roman"/>
          <w:sz w:val="20"/>
          <w:szCs w:val="20"/>
        </w:rPr>
        <w:t>probit</w:t>
      </w:r>
      <w:proofErr w:type="spellEnd"/>
      <w:r w:rsidRPr="00A159CF">
        <w:rPr>
          <w:rFonts w:ascii="Times New Roman" w:hAnsi="Times New Roman" w:cs="Times New Roman"/>
          <w:sz w:val="20"/>
          <w:szCs w:val="20"/>
        </w:rPr>
        <w:t xml:space="preserve"> regression is computed in order to estimate the probability that a given female actually work. The estimate of γ from this </w:t>
      </w:r>
      <w:proofErr w:type="spellStart"/>
      <w:r w:rsidRPr="00A159CF">
        <w:rPr>
          <w:rFonts w:ascii="Times New Roman" w:hAnsi="Times New Roman" w:cs="Times New Roman"/>
          <w:sz w:val="20"/>
          <w:szCs w:val="20"/>
        </w:rPr>
        <w:t>probit</w:t>
      </w:r>
      <w:proofErr w:type="spellEnd"/>
      <w:r w:rsidRPr="00A159CF">
        <w:rPr>
          <w:rFonts w:ascii="Times New Roman" w:hAnsi="Times New Roman" w:cs="Times New Roman"/>
          <w:sz w:val="20"/>
          <w:szCs w:val="20"/>
        </w:rPr>
        <w:t xml:space="preserve"> model is then used to construct</w:t>
      </w:r>
      <w:r w:rsidR="000D6030" w:rsidRPr="00A159CF">
        <w:rPr>
          <w:rFonts w:ascii="Times New Roman" w:hAnsi="Times New Roman" w:cs="Times New Roman"/>
          <w:sz w:val="20"/>
          <w:szCs w:val="20"/>
        </w:rPr>
        <w:t xml:space="preserve"> </w:t>
      </w:r>
      <w:r w:rsidRPr="00A159CF">
        <w:rPr>
          <w:rFonts w:ascii="Times New Roman" w:hAnsi="Times New Roman" w:cs="Times New Roman"/>
          <w:sz w:val="20"/>
          <w:szCs w:val="20"/>
        </w:rPr>
        <w:t>consistent</w:t>
      </w:r>
      <w:r w:rsidR="000D6030" w:rsidRPr="00A159CF">
        <w:rPr>
          <w:rFonts w:ascii="Times New Roman" w:hAnsi="Times New Roman" w:cs="Times New Roman"/>
          <w:sz w:val="20"/>
          <w:szCs w:val="20"/>
        </w:rPr>
        <w:t xml:space="preserve"> estimates of the</w:t>
      </w:r>
      <w:r w:rsidRPr="00A159CF">
        <w:rPr>
          <w:rFonts w:ascii="Times New Roman" w:hAnsi="Times New Roman" w:cs="Times New Roman"/>
          <w:sz w:val="20"/>
          <w:szCs w:val="20"/>
        </w:rPr>
        <w:t xml:space="preserve"> inverse Mills ratio term:</w:t>
      </w:r>
    </w:p>
    <w:p w:rsidR="000153C8" w:rsidRPr="00A159CF" w:rsidRDefault="000153C8" w:rsidP="00067E14">
      <w:pPr>
        <w:autoSpaceDE w:val="0"/>
        <w:autoSpaceDN w:val="0"/>
        <w:adjustRightInd w:val="0"/>
        <w:snapToGrid w:val="0"/>
        <w:spacing w:after="0" w:line="240" w:lineRule="auto"/>
        <w:jc w:val="both"/>
        <w:rPr>
          <w:rFonts w:ascii="Times New Roman" w:hAnsi="Times New Roman" w:cs="Times New Roman"/>
          <w:sz w:val="20"/>
          <w:szCs w:val="20"/>
        </w:rPr>
      </w:pPr>
      <w:r w:rsidRPr="00A159CF">
        <w:rPr>
          <w:rFonts w:ascii="Times New Roman" w:hAnsi="Times New Roman" w:cs="Times New Roman"/>
          <w:sz w:val="20"/>
          <w:szCs w:val="20"/>
        </w:rPr>
        <w:object w:dxaOrig="1700" w:dyaOrig="700">
          <v:shape id="_x0000_i1026" type="#_x0000_t75" style="width:85.15pt;height:35.05pt" o:ole="">
            <v:imagedata r:id="rId14" o:title=""/>
          </v:shape>
          <o:OLEObject Type="Embed" ProgID="Equation.3" ShapeID="_x0000_i1026" DrawAspect="Content" ObjectID="_1451330485" r:id="rId15"/>
        </w:object>
      </w:r>
      <w:r w:rsidRPr="00A159CF">
        <w:rPr>
          <w:rFonts w:ascii="Times New Roman" w:hAnsi="Times New Roman" w:cs="Times New Roman"/>
          <w:sz w:val="20"/>
          <w:szCs w:val="20"/>
        </w:rPr>
        <w:t>-----------</w:t>
      </w:r>
      <w:r w:rsidR="00224698" w:rsidRPr="00A159CF">
        <w:rPr>
          <w:rFonts w:ascii="Times New Roman" w:hAnsi="Times New Roman" w:cs="Times New Roman"/>
          <w:sz w:val="20"/>
          <w:szCs w:val="20"/>
        </w:rPr>
        <w:t>-------------</w:t>
      </w:r>
      <w:r w:rsidRPr="00A159CF">
        <w:rPr>
          <w:rFonts w:ascii="Times New Roman" w:hAnsi="Times New Roman" w:cs="Times New Roman"/>
          <w:sz w:val="20"/>
          <w:szCs w:val="20"/>
        </w:rPr>
        <w:t>----</w:t>
      </w:r>
      <w:r w:rsidR="007E054B" w:rsidRPr="00A159CF">
        <w:rPr>
          <w:rFonts w:ascii="Times New Roman" w:hAnsi="Times New Roman" w:cs="Times New Roman"/>
          <w:sz w:val="20"/>
          <w:szCs w:val="20"/>
        </w:rPr>
        <w:t>4</w:t>
      </w:r>
    </w:p>
    <w:p w:rsidR="000153C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where </w:t>
      </w:r>
      <w:r w:rsidRPr="00A159CF">
        <w:rPr>
          <w:rFonts w:ascii="Times New Roman" w:hAnsi="Times New Roman" w:cs="Times New Roman"/>
          <w:sz w:val="20"/>
          <w:szCs w:val="20"/>
        </w:rPr>
        <w:object w:dxaOrig="420" w:dyaOrig="320">
          <v:shape id="_x0000_i1027" type="#_x0000_t75" style="width:21.3pt;height:15.65pt" o:ole="">
            <v:imagedata r:id="rId16" o:title=""/>
          </v:shape>
          <o:OLEObject Type="Embed" ProgID="Equation.3" ShapeID="_x0000_i1027" DrawAspect="Content" ObjectID="_1451330486" r:id="rId17"/>
        </w:object>
      </w:r>
      <w:r w:rsidRPr="00A159CF">
        <w:rPr>
          <w:rFonts w:ascii="Times New Roman" w:hAnsi="Times New Roman" w:cs="Times New Roman"/>
          <w:sz w:val="20"/>
          <w:szCs w:val="20"/>
        </w:rPr>
        <w:t xml:space="preserve"> and </w:t>
      </w:r>
      <w:r w:rsidRPr="00A159CF">
        <w:rPr>
          <w:rFonts w:ascii="Times New Roman" w:hAnsi="Times New Roman" w:cs="Times New Roman"/>
          <w:sz w:val="20"/>
          <w:szCs w:val="20"/>
        </w:rPr>
        <w:object w:dxaOrig="440" w:dyaOrig="320">
          <v:shape id="_x0000_i1028" type="#_x0000_t75" style="width:21.9pt;height:15.65pt" o:ole="">
            <v:imagedata r:id="rId18" o:title=""/>
          </v:shape>
          <o:OLEObject Type="Embed" ProgID="Equation.3" ShapeID="_x0000_i1028" DrawAspect="Content" ObjectID="_1451330487" r:id="rId19"/>
        </w:object>
      </w:r>
      <w:r w:rsidRPr="00A159CF">
        <w:rPr>
          <w:rFonts w:ascii="Times New Roman" w:hAnsi="Times New Roman" w:cs="Times New Roman"/>
          <w:sz w:val="20"/>
          <w:szCs w:val="20"/>
        </w:rPr>
        <w:t>, denote the probability density and cumulative distribution</w:t>
      </w:r>
      <w:r w:rsidR="00462F02" w:rsidRPr="00A159CF">
        <w:rPr>
          <w:rFonts w:ascii="Times New Roman" w:hAnsi="Times New Roman" w:cs="Times New Roman"/>
          <w:sz w:val="20"/>
          <w:szCs w:val="20"/>
        </w:rPr>
        <w:t xml:space="preserve"> </w:t>
      </w:r>
      <w:r w:rsidRPr="00A159CF">
        <w:rPr>
          <w:rFonts w:ascii="Times New Roman" w:hAnsi="Times New Roman" w:cs="Times New Roman"/>
          <w:sz w:val="20"/>
          <w:szCs w:val="20"/>
        </w:rPr>
        <w:t>functions of the standard normal distribution. In the second stage, the outcome equation is estimated by OLS, where the equation wage includes both the original X and the constructed value of inverse Mills ratio.</w:t>
      </w:r>
    </w:p>
    <w:p w:rsidR="000153C8" w:rsidRPr="00A159CF" w:rsidRDefault="000153C8" w:rsidP="00A159CF">
      <w:pPr>
        <w:autoSpaceDE w:val="0"/>
        <w:autoSpaceDN w:val="0"/>
        <w:adjustRightInd w:val="0"/>
        <w:snapToGrid w:val="0"/>
        <w:spacing w:after="0" w:line="240" w:lineRule="auto"/>
        <w:jc w:val="both"/>
        <w:rPr>
          <w:rFonts w:ascii="Times New Roman" w:hAnsi="Times New Roman" w:cs="Times New Roman"/>
          <w:sz w:val="20"/>
          <w:szCs w:val="20"/>
        </w:rPr>
      </w:pPr>
      <w:r w:rsidRPr="00A159CF">
        <w:rPr>
          <w:rFonts w:ascii="Times New Roman" w:hAnsi="Times New Roman" w:cs="Times New Roman"/>
          <w:sz w:val="20"/>
          <w:szCs w:val="20"/>
        </w:rPr>
        <w:t xml:space="preserve">W = </w:t>
      </w:r>
      <w:proofErr w:type="spellStart"/>
      <w:r w:rsidRPr="00A159CF">
        <w:rPr>
          <w:rFonts w:ascii="Times New Roman" w:hAnsi="Times New Roman" w:cs="Times New Roman"/>
          <w:sz w:val="20"/>
          <w:szCs w:val="20"/>
        </w:rPr>
        <w:t>β’X</w:t>
      </w:r>
      <w:r w:rsidRPr="00A159CF">
        <w:rPr>
          <w:rFonts w:ascii="Times New Roman" w:hAnsi="Times New Roman" w:cs="Times New Roman"/>
          <w:sz w:val="20"/>
          <w:szCs w:val="20"/>
          <w:vertAlign w:val="subscript"/>
        </w:rPr>
        <w:t>i</w:t>
      </w:r>
      <w:proofErr w:type="spellEnd"/>
      <w:r w:rsidRPr="00A159CF">
        <w:rPr>
          <w:rFonts w:ascii="Times New Roman" w:hAnsi="Times New Roman" w:cs="Times New Roman"/>
          <w:sz w:val="20"/>
          <w:szCs w:val="20"/>
        </w:rPr>
        <w:t xml:space="preserve"> + </w:t>
      </w:r>
      <w:proofErr w:type="spellStart"/>
      <w:r w:rsidRPr="00A159CF">
        <w:rPr>
          <w:rFonts w:ascii="Times New Roman" w:hAnsi="Times New Roman" w:cs="Times New Roman"/>
          <w:sz w:val="20"/>
          <w:szCs w:val="20"/>
        </w:rPr>
        <w:t>ɛ</w:t>
      </w:r>
      <w:r w:rsidRPr="00A159CF">
        <w:rPr>
          <w:rFonts w:ascii="Times New Roman" w:hAnsi="Times New Roman" w:cs="Times New Roman"/>
          <w:sz w:val="20"/>
          <w:szCs w:val="20"/>
          <w:vertAlign w:val="subscript"/>
        </w:rPr>
        <w:t>i</w:t>
      </w:r>
      <w:proofErr w:type="spellEnd"/>
      <w:r w:rsidRPr="00A159CF">
        <w:rPr>
          <w:rFonts w:ascii="Times New Roman" w:hAnsi="Times New Roman" w:cs="Times New Roman"/>
          <w:sz w:val="20"/>
          <w:szCs w:val="20"/>
        </w:rPr>
        <w:t xml:space="preserve"> + </w:t>
      </w:r>
      <w:proofErr w:type="spellStart"/>
      <w:r w:rsidRPr="00A159CF">
        <w:rPr>
          <w:rFonts w:ascii="Times New Roman" w:hAnsi="Times New Roman" w:cs="Times New Roman"/>
          <w:sz w:val="20"/>
          <w:szCs w:val="20"/>
        </w:rPr>
        <w:t>Vλ</w:t>
      </w:r>
      <w:r w:rsidRPr="00A159CF">
        <w:rPr>
          <w:rFonts w:ascii="Times New Roman" w:hAnsi="Times New Roman" w:cs="Times New Roman"/>
          <w:sz w:val="20"/>
          <w:szCs w:val="20"/>
          <w:vertAlign w:val="subscript"/>
        </w:rPr>
        <w:t>i</w:t>
      </w:r>
      <w:proofErr w:type="spellEnd"/>
      <w:r w:rsidR="00462F02" w:rsidRPr="00A159CF">
        <w:rPr>
          <w:rFonts w:ascii="Times New Roman" w:hAnsi="Times New Roman" w:cs="Times New Roman"/>
          <w:sz w:val="20"/>
          <w:szCs w:val="20"/>
        </w:rPr>
        <w:t xml:space="preserve"> -----</w:t>
      </w:r>
      <w:r w:rsidRPr="00A159CF">
        <w:rPr>
          <w:rFonts w:ascii="Times New Roman" w:hAnsi="Times New Roman" w:cs="Times New Roman"/>
          <w:sz w:val="20"/>
          <w:szCs w:val="20"/>
        </w:rPr>
        <w:t>----------------</w:t>
      </w:r>
      <w:r w:rsidR="007E054B" w:rsidRPr="00A159CF">
        <w:rPr>
          <w:rFonts w:ascii="Times New Roman" w:hAnsi="Times New Roman" w:cs="Times New Roman"/>
          <w:sz w:val="20"/>
          <w:szCs w:val="20"/>
        </w:rPr>
        <w:t>-</w:t>
      </w:r>
      <w:r w:rsidR="00A159CF" w:rsidRPr="00A159CF">
        <w:rPr>
          <w:rFonts w:ascii="Times New Roman" w:hAnsi="Times New Roman" w:cs="Times New Roman"/>
          <w:sz w:val="20"/>
          <w:szCs w:val="20"/>
        </w:rPr>
        <w:t>------</w:t>
      </w:r>
      <w:r w:rsidR="007E054B" w:rsidRPr="00A159CF">
        <w:rPr>
          <w:rFonts w:ascii="Times New Roman" w:hAnsi="Times New Roman" w:cs="Times New Roman"/>
          <w:sz w:val="20"/>
          <w:szCs w:val="20"/>
        </w:rPr>
        <w:t>-5</w:t>
      </w:r>
    </w:p>
    <w:p w:rsidR="000153C8" w:rsidRPr="00A159CF" w:rsidRDefault="000153C8" w:rsidP="00A159CF">
      <w:pPr>
        <w:autoSpaceDE w:val="0"/>
        <w:autoSpaceDN w:val="0"/>
        <w:adjustRightInd w:val="0"/>
        <w:snapToGrid w:val="0"/>
        <w:spacing w:after="0" w:line="240" w:lineRule="auto"/>
        <w:ind w:firstLine="425"/>
        <w:jc w:val="both"/>
        <w:rPr>
          <w:rFonts w:ascii="Times New Roman" w:hAnsi="Times New Roman" w:cs="Times New Roman"/>
          <w:sz w:val="20"/>
          <w:szCs w:val="20"/>
          <w:lang w:eastAsia="en-GB"/>
        </w:rPr>
      </w:pPr>
      <w:r w:rsidRPr="00A159CF">
        <w:rPr>
          <w:rFonts w:ascii="Times New Roman" w:hAnsi="Times New Roman" w:cs="Times New Roman"/>
          <w:sz w:val="20"/>
          <w:szCs w:val="20"/>
        </w:rPr>
        <w:t xml:space="preserve">With the inverse Mills ratio included, and under the assumptions noted above, the coefficients on the X represent consistent estimates of the parameters of the population wage equation. The coefficient on the inverse Mills ratio term estimates </w:t>
      </w:r>
      <w:proofErr w:type="spellStart"/>
      <w:r w:rsidRPr="00A159CF">
        <w:rPr>
          <w:rFonts w:ascii="Times New Roman" w:hAnsi="Times New Roman" w:cs="Times New Roman"/>
          <w:sz w:val="20"/>
          <w:szCs w:val="20"/>
        </w:rPr>
        <w:t>ρσ</w:t>
      </w:r>
      <w:r w:rsidRPr="00A159CF">
        <w:rPr>
          <w:rFonts w:ascii="Times New Roman" w:hAnsi="Times New Roman" w:cs="Times New Roman"/>
          <w:sz w:val="20"/>
          <w:szCs w:val="20"/>
          <w:vertAlign w:val="subscript"/>
        </w:rPr>
        <w:t>ɛ</w:t>
      </w:r>
      <w:proofErr w:type="spellEnd"/>
      <w:r w:rsidRPr="00A159CF">
        <w:rPr>
          <w:rFonts w:ascii="Times New Roman" w:hAnsi="Times New Roman" w:cs="Times New Roman"/>
          <w:sz w:val="20"/>
          <w:szCs w:val="20"/>
        </w:rPr>
        <w:t xml:space="preserve">. Since </w:t>
      </w:r>
      <w:proofErr w:type="spellStart"/>
      <w:r w:rsidRPr="00A159CF">
        <w:rPr>
          <w:rFonts w:ascii="Times New Roman" w:hAnsi="Times New Roman" w:cs="Times New Roman"/>
          <w:sz w:val="20"/>
          <w:szCs w:val="20"/>
        </w:rPr>
        <w:t>σ</w:t>
      </w:r>
      <w:r w:rsidRPr="00A159CF">
        <w:rPr>
          <w:rFonts w:ascii="Times New Roman" w:hAnsi="Times New Roman" w:cs="Times New Roman"/>
          <w:sz w:val="20"/>
          <w:szCs w:val="20"/>
          <w:vertAlign w:val="subscript"/>
        </w:rPr>
        <w:t>ɛ</w:t>
      </w:r>
      <w:proofErr w:type="spellEnd"/>
      <w:r w:rsidRPr="00A159CF">
        <w:rPr>
          <w:rFonts w:ascii="Times New Roman" w:hAnsi="Times New Roman" w:cs="Times New Roman"/>
          <w:sz w:val="20"/>
          <w:szCs w:val="20"/>
        </w:rPr>
        <w:t>&gt; 0 by definition, the sign of this coefficient is</w:t>
      </w:r>
      <w:r w:rsidR="008D3E37" w:rsidRPr="00A159CF">
        <w:rPr>
          <w:rFonts w:ascii="Times New Roman" w:hAnsi="Times New Roman" w:cs="Times New Roman"/>
          <w:sz w:val="20"/>
          <w:szCs w:val="20"/>
        </w:rPr>
        <w:t xml:space="preserve"> </w:t>
      </w:r>
      <w:r w:rsidRPr="00A159CF">
        <w:rPr>
          <w:rFonts w:ascii="Times New Roman" w:hAnsi="Times New Roman" w:cs="Times New Roman"/>
          <w:sz w:val="20"/>
          <w:szCs w:val="20"/>
        </w:rPr>
        <w:t>the same as the si</w:t>
      </w:r>
      <w:r w:rsidR="008D3E37" w:rsidRPr="00A159CF">
        <w:rPr>
          <w:rFonts w:ascii="Times New Roman" w:hAnsi="Times New Roman" w:cs="Times New Roman"/>
          <w:sz w:val="20"/>
          <w:szCs w:val="20"/>
        </w:rPr>
        <w:t xml:space="preserve">gn of ρ (.). The sign of ρ (.) </w:t>
      </w:r>
      <w:r w:rsidRPr="00A159CF">
        <w:rPr>
          <w:rFonts w:ascii="Times New Roman" w:hAnsi="Times New Roman" w:cs="Times New Roman"/>
          <w:sz w:val="20"/>
          <w:szCs w:val="20"/>
        </w:rPr>
        <w:t>is often substantively useful information, as it indicates the correlation between the unobservable in the selection and outcome equations.</w:t>
      </w:r>
    </w:p>
    <w:p w:rsidR="00A159CF" w:rsidRDefault="00A159CF" w:rsidP="00A159CF">
      <w:pPr>
        <w:tabs>
          <w:tab w:val="left" w:pos="1267"/>
        </w:tabs>
        <w:snapToGrid w:val="0"/>
        <w:spacing w:after="0" w:line="240" w:lineRule="auto"/>
        <w:jc w:val="both"/>
        <w:rPr>
          <w:rFonts w:ascii="Times New Roman" w:hAnsi="Times New Roman" w:cs="Times New Roman"/>
          <w:b/>
          <w:sz w:val="20"/>
          <w:szCs w:val="20"/>
          <w:lang w:eastAsia="zh-CN"/>
        </w:rPr>
      </w:pPr>
    </w:p>
    <w:p w:rsidR="000153C8" w:rsidRPr="00A159CF" w:rsidRDefault="000153C8" w:rsidP="00A159CF">
      <w:pPr>
        <w:tabs>
          <w:tab w:val="left" w:pos="1267"/>
        </w:tabs>
        <w:snapToGrid w:val="0"/>
        <w:spacing w:after="0" w:line="240" w:lineRule="auto"/>
        <w:jc w:val="both"/>
        <w:rPr>
          <w:rFonts w:ascii="Times New Roman" w:hAnsi="Times New Roman" w:cs="Times New Roman"/>
          <w:b/>
          <w:sz w:val="20"/>
          <w:szCs w:val="20"/>
        </w:rPr>
      </w:pPr>
      <w:r w:rsidRPr="00A159CF">
        <w:rPr>
          <w:rFonts w:ascii="Times New Roman" w:hAnsi="Times New Roman" w:cs="Times New Roman"/>
          <w:b/>
          <w:sz w:val="20"/>
          <w:szCs w:val="20"/>
        </w:rPr>
        <w:t>Result and Discussion</w:t>
      </w:r>
    </w:p>
    <w:p w:rsidR="000153C8" w:rsidRPr="00A159CF" w:rsidRDefault="000153C8" w:rsidP="00A159CF">
      <w:pPr>
        <w:tabs>
          <w:tab w:val="left" w:pos="1267"/>
        </w:tabs>
        <w:snapToGrid w:val="0"/>
        <w:spacing w:after="0" w:line="240" w:lineRule="auto"/>
        <w:jc w:val="both"/>
        <w:rPr>
          <w:rFonts w:ascii="Times New Roman" w:hAnsi="Times New Roman" w:cs="Times New Roman"/>
          <w:sz w:val="20"/>
          <w:szCs w:val="20"/>
        </w:rPr>
      </w:pPr>
      <w:r w:rsidRPr="00A159CF">
        <w:rPr>
          <w:rFonts w:ascii="Times New Roman" w:hAnsi="Times New Roman" w:cs="Times New Roman"/>
          <w:b/>
          <w:bCs/>
          <w:color w:val="000000"/>
          <w:sz w:val="20"/>
          <w:szCs w:val="20"/>
        </w:rPr>
        <w:t>Educational Status and Income</w:t>
      </w:r>
    </w:p>
    <w:p w:rsidR="000153C8" w:rsidRPr="00A159CF" w:rsidRDefault="000153C8" w:rsidP="00A159CF">
      <w:pPr>
        <w:snapToGrid w:val="0"/>
        <w:spacing w:after="0" w:line="240" w:lineRule="auto"/>
        <w:ind w:firstLine="425"/>
        <w:jc w:val="both"/>
        <w:rPr>
          <w:rFonts w:ascii="Times New Roman" w:hAnsi="Times New Roman" w:cs="Times New Roman"/>
          <w:color w:val="000000"/>
          <w:sz w:val="20"/>
          <w:szCs w:val="20"/>
        </w:rPr>
      </w:pPr>
      <w:r w:rsidRPr="00A159CF">
        <w:rPr>
          <w:rFonts w:ascii="Times New Roman" w:hAnsi="Times New Roman" w:cs="Times New Roman"/>
          <w:sz w:val="20"/>
          <w:szCs w:val="20"/>
        </w:rPr>
        <w:t xml:space="preserve">Table </w:t>
      </w:r>
      <w:r w:rsidR="00170FB7" w:rsidRPr="00A159CF">
        <w:rPr>
          <w:rFonts w:ascii="Times New Roman" w:hAnsi="Times New Roman" w:cs="Times New Roman"/>
          <w:sz w:val="20"/>
          <w:szCs w:val="20"/>
        </w:rPr>
        <w:t>1</w:t>
      </w:r>
      <w:r w:rsidRPr="00A159CF">
        <w:rPr>
          <w:rFonts w:ascii="Times New Roman" w:hAnsi="Times New Roman" w:cs="Times New Roman"/>
          <w:sz w:val="20"/>
          <w:szCs w:val="20"/>
        </w:rPr>
        <w:t xml:space="preserve"> </w:t>
      </w:r>
      <w:r w:rsidR="003A0E42" w:rsidRPr="00A159CF">
        <w:rPr>
          <w:rFonts w:ascii="Times New Roman" w:hAnsi="Times New Roman" w:cs="Times New Roman"/>
          <w:sz w:val="20"/>
          <w:szCs w:val="20"/>
        </w:rPr>
        <w:t>show</w:t>
      </w:r>
      <w:r w:rsidR="0095037B" w:rsidRPr="00A159CF">
        <w:rPr>
          <w:rFonts w:ascii="Times New Roman" w:hAnsi="Times New Roman" w:cs="Times New Roman"/>
          <w:sz w:val="20"/>
          <w:szCs w:val="20"/>
        </w:rPr>
        <w:t>s</w:t>
      </w:r>
      <w:r w:rsidRPr="00A159CF">
        <w:rPr>
          <w:rFonts w:ascii="Times New Roman" w:hAnsi="Times New Roman" w:cs="Times New Roman"/>
          <w:sz w:val="20"/>
          <w:szCs w:val="20"/>
        </w:rPr>
        <w:t xml:space="preserve"> that in the high income category, majority of the women had no formal education (16.7) while 2.1%, 6.3% and 2.6% are for women with </w:t>
      </w:r>
      <w:r w:rsidRPr="00A159CF">
        <w:rPr>
          <w:rFonts w:ascii="Times New Roman" w:hAnsi="Times New Roman" w:cs="Times New Roman"/>
          <w:color w:val="000000"/>
          <w:sz w:val="20"/>
          <w:szCs w:val="20"/>
        </w:rPr>
        <w:t>Primary, Secondary and Tertiary educational status. This indicates that though majority of the self-employed women are in the high income level, a higher percentage of wage employed women are in the high income category.</w:t>
      </w:r>
    </w:p>
    <w:p w:rsidR="00A54E27" w:rsidRPr="00A159CF" w:rsidRDefault="00A54E27" w:rsidP="00A159CF">
      <w:pPr>
        <w:snapToGrid w:val="0"/>
        <w:spacing w:after="0" w:line="240" w:lineRule="auto"/>
        <w:jc w:val="center"/>
        <w:rPr>
          <w:rFonts w:ascii="Times New Roman" w:hAnsi="Times New Roman" w:cs="Times New Roman"/>
          <w:color w:val="000000"/>
          <w:sz w:val="20"/>
          <w:szCs w:val="20"/>
        </w:rPr>
      </w:pPr>
    </w:p>
    <w:p w:rsidR="000153C8" w:rsidRPr="00A159CF" w:rsidRDefault="000153C8" w:rsidP="00A159CF">
      <w:pPr>
        <w:tabs>
          <w:tab w:val="center" w:pos="4176"/>
        </w:tabs>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A159CF">
        <w:rPr>
          <w:rFonts w:ascii="Times New Roman" w:hAnsi="Times New Roman" w:cs="Times New Roman"/>
          <w:b/>
          <w:bCs/>
          <w:sz w:val="20"/>
          <w:szCs w:val="20"/>
        </w:rPr>
        <w:t xml:space="preserve">Table </w:t>
      </w:r>
      <w:r w:rsidR="00170FB7" w:rsidRPr="00A159CF">
        <w:rPr>
          <w:rFonts w:ascii="Times New Roman" w:hAnsi="Times New Roman" w:cs="Times New Roman"/>
          <w:b/>
          <w:bCs/>
          <w:sz w:val="20"/>
          <w:szCs w:val="20"/>
        </w:rPr>
        <w:t>1:</w:t>
      </w:r>
      <w:r w:rsidRPr="00A159CF">
        <w:rPr>
          <w:rFonts w:ascii="Times New Roman" w:hAnsi="Times New Roman" w:cs="Times New Roman"/>
          <w:b/>
          <w:bCs/>
          <w:sz w:val="20"/>
          <w:szCs w:val="20"/>
        </w:rPr>
        <w:t xml:space="preserve"> Distribution of Women by </w:t>
      </w:r>
      <w:r w:rsidRPr="00A159CF">
        <w:rPr>
          <w:rFonts w:ascii="Times New Roman" w:hAnsi="Times New Roman" w:cs="Times New Roman"/>
          <w:b/>
          <w:bCs/>
          <w:color w:val="000000"/>
          <w:sz w:val="20"/>
          <w:szCs w:val="20"/>
        </w:rPr>
        <w:t>Educational Status and Earning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3"/>
        <w:gridCol w:w="1101"/>
        <w:gridCol w:w="1065"/>
        <w:gridCol w:w="616"/>
      </w:tblGrid>
      <w:tr w:rsidR="000153C8" w:rsidRPr="00253F35" w:rsidTr="00253F3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0153C8" w:rsidP="00067E14">
            <w:pPr>
              <w:autoSpaceDE w:val="0"/>
              <w:autoSpaceDN w:val="0"/>
              <w:adjustRightInd w:val="0"/>
              <w:snapToGrid w:val="0"/>
              <w:spacing w:after="0" w:line="240" w:lineRule="auto"/>
              <w:jc w:val="center"/>
              <w:rPr>
                <w:rFonts w:ascii="Times New Roman" w:hAnsi="Times New Roman" w:cs="Times New Roman"/>
                <w:b/>
                <w:color w:val="000000"/>
                <w:sz w:val="16"/>
                <w:szCs w:val="16"/>
              </w:rPr>
            </w:pPr>
            <w:r w:rsidRPr="00253F35">
              <w:rPr>
                <w:rFonts w:ascii="Times New Roman" w:hAnsi="Times New Roman" w:cs="Times New Roman"/>
                <w:b/>
                <w:color w:val="000000"/>
                <w:sz w:val="16"/>
                <w:szCs w:val="16"/>
              </w:rPr>
              <w:t>Educational</w:t>
            </w:r>
            <w:r w:rsidR="00067E14">
              <w:rPr>
                <w:rFonts w:ascii="Times New Roman" w:hAnsi="Times New Roman" w:cs="Times New Roman" w:hint="eastAsia"/>
                <w:b/>
                <w:color w:val="000000"/>
                <w:sz w:val="16"/>
                <w:szCs w:val="16"/>
                <w:lang w:eastAsia="zh-CN"/>
              </w:rPr>
              <w:t xml:space="preserve"> </w:t>
            </w:r>
            <w:r w:rsidRPr="00253F35">
              <w:rPr>
                <w:rFonts w:ascii="Times New Roman" w:hAnsi="Times New Roman" w:cs="Times New Roman"/>
                <w:b/>
                <w:color w:val="000000"/>
                <w:sz w:val="16"/>
                <w:szCs w:val="16"/>
              </w:rPr>
              <w:t>Status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b/>
                <w:color w:val="000000"/>
                <w:sz w:val="16"/>
                <w:szCs w:val="16"/>
              </w:rPr>
            </w:pPr>
            <w:r w:rsidRPr="00253F35">
              <w:rPr>
                <w:rFonts w:ascii="Times New Roman" w:hAnsi="Times New Roman" w:cs="Times New Roman"/>
                <w:b/>
                <w:color w:val="000000"/>
                <w:sz w:val="16"/>
                <w:szCs w:val="16"/>
              </w:rPr>
              <w:t xml:space="preserve">High </w:t>
            </w:r>
            <w:r w:rsidRPr="00253F35">
              <w:rPr>
                <w:rFonts w:ascii="Times New Roman" w:hAnsi="Times New Roman" w:cs="Times New Roman"/>
                <w:b/>
                <w:bCs/>
                <w:color w:val="000000"/>
                <w:sz w:val="16"/>
                <w:szCs w:val="16"/>
              </w:rPr>
              <w:t>Income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b/>
                <w:color w:val="000000"/>
                <w:sz w:val="16"/>
                <w:szCs w:val="16"/>
              </w:rPr>
            </w:pPr>
            <w:r w:rsidRPr="00253F35">
              <w:rPr>
                <w:rFonts w:ascii="Times New Roman" w:hAnsi="Times New Roman" w:cs="Times New Roman"/>
                <w:b/>
                <w:color w:val="000000"/>
                <w:sz w:val="16"/>
                <w:szCs w:val="16"/>
              </w:rPr>
              <w:t xml:space="preserve">Low </w:t>
            </w:r>
            <w:r w:rsidRPr="00253F35">
              <w:rPr>
                <w:rFonts w:ascii="Times New Roman" w:hAnsi="Times New Roman" w:cs="Times New Roman"/>
                <w:b/>
                <w:bCs/>
                <w:color w:val="000000"/>
                <w:sz w:val="16"/>
                <w:szCs w:val="16"/>
              </w:rPr>
              <w:t>Income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b/>
                <w:color w:val="000000"/>
                <w:sz w:val="16"/>
                <w:szCs w:val="16"/>
              </w:rPr>
            </w:pPr>
            <w:r w:rsidRPr="00253F35">
              <w:rPr>
                <w:rFonts w:ascii="Times New Roman" w:hAnsi="Times New Roman" w:cs="Times New Roman"/>
                <w:b/>
                <w:color w:val="000000"/>
                <w:sz w:val="16"/>
                <w:szCs w:val="16"/>
              </w:rPr>
              <w:t>Total</w:t>
            </w:r>
          </w:p>
        </w:tc>
      </w:tr>
      <w:tr w:rsidR="000153C8" w:rsidRPr="00253F35" w:rsidTr="00253F3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No Formal Education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A54E27"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8015</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(16.7)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A54E27"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22867</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(47.6)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A54E27"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30882</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(64.2)</w:t>
            </w:r>
          </w:p>
        </w:tc>
      </w:tr>
      <w:tr w:rsidR="000153C8" w:rsidRPr="00253F35" w:rsidTr="00253F3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Primary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441A1E"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1016</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441A1E"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27</w:t>
            </w:r>
            <w:r w:rsidR="000153C8" w:rsidRPr="00253F35">
              <w:rPr>
                <w:rFonts w:ascii="Times New Roman" w:hAnsi="Times New Roman" w:cs="Times New Roman"/>
                <w:color w:val="000000"/>
                <w:sz w:val="16"/>
                <w:szCs w:val="16"/>
              </w:rPr>
              <w:t>99</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441A1E"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3815</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(7.9)</w:t>
            </w:r>
          </w:p>
        </w:tc>
      </w:tr>
      <w:tr w:rsidR="000153C8" w:rsidRPr="00253F35" w:rsidTr="00253F3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Secondary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BB4513"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3047</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BB4513"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8949</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(18.6)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BB4513"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11996</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(25.0)</w:t>
            </w:r>
          </w:p>
        </w:tc>
      </w:tr>
      <w:tr w:rsidR="000153C8" w:rsidRPr="00253F35" w:rsidTr="00253F3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Tertiary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BB4513"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1236</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BB4513"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137</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BB4513"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1373</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(2.9)</w:t>
            </w:r>
          </w:p>
        </w:tc>
      </w:tr>
      <w:tr w:rsidR="000153C8" w:rsidRPr="00253F35" w:rsidTr="00253F3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115FBC"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13314</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w:t>
            </w:r>
            <w:r w:rsidR="0016015B" w:rsidRPr="00253F35">
              <w:rPr>
                <w:rFonts w:ascii="Times New Roman" w:hAnsi="Times New Roman" w:cs="Times New Roman"/>
                <w:color w:val="000000"/>
                <w:sz w:val="16"/>
                <w:szCs w:val="16"/>
              </w:rPr>
              <w:t>27.7</w:t>
            </w:r>
            <w:r w:rsidRPr="00253F35">
              <w:rPr>
                <w:rFonts w:ascii="Times New Roman" w:hAnsi="Times New Roman" w:cs="Times New Roman"/>
                <w:color w:val="000000"/>
                <w:sz w:val="16"/>
                <w:szCs w:val="16"/>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115FBC"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34753</w:t>
            </w:r>
          </w:p>
          <w:p w:rsidR="000153C8" w:rsidRPr="00253F35" w:rsidRDefault="000153C8" w:rsidP="00253F35">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(7</w:t>
            </w:r>
            <w:r w:rsidR="0016015B" w:rsidRPr="00253F35">
              <w:rPr>
                <w:rFonts w:ascii="Times New Roman" w:hAnsi="Times New Roman" w:cs="Times New Roman"/>
                <w:color w:val="000000"/>
                <w:sz w:val="16"/>
                <w:szCs w:val="16"/>
              </w:rPr>
              <w:t>2</w:t>
            </w:r>
            <w:r w:rsidRPr="00253F35">
              <w:rPr>
                <w:rFonts w:ascii="Times New Roman" w:hAnsi="Times New Roman" w:cs="Times New Roman"/>
                <w:color w:val="000000"/>
                <w:sz w:val="16"/>
                <w:szCs w:val="16"/>
              </w:rPr>
              <w:t>.</w:t>
            </w:r>
            <w:r w:rsidR="0016015B" w:rsidRPr="00253F35">
              <w:rPr>
                <w:rFonts w:ascii="Times New Roman" w:hAnsi="Times New Roman" w:cs="Times New Roman"/>
                <w:color w:val="000000"/>
                <w:sz w:val="16"/>
                <w:szCs w:val="16"/>
              </w:rPr>
              <w:t>3</w:t>
            </w:r>
            <w:r w:rsidRPr="00253F35">
              <w:rPr>
                <w:rFonts w:ascii="Times New Roman" w:hAnsi="Times New Roman" w:cs="Times New Roman"/>
                <w:color w:val="000000"/>
                <w:sz w:val="16"/>
                <w:szCs w:val="16"/>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C8" w:rsidRPr="00253F35" w:rsidRDefault="00115FBC" w:rsidP="00253F35">
            <w:pPr>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48067</w:t>
            </w:r>
          </w:p>
          <w:p w:rsidR="000153C8" w:rsidRPr="00253F35" w:rsidRDefault="000153C8" w:rsidP="00253F35">
            <w:pPr>
              <w:snapToGrid w:val="0"/>
              <w:spacing w:after="0" w:line="240" w:lineRule="auto"/>
              <w:jc w:val="center"/>
              <w:rPr>
                <w:rFonts w:ascii="Times New Roman" w:hAnsi="Times New Roman" w:cs="Times New Roman"/>
                <w:color w:val="000000"/>
                <w:sz w:val="16"/>
                <w:szCs w:val="16"/>
              </w:rPr>
            </w:pPr>
            <w:r w:rsidRPr="00253F35">
              <w:rPr>
                <w:rFonts w:ascii="Times New Roman" w:hAnsi="Times New Roman" w:cs="Times New Roman"/>
                <w:color w:val="000000"/>
                <w:sz w:val="16"/>
                <w:szCs w:val="16"/>
              </w:rPr>
              <w:t>(100)</w:t>
            </w:r>
          </w:p>
        </w:tc>
      </w:tr>
    </w:tbl>
    <w:p w:rsidR="000153C8" w:rsidRPr="00253F35" w:rsidRDefault="000153C8" w:rsidP="00253F35">
      <w:pPr>
        <w:snapToGrid w:val="0"/>
        <w:spacing w:after="0" w:line="240" w:lineRule="auto"/>
        <w:jc w:val="both"/>
        <w:rPr>
          <w:rFonts w:ascii="Times New Roman" w:hAnsi="Times New Roman" w:cs="Times New Roman"/>
          <w:sz w:val="16"/>
          <w:szCs w:val="16"/>
        </w:rPr>
      </w:pPr>
      <w:r w:rsidRPr="00253F35">
        <w:rPr>
          <w:rFonts w:ascii="Times New Roman" w:hAnsi="Times New Roman" w:cs="Times New Roman"/>
          <w:b/>
          <w:sz w:val="16"/>
          <w:szCs w:val="16"/>
        </w:rPr>
        <w:t>Source:</w:t>
      </w:r>
      <w:r w:rsidRPr="00253F35">
        <w:rPr>
          <w:rFonts w:ascii="Times New Roman" w:hAnsi="Times New Roman" w:cs="Times New Roman"/>
          <w:sz w:val="16"/>
          <w:szCs w:val="16"/>
        </w:rPr>
        <w:t xml:space="preserve"> </w:t>
      </w:r>
      <w:r w:rsidR="00EA18EA" w:rsidRPr="00253F35">
        <w:rPr>
          <w:rFonts w:ascii="Times New Roman" w:hAnsi="Times New Roman" w:cs="Times New Roman"/>
          <w:sz w:val="16"/>
          <w:szCs w:val="16"/>
        </w:rPr>
        <w:t>Result of Data Analyzed</w:t>
      </w:r>
      <w:r w:rsidR="00612C79" w:rsidRPr="00253F35">
        <w:rPr>
          <w:rFonts w:ascii="Times New Roman" w:hAnsi="Times New Roman" w:cs="Times New Roman"/>
          <w:sz w:val="16"/>
          <w:szCs w:val="16"/>
        </w:rPr>
        <w:t xml:space="preserve"> </w:t>
      </w:r>
      <w:r w:rsidRPr="00253F35">
        <w:rPr>
          <w:rFonts w:ascii="Times New Roman" w:hAnsi="Times New Roman" w:cs="Times New Roman"/>
          <w:sz w:val="16"/>
          <w:szCs w:val="16"/>
        </w:rPr>
        <w:t>201</w:t>
      </w:r>
      <w:r w:rsidR="00170FB7" w:rsidRPr="00253F35">
        <w:rPr>
          <w:rFonts w:ascii="Times New Roman" w:hAnsi="Times New Roman" w:cs="Times New Roman"/>
          <w:sz w:val="16"/>
          <w:szCs w:val="16"/>
        </w:rPr>
        <w:t>2</w:t>
      </w:r>
      <w:r w:rsidRPr="00253F35">
        <w:rPr>
          <w:rFonts w:ascii="Times New Roman" w:hAnsi="Times New Roman" w:cs="Times New Roman"/>
          <w:sz w:val="16"/>
          <w:szCs w:val="16"/>
        </w:rPr>
        <w:t>.</w:t>
      </w:r>
      <w:r w:rsidR="00067E14">
        <w:rPr>
          <w:rFonts w:ascii="Times New Roman" w:hAnsi="Times New Roman" w:cs="Times New Roman"/>
          <w:sz w:val="16"/>
          <w:szCs w:val="16"/>
        </w:rPr>
        <w:t xml:space="preserve"> </w:t>
      </w:r>
      <w:r w:rsidRPr="00253F35">
        <w:rPr>
          <w:rFonts w:ascii="Times New Roman" w:hAnsi="Times New Roman" w:cs="Times New Roman"/>
          <w:sz w:val="16"/>
          <w:szCs w:val="16"/>
        </w:rPr>
        <w:t xml:space="preserve"> Figures in parentheses are percentages</w:t>
      </w:r>
    </w:p>
    <w:p w:rsidR="00253F35" w:rsidRDefault="00253F35" w:rsidP="00A159CF">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F25544" w:rsidRPr="00A159CF" w:rsidRDefault="00F25544" w:rsidP="00A159CF">
      <w:pPr>
        <w:autoSpaceDE w:val="0"/>
        <w:autoSpaceDN w:val="0"/>
        <w:adjustRightInd w:val="0"/>
        <w:snapToGrid w:val="0"/>
        <w:spacing w:after="0" w:line="240" w:lineRule="auto"/>
        <w:jc w:val="both"/>
        <w:rPr>
          <w:rFonts w:ascii="Times New Roman" w:hAnsi="Times New Roman" w:cs="Times New Roman"/>
          <w:b/>
          <w:sz w:val="20"/>
          <w:szCs w:val="20"/>
        </w:rPr>
      </w:pPr>
      <w:r w:rsidRPr="00A159CF">
        <w:rPr>
          <w:rFonts w:ascii="Times New Roman" w:hAnsi="Times New Roman" w:cs="Times New Roman"/>
          <w:b/>
          <w:sz w:val="20"/>
          <w:szCs w:val="20"/>
        </w:rPr>
        <w:t xml:space="preserve">Effect of Education on </w:t>
      </w:r>
      <w:r w:rsidR="00D24C9D" w:rsidRPr="00A159CF">
        <w:rPr>
          <w:rFonts w:ascii="Times New Roman" w:hAnsi="Times New Roman" w:cs="Times New Roman"/>
          <w:b/>
          <w:sz w:val="20"/>
          <w:szCs w:val="20"/>
        </w:rPr>
        <w:t>W</w:t>
      </w:r>
      <w:r w:rsidRPr="00A159CF">
        <w:rPr>
          <w:rFonts w:ascii="Times New Roman" w:hAnsi="Times New Roman" w:cs="Times New Roman"/>
          <w:b/>
          <w:sz w:val="20"/>
          <w:szCs w:val="20"/>
        </w:rPr>
        <w:t>omen Earnings</w:t>
      </w:r>
    </w:p>
    <w:p w:rsidR="00F25544" w:rsidRPr="00A159CF" w:rsidRDefault="00F25544" w:rsidP="00A159CF">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A159CF">
        <w:rPr>
          <w:rFonts w:ascii="Times New Roman" w:hAnsi="Times New Roman" w:cs="Times New Roman"/>
          <w:sz w:val="20"/>
          <w:szCs w:val="20"/>
        </w:rPr>
        <w:t xml:space="preserve">Only the sub-sample of women engaged in </w:t>
      </w:r>
      <w:proofErr w:type="spellStart"/>
      <w:r w:rsidRPr="00A159CF">
        <w:rPr>
          <w:rFonts w:ascii="Times New Roman" w:hAnsi="Times New Roman" w:cs="Times New Roman"/>
          <w:sz w:val="20"/>
          <w:szCs w:val="20"/>
        </w:rPr>
        <w:t>labour</w:t>
      </w:r>
      <w:proofErr w:type="spellEnd"/>
      <w:r w:rsidRPr="00A159CF">
        <w:rPr>
          <w:rFonts w:ascii="Times New Roman" w:hAnsi="Times New Roman" w:cs="Times New Roman"/>
          <w:sz w:val="20"/>
          <w:szCs w:val="20"/>
        </w:rPr>
        <w:t xml:space="preserve"> market activities is used for this analysis. A total of 48067 women fall into this category, and this sample forms the basis of the analysis. Three different models (OLS, IV and Heckman) models were estimated by regressing the natural logarithm of the monthly wage rate (</w:t>
      </w:r>
      <w:proofErr w:type="spellStart"/>
      <w:r w:rsidRPr="00A159CF">
        <w:rPr>
          <w:rFonts w:ascii="Times New Roman" w:hAnsi="Times New Roman" w:cs="Times New Roman"/>
          <w:sz w:val="20"/>
          <w:szCs w:val="20"/>
        </w:rPr>
        <w:t>LnY</w:t>
      </w:r>
      <w:proofErr w:type="spellEnd"/>
      <w:r w:rsidRPr="00A159CF">
        <w:rPr>
          <w:rFonts w:ascii="Times New Roman" w:hAnsi="Times New Roman" w:cs="Times New Roman"/>
          <w:sz w:val="20"/>
          <w:szCs w:val="20"/>
        </w:rPr>
        <w:t xml:space="preserve">), on education, experience, experience square and no of children. The analysis </w:t>
      </w:r>
      <w:r w:rsidRPr="00A159CF">
        <w:rPr>
          <w:rFonts w:ascii="Times New Roman" w:hAnsi="Times New Roman" w:cs="Times New Roman"/>
          <w:sz w:val="20"/>
          <w:szCs w:val="20"/>
        </w:rPr>
        <w:lastRenderedPageBreak/>
        <w:t>was done for all working women, women in wage employment (agricultural and non- agricultural) and those in self-employment separately.</w:t>
      </w:r>
    </w:p>
    <w:p w:rsidR="00F25544" w:rsidRPr="00A159CF" w:rsidRDefault="00F25544" w:rsidP="00A159CF">
      <w:pPr>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Table </w:t>
      </w:r>
      <w:r w:rsidR="00F54C4A" w:rsidRPr="00A159CF">
        <w:rPr>
          <w:rFonts w:ascii="Times New Roman" w:hAnsi="Times New Roman" w:cs="Times New Roman"/>
          <w:sz w:val="20"/>
          <w:szCs w:val="20"/>
        </w:rPr>
        <w:t>2</w:t>
      </w:r>
      <w:r w:rsidRPr="00A159CF">
        <w:rPr>
          <w:rFonts w:ascii="Times New Roman" w:hAnsi="Times New Roman" w:cs="Times New Roman"/>
          <w:sz w:val="20"/>
          <w:szCs w:val="20"/>
        </w:rPr>
        <w:t xml:space="preserve"> presents the coefficients of the education and experience variables for all women from the earnings equations estimated with the three estimators. The wage equation was estimated with three different models, OLS, IV and Heckman models. When estimating the wage equation for women different problems are faced: selection bias, heterogeneity and eventually </w:t>
      </w:r>
      <w:proofErr w:type="spellStart"/>
      <w:r w:rsidRPr="00A159CF">
        <w:rPr>
          <w:rFonts w:ascii="Times New Roman" w:hAnsi="Times New Roman" w:cs="Times New Roman"/>
          <w:sz w:val="20"/>
          <w:szCs w:val="20"/>
        </w:rPr>
        <w:t>endogeneity</w:t>
      </w:r>
      <w:proofErr w:type="spellEnd"/>
      <w:r w:rsidRPr="00A159CF">
        <w:rPr>
          <w:rFonts w:ascii="Times New Roman" w:hAnsi="Times New Roman" w:cs="Times New Roman"/>
          <w:sz w:val="20"/>
          <w:szCs w:val="20"/>
        </w:rPr>
        <w:t xml:space="preserve">. There is selection bias because the dependent variable of the wage equation can be measured only if the individual participates in the </w:t>
      </w:r>
      <w:proofErr w:type="spellStart"/>
      <w:r w:rsidRPr="00A159CF">
        <w:rPr>
          <w:rFonts w:ascii="Times New Roman" w:hAnsi="Times New Roman" w:cs="Times New Roman"/>
          <w:sz w:val="20"/>
          <w:szCs w:val="20"/>
        </w:rPr>
        <w:t>labour</w:t>
      </w:r>
      <w:proofErr w:type="spellEnd"/>
      <w:r w:rsidRPr="00A159CF">
        <w:rPr>
          <w:rFonts w:ascii="Times New Roman" w:hAnsi="Times New Roman" w:cs="Times New Roman"/>
          <w:sz w:val="20"/>
          <w:szCs w:val="20"/>
        </w:rPr>
        <w:t xml:space="preserve"> market. The literature offers estimators for correcting this problem (Heckman 1979, </w:t>
      </w:r>
      <w:proofErr w:type="spellStart"/>
      <w:r w:rsidR="004D098B" w:rsidRPr="00A159CF">
        <w:rPr>
          <w:rFonts w:ascii="Times New Roman" w:hAnsi="Times New Roman" w:cs="Times New Roman"/>
          <w:sz w:val="20"/>
          <w:szCs w:val="20"/>
        </w:rPr>
        <w:t>Olorunfemi</w:t>
      </w:r>
      <w:proofErr w:type="spellEnd"/>
      <w:r w:rsidR="004D098B" w:rsidRPr="00A159CF">
        <w:rPr>
          <w:rFonts w:ascii="Times New Roman" w:hAnsi="Times New Roman" w:cs="Times New Roman"/>
          <w:sz w:val="20"/>
          <w:szCs w:val="20"/>
        </w:rPr>
        <w:t xml:space="preserve"> and </w:t>
      </w:r>
      <w:proofErr w:type="spellStart"/>
      <w:r w:rsidR="004D098B" w:rsidRPr="00A159CF">
        <w:rPr>
          <w:rFonts w:ascii="Times New Roman" w:hAnsi="Times New Roman" w:cs="Times New Roman"/>
          <w:sz w:val="20"/>
          <w:szCs w:val="20"/>
        </w:rPr>
        <w:t>Olowofeso</w:t>
      </w:r>
      <w:proofErr w:type="spellEnd"/>
      <w:r w:rsidR="004D098B" w:rsidRPr="00A159CF">
        <w:rPr>
          <w:rFonts w:ascii="Times New Roman" w:hAnsi="Times New Roman" w:cs="Times New Roman"/>
          <w:sz w:val="20"/>
          <w:szCs w:val="20"/>
        </w:rPr>
        <w:t xml:space="preserve"> (2007)</w:t>
      </w:r>
      <w:r w:rsidRPr="00A159CF">
        <w:rPr>
          <w:rFonts w:ascii="Times New Roman" w:hAnsi="Times New Roman" w:cs="Times New Roman"/>
          <w:sz w:val="20"/>
          <w:szCs w:val="20"/>
        </w:rPr>
        <w:t>.</w:t>
      </w:r>
    </w:p>
    <w:p w:rsidR="00F25544" w:rsidRPr="00A159CF" w:rsidRDefault="00F25544"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Heterogeneity is associated with the unobserved ability and motivation of an individual (e.g. education), and if this unobserved individual effects are correlated with the </w:t>
      </w:r>
      <w:proofErr w:type="spellStart"/>
      <w:r w:rsidRPr="00A159CF">
        <w:rPr>
          <w:rFonts w:ascii="Times New Roman" w:hAnsi="Times New Roman" w:cs="Times New Roman"/>
          <w:sz w:val="20"/>
          <w:szCs w:val="20"/>
        </w:rPr>
        <w:t>regressor</w:t>
      </w:r>
      <w:proofErr w:type="spellEnd"/>
      <w:r w:rsidRPr="00A159CF">
        <w:rPr>
          <w:rFonts w:ascii="Times New Roman" w:hAnsi="Times New Roman" w:cs="Times New Roman"/>
          <w:sz w:val="20"/>
          <w:szCs w:val="20"/>
        </w:rPr>
        <w:t xml:space="preserve"> of the model, the simple estimations with OLS are inconsistent.</w:t>
      </w:r>
    </w:p>
    <w:p w:rsidR="00F25544" w:rsidRPr="00A159CF" w:rsidRDefault="00F25544"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The analysis was carried out on a sample that is limited to women from ages 15 to 65.</w:t>
      </w:r>
      <w:r w:rsidR="00067E14">
        <w:rPr>
          <w:rFonts w:ascii="Times New Roman" w:hAnsi="Times New Roman" w:cs="Times New Roman"/>
          <w:sz w:val="20"/>
          <w:szCs w:val="20"/>
        </w:rPr>
        <w:t xml:space="preserve"> </w:t>
      </w:r>
      <w:r w:rsidRPr="00A159CF">
        <w:rPr>
          <w:rFonts w:ascii="Times New Roman" w:hAnsi="Times New Roman" w:cs="Times New Roman"/>
          <w:sz w:val="20"/>
          <w:szCs w:val="20"/>
        </w:rPr>
        <w:t xml:space="preserve">Both participants and non-participants women were used to estimate the selection equation, while to estimate the wage equation we only use women that participate in the </w:t>
      </w:r>
      <w:proofErr w:type="spellStart"/>
      <w:r w:rsidRPr="00A159CF">
        <w:rPr>
          <w:rFonts w:ascii="Times New Roman" w:hAnsi="Times New Roman" w:cs="Times New Roman"/>
          <w:sz w:val="20"/>
          <w:szCs w:val="20"/>
        </w:rPr>
        <w:t>labour</w:t>
      </w:r>
      <w:proofErr w:type="spellEnd"/>
      <w:r w:rsidRPr="00A159CF">
        <w:rPr>
          <w:rFonts w:ascii="Times New Roman" w:hAnsi="Times New Roman" w:cs="Times New Roman"/>
          <w:sz w:val="20"/>
          <w:szCs w:val="20"/>
        </w:rPr>
        <w:t xml:space="preserve"> market.</w:t>
      </w:r>
    </w:p>
    <w:p w:rsidR="00F25544" w:rsidRPr="00A159CF" w:rsidRDefault="00F25544"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First OLS estimate estimation was done with an assumption that there isn’t sample selection, then the IV and Heckman Models to correct the sample selection and where all </w:t>
      </w:r>
      <w:proofErr w:type="spellStart"/>
      <w:r w:rsidRPr="00A159CF">
        <w:rPr>
          <w:rFonts w:ascii="Times New Roman" w:hAnsi="Times New Roman" w:cs="Times New Roman"/>
          <w:sz w:val="20"/>
          <w:szCs w:val="20"/>
        </w:rPr>
        <w:t>regressors</w:t>
      </w:r>
      <w:proofErr w:type="spellEnd"/>
      <w:r w:rsidRPr="00A159CF">
        <w:rPr>
          <w:rFonts w:ascii="Times New Roman" w:hAnsi="Times New Roman" w:cs="Times New Roman"/>
          <w:sz w:val="20"/>
          <w:szCs w:val="20"/>
        </w:rPr>
        <w:t xml:space="preserve"> are considerate exogenous.</w:t>
      </w:r>
      <w:r w:rsidR="005413D2" w:rsidRPr="00A159CF">
        <w:rPr>
          <w:rFonts w:ascii="Times New Roman" w:hAnsi="Times New Roman" w:cs="Times New Roman"/>
          <w:sz w:val="20"/>
          <w:szCs w:val="20"/>
        </w:rPr>
        <w:t xml:space="preserve"> </w:t>
      </w:r>
      <w:r w:rsidRPr="00A159CF">
        <w:rPr>
          <w:rFonts w:ascii="Times New Roman" w:hAnsi="Times New Roman" w:cs="Times New Roman"/>
          <w:sz w:val="20"/>
          <w:szCs w:val="20"/>
        </w:rPr>
        <w:t xml:space="preserve">The result reveals that </w:t>
      </w:r>
      <w:proofErr w:type="spellStart"/>
      <w:r w:rsidRPr="00A159CF">
        <w:rPr>
          <w:rFonts w:ascii="Times New Roman" w:hAnsi="Times New Roman" w:cs="Times New Roman"/>
          <w:sz w:val="20"/>
          <w:szCs w:val="20"/>
        </w:rPr>
        <w:t>the‘t</w:t>
      </w:r>
      <w:proofErr w:type="spellEnd"/>
      <w:r w:rsidRPr="00A159CF">
        <w:rPr>
          <w:rFonts w:ascii="Times New Roman" w:hAnsi="Times New Roman" w:cs="Times New Roman"/>
          <w:sz w:val="20"/>
          <w:szCs w:val="20"/>
        </w:rPr>
        <w:t xml:space="preserve">’ statistics test on the sample selection coefficient (lambda) in the Heckman’s 2-step indicates the presence of sample selection bias the values are 1.342 (5.326) significant at 1%. In other words, the use of the censored sample model (OLS) would lead to incorrect estimates for the valuation of wage equation for women in rural Nigeria. Therefore the result of the </w:t>
      </w:r>
      <w:r w:rsidR="00B7737A" w:rsidRPr="00A159CF">
        <w:rPr>
          <w:rFonts w:ascii="Times New Roman" w:hAnsi="Times New Roman" w:cs="Times New Roman"/>
          <w:sz w:val="20"/>
          <w:szCs w:val="20"/>
        </w:rPr>
        <w:t>H</w:t>
      </w:r>
      <w:r w:rsidRPr="00A159CF">
        <w:rPr>
          <w:rFonts w:ascii="Times New Roman" w:hAnsi="Times New Roman" w:cs="Times New Roman"/>
          <w:sz w:val="20"/>
          <w:szCs w:val="20"/>
        </w:rPr>
        <w:t>eckman model is reported.</w:t>
      </w:r>
    </w:p>
    <w:p w:rsidR="00F25544" w:rsidRPr="00A159CF" w:rsidRDefault="00F25544"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Table </w:t>
      </w:r>
      <w:r w:rsidR="00F54C4A" w:rsidRPr="00A159CF">
        <w:rPr>
          <w:rFonts w:ascii="Times New Roman" w:hAnsi="Times New Roman" w:cs="Times New Roman"/>
          <w:sz w:val="20"/>
          <w:szCs w:val="20"/>
        </w:rPr>
        <w:t>2</w:t>
      </w:r>
      <w:r w:rsidRPr="00A159CF">
        <w:rPr>
          <w:rFonts w:ascii="Times New Roman" w:hAnsi="Times New Roman" w:cs="Times New Roman"/>
          <w:sz w:val="20"/>
          <w:szCs w:val="20"/>
        </w:rPr>
        <w:t xml:space="preserve"> presents the coefficients of the education dummies and experience variables for all women from the earnings equation estimated. The model for wage employment explains about 37% of the variations in log earnings while that of self-employment explains about 45%. For wage employment, the result reveals a positive relationship between Primary (0.004), Secondary (0.105), Tertiary (0.243) educational levels, years of experience (0.181) and earnings of women in rural Nigeria. This implies a slight change in primary, secondary and tertiary educational levels will lead to 0.4 percent, 10 percent and 24 percent change in wage earning respectively. While a change</w:t>
      </w:r>
      <w:r w:rsidR="00681F27" w:rsidRPr="00A159CF">
        <w:rPr>
          <w:rFonts w:ascii="Times New Roman" w:hAnsi="Times New Roman" w:cs="Times New Roman"/>
          <w:sz w:val="20"/>
          <w:szCs w:val="20"/>
        </w:rPr>
        <w:t xml:space="preserve"> (</w:t>
      </w:r>
      <w:r w:rsidR="00B5226C" w:rsidRPr="00A159CF">
        <w:rPr>
          <w:rFonts w:ascii="Times New Roman" w:hAnsi="Times New Roman" w:cs="Times New Roman"/>
          <w:sz w:val="20"/>
          <w:szCs w:val="20"/>
        </w:rPr>
        <w:t>an increase)</w:t>
      </w:r>
      <w:r w:rsidRPr="00A159CF">
        <w:rPr>
          <w:rFonts w:ascii="Times New Roman" w:hAnsi="Times New Roman" w:cs="Times New Roman"/>
          <w:sz w:val="20"/>
          <w:szCs w:val="20"/>
        </w:rPr>
        <w:t xml:space="preserve"> in years of experience will lead to an 1</w:t>
      </w:r>
      <w:r w:rsidR="00681F27" w:rsidRPr="00A159CF">
        <w:rPr>
          <w:rFonts w:ascii="Times New Roman" w:hAnsi="Times New Roman" w:cs="Times New Roman"/>
          <w:sz w:val="20"/>
          <w:szCs w:val="20"/>
        </w:rPr>
        <w:t xml:space="preserve">8 percent increase in wage earnings. </w:t>
      </w:r>
      <w:r w:rsidRPr="00A159CF">
        <w:rPr>
          <w:rFonts w:ascii="Times New Roman" w:hAnsi="Times New Roman" w:cs="Times New Roman"/>
          <w:sz w:val="20"/>
          <w:szCs w:val="20"/>
        </w:rPr>
        <w:t xml:space="preserve">Similarly, in self-employment </w:t>
      </w:r>
      <w:r w:rsidRPr="00A159CF">
        <w:rPr>
          <w:rFonts w:ascii="Times New Roman" w:hAnsi="Times New Roman" w:cs="Times New Roman"/>
          <w:sz w:val="20"/>
          <w:szCs w:val="20"/>
        </w:rPr>
        <w:lastRenderedPageBreak/>
        <w:t xml:space="preserve">activities, Primary (0.331), Secondary (0.274), Tertiary (-0.803) educational levels and years of experience (0.162) were significantly related to women earnings with tertiary education showing a negative relationship. While a change in primary, secondary and years of experience will lead to about 33 percent, 27 percent and 16 percent increase in earnings of women engaged in self-employment in rural Nigeria, increase in Tertiary education will lead to about 80 percent decrease in it. The low (negative) returns to tertiary education may explain the negative effect of tertiary education on entry into the self-employment, while the relatively higher returns to primary and secondary education may explain the positive effect of primary and secondary education on entry into self-employment. Surprisingly, number of children (0.075) has positive relationship with women’s earnings in </w:t>
      </w:r>
      <w:r w:rsidR="002356C6" w:rsidRPr="00A159CF">
        <w:rPr>
          <w:rFonts w:ascii="Times New Roman" w:hAnsi="Times New Roman" w:cs="Times New Roman"/>
          <w:sz w:val="20"/>
          <w:szCs w:val="20"/>
        </w:rPr>
        <w:t>self-employment</w:t>
      </w:r>
      <w:r w:rsidRPr="00A159CF">
        <w:rPr>
          <w:rFonts w:ascii="Times New Roman" w:hAnsi="Times New Roman" w:cs="Times New Roman"/>
          <w:sz w:val="20"/>
          <w:szCs w:val="20"/>
        </w:rPr>
        <w:t xml:space="preserve"> activity. The result indicates that an increase in the number of children increases their earnings by 7.5 percent. This might not be unconnected with the fact that some grown up children in the household are involved in market activities. The result agrees with the previous study of (</w:t>
      </w:r>
      <w:proofErr w:type="spellStart"/>
      <w:r w:rsidRPr="00A159CF">
        <w:rPr>
          <w:rFonts w:ascii="Times New Roman" w:hAnsi="Times New Roman" w:cs="Times New Roman"/>
          <w:sz w:val="20"/>
          <w:szCs w:val="20"/>
        </w:rPr>
        <w:t>Okuwa</w:t>
      </w:r>
      <w:proofErr w:type="spellEnd"/>
      <w:r w:rsidRPr="00A159CF">
        <w:rPr>
          <w:rFonts w:ascii="Times New Roman" w:hAnsi="Times New Roman" w:cs="Times New Roman"/>
          <w:sz w:val="20"/>
          <w:szCs w:val="20"/>
        </w:rPr>
        <w:t xml:space="preserve"> 2004, </w:t>
      </w:r>
      <w:proofErr w:type="spellStart"/>
      <w:r w:rsidRPr="00A159CF">
        <w:rPr>
          <w:rFonts w:ascii="Times New Roman" w:hAnsi="Times New Roman" w:cs="Times New Roman"/>
          <w:sz w:val="20"/>
          <w:szCs w:val="20"/>
        </w:rPr>
        <w:t>Olorunfemi</w:t>
      </w:r>
      <w:proofErr w:type="spellEnd"/>
      <w:r w:rsidRPr="00A159CF">
        <w:rPr>
          <w:rFonts w:ascii="Times New Roman" w:hAnsi="Times New Roman" w:cs="Times New Roman"/>
          <w:sz w:val="20"/>
          <w:szCs w:val="20"/>
        </w:rPr>
        <w:t xml:space="preserve"> and </w:t>
      </w:r>
      <w:proofErr w:type="spellStart"/>
      <w:r w:rsidRPr="00A159CF">
        <w:rPr>
          <w:rFonts w:ascii="Times New Roman" w:hAnsi="Times New Roman" w:cs="Times New Roman"/>
          <w:sz w:val="20"/>
          <w:szCs w:val="20"/>
        </w:rPr>
        <w:t>Olowofeso</w:t>
      </w:r>
      <w:proofErr w:type="spellEnd"/>
      <w:r w:rsidRPr="00A159CF">
        <w:rPr>
          <w:rFonts w:ascii="Times New Roman" w:hAnsi="Times New Roman" w:cs="Times New Roman"/>
          <w:sz w:val="20"/>
          <w:szCs w:val="20"/>
        </w:rPr>
        <w:t xml:space="preserve"> 2007; </w:t>
      </w:r>
      <w:proofErr w:type="spellStart"/>
      <w:r w:rsidRPr="00A159CF">
        <w:rPr>
          <w:rFonts w:ascii="Times New Roman" w:hAnsi="Times New Roman" w:cs="Times New Roman"/>
          <w:sz w:val="20"/>
          <w:szCs w:val="20"/>
        </w:rPr>
        <w:t>Malathy</w:t>
      </w:r>
      <w:proofErr w:type="spellEnd"/>
      <w:r w:rsidRPr="00A159CF">
        <w:rPr>
          <w:rFonts w:ascii="Times New Roman" w:hAnsi="Times New Roman" w:cs="Times New Roman"/>
          <w:sz w:val="20"/>
          <w:szCs w:val="20"/>
        </w:rPr>
        <w:t>, 1989).</w:t>
      </w:r>
    </w:p>
    <w:p w:rsidR="00466007" w:rsidRPr="00A159CF" w:rsidRDefault="00466007" w:rsidP="00466007">
      <w:pPr>
        <w:pStyle w:val="PlainText"/>
        <w:snapToGrid w:val="0"/>
        <w:jc w:val="both"/>
        <w:rPr>
          <w:rFonts w:ascii="Times New Roman" w:hAnsi="Times New Roman" w:cs="Times New Roman"/>
          <w:b/>
          <w:sz w:val="20"/>
          <w:szCs w:val="20"/>
        </w:rPr>
      </w:pPr>
      <w:r w:rsidRPr="00A159CF">
        <w:rPr>
          <w:rFonts w:ascii="Times New Roman" w:hAnsi="Times New Roman" w:cs="Times New Roman"/>
          <w:b/>
          <w:sz w:val="20"/>
          <w:szCs w:val="20"/>
        </w:rPr>
        <w:t>Effect of Education on Non- Agricultural Wage</w:t>
      </w:r>
    </w:p>
    <w:p w:rsidR="00466007" w:rsidRPr="00A159CF" w:rsidRDefault="00466007" w:rsidP="00466007">
      <w:pPr>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 xml:space="preserve">Table 3 shows the result of the analysis of the effects of education on Non-Agricultural Wage using the subset of the women who are employees in the non-agricultural sector. The dependent variable is the natural log of average monthly wage from non-agricultural employment. As the table shows, different levels of education have </w:t>
      </w:r>
      <w:proofErr w:type="spellStart"/>
      <w:r w:rsidRPr="00A159CF">
        <w:rPr>
          <w:rFonts w:ascii="Times New Roman" w:hAnsi="Times New Roman" w:cs="Times New Roman"/>
          <w:sz w:val="20"/>
          <w:szCs w:val="20"/>
        </w:rPr>
        <w:t>signiﬁcant</w:t>
      </w:r>
      <w:proofErr w:type="spellEnd"/>
      <w:r w:rsidRPr="00A159CF">
        <w:rPr>
          <w:rFonts w:ascii="Times New Roman" w:hAnsi="Times New Roman" w:cs="Times New Roman"/>
          <w:sz w:val="20"/>
          <w:szCs w:val="20"/>
        </w:rPr>
        <w:t xml:space="preserve"> positive effects on the wage level for women in non-agricultural wage employment. The wage of women is expected to increase by 13% with primary education, 28% with secondary education and 49% with tertiary education. (Model A). These parameters imply the following </w:t>
      </w:r>
      <w:proofErr w:type="spellStart"/>
      <w:r w:rsidRPr="00A159CF">
        <w:rPr>
          <w:rFonts w:ascii="Times New Roman" w:hAnsi="Times New Roman" w:cs="Times New Roman"/>
          <w:sz w:val="20"/>
          <w:szCs w:val="20"/>
        </w:rPr>
        <w:t>Mincerian</w:t>
      </w:r>
      <w:proofErr w:type="spellEnd"/>
      <w:r w:rsidRPr="00A159CF">
        <w:rPr>
          <w:rFonts w:ascii="Times New Roman" w:hAnsi="Times New Roman" w:cs="Times New Roman"/>
          <w:sz w:val="20"/>
          <w:szCs w:val="20"/>
        </w:rPr>
        <w:t xml:space="preserve"> rates of returns (dividing coefficient by the standard years of schooling): 1.4% for education up to the primary level, 3.1% for education up to the middle level, and 4.4% for education up to the secondary and higher level. This range is consistent with the estimates in earlier studies on the returns to schooling in non-agricultural wage (</w:t>
      </w:r>
      <w:proofErr w:type="spellStart"/>
      <w:r w:rsidRPr="00A159CF">
        <w:rPr>
          <w:rFonts w:ascii="Times New Roman" w:hAnsi="Times New Roman" w:cs="Times New Roman"/>
          <w:sz w:val="20"/>
          <w:szCs w:val="20"/>
        </w:rPr>
        <w:t>Fafchamps</w:t>
      </w:r>
      <w:proofErr w:type="spellEnd"/>
      <w:r w:rsidRPr="00A159CF">
        <w:rPr>
          <w:rFonts w:ascii="Times New Roman" w:hAnsi="Times New Roman" w:cs="Times New Roman"/>
          <w:sz w:val="20"/>
          <w:szCs w:val="20"/>
        </w:rPr>
        <w:t xml:space="preserve"> and </w:t>
      </w:r>
      <w:proofErr w:type="spellStart"/>
      <w:r w:rsidRPr="00A159CF">
        <w:rPr>
          <w:rFonts w:ascii="Times New Roman" w:hAnsi="Times New Roman" w:cs="Times New Roman"/>
          <w:sz w:val="20"/>
          <w:szCs w:val="20"/>
        </w:rPr>
        <w:t>Quisumbing</w:t>
      </w:r>
      <w:proofErr w:type="spellEnd"/>
      <w:r w:rsidRPr="00A159CF">
        <w:rPr>
          <w:rFonts w:ascii="Times New Roman" w:hAnsi="Times New Roman" w:cs="Times New Roman"/>
          <w:sz w:val="20"/>
          <w:szCs w:val="20"/>
        </w:rPr>
        <w:t xml:space="preserve">, 1999; Alderman et al., 1996). When the schooling year (i.e., standard years of basic education, 9 years in Nigeria) and its quadratic term were included as education variables (Model B), only the positive </w:t>
      </w:r>
      <w:proofErr w:type="spellStart"/>
      <w:r w:rsidRPr="00A159CF">
        <w:rPr>
          <w:rFonts w:ascii="Times New Roman" w:hAnsi="Times New Roman" w:cs="Times New Roman"/>
          <w:sz w:val="20"/>
          <w:szCs w:val="20"/>
        </w:rPr>
        <w:t>coeﬃcient</w:t>
      </w:r>
      <w:proofErr w:type="spellEnd"/>
      <w:r w:rsidRPr="00A159CF">
        <w:rPr>
          <w:rFonts w:ascii="Times New Roman" w:hAnsi="Times New Roman" w:cs="Times New Roman"/>
          <w:sz w:val="20"/>
          <w:szCs w:val="20"/>
        </w:rPr>
        <w:t xml:space="preserve"> on the quadratic term was statistically </w:t>
      </w:r>
      <w:proofErr w:type="spellStart"/>
      <w:r w:rsidRPr="00A159CF">
        <w:rPr>
          <w:rFonts w:ascii="Times New Roman" w:hAnsi="Times New Roman" w:cs="Times New Roman"/>
          <w:sz w:val="20"/>
          <w:szCs w:val="20"/>
        </w:rPr>
        <w:t>signiﬁcant</w:t>
      </w:r>
      <w:proofErr w:type="spellEnd"/>
      <w:r w:rsidRPr="00A159CF">
        <w:rPr>
          <w:rFonts w:ascii="Times New Roman" w:hAnsi="Times New Roman" w:cs="Times New Roman"/>
          <w:sz w:val="20"/>
          <w:szCs w:val="20"/>
        </w:rPr>
        <w:t>. These results suggest that return to education increases with education at an increasing rate, which is consistent with the findings of Cohen and House (1994).</w:t>
      </w:r>
    </w:p>
    <w:p w:rsidR="00466007" w:rsidRPr="00A159CF" w:rsidRDefault="00466007" w:rsidP="00A159CF">
      <w:pPr>
        <w:pStyle w:val="PlainText"/>
        <w:snapToGrid w:val="0"/>
        <w:ind w:firstLine="425"/>
        <w:jc w:val="both"/>
        <w:rPr>
          <w:rFonts w:ascii="Times New Roman" w:hAnsi="Times New Roman" w:cs="Times New Roman"/>
          <w:b/>
          <w:sz w:val="20"/>
          <w:szCs w:val="20"/>
          <w:lang w:eastAsia="zh-CN"/>
        </w:rPr>
        <w:sectPr w:rsidR="00466007" w:rsidRPr="00A159CF" w:rsidSect="00067E14">
          <w:type w:val="continuous"/>
          <w:pgSz w:w="12242" w:h="15842" w:code="1"/>
          <w:pgMar w:top="1440" w:right="1440" w:bottom="1440" w:left="1440" w:header="720" w:footer="720" w:gutter="0"/>
          <w:cols w:num="2" w:space="576"/>
          <w:docGrid w:linePitch="360"/>
        </w:sectPr>
      </w:pPr>
    </w:p>
    <w:p w:rsidR="00D11A2B" w:rsidRPr="00A159CF" w:rsidRDefault="00D11A2B" w:rsidP="00A159CF">
      <w:pPr>
        <w:pStyle w:val="PlainText"/>
        <w:snapToGrid w:val="0"/>
        <w:ind w:firstLine="425"/>
        <w:jc w:val="both"/>
        <w:rPr>
          <w:rFonts w:ascii="Times New Roman" w:hAnsi="Times New Roman" w:cs="Times New Roman"/>
          <w:b/>
          <w:sz w:val="20"/>
          <w:szCs w:val="20"/>
        </w:rPr>
      </w:pPr>
    </w:p>
    <w:p w:rsidR="00F25544" w:rsidRPr="00A159CF" w:rsidRDefault="00F25544" w:rsidP="00253F35">
      <w:pPr>
        <w:pStyle w:val="PlainText"/>
        <w:snapToGrid w:val="0"/>
        <w:jc w:val="center"/>
        <w:rPr>
          <w:rFonts w:ascii="Times New Roman" w:hAnsi="Times New Roman" w:cs="Times New Roman"/>
          <w:b/>
          <w:sz w:val="20"/>
          <w:szCs w:val="20"/>
        </w:rPr>
      </w:pPr>
      <w:r w:rsidRPr="00A159CF">
        <w:rPr>
          <w:rFonts w:ascii="Times New Roman" w:hAnsi="Times New Roman" w:cs="Times New Roman"/>
          <w:b/>
          <w:sz w:val="20"/>
          <w:szCs w:val="20"/>
        </w:rPr>
        <w:lastRenderedPageBreak/>
        <w:t xml:space="preserve">Table </w:t>
      </w:r>
      <w:r w:rsidR="00EA4F00" w:rsidRPr="00A159CF">
        <w:rPr>
          <w:rFonts w:ascii="Times New Roman" w:hAnsi="Times New Roman" w:cs="Times New Roman"/>
          <w:b/>
          <w:sz w:val="20"/>
          <w:szCs w:val="20"/>
        </w:rPr>
        <w:t>2</w:t>
      </w:r>
      <w:r w:rsidRPr="00A159CF">
        <w:rPr>
          <w:rFonts w:ascii="Times New Roman" w:hAnsi="Times New Roman" w:cs="Times New Roman"/>
          <w:b/>
          <w:sz w:val="20"/>
          <w:szCs w:val="20"/>
        </w:rPr>
        <w:t>: The Effect of Education on Women Earnings</w:t>
      </w:r>
    </w:p>
    <w:tbl>
      <w:tblPr>
        <w:tblStyle w:val="TableGrid"/>
        <w:tblW w:w="4445" w:type="pct"/>
        <w:jc w:val="center"/>
        <w:tblInd w:w="648" w:type="dxa"/>
        <w:tblLook w:val="04A0"/>
      </w:tblPr>
      <w:tblGrid>
        <w:gridCol w:w="3061"/>
        <w:gridCol w:w="2676"/>
        <w:gridCol w:w="2778"/>
      </w:tblGrid>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Variables</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Wage employment</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Self- Employment</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Pry.</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0.004</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(1.802)*</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0.330</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(2.188)**</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Sec.</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0.105</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(2.059)**</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0.274***</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(4.153)</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Ter.</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0.243***</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(5.180)</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-0.803***</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(3.138)</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Exp.</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0.181</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(9.015)***</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0.162*</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(1.719)</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Exp</w:t>
            </w:r>
            <w:r w:rsidRPr="00A159CF">
              <w:rPr>
                <w:rFonts w:ascii="Times New Roman" w:hAnsi="Times New Roman" w:cs="Times New Roman"/>
                <w:color w:val="000000"/>
                <w:sz w:val="20"/>
                <w:szCs w:val="20"/>
                <w:vertAlign w:val="superscript"/>
              </w:rPr>
              <w:t>2</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-0.001</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(0.003)</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-0.002</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(0.006)</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No of Children</w:t>
            </w:r>
          </w:p>
        </w:tc>
        <w:tc>
          <w:tcPr>
            <w:tcW w:w="1571" w:type="pct"/>
          </w:tcPr>
          <w:p w:rsidR="00F25544" w:rsidRPr="00A159CF" w:rsidRDefault="00F25544" w:rsidP="00A159CF">
            <w:pPr>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0.044</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(0.976)</w:t>
            </w:r>
          </w:p>
        </w:tc>
        <w:tc>
          <w:tcPr>
            <w:tcW w:w="1631" w:type="pct"/>
          </w:tcPr>
          <w:p w:rsidR="00F25544" w:rsidRPr="00A159CF" w:rsidRDefault="00F25544" w:rsidP="00A159CF">
            <w:pPr>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0.0749</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(1.726) *</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Con.</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7.102</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(10.181)***</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8.830</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(14.189)***</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R</w:t>
            </w:r>
            <w:r w:rsidRPr="00A159CF">
              <w:rPr>
                <w:rFonts w:ascii="Times New Roman" w:hAnsi="Times New Roman" w:cs="Times New Roman"/>
                <w:color w:val="000000"/>
                <w:sz w:val="20"/>
                <w:szCs w:val="20"/>
                <w:vertAlign w:val="superscript"/>
              </w:rPr>
              <w:t>2</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0.37</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0.45</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AdjR</w:t>
            </w:r>
            <w:r w:rsidRPr="00A159CF">
              <w:rPr>
                <w:rFonts w:ascii="Times New Roman" w:hAnsi="Times New Roman" w:cs="Times New Roman"/>
                <w:color w:val="000000"/>
                <w:sz w:val="20"/>
                <w:szCs w:val="20"/>
                <w:vertAlign w:val="superscript"/>
              </w:rPr>
              <w:t>2</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20.5</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49.43</w:t>
            </w:r>
          </w:p>
        </w:tc>
      </w:tr>
      <w:tr w:rsidR="00F25544" w:rsidRPr="00A159CF" w:rsidTr="00067E14">
        <w:trPr>
          <w:cantSplit/>
          <w:jc w:val="center"/>
        </w:trPr>
        <w:tc>
          <w:tcPr>
            <w:tcW w:w="179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Lambda</w:t>
            </w:r>
          </w:p>
        </w:tc>
        <w:tc>
          <w:tcPr>
            <w:tcW w:w="157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1.342***</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(5.326)</w:t>
            </w:r>
          </w:p>
        </w:tc>
        <w:tc>
          <w:tcPr>
            <w:tcW w:w="1631"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3.455***</w:t>
            </w:r>
          </w:p>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(3.002)</w:t>
            </w:r>
          </w:p>
        </w:tc>
      </w:tr>
    </w:tbl>
    <w:p w:rsidR="00F25544" w:rsidRPr="00A159CF" w:rsidRDefault="00F25544" w:rsidP="00253F35">
      <w:pPr>
        <w:autoSpaceDE w:val="0"/>
        <w:autoSpaceDN w:val="0"/>
        <w:adjustRightInd w:val="0"/>
        <w:snapToGrid w:val="0"/>
        <w:spacing w:after="0" w:line="240" w:lineRule="auto"/>
        <w:ind w:leftChars="515" w:left="1133"/>
        <w:jc w:val="both"/>
        <w:rPr>
          <w:rFonts w:ascii="Times New Roman" w:hAnsi="Times New Roman" w:cs="Times New Roman"/>
          <w:sz w:val="20"/>
          <w:szCs w:val="20"/>
        </w:rPr>
      </w:pPr>
      <w:r w:rsidRPr="00A159CF">
        <w:rPr>
          <w:rFonts w:ascii="Times New Roman" w:hAnsi="Times New Roman" w:cs="Times New Roman"/>
          <w:b/>
          <w:sz w:val="20"/>
          <w:szCs w:val="20"/>
        </w:rPr>
        <w:t>Source:</w:t>
      </w:r>
      <w:r w:rsidRPr="00A159CF">
        <w:rPr>
          <w:rFonts w:ascii="Times New Roman" w:hAnsi="Times New Roman" w:cs="Times New Roman"/>
          <w:sz w:val="20"/>
          <w:szCs w:val="20"/>
        </w:rPr>
        <w:t xml:space="preserve"> </w:t>
      </w:r>
      <w:r w:rsidR="00612C79" w:rsidRPr="00A159CF">
        <w:rPr>
          <w:rFonts w:ascii="Times New Roman" w:hAnsi="Times New Roman" w:cs="Times New Roman"/>
          <w:sz w:val="20"/>
          <w:szCs w:val="20"/>
        </w:rPr>
        <w:t>Result of Data Analyzed 2012.</w:t>
      </w:r>
      <w:r w:rsidR="00067E14">
        <w:rPr>
          <w:rFonts w:ascii="Times New Roman" w:hAnsi="Times New Roman" w:cs="Times New Roman"/>
          <w:sz w:val="20"/>
          <w:szCs w:val="20"/>
        </w:rPr>
        <w:t xml:space="preserve">   </w:t>
      </w:r>
      <w:r w:rsidRPr="00A159CF">
        <w:rPr>
          <w:rFonts w:ascii="Times New Roman" w:hAnsi="Times New Roman" w:cs="Times New Roman"/>
          <w:sz w:val="20"/>
          <w:szCs w:val="20"/>
        </w:rPr>
        <w:t>t-statistics are in parenthesis</w:t>
      </w:r>
    </w:p>
    <w:p w:rsidR="00F25544" w:rsidRPr="00A159CF" w:rsidRDefault="000A550D" w:rsidP="00253F35">
      <w:pPr>
        <w:autoSpaceDE w:val="0"/>
        <w:autoSpaceDN w:val="0"/>
        <w:adjustRightInd w:val="0"/>
        <w:snapToGrid w:val="0"/>
        <w:spacing w:after="0" w:line="240" w:lineRule="auto"/>
        <w:ind w:leftChars="515" w:left="1133"/>
        <w:jc w:val="both"/>
        <w:rPr>
          <w:rFonts w:ascii="Times New Roman" w:hAnsi="Times New Roman" w:cs="Times New Roman"/>
          <w:sz w:val="20"/>
          <w:szCs w:val="20"/>
        </w:rPr>
      </w:pPr>
      <w:r w:rsidRPr="00A159CF">
        <w:rPr>
          <w:rFonts w:ascii="Times New Roman" w:hAnsi="Times New Roman" w:cs="Times New Roman"/>
          <w:sz w:val="20"/>
          <w:szCs w:val="20"/>
        </w:rPr>
        <w:t xml:space="preserve">(***, </w:t>
      </w:r>
      <w:r w:rsidR="00F25544" w:rsidRPr="00A159CF">
        <w:rPr>
          <w:rFonts w:ascii="Times New Roman" w:hAnsi="Times New Roman" w:cs="Times New Roman"/>
          <w:sz w:val="20"/>
          <w:szCs w:val="20"/>
        </w:rPr>
        <w:t>**,*) = coefficients significant at 1% (5%, 10%) level.</w:t>
      </w:r>
    </w:p>
    <w:p w:rsidR="008038E8" w:rsidRDefault="008038E8" w:rsidP="00A159CF">
      <w:pPr>
        <w:pStyle w:val="PlainText"/>
        <w:snapToGrid w:val="0"/>
        <w:jc w:val="both"/>
        <w:rPr>
          <w:rFonts w:ascii="Times New Roman" w:hAnsi="Times New Roman" w:cs="Times New Roman"/>
          <w:sz w:val="20"/>
          <w:szCs w:val="20"/>
          <w:lang w:val="en-US" w:eastAsia="zh-CN"/>
        </w:rPr>
      </w:pPr>
    </w:p>
    <w:p w:rsidR="00067E14" w:rsidRPr="00A159CF" w:rsidRDefault="00067E14" w:rsidP="00A159CF">
      <w:pPr>
        <w:pStyle w:val="PlainText"/>
        <w:snapToGrid w:val="0"/>
        <w:jc w:val="both"/>
        <w:rPr>
          <w:rFonts w:ascii="Times New Roman" w:hAnsi="Times New Roman" w:cs="Times New Roman"/>
          <w:b/>
          <w:sz w:val="20"/>
          <w:szCs w:val="20"/>
          <w:lang w:eastAsia="zh-CN"/>
        </w:rPr>
        <w:sectPr w:rsidR="00067E14" w:rsidRPr="00A159CF" w:rsidSect="007F25D1">
          <w:type w:val="continuous"/>
          <w:pgSz w:w="12242" w:h="15842" w:code="1"/>
          <w:pgMar w:top="1440" w:right="1440" w:bottom="1440" w:left="1440" w:header="720" w:footer="720" w:gutter="0"/>
          <w:cols w:space="720"/>
          <w:docGrid w:linePitch="360"/>
        </w:sectPr>
      </w:pPr>
    </w:p>
    <w:p w:rsidR="00F25544" w:rsidRPr="00A159CF" w:rsidRDefault="00F25544" w:rsidP="00067E14">
      <w:pPr>
        <w:pStyle w:val="PlainText"/>
        <w:snapToGrid w:val="0"/>
        <w:rPr>
          <w:rFonts w:ascii="Times New Roman" w:hAnsi="Times New Roman" w:cs="Times New Roman"/>
          <w:b/>
          <w:sz w:val="20"/>
          <w:szCs w:val="20"/>
        </w:rPr>
      </w:pPr>
      <w:r w:rsidRPr="00A159CF">
        <w:rPr>
          <w:rFonts w:ascii="Times New Roman" w:hAnsi="Times New Roman" w:cs="Times New Roman"/>
          <w:b/>
          <w:sz w:val="20"/>
          <w:szCs w:val="20"/>
        </w:rPr>
        <w:lastRenderedPageBreak/>
        <w:t>Table</w:t>
      </w:r>
      <w:r w:rsidR="00DB2BE2" w:rsidRPr="00A159CF">
        <w:rPr>
          <w:rFonts w:ascii="Times New Roman" w:hAnsi="Times New Roman" w:cs="Times New Roman"/>
          <w:b/>
          <w:sz w:val="20"/>
          <w:szCs w:val="20"/>
        </w:rPr>
        <w:t xml:space="preserve"> 3</w:t>
      </w:r>
      <w:r w:rsidRPr="00A159CF">
        <w:rPr>
          <w:rFonts w:ascii="Times New Roman" w:hAnsi="Times New Roman" w:cs="Times New Roman"/>
          <w:b/>
          <w:sz w:val="20"/>
          <w:szCs w:val="20"/>
        </w:rPr>
        <w:t>: The effect of education on Non- Agricultural Wage</w:t>
      </w:r>
    </w:p>
    <w:tbl>
      <w:tblPr>
        <w:tblStyle w:val="TableGrid"/>
        <w:tblW w:w="5097" w:type="pct"/>
        <w:jc w:val="center"/>
        <w:tblLook w:val="04A0"/>
      </w:tblPr>
      <w:tblGrid>
        <w:gridCol w:w="929"/>
        <w:gridCol w:w="963"/>
        <w:gridCol w:w="946"/>
        <w:gridCol w:w="963"/>
        <w:gridCol w:w="897"/>
      </w:tblGrid>
      <w:tr w:rsidR="00F25544" w:rsidRPr="00067E14" w:rsidTr="00067E14">
        <w:trPr>
          <w:jc w:val="center"/>
        </w:trPr>
        <w:tc>
          <w:tcPr>
            <w:tcW w:w="1026" w:type="pct"/>
            <w:vMerge w:val="restart"/>
            <w:vAlign w:val="center"/>
          </w:tcPr>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r w:rsidRPr="00067E14">
              <w:rPr>
                <w:rFonts w:ascii="Times New Roman" w:hAnsi="Times New Roman" w:cs="Times New Roman"/>
                <w:b/>
                <w:color w:val="000000"/>
                <w:sz w:val="16"/>
                <w:szCs w:val="16"/>
              </w:rPr>
              <w:t>Variables</w:t>
            </w:r>
          </w:p>
        </w:tc>
        <w:tc>
          <w:tcPr>
            <w:tcW w:w="2106" w:type="pct"/>
            <w:gridSpan w:val="2"/>
            <w:vAlign w:val="center"/>
          </w:tcPr>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r w:rsidRPr="00067E14">
              <w:rPr>
                <w:rFonts w:ascii="Times New Roman" w:hAnsi="Times New Roman" w:cs="Times New Roman"/>
                <w:b/>
                <w:color w:val="000000"/>
                <w:sz w:val="16"/>
                <w:szCs w:val="16"/>
              </w:rPr>
              <w:t>Using Educational Level</w:t>
            </w:r>
          </w:p>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r w:rsidRPr="00067E14">
              <w:rPr>
                <w:rFonts w:ascii="Times New Roman" w:hAnsi="Times New Roman" w:cs="Times New Roman"/>
                <w:b/>
                <w:color w:val="000000"/>
                <w:sz w:val="16"/>
                <w:szCs w:val="16"/>
              </w:rPr>
              <w:t>(Model A)</w:t>
            </w:r>
          </w:p>
        </w:tc>
        <w:tc>
          <w:tcPr>
            <w:tcW w:w="1868" w:type="pct"/>
            <w:gridSpan w:val="2"/>
            <w:vAlign w:val="center"/>
          </w:tcPr>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r w:rsidRPr="00067E14">
              <w:rPr>
                <w:rFonts w:ascii="Times New Roman" w:hAnsi="Times New Roman" w:cs="Times New Roman"/>
                <w:b/>
                <w:color w:val="000000"/>
                <w:sz w:val="16"/>
                <w:szCs w:val="16"/>
              </w:rPr>
              <w:t>Using years of schooling</w:t>
            </w:r>
          </w:p>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r w:rsidRPr="00067E14">
              <w:rPr>
                <w:rFonts w:ascii="Times New Roman" w:hAnsi="Times New Roman" w:cs="Times New Roman"/>
                <w:b/>
                <w:color w:val="000000"/>
                <w:sz w:val="16"/>
                <w:szCs w:val="16"/>
              </w:rPr>
              <w:t>(Model B)</w:t>
            </w:r>
          </w:p>
        </w:tc>
      </w:tr>
      <w:tr w:rsidR="00F25544" w:rsidRPr="00067E14" w:rsidTr="00067E14">
        <w:trPr>
          <w:jc w:val="center"/>
        </w:trPr>
        <w:tc>
          <w:tcPr>
            <w:tcW w:w="1026" w:type="pct"/>
            <w:vMerge/>
            <w:vAlign w:val="center"/>
          </w:tcPr>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p>
        </w:tc>
        <w:tc>
          <w:tcPr>
            <w:tcW w:w="104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r w:rsidRPr="00067E14">
              <w:rPr>
                <w:rFonts w:ascii="Times New Roman" w:hAnsi="Times New Roman" w:cs="Times New Roman"/>
                <w:b/>
                <w:color w:val="000000"/>
                <w:sz w:val="16"/>
                <w:szCs w:val="16"/>
              </w:rPr>
              <w:t>Coefficient</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r w:rsidRPr="00067E14">
              <w:rPr>
                <w:rFonts w:ascii="Times New Roman" w:hAnsi="Times New Roman" w:cs="Times New Roman"/>
                <w:b/>
                <w:color w:val="000000"/>
                <w:sz w:val="16"/>
                <w:szCs w:val="16"/>
              </w:rPr>
              <w:t>t-statistics</w:t>
            </w: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r w:rsidRPr="00067E14">
              <w:rPr>
                <w:rFonts w:ascii="Times New Roman" w:hAnsi="Times New Roman" w:cs="Times New Roman"/>
                <w:b/>
                <w:color w:val="000000"/>
                <w:sz w:val="16"/>
                <w:szCs w:val="16"/>
              </w:rPr>
              <w:t>Coefficient</w:t>
            </w: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b/>
                <w:color w:val="000000"/>
                <w:sz w:val="16"/>
                <w:szCs w:val="16"/>
              </w:rPr>
            </w:pPr>
            <w:r w:rsidRPr="00067E14">
              <w:rPr>
                <w:rFonts w:ascii="Times New Roman" w:hAnsi="Times New Roman" w:cs="Times New Roman"/>
                <w:b/>
                <w:color w:val="000000"/>
                <w:sz w:val="16"/>
                <w:szCs w:val="16"/>
              </w:rPr>
              <w:t>t-statistics</w:t>
            </w: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Pry.</w:t>
            </w:r>
          </w:p>
        </w:tc>
        <w:tc>
          <w:tcPr>
            <w:tcW w:w="104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0.125**</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2.381</w:t>
            </w: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Sec.</w:t>
            </w:r>
          </w:p>
        </w:tc>
        <w:tc>
          <w:tcPr>
            <w:tcW w:w="104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0.276***</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3.813</w:t>
            </w: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Ter.</w:t>
            </w:r>
          </w:p>
        </w:tc>
        <w:tc>
          <w:tcPr>
            <w:tcW w:w="104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0.485***</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6.556</w:t>
            </w: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Exp.</w:t>
            </w:r>
          </w:p>
        </w:tc>
        <w:tc>
          <w:tcPr>
            <w:tcW w:w="1043" w:type="pct"/>
            <w:vAlign w:val="center"/>
          </w:tcPr>
          <w:p w:rsidR="00F25544" w:rsidRPr="00067E14" w:rsidRDefault="00F25544" w:rsidP="00067E14">
            <w:pPr>
              <w:snapToGrid w:val="0"/>
              <w:jc w:val="center"/>
              <w:rPr>
                <w:rFonts w:ascii="Times New Roman" w:hAnsi="Times New Roman" w:cs="Times New Roman"/>
                <w:color w:val="000000"/>
                <w:sz w:val="16"/>
                <w:szCs w:val="16"/>
                <w:lang w:eastAsia="zh-CN"/>
              </w:rPr>
            </w:pPr>
            <w:r w:rsidRPr="00067E14">
              <w:rPr>
                <w:rFonts w:ascii="Times New Roman" w:hAnsi="Times New Roman" w:cs="Times New Roman"/>
                <w:color w:val="000000"/>
                <w:sz w:val="16"/>
                <w:szCs w:val="16"/>
              </w:rPr>
              <w:t>0.674**</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2.034</w:t>
            </w: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0.154***</w:t>
            </w: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4.258</w:t>
            </w: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Exp</w:t>
            </w:r>
            <w:r w:rsidRPr="00067E14">
              <w:rPr>
                <w:rFonts w:ascii="Times New Roman" w:hAnsi="Times New Roman" w:cs="Times New Roman"/>
                <w:color w:val="000000"/>
                <w:sz w:val="16"/>
                <w:szCs w:val="16"/>
                <w:vertAlign w:val="superscript"/>
              </w:rPr>
              <w:t>2</w:t>
            </w:r>
          </w:p>
        </w:tc>
        <w:tc>
          <w:tcPr>
            <w:tcW w:w="1043" w:type="pct"/>
            <w:vAlign w:val="center"/>
          </w:tcPr>
          <w:p w:rsidR="00F25544" w:rsidRPr="00067E14" w:rsidRDefault="00F25544" w:rsidP="00067E14">
            <w:pPr>
              <w:snapToGrid w:val="0"/>
              <w:jc w:val="center"/>
              <w:rPr>
                <w:rFonts w:ascii="Times New Roman" w:hAnsi="Times New Roman" w:cs="Times New Roman"/>
                <w:color w:val="000000"/>
                <w:sz w:val="16"/>
                <w:szCs w:val="16"/>
                <w:lang w:eastAsia="zh-CN"/>
              </w:rPr>
            </w:pPr>
            <w:r w:rsidRPr="00067E14">
              <w:rPr>
                <w:rFonts w:ascii="Times New Roman" w:hAnsi="Times New Roman" w:cs="Times New Roman"/>
                <w:color w:val="000000"/>
                <w:sz w:val="16"/>
                <w:szCs w:val="16"/>
              </w:rPr>
              <w:t>-0.002**</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-2.801</w:t>
            </w: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-0.283*</w:t>
            </w: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-1.835</w:t>
            </w: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roofErr w:type="spellStart"/>
            <w:r w:rsidRPr="00067E14">
              <w:rPr>
                <w:rFonts w:ascii="Times New Roman" w:hAnsi="Times New Roman" w:cs="Times New Roman"/>
                <w:color w:val="000000"/>
                <w:sz w:val="16"/>
                <w:szCs w:val="16"/>
              </w:rPr>
              <w:t>Yrsch</w:t>
            </w:r>
            <w:proofErr w:type="spellEnd"/>
          </w:p>
        </w:tc>
        <w:tc>
          <w:tcPr>
            <w:tcW w:w="1043" w:type="pct"/>
            <w:vAlign w:val="center"/>
          </w:tcPr>
          <w:p w:rsidR="00F25544" w:rsidRPr="00067E14" w:rsidRDefault="00F25544" w:rsidP="00253F35">
            <w:pPr>
              <w:snapToGrid w:val="0"/>
              <w:jc w:val="center"/>
              <w:rPr>
                <w:rFonts w:ascii="Times New Roman" w:hAnsi="Times New Roman" w:cs="Times New Roman"/>
                <w:color w:val="000000"/>
                <w:sz w:val="16"/>
                <w:szCs w:val="16"/>
              </w:rPr>
            </w:pP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0.104</w:t>
            </w: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0. 043</w:t>
            </w: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yrsch</w:t>
            </w:r>
            <w:r w:rsidRPr="00067E14">
              <w:rPr>
                <w:rFonts w:ascii="Times New Roman" w:hAnsi="Times New Roman" w:cs="Times New Roman"/>
                <w:color w:val="000000"/>
                <w:sz w:val="16"/>
                <w:szCs w:val="16"/>
                <w:vertAlign w:val="superscript"/>
              </w:rPr>
              <w:t>2</w:t>
            </w:r>
          </w:p>
        </w:tc>
        <w:tc>
          <w:tcPr>
            <w:tcW w:w="1043" w:type="pct"/>
            <w:vAlign w:val="center"/>
          </w:tcPr>
          <w:p w:rsidR="00F25544" w:rsidRPr="00067E14" w:rsidRDefault="00F25544" w:rsidP="00253F35">
            <w:pPr>
              <w:snapToGrid w:val="0"/>
              <w:jc w:val="center"/>
              <w:rPr>
                <w:rFonts w:ascii="Times New Roman" w:hAnsi="Times New Roman" w:cs="Times New Roman"/>
                <w:color w:val="000000"/>
                <w:sz w:val="16"/>
                <w:szCs w:val="16"/>
              </w:rPr>
            </w:pP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0.153*</w:t>
            </w: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0.069</w:t>
            </w:r>
          </w:p>
        </w:tc>
      </w:tr>
      <w:tr w:rsidR="00F25544" w:rsidRPr="00067E14" w:rsidTr="00067E14">
        <w:trPr>
          <w:jc w:val="center"/>
        </w:trPr>
        <w:tc>
          <w:tcPr>
            <w:tcW w:w="1026" w:type="pct"/>
            <w:vAlign w:val="center"/>
          </w:tcPr>
          <w:p w:rsidR="00F25544" w:rsidRPr="00067E14" w:rsidRDefault="00F25544" w:rsidP="00067E14">
            <w:pPr>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No of Children</w:t>
            </w:r>
          </w:p>
        </w:tc>
        <w:tc>
          <w:tcPr>
            <w:tcW w:w="1043" w:type="pct"/>
            <w:vAlign w:val="center"/>
          </w:tcPr>
          <w:p w:rsidR="00F25544" w:rsidRPr="00067E14" w:rsidRDefault="00F25544" w:rsidP="00067E14">
            <w:pPr>
              <w:snapToGrid w:val="0"/>
              <w:jc w:val="center"/>
              <w:rPr>
                <w:rFonts w:ascii="Times New Roman" w:hAnsi="Times New Roman" w:cs="Times New Roman"/>
                <w:color w:val="000000"/>
                <w:sz w:val="16"/>
                <w:szCs w:val="16"/>
                <w:lang w:eastAsia="zh-CN"/>
              </w:rPr>
            </w:pPr>
            <w:r w:rsidRPr="00067E14">
              <w:rPr>
                <w:rFonts w:ascii="Times New Roman" w:hAnsi="Times New Roman" w:cs="Times New Roman"/>
                <w:color w:val="000000"/>
                <w:sz w:val="16"/>
                <w:szCs w:val="16"/>
              </w:rPr>
              <w:t>-0.050</w:t>
            </w:r>
          </w:p>
        </w:tc>
        <w:tc>
          <w:tcPr>
            <w:tcW w:w="1063" w:type="pct"/>
            <w:vAlign w:val="center"/>
          </w:tcPr>
          <w:p w:rsidR="00F25544" w:rsidRPr="00067E14" w:rsidRDefault="00F25544" w:rsidP="00253F35">
            <w:pPr>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-0.7083</w:t>
            </w:r>
          </w:p>
        </w:tc>
        <w:tc>
          <w:tcPr>
            <w:tcW w:w="876" w:type="pct"/>
            <w:vAlign w:val="center"/>
          </w:tcPr>
          <w:p w:rsidR="00F25544" w:rsidRPr="00067E14" w:rsidRDefault="00F25544" w:rsidP="00253F35">
            <w:pPr>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-0.011</w:t>
            </w:r>
          </w:p>
        </w:tc>
        <w:tc>
          <w:tcPr>
            <w:tcW w:w="992" w:type="pct"/>
            <w:vAlign w:val="center"/>
          </w:tcPr>
          <w:p w:rsidR="00F25544" w:rsidRPr="00067E14" w:rsidRDefault="00F25544" w:rsidP="00253F35">
            <w:pPr>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0.024</w:t>
            </w: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Con.</w:t>
            </w:r>
          </w:p>
        </w:tc>
        <w:tc>
          <w:tcPr>
            <w:tcW w:w="1043" w:type="pct"/>
            <w:vAlign w:val="center"/>
          </w:tcPr>
          <w:p w:rsidR="00F25544" w:rsidRPr="00067E14" w:rsidRDefault="00F25544" w:rsidP="00067E14">
            <w:pPr>
              <w:snapToGrid w:val="0"/>
              <w:jc w:val="center"/>
              <w:rPr>
                <w:rFonts w:ascii="Times New Roman" w:hAnsi="Times New Roman" w:cs="Times New Roman"/>
                <w:color w:val="000000"/>
                <w:sz w:val="16"/>
                <w:szCs w:val="16"/>
                <w:lang w:eastAsia="zh-CN"/>
              </w:rPr>
            </w:pPr>
            <w:r w:rsidRPr="00067E14">
              <w:rPr>
                <w:rFonts w:ascii="Times New Roman" w:hAnsi="Times New Roman" w:cs="Times New Roman"/>
                <w:color w:val="000000"/>
                <w:sz w:val="16"/>
                <w:szCs w:val="16"/>
              </w:rPr>
              <w:t>4.138***</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(4.3260)</w:t>
            </w: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3.220**</w:t>
            </w: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1.960</w:t>
            </w: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R</w:t>
            </w:r>
            <w:r w:rsidRPr="00067E14">
              <w:rPr>
                <w:rFonts w:ascii="Times New Roman" w:hAnsi="Times New Roman" w:cs="Times New Roman"/>
                <w:color w:val="000000"/>
                <w:sz w:val="16"/>
                <w:szCs w:val="16"/>
                <w:vertAlign w:val="superscript"/>
              </w:rPr>
              <w:t>2</w:t>
            </w:r>
          </w:p>
        </w:tc>
        <w:tc>
          <w:tcPr>
            <w:tcW w:w="104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0.214</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0.220</w:t>
            </w: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AdjR</w:t>
            </w:r>
            <w:r w:rsidRPr="00067E14">
              <w:rPr>
                <w:rFonts w:ascii="Times New Roman" w:hAnsi="Times New Roman" w:cs="Times New Roman"/>
                <w:color w:val="000000"/>
                <w:sz w:val="16"/>
                <w:szCs w:val="16"/>
                <w:vertAlign w:val="superscript"/>
              </w:rPr>
              <w:t>2</w:t>
            </w:r>
            <w:r w:rsidRPr="00067E14">
              <w:rPr>
                <w:rFonts w:ascii="Times New Roman" w:hAnsi="Times New Roman" w:cs="Times New Roman"/>
                <w:color w:val="000000"/>
                <w:sz w:val="16"/>
                <w:szCs w:val="16"/>
              </w:rPr>
              <w:t>.</w:t>
            </w:r>
          </w:p>
        </w:tc>
        <w:tc>
          <w:tcPr>
            <w:tcW w:w="104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0.253</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0.211</w:t>
            </w: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p>
        </w:tc>
      </w:tr>
      <w:tr w:rsidR="00F25544" w:rsidRPr="00067E14" w:rsidTr="00067E14">
        <w:trPr>
          <w:jc w:val="center"/>
        </w:trPr>
        <w:tc>
          <w:tcPr>
            <w:tcW w:w="102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Lambda</w:t>
            </w:r>
          </w:p>
        </w:tc>
        <w:tc>
          <w:tcPr>
            <w:tcW w:w="1043" w:type="pct"/>
            <w:vAlign w:val="center"/>
          </w:tcPr>
          <w:p w:rsidR="00F25544" w:rsidRPr="00067E14" w:rsidRDefault="00F25544" w:rsidP="00067E14">
            <w:pPr>
              <w:snapToGrid w:val="0"/>
              <w:jc w:val="center"/>
              <w:rPr>
                <w:rFonts w:ascii="Times New Roman" w:hAnsi="Times New Roman" w:cs="Times New Roman"/>
                <w:color w:val="000000"/>
                <w:sz w:val="16"/>
                <w:szCs w:val="16"/>
                <w:lang w:eastAsia="zh-CN"/>
              </w:rPr>
            </w:pPr>
            <w:r w:rsidRPr="00067E14">
              <w:rPr>
                <w:rFonts w:ascii="Times New Roman" w:hAnsi="Times New Roman" w:cs="Times New Roman"/>
                <w:color w:val="000000"/>
                <w:sz w:val="16"/>
                <w:szCs w:val="16"/>
              </w:rPr>
              <w:t>2.309**</w:t>
            </w:r>
          </w:p>
        </w:tc>
        <w:tc>
          <w:tcPr>
            <w:tcW w:w="1063"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2.212</w:t>
            </w:r>
          </w:p>
        </w:tc>
        <w:tc>
          <w:tcPr>
            <w:tcW w:w="876"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0.433*</w:t>
            </w:r>
          </w:p>
        </w:tc>
        <w:tc>
          <w:tcPr>
            <w:tcW w:w="992" w:type="pct"/>
            <w:vAlign w:val="center"/>
          </w:tcPr>
          <w:p w:rsidR="00F25544" w:rsidRPr="00067E14" w:rsidRDefault="00F25544" w:rsidP="00253F35">
            <w:pPr>
              <w:autoSpaceDE w:val="0"/>
              <w:autoSpaceDN w:val="0"/>
              <w:adjustRightInd w:val="0"/>
              <w:snapToGrid w:val="0"/>
              <w:jc w:val="center"/>
              <w:rPr>
                <w:rFonts w:ascii="Times New Roman" w:hAnsi="Times New Roman" w:cs="Times New Roman"/>
                <w:color w:val="000000"/>
                <w:sz w:val="16"/>
                <w:szCs w:val="16"/>
              </w:rPr>
            </w:pPr>
            <w:r w:rsidRPr="00067E14">
              <w:rPr>
                <w:rFonts w:ascii="Times New Roman" w:hAnsi="Times New Roman" w:cs="Times New Roman"/>
                <w:color w:val="000000"/>
                <w:sz w:val="16"/>
                <w:szCs w:val="16"/>
              </w:rPr>
              <w:t>1.680</w:t>
            </w:r>
          </w:p>
        </w:tc>
      </w:tr>
    </w:tbl>
    <w:p w:rsidR="00F25544" w:rsidRDefault="00F25544" w:rsidP="00253F35">
      <w:pPr>
        <w:autoSpaceDE w:val="0"/>
        <w:autoSpaceDN w:val="0"/>
        <w:adjustRightInd w:val="0"/>
        <w:snapToGrid w:val="0"/>
        <w:spacing w:after="0" w:line="240" w:lineRule="auto"/>
        <w:jc w:val="both"/>
        <w:rPr>
          <w:rFonts w:ascii="Times New Roman" w:hAnsi="Times New Roman" w:cs="Times New Roman"/>
          <w:sz w:val="16"/>
          <w:szCs w:val="16"/>
          <w:lang w:eastAsia="zh-CN"/>
        </w:rPr>
      </w:pPr>
      <w:r w:rsidRPr="00253F35">
        <w:rPr>
          <w:rFonts w:ascii="Times New Roman" w:hAnsi="Times New Roman" w:cs="Times New Roman"/>
          <w:b/>
          <w:sz w:val="16"/>
          <w:szCs w:val="16"/>
        </w:rPr>
        <w:t>Source:</w:t>
      </w:r>
      <w:r w:rsidRPr="00253F35">
        <w:rPr>
          <w:rFonts w:ascii="Times New Roman" w:hAnsi="Times New Roman" w:cs="Times New Roman"/>
          <w:sz w:val="16"/>
          <w:szCs w:val="16"/>
        </w:rPr>
        <w:t xml:space="preserve"> </w:t>
      </w:r>
      <w:r w:rsidR="00612C79" w:rsidRPr="00253F35">
        <w:rPr>
          <w:rFonts w:ascii="Times New Roman" w:hAnsi="Times New Roman" w:cs="Times New Roman"/>
          <w:sz w:val="16"/>
          <w:szCs w:val="16"/>
        </w:rPr>
        <w:t>Result of Data Analyzed 2012.</w:t>
      </w:r>
      <w:r w:rsidR="00067E14">
        <w:rPr>
          <w:rFonts w:ascii="Times New Roman" w:hAnsi="Times New Roman" w:cs="Times New Roman"/>
          <w:sz w:val="16"/>
          <w:szCs w:val="16"/>
        </w:rPr>
        <w:t xml:space="preserve"> </w:t>
      </w:r>
      <w:r w:rsidR="000A550D" w:rsidRPr="00253F35">
        <w:rPr>
          <w:rFonts w:ascii="Times New Roman" w:hAnsi="Times New Roman" w:cs="Times New Roman"/>
          <w:sz w:val="16"/>
          <w:szCs w:val="16"/>
        </w:rPr>
        <w:t>(</w:t>
      </w:r>
      <w:r w:rsidR="00612C79" w:rsidRPr="00253F35">
        <w:rPr>
          <w:rFonts w:ascii="Times New Roman" w:hAnsi="Times New Roman" w:cs="Times New Roman"/>
          <w:sz w:val="16"/>
          <w:szCs w:val="16"/>
        </w:rPr>
        <w:t xml:space="preserve"> </w:t>
      </w:r>
      <w:r w:rsidR="000A550D" w:rsidRPr="00253F35">
        <w:rPr>
          <w:rFonts w:ascii="Times New Roman" w:hAnsi="Times New Roman" w:cs="Times New Roman"/>
          <w:sz w:val="16"/>
          <w:szCs w:val="16"/>
        </w:rPr>
        <w:t xml:space="preserve">***, </w:t>
      </w:r>
      <w:r w:rsidRPr="00253F35">
        <w:rPr>
          <w:rFonts w:ascii="Times New Roman" w:hAnsi="Times New Roman" w:cs="Times New Roman"/>
          <w:sz w:val="16"/>
          <w:szCs w:val="16"/>
        </w:rPr>
        <w:t>**,*) = coefficients significant at 1% (5%, 10%) level.</w:t>
      </w:r>
    </w:p>
    <w:p w:rsidR="00466007" w:rsidRPr="00253F35" w:rsidRDefault="00466007" w:rsidP="00253F35">
      <w:pPr>
        <w:autoSpaceDE w:val="0"/>
        <w:autoSpaceDN w:val="0"/>
        <w:adjustRightInd w:val="0"/>
        <w:snapToGrid w:val="0"/>
        <w:spacing w:after="0" w:line="240" w:lineRule="auto"/>
        <w:jc w:val="both"/>
        <w:rPr>
          <w:rFonts w:ascii="Times New Roman" w:hAnsi="Times New Roman" w:cs="Times New Roman"/>
          <w:sz w:val="16"/>
          <w:szCs w:val="16"/>
          <w:lang w:eastAsia="zh-CN"/>
        </w:rPr>
      </w:pPr>
    </w:p>
    <w:p w:rsidR="00466007" w:rsidRPr="00A159CF" w:rsidRDefault="00466007" w:rsidP="0046600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Regarding the experience variable, a 1% change in work experience (0.674 and 0.154) for women in the sampled area is accompany with the positive return of 67% when educational levels was used and 15% when years of education was used. The square of the experience is negative and significant for the models, which means that the relation between the experience and the wage is the same after a high number of years of experience. This result is in line with previous work by (</w:t>
      </w:r>
      <w:proofErr w:type="spellStart"/>
      <w:r w:rsidRPr="00A159CF">
        <w:rPr>
          <w:rFonts w:ascii="Times New Roman" w:hAnsi="Times New Roman" w:cs="Times New Roman"/>
          <w:sz w:val="20"/>
          <w:szCs w:val="20"/>
        </w:rPr>
        <w:t>Mroz</w:t>
      </w:r>
      <w:proofErr w:type="spellEnd"/>
      <w:r w:rsidRPr="00A159CF">
        <w:rPr>
          <w:rFonts w:ascii="Times New Roman" w:hAnsi="Times New Roman" w:cs="Times New Roman"/>
          <w:sz w:val="20"/>
          <w:szCs w:val="20"/>
        </w:rPr>
        <w:t xml:space="preserve"> 1987, </w:t>
      </w:r>
      <w:proofErr w:type="spellStart"/>
      <w:r w:rsidRPr="00A159CF">
        <w:rPr>
          <w:rFonts w:ascii="Times New Roman" w:hAnsi="Times New Roman" w:cs="Times New Roman"/>
          <w:sz w:val="20"/>
          <w:szCs w:val="20"/>
        </w:rPr>
        <w:t>Okuwa</w:t>
      </w:r>
      <w:proofErr w:type="spellEnd"/>
      <w:r w:rsidRPr="00A159CF">
        <w:rPr>
          <w:rFonts w:ascii="Times New Roman" w:hAnsi="Times New Roman" w:cs="Times New Roman"/>
          <w:sz w:val="20"/>
          <w:szCs w:val="20"/>
        </w:rPr>
        <w:t xml:space="preserve"> 2004, </w:t>
      </w:r>
      <w:proofErr w:type="spellStart"/>
      <w:r w:rsidRPr="00A159CF">
        <w:rPr>
          <w:rFonts w:ascii="Times New Roman" w:hAnsi="Times New Roman" w:cs="Times New Roman"/>
          <w:sz w:val="20"/>
          <w:szCs w:val="20"/>
        </w:rPr>
        <w:t>Olorunfemi</w:t>
      </w:r>
      <w:proofErr w:type="spellEnd"/>
      <w:r w:rsidRPr="00A159CF">
        <w:rPr>
          <w:rFonts w:ascii="Times New Roman" w:hAnsi="Times New Roman" w:cs="Times New Roman"/>
          <w:sz w:val="20"/>
          <w:szCs w:val="20"/>
        </w:rPr>
        <w:t xml:space="preserve"> and </w:t>
      </w:r>
      <w:proofErr w:type="spellStart"/>
      <w:r w:rsidRPr="00A159CF">
        <w:rPr>
          <w:rFonts w:ascii="Times New Roman" w:hAnsi="Times New Roman" w:cs="Times New Roman"/>
          <w:sz w:val="20"/>
          <w:szCs w:val="20"/>
        </w:rPr>
        <w:t>Olowofeso</w:t>
      </w:r>
      <w:proofErr w:type="spellEnd"/>
      <w:r w:rsidRPr="00A159CF">
        <w:rPr>
          <w:rFonts w:ascii="Times New Roman" w:hAnsi="Times New Roman" w:cs="Times New Roman"/>
          <w:sz w:val="20"/>
          <w:szCs w:val="20"/>
        </w:rPr>
        <w:t xml:space="preserve"> 2007 and </w:t>
      </w:r>
      <w:proofErr w:type="spellStart"/>
      <w:r w:rsidRPr="00A159CF">
        <w:rPr>
          <w:rFonts w:ascii="Times New Roman" w:hAnsi="Times New Roman" w:cs="Times New Roman"/>
          <w:sz w:val="20"/>
          <w:szCs w:val="20"/>
        </w:rPr>
        <w:t>Nicodemo</w:t>
      </w:r>
      <w:proofErr w:type="spellEnd"/>
      <w:r w:rsidRPr="00A159CF">
        <w:rPr>
          <w:rFonts w:ascii="Times New Roman" w:hAnsi="Times New Roman" w:cs="Times New Roman"/>
          <w:sz w:val="20"/>
          <w:szCs w:val="20"/>
        </w:rPr>
        <w:t xml:space="preserve"> 2007, Schultz, 1980; </w:t>
      </w:r>
      <w:proofErr w:type="spellStart"/>
      <w:r w:rsidRPr="00A159CF">
        <w:rPr>
          <w:rFonts w:ascii="Times New Roman" w:hAnsi="Times New Roman" w:cs="Times New Roman"/>
          <w:sz w:val="20"/>
          <w:szCs w:val="20"/>
        </w:rPr>
        <w:t>Malathy</w:t>
      </w:r>
      <w:proofErr w:type="spellEnd"/>
      <w:r w:rsidRPr="00A159CF">
        <w:rPr>
          <w:rFonts w:ascii="Times New Roman" w:hAnsi="Times New Roman" w:cs="Times New Roman"/>
          <w:sz w:val="20"/>
          <w:szCs w:val="20"/>
        </w:rPr>
        <w:t>, 1989).</w:t>
      </w:r>
    </w:p>
    <w:p w:rsidR="00466007" w:rsidRDefault="00466007" w:rsidP="00A159CF">
      <w:pPr>
        <w:snapToGrid w:val="0"/>
        <w:spacing w:after="0" w:line="240" w:lineRule="auto"/>
        <w:jc w:val="both"/>
        <w:rPr>
          <w:rFonts w:ascii="Times New Roman" w:hAnsi="Times New Roman" w:cs="Times New Roman"/>
          <w:b/>
          <w:sz w:val="20"/>
          <w:szCs w:val="20"/>
          <w:lang w:eastAsia="zh-CN"/>
        </w:rPr>
      </w:pPr>
    </w:p>
    <w:p w:rsidR="00F25544" w:rsidRPr="00A159CF" w:rsidRDefault="00F25544" w:rsidP="00A159CF">
      <w:pPr>
        <w:snapToGrid w:val="0"/>
        <w:spacing w:after="0" w:line="240" w:lineRule="auto"/>
        <w:jc w:val="both"/>
        <w:rPr>
          <w:rFonts w:ascii="Times New Roman" w:hAnsi="Times New Roman" w:cs="Times New Roman"/>
          <w:b/>
          <w:sz w:val="20"/>
          <w:szCs w:val="20"/>
        </w:rPr>
      </w:pPr>
      <w:r w:rsidRPr="00A159CF">
        <w:rPr>
          <w:rFonts w:ascii="Times New Roman" w:hAnsi="Times New Roman" w:cs="Times New Roman"/>
          <w:b/>
          <w:sz w:val="20"/>
          <w:szCs w:val="20"/>
        </w:rPr>
        <w:lastRenderedPageBreak/>
        <w:t>Effects of Education on Agricultural Wage</w:t>
      </w:r>
    </w:p>
    <w:p w:rsidR="00F25544" w:rsidRPr="00A159CF" w:rsidRDefault="00F25544" w:rsidP="00A159CF">
      <w:pPr>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To determine the effects of education on agricultural wage, the subset of the women who work in the agricultural sector as employees were used and the result presented in Table 4. The dependent variable is the natural log of average monthly wages from agricultural employment.</w:t>
      </w:r>
      <w:r w:rsidR="00067E14">
        <w:rPr>
          <w:rFonts w:ascii="Times New Roman" w:hAnsi="Times New Roman" w:cs="Times New Roman"/>
          <w:sz w:val="20"/>
          <w:szCs w:val="20"/>
        </w:rPr>
        <w:t xml:space="preserve"> </w:t>
      </w:r>
      <w:r w:rsidRPr="00A159CF">
        <w:rPr>
          <w:rFonts w:ascii="Times New Roman" w:hAnsi="Times New Roman" w:cs="Times New Roman"/>
          <w:sz w:val="20"/>
          <w:szCs w:val="20"/>
        </w:rPr>
        <w:t xml:space="preserve">In sharp contrast to results in the non-agricultural sector, only the </w:t>
      </w:r>
      <w:proofErr w:type="spellStart"/>
      <w:r w:rsidRPr="00A159CF">
        <w:rPr>
          <w:rFonts w:ascii="Times New Roman" w:hAnsi="Times New Roman" w:cs="Times New Roman"/>
          <w:sz w:val="20"/>
          <w:szCs w:val="20"/>
        </w:rPr>
        <w:t>coeﬃcient</w:t>
      </w:r>
      <w:proofErr w:type="spellEnd"/>
      <w:r w:rsidRPr="00A159CF">
        <w:rPr>
          <w:rFonts w:ascii="Times New Roman" w:hAnsi="Times New Roman" w:cs="Times New Roman"/>
          <w:sz w:val="20"/>
          <w:szCs w:val="20"/>
        </w:rPr>
        <w:t xml:space="preserve"> of primary education(0.173) dummy is </w:t>
      </w:r>
      <w:proofErr w:type="spellStart"/>
      <w:r w:rsidRPr="00A159CF">
        <w:rPr>
          <w:rFonts w:ascii="Times New Roman" w:hAnsi="Times New Roman" w:cs="Times New Roman"/>
          <w:sz w:val="20"/>
          <w:szCs w:val="20"/>
        </w:rPr>
        <w:t>signiﬁcant</w:t>
      </w:r>
      <w:proofErr w:type="spellEnd"/>
      <w:r w:rsidRPr="00A159CF">
        <w:rPr>
          <w:rFonts w:ascii="Times New Roman" w:hAnsi="Times New Roman" w:cs="Times New Roman"/>
          <w:sz w:val="20"/>
          <w:szCs w:val="20"/>
        </w:rPr>
        <w:t xml:space="preserve"> suggesting that primary education will increase the wage of hired </w:t>
      </w:r>
      <w:proofErr w:type="spellStart"/>
      <w:r w:rsidRPr="00A159CF">
        <w:rPr>
          <w:rFonts w:ascii="Times New Roman" w:hAnsi="Times New Roman" w:cs="Times New Roman"/>
          <w:sz w:val="20"/>
          <w:szCs w:val="20"/>
        </w:rPr>
        <w:t>labour</w:t>
      </w:r>
      <w:proofErr w:type="spellEnd"/>
      <w:r w:rsidRPr="00A159CF">
        <w:rPr>
          <w:rFonts w:ascii="Times New Roman" w:hAnsi="Times New Roman" w:cs="Times New Roman"/>
          <w:sz w:val="20"/>
          <w:szCs w:val="20"/>
        </w:rPr>
        <w:t xml:space="preserve"> by 17% equivalent to about 1.9% </w:t>
      </w:r>
      <w:proofErr w:type="spellStart"/>
      <w:r w:rsidRPr="00A159CF">
        <w:rPr>
          <w:rFonts w:ascii="Times New Roman" w:hAnsi="Times New Roman" w:cs="Times New Roman"/>
          <w:sz w:val="20"/>
          <w:szCs w:val="20"/>
        </w:rPr>
        <w:t>Mincerian</w:t>
      </w:r>
      <w:proofErr w:type="spellEnd"/>
      <w:r w:rsidRPr="00A159CF">
        <w:rPr>
          <w:rFonts w:ascii="Times New Roman" w:hAnsi="Times New Roman" w:cs="Times New Roman"/>
          <w:sz w:val="20"/>
          <w:szCs w:val="20"/>
        </w:rPr>
        <w:t xml:space="preserve"> returns (Mode A). Education higher than the primary level does not seem to contribute to higher agricultural earnings. When both linear and quadratic terms of schooling years are included (Model B), both are </w:t>
      </w:r>
      <w:proofErr w:type="spellStart"/>
      <w:r w:rsidRPr="00A159CF">
        <w:rPr>
          <w:rFonts w:ascii="Times New Roman" w:hAnsi="Times New Roman" w:cs="Times New Roman"/>
          <w:sz w:val="20"/>
          <w:szCs w:val="20"/>
        </w:rPr>
        <w:t>signiﬁcant</w:t>
      </w:r>
      <w:proofErr w:type="spellEnd"/>
      <w:r w:rsidRPr="00A159CF">
        <w:rPr>
          <w:rFonts w:ascii="Times New Roman" w:hAnsi="Times New Roman" w:cs="Times New Roman"/>
          <w:sz w:val="20"/>
          <w:szCs w:val="20"/>
        </w:rPr>
        <w:t xml:space="preserve"> while the linear is positive with a coefficient of 0.156, the quadratic is negative with a coefficient of -0.506,implying that a marginal returns to education becomes negative at more than nine years of schooling. Experience has significant and positive effect on the agricultural sector earnings; it is greater when educational level was used (16%) than when years of schooling was used (2%). The coefficient on the square of experience is negative and significant, which indicates decreasing experience effect. The non-response of agricultural wages to higher education is understandable considering the nature of the casual farm </w:t>
      </w:r>
      <w:proofErr w:type="spellStart"/>
      <w:r w:rsidRPr="00A159CF">
        <w:rPr>
          <w:rFonts w:ascii="Times New Roman" w:hAnsi="Times New Roman" w:cs="Times New Roman"/>
          <w:sz w:val="20"/>
          <w:szCs w:val="20"/>
        </w:rPr>
        <w:t>labour</w:t>
      </w:r>
      <w:proofErr w:type="spellEnd"/>
      <w:r w:rsidRPr="00A159CF">
        <w:rPr>
          <w:rFonts w:ascii="Times New Roman" w:hAnsi="Times New Roman" w:cs="Times New Roman"/>
          <w:sz w:val="20"/>
          <w:szCs w:val="20"/>
        </w:rPr>
        <w:t xml:space="preserve"> market in rural Nigeria. Most of these farm workers are hired for unskilled, manual work on the farm such as weeding, harvesting, transporting, etc. It is no wonder that job experiences </w:t>
      </w:r>
      <w:r w:rsidRPr="00A159CF">
        <w:rPr>
          <w:rFonts w:ascii="Times New Roman" w:hAnsi="Times New Roman" w:cs="Times New Roman"/>
          <w:sz w:val="20"/>
          <w:szCs w:val="20"/>
        </w:rPr>
        <w:lastRenderedPageBreak/>
        <w:t xml:space="preserve">or education do not contribute much to increment in </w:t>
      </w:r>
      <w:r w:rsidRPr="00A159CF">
        <w:rPr>
          <w:rFonts w:ascii="Times New Roman" w:hAnsi="Times New Roman" w:cs="Times New Roman"/>
          <w:sz w:val="20"/>
          <w:szCs w:val="20"/>
        </w:rPr>
        <w:lastRenderedPageBreak/>
        <w:t>the wage earn in such works.</w:t>
      </w:r>
    </w:p>
    <w:p w:rsidR="00806391" w:rsidRPr="00A159CF" w:rsidRDefault="00806391" w:rsidP="00A159CF">
      <w:pPr>
        <w:pStyle w:val="PlainText"/>
        <w:snapToGrid w:val="0"/>
        <w:jc w:val="both"/>
        <w:rPr>
          <w:rFonts w:ascii="Times New Roman" w:hAnsi="Times New Roman" w:cs="Times New Roman"/>
          <w:b/>
          <w:sz w:val="20"/>
          <w:szCs w:val="20"/>
        </w:rPr>
        <w:sectPr w:rsidR="00806391" w:rsidRPr="00A159CF" w:rsidSect="00067E14">
          <w:type w:val="continuous"/>
          <w:pgSz w:w="12242" w:h="15842" w:code="1"/>
          <w:pgMar w:top="1440" w:right="1440" w:bottom="1440" w:left="1440" w:header="720" w:footer="720" w:gutter="0"/>
          <w:cols w:num="2" w:space="576"/>
          <w:docGrid w:linePitch="360"/>
        </w:sectPr>
      </w:pPr>
    </w:p>
    <w:p w:rsidR="00E47402" w:rsidRPr="00A159CF" w:rsidRDefault="00E47402" w:rsidP="00A159CF">
      <w:pPr>
        <w:pStyle w:val="PlainText"/>
        <w:snapToGrid w:val="0"/>
        <w:jc w:val="both"/>
        <w:rPr>
          <w:rFonts w:ascii="Times New Roman" w:hAnsi="Times New Roman" w:cs="Times New Roman"/>
          <w:b/>
          <w:sz w:val="20"/>
          <w:szCs w:val="20"/>
        </w:rPr>
      </w:pPr>
    </w:p>
    <w:p w:rsidR="00F25544" w:rsidRPr="00A159CF" w:rsidRDefault="00F25544" w:rsidP="00253F35">
      <w:pPr>
        <w:pStyle w:val="PlainText"/>
        <w:snapToGrid w:val="0"/>
        <w:jc w:val="center"/>
        <w:rPr>
          <w:rFonts w:ascii="Times New Roman" w:hAnsi="Times New Roman" w:cs="Times New Roman"/>
          <w:b/>
          <w:sz w:val="20"/>
          <w:szCs w:val="20"/>
        </w:rPr>
      </w:pPr>
      <w:r w:rsidRPr="00A159CF">
        <w:rPr>
          <w:rFonts w:ascii="Times New Roman" w:hAnsi="Times New Roman" w:cs="Times New Roman"/>
          <w:b/>
          <w:sz w:val="20"/>
          <w:szCs w:val="20"/>
        </w:rPr>
        <w:t xml:space="preserve">Table 4: The </w:t>
      </w:r>
      <w:r w:rsidR="00E15A29" w:rsidRPr="00A159CF">
        <w:rPr>
          <w:rFonts w:ascii="Times New Roman" w:hAnsi="Times New Roman" w:cs="Times New Roman"/>
          <w:b/>
          <w:sz w:val="20"/>
          <w:szCs w:val="20"/>
        </w:rPr>
        <w:t>e</w:t>
      </w:r>
      <w:r w:rsidRPr="00A159CF">
        <w:rPr>
          <w:rFonts w:ascii="Times New Roman" w:hAnsi="Times New Roman" w:cs="Times New Roman"/>
          <w:b/>
          <w:sz w:val="20"/>
          <w:szCs w:val="20"/>
        </w:rPr>
        <w:t xml:space="preserve">ffect of </w:t>
      </w:r>
      <w:r w:rsidR="00E15A29" w:rsidRPr="00A159CF">
        <w:rPr>
          <w:rFonts w:ascii="Times New Roman" w:hAnsi="Times New Roman" w:cs="Times New Roman"/>
          <w:b/>
          <w:sz w:val="20"/>
          <w:szCs w:val="20"/>
        </w:rPr>
        <w:t>e</w:t>
      </w:r>
      <w:r w:rsidRPr="00A159CF">
        <w:rPr>
          <w:rFonts w:ascii="Times New Roman" w:hAnsi="Times New Roman" w:cs="Times New Roman"/>
          <w:b/>
          <w:sz w:val="20"/>
          <w:szCs w:val="20"/>
        </w:rPr>
        <w:t>ducation on Agricultural Wage</w:t>
      </w:r>
    </w:p>
    <w:tbl>
      <w:tblPr>
        <w:tblStyle w:val="TableGrid"/>
        <w:tblW w:w="5000" w:type="pct"/>
        <w:jc w:val="center"/>
        <w:tblLook w:val="04A0"/>
      </w:tblPr>
      <w:tblGrid>
        <w:gridCol w:w="1742"/>
        <w:gridCol w:w="2029"/>
        <w:gridCol w:w="1914"/>
        <w:gridCol w:w="2006"/>
        <w:gridCol w:w="1887"/>
      </w:tblGrid>
      <w:tr w:rsidR="00F25544" w:rsidRPr="00A159CF" w:rsidTr="00067E14">
        <w:trPr>
          <w:jc w:val="center"/>
        </w:trPr>
        <w:tc>
          <w:tcPr>
            <w:tcW w:w="910" w:type="pct"/>
            <w:vMerge w:val="restart"/>
          </w:tcPr>
          <w:p w:rsidR="00F25544" w:rsidRPr="00A159CF" w:rsidRDefault="00F25544" w:rsidP="00A159CF">
            <w:pPr>
              <w:autoSpaceDE w:val="0"/>
              <w:autoSpaceDN w:val="0"/>
              <w:adjustRightInd w:val="0"/>
              <w:snapToGrid w:val="0"/>
              <w:jc w:val="center"/>
              <w:rPr>
                <w:rFonts w:ascii="Times New Roman" w:hAnsi="Times New Roman" w:cs="Times New Roman"/>
                <w:b/>
                <w:color w:val="000000"/>
                <w:sz w:val="20"/>
                <w:szCs w:val="20"/>
                <w:lang w:eastAsia="zh-CN"/>
              </w:rPr>
            </w:pPr>
            <w:r w:rsidRPr="00A159CF">
              <w:rPr>
                <w:rFonts w:ascii="Times New Roman" w:hAnsi="Times New Roman" w:cs="Times New Roman"/>
                <w:b/>
                <w:color w:val="000000"/>
                <w:sz w:val="20"/>
                <w:szCs w:val="20"/>
              </w:rPr>
              <w:t>Variables</w:t>
            </w:r>
          </w:p>
        </w:tc>
        <w:tc>
          <w:tcPr>
            <w:tcW w:w="2058" w:type="pct"/>
            <w:gridSpan w:val="2"/>
          </w:tcPr>
          <w:p w:rsidR="00F25544" w:rsidRPr="00A159CF" w:rsidRDefault="00F25544" w:rsidP="00A159CF">
            <w:pPr>
              <w:autoSpaceDE w:val="0"/>
              <w:autoSpaceDN w:val="0"/>
              <w:adjustRightInd w:val="0"/>
              <w:snapToGrid w:val="0"/>
              <w:jc w:val="center"/>
              <w:rPr>
                <w:rFonts w:ascii="Times New Roman" w:hAnsi="Times New Roman" w:cs="Times New Roman"/>
                <w:b/>
                <w:color w:val="000000"/>
                <w:sz w:val="20"/>
                <w:szCs w:val="20"/>
              </w:rPr>
            </w:pPr>
            <w:r w:rsidRPr="00A159CF">
              <w:rPr>
                <w:rFonts w:ascii="Times New Roman" w:hAnsi="Times New Roman" w:cs="Times New Roman"/>
                <w:b/>
                <w:color w:val="000000"/>
                <w:sz w:val="20"/>
                <w:szCs w:val="20"/>
              </w:rPr>
              <w:t>Using Educational Level (Model A)</w:t>
            </w:r>
          </w:p>
        </w:tc>
        <w:tc>
          <w:tcPr>
            <w:tcW w:w="2033" w:type="pct"/>
            <w:gridSpan w:val="2"/>
          </w:tcPr>
          <w:p w:rsidR="00F25544" w:rsidRPr="00A159CF" w:rsidRDefault="00F25544" w:rsidP="00A159CF">
            <w:pPr>
              <w:autoSpaceDE w:val="0"/>
              <w:autoSpaceDN w:val="0"/>
              <w:adjustRightInd w:val="0"/>
              <w:snapToGrid w:val="0"/>
              <w:jc w:val="center"/>
              <w:rPr>
                <w:rFonts w:ascii="Times New Roman" w:hAnsi="Times New Roman" w:cs="Times New Roman"/>
                <w:b/>
                <w:color w:val="000000"/>
                <w:sz w:val="20"/>
                <w:szCs w:val="20"/>
              </w:rPr>
            </w:pPr>
            <w:r w:rsidRPr="00A159CF">
              <w:rPr>
                <w:rFonts w:ascii="Times New Roman" w:hAnsi="Times New Roman" w:cs="Times New Roman"/>
                <w:b/>
                <w:color w:val="000000"/>
                <w:sz w:val="20"/>
                <w:szCs w:val="20"/>
              </w:rPr>
              <w:t>Using years of schooling (Model B)</w:t>
            </w:r>
          </w:p>
        </w:tc>
      </w:tr>
      <w:tr w:rsidR="00F25544" w:rsidRPr="00A159CF" w:rsidTr="00067E14">
        <w:trPr>
          <w:jc w:val="center"/>
        </w:trPr>
        <w:tc>
          <w:tcPr>
            <w:tcW w:w="910" w:type="pct"/>
            <w:vMerge/>
          </w:tcPr>
          <w:p w:rsidR="00F25544" w:rsidRPr="00A159CF" w:rsidRDefault="00F25544" w:rsidP="00A159CF">
            <w:pPr>
              <w:autoSpaceDE w:val="0"/>
              <w:autoSpaceDN w:val="0"/>
              <w:adjustRightInd w:val="0"/>
              <w:snapToGrid w:val="0"/>
              <w:jc w:val="center"/>
              <w:rPr>
                <w:rFonts w:ascii="Times New Roman" w:hAnsi="Times New Roman" w:cs="Times New Roman"/>
                <w:b/>
                <w:color w:val="000000"/>
                <w:sz w:val="20"/>
                <w:szCs w:val="20"/>
              </w:rPr>
            </w:pPr>
          </w:p>
        </w:tc>
        <w:tc>
          <w:tcPr>
            <w:tcW w:w="1059" w:type="pct"/>
          </w:tcPr>
          <w:p w:rsidR="00F25544" w:rsidRPr="00A159CF" w:rsidRDefault="00F25544" w:rsidP="00A159CF">
            <w:pPr>
              <w:autoSpaceDE w:val="0"/>
              <w:autoSpaceDN w:val="0"/>
              <w:adjustRightInd w:val="0"/>
              <w:snapToGrid w:val="0"/>
              <w:jc w:val="center"/>
              <w:rPr>
                <w:rFonts w:ascii="Times New Roman" w:hAnsi="Times New Roman" w:cs="Times New Roman"/>
                <w:b/>
                <w:color w:val="000000"/>
                <w:sz w:val="20"/>
                <w:szCs w:val="20"/>
              </w:rPr>
            </w:pPr>
            <w:r w:rsidRPr="00A159CF">
              <w:rPr>
                <w:rFonts w:ascii="Times New Roman" w:hAnsi="Times New Roman" w:cs="Times New Roman"/>
                <w:b/>
                <w:color w:val="000000"/>
                <w:sz w:val="20"/>
                <w:szCs w:val="20"/>
              </w:rPr>
              <w:t>Coefficient</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b/>
                <w:color w:val="000000"/>
                <w:sz w:val="20"/>
                <w:szCs w:val="20"/>
              </w:rPr>
            </w:pPr>
            <w:r w:rsidRPr="00A159CF">
              <w:rPr>
                <w:rFonts w:ascii="Times New Roman" w:hAnsi="Times New Roman" w:cs="Times New Roman"/>
                <w:b/>
                <w:color w:val="000000"/>
                <w:sz w:val="20"/>
                <w:szCs w:val="20"/>
              </w:rPr>
              <w:t>t-statistics</w:t>
            </w: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b/>
                <w:color w:val="000000"/>
                <w:sz w:val="20"/>
                <w:szCs w:val="20"/>
              </w:rPr>
            </w:pPr>
            <w:r w:rsidRPr="00A159CF">
              <w:rPr>
                <w:rFonts w:ascii="Times New Roman" w:hAnsi="Times New Roman" w:cs="Times New Roman"/>
                <w:b/>
                <w:color w:val="000000"/>
                <w:sz w:val="20"/>
                <w:szCs w:val="20"/>
              </w:rPr>
              <w:t>Coefficient</w:t>
            </w: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b/>
                <w:color w:val="000000"/>
                <w:sz w:val="20"/>
                <w:szCs w:val="20"/>
              </w:rPr>
            </w:pPr>
            <w:r w:rsidRPr="00A159CF">
              <w:rPr>
                <w:rFonts w:ascii="Times New Roman" w:hAnsi="Times New Roman" w:cs="Times New Roman"/>
                <w:b/>
                <w:color w:val="000000"/>
                <w:sz w:val="20"/>
                <w:szCs w:val="20"/>
              </w:rPr>
              <w:t>t-statistics</w:t>
            </w: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Pry.</w:t>
            </w:r>
          </w:p>
        </w:tc>
        <w:tc>
          <w:tcPr>
            <w:tcW w:w="1059"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0.173***</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3.555</w:t>
            </w: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Sec.</w:t>
            </w:r>
          </w:p>
        </w:tc>
        <w:tc>
          <w:tcPr>
            <w:tcW w:w="1059"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0.321</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0.233</w:t>
            </w: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Ter.</w:t>
            </w:r>
          </w:p>
        </w:tc>
        <w:tc>
          <w:tcPr>
            <w:tcW w:w="1059"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0.192</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1.46</w:t>
            </w: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Exp.</w:t>
            </w:r>
          </w:p>
        </w:tc>
        <w:tc>
          <w:tcPr>
            <w:tcW w:w="1059" w:type="pct"/>
          </w:tcPr>
          <w:p w:rsidR="00F25544" w:rsidRPr="00A159CF" w:rsidRDefault="00F25544" w:rsidP="00067E14">
            <w:pPr>
              <w:snapToGrid w:val="0"/>
              <w:jc w:val="center"/>
              <w:rPr>
                <w:rFonts w:ascii="Times New Roman" w:hAnsi="Times New Roman" w:cs="Times New Roman"/>
                <w:color w:val="000000"/>
                <w:sz w:val="20"/>
                <w:szCs w:val="20"/>
                <w:lang w:eastAsia="zh-CN"/>
              </w:rPr>
            </w:pPr>
            <w:r w:rsidRPr="00A159CF">
              <w:rPr>
                <w:rFonts w:ascii="Times New Roman" w:hAnsi="Times New Roman" w:cs="Times New Roman"/>
                <w:color w:val="000000"/>
                <w:sz w:val="20"/>
                <w:szCs w:val="20"/>
              </w:rPr>
              <w:t>0.167**</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2.534</w:t>
            </w: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0.018*</w:t>
            </w: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1.750</w:t>
            </w: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Exp</w:t>
            </w:r>
            <w:r w:rsidRPr="00A159CF">
              <w:rPr>
                <w:rFonts w:ascii="Times New Roman" w:hAnsi="Times New Roman" w:cs="Times New Roman"/>
                <w:color w:val="000000"/>
                <w:sz w:val="20"/>
                <w:szCs w:val="20"/>
                <w:vertAlign w:val="superscript"/>
              </w:rPr>
              <w:t>2</w:t>
            </w:r>
          </w:p>
        </w:tc>
        <w:tc>
          <w:tcPr>
            <w:tcW w:w="1059" w:type="pct"/>
          </w:tcPr>
          <w:p w:rsidR="00F25544" w:rsidRPr="00A159CF" w:rsidRDefault="00F25544" w:rsidP="00253F35">
            <w:pPr>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-0.002**</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-2.120</w:t>
            </w: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-0.020</w:t>
            </w: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-0.013</w:t>
            </w: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roofErr w:type="spellStart"/>
            <w:r w:rsidRPr="00A159CF">
              <w:rPr>
                <w:rFonts w:ascii="Times New Roman" w:hAnsi="Times New Roman" w:cs="Times New Roman"/>
                <w:color w:val="000000"/>
                <w:sz w:val="20"/>
                <w:szCs w:val="20"/>
              </w:rPr>
              <w:t>Yrsch</w:t>
            </w:r>
            <w:proofErr w:type="spellEnd"/>
          </w:p>
        </w:tc>
        <w:tc>
          <w:tcPr>
            <w:tcW w:w="1059" w:type="pct"/>
          </w:tcPr>
          <w:p w:rsidR="00F25544" w:rsidRPr="00A159CF" w:rsidRDefault="00F25544" w:rsidP="00A159CF">
            <w:pPr>
              <w:snapToGrid w:val="0"/>
              <w:jc w:val="center"/>
              <w:rPr>
                <w:rFonts w:ascii="Times New Roman" w:hAnsi="Times New Roman" w:cs="Times New Roman"/>
                <w:color w:val="000000"/>
                <w:sz w:val="20"/>
                <w:szCs w:val="20"/>
              </w:rPr>
            </w:pP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0.156**</w:t>
            </w: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2.600</w:t>
            </w: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yrsch</w:t>
            </w:r>
            <w:r w:rsidRPr="00A159CF">
              <w:rPr>
                <w:rFonts w:ascii="Times New Roman" w:hAnsi="Times New Roman" w:cs="Times New Roman"/>
                <w:color w:val="000000"/>
                <w:sz w:val="20"/>
                <w:szCs w:val="20"/>
                <w:vertAlign w:val="superscript"/>
              </w:rPr>
              <w:t>2</w:t>
            </w:r>
          </w:p>
        </w:tc>
        <w:tc>
          <w:tcPr>
            <w:tcW w:w="1059" w:type="pct"/>
          </w:tcPr>
          <w:p w:rsidR="00F25544" w:rsidRPr="00A159CF" w:rsidRDefault="00F25544" w:rsidP="00A159CF">
            <w:pPr>
              <w:snapToGrid w:val="0"/>
              <w:jc w:val="center"/>
              <w:rPr>
                <w:rFonts w:ascii="Times New Roman" w:hAnsi="Times New Roman" w:cs="Times New Roman"/>
                <w:color w:val="000000"/>
                <w:sz w:val="20"/>
                <w:szCs w:val="20"/>
              </w:rPr>
            </w:pP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-0.506*</w:t>
            </w: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-1.690</w:t>
            </w:r>
          </w:p>
        </w:tc>
      </w:tr>
      <w:tr w:rsidR="00F25544" w:rsidRPr="00A159CF" w:rsidTr="00067E14">
        <w:trPr>
          <w:jc w:val="center"/>
        </w:trPr>
        <w:tc>
          <w:tcPr>
            <w:tcW w:w="910" w:type="pct"/>
          </w:tcPr>
          <w:p w:rsidR="00F25544" w:rsidRPr="00A159CF" w:rsidRDefault="00F25544" w:rsidP="00A159CF">
            <w:pPr>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No of Children</w:t>
            </w:r>
          </w:p>
        </w:tc>
        <w:tc>
          <w:tcPr>
            <w:tcW w:w="1059" w:type="pct"/>
          </w:tcPr>
          <w:p w:rsidR="00F25544" w:rsidRPr="00A159CF" w:rsidRDefault="00F25544" w:rsidP="00253F35">
            <w:pPr>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-0.049</w:t>
            </w:r>
          </w:p>
        </w:tc>
        <w:tc>
          <w:tcPr>
            <w:tcW w:w="998" w:type="pct"/>
          </w:tcPr>
          <w:p w:rsidR="00F25544" w:rsidRPr="00A159CF" w:rsidRDefault="00F25544" w:rsidP="00A159CF">
            <w:pPr>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0.084</w:t>
            </w:r>
          </w:p>
        </w:tc>
        <w:tc>
          <w:tcPr>
            <w:tcW w:w="1047" w:type="pct"/>
          </w:tcPr>
          <w:p w:rsidR="00F25544" w:rsidRPr="00A159CF" w:rsidRDefault="00F25544" w:rsidP="00A159CF">
            <w:pPr>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0.022</w:t>
            </w:r>
          </w:p>
        </w:tc>
        <w:tc>
          <w:tcPr>
            <w:tcW w:w="986" w:type="pct"/>
          </w:tcPr>
          <w:p w:rsidR="00F25544" w:rsidRPr="00A159CF" w:rsidRDefault="00F25544" w:rsidP="00A159CF">
            <w:pPr>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1.234</w:t>
            </w: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Con.</w:t>
            </w:r>
          </w:p>
        </w:tc>
        <w:tc>
          <w:tcPr>
            <w:tcW w:w="1059"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4.038***</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11.325</w:t>
            </w: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5.040***</w:t>
            </w: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11.132</w:t>
            </w: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R</w:t>
            </w:r>
            <w:r w:rsidRPr="00A159CF">
              <w:rPr>
                <w:rFonts w:ascii="Times New Roman" w:hAnsi="Times New Roman" w:cs="Times New Roman"/>
                <w:color w:val="000000"/>
                <w:sz w:val="20"/>
                <w:szCs w:val="20"/>
                <w:vertAlign w:val="superscript"/>
              </w:rPr>
              <w:t>2</w:t>
            </w:r>
          </w:p>
        </w:tc>
        <w:tc>
          <w:tcPr>
            <w:tcW w:w="1059"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0.330</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0.230</w:t>
            </w: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AdjR</w:t>
            </w:r>
            <w:r w:rsidRPr="00A159CF">
              <w:rPr>
                <w:rFonts w:ascii="Times New Roman" w:hAnsi="Times New Roman" w:cs="Times New Roman"/>
                <w:color w:val="000000"/>
                <w:sz w:val="20"/>
                <w:szCs w:val="20"/>
                <w:vertAlign w:val="superscript"/>
              </w:rPr>
              <w:t>2</w:t>
            </w:r>
            <w:r w:rsidRPr="00A159CF">
              <w:rPr>
                <w:rFonts w:ascii="Times New Roman" w:hAnsi="Times New Roman" w:cs="Times New Roman"/>
                <w:color w:val="000000"/>
                <w:sz w:val="20"/>
                <w:szCs w:val="20"/>
              </w:rPr>
              <w:t>.</w:t>
            </w:r>
          </w:p>
        </w:tc>
        <w:tc>
          <w:tcPr>
            <w:tcW w:w="1059"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0.256</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0.220</w:t>
            </w: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p>
        </w:tc>
      </w:tr>
      <w:tr w:rsidR="00F25544" w:rsidRPr="00A159CF" w:rsidTr="00067E14">
        <w:trPr>
          <w:jc w:val="center"/>
        </w:trPr>
        <w:tc>
          <w:tcPr>
            <w:tcW w:w="910"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Lambda</w:t>
            </w:r>
          </w:p>
        </w:tc>
        <w:tc>
          <w:tcPr>
            <w:tcW w:w="1059"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0.013**</w:t>
            </w:r>
          </w:p>
        </w:tc>
        <w:tc>
          <w:tcPr>
            <w:tcW w:w="998"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2.125</w:t>
            </w:r>
          </w:p>
        </w:tc>
        <w:tc>
          <w:tcPr>
            <w:tcW w:w="1047"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0.051**</w:t>
            </w:r>
          </w:p>
        </w:tc>
        <w:tc>
          <w:tcPr>
            <w:tcW w:w="986" w:type="pct"/>
          </w:tcPr>
          <w:p w:rsidR="00F25544" w:rsidRPr="00A159CF" w:rsidRDefault="00F25544" w:rsidP="00A159CF">
            <w:pPr>
              <w:autoSpaceDE w:val="0"/>
              <w:autoSpaceDN w:val="0"/>
              <w:adjustRightInd w:val="0"/>
              <w:snapToGrid w:val="0"/>
              <w:jc w:val="center"/>
              <w:rPr>
                <w:rFonts w:ascii="Times New Roman" w:hAnsi="Times New Roman" w:cs="Times New Roman"/>
                <w:color w:val="000000"/>
                <w:sz w:val="20"/>
                <w:szCs w:val="20"/>
              </w:rPr>
            </w:pPr>
            <w:r w:rsidRPr="00A159CF">
              <w:rPr>
                <w:rFonts w:ascii="Times New Roman" w:hAnsi="Times New Roman" w:cs="Times New Roman"/>
                <w:color w:val="000000"/>
                <w:sz w:val="20"/>
                <w:szCs w:val="20"/>
              </w:rPr>
              <w:t>1.880</w:t>
            </w:r>
          </w:p>
        </w:tc>
      </w:tr>
    </w:tbl>
    <w:p w:rsidR="00F25544" w:rsidRPr="00A159CF" w:rsidRDefault="00F25544"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b/>
          <w:sz w:val="20"/>
          <w:szCs w:val="20"/>
        </w:rPr>
        <w:t>Source:</w:t>
      </w:r>
      <w:r w:rsidRPr="00A159CF">
        <w:rPr>
          <w:rFonts w:ascii="Times New Roman" w:hAnsi="Times New Roman" w:cs="Times New Roman"/>
          <w:sz w:val="20"/>
          <w:szCs w:val="20"/>
        </w:rPr>
        <w:t xml:space="preserve"> </w:t>
      </w:r>
      <w:r w:rsidR="00612C79" w:rsidRPr="00A159CF">
        <w:rPr>
          <w:rFonts w:ascii="Times New Roman" w:hAnsi="Times New Roman" w:cs="Times New Roman"/>
          <w:sz w:val="20"/>
          <w:szCs w:val="20"/>
        </w:rPr>
        <w:t>Result of Data Analyzed 2012.</w:t>
      </w:r>
      <w:r w:rsidR="00067E14">
        <w:rPr>
          <w:rFonts w:ascii="Times New Roman" w:hAnsi="Times New Roman" w:cs="Times New Roman"/>
          <w:sz w:val="20"/>
          <w:szCs w:val="20"/>
        </w:rPr>
        <w:t xml:space="preserve"> </w:t>
      </w:r>
      <w:r w:rsidR="000A550D" w:rsidRPr="00A159CF">
        <w:rPr>
          <w:rFonts w:ascii="Times New Roman" w:hAnsi="Times New Roman" w:cs="Times New Roman"/>
          <w:sz w:val="20"/>
          <w:szCs w:val="20"/>
        </w:rPr>
        <w:t>(</w:t>
      </w:r>
      <w:bookmarkStart w:id="0" w:name="_GoBack"/>
      <w:bookmarkEnd w:id="0"/>
      <w:r w:rsidR="00612C79" w:rsidRPr="00A159CF">
        <w:rPr>
          <w:rFonts w:ascii="Times New Roman" w:hAnsi="Times New Roman" w:cs="Times New Roman"/>
          <w:sz w:val="20"/>
          <w:szCs w:val="20"/>
        </w:rPr>
        <w:t xml:space="preserve"> </w:t>
      </w:r>
      <w:r w:rsidR="000A550D" w:rsidRPr="00A159CF">
        <w:rPr>
          <w:rFonts w:ascii="Times New Roman" w:hAnsi="Times New Roman" w:cs="Times New Roman"/>
          <w:sz w:val="20"/>
          <w:szCs w:val="20"/>
        </w:rPr>
        <w:t>***,</w:t>
      </w:r>
      <w:r w:rsidRPr="00A159CF">
        <w:rPr>
          <w:rFonts w:ascii="Times New Roman" w:hAnsi="Times New Roman" w:cs="Times New Roman"/>
          <w:sz w:val="20"/>
          <w:szCs w:val="20"/>
        </w:rPr>
        <w:t>**,*) = coefficients significant at 1% (5%, 10%) level.</w:t>
      </w:r>
    </w:p>
    <w:p w:rsidR="00F25544" w:rsidRPr="00A159CF" w:rsidRDefault="00F25544" w:rsidP="00067E14">
      <w:pPr>
        <w:snapToGrid w:val="0"/>
        <w:spacing w:after="0" w:line="240" w:lineRule="auto"/>
        <w:jc w:val="both"/>
        <w:rPr>
          <w:rFonts w:ascii="Times New Roman" w:hAnsi="Times New Roman" w:cs="Times New Roman"/>
          <w:sz w:val="20"/>
          <w:szCs w:val="20"/>
          <w:lang w:eastAsia="zh-CN"/>
        </w:rPr>
      </w:pPr>
    </w:p>
    <w:p w:rsidR="00A7413D" w:rsidRPr="00A159CF" w:rsidRDefault="00A7413D" w:rsidP="00A159CF">
      <w:pPr>
        <w:autoSpaceDE w:val="0"/>
        <w:autoSpaceDN w:val="0"/>
        <w:adjustRightInd w:val="0"/>
        <w:snapToGrid w:val="0"/>
        <w:spacing w:after="0" w:line="240" w:lineRule="auto"/>
        <w:jc w:val="both"/>
        <w:rPr>
          <w:rFonts w:ascii="Times New Roman" w:hAnsi="Times New Roman" w:cs="Times New Roman"/>
          <w:b/>
          <w:sz w:val="20"/>
          <w:szCs w:val="20"/>
        </w:rPr>
        <w:sectPr w:rsidR="00A7413D" w:rsidRPr="00A159CF" w:rsidSect="007F25D1">
          <w:type w:val="continuous"/>
          <w:pgSz w:w="12242" w:h="15842" w:code="1"/>
          <w:pgMar w:top="1440" w:right="1440" w:bottom="1440" w:left="1440" w:header="720" w:footer="720" w:gutter="0"/>
          <w:cols w:space="720"/>
          <w:docGrid w:linePitch="360"/>
        </w:sectPr>
      </w:pPr>
    </w:p>
    <w:p w:rsidR="00A177B3" w:rsidRPr="00A159CF" w:rsidRDefault="00A177B3" w:rsidP="00A159CF">
      <w:pPr>
        <w:autoSpaceDE w:val="0"/>
        <w:autoSpaceDN w:val="0"/>
        <w:adjustRightInd w:val="0"/>
        <w:snapToGrid w:val="0"/>
        <w:spacing w:after="0" w:line="240" w:lineRule="auto"/>
        <w:jc w:val="both"/>
        <w:rPr>
          <w:rFonts w:ascii="Times New Roman" w:hAnsi="Times New Roman" w:cs="Times New Roman"/>
          <w:b/>
          <w:sz w:val="20"/>
          <w:szCs w:val="20"/>
        </w:rPr>
      </w:pPr>
      <w:r w:rsidRPr="00A159CF">
        <w:rPr>
          <w:rFonts w:ascii="Times New Roman" w:hAnsi="Times New Roman" w:cs="Times New Roman"/>
          <w:b/>
          <w:sz w:val="20"/>
          <w:szCs w:val="20"/>
        </w:rPr>
        <w:lastRenderedPageBreak/>
        <w:t>Conclusions</w:t>
      </w:r>
    </w:p>
    <w:p w:rsidR="00A177B3" w:rsidRPr="00A159CF" w:rsidRDefault="00A177B3" w:rsidP="00A159C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159CF">
        <w:rPr>
          <w:rFonts w:ascii="Times New Roman" w:hAnsi="Times New Roman" w:cs="Times New Roman"/>
          <w:sz w:val="20"/>
          <w:szCs w:val="20"/>
        </w:rPr>
        <w:t>This paper investigated the effects of educat</w:t>
      </w:r>
      <w:r w:rsidR="00F419E1" w:rsidRPr="00A159CF">
        <w:rPr>
          <w:rFonts w:ascii="Times New Roman" w:hAnsi="Times New Roman" w:cs="Times New Roman"/>
          <w:sz w:val="20"/>
          <w:szCs w:val="20"/>
        </w:rPr>
        <w:t xml:space="preserve">ion on women wage earning using </w:t>
      </w:r>
      <w:r w:rsidRPr="00A159CF">
        <w:rPr>
          <w:rFonts w:ascii="Times New Roman" w:hAnsi="Times New Roman" w:cs="Times New Roman"/>
          <w:sz w:val="20"/>
          <w:szCs w:val="20"/>
        </w:rPr>
        <w:t>a cross-sectional data obtained from the field survey conducted</w:t>
      </w:r>
      <w:r w:rsidR="006B76C0" w:rsidRPr="00A159CF">
        <w:rPr>
          <w:rFonts w:ascii="Times New Roman" w:hAnsi="Times New Roman" w:cs="Times New Roman"/>
          <w:sz w:val="20"/>
          <w:szCs w:val="20"/>
        </w:rPr>
        <w:t xml:space="preserve"> </w:t>
      </w:r>
      <w:r w:rsidRPr="00A159CF">
        <w:rPr>
          <w:rFonts w:ascii="Times New Roman" w:hAnsi="Times New Roman" w:cs="Times New Roman"/>
          <w:sz w:val="20"/>
          <w:szCs w:val="20"/>
        </w:rPr>
        <w:t>by Nigeria Bureau of Statistics (NBS) in 2009/2010. The education effects are estimated both for agricultural wages and non- agricultural wages. It is clear that the higher the level of education, the higher the wage accruing to individual women in non- agricultura</w:t>
      </w:r>
      <w:r w:rsidR="006B76C0" w:rsidRPr="00A159CF">
        <w:rPr>
          <w:rFonts w:ascii="Times New Roman" w:hAnsi="Times New Roman" w:cs="Times New Roman"/>
          <w:sz w:val="20"/>
          <w:szCs w:val="20"/>
        </w:rPr>
        <w:t xml:space="preserve">l wage employment sector. </w:t>
      </w:r>
      <w:r w:rsidR="00714580" w:rsidRPr="00A159CF">
        <w:rPr>
          <w:rFonts w:ascii="Times New Roman" w:hAnsi="Times New Roman" w:cs="Times New Roman"/>
          <w:sz w:val="20"/>
          <w:szCs w:val="20"/>
        </w:rPr>
        <w:t xml:space="preserve">Thus, </w:t>
      </w:r>
      <w:r w:rsidRPr="00A159CF">
        <w:rPr>
          <w:rFonts w:ascii="Times New Roman" w:hAnsi="Times New Roman" w:cs="Times New Roman"/>
          <w:sz w:val="20"/>
          <w:szCs w:val="20"/>
        </w:rPr>
        <w:t xml:space="preserve">Government, Non-governmental </w:t>
      </w:r>
      <w:proofErr w:type="spellStart"/>
      <w:r w:rsidRPr="00A159CF">
        <w:rPr>
          <w:rFonts w:ascii="Times New Roman" w:hAnsi="Times New Roman" w:cs="Times New Roman"/>
          <w:sz w:val="20"/>
          <w:szCs w:val="20"/>
        </w:rPr>
        <w:t>Organisation</w:t>
      </w:r>
      <w:proofErr w:type="spellEnd"/>
      <w:r w:rsidRPr="00A159CF">
        <w:rPr>
          <w:rFonts w:ascii="Times New Roman" w:hAnsi="Times New Roman" w:cs="Times New Roman"/>
          <w:sz w:val="20"/>
          <w:szCs w:val="20"/>
        </w:rPr>
        <w:t xml:space="preserve"> (NGO) and individual should encourage women to attend school and when it is necessary try </w:t>
      </w:r>
      <w:r w:rsidR="004E1785" w:rsidRPr="00A159CF">
        <w:rPr>
          <w:rFonts w:ascii="Times New Roman" w:hAnsi="Times New Roman" w:cs="Times New Roman"/>
          <w:sz w:val="20"/>
          <w:szCs w:val="20"/>
        </w:rPr>
        <w:t>to convince them to obtain higher degree of education.</w:t>
      </w:r>
      <w:r w:rsidRPr="00A159CF">
        <w:rPr>
          <w:rFonts w:ascii="Times New Roman" w:hAnsi="Times New Roman" w:cs="Times New Roman"/>
          <w:sz w:val="20"/>
          <w:szCs w:val="20"/>
        </w:rPr>
        <w:t xml:space="preserve"> This is important as education can increase the knowledge and skill of women and also improves their awareness of the importance of independence which will propel them to picking up paid employment.</w:t>
      </w:r>
    </w:p>
    <w:p w:rsidR="00714580" w:rsidRPr="00A159CF" w:rsidRDefault="00714580" w:rsidP="00A159CF">
      <w:pPr>
        <w:autoSpaceDE w:val="0"/>
        <w:autoSpaceDN w:val="0"/>
        <w:adjustRightInd w:val="0"/>
        <w:snapToGrid w:val="0"/>
        <w:spacing w:after="0" w:line="240" w:lineRule="auto"/>
        <w:jc w:val="both"/>
        <w:rPr>
          <w:rFonts w:ascii="Times New Roman" w:hAnsi="Times New Roman" w:cs="Times New Roman"/>
          <w:sz w:val="20"/>
          <w:szCs w:val="20"/>
        </w:rPr>
      </w:pPr>
    </w:p>
    <w:p w:rsidR="00F26DC9" w:rsidRPr="00A159CF" w:rsidRDefault="00F26DC9" w:rsidP="00A159CF">
      <w:pPr>
        <w:snapToGrid w:val="0"/>
        <w:spacing w:after="0" w:line="240" w:lineRule="auto"/>
        <w:jc w:val="both"/>
        <w:rPr>
          <w:rFonts w:ascii="Times New Roman" w:hAnsi="Times New Roman" w:cs="Times New Roman"/>
          <w:b/>
          <w:sz w:val="20"/>
          <w:szCs w:val="20"/>
        </w:rPr>
      </w:pPr>
      <w:r w:rsidRPr="00A159CF">
        <w:rPr>
          <w:rFonts w:ascii="Times New Roman" w:hAnsi="Times New Roman" w:cs="Times New Roman"/>
          <w:b/>
          <w:sz w:val="20"/>
          <w:szCs w:val="20"/>
        </w:rPr>
        <w:t>Correspondence to:</w:t>
      </w:r>
    </w:p>
    <w:p w:rsidR="00F26DC9" w:rsidRPr="00A159CF" w:rsidRDefault="00F26DC9" w:rsidP="00253F35">
      <w:pPr>
        <w:snapToGrid w:val="0"/>
        <w:spacing w:after="0" w:line="240" w:lineRule="auto"/>
        <w:jc w:val="both"/>
        <w:rPr>
          <w:rFonts w:ascii="Times New Roman" w:hAnsi="Times New Roman" w:cs="Times New Roman"/>
          <w:sz w:val="20"/>
          <w:szCs w:val="20"/>
        </w:rPr>
      </w:pPr>
      <w:r w:rsidRPr="00A159CF">
        <w:rPr>
          <w:rFonts w:ascii="Times New Roman" w:hAnsi="Times New Roman" w:cs="Times New Roman"/>
          <w:sz w:val="20"/>
          <w:szCs w:val="20"/>
        </w:rPr>
        <w:t xml:space="preserve">Department of Agricultural Education, Federal College of Education (Technical) </w:t>
      </w:r>
      <w:proofErr w:type="spellStart"/>
      <w:r w:rsidRPr="00A159CF">
        <w:rPr>
          <w:rFonts w:ascii="Times New Roman" w:hAnsi="Times New Roman" w:cs="Times New Roman"/>
          <w:sz w:val="20"/>
          <w:szCs w:val="20"/>
        </w:rPr>
        <w:t>Akoka</w:t>
      </w:r>
      <w:proofErr w:type="spellEnd"/>
      <w:r w:rsidRPr="00A159CF">
        <w:rPr>
          <w:rFonts w:ascii="Times New Roman" w:hAnsi="Times New Roman" w:cs="Times New Roman"/>
          <w:sz w:val="20"/>
          <w:szCs w:val="20"/>
        </w:rPr>
        <w:t xml:space="preserve">, Lagos, Nigeria. P. O. box 269, </w:t>
      </w:r>
      <w:proofErr w:type="spellStart"/>
      <w:r w:rsidRPr="00A159CF">
        <w:rPr>
          <w:rFonts w:ascii="Times New Roman" w:hAnsi="Times New Roman" w:cs="Times New Roman"/>
          <w:sz w:val="20"/>
          <w:szCs w:val="20"/>
        </w:rPr>
        <w:t>Yaba</w:t>
      </w:r>
      <w:proofErr w:type="spellEnd"/>
      <w:r w:rsidR="00A633CF" w:rsidRPr="00A159CF">
        <w:rPr>
          <w:rFonts w:ascii="Times New Roman" w:hAnsi="Times New Roman" w:cs="Times New Roman"/>
          <w:sz w:val="20"/>
          <w:szCs w:val="20"/>
        </w:rPr>
        <w:t>, Lagos</w:t>
      </w:r>
      <w:r w:rsidRPr="00A159CF">
        <w:rPr>
          <w:rFonts w:ascii="Times New Roman" w:hAnsi="Times New Roman" w:cs="Times New Roman"/>
          <w:sz w:val="20"/>
          <w:szCs w:val="20"/>
        </w:rPr>
        <w:t>, Nigeria</w:t>
      </w:r>
    </w:p>
    <w:p w:rsidR="00656E6B" w:rsidRPr="00A159CF" w:rsidRDefault="00CE6B66" w:rsidP="00253F35">
      <w:pPr>
        <w:snapToGrid w:val="0"/>
        <w:spacing w:after="0" w:line="240" w:lineRule="auto"/>
        <w:jc w:val="both"/>
        <w:rPr>
          <w:rFonts w:ascii="Times New Roman" w:hAnsi="Times New Roman" w:cs="Times New Roman"/>
          <w:sz w:val="20"/>
          <w:szCs w:val="20"/>
        </w:rPr>
      </w:pPr>
      <w:hyperlink r:id="rId20" w:history="1">
        <w:r w:rsidR="00656E6B" w:rsidRPr="00A159CF">
          <w:rPr>
            <w:rStyle w:val="Hyperlink"/>
            <w:rFonts w:ascii="Times New Roman" w:hAnsi="Times New Roman" w:cs="Times New Roman"/>
            <w:sz w:val="20"/>
            <w:szCs w:val="20"/>
          </w:rPr>
          <w:t>Olowa2@yahoo.com</w:t>
        </w:r>
      </w:hyperlink>
    </w:p>
    <w:p w:rsidR="00656E6B" w:rsidRPr="00466007" w:rsidRDefault="00656E6B" w:rsidP="00253F35">
      <w:pPr>
        <w:snapToGrid w:val="0"/>
        <w:spacing w:after="0" w:line="240" w:lineRule="auto"/>
        <w:jc w:val="both"/>
        <w:rPr>
          <w:rFonts w:ascii="Times New Roman" w:hAnsi="Times New Roman" w:cs="Times New Roman"/>
          <w:sz w:val="16"/>
          <w:szCs w:val="16"/>
        </w:rPr>
      </w:pPr>
    </w:p>
    <w:p w:rsidR="00C17275" w:rsidRPr="00466007" w:rsidRDefault="00C17275" w:rsidP="00A159CF">
      <w:pPr>
        <w:snapToGrid w:val="0"/>
        <w:spacing w:after="0" w:line="240" w:lineRule="auto"/>
        <w:jc w:val="both"/>
        <w:rPr>
          <w:rFonts w:ascii="Times New Roman" w:hAnsi="Times New Roman" w:cs="Times New Roman"/>
          <w:sz w:val="16"/>
          <w:szCs w:val="16"/>
        </w:rPr>
      </w:pPr>
      <w:r w:rsidRPr="00A159CF">
        <w:rPr>
          <w:rFonts w:ascii="Times New Roman" w:hAnsi="Times New Roman" w:cs="Times New Roman"/>
          <w:b/>
          <w:bCs/>
          <w:sz w:val="20"/>
          <w:szCs w:val="20"/>
        </w:rPr>
        <w:t>References</w:t>
      </w:r>
    </w:p>
    <w:p w:rsidR="00DE109E" w:rsidRPr="00067E14" w:rsidRDefault="00DE109E" w:rsidP="00253F35">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18"/>
          <w:szCs w:val="18"/>
        </w:rPr>
      </w:pPr>
      <w:r w:rsidRPr="00067E14">
        <w:rPr>
          <w:rFonts w:ascii="Times New Roman" w:hAnsi="Times New Roman" w:cs="Times New Roman"/>
          <w:sz w:val="18"/>
          <w:szCs w:val="18"/>
        </w:rPr>
        <w:t xml:space="preserve">Alderman, H., J. R. Behrman, D. R. Ross, and R. Sabot (1996) “The Returns to Endogenous Human Capital in Pakistan’s Rural Wage Labour Market,” </w:t>
      </w:r>
      <w:r w:rsidRPr="00067E14">
        <w:rPr>
          <w:rFonts w:ascii="Times New Roman" w:hAnsi="Times New Roman" w:cs="Times New Roman"/>
          <w:i/>
          <w:iCs/>
          <w:sz w:val="18"/>
          <w:szCs w:val="18"/>
        </w:rPr>
        <w:t>Oxford Bulletin of Economics and Statistics</w:t>
      </w:r>
      <w:r w:rsidRPr="00067E14">
        <w:rPr>
          <w:rFonts w:ascii="Times New Roman" w:hAnsi="Times New Roman" w:cs="Times New Roman"/>
          <w:sz w:val="18"/>
          <w:szCs w:val="18"/>
        </w:rPr>
        <w:t>, 58(1): 29-55.</w:t>
      </w:r>
    </w:p>
    <w:p w:rsidR="00656E6B" w:rsidRPr="00067E14" w:rsidRDefault="000C74F7" w:rsidP="00253F35">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18"/>
          <w:szCs w:val="18"/>
          <w:lang w:eastAsia="en-GB"/>
        </w:rPr>
      </w:pPr>
      <w:proofErr w:type="spellStart"/>
      <w:r w:rsidRPr="00067E14">
        <w:rPr>
          <w:rFonts w:ascii="Times New Roman" w:hAnsi="Times New Roman" w:cs="Times New Roman"/>
          <w:sz w:val="18"/>
          <w:szCs w:val="18"/>
        </w:rPr>
        <w:lastRenderedPageBreak/>
        <w:t>Angrist</w:t>
      </w:r>
      <w:proofErr w:type="spellEnd"/>
      <w:r w:rsidRPr="00067E14">
        <w:rPr>
          <w:rFonts w:ascii="Times New Roman" w:hAnsi="Times New Roman" w:cs="Times New Roman"/>
          <w:sz w:val="18"/>
          <w:szCs w:val="18"/>
        </w:rPr>
        <w:t>, J.D., and Krueger, A.B., 1991. Does compulsory school attendance affect schooling and earnings? Quarterly Journal of Economics 106(4), 979-10</w:t>
      </w:r>
      <w:r w:rsidR="00E80EE4" w:rsidRPr="00067E14">
        <w:rPr>
          <w:rFonts w:ascii="Times New Roman" w:hAnsi="Times New Roman" w:cs="Times New Roman"/>
          <w:sz w:val="18"/>
          <w:szCs w:val="18"/>
        </w:rPr>
        <w:t>.</w:t>
      </w:r>
    </w:p>
    <w:p w:rsidR="000F6649" w:rsidRPr="00067E14" w:rsidRDefault="00E80EE4" w:rsidP="00253F35">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18"/>
          <w:szCs w:val="18"/>
          <w:lang w:eastAsia="en-GB"/>
        </w:rPr>
      </w:pPr>
      <w:proofErr w:type="spellStart"/>
      <w:r w:rsidRPr="00067E14">
        <w:rPr>
          <w:rFonts w:ascii="Times New Roman" w:hAnsi="Times New Roman" w:cs="Times New Roman"/>
          <w:sz w:val="18"/>
          <w:szCs w:val="18"/>
          <w:lang w:eastAsia="en-GB"/>
        </w:rPr>
        <w:t>Aromolaran</w:t>
      </w:r>
      <w:proofErr w:type="spellEnd"/>
      <w:r w:rsidRPr="00067E14">
        <w:rPr>
          <w:rFonts w:ascii="Times New Roman" w:hAnsi="Times New Roman" w:cs="Times New Roman"/>
          <w:sz w:val="18"/>
          <w:szCs w:val="18"/>
          <w:lang w:eastAsia="en-GB"/>
        </w:rPr>
        <w:t>, Adebayo B., 2004. Female schooling, non-market productivity, and labour</w:t>
      </w:r>
      <w:r w:rsidR="00067E14" w:rsidRPr="00067E14">
        <w:rPr>
          <w:rFonts w:ascii="Times New Roman" w:hAnsi="Times New Roman" w:cs="Times New Roman"/>
          <w:sz w:val="18"/>
          <w:szCs w:val="18"/>
          <w:lang w:eastAsia="en-GB"/>
        </w:rPr>
        <w:t xml:space="preserve"> </w:t>
      </w:r>
      <w:r w:rsidRPr="00067E14">
        <w:rPr>
          <w:rFonts w:ascii="Times New Roman" w:hAnsi="Times New Roman" w:cs="Times New Roman"/>
          <w:sz w:val="18"/>
          <w:szCs w:val="18"/>
          <w:lang w:eastAsia="en-GB"/>
        </w:rPr>
        <w:t>market participation in</w:t>
      </w:r>
      <w:r w:rsidRPr="00067E14">
        <w:rPr>
          <w:rFonts w:ascii="Times New Roman" w:hAnsi="Times New Roman" w:cs="Times New Roman"/>
          <w:sz w:val="18"/>
          <w:szCs w:val="18"/>
        </w:rPr>
        <w:t xml:space="preserve"> Nigeria</w:t>
      </w:r>
      <w:r w:rsidRPr="00067E14">
        <w:rPr>
          <w:rFonts w:ascii="Times New Roman" w:hAnsi="Times New Roman" w:cs="Times New Roman"/>
          <w:sz w:val="18"/>
          <w:szCs w:val="18"/>
          <w:lang w:eastAsia="en-GB"/>
        </w:rPr>
        <w:t xml:space="preserve"> Economic Growth </w:t>
      </w:r>
      <w:proofErr w:type="spellStart"/>
      <w:r w:rsidRPr="00067E14">
        <w:rPr>
          <w:rFonts w:ascii="Times New Roman" w:hAnsi="Times New Roman" w:cs="Times New Roman"/>
          <w:sz w:val="18"/>
          <w:szCs w:val="18"/>
          <w:lang w:eastAsia="en-GB"/>
        </w:rPr>
        <w:t>Center</w:t>
      </w:r>
      <w:proofErr w:type="spellEnd"/>
      <w:r w:rsidRPr="00067E14">
        <w:rPr>
          <w:rFonts w:ascii="Times New Roman" w:hAnsi="Times New Roman" w:cs="Times New Roman"/>
          <w:sz w:val="18"/>
          <w:szCs w:val="18"/>
          <w:lang w:eastAsia="en-GB"/>
        </w:rPr>
        <w:t xml:space="preserve"> Discussion Paper No 879, Yale University, January 2004.</w:t>
      </w:r>
    </w:p>
    <w:p w:rsidR="004177E1" w:rsidRPr="00067E14" w:rsidRDefault="004177E1" w:rsidP="00253F35">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18"/>
          <w:szCs w:val="18"/>
        </w:rPr>
      </w:pPr>
      <w:r w:rsidRPr="00067E14">
        <w:rPr>
          <w:rFonts w:ascii="Times New Roman" w:hAnsi="Times New Roman" w:cs="Times New Roman"/>
          <w:sz w:val="18"/>
          <w:szCs w:val="18"/>
        </w:rPr>
        <w:t>Cohen, B. and. House, W. J. 1994. “Education, experience and earnings in the labour market of a developing economy: The case of urban Khartoum”. World Development, 22(10):549–65.</w:t>
      </w:r>
    </w:p>
    <w:p w:rsidR="00253F35" w:rsidRPr="00067E14" w:rsidRDefault="000F4E2D" w:rsidP="00253F35">
      <w:pPr>
        <w:pStyle w:val="PlainText"/>
        <w:numPr>
          <w:ilvl w:val="0"/>
          <w:numId w:val="4"/>
        </w:numPr>
        <w:snapToGrid w:val="0"/>
        <w:jc w:val="both"/>
        <w:rPr>
          <w:rFonts w:ascii="Times New Roman" w:hAnsi="Times New Roman" w:cs="Times New Roman"/>
          <w:sz w:val="18"/>
          <w:szCs w:val="18"/>
        </w:rPr>
      </w:pPr>
      <w:proofErr w:type="spellStart"/>
      <w:r w:rsidRPr="00067E14">
        <w:rPr>
          <w:rFonts w:ascii="Times New Roman" w:hAnsi="Times New Roman" w:cs="Times New Roman"/>
          <w:sz w:val="18"/>
          <w:szCs w:val="18"/>
        </w:rPr>
        <w:t>Fafchamps</w:t>
      </w:r>
      <w:proofErr w:type="spellEnd"/>
      <w:r w:rsidRPr="00067E14">
        <w:rPr>
          <w:rFonts w:ascii="Times New Roman" w:hAnsi="Times New Roman" w:cs="Times New Roman"/>
          <w:sz w:val="18"/>
          <w:szCs w:val="18"/>
        </w:rPr>
        <w:t xml:space="preserve">, M., and </w:t>
      </w:r>
      <w:proofErr w:type="spellStart"/>
      <w:r w:rsidRPr="00067E14">
        <w:rPr>
          <w:rFonts w:ascii="Times New Roman" w:hAnsi="Times New Roman" w:cs="Times New Roman"/>
          <w:sz w:val="18"/>
          <w:szCs w:val="18"/>
        </w:rPr>
        <w:t>Quisumbing</w:t>
      </w:r>
      <w:proofErr w:type="spellEnd"/>
      <w:r w:rsidRPr="00067E14">
        <w:rPr>
          <w:rFonts w:ascii="Times New Roman" w:hAnsi="Times New Roman" w:cs="Times New Roman"/>
          <w:sz w:val="18"/>
          <w:szCs w:val="18"/>
        </w:rPr>
        <w:t xml:space="preserve">, A. R.1999. Human Capital, Productivity, and Labour Allocation in Rural Pakistan, </w:t>
      </w:r>
      <w:r w:rsidRPr="00067E14">
        <w:rPr>
          <w:rFonts w:ascii="Times New Roman" w:hAnsi="Times New Roman" w:cs="Times New Roman"/>
          <w:iCs/>
          <w:sz w:val="18"/>
          <w:szCs w:val="18"/>
        </w:rPr>
        <w:t>The Journal of Human Resources</w:t>
      </w:r>
      <w:r w:rsidRPr="00067E14">
        <w:rPr>
          <w:rFonts w:ascii="Times New Roman" w:hAnsi="Times New Roman" w:cs="Times New Roman"/>
          <w:sz w:val="18"/>
          <w:szCs w:val="18"/>
        </w:rPr>
        <w:t>, 34(2), 369-406.</w:t>
      </w:r>
    </w:p>
    <w:p w:rsidR="00253F35" w:rsidRPr="00067E14" w:rsidRDefault="00253F35" w:rsidP="00253F35">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18"/>
          <w:szCs w:val="18"/>
        </w:rPr>
      </w:pPr>
      <w:r w:rsidRPr="00067E14">
        <w:rPr>
          <w:rFonts w:ascii="Times New Roman" w:hAnsi="Times New Roman" w:cs="Times New Roman"/>
          <w:sz w:val="18"/>
          <w:szCs w:val="18"/>
        </w:rPr>
        <w:t>H</w:t>
      </w:r>
      <w:r w:rsidR="0011776F" w:rsidRPr="00067E14">
        <w:rPr>
          <w:rFonts w:ascii="Times New Roman" w:hAnsi="Times New Roman" w:cs="Times New Roman"/>
          <w:sz w:val="18"/>
          <w:szCs w:val="18"/>
        </w:rPr>
        <w:t>eckman, J. J.</w:t>
      </w:r>
      <w:r w:rsidR="00344BF4" w:rsidRPr="00067E14">
        <w:rPr>
          <w:rFonts w:ascii="Times New Roman" w:hAnsi="Times New Roman" w:cs="Times New Roman"/>
          <w:sz w:val="18"/>
          <w:szCs w:val="18"/>
        </w:rPr>
        <w:t>,</w:t>
      </w:r>
      <w:r w:rsidR="0011776F" w:rsidRPr="00067E14">
        <w:rPr>
          <w:rFonts w:ascii="Times New Roman" w:hAnsi="Times New Roman" w:cs="Times New Roman"/>
          <w:sz w:val="18"/>
          <w:szCs w:val="18"/>
        </w:rPr>
        <w:t xml:space="preserve"> 1979</w:t>
      </w:r>
      <w:r w:rsidR="00CD37BA" w:rsidRPr="00067E14">
        <w:rPr>
          <w:rFonts w:ascii="Times New Roman" w:hAnsi="Times New Roman" w:cs="Times New Roman"/>
          <w:sz w:val="18"/>
          <w:szCs w:val="18"/>
        </w:rPr>
        <w:t>. Sample selection bias as a</w:t>
      </w:r>
      <w:r w:rsidR="00067E14" w:rsidRPr="00067E14">
        <w:rPr>
          <w:rFonts w:ascii="Times New Roman" w:hAnsi="Times New Roman" w:cs="Times New Roman"/>
          <w:sz w:val="18"/>
          <w:szCs w:val="18"/>
        </w:rPr>
        <w:t xml:space="preserve"> </w:t>
      </w:r>
      <w:r w:rsidR="00CD37BA" w:rsidRPr="00067E14">
        <w:rPr>
          <w:rFonts w:ascii="Times New Roman" w:hAnsi="Times New Roman" w:cs="Times New Roman"/>
          <w:sz w:val="18"/>
          <w:szCs w:val="18"/>
        </w:rPr>
        <w:t xml:space="preserve">specification error. </w:t>
      </w:r>
      <w:proofErr w:type="spellStart"/>
      <w:r w:rsidR="00CD37BA" w:rsidRPr="00067E14">
        <w:rPr>
          <w:rFonts w:ascii="Times New Roman" w:hAnsi="Times New Roman" w:cs="Times New Roman"/>
          <w:i/>
          <w:iCs/>
          <w:sz w:val="18"/>
          <w:szCs w:val="18"/>
        </w:rPr>
        <w:t>Econometr</w:t>
      </w:r>
      <w:r w:rsidR="00E2187D" w:rsidRPr="00067E14">
        <w:rPr>
          <w:rFonts w:ascii="Times New Roman" w:hAnsi="Times New Roman" w:cs="Times New Roman"/>
          <w:i/>
          <w:iCs/>
          <w:sz w:val="18"/>
          <w:szCs w:val="18"/>
        </w:rPr>
        <w:t>ica</w:t>
      </w:r>
      <w:proofErr w:type="spellEnd"/>
      <w:r w:rsidR="00067E14" w:rsidRPr="00067E14">
        <w:rPr>
          <w:rFonts w:ascii="Times New Roman" w:hAnsi="Times New Roman" w:cs="Times New Roman"/>
          <w:i/>
          <w:iCs/>
          <w:sz w:val="18"/>
          <w:szCs w:val="18"/>
        </w:rPr>
        <w:t xml:space="preserve"> </w:t>
      </w:r>
      <w:r w:rsidR="00CD37BA" w:rsidRPr="00067E14">
        <w:rPr>
          <w:rFonts w:ascii="Times New Roman" w:hAnsi="Times New Roman" w:cs="Times New Roman"/>
          <w:i/>
          <w:iCs/>
          <w:sz w:val="18"/>
          <w:szCs w:val="18"/>
        </w:rPr>
        <w:t xml:space="preserve">47 </w:t>
      </w:r>
      <w:r w:rsidR="00CD37BA" w:rsidRPr="00067E14">
        <w:rPr>
          <w:rFonts w:ascii="Times New Roman" w:hAnsi="Times New Roman" w:cs="Times New Roman"/>
          <w:sz w:val="18"/>
          <w:szCs w:val="18"/>
        </w:rPr>
        <w:t>(1), 153–</w:t>
      </w:r>
      <w:r w:rsidR="00A7413D" w:rsidRPr="00067E14">
        <w:rPr>
          <w:rFonts w:ascii="Times New Roman" w:hAnsi="Times New Roman" w:cs="Times New Roman"/>
          <w:sz w:val="18"/>
          <w:szCs w:val="18"/>
        </w:rPr>
        <w:t xml:space="preserve"> </w:t>
      </w:r>
      <w:r w:rsidR="00CD37BA" w:rsidRPr="00067E14">
        <w:rPr>
          <w:rFonts w:ascii="Times New Roman" w:hAnsi="Times New Roman" w:cs="Times New Roman"/>
          <w:sz w:val="18"/>
          <w:szCs w:val="18"/>
        </w:rPr>
        <w:t>162.</w:t>
      </w:r>
    </w:p>
    <w:p w:rsidR="00253F35" w:rsidRPr="00067E14" w:rsidRDefault="00253F35" w:rsidP="00253F35">
      <w:pPr>
        <w:pStyle w:val="ListParagraph"/>
        <w:numPr>
          <w:ilvl w:val="0"/>
          <w:numId w:val="4"/>
        </w:numPr>
        <w:autoSpaceDE w:val="0"/>
        <w:autoSpaceDN w:val="0"/>
        <w:adjustRightInd w:val="0"/>
        <w:snapToGrid w:val="0"/>
        <w:spacing w:after="0" w:line="240" w:lineRule="auto"/>
        <w:jc w:val="both"/>
        <w:rPr>
          <w:rFonts w:ascii="Times New Roman" w:hAnsi="Times New Roman" w:cs="Times New Roman"/>
          <w:color w:val="000000"/>
          <w:sz w:val="18"/>
          <w:szCs w:val="18"/>
        </w:rPr>
      </w:pPr>
      <w:proofErr w:type="spellStart"/>
      <w:r w:rsidRPr="00067E14">
        <w:rPr>
          <w:rFonts w:ascii="Times New Roman" w:hAnsi="Times New Roman" w:cs="Times New Roman"/>
          <w:color w:val="000000"/>
          <w:sz w:val="18"/>
          <w:szCs w:val="18"/>
        </w:rPr>
        <w:t>O</w:t>
      </w:r>
      <w:r w:rsidR="008E1A42" w:rsidRPr="00067E14">
        <w:rPr>
          <w:rFonts w:ascii="Times New Roman" w:hAnsi="Times New Roman" w:cs="Times New Roman"/>
          <w:color w:val="000000"/>
          <w:sz w:val="18"/>
          <w:szCs w:val="18"/>
        </w:rPr>
        <w:t>kuwa</w:t>
      </w:r>
      <w:proofErr w:type="spellEnd"/>
      <w:r w:rsidR="008E1A42" w:rsidRPr="00067E14">
        <w:rPr>
          <w:rFonts w:ascii="Times New Roman" w:hAnsi="Times New Roman" w:cs="Times New Roman"/>
          <w:color w:val="000000"/>
          <w:sz w:val="18"/>
          <w:szCs w:val="18"/>
        </w:rPr>
        <w:t>, O.B.</w:t>
      </w:r>
      <w:r w:rsidR="00CB73F5" w:rsidRPr="00067E14">
        <w:rPr>
          <w:rFonts w:ascii="Times New Roman" w:hAnsi="Times New Roman" w:cs="Times New Roman"/>
          <w:color w:val="000000"/>
          <w:sz w:val="18"/>
          <w:szCs w:val="18"/>
        </w:rPr>
        <w:t>,</w:t>
      </w:r>
      <w:r w:rsidR="008E1A42" w:rsidRPr="00067E14">
        <w:rPr>
          <w:rFonts w:ascii="Times New Roman" w:hAnsi="Times New Roman" w:cs="Times New Roman"/>
          <w:color w:val="000000"/>
          <w:sz w:val="18"/>
          <w:szCs w:val="18"/>
        </w:rPr>
        <w:t xml:space="preserve"> 2004, “Private Returns to Higher Education in Nigeria,” </w:t>
      </w:r>
      <w:r w:rsidR="008E1A42" w:rsidRPr="00067E14">
        <w:rPr>
          <w:rFonts w:ascii="Times New Roman" w:hAnsi="Times New Roman" w:cs="Times New Roman"/>
          <w:i/>
          <w:iCs/>
          <w:color w:val="000000"/>
          <w:sz w:val="18"/>
          <w:szCs w:val="18"/>
        </w:rPr>
        <w:t xml:space="preserve">Research Paper, </w:t>
      </w:r>
      <w:r w:rsidR="008E1A42" w:rsidRPr="00067E14">
        <w:rPr>
          <w:rFonts w:ascii="Times New Roman" w:hAnsi="Times New Roman" w:cs="Times New Roman"/>
          <w:color w:val="000000"/>
          <w:sz w:val="18"/>
          <w:szCs w:val="18"/>
        </w:rPr>
        <w:t>No. 139, African</w:t>
      </w:r>
      <w:r w:rsidR="00067E14" w:rsidRPr="00067E14">
        <w:rPr>
          <w:rFonts w:ascii="Times New Roman" w:hAnsi="Times New Roman" w:cs="Times New Roman"/>
          <w:color w:val="000000"/>
          <w:sz w:val="18"/>
          <w:szCs w:val="18"/>
        </w:rPr>
        <w:t xml:space="preserve"> </w:t>
      </w:r>
      <w:r w:rsidR="008E1A42" w:rsidRPr="00067E14">
        <w:rPr>
          <w:rFonts w:ascii="Times New Roman" w:hAnsi="Times New Roman" w:cs="Times New Roman"/>
          <w:color w:val="000000"/>
          <w:sz w:val="18"/>
          <w:szCs w:val="18"/>
        </w:rPr>
        <w:t>Economic Research Consortium (AERC), Nairobi, Kenya.</w:t>
      </w:r>
    </w:p>
    <w:p w:rsidR="00253F35" w:rsidRPr="00067E14" w:rsidRDefault="00253F35" w:rsidP="00253F35">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067E14">
        <w:rPr>
          <w:rFonts w:ascii="Times New Roman" w:hAnsi="Times New Roman" w:cs="Times New Roman"/>
          <w:sz w:val="18"/>
          <w:szCs w:val="18"/>
        </w:rPr>
        <w:t>O</w:t>
      </w:r>
      <w:r w:rsidR="00CB73F5" w:rsidRPr="00067E14">
        <w:rPr>
          <w:rFonts w:ascii="Times New Roman" w:hAnsi="Times New Roman" w:cs="Times New Roman"/>
          <w:sz w:val="18"/>
          <w:szCs w:val="18"/>
        </w:rPr>
        <w:t>lorunfemi</w:t>
      </w:r>
      <w:proofErr w:type="spellEnd"/>
      <w:r w:rsidR="00CB73F5" w:rsidRPr="00067E14">
        <w:rPr>
          <w:rFonts w:ascii="Times New Roman" w:hAnsi="Times New Roman" w:cs="Times New Roman"/>
          <w:sz w:val="18"/>
          <w:szCs w:val="18"/>
        </w:rPr>
        <w:t xml:space="preserve"> S. and </w:t>
      </w:r>
      <w:proofErr w:type="spellStart"/>
      <w:r w:rsidR="00CB73F5" w:rsidRPr="00067E14">
        <w:rPr>
          <w:rFonts w:ascii="Times New Roman" w:hAnsi="Times New Roman" w:cs="Times New Roman"/>
          <w:sz w:val="18"/>
          <w:szCs w:val="18"/>
        </w:rPr>
        <w:t>Olowofeso</w:t>
      </w:r>
      <w:proofErr w:type="spellEnd"/>
      <w:r w:rsidR="00CB73F5" w:rsidRPr="00067E14">
        <w:rPr>
          <w:rFonts w:ascii="Times New Roman" w:hAnsi="Times New Roman" w:cs="Times New Roman"/>
          <w:sz w:val="18"/>
          <w:szCs w:val="18"/>
        </w:rPr>
        <w:t xml:space="preserve"> O. E., 2007</w:t>
      </w:r>
      <w:r w:rsidR="00F27B7D" w:rsidRPr="00067E14">
        <w:rPr>
          <w:rFonts w:ascii="Times New Roman" w:hAnsi="Times New Roman" w:cs="Times New Roman"/>
          <w:sz w:val="18"/>
          <w:szCs w:val="18"/>
        </w:rPr>
        <w:t>, Sample</w:t>
      </w:r>
      <w:r w:rsidR="00600416" w:rsidRPr="00067E14">
        <w:rPr>
          <w:rFonts w:ascii="Times New Roman" w:hAnsi="Times New Roman" w:cs="Times New Roman"/>
          <w:bCs/>
          <w:sz w:val="18"/>
          <w:szCs w:val="18"/>
        </w:rPr>
        <w:t xml:space="preserve"> Selection Analysis of Wage Equation for Women </w:t>
      </w:r>
      <w:r w:rsidR="00F27B7D" w:rsidRPr="00067E14">
        <w:rPr>
          <w:rFonts w:ascii="Times New Roman" w:hAnsi="Times New Roman" w:cs="Times New Roman"/>
          <w:bCs/>
          <w:sz w:val="18"/>
          <w:szCs w:val="18"/>
        </w:rPr>
        <w:t>in</w:t>
      </w:r>
      <w:r w:rsidR="00600416" w:rsidRPr="00067E14">
        <w:rPr>
          <w:rFonts w:ascii="Times New Roman" w:hAnsi="Times New Roman" w:cs="Times New Roman"/>
          <w:bCs/>
          <w:sz w:val="18"/>
          <w:szCs w:val="18"/>
        </w:rPr>
        <w:t xml:space="preserve"> </w:t>
      </w:r>
      <w:proofErr w:type="spellStart"/>
      <w:r w:rsidR="00600416" w:rsidRPr="00067E14">
        <w:rPr>
          <w:rFonts w:ascii="Times New Roman" w:hAnsi="Times New Roman" w:cs="Times New Roman"/>
          <w:bCs/>
          <w:sz w:val="18"/>
          <w:szCs w:val="18"/>
        </w:rPr>
        <w:t>Ondo</w:t>
      </w:r>
      <w:proofErr w:type="spellEnd"/>
      <w:r w:rsidR="00600416" w:rsidRPr="00067E14">
        <w:rPr>
          <w:rFonts w:ascii="Times New Roman" w:hAnsi="Times New Roman" w:cs="Times New Roman"/>
          <w:bCs/>
          <w:sz w:val="18"/>
          <w:szCs w:val="18"/>
        </w:rPr>
        <w:t xml:space="preserve"> State Nigeria</w:t>
      </w:r>
      <w:r w:rsidR="00CB73F5" w:rsidRPr="00067E14">
        <w:rPr>
          <w:rFonts w:ascii="Times New Roman" w:hAnsi="Times New Roman" w:cs="Times New Roman"/>
          <w:bCs/>
          <w:sz w:val="18"/>
          <w:szCs w:val="18"/>
        </w:rPr>
        <w:t xml:space="preserve">. </w:t>
      </w:r>
      <w:r w:rsidR="00CB73F5" w:rsidRPr="00067E14">
        <w:rPr>
          <w:rFonts w:ascii="Times New Roman" w:hAnsi="Times New Roman" w:cs="Times New Roman"/>
          <w:i/>
          <w:sz w:val="18"/>
          <w:szCs w:val="18"/>
        </w:rPr>
        <w:t xml:space="preserve">Journal of Social Sciences </w:t>
      </w:r>
      <w:r w:rsidR="00CB73F5" w:rsidRPr="00067E14">
        <w:rPr>
          <w:rFonts w:ascii="Times New Roman" w:hAnsi="Times New Roman" w:cs="Times New Roman"/>
          <w:sz w:val="18"/>
          <w:szCs w:val="18"/>
        </w:rPr>
        <w:t>3 (3): 127-133.</w:t>
      </w:r>
    </w:p>
    <w:p w:rsidR="00253F35" w:rsidRPr="00067E14" w:rsidRDefault="00253F35" w:rsidP="00253F35">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067E14">
        <w:rPr>
          <w:rFonts w:ascii="Times New Roman" w:hAnsi="Times New Roman" w:cs="Times New Roman"/>
          <w:sz w:val="18"/>
          <w:szCs w:val="18"/>
        </w:rPr>
        <w:t>M</w:t>
      </w:r>
      <w:r w:rsidR="009C52DF" w:rsidRPr="00067E14">
        <w:rPr>
          <w:rFonts w:ascii="Times New Roman" w:hAnsi="Times New Roman" w:cs="Times New Roman"/>
          <w:sz w:val="18"/>
          <w:szCs w:val="18"/>
        </w:rPr>
        <w:t>alathy</w:t>
      </w:r>
      <w:proofErr w:type="spellEnd"/>
      <w:r w:rsidR="009C52DF" w:rsidRPr="00067E14">
        <w:rPr>
          <w:rFonts w:ascii="Times New Roman" w:hAnsi="Times New Roman" w:cs="Times New Roman"/>
          <w:sz w:val="18"/>
          <w:szCs w:val="18"/>
        </w:rPr>
        <w:t>, R. 1994. Education and Women’s</w:t>
      </w:r>
      <w:r w:rsidR="00067E14" w:rsidRPr="00067E14">
        <w:rPr>
          <w:rFonts w:ascii="Times New Roman" w:hAnsi="Times New Roman" w:cs="Times New Roman"/>
          <w:sz w:val="18"/>
          <w:szCs w:val="18"/>
        </w:rPr>
        <w:t xml:space="preserve"> </w:t>
      </w:r>
      <w:r w:rsidR="009C52DF" w:rsidRPr="00067E14">
        <w:rPr>
          <w:rFonts w:ascii="Times New Roman" w:hAnsi="Times New Roman" w:cs="Times New Roman"/>
          <w:sz w:val="18"/>
          <w:szCs w:val="18"/>
        </w:rPr>
        <w:t xml:space="preserve">Time Allocation to Non-market Work in an Urban Setting in India; </w:t>
      </w:r>
      <w:r w:rsidR="009C52DF" w:rsidRPr="00067E14">
        <w:rPr>
          <w:rFonts w:ascii="Times New Roman" w:hAnsi="Times New Roman" w:cs="Times New Roman"/>
          <w:i/>
          <w:iCs/>
          <w:sz w:val="18"/>
          <w:szCs w:val="18"/>
        </w:rPr>
        <w:t xml:space="preserve">Economic Development and Cultural Change </w:t>
      </w:r>
      <w:r w:rsidR="009C52DF" w:rsidRPr="00067E14">
        <w:rPr>
          <w:rFonts w:ascii="Times New Roman" w:hAnsi="Times New Roman" w:cs="Times New Roman"/>
          <w:sz w:val="18"/>
          <w:szCs w:val="18"/>
        </w:rPr>
        <w:t>42, 743-760</w:t>
      </w:r>
    </w:p>
    <w:p w:rsidR="002F5A9E" w:rsidRPr="00067E14" w:rsidRDefault="00253F35" w:rsidP="00253F35">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18"/>
          <w:szCs w:val="18"/>
          <w:lang w:eastAsia="en-GB"/>
        </w:rPr>
      </w:pPr>
      <w:proofErr w:type="spellStart"/>
      <w:r w:rsidRPr="00067E14">
        <w:rPr>
          <w:rFonts w:ascii="Times New Roman" w:hAnsi="Times New Roman" w:cs="Times New Roman"/>
          <w:sz w:val="18"/>
          <w:szCs w:val="18"/>
        </w:rPr>
        <w:t>M</w:t>
      </w:r>
      <w:r w:rsidR="002F5A9E" w:rsidRPr="00067E14">
        <w:rPr>
          <w:rFonts w:ascii="Times New Roman" w:hAnsi="Times New Roman" w:cs="Times New Roman"/>
          <w:sz w:val="18"/>
          <w:szCs w:val="18"/>
        </w:rPr>
        <w:t>roz</w:t>
      </w:r>
      <w:proofErr w:type="spellEnd"/>
      <w:r w:rsidR="002F5A9E" w:rsidRPr="00067E14">
        <w:rPr>
          <w:rFonts w:ascii="Times New Roman" w:hAnsi="Times New Roman" w:cs="Times New Roman"/>
          <w:sz w:val="18"/>
          <w:szCs w:val="18"/>
        </w:rPr>
        <w:t>, T</w:t>
      </w:r>
      <w:r w:rsidR="00FF63BE" w:rsidRPr="00067E14">
        <w:rPr>
          <w:rFonts w:ascii="Times New Roman" w:hAnsi="Times New Roman" w:cs="Times New Roman"/>
          <w:sz w:val="18"/>
          <w:szCs w:val="18"/>
        </w:rPr>
        <w:t>.</w:t>
      </w:r>
      <w:r w:rsidR="002F5A9E" w:rsidRPr="00067E14">
        <w:rPr>
          <w:rFonts w:ascii="Times New Roman" w:hAnsi="Times New Roman" w:cs="Times New Roman"/>
          <w:sz w:val="18"/>
          <w:szCs w:val="18"/>
        </w:rPr>
        <w:t xml:space="preserve"> A</w:t>
      </w:r>
      <w:r w:rsidR="00FF63BE" w:rsidRPr="00067E14">
        <w:rPr>
          <w:rFonts w:ascii="Times New Roman" w:hAnsi="Times New Roman" w:cs="Times New Roman"/>
          <w:sz w:val="18"/>
          <w:szCs w:val="18"/>
        </w:rPr>
        <w:t>.</w:t>
      </w:r>
      <w:r w:rsidR="002F5A9E" w:rsidRPr="00067E14">
        <w:rPr>
          <w:rFonts w:ascii="Times New Roman" w:hAnsi="Times New Roman" w:cs="Times New Roman"/>
          <w:sz w:val="18"/>
          <w:szCs w:val="18"/>
        </w:rPr>
        <w:t xml:space="preserve"> (1987), "The Sensitivity of </w:t>
      </w:r>
      <w:r w:rsidR="00F27B7D" w:rsidRPr="00067E14">
        <w:rPr>
          <w:rFonts w:ascii="Times New Roman" w:hAnsi="Times New Roman" w:cs="Times New Roman"/>
          <w:sz w:val="18"/>
          <w:szCs w:val="18"/>
        </w:rPr>
        <w:t>an</w:t>
      </w:r>
      <w:r w:rsidR="002F5A9E" w:rsidRPr="00067E14">
        <w:rPr>
          <w:rFonts w:ascii="Times New Roman" w:hAnsi="Times New Roman" w:cs="Times New Roman"/>
          <w:sz w:val="18"/>
          <w:szCs w:val="18"/>
        </w:rPr>
        <w:t xml:space="preserve"> Empir</w:t>
      </w:r>
      <w:r w:rsidR="00A7413D" w:rsidRPr="00067E14">
        <w:rPr>
          <w:rFonts w:ascii="Times New Roman" w:hAnsi="Times New Roman" w:cs="Times New Roman"/>
          <w:sz w:val="18"/>
          <w:szCs w:val="18"/>
        </w:rPr>
        <w:t xml:space="preserve">ical Model of Married Women's </w:t>
      </w:r>
      <w:r w:rsidR="002F5A9E" w:rsidRPr="00067E14">
        <w:rPr>
          <w:rFonts w:ascii="Times New Roman" w:hAnsi="Times New Roman" w:cs="Times New Roman"/>
          <w:sz w:val="18"/>
          <w:szCs w:val="18"/>
        </w:rPr>
        <w:t xml:space="preserve">Hours of Work to Economic and Statistical Assumptions,” </w:t>
      </w:r>
      <w:proofErr w:type="spellStart"/>
      <w:r w:rsidR="002F5A9E" w:rsidRPr="00067E14">
        <w:rPr>
          <w:rFonts w:ascii="Times New Roman" w:hAnsi="Times New Roman" w:cs="Times New Roman"/>
          <w:i/>
          <w:iCs/>
          <w:sz w:val="18"/>
          <w:szCs w:val="18"/>
        </w:rPr>
        <w:t>Econometrica</w:t>
      </w:r>
      <w:proofErr w:type="spellEnd"/>
      <w:r w:rsidR="00A7413D" w:rsidRPr="00067E14">
        <w:rPr>
          <w:rFonts w:ascii="Times New Roman" w:hAnsi="Times New Roman" w:cs="Times New Roman"/>
          <w:sz w:val="18"/>
          <w:szCs w:val="18"/>
        </w:rPr>
        <w:t xml:space="preserve">, </w:t>
      </w:r>
      <w:proofErr w:type="spellStart"/>
      <w:r w:rsidR="00A7413D" w:rsidRPr="00067E14">
        <w:rPr>
          <w:rFonts w:ascii="Times New Roman" w:hAnsi="Times New Roman" w:cs="Times New Roman"/>
          <w:sz w:val="18"/>
          <w:szCs w:val="18"/>
        </w:rPr>
        <w:t>Vol</w:t>
      </w:r>
      <w:proofErr w:type="spellEnd"/>
      <w:r w:rsidR="00A7413D" w:rsidRPr="00067E14">
        <w:rPr>
          <w:rFonts w:ascii="Times New Roman" w:hAnsi="Times New Roman" w:cs="Times New Roman"/>
          <w:sz w:val="18"/>
          <w:szCs w:val="18"/>
        </w:rPr>
        <w:t xml:space="preserve"> </w:t>
      </w:r>
      <w:r w:rsidR="002F5A9E" w:rsidRPr="00067E14">
        <w:rPr>
          <w:rFonts w:ascii="Times New Roman" w:hAnsi="Times New Roman" w:cs="Times New Roman"/>
          <w:sz w:val="18"/>
          <w:szCs w:val="18"/>
        </w:rPr>
        <w:t>55, No. 4, July, 765-799.</w:t>
      </w:r>
    </w:p>
    <w:p w:rsidR="00341100" w:rsidRPr="00A159CF" w:rsidRDefault="00341100" w:rsidP="00A159CF">
      <w:pPr>
        <w:snapToGrid w:val="0"/>
        <w:spacing w:after="0" w:line="240" w:lineRule="auto"/>
        <w:jc w:val="both"/>
        <w:rPr>
          <w:rFonts w:ascii="Times New Roman" w:hAnsi="Times New Roman" w:cs="Times New Roman"/>
          <w:sz w:val="20"/>
          <w:szCs w:val="20"/>
        </w:rPr>
        <w:sectPr w:rsidR="00341100" w:rsidRPr="00A159CF" w:rsidSect="007F25D1">
          <w:type w:val="continuous"/>
          <w:pgSz w:w="12242" w:h="15842" w:code="1"/>
          <w:pgMar w:top="1440" w:right="1440" w:bottom="1440" w:left="1440" w:header="720" w:footer="720" w:gutter="0"/>
          <w:cols w:num="2" w:space="720"/>
          <w:docGrid w:linePitch="360"/>
        </w:sectPr>
      </w:pPr>
    </w:p>
    <w:p w:rsidR="00253F35" w:rsidRPr="00A159CF" w:rsidRDefault="00253F35" w:rsidP="00A159CF">
      <w:pPr>
        <w:snapToGrid w:val="0"/>
        <w:spacing w:after="0" w:line="240" w:lineRule="auto"/>
        <w:jc w:val="both"/>
        <w:rPr>
          <w:rFonts w:ascii="Times New Roman" w:hAnsi="Times New Roman" w:cs="Times New Roman"/>
          <w:sz w:val="20"/>
          <w:szCs w:val="20"/>
          <w:lang w:eastAsia="zh-CN"/>
        </w:rPr>
      </w:pPr>
    </w:p>
    <w:p w:rsidR="00A177B3" w:rsidRPr="00A159CF" w:rsidRDefault="00341100" w:rsidP="00A159CF">
      <w:pPr>
        <w:snapToGrid w:val="0"/>
        <w:spacing w:after="0" w:line="240" w:lineRule="auto"/>
        <w:jc w:val="both"/>
        <w:rPr>
          <w:rFonts w:ascii="Times New Roman" w:hAnsi="Times New Roman" w:cs="Times New Roman"/>
          <w:sz w:val="20"/>
          <w:szCs w:val="20"/>
        </w:rPr>
      </w:pPr>
      <w:r w:rsidRPr="00A159CF">
        <w:rPr>
          <w:rFonts w:ascii="Times New Roman" w:hAnsi="Times New Roman" w:cs="Times New Roman"/>
          <w:sz w:val="20"/>
          <w:szCs w:val="20"/>
        </w:rPr>
        <w:t>1/</w:t>
      </w:r>
      <w:r w:rsidR="00253F35">
        <w:rPr>
          <w:rFonts w:ascii="Times New Roman" w:hAnsi="Times New Roman" w:cs="Times New Roman" w:hint="eastAsia"/>
          <w:sz w:val="20"/>
          <w:szCs w:val="20"/>
          <w:lang w:eastAsia="zh-CN"/>
        </w:rPr>
        <w:t>2</w:t>
      </w:r>
      <w:r w:rsidRPr="00A159CF">
        <w:rPr>
          <w:rFonts w:ascii="Times New Roman" w:hAnsi="Times New Roman" w:cs="Times New Roman"/>
          <w:sz w:val="20"/>
          <w:szCs w:val="20"/>
        </w:rPr>
        <w:t>/2014</w:t>
      </w:r>
    </w:p>
    <w:sectPr w:rsidR="00A177B3" w:rsidRPr="00A159CF" w:rsidSect="007F25D1">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7B" w:rsidRDefault="0034067B" w:rsidP="0034067B">
      <w:pPr>
        <w:spacing w:after="0" w:line="240" w:lineRule="auto"/>
      </w:pPr>
      <w:r>
        <w:separator/>
      </w:r>
    </w:p>
  </w:endnote>
  <w:endnote w:type="continuationSeparator" w:id="0">
    <w:p w:rsidR="0034067B" w:rsidRDefault="0034067B" w:rsidP="00340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00" w:rsidRPr="00341100" w:rsidRDefault="00CE6B66" w:rsidP="00341100">
    <w:pPr>
      <w:spacing w:after="0" w:line="240" w:lineRule="auto"/>
      <w:jc w:val="center"/>
      <w:rPr>
        <w:rFonts w:ascii="Times New Roman" w:hAnsi="Times New Roman" w:cs="Times New Roman"/>
        <w:sz w:val="20"/>
      </w:rPr>
    </w:pPr>
    <w:r w:rsidRPr="00341100">
      <w:rPr>
        <w:rFonts w:ascii="Times New Roman" w:hAnsi="Times New Roman" w:cs="Times New Roman"/>
        <w:sz w:val="20"/>
      </w:rPr>
      <w:fldChar w:fldCharType="begin"/>
    </w:r>
    <w:r w:rsidR="00341100" w:rsidRPr="00341100">
      <w:rPr>
        <w:rFonts w:ascii="Times New Roman" w:hAnsi="Times New Roman" w:cs="Times New Roman"/>
        <w:sz w:val="20"/>
      </w:rPr>
      <w:instrText xml:space="preserve"> page </w:instrText>
    </w:r>
    <w:r w:rsidRPr="00341100">
      <w:rPr>
        <w:rFonts w:ascii="Times New Roman" w:hAnsi="Times New Roman" w:cs="Times New Roman"/>
        <w:sz w:val="20"/>
      </w:rPr>
      <w:fldChar w:fldCharType="separate"/>
    </w:r>
    <w:r w:rsidR="006E607A">
      <w:rPr>
        <w:rFonts w:ascii="Times New Roman" w:hAnsi="Times New Roman" w:cs="Times New Roman"/>
        <w:noProof/>
        <w:sz w:val="20"/>
      </w:rPr>
      <w:t>26</w:t>
    </w:r>
    <w:r w:rsidRPr="0034110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7B" w:rsidRDefault="0034067B" w:rsidP="0034067B">
      <w:pPr>
        <w:spacing w:after="0" w:line="240" w:lineRule="auto"/>
      </w:pPr>
      <w:r>
        <w:separator/>
      </w:r>
    </w:p>
  </w:footnote>
  <w:footnote w:type="continuationSeparator" w:id="0">
    <w:p w:rsidR="0034067B" w:rsidRDefault="0034067B" w:rsidP="00340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00" w:rsidRPr="00341100" w:rsidRDefault="00341100" w:rsidP="003411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41100">
      <w:rPr>
        <w:rFonts w:ascii="Times New Roman" w:hAnsi="Times New Roman" w:cs="Times New Roman" w:hint="eastAsia"/>
        <w:sz w:val="20"/>
        <w:szCs w:val="20"/>
      </w:rPr>
      <w:tab/>
    </w:r>
    <w:r w:rsidRPr="00341100">
      <w:rPr>
        <w:rFonts w:ascii="Times New Roman" w:hAnsi="Times New Roman" w:cs="Times New Roman"/>
        <w:sz w:val="20"/>
        <w:szCs w:val="20"/>
      </w:rPr>
      <w:t>World Rural Observations 201</w:t>
    </w:r>
    <w:r w:rsidRPr="00341100">
      <w:rPr>
        <w:rFonts w:ascii="Times New Roman" w:hAnsi="Times New Roman" w:cs="Times New Roman" w:hint="eastAsia"/>
        <w:sz w:val="20"/>
        <w:szCs w:val="20"/>
      </w:rPr>
      <w:t>4</w:t>
    </w:r>
    <w:r w:rsidRPr="00341100">
      <w:rPr>
        <w:rFonts w:ascii="Times New Roman" w:hAnsi="Times New Roman" w:cs="Times New Roman"/>
        <w:sz w:val="20"/>
        <w:szCs w:val="20"/>
      </w:rPr>
      <w:t>;</w:t>
    </w:r>
    <w:r w:rsidRPr="00341100">
      <w:rPr>
        <w:rFonts w:ascii="Times New Roman" w:hAnsi="Times New Roman" w:cs="Times New Roman" w:hint="eastAsia"/>
        <w:sz w:val="20"/>
        <w:szCs w:val="20"/>
      </w:rPr>
      <w:t>6</w:t>
    </w:r>
    <w:r w:rsidRPr="00341100">
      <w:rPr>
        <w:rFonts w:ascii="Times New Roman" w:hAnsi="Times New Roman" w:cs="Times New Roman"/>
        <w:sz w:val="20"/>
        <w:szCs w:val="20"/>
      </w:rPr>
      <w:t>(</w:t>
    </w:r>
    <w:r w:rsidRPr="00341100">
      <w:rPr>
        <w:rFonts w:ascii="Times New Roman" w:hAnsi="Times New Roman" w:cs="Times New Roman" w:hint="eastAsia"/>
        <w:sz w:val="20"/>
        <w:szCs w:val="20"/>
      </w:rPr>
      <w:t>1</w:t>
    </w:r>
    <w:r w:rsidRPr="00341100">
      <w:rPr>
        <w:rFonts w:ascii="Times New Roman" w:hAnsi="Times New Roman" w:cs="Times New Roman"/>
        <w:sz w:val="20"/>
        <w:szCs w:val="20"/>
      </w:rPr>
      <w:t xml:space="preserve">)      </w:t>
    </w:r>
    <w:r w:rsidRPr="00341100">
      <w:rPr>
        <w:rFonts w:ascii="Times New Roman" w:hAnsi="Times New Roman" w:cs="Times New Roman" w:hint="eastAsia"/>
        <w:sz w:val="20"/>
        <w:szCs w:val="20"/>
      </w:rPr>
      <w:tab/>
    </w:r>
    <w:r w:rsidRPr="00341100">
      <w:rPr>
        <w:rFonts w:ascii="Times New Roman" w:hAnsi="Times New Roman" w:cs="Times New Roman"/>
        <w:sz w:val="20"/>
        <w:szCs w:val="20"/>
      </w:rPr>
      <w:t xml:space="preserve">       </w:t>
    </w:r>
    <w:hyperlink r:id="rId1" w:history="1">
      <w:r w:rsidRPr="00341100">
        <w:rPr>
          <w:rStyle w:val="Hyperlink"/>
          <w:rFonts w:ascii="Times New Roman" w:hAnsi="Times New Roman" w:cs="Times New Roman"/>
          <w:color w:val="0000FF"/>
          <w:sz w:val="20"/>
          <w:szCs w:val="20"/>
        </w:rPr>
        <w:t>http://www.sciencepub.net/rural</w:t>
      </w:r>
    </w:hyperlink>
  </w:p>
  <w:p w:rsidR="00341100" w:rsidRPr="00341100" w:rsidRDefault="00341100" w:rsidP="0034110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8B0"/>
    <w:multiLevelType w:val="hybridMultilevel"/>
    <w:tmpl w:val="5F64E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861179"/>
    <w:multiLevelType w:val="hybridMultilevel"/>
    <w:tmpl w:val="9690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B4B15"/>
    <w:multiLevelType w:val="hybridMultilevel"/>
    <w:tmpl w:val="133A0244"/>
    <w:lvl w:ilvl="0" w:tplc="146610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AF84020"/>
    <w:multiLevelType w:val="hybridMultilevel"/>
    <w:tmpl w:val="A77476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280C87"/>
    <w:rsid w:val="00005CE4"/>
    <w:rsid w:val="000074C9"/>
    <w:rsid w:val="00014BD6"/>
    <w:rsid w:val="000153C8"/>
    <w:rsid w:val="00067E14"/>
    <w:rsid w:val="00084037"/>
    <w:rsid w:val="000A550D"/>
    <w:rsid w:val="000C62A0"/>
    <w:rsid w:val="000C74F7"/>
    <w:rsid w:val="000D6030"/>
    <w:rsid w:val="000F4E2D"/>
    <w:rsid w:val="000F6649"/>
    <w:rsid w:val="00100711"/>
    <w:rsid w:val="00113775"/>
    <w:rsid w:val="00115FBC"/>
    <w:rsid w:val="0011776F"/>
    <w:rsid w:val="00123932"/>
    <w:rsid w:val="00124D79"/>
    <w:rsid w:val="00127FF2"/>
    <w:rsid w:val="001323B5"/>
    <w:rsid w:val="00156DA4"/>
    <w:rsid w:val="0016015B"/>
    <w:rsid w:val="00170FB7"/>
    <w:rsid w:val="001819AC"/>
    <w:rsid w:val="001A517E"/>
    <w:rsid w:val="001B317E"/>
    <w:rsid w:val="00207450"/>
    <w:rsid w:val="00224698"/>
    <w:rsid w:val="00227791"/>
    <w:rsid w:val="002356C6"/>
    <w:rsid w:val="00245810"/>
    <w:rsid w:val="00253F35"/>
    <w:rsid w:val="00254FFD"/>
    <w:rsid w:val="00271EA6"/>
    <w:rsid w:val="00277939"/>
    <w:rsid w:val="00280C87"/>
    <w:rsid w:val="00286F60"/>
    <w:rsid w:val="002D646E"/>
    <w:rsid w:val="002F5A9E"/>
    <w:rsid w:val="00317B2B"/>
    <w:rsid w:val="0034067B"/>
    <w:rsid w:val="00341100"/>
    <w:rsid w:val="00344BF4"/>
    <w:rsid w:val="003703FF"/>
    <w:rsid w:val="00397E1F"/>
    <w:rsid w:val="003A0E42"/>
    <w:rsid w:val="003C616F"/>
    <w:rsid w:val="004065E5"/>
    <w:rsid w:val="004177E1"/>
    <w:rsid w:val="004300A8"/>
    <w:rsid w:val="004319A9"/>
    <w:rsid w:val="00441A1E"/>
    <w:rsid w:val="004531F0"/>
    <w:rsid w:val="00462F02"/>
    <w:rsid w:val="00466007"/>
    <w:rsid w:val="00491582"/>
    <w:rsid w:val="004D098B"/>
    <w:rsid w:val="004E1785"/>
    <w:rsid w:val="00504A08"/>
    <w:rsid w:val="005318A2"/>
    <w:rsid w:val="005413D2"/>
    <w:rsid w:val="005E573B"/>
    <w:rsid w:val="00600416"/>
    <w:rsid w:val="00612C79"/>
    <w:rsid w:val="006148A1"/>
    <w:rsid w:val="00616D86"/>
    <w:rsid w:val="00640975"/>
    <w:rsid w:val="00656E6B"/>
    <w:rsid w:val="006757D0"/>
    <w:rsid w:val="00681F27"/>
    <w:rsid w:val="006830B8"/>
    <w:rsid w:val="00690FB7"/>
    <w:rsid w:val="00694D8E"/>
    <w:rsid w:val="006A35E0"/>
    <w:rsid w:val="006A540E"/>
    <w:rsid w:val="006B76C0"/>
    <w:rsid w:val="006E607A"/>
    <w:rsid w:val="007004FE"/>
    <w:rsid w:val="00714580"/>
    <w:rsid w:val="00742D32"/>
    <w:rsid w:val="007446AE"/>
    <w:rsid w:val="00777612"/>
    <w:rsid w:val="007E054B"/>
    <w:rsid w:val="007F25D1"/>
    <w:rsid w:val="008038E8"/>
    <w:rsid w:val="00806391"/>
    <w:rsid w:val="008158A5"/>
    <w:rsid w:val="00864167"/>
    <w:rsid w:val="008C5103"/>
    <w:rsid w:val="008D3E37"/>
    <w:rsid w:val="008E1A42"/>
    <w:rsid w:val="00936547"/>
    <w:rsid w:val="00940C5F"/>
    <w:rsid w:val="0094767F"/>
    <w:rsid w:val="0095037B"/>
    <w:rsid w:val="00956642"/>
    <w:rsid w:val="0096292F"/>
    <w:rsid w:val="00963B56"/>
    <w:rsid w:val="0099796D"/>
    <w:rsid w:val="009A0212"/>
    <w:rsid w:val="009B4599"/>
    <w:rsid w:val="009B6B64"/>
    <w:rsid w:val="009C52DF"/>
    <w:rsid w:val="009F6705"/>
    <w:rsid w:val="00A140FD"/>
    <w:rsid w:val="00A159CF"/>
    <w:rsid w:val="00A177B3"/>
    <w:rsid w:val="00A54E27"/>
    <w:rsid w:val="00A633CF"/>
    <w:rsid w:val="00A7413D"/>
    <w:rsid w:val="00AB227A"/>
    <w:rsid w:val="00AB62C1"/>
    <w:rsid w:val="00B42121"/>
    <w:rsid w:val="00B5226C"/>
    <w:rsid w:val="00B53192"/>
    <w:rsid w:val="00B631F0"/>
    <w:rsid w:val="00B72FBF"/>
    <w:rsid w:val="00B7737A"/>
    <w:rsid w:val="00B931FA"/>
    <w:rsid w:val="00BB4513"/>
    <w:rsid w:val="00BC14CF"/>
    <w:rsid w:val="00C07B38"/>
    <w:rsid w:val="00C17275"/>
    <w:rsid w:val="00C45446"/>
    <w:rsid w:val="00C71A46"/>
    <w:rsid w:val="00C83C7F"/>
    <w:rsid w:val="00C85C8D"/>
    <w:rsid w:val="00CA2124"/>
    <w:rsid w:val="00CB73F5"/>
    <w:rsid w:val="00CD37BA"/>
    <w:rsid w:val="00CE67FF"/>
    <w:rsid w:val="00CE6B66"/>
    <w:rsid w:val="00CF3035"/>
    <w:rsid w:val="00D11A2B"/>
    <w:rsid w:val="00D24C9D"/>
    <w:rsid w:val="00D56D7C"/>
    <w:rsid w:val="00D93850"/>
    <w:rsid w:val="00D94986"/>
    <w:rsid w:val="00D97C0C"/>
    <w:rsid w:val="00DB2BE2"/>
    <w:rsid w:val="00DC0A4D"/>
    <w:rsid w:val="00DC12CC"/>
    <w:rsid w:val="00DE109E"/>
    <w:rsid w:val="00DE35CF"/>
    <w:rsid w:val="00DF2D7F"/>
    <w:rsid w:val="00E037CB"/>
    <w:rsid w:val="00E15A29"/>
    <w:rsid w:val="00E2187D"/>
    <w:rsid w:val="00E24540"/>
    <w:rsid w:val="00E47402"/>
    <w:rsid w:val="00E538AA"/>
    <w:rsid w:val="00E80EE4"/>
    <w:rsid w:val="00EA18EA"/>
    <w:rsid w:val="00EA4F00"/>
    <w:rsid w:val="00ED3E4C"/>
    <w:rsid w:val="00EE6F8F"/>
    <w:rsid w:val="00F2134B"/>
    <w:rsid w:val="00F25544"/>
    <w:rsid w:val="00F26DC9"/>
    <w:rsid w:val="00F27B7D"/>
    <w:rsid w:val="00F419E1"/>
    <w:rsid w:val="00F425C5"/>
    <w:rsid w:val="00F45E22"/>
    <w:rsid w:val="00F52778"/>
    <w:rsid w:val="00F54C4A"/>
    <w:rsid w:val="00F94A04"/>
    <w:rsid w:val="00F9645F"/>
    <w:rsid w:val="00FA36ED"/>
    <w:rsid w:val="00FD01D8"/>
    <w:rsid w:val="00FF46E6"/>
    <w:rsid w:val="00FF6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4C"/>
  </w:style>
  <w:style w:type="paragraph" w:styleId="Heading2">
    <w:name w:val="heading 2"/>
    <w:basedOn w:val="Normal"/>
    <w:next w:val="Normal"/>
    <w:link w:val="Heading2Char"/>
    <w:uiPriority w:val="9"/>
    <w:unhideWhenUsed/>
    <w:qFormat/>
    <w:rsid w:val="000153C8"/>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3C8"/>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0153C8"/>
    <w:pPr>
      <w:ind w:left="720"/>
    </w:pPr>
    <w:rPr>
      <w:rFonts w:ascii="Calibri" w:eastAsia="Calibri" w:hAnsi="Calibri" w:cs="Calibri"/>
      <w:lang w:val="en-GB"/>
    </w:rPr>
  </w:style>
  <w:style w:type="table" w:styleId="TableGrid">
    <w:name w:val="Table Grid"/>
    <w:basedOn w:val="TableNormal"/>
    <w:uiPriority w:val="59"/>
    <w:rsid w:val="00F25544"/>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aliases w:val="Bibliography,Bibliography1,Bibliography11"/>
    <w:basedOn w:val="Normal"/>
    <w:link w:val="PlainTextChar"/>
    <w:unhideWhenUsed/>
    <w:rsid w:val="00F25544"/>
    <w:pPr>
      <w:spacing w:after="0" w:line="240" w:lineRule="auto"/>
    </w:pPr>
    <w:rPr>
      <w:rFonts w:ascii="Consolas" w:hAnsi="Consolas"/>
      <w:sz w:val="21"/>
      <w:szCs w:val="21"/>
      <w:lang w:val="en-GB"/>
    </w:rPr>
  </w:style>
  <w:style w:type="character" w:customStyle="1" w:styleId="PlainTextChar">
    <w:name w:val="Plain Text Char"/>
    <w:aliases w:val="Bibliography Char,Bibliography1 Char,Bibliography11 Char"/>
    <w:basedOn w:val="DefaultParagraphFont"/>
    <w:link w:val="PlainText"/>
    <w:rsid w:val="00F25544"/>
    <w:rPr>
      <w:rFonts w:ascii="Consolas" w:hAnsi="Consolas"/>
      <w:sz w:val="21"/>
      <w:szCs w:val="21"/>
      <w:lang w:val="en-GB"/>
    </w:rPr>
  </w:style>
  <w:style w:type="paragraph" w:customStyle="1" w:styleId="Default">
    <w:name w:val="Default"/>
    <w:rsid w:val="00D97C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656E6B"/>
    <w:rPr>
      <w:color w:val="0000FF" w:themeColor="hyperlink"/>
      <w:u w:val="single"/>
    </w:rPr>
  </w:style>
  <w:style w:type="paragraph" w:styleId="Header">
    <w:name w:val="header"/>
    <w:basedOn w:val="Normal"/>
    <w:link w:val="HeaderChar"/>
    <w:uiPriority w:val="99"/>
    <w:semiHidden/>
    <w:unhideWhenUsed/>
    <w:rsid w:val="0034067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4067B"/>
  </w:style>
  <w:style w:type="paragraph" w:styleId="Footer">
    <w:name w:val="footer"/>
    <w:basedOn w:val="Normal"/>
    <w:link w:val="FooterChar"/>
    <w:uiPriority w:val="99"/>
    <w:semiHidden/>
    <w:unhideWhenUsed/>
    <w:rsid w:val="0034067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4067B"/>
  </w:style>
  <w:style w:type="paragraph" w:styleId="BalloonText">
    <w:name w:val="Balloon Text"/>
    <w:basedOn w:val="Normal"/>
    <w:link w:val="BalloonTextChar"/>
    <w:uiPriority w:val="99"/>
    <w:semiHidden/>
    <w:unhideWhenUsed/>
    <w:rsid w:val="006E6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153C8"/>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3C8"/>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0153C8"/>
    <w:pPr>
      <w:ind w:left="720"/>
    </w:pPr>
    <w:rPr>
      <w:rFonts w:ascii="Calibri" w:eastAsia="Calibri" w:hAnsi="Calibri" w:cs="Calibri"/>
      <w:lang w:val="en-GB"/>
    </w:rPr>
  </w:style>
  <w:style w:type="table" w:styleId="TableGrid">
    <w:name w:val="Table Grid"/>
    <w:basedOn w:val="TableNormal"/>
    <w:uiPriority w:val="59"/>
    <w:rsid w:val="00F25544"/>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aliases w:val="Bibliography,Bibliography1,Bibliography11"/>
    <w:basedOn w:val="Normal"/>
    <w:link w:val="PlainTextChar"/>
    <w:unhideWhenUsed/>
    <w:rsid w:val="00F25544"/>
    <w:pPr>
      <w:spacing w:after="0" w:line="240" w:lineRule="auto"/>
    </w:pPr>
    <w:rPr>
      <w:rFonts w:ascii="Consolas" w:hAnsi="Consolas"/>
      <w:sz w:val="21"/>
      <w:szCs w:val="21"/>
      <w:lang w:val="en-GB"/>
    </w:rPr>
  </w:style>
  <w:style w:type="character" w:customStyle="1" w:styleId="PlainTextChar">
    <w:name w:val="Plain Text Char"/>
    <w:aliases w:val="Bibliography Char,Bibliography1 Char,Bibliography11 Char"/>
    <w:basedOn w:val="DefaultParagraphFont"/>
    <w:link w:val="PlainText"/>
    <w:rsid w:val="00F25544"/>
    <w:rPr>
      <w:rFonts w:ascii="Consolas" w:hAnsi="Consolas"/>
      <w:sz w:val="21"/>
      <w:szCs w:val="21"/>
      <w:lang w:val="en-GB"/>
    </w:rPr>
  </w:style>
  <w:style w:type="paragraph" w:customStyle="1" w:styleId="Default">
    <w:name w:val="Default"/>
    <w:rsid w:val="00D97C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656E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wa2@yahoo.com"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Olowa2@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image" Target="media/image2.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8747-0EDA-4A76-AE2B-E0E2E42A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Ayodele</dc:creator>
  <cp:lastModifiedBy>Administrator</cp:lastModifiedBy>
  <cp:revision>4</cp:revision>
  <cp:lastPrinted>2014-01-16T03:35:00Z</cp:lastPrinted>
  <dcterms:created xsi:type="dcterms:W3CDTF">2014-01-14T14:24:00Z</dcterms:created>
  <dcterms:modified xsi:type="dcterms:W3CDTF">2014-01-16T03:35:00Z</dcterms:modified>
</cp:coreProperties>
</file>