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87E" w:rsidRDefault="00BE387E">
      <w:pPr>
        <w:snapToGrid w:val="0"/>
        <w:spacing w:after="0" w:line="240" w:lineRule="auto"/>
        <w:jc w:val="center"/>
        <w:rPr>
          <w:rFonts w:ascii="Times New Roman" w:hAnsi="Times New Roman" w:cs="Times New Roman"/>
          <w:b/>
          <w:sz w:val="20"/>
          <w:szCs w:val="20"/>
        </w:rPr>
      </w:pPr>
    </w:p>
    <w:p w:rsidR="00BE387E" w:rsidRDefault="00BE387E">
      <w:pPr>
        <w:snapToGrid w:val="0"/>
        <w:spacing w:after="0" w:line="240" w:lineRule="auto"/>
        <w:jc w:val="center"/>
        <w:rPr>
          <w:rFonts w:ascii="Times New Roman" w:hAnsi="Times New Roman" w:cs="Times New Roman"/>
          <w:b/>
          <w:sz w:val="20"/>
          <w:szCs w:val="20"/>
        </w:rPr>
      </w:pPr>
    </w:p>
    <w:p w:rsidR="009C5B70" w:rsidRDefault="006605DA">
      <w:pPr>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MANAGEMENT OF WHITE MANGO SCALE (</w:t>
      </w:r>
      <w:proofErr w:type="spellStart"/>
      <w:r>
        <w:rPr>
          <w:rFonts w:ascii="Times New Roman" w:hAnsi="Times New Roman" w:cs="Times New Roman"/>
          <w:b/>
          <w:i/>
          <w:sz w:val="20"/>
          <w:szCs w:val="20"/>
        </w:rPr>
        <w:t>Aulacaspis</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tubercularis</w:t>
      </w:r>
      <w:proofErr w:type="spellEnd"/>
      <w:r>
        <w:rPr>
          <w:rFonts w:ascii="Times New Roman" w:hAnsi="Times New Roman" w:cs="Times New Roman"/>
          <w:b/>
          <w:sz w:val="20"/>
          <w:szCs w:val="20"/>
        </w:rPr>
        <w:t>) IN ASSOSA DISTRICT, BENISHANGUL GUMUZ REGION, WESTERN ETHIOPIA</w:t>
      </w:r>
    </w:p>
    <w:p w:rsidR="009C5B70" w:rsidRDefault="009C5B70">
      <w:pPr>
        <w:snapToGrid w:val="0"/>
        <w:spacing w:after="0" w:line="240" w:lineRule="auto"/>
        <w:jc w:val="center"/>
        <w:rPr>
          <w:rFonts w:ascii="Times New Roman" w:hAnsi="Times New Roman" w:cs="Times New Roman"/>
          <w:b/>
          <w:sz w:val="20"/>
          <w:szCs w:val="20"/>
        </w:rPr>
      </w:pPr>
    </w:p>
    <w:p w:rsidR="009C5B70" w:rsidRDefault="006605DA">
      <w:pPr>
        <w:pStyle w:val="ListParagraph"/>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 xml:space="preserve">Bizuayehu </w:t>
      </w:r>
      <w:proofErr w:type="spellStart"/>
      <w:r>
        <w:rPr>
          <w:rFonts w:ascii="Times New Roman" w:hAnsi="Times New Roman" w:cs="Times New Roman"/>
          <w:sz w:val="20"/>
          <w:szCs w:val="20"/>
        </w:rPr>
        <w:t>Jemaneh</w:t>
      </w:r>
      <w:proofErr w:type="spellEnd"/>
      <w:r>
        <w:rPr>
          <w:rFonts w:ascii="Times New Roman" w:hAnsi="Times New Roman" w:cs="Times New Roman"/>
          <w:sz w:val="20"/>
          <w:szCs w:val="20"/>
        </w:rPr>
        <w:t xml:space="preserve">*, </w:t>
      </w:r>
      <w:r>
        <w:rPr>
          <w:rFonts w:ascii="Times New Roman" w:hAnsi="Times New Roman" w:cs="Times New Roman"/>
          <w:sz w:val="20"/>
          <w:szCs w:val="20"/>
          <w:vertAlign w:val="superscript"/>
        </w:rPr>
        <w:t>2</w:t>
      </w:r>
      <w:r>
        <w:rPr>
          <w:rFonts w:ascii="Times New Roman" w:hAnsi="Times New Roman" w:cs="Times New Roman"/>
          <w:sz w:val="20"/>
          <w:szCs w:val="20"/>
        </w:rPr>
        <w:t xml:space="preserve">Merkuz </w:t>
      </w:r>
      <w:proofErr w:type="spellStart"/>
      <w:r>
        <w:rPr>
          <w:rFonts w:ascii="Times New Roman" w:hAnsi="Times New Roman" w:cs="Times New Roman"/>
          <w:sz w:val="20"/>
          <w:szCs w:val="20"/>
        </w:rPr>
        <w:t>Abera</w:t>
      </w:r>
      <w:proofErr w:type="spellEnd"/>
      <w:r>
        <w:rPr>
          <w:rFonts w:ascii="Times New Roman" w:hAnsi="Times New Roman" w:cs="Times New Roman"/>
          <w:sz w:val="20"/>
          <w:szCs w:val="20"/>
        </w:rPr>
        <w:t xml:space="preserve"> and </w:t>
      </w:r>
      <w:r>
        <w:rPr>
          <w:rFonts w:ascii="Times New Roman" w:hAnsi="Times New Roman" w:cs="Times New Roman"/>
          <w:sz w:val="20"/>
          <w:szCs w:val="20"/>
          <w:vertAlign w:val="superscript"/>
        </w:rPr>
        <w:t>2</w:t>
      </w:r>
      <w:r>
        <w:rPr>
          <w:rFonts w:ascii="Times New Roman" w:hAnsi="Times New Roman" w:cs="Times New Roman"/>
          <w:sz w:val="20"/>
          <w:szCs w:val="20"/>
        </w:rPr>
        <w:t xml:space="preserve">Adane </w:t>
      </w:r>
      <w:proofErr w:type="spellStart"/>
      <w:r>
        <w:rPr>
          <w:rFonts w:ascii="Times New Roman" w:hAnsi="Times New Roman" w:cs="Times New Roman"/>
          <w:sz w:val="20"/>
          <w:szCs w:val="20"/>
        </w:rPr>
        <w:t>Tesfaye</w:t>
      </w:r>
      <w:proofErr w:type="spellEnd"/>
    </w:p>
    <w:p w:rsidR="009C5B70" w:rsidRDefault="009C5B70">
      <w:pPr>
        <w:pStyle w:val="ListParagraph"/>
        <w:snapToGrid w:val="0"/>
        <w:spacing w:after="0" w:line="240" w:lineRule="auto"/>
        <w:jc w:val="center"/>
        <w:rPr>
          <w:rFonts w:ascii="Times New Roman" w:hAnsi="Times New Roman" w:cs="Times New Roman"/>
          <w:sz w:val="20"/>
          <w:szCs w:val="20"/>
        </w:rPr>
      </w:pPr>
    </w:p>
    <w:p w:rsidR="009C5B70" w:rsidRDefault="006605DA">
      <w:pPr>
        <w:pStyle w:val="ListParagraph"/>
        <w:snapToGrid w:val="0"/>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 xml:space="preserve">Benishangul-Gumuz Regional State, Agricultural and Natural Resource Bureau, </w:t>
      </w:r>
      <w:proofErr w:type="spellStart"/>
      <w:r>
        <w:rPr>
          <w:rFonts w:ascii="Times New Roman" w:hAnsi="Times New Roman" w:cs="Times New Roman"/>
          <w:sz w:val="20"/>
          <w:szCs w:val="20"/>
        </w:rPr>
        <w:t>Assosa</w:t>
      </w:r>
      <w:proofErr w:type="spellEnd"/>
      <w:r>
        <w:rPr>
          <w:rFonts w:ascii="Times New Roman" w:hAnsi="Times New Roman" w:cs="Times New Roman"/>
          <w:sz w:val="20"/>
          <w:szCs w:val="20"/>
        </w:rPr>
        <w:t>, Ethiopia</w:t>
      </w:r>
    </w:p>
    <w:p w:rsidR="009C5B70" w:rsidRDefault="006605DA">
      <w:pPr>
        <w:pStyle w:val="ListParagraph"/>
        <w:snapToGrid w:val="0"/>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 xml:space="preserve"> College of Agriculture and Environmental Science, Bahir Dar University, Bahir Dar, Ethiopia. *Corresponding author email. </w:t>
      </w:r>
      <w:hyperlink r:id="rId9" w:history="1">
        <w:r>
          <w:rPr>
            <w:rStyle w:val="Hyperlink"/>
            <w:rFonts w:ascii="Times New Roman" w:hAnsi="Times New Roman" w:cs="Times New Roman"/>
            <w:sz w:val="20"/>
            <w:szCs w:val="20"/>
          </w:rPr>
          <w:t>jbizuayehu@gmail.com</w:t>
        </w:r>
      </w:hyperlink>
    </w:p>
    <w:p w:rsidR="009C5B70" w:rsidRDefault="009C5B70">
      <w:pPr>
        <w:pStyle w:val="ListParagraph"/>
        <w:snapToGrid w:val="0"/>
        <w:spacing w:after="0" w:line="240" w:lineRule="auto"/>
        <w:ind w:left="0"/>
        <w:rPr>
          <w:rFonts w:ascii="Times New Roman" w:hAnsi="Times New Roman" w:cs="Times New Roman"/>
          <w:sz w:val="20"/>
          <w:szCs w:val="20"/>
        </w:rPr>
      </w:pPr>
    </w:p>
    <w:p w:rsidR="009C5B70" w:rsidRDefault="00BE387E">
      <w:pPr>
        <w:snapToGrid w:val="0"/>
        <w:spacing w:after="0" w:line="240" w:lineRule="auto"/>
        <w:jc w:val="both"/>
        <w:rPr>
          <w:rFonts w:ascii="Times New Roman" w:hAnsi="Times New Roman" w:cs="Times New Roman"/>
          <w:sz w:val="20"/>
          <w:szCs w:val="20"/>
        </w:rPr>
      </w:pPr>
      <w:r w:rsidRPr="00BE387E">
        <w:rPr>
          <w:rFonts w:ascii="Times New Roman" w:hAnsi="Times New Roman" w:cs="Times New Roman"/>
          <w:b/>
          <w:sz w:val="20"/>
          <w:szCs w:val="20"/>
        </w:rPr>
        <w:t>Abstract:</w:t>
      </w:r>
      <w:r>
        <w:rPr>
          <w:rFonts w:ascii="Times New Roman" w:hAnsi="Times New Roman" w:cs="Times New Roman"/>
          <w:sz w:val="20"/>
          <w:szCs w:val="20"/>
        </w:rPr>
        <w:t xml:space="preserve"> </w:t>
      </w:r>
      <w:r w:rsidR="006605DA">
        <w:rPr>
          <w:rFonts w:ascii="Times New Roman" w:hAnsi="Times New Roman" w:cs="Times New Roman"/>
          <w:sz w:val="20"/>
          <w:szCs w:val="20"/>
        </w:rPr>
        <w:t>The research was initiated to develop a strategy for the management of white mango scale (</w:t>
      </w:r>
      <w:proofErr w:type="spellStart"/>
      <w:r w:rsidR="006605DA">
        <w:rPr>
          <w:rFonts w:ascii="Times New Roman" w:hAnsi="Times New Roman" w:cs="Times New Roman"/>
          <w:i/>
          <w:sz w:val="20"/>
          <w:szCs w:val="20"/>
        </w:rPr>
        <w:t>Aulacaspis</w:t>
      </w:r>
      <w:proofErr w:type="spellEnd"/>
      <w:r w:rsidR="006605DA">
        <w:rPr>
          <w:rFonts w:ascii="Times New Roman" w:hAnsi="Times New Roman" w:cs="Times New Roman"/>
          <w:i/>
          <w:sz w:val="20"/>
          <w:szCs w:val="20"/>
        </w:rPr>
        <w:t xml:space="preserve"> </w:t>
      </w:r>
      <w:proofErr w:type="spellStart"/>
      <w:r w:rsidR="006605DA">
        <w:rPr>
          <w:rFonts w:ascii="Times New Roman" w:hAnsi="Times New Roman" w:cs="Times New Roman"/>
          <w:i/>
          <w:sz w:val="20"/>
          <w:szCs w:val="20"/>
        </w:rPr>
        <w:t>tubercularis</w:t>
      </w:r>
      <w:proofErr w:type="spellEnd"/>
      <w:r w:rsidR="006605DA">
        <w:rPr>
          <w:rFonts w:ascii="Times New Roman" w:hAnsi="Times New Roman" w:cs="Times New Roman"/>
          <w:sz w:val="20"/>
          <w:szCs w:val="20"/>
        </w:rPr>
        <w:t xml:space="preserve">). Field experiment was conducted to evaluate the effect of </w:t>
      </w:r>
      <w:proofErr w:type="spellStart"/>
      <w:r w:rsidR="006605DA">
        <w:rPr>
          <w:rFonts w:ascii="Times New Roman" w:hAnsi="Times New Roman" w:cs="Times New Roman"/>
          <w:sz w:val="20"/>
          <w:szCs w:val="20"/>
        </w:rPr>
        <w:t>Imidacloprid</w:t>
      </w:r>
      <w:proofErr w:type="spellEnd"/>
      <w:r w:rsidR="006605DA">
        <w:rPr>
          <w:rFonts w:ascii="Times New Roman" w:hAnsi="Times New Roman" w:cs="Times New Roman"/>
          <w:sz w:val="20"/>
          <w:szCs w:val="20"/>
        </w:rPr>
        <w:t xml:space="preserve"> 20SL, </w:t>
      </w:r>
      <w:proofErr w:type="spellStart"/>
      <w:r w:rsidR="006605DA">
        <w:rPr>
          <w:rFonts w:ascii="Times New Roman" w:hAnsi="Times New Roman" w:cs="Times New Roman"/>
          <w:sz w:val="20"/>
          <w:szCs w:val="20"/>
        </w:rPr>
        <w:t>Dimethoate</w:t>
      </w:r>
      <w:proofErr w:type="spellEnd"/>
      <w:r w:rsidR="006605DA">
        <w:rPr>
          <w:rFonts w:ascii="Times New Roman" w:hAnsi="Times New Roman" w:cs="Times New Roman"/>
          <w:sz w:val="20"/>
          <w:szCs w:val="20"/>
        </w:rPr>
        <w:t xml:space="preserve"> 40%EC, White oil extract, Pruning, </w:t>
      </w:r>
      <w:proofErr w:type="spellStart"/>
      <w:r w:rsidR="006605DA">
        <w:rPr>
          <w:rFonts w:ascii="Times New Roman" w:hAnsi="Times New Roman" w:cs="Times New Roman"/>
          <w:sz w:val="20"/>
          <w:szCs w:val="20"/>
        </w:rPr>
        <w:t>Imidacloprid</w:t>
      </w:r>
      <w:proofErr w:type="spellEnd"/>
      <w:r w:rsidR="006605DA">
        <w:rPr>
          <w:rFonts w:ascii="Times New Roman" w:hAnsi="Times New Roman" w:cs="Times New Roman"/>
          <w:sz w:val="20"/>
          <w:szCs w:val="20"/>
        </w:rPr>
        <w:t xml:space="preserve"> 20SL + Pruning, </w:t>
      </w:r>
      <w:proofErr w:type="spellStart"/>
      <w:r w:rsidR="006605DA">
        <w:rPr>
          <w:rFonts w:ascii="Times New Roman" w:hAnsi="Times New Roman" w:cs="Times New Roman"/>
          <w:sz w:val="20"/>
          <w:szCs w:val="20"/>
        </w:rPr>
        <w:t>Dimethoate</w:t>
      </w:r>
      <w:proofErr w:type="spellEnd"/>
      <w:r w:rsidR="006605DA">
        <w:rPr>
          <w:rFonts w:ascii="Times New Roman" w:hAnsi="Times New Roman" w:cs="Times New Roman"/>
          <w:sz w:val="20"/>
          <w:szCs w:val="20"/>
        </w:rPr>
        <w:t xml:space="preserve"> 40%EC + Pruning and White oil extract + Pruning against white mango scale insect. The experiments were arranged in Randomized complete block design with three replications. The results </w:t>
      </w:r>
      <w:proofErr w:type="gramStart"/>
      <w:r w:rsidR="006605DA">
        <w:rPr>
          <w:rFonts w:ascii="Times New Roman" w:hAnsi="Times New Roman" w:cs="Times New Roman"/>
          <w:sz w:val="20"/>
          <w:szCs w:val="20"/>
        </w:rPr>
        <w:t>indicates</w:t>
      </w:r>
      <w:proofErr w:type="gramEnd"/>
      <w:r w:rsidR="006605DA">
        <w:rPr>
          <w:rFonts w:ascii="Times New Roman" w:hAnsi="Times New Roman" w:cs="Times New Roman"/>
          <w:sz w:val="20"/>
          <w:szCs w:val="20"/>
        </w:rPr>
        <w:t xml:space="preserve"> that all the treatments significantly (p&lt;0.05) reduced infestation of white mango scale and gave higher yield over the control. </w:t>
      </w:r>
      <w:proofErr w:type="spellStart"/>
      <w:r w:rsidR="006605DA">
        <w:rPr>
          <w:rFonts w:ascii="Times New Roman" w:hAnsi="Times New Roman" w:cs="Times New Roman"/>
          <w:sz w:val="20"/>
          <w:szCs w:val="20"/>
        </w:rPr>
        <w:t>Imidacloprid</w:t>
      </w:r>
      <w:proofErr w:type="spellEnd"/>
      <w:r w:rsidR="006605DA">
        <w:rPr>
          <w:rFonts w:ascii="Times New Roman" w:hAnsi="Times New Roman" w:cs="Times New Roman"/>
          <w:sz w:val="20"/>
          <w:szCs w:val="20"/>
        </w:rPr>
        <w:t xml:space="preserve"> 20 SL + pruning treatment was the most significantly effective which also provide a promising alternative cost to producers against white mango scale insect pest than other treatments. Further study on other management tactics which are compatible with cultural practices and reduced dose of insecticide as a part of integrated pest management strategy is mandatory.</w:t>
      </w:r>
    </w:p>
    <w:p w:rsidR="009C5B70" w:rsidRDefault="006605DA">
      <w:pPr>
        <w:wordWrap w:val="0"/>
        <w:snapToGrid w:val="0"/>
        <w:spacing w:after="0" w:line="240" w:lineRule="auto"/>
        <w:rPr>
          <w:rFonts w:ascii="Times New Roman" w:hAnsi="Times New Roman" w:cs="Times New Roman"/>
          <w:sz w:val="20"/>
          <w:szCs w:val="20"/>
          <w:lang w:eastAsia="zh-CN"/>
        </w:rPr>
      </w:pPr>
      <w:r>
        <w:rPr>
          <w:rFonts w:ascii="Times New Roman" w:hAnsi="Times New Roman" w:cs="Times New Roman"/>
          <w:color w:val="000000"/>
          <w:sz w:val="20"/>
          <w:szCs w:val="20"/>
        </w:rPr>
        <w:t>[</w:t>
      </w:r>
      <w:proofErr w:type="spellStart"/>
      <w:r>
        <w:rPr>
          <w:rFonts w:ascii="Times New Roman" w:hAnsi="Times New Roman" w:cs="Times New Roman"/>
          <w:sz w:val="20"/>
          <w:szCs w:val="20"/>
        </w:rPr>
        <w:t>Bizuayehu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Jemaneh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Merkuz</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Abera</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and </w:t>
      </w:r>
      <w:r>
        <w:rPr>
          <w:rFonts w:ascii="Times New Roman" w:eastAsia="SimSun" w:hAnsi="Times New Roman" w:cs="Times New Roman" w:hint="eastAsia"/>
          <w:sz w:val="20"/>
          <w:szCs w:val="20"/>
          <w:lang w:val="en-US" w:eastAsia="zh-CN"/>
        </w:rPr>
        <w:t xml:space="preserve"> </w:t>
      </w:r>
      <w:proofErr w:type="spellStart"/>
      <w:r>
        <w:rPr>
          <w:rFonts w:ascii="Times New Roman" w:hAnsi="Times New Roman" w:cs="Times New Roman"/>
          <w:sz w:val="20"/>
          <w:szCs w:val="20"/>
        </w:rPr>
        <w:t>Adane</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Tesfaye.</w:t>
      </w:r>
      <w:r>
        <w:rPr>
          <w:rFonts w:ascii="Times New Roman" w:hAnsi="Times New Roman" w:cs="Times New Roman"/>
          <w:b/>
          <w:sz w:val="20"/>
          <w:szCs w:val="20"/>
        </w:rPr>
        <w:t>MANAGEMENT</w:t>
      </w:r>
      <w:proofErr w:type="spellEnd"/>
      <w:r>
        <w:rPr>
          <w:rFonts w:ascii="Times New Roman" w:hAnsi="Times New Roman" w:cs="Times New Roman"/>
          <w:b/>
          <w:sz w:val="20"/>
          <w:szCs w:val="20"/>
        </w:rPr>
        <w:t xml:space="preserve"> OF WHITE MANGO SCALE (</w:t>
      </w:r>
      <w:proofErr w:type="spellStart"/>
      <w:r>
        <w:rPr>
          <w:rFonts w:ascii="Times New Roman" w:hAnsi="Times New Roman" w:cs="Times New Roman"/>
          <w:b/>
          <w:i/>
          <w:sz w:val="20"/>
          <w:szCs w:val="20"/>
        </w:rPr>
        <w:t>Aulacaspis</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tubercularis</w:t>
      </w:r>
      <w:proofErr w:type="spellEnd"/>
      <w:r>
        <w:rPr>
          <w:rFonts w:ascii="Times New Roman" w:hAnsi="Times New Roman" w:cs="Times New Roman"/>
          <w:b/>
          <w:sz w:val="20"/>
          <w:szCs w:val="20"/>
        </w:rPr>
        <w:t>) IN ASSOSA DISTRICT, BENISHANGUL GUMUZ REGION, WESTERN ETHIOPIA</w:t>
      </w:r>
      <w:r>
        <w:rPr>
          <w:rFonts w:ascii="Times New Roman" w:hAnsi="Times New Roman" w:cs="Times New Roman"/>
          <w:b/>
          <w:bCs/>
          <w:sz w:val="20"/>
          <w:szCs w:val="20"/>
        </w:rPr>
        <w:t>.</w:t>
      </w:r>
      <w:r>
        <w:rPr>
          <w:rFonts w:ascii="Times New Roman" w:hAnsi="Times New Roman" w:cs="Times New Roman"/>
          <w:b/>
          <w:bCs/>
          <w:sz w:val="20"/>
          <w:szCs w:val="20"/>
          <w:lang w:val="en-US" w:eastAsia="zh-CN"/>
        </w:rPr>
        <w:t xml:space="preserve">   </w:t>
      </w:r>
      <w:r>
        <w:rPr>
          <w:rFonts w:ascii="Times New Roman" w:hAnsi="Times New Roman" w:cs="Times New Roman"/>
          <w:i/>
          <w:sz w:val="20"/>
          <w:szCs w:val="20"/>
        </w:rPr>
        <w:t>Researcher</w:t>
      </w:r>
      <w:r>
        <w:rPr>
          <w:rFonts w:ascii="Times New Roman" w:hAnsi="Times New Roman" w:cs="Times New Roman"/>
          <w:sz w:val="20"/>
          <w:szCs w:val="20"/>
        </w:rPr>
        <w:t>202</w:t>
      </w:r>
      <w:r>
        <w:rPr>
          <w:rFonts w:ascii="Times New Roman" w:eastAsia="SimSun" w:hAnsi="Times New Roman" w:cs="Times New Roman"/>
          <w:sz w:val="20"/>
          <w:szCs w:val="20"/>
          <w:lang w:val="en-US" w:eastAsia="zh-CN"/>
        </w:rPr>
        <w:t>3</w:t>
      </w:r>
      <w:r>
        <w:rPr>
          <w:rFonts w:ascii="Times New Roman" w:hAnsi="Times New Roman" w:cs="Times New Roman"/>
          <w:sz w:val="20"/>
          <w:szCs w:val="20"/>
        </w:rPr>
        <w:t>;1</w:t>
      </w:r>
      <w:r>
        <w:rPr>
          <w:rFonts w:ascii="Times New Roman" w:eastAsia="SimSun" w:hAnsi="Times New Roman" w:cs="Times New Roman"/>
          <w:sz w:val="20"/>
          <w:szCs w:val="20"/>
          <w:lang w:val="en-US" w:eastAsia="zh-CN"/>
        </w:rPr>
        <w:t>5</w:t>
      </w:r>
      <w:r>
        <w:rPr>
          <w:rFonts w:ascii="Times New Roman" w:hAnsi="Times New Roman" w:cs="Times New Roman"/>
          <w:sz w:val="20"/>
          <w:szCs w:val="20"/>
        </w:rPr>
        <w:t>(</w:t>
      </w:r>
      <w:r>
        <w:rPr>
          <w:rFonts w:ascii="Times New Roman" w:hAnsi="Times New Roman" w:cs="Times New Roman"/>
          <w:sz w:val="20"/>
          <w:szCs w:val="20"/>
          <w:lang w:val="en-US" w:eastAsia="zh-CN"/>
        </w:rPr>
        <w:t>9</w:t>
      </w:r>
      <w:r>
        <w:rPr>
          <w:rFonts w:ascii="Times New Roman" w:hAnsi="Times New Roman" w:cs="Times New Roman"/>
          <w:sz w:val="20"/>
          <w:szCs w:val="20"/>
        </w:rPr>
        <w:t>):</w:t>
      </w:r>
      <w:r>
        <w:rPr>
          <w:rFonts w:ascii="Times New Roman" w:hAnsi="Times New Roman" w:cs="Times New Roman"/>
          <w:sz w:val="20"/>
          <w:szCs w:val="20"/>
          <w:lang w:val="en-US" w:eastAsia="zh-CN"/>
        </w:rPr>
        <w:t>1</w:t>
      </w:r>
      <w:r>
        <w:rPr>
          <w:rFonts w:ascii="Times New Roman" w:hAnsi="Times New Roman" w:cs="Times New Roman" w:hint="eastAsia"/>
          <w:sz w:val="20"/>
          <w:szCs w:val="20"/>
          <w:lang w:val="en-US" w:eastAsia="zh-CN"/>
        </w:rPr>
        <w:t>7</w:t>
      </w:r>
      <w:r>
        <w:rPr>
          <w:rFonts w:ascii="Times New Roman" w:hAnsi="Times New Roman" w:cs="Times New Roman"/>
          <w:sz w:val="20"/>
          <w:szCs w:val="20"/>
        </w:rPr>
        <w:t>-</w:t>
      </w:r>
      <w:r>
        <w:rPr>
          <w:rFonts w:ascii="Times New Roman" w:hAnsi="Times New Roman" w:cs="Times New Roman" w:hint="eastAsia"/>
          <w:sz w:val="20"/>
          <w:szCs w:val="20"/>
          <w:lang w:val="en-US" w:eastAsia="zh-CN"/>
        </w:rPr>
        <w:t>33</w:t>
      </w:r>
      <w:r>
        <w:rPr>
          <w:rFonts w:ascii="Times New Roman" w:hAnsi="Times New Roman" w:cs="Times New Roman"/>
          <w:sz w:val="20"/>
          <w:szCs w:val="20"/>
        </w:rPr>
        <w:t>]ISSN1553-9865(print);ISSN2163-8950(online)</w:t>
      </w:r>
      <w:hyperlink r:id="rId10" w:history="1">
        <w:r>
          <w:rPr>
            <w:rStyle w:val="Hyperlink"/>
            <w:rFonts w:ascii="Times New Roman" w:hAnsi="Times New Roman" w:cs="Times New Roman"/>
            <w:sz w:val="20"/>
            <w:szCs w:val="20"/>
          </w:rPr>
          <w:t>http://www.sciencepub.net/researcher</w:t>
        </w:r>
      </w:hyperlink>
      <w:r>
        <w:rPr>
          <w:rFonts w:ascii="Times New Roman" w:hAnsi="Times New Roman" w:cs="Times New Roman"/>
          <w:sz w:val="20"/>
          <w:szCs w:val="20"/>
        </w:rPr>
        <w:t>.</w:t>
      </w:r>
      <w:r>
        <w:rPr>
          <w:rFonts w:ascii="Times New Roman" w:hAnsi="Times New Roman" w:cs="Times New Roman"/>
          <w:sz w:val="20"/>
          <w:szCs w:val="20"/>
          <w:lang w:val="en-US" w:eastAsia="zh-CN"/>
        </w:rPr>
        <w:t xml:space="preserve">   </w:t>
      </w:r>
      <w:r>
        <w:rPr>
          <w:rFonts w:ascii="Times New Roman" w:eastAsia="SimSun" w:hAnsi="Times New Roman" w:cs="Times New Roman"/>
          <w:sz w:val="20"/>
          <w:szCs w:val="20"/>
          <w:lang w:val="en-US" w:eastAsia="zh-CN"/>
        </w:rPr>
        <w:t>0</w:t>
      </w:r>
      <w:r>
        <w:rPr>
          <w:rFonts w:ascii="Times New Roman" w:eastAsia="SimSun" w:hAnsi="Times New Roman" w:cs="Times New Roman" w:hint="eastAsia"/>
          <w:sz w:val="20"/>
          <w:szCs w:val="20"/>
          <w:lang w:val="en-US" w:eastAsia="zh-CN"/>
        </w:rPr>
        <w:t>3</w:t>
      </w:r>
      <w:r>
        <w:rPr>
          <w:rFonts w:ascii="Times New Roman" w:eastAsia="SimSun" w:hAnsi="Times New Roman" w:cs="Times New Roman"/>
          <w:sz w:val="20"/>
          <w:szCs w:val="20"/>
          <w:lang w:val="en-US" w:eastAsia="zh-CN"/>
        </w:rPr>
        <w:t>.</w:t>
      </w:r>
      <w:r>
        <w:rPr>
          <w:rFonts w:ascii="Times New Roman" w:hAnsi="Times New Roman" w:cs="Times New Roman"/>
          <w:sz w:val="20"/>
          <w:szCs w:val="20"/>
        </w:rPr>
        <w:t>doi:</w:t>
      </w:r>
      <w:hyperlink r:id="rId11" w:history="1">
        <w:r>
          <w:rPr>
            <w:rStyle w:val="Hyperlink"/>
            <w:rFonts w:ascii="Times New Roman" w:hAnsi="Times New Roman" w:cs="Times New Roman"/>
            <w:sz w:val="20"/>
            <w:szCs w:val="20"/>
          </w:rPr>
          <w:t>10.7537/marsrsj15092</w:t>
        </w:r>
      </w:hyperlink>
      <w:r>
        <w:rPr>
          <w:rStyle w:val="Hyperlink"/>
          <w:rFonts w:ascii="Times New Roman" w:eastAsia="SimSun" w:hAnsi="Times New Roman" w:cs="Times New Roman"/>
          <w:sz w:val="20"/>
          <w:szCs w:val="20"/>
          <w:lang w:val="en-US" w:eastAsia="zh-CN"/>
        </w:rPr>
        <w:t>3</w:t>
      </w:r>
      <w:r>
        <w:rPr>
          <w:rStyle w:val="Hyperlink"/>
          <w:rFonts w:ascii="Times New Roman" w:hAnsi="Times New Roman" w:cs="Times New Roman"/>
          <w:sz w:val="20"/>
          <w:szCs w:val="20"/>
        </w:rPr>
        <w:t>.</w:t>
      </w:r>
      <w:r>
        <w:rPr>
          <w:rStyle w:val="Hyperlink"/>
          <w:rFonts w:ascii="Times New Roman" w:hAnsi="Times New Roman" w:cs="Times New Roman"/>
          <w:sz w:val="20"/>
          <w:szCs w:val="20"/>
          <w:lang w:val="en-US" w:eastAsia="zh-CN"/>
        </w:rPr>
        <w:t>0</w:t>
      </w:r>
      <w:r>
        <w:rPr>
          <w:rStyle w:val="Hyperlink"/>
          <w:rFonts w:ascii="Times New Roman" w:hAnsi="Times New Roman" w:cs="Times New Roman" w:hint="eastAsia"/>
          <w:sz w:val="20"/>
          <w:szCs w:val="20"/>
          <w:lang w:val="en-US" w:eastAsia="zh-CN"/>
        </w:rPr>
        <w:t>3</w:t>
      </w:r>
      <w:r>
        <w:rPr>
          <w:rStyle w:val="Hyperlink"/>
          <w:rFonts w:ascii="Times New Roman" w:hAnsi="Times New Roman" w:cs="Times New Roman"/>
          <w:sz w:val="20"/>
          <w:szCs w:val="20"/>
        </w:rPr>
        <w:t>.</w:t>
      </w:r>
    </w:p>
    <w:p w:rsidR="009C5B70" w:rsidRDefault="009C5B70">
      <w:pPr>
        <w:snapToGrid w:val="0"/>
        <w:spacing w:after="0" w:line="240" w:lineRule="auto"/>
        <w:jc w:val="both"/>
        <w:rPr>
          <w:rFonts w:ascii="Times New Roman" w:hAnsi="Times New Roman" w:cs="Times New Roman"/>
          <w:sz w:val="20"/>
          <w:szCs w:val="20"/>
        </w:rPr>
      </w:pPr>
    </w:p>
    <w:p w:rsidR="009C5B70" w:rsidRDefault="006605DA">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Keywords: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Imidaclopride</w:t>
      </w:r>
      <w:proofErr w:type="spellEnd"/>
      <w:r>
        <w:rPr>
          <w:rFonts w:ascii="Times New Roman" w:hAnsi="Times New Roman" w:cs="Times New Roman"/>
          <w:sz w:val="20"/>
          <w:szCs w:val="20"/>
        </w:rPr>
        <w:t>, Integrated Pest Management, Pruning, White mango scale</w:t>
      </w:r>
    </w:p>
    <w:p w:rsidR="009C5B70" w:rsidRDefault="009C5B70">
      <w:pPr>
        <w:snapToGrid w:val="0"/>
        <w:spacing w:after="0" w:line="240" w:lineRule="auto"/>
        <w:rPr>
          <w:rFonts w:ascii="Times New Roman" w:hAnsi="Times New Roman" w:cs="Times New Roman"/>
          <w:sz w:val="20"/>
          <w:szCs w:val="20"/>
        </w:rPr>
      </w:pPr>
    </w:p>
    <w:p w:rsidR="009C5B70" w:rsidRPr="00BE387E" w:rsidRDefault="009C5B70" w:rsidP="00BE387E">
      <w:pPr>
        <w:snapToGrid w:val="0"/>
        <w:spacing w:after="0" w:line="240" w:lineRule="auto"/>
        <w:rPr>
          <w:rFonts w:ascii="Times New Roman" w:hAnsi="Times New Roman" w:cs="Times New Roman"/>
          <w:sz w:val="20"/>
          <w:szCs w:val="20"/>
        </w:rPr>
        <w:sectPr w:rsidR="009C5B70" w:rsidRPr="00BE387E">
          <w:headerReference w:type="default" r:id="rId12"/>
          <w:footerReference w:type="default" r:id="rId13"/>
          <w:headerReference w:type="first" r:id="rId14"/>
          <w:footerReference w:type="first" r:id="rId15"/>
          <w:pgSz w:w="12240" w:h="15839"/>
          <w:pgMar w:top="1440" w:right="1440" w:bottom="1440" w:left="1440" w:header="720" w:footer="720" w:gutter="0"/>
          <w:pgNumType w:start="17"/>
          <w:cols w:space="425"/>
          <w:titlePg/>
          <w:docGrid w:linePitch="360"/>
        </w:sectPr>
      </w:pPr>
    </w:p>
    <w:p w:rsidR="009C5B70" w:rsidRDefault="006605DA">
      <w:pPr>
        <w:pStyle w:val="ListParagraph"/>
        <w:numPr>
          <w:ilvl w:val="0"/>
          <w:numId w:val="1"/>
        </w:numPr>
        <w:snapToGrid w:val="0"/>
        <w:spacing w:after="0" w:line="240" w:lineRule="auto"/>
        <w:rPr>
          <w:rFonts w:ascii="Times New Roman" w:hAnsi="Times New Roman" w:cs="Times New Roman"/>
          <w:sz w:val="20"/>
          <w:szCs w:val="20"/>
        </w:rPr>
      </w:pPr>
      <w:r>
        <w:rPr>
          <w:rStyle w:val="Heading1Char"/>
          <w:rFonts w:ascii="Times New Roman" w:hAnsi="Times New Roman" w:cs="Times New Roman"/>
          <w:color w:val="auto"/>
          <w:sz w:val="20"/>
          <w:szCs w:val="20"/>
        </w:rPr>
        <w:lastRenderedPageBreak/>
        <w:t>Introduction</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Mango is a member of the family </w:t>
      </w:r>
      <w:proofErr w:type="spellStart"/>
      <w:r>
        <w:rPr>
          <w:rFonts w:ascii="Times New Roman" w:hAnsi="Times New Roman" w:cs="Times New Roman"/>
          <w:sz w:val="20"/>
          <w:szCs w:val="20"/>
        </w:rPr>
        <w:t>Anacardiaceae</w:t>
      </w:r>
      <w:proofErr w:type="spellEnd"/>
      <w:r>
        <w:rPr>
          <w:rFonts w:ascii="Times New Roman" w:hAnsi="Times New Roman" w:cs="Times New Roman"/>
          <w:sz w:val="20"/>
          <w:szCs w:val="20"/>
        </w:rPr>
        <w:t xml:space="preserve"> within the genus </w:t>
      </w:r>
      <w:proofErr w:type="spellStart"/>
      <w:r>
        <w:rPr>
          <w:rFonts w:ascii="Times New Roman" w:hAnsi="Times New Roman" w:cs="Times New Roman"/>
          <w:sz w:val="20"/>
          <w:szCs w:val="20"/>
        </w:rPr>
        <w:t>Mangifera</w:t>
      </w:r>
      <w:proofErr w:type="spellEnd"/>
      <w:r>
        <w:rPr>
          <w:rFonts w:ascii="Times New Roman" w:hAnsi="Times New Roman" w:cs="Times New Roman"/>
          <w:sz w:val="20"/>
          <w:szCs w:val="20"/>
        </w:rPr>
        <w:t xml:space="preserve"> which consists of over 25 species. Among the several species of mango, </w:t>
      </w:r>
      <w:proofErr w:type="spellStart"/>
      <w:r>
        <w:rPr>
          <w:rFonts w:ascii="Times New Roman" w:hAnsi="Times New Roman" w:cs="Times New Roman"/>
          <w:sz w:val="20"/>
          <w:szCs w:val="20"/>
        </w:rPr>
        <w:t>Mangifera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indica</w:t>
      </w:r>
      <w:proofErr w:type="spellEnd"/>
      <w:r>
        <w:rPr>
          <w:rFonts w:ascii="Times New Roman" w:hAnsi="Times New Roman" w:cs="Times New Roman"/>
          <w:sz w:val="20"/>
          <w:szCs w:val="20"/>
        </w:rPr>
        <w:t xml:space="preserve"> is the only species grown commercially on large scale (</w:t>
      </w:r>
      <w:proofErr w:type="spellStart"/>
      <w:r>
        <w:rPr>
          <w:rFonts w:ascii="Times New Roman" w:hAnsi="Times New Roman" w:cs="Times New Roman"/>
          <w:sz w:val="20"/>
          <w:szCs w:val="20"/>
        </w:rPr>
        <w:t>Griesbach</w:t>
      </w:r>
      <w:proofErr w:type="spellEnd"/>
      <w:r>
        <w:rPr>
          <w:rFonts w:ascii="Times New Roman" w:hAnsi="Times New Roman" w:cs="Times New Roman"/>
          <w:sz w:val="20"/>
          <w:szCs w:val="20"/>
        </w:rPr>
        <w:t>, 2003). Mango originated in tropical Asia and is currently distributed across all tropical and subtropical lowland areas throughout the world (</w:t>
      </w:r>
      <w:proofErr w:type="spellStart"/>
      <w:r>
        <w:rPr>
          <w:rFonts w:ascii="Times New Roman" w:hAnsi="Times New Roman" w:cs="Times New Roman"/>
          <w:sz w:val="20"/>
          <w:szCs w:val="20"/>
        </w:rPr>
        <w:t>Dirou</w:t>
      </w:r>
      <w:proofErr w:type="spellEnd"/>
      <w:r>
        <w:rPr>
          <w:rFonts w:ascii="Times New Roman" w:hAnsi="Times New Roman" w:cs="Times New Roman"/>
          <w:sz w:val="20"/>
          <w:szCs w:val="20"/>
        </w:rPr>
        <w:t xml:space="preserve">, 2004; </w:t>
      </w:r>
      <w:proofErr w:type="spellStart"/>
      <w:r>
        <w:rPr>
          <w:rFonts w:ascii="Times New Roman" w:hAnsi="Times New Roman" w:cs="Times New Roman"/>
          <w:sz w:val="20"/>
          <w:szCs w:val="20"/>
        </w:rPr>
        <w:t>Okoth</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2013; </w:t>
      </w:r>
      <w:proofErr w:type="spellStart"/>
      <w:r>
        <w:rPr>
          <w:rFonts w:ascii="Times New Roman" w:hAnsi="Times New Roman" w:cs="Times New Roman"/>
          <w:sz w:val="20"/>
          <w:szCs w:val="20"/>
        </w:rPr>
        <w:t>Ubwa</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2014 and Crane </w:t>
      </w:r>
      <w:r>
        <w:rPr>
          <w:rFonts w:ascii="Times New Roman" w:hAnsi="Times New Roman" w:cs="Times New Roman"/>
          <w:i/>
          <w:sz w:val="20"/>
          <w:szCs w:val="20"/>
        </w:rPr>
        <w:t>et al</w:t>
      </w:r>
      <w:r>
        <w:rPr>
          <w:rFonts w:ascii="Times New Roman" w:hAnsi="Times New Roman" w:cs="Times New Roman"/>
          <w:sz w:val="20"/>
          <w:szCs w:val="20"/>
        </w:rPr>
        <w:t>., 2017). Mango is one of the most cherished fruits, not only for its flavour and taste, but also for its nutritional value. Mango is a good source of vitamin A and C, and is rich in carbohydrates, potassium and phosphorus (</w:t>
      </w:r>
      <w:proofErr w:type="spellStart"/>
      <w:r>
        <w:rPr>
          <w:rFonts w:ascii="Times New Roman" w:hAnsi="Times New Roman" w:cs="Times New Roman"/>
          <w:sz w:val="20"/>
          <w:szCs w:val="20"/>
        </w:rPr>
        <w:t>Griesbach</w:t>
      </w:r>
      <w:proofErr w:type="spellEnd"/>
      <w:r>
        <w:rPr>
          <w:rFonts w:ascii="Times New Roman" w:hAnsi="Times New Roman" w:cs="Times New Roman"/>
          <w:sz w:val="20"/>
          <w:szCs w:val="20"/>
        </w:rPr>
        <w:t xml:space="preserve">, 2003 and Nabil </w:t>
      </w:r>
      <w:r>
        <w:rPr>
          <w:rFonts w:ascii="Times New Roman" w:hAnsi="Times New Roman" w:cs="Times New Roman"/>
          <w:i/>
          <w:sz w:val="20"/>
          <w:szCs w:val="20"/>
        </w:rPr>
        <w:t>et al</w:t>
      </w:r>
      <w:r>
        <w:rPr>
          <w:rFonts w:ascii="Times New Roman" w:hAnsi="Times New Roman" w:cs="Times New Roman"/>
          <w:sz w:val="20"/>
          <w:szCs w:val="20"/>
        </w:rPr>
        <w:t>., 2012). Mango serves as a fruit crop and as a subsistence crop for family farms. As it ripens at the end of the dry season and at the start of the rainy season, the mango is a fundamental source of nutrition for rural populations (</w:t>
      </w:r>
      <w:proofErr w:type="spellStart"/>
      <w:r>
        <w:rPr>
          <w:rFonts w:ascii="Times New Roman" w:hAnsi="Times New Roman" w:cs="Times New Roman"/>
          <w:sz w:val="20"/>
          <w:szCs w:val="20"/>
        </w:rPr>
        <w:t>Vayssières</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2012). Mango is traditionally grown in Ethiopia primarily for family consumption and local markets, but some emerging modern farms have started to produce mango for both local and export markets (</w:t>
      </w:r>
      <w:proofErr w:type="spellStart"/>
      <w:r>
        <w:rPr>
          <w:rFonts w:ascii="Times New Roman" w:hAnsi="Times New Roman" w:cs="Times New Roman"/>
          <w:sz w:val="20"/>
          <w:szCs w:val="20"/>
        </w:rPr>
        <w:t>Chala</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2014). Ethiopia exports mango to Djibouti, Saudi Arabia, Yemen, Sudan and the United Arab Emirates (</w:t>
      </w:r>
      <w:proofErr w:type="spellStart"/>
      <w:r>
        <w:rPr>
          <w:rFonts w:ascii="Times New Roman" w:hAnsi="Times New Roman" w:cs="Times New Roman"/>
          <w:sz w:val="20"/>
          <w:szCs w:val="20"/>
        </w:rPr>
        <w:t>Bezu</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2014).</w:t>
      </w:r>
    </w:p>
    <w:p w:rsidR="009C5B70" w:rsidRDefault="006605DA">
      <w:pPr>
        <w:snapToGri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Benishangul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Gumuz</w:t>
      </w:r>
      <w:proofErr w:type="spellEnd"/>
      <w:r>
        <w:rPr>
          <w:rFonts w:ascii="Times New Roman" w:hAnsi="Times New Roman" w:cs="Times New Roman"/>
          <w:sz w:val="20"/>
          <w:szCs w:val="20"/>
        </w:rPr>
        <w:t xml:space="preserve"> Region is one of the potential mango producing areas. The regional farmers about 37% hold mango trees producing on 2,151.96 hectare of land coverage.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the productivity of mango trees remains very low; not more than 5.45 ton/ha as compared to the national average yields of 7 ton/ha (CSA, 2019). Also the productivity in the country is very low compared to the crop potential, about 20-30 ton/ha (</w:t>
      </w:r>
      <w:proofErr w:type="spellStart"/>
      <w:r>
        <w:rPr>
          <w:rFonts w:ascii="Times New Roman" w:hAnsi="Times New Roman" w:cs="Times New Roman"/>
          <w:sz w:val="20"/>
          <w:szCs w:val="20"/>
        </w:rPr>
        <w:t>Griesbach</w:t>
      </w:r>
      <w:proofErr w:type="spellEnd"/>
      <w:r>
        <w:rPr>
          <w:rFonts w:ascii="Times New Roman" w:hAnsi="Times New Roman" w:cs="Times New Roman"/>
          <w:sz w:val="20"/>
          <w:szCs w:val="20"/>
        </w:rPr>
        <w:t xml:space="preserve">, 2003; Tiwari and </w:t>
      </w:r>
      <w:proofErr w:type="spellStart"/>
      <w:r>
        <w:rPr>
          <w:rFonts w:ascii="Times New Roman" w:hAnsi="Times New Roman" w:cs="Times New Roman"/>
          <w:sz w:val="20"/>
          <w:szCs w:val="20"/>
        </w:rPr>
        <w:t>Baghel</w:t>
      </w:r>
      <w:proofErr w:type="spellEnd"/>
      <w:r>
        <w:rPr>
          <w:rFonts w:ascii="Times New Roman" w:hAnsi="Times New Roman" w:cs="Times New Roman"/>
          <w:sz w:val="20"/>
          <w:szCs w:val="20"/>
        </w:rPr>
        <w:t xml:space="preserve">, 2014). The low productivity mainly related with traditional way of production and the outbreak of diseases (mango anthracnose and powdery mildew) and insect pest such as white mango scale, fruit flies, mango seed weevil, mites, </w:t>
      </w:r>
      <w:proofErr w:type="spellStart"/>
      <w:r>
        <w:rPr>
          <w:rFonts w:ascii="Times New Roman" w:hAnsi="Times New Roman" w:cs="Times New Roman"/>
          <w:sz w:val="20"/>
          <w:szCs w:val="20"/>
        </w:rPr>
        <w:t>thrips</w:t>
      </w:r>
      <w:proofErr w:type="spellEnd"/>
      <w:r>
        <w:rPr>
          <w:rFonts w:ascii="Times New Roman" w:hAnsi="Times New Roman" w:cs="Times New Roman"/>
          <w:sz w:val="20"/>
          <w:szCs w:val="20"/>
        </w:rPr>
        <w:t>, mealybugs and scale insects (</w:t>
      </w:r>
      <w:proofErr w:type="spellStart"/>
      <w:r>
        <w:rPr>
          <w:rFonts w:ascii="Times New Roman" w:hAnsi="Times New Roman" w:cs="Times New Roman"/>
          <w:sz w:val="20"/>
          <w:szCs w:val="20"/>
        </w:rPr>
        <w:t>Griesbach</w:t>
      </w:r>
      <w:proofErr w:type="spellEnd"/>
      <w:r>
        <w:rPr>
          <w:rFonts w:ascii="Times New Roman" w:hAnsi="Times New Roman" w:cs="Times New Roman"/>
          <w:sz w:val="20"/>
          <w:szCs w:val="20"/>
        </w:rPr>
        <w:t xml:space="preserve">, 2003 and FAO, 2010; </w:t>
      </w:r>
      <w:proofErr w:type="spellStart"/>
      <w:r>
        <w:rPr>
          <w:rFonts w:ascii="Times New Roman" w:hAnsi="Times New Roman" w:cs="Times New Roman"/>
          <w:sz w:val="20"/>
          <w:szCs w:val="20"/>
        </w:rPr>
        <w:t>Hussen</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Yimer</w:t>
      </w:r>
      <w:proofErr w:type="spellEnd"/>
      <w:r>
        <w:rPr>
          <w:rFonts w:ascii="Times New Roman" w:hAnsi="Times New Roman" w:cs="Times New Roman"/>
          <w:sz w:val="20"/>
          <w:szCs w:val="20"/>
        </w:rPr>
        <w:t xml:space="preserve">, 2013 and </w:t>
      </w:r>
      <w:proofErr w:type="spellStart"/>
      <w:r>
        <w:rPr>
          <w:rFonts w:ascii="Times New Roman" w:hAnsi="Times New Roman" w:cs="Times New Roman"/>
          <w:sz w:val="20"/>
          <w:szCs w:val="20"/>
        </w:rPr>
        <w:t>Chala</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2014). Among these insect pests of mango, white mango scale (</w:t>
      </w:r>
      <w:proofErr w:type="spellStart"/>
      <w:r>
        <w:rPr>
          <w:rFonts w:ascii="Times New Roman" w:hAnsi="Times New Roman" w:cs="Times New Roman"/>
          <w:i/>
          <w:sz w:val="20"/>
          <w:szCs w:val="20"/>
        </w:rPr>
        <w:t>Aulacaspis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tubercularis</w:t>
      </w:r>
      <w:proofErr w:type="spellEnd"/>
      <w:r>
        <w:rPr>
          <w:rFonts w:ascii="Times New Roman" w:hAnsi="Times New Roman" w:cs="Times New Roman"/>
          <w:i/>
          <w:sz w:val="20"/>
          <w:szCs w:val="20"/>
        </w:rPr>
        <w:t xml:space="preserve"> Newstead</w:t>
      </w:r>
      <w:r>
        <w:rPr>
          <w:rFonts w:ascii="Times New Roman" w:hAnsi="Times New Roman" w:cs="Times New Roman"/>
          <w:sz w:val="20"/>
          <w:szCs w:val="20"/>
        </w:rPr>
        <w:t xml:space="preserve">) is the most important of hard scale insects which is reported to have damaged mango in various parts of the world (SRA, 2006; </w:t>
      </w:r>
      <w:proofErr w:type="spellStart"/>
      <w:r>
        <w:rPr>
          <w:rFonts w:ascii="Times New Roman" w:hAnsi="Times New Roman" w:cs="Times New Roman"/>
          <w:sz w:val="20"/>
          <w:szCs w:val="20"/>
        </w:rPr>
        <w:t>Germain</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2010 and Abo-</w:t>
      </w:r>
      <w:proofErr w:type="spellStart"/>
      <w:r>
        <w:rPr>
          <w:rFonts w:ascii="Times New Roman" w:hAnsi="Times New Roman" w:cs="Times New Roman"/>
          <w:sz w:val="20"/>
          <w:szCs w:val="20"/>
        </w:rPr>
        <w:t>Shanab</w:t>
      </w:r>
      <w:proofErr w:type="spellEnd"/>
      <w:r>
        <w:rPr>
          <w:rFonts w:ascii="Times New Roman" w:hAnsi="Times New Roman" w:cs="Times New Roman"/>
          <w:sz w:val="20"/>
          <w:szCs w:val="20"/>
        </w:rPr>
        <w:t>, 2012).</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Infestation of mango by WMS insect pest in Ethiopia was first reported in 2010 in a mango orchard owned by Green Focus Ethiopia Ltd. (</w:t>
      </w:r>
      <w:proofErr w:type="spellStart"/>
      <w:r>
        <w:rPr>
          <w:rFonts w:ascii="Times New Roman" w:hAnsi="Times New Roman" w:cs="Times New Roman"/>
          <w:sz w:val="20"/>
          <w:szCs w:val="20"/>
        </w:rPr>
        <w:t>Dawd</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2012) which used to import mango seedlings from India and hence it </w:t>
      </w:r>
      <w:r>
        <w:rPr>
          <w:rFonts w:ascii="Times New Roman" w:hAnsi="Times New Roman" w:cs="Times New Roman"/>
          <w:sz w:val="20"/>
          <w:szCs w:val="20"/>
        </w:rPr>
        <w:lastRenderedPageBreak/>
        <w:t>is deduced that the insect pest probably entered Ethiopia accidently on imported seedlings. Within one-year of first record, WMS (white mango scale) was reported to have dispersed 100 km west and to northern and central Ethiopia, with the infested area in the north being about 1,500 km away from the place of initial infestation (</w:t>
      </w:r>
      <w:proofErr w:type="spellStart"/>
      <w:r>
        <w:rPr>
          <w:rFonts w:ascii="Times New Roman" w:hAnsi="Times New Roman" w:cs="Times New Roman"/>
          <w:sz w:val="20"/>
          <w:szCs w:val="20"/>
        </w:rPr>
        <w:t>Fita</w:t>
      </w:r>
      <w:proofErr w:type="spellEnd"/>
      <w:r>
        <w:rPr>
          <w:rFonts w:ascii="Times New Roman" w:hAnsi="Times New Roman" w:cs="Times New Roman"/>
          <w:sz w:val="20"/>
          <w:szCs w:val="20"/>
        </w:rPr>
        <w:t xml:space="preserve">, 2014 and </w:t>
      </w:r>
      <w:proofErr w:type="spellStart"/>
      <w:r>
        <w:rPr>
          <w:rFonts w:ascii="Times New Roman" w:hAnsi="Times New Roman" w:cs="Times New Roman"/>
          <w:sz w:val="20"/>
          <w:szCs w:val="20"/>
        </w:rPr>
        <w:t>Ayalew</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2015).</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Mango production in western Ethiopia is highly constrained by WMS. The damage of WMS induced panic and frustration in Western Ethiopia for the loss in crop production and indirect sociological consequences, since mango plantation serves as shade for animals and conference hall for the people, in addition to generating income and serving as food in the region. The insect has become a growing concern among various government organizations and civil societies and communities. The problem is no more regarded as economic one as it has social, environmental, and other repercussions (</w:t>
      </w:r>
      <w:proofErr w:type="spellStart"/>
      <w:r>
        <w:rPr>
          <w:rFonts w:ascii="Times New Roman" w:hAnsi="Times New Roman" w:cs="Times New Roman"/>
          <w:sz w:val="20"/>
          <w:szCs w:val="20"/>
        </w:rPr>
        <w:t>Hailu</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2014; </w:t>
      </w:r>
      <w:proofErr w:type="spellStart"/>
      <w:r>
        <w:rPr>
          <w:rFonts w:ascii="Times New Roman" w:hAnsi="Times New Roman" w:cs="Times New Roman"/>
          <w:sz w:val="20"/>
          <w:szCs w:val="20"/>
        </w:rPr>
        <w:t>Djirata</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Getu</w:t>
      </w:r>
      <w:proofErr w:type="spellEnd"/>
      <w:r>
        <w:rPr>
          <w:rFonts w:ascii="Times New Roman" w:hAnsi="Times New Roman" w:cs="Times New Roman"/>
          <w:sz w:val="20"/>
          <w:szCs w:val="20"/>
        </w:rPr>
        <w:t>, 2015).</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WMS insect pest morphological description is opaque white female armour which is circular, flat, thin and often wrinkled and </w:t>
      </w:r>
      <w:proofErr w:type="spellStart"/>
      <w:r>
        <w:rPr>
          <w:rFonts w:ascii="Times New Roman" w:hAnsi="Times New Roman" w:cs="Times New Roman"/>
          <w:sz w:val="20"/>
          <w:szCs w:val="20"/>
        </w:rPr>
        <w:t>Exuviae</w:t>
      </w:r>
      <w:proofErr w:type="spellEnd"/>
      <w:r>
        <w:rPr>
          <w:rFonts w:ascii="Times New Roman" w:hAnsi="Times New Roman" w:cs="Times New Roman"/>
          <w:sz w:val="20"/>
          <w:szCs w:val="20"/>
        </w:rPr>
        <w:t xml:space="preserve"> is near the margin, and is yellowish-brown, with a median black ridge, forming a dark distinct median line; Male armours are small, white, sides nearly parallel and distinctly </w:t>
      </w:r>
      <w:proofErr w:type="spellStart"/>
      <w:r>
        <w:rPr>
          <w:rFonts w:ascii="Times New Roman" w:hAnsi="Times New Roman" w:cs="Times New Roman"/>
          <w:sz w:val="20"/>
          <w:szCs w:val="20"/>
        </w:rPr>
        <w:t>tricarinate</w:t>
      </w:r>
      <w:proofErr w:type="spellEnd"/>
      <w:r>
        <w:rPr>
          <w:rFonts w:ascii="Times New Roman" w:hAnsi="Times New Roman" w:cs="Times New Roman"/>
          <w:sz w:val="20"/>
          <w:szCs w:val="20"/>
        </w:rPr>
        <w:t xml:space="preserve"> and crawlers are deep bright brick red (</w:t>
      </w:r>
      <w:proofErr w:type="spellStart"/>
      <w:r>
        <w:rPr>
          <w:rFonts w:ascii="Times New Roman" w:hAnsi="Times New Roman" w:cs="Times New Roman"/>
          <w:sz w:val="20"/>
          <w:szCs w:val="20"/>
        </w:rPr>
        <w:t>Hamon</w:t>
      </w:r>
      <w:proofErr w:type="spellEnd"/>
      <w:r>
        <w:rPr>
          <w:rFonts w:ascii="Times New Roman" w:hAnsi="Times New Roman" w:cs="Times New Roman"/>
          <w:sz w:val="20"/>
          <w:szCs w:val="20"/>
        </w:rPr>
        <w:t>, 2016). The pest reproduces during both dry and wet seasons (</w:t>
      </w:r>
      <w:proofErr w:type="spellStart"/>
      <w:r>
        <w:rPr>
          <w:rFonts w:ascii="Times New Roman" w:hAnsi="Times New Roman" w:cs="Times New Roman"/>
          <w:sz w:val="20"/>
          <w:szCs w:val="20"/>
        </w:rPr>
        <w:t>Halteren</w:t>
      </w:r>
      <w:proofErr w:type="spellEnd"/>
      <w:r>
        <w:rPr>
          <w:rFonts w:ascii="Times New Roman" w:hAnsi="Times New Roman" w:cs="Times New Roman"/>
          <w:sz w:val="20"/>
          <w:szCs w:val="20"/>
        </w:rPr>
        <w:t>, 1970). WMS is a sucking insect that poses severe threat to mango plantations in various mango growing countries (</w:t>
      </w:r>
      <w:proofErr w:type="spellStart"/>
      <w:r>
        <w:rPr>
          <w:rFonts w:ascii="Times New Roman" w:hAnsi="Times New Roman" w:cs="Times New Roman"/>
          <w:sz w:val="20"/>
          <w:szCs w:val="20"/>
        </w:rPr>
        <w:t>Labuschagne</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1995; Pena </w:t>
      </w:r>
      <w:r>
        <w:rPr>
          <w:rFonts w:ascii="Times New Roman" w:hAnsi="Times New Roman" w:cs="Times New Roman"/>
          <w:i/>
          <w:sz w:val="20"/>
          <w:szCs w:val="20"/>
        </w:rPr>
        <w:t>et al</w:t>
      </w:r>
      <w:r>
        <w:rPr>
          <w:rFonts w:ascii="Times New Roman" w:hAnsi="Times New Roman" w:cs="Times New Roman"/>
          <w:sz w:val="20"/>
          <w:szCs w:val="20"/>
        </w:rPr>
        <w:t xml:space="preserve">., 1998; Nabil </w:t>
      </w:r>
      <w:r>
        <w:rPr>
          <w:rFonts w:ascii="Times New Roman" w:hAnsi="Times New Roman" w:cs="Times New Roman"/>
          <w:i/>
          <w:sz w:val="20"/>
          <w:szCs w:val="20"/>
        </w:rPr>
        <w:t>et al</w:t>
      </w:r>
      <w:r>
        <w:rPr>
          <w:rFonts w:ascii="Times New Roman" w:hAnsi="Times New Roman" w:cs="Times New Roman"/>
          <w:sz w:val="20"/>
          <w:szCs w:val="20"/>
        </w:rPr>
        <w:t xml:space="preserve">., 2012; </w:t>
      </w:r>
      <w:proofErr w:type="spellStart"/>
      <w:r>
        <w:rPr>
          <w:rFonts w:ascii="Times New Roman" w:hAnsi="Times New Roman" w:cs="Times New Roman"/>
          <w:sz w:val="20"/>
          <w:szCs w:val="20"/>
        </w:rPr>
        <w:t>Juárez</w:t>
      </w:r>
      <w:proofErr w:type="spellEnd"/>
      <w:r>
        <w:rPr>
          <w:rFonts w:ascii="Times New Roman" w:hAnsi="Times New Roman" w:cs="Times New Roman"/>
          <w:sz w:val="20"/>
          <w:szCs w:val="20"/>
        </w:rPr>
        <w:t xml:space="preserve">-Hernández </w:t>
      </w:r>
      <w:r>
        <w:rPr>
          <w:rFonts w:ascii="Times New Roman" w:hAnsi="Times New Roman" w:cs="Times New Roman"/>
          <w:i/>
          <w:sz w:val="20"/>
          <w:szCs w:val="20"/>
        </w:rPr>
        <w:t>et al</w:t>
      </w:r>
      <w:r>
        <w:rPr>
          <w:rFonts w:ascii="Times New Roman" w:hAnsi="Times New Roman" w:cs="Times New Roman"/>
          <w:sz w:val="20"/>
          <w:szCs w:val="20"/>
        </w:rPr>
        <w:t>., 2014). The damage caused by WMS includes yellowing of leaves, appearance of conspicuous pink blemishes on mature and ripe fruits, and dieback of the plant (El-</w:t>
      </w:r>
      <w:proofErr w:type="spellStart"/>
      <w:r>
        <w:rPr>
          <w:rFonts w:ascii="Times New Roman" w:hAnsi="Times New Roman" w:cs="Times New Roman"/>
          <w:sz w:val="20"/>
          <w:szCs w:val="20"/>
        </w:rPr>
        <w:t>Metwally</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2011; Abo-</w:t>
      </w:r>
      <w:proofErr w:type="spellStart"/>
      <w:r>
        <w:rPr>
          <w:rFonts w:ascii="Times New Roman" w:hAnsi="Times New Roman" w:cs="Times New Roman"/>
          <w:sz w:val="20"/>
          <w:szCs w:val="20"/>
        </w:rPr>
        <w:t>Shanab</w:t>
      </w:r>
      <w:proofErr w:type="spellEnd"/>
      <w:r>
        <w:rPr>
          <w:rFonts w:ascii="Times New Roman" w:hAnsi="Times New Roman" w:cs="Times New Roman"/>
          <w:sz w:val="20"/>
          <w:szCs w:val="20"/>
        </w:rPr>
        <w:t xml:space="preserve"> 2012). Infestation in young trees may lead to excessive fall off leaves, retarded growth and death of the whole plant (Nabil </w:t>
      </w:r>
      <w:r>
        <w:rPr>
          <w:rFonts w:ascii="Times New Roman" w:hAnsi="Times New Roman" w:cs="Times New Roman"/>
          <w:i/>
          <w:sz w:val="20"/>
          <w:szCs w:val="20"/>
        </w:rPr>
        <w:t>et al</w:t>
      </w:r>
      <w:r>
        <w:rPr>
          <w:rFonts w:ascii="Times New Roman" w:hAnsi="Times New Roman" w:cs="Times New Roman"/>
          <w:sz w:val="20"/>
          <w:szCs w:val="20"/>
        </w:rPr>
        <w:t xml:space="preserve">., 2012). The development of conspicuous blemishes on mango fruit skin which was infested by WMS markedly damages mango fruit export potential and eventually leads to economic loss (USDA, 2006 and 2007). According to the information obtained from farmers, they used to harvest up to 10 quintal of fruits </w:t>
      </w:r>
      <w:r>
        <w:rPr>
          <w:rFonts w:ascii="Times New Roman" w:hAnsi="Times New Roman" w:cs="Times New Roman"/>
          <w:sz w:val="20"/>
          <w:szCs w:val="20"/>
        </w:rPr>
        <w:lastRenderedPageBreak/>
        <w:t>per tree before the occurrence of this new insect pest. But the fruit yield reduced to 2-3 quintal per tree or may not be obtained at all due to the heavy infestation of white mango scale (</w:t>
      </w:r>
      <w:proofErr w:type="spellStart"/>
      <w:r>
        <w:rPr>
          <w:rFonts w:ascii="Times New Roman" w:hAnsi="Times New Roman" w:cs="Times New Roman"/>
          <w:sz w:val="20"/>
          <w:szCs w:val="20"/>
        </w:rPr>
        <w:t>Dawd</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2012).</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Different literatures were indicated for management of WMS such as a recommendation of applaud and white oil extract by Ambo Plant Protection Research Centre (</w:t>
      </w:r>
      <w:proofErr w:type="spellStart"/>
      <w:r>
        <w:rPr>
          <w:rFonts w:ascii="Times New Roman" w:hAnsi="Times New Roman" w:cs="Times New Roman"/>
          <w:sz w:val="20"/>
          <w:szCs w:val="20"/>
        </w:rPr>
        <w:t>Hailu</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2014). Mineral oils such as Diver®, CAPL2® and super </w:t>
      </w:r>
      <w:proofErr w:type="spellStart"/>
      <w:r>
        <w:rPr>
          <w:rFonts w:ascii="Times New Roman" w:hAnsi="Times New Roman" w:cs="Times New Roman"/>
          <w:sz w:val="20"/>
          <w:szCs w:val="20"/>
        </w:rPr>
        <w:t>masrona</w:t>
      </w:r>
      <w:proofErr w:type="spellEnd"/>
      <w:r>
        <w:rPr>
          <w:rFonts w:ascii="Times New Roman" w:hAnsi="Times New Roman" w:cs="Times New Roman"/>
          <w:sz w:val="20"/>
          <w:szCs w:val="20"/>
        </w:rPr>
        <w:t xml:space="preserve">® and insecticide such as </w:t>
      </w:r>
      <w:proofErr w:type="spellStart"/>
      <w:r>
        <w:rPr>
          <w:rFonts w:ascii="Times New Roman" w:hAnsi="Times New Roman" w:cs="Times New Roman"/>
          <w:sz w:val="20"/>
          <w:szCs w:val="20"/>
        </w:rPr>
        <w:t>Deltametrine</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pyrethrin</w:t>
      </w:r>
      <w:proofErr w:type="spellEnd"/>
      <w:r>
        <w:rPr>
          <w:rFonts w:ascii="Times New Roman" w:hAnsi="Times New Roman" w:cs="Times New Roman"/>
          <w:sz w:val="20"/>
          <w:szCs w:val="20"/>
        </w:rPr>
        <w:t xml:space="preserve"> in Kenya; </w:t>
      </w:r>
      <w:proofErr w:type="spellStart"/>
      <w:r>
        <w:rPr>
          <w:rFonts w:ascii="Times New Roman" w:hAnsi="Times New Roman" w:cs="Times New Roman"/>
          <w:sz w:val="20"/>
          <w:szCs w:val="20"/>
        </w:rPr>
        <w:t>chloropyrifos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methidathion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t>
      </w:r>
      <w:proofErr w:type="spellStart"/>
      <w:r>
        <w:rPr>
          <w:rFonts w:ascii="Times New Roman" w:hAnsi="Times New Roman" w:cs="Times New Roman"/>
          <w:sz w:val="20"/>
          <w:szCs w:val="20"/>
        </w:rPr>
        <w:t>Movento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Folimat</w:t>
      </w:r>
      <w:proofErr w:type="spellEnd"/>
      <w:r>
        <w:rPr>
          <w:rFonts w:ascii="Times New Roman" w:hAnsi="Times New Roman" w:cs="Times New Roman"/>
          <w:sz w:val="20"/>
          <w:szCs w:val="20"/>
        </w:rPr>
        <w:t xml:space="preserve"> 500SL, D-C-Tron and Closer insecticides showed different effectiveness in reducing the insect number (Howard, 1989; Findlay, 2003; Abo-</w:t>
      </w:r>
      <w:proofErr w:type="spellStart"/>
      <w:r>
        <w:rPr>
          <w:rFonts w:ascii="Times New Roman" w:hAnsi="Times New Roman" w:cs="Times New Roman"/>
          <w:sz w:val="20"/>
          <w:szCs w:val="20"/>
        </w:rPr>
        <w:t>Shanab</w:t>
      </w:r>
      <w:proofErr w:type="spellEnd"/>
      <w:r>
        <w:rPr>
          <w:rFonts w:ascii="Times New Roman" w:hAnsi="Times New Roman" w:cs="Times New Roman"/>
          <w:sz w:val="20"/>
          <w:szCs w:val="20"/>
        </w:rPr>
        <w:t xml:space="preserve">, 2012; </w:t>
      </w:r>
      <w:proofErr w:type="spellStart"/>
      <w:r>
        <w:rPr>
          <w:rFonts w:ascii="Times New Roman" w:hAnsi="Times New Roman" w:cs="Times New Roman"/>
          <w:sz w:val="20"/>
          <w:szCs w:val="20"/>
        </w:rPr>
        <w:t>Ayalew</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2015; </w:t>
      </w:r>
      <w:proofErr w:type="spellStart"/>
      <w:r>
        <w:rPr>
          <w:rFonts w:ascii="Times New Roman" w:hAnsi="Times New Roman" w:cs="Times New Roman"/>
          <w:sz w:val="20"/>
          <w:szCs w:val="20"/>
        </w:rPr>
        <w:t>Djirata</w:t>
      </w:r>
      <w:proofErr w:type="spellEnd"/>
      <w:r>
        <w:rPr>
          <w:rFonts w:ascii="Times New Roman" w:hAnsi="Times New Roman" w:cs="Times New Roman"/>
          <w:sz w:val="20"/>
          <w:szCs w:val="20"/>
        </w:rPr>
        <w:t xml:space="preserve">, 2017).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Insecticides currently in use against WMS in the infested mango orchards are insecticides recommended for the control of armoured scales such as the red scale (</w:t>
      </w:r>
      <w:proofErr w:type="spellStart"/>
      <w:r>
        <w:rPr>
          <w:rFonts w:ascii="Times New Roman" w:hAnsi="Times New Roman" w:cs="Times New Roman"/>
          <w:i/>
          <w:sz w:val="20"/>
          <w:szCs w:val="20"/>
        </w:rPr>
        <w:t>Aonidiella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auranti</w:t>
      </w:r>
      <w:proofErr w:type="spellEnd"/>
      <w:r>
        <w:rPr>
          <w:rFonts w:ascii="Times New Roman" w:hAnsi="Times New Roman" w:cs="Times New Roman"/>
          <w:sz w:val="20"/>
          <w:szCs w:val="20"/>
        </w:rPr>
        <w:t xml:space="preserve">) on citrus in the early 1980s (Abate, 1994; </w:t>
      </w:r>
      <w:proofErr w:type="spellStart"/>
      <w:r>
        <w:rPr>
          <w:rFonts w:ascii="Times New Roman" w:hAnsi="Times New Roman" w:cs="Times New Roman"/>
          <w:sz w:val="20"/>
          <w:szCs w:val="20"/>
        </w:rPr>
        <w:t>Azerefegne</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2009). </w:t>
      </w:r>
      <w:proofErr w:type="spellStart"/>
      <w:r>
        <w:rPr>
          <w:rFonts w:ascii="Times New Roman" w:hAnsi="Times New Roman" w:cs="Times New Roman"/>
          <w:sz w:val="20"/>
          <w:szCs w:val="20"/>
        </w:rPr>
        <w:t>Djirata</w:t>
      </w:r>
      <w:proofErr w:type="spellEnd"/>
      <w:r>
        <w:rPr>
          <w:rFonts w:ascii="Times New Roman" w:hAnsi="Times New Roman" w:cs="Times New Roman"/>
          <w:sz w:val="20"/>
          <w:szCs w:val="20"/>
        </w:rPr>
        <w:t xml:space="preserve"> (2017) reported that limited report of experiments performed regarding insecticide screening against WMS insect pest in Ethiopia since the insect introduced in the country has been less than a decade. Therefore, the objective of this research was to evaluate the effective management methods on WMS at </w:t>
      </w:r>
      <w:proofErr w:type="spellStart"/>
      <w:r>
        <w:rPr>
          <w:rFonts w:ascii="Times New Roman" w:hAnsi="Times New Roman" w:cs="Times New Roman"/>
          <w:sz w:val="20"/>
          <w:szCs w:val="20"/>
        </w:rPr>
        <w:t>Assosa</w:t>
      </w:r>
      <w:proofErr w:type="spellEnd"/>
      <w:r>
        <w:rPr>
          <w:rFonts w:ascii="Times New Roman" w:hAnsi="Times New Roman" w:cs="Times New Roman"/>
          <w:sz w:val="20"/>
          <w:szCs w:val="20"/>
        </w:rPr>
        <w:t xml:space="preserve"> district in </w:t>
      </w:r>
      <w:proofErr w:type="spellStart"/>
      <w:r>
        <w:rPr>
          <w:rFonts w:ascii="Times New Roman" w:hAnsi="Times New Roman" w:cs="Times New Roman"/>
          <w:sz w:val="20"/>
          <w:szCs w:val="20"/>
        </w:rPr>
        <w:t>Benshungul-Gumuz</w:t>
      </w:r>
      <w:proofErr w:type="spellEnd"/>
      <w:r>
        <w:rPr>
          <w:rFonts w:ascii="Times New Roman" w:hAnsi="Times New Roman" w:cs="Times New Roman"/>
          <w:sz w:val="20"/>
          <w:szCs w:val="20"/>
        </w:rPr>
        <w:t xml:space="preserve"> Region, Western Ethiopia.</w:t>
      </w:r>
    </w:p>
    <w:p w:rsidR="00BE387E" w:rsidRDefault="00BE387E">
      <w:pPr>
        <w:snapToGrid w:val="0"/>
        <w:spacing w:after="0" w:line="240" w:lineRule="auto"/>
        <w:jc w:val="both"/>
        <w:rPr>
          <w:rFonts w:ascii="Times New Roman" w:hAnsi="Times New Roman" w:cs="Times New Roman"/>
          <w:sz w:val="20"/>
          <w:szCs w:val="20"/>
        </w:rPr>
      </w:pPr>
    </w:p>
    <w:p w:rsidR="009C5B70" w:rsidRDefault="006605DA">
      <w:pPr>
        <w:pStyle w:val="Heading1"/>
        <w:numPr>
          <w:ilvl w:val="0"/>
          <w:numId w:val="1"/>
        </w:numPr>
        <w:snapToGrid w:val="0"/>
        <w:spacing w:before="0" w:line="240" w:lineRule="auto"/>
        <w:rPr>
          <w:rFonts w:ascii="Times New Roman" w:hAnsi="Times New Roman" w:cs="Times New Roman"/>
          <w:b w:val="0"/>
          <w:color w:val="auto"/>
          <w:sz w:val="20"/>
          <w:szCs w:val="20"/>
        </w:rPr>
      </w:pPr>
      <w:r>
        <w:rPr>
          <w:rStyle w:val="Heading1Char"/>
          <w:rFonts w:ascii="Times New Roman" w:hAnsi="Times New Roman" w:cs="Times New Roman"/>
          <w:b/>
          <w:color w:val="auto"/>
          <w:sz w:val="20"/>
          <w:szCs w:val="20"/>
        </w:rPr>
        <w:t>Materials and Methods</w:t>
      </w:r>
    </w:p>
    <w:p w:rsidR="009C5B70" w:rsidRDefault="006605DA">
      <w:pPr>
        <w:pStyle w:val="ListParagraph"/>
        <w:numPr>
          <w:ilvl w:val="1"/>
          <w:numId w:val="1"/>
        </w:numPr>
        <w:snapToGrid w:val="0"/>
        <w:spacing w:after="0" w:line="240" w:lineRule="auto"/>
        <w:rPr>
          <w:rFonts w:ascii="Times New Roman" w:hAnsi="Times New Roman" w:cs="Times New Roman"/>
          <w:sz w:val="20"/>
          <w:szCs w:val="20"/>
        </w:rPr>
      </w:pPr>
      <w:r>
        <w:rPr>
          <w:rStyle w:val="Heading2Char"/>
          <w:rFonts w:ascii="Times New Roman" w:hAnsi="Times New Roman" w:cs="Times New Roman"/>
          <w:color w:val="auto"/>
          <w:sz w:val="20"/>
          <w:szCs w:val="20"/>
        </w:rPr>
        <w:t>Description of the experimental site</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Field experiments were conducted at </w:t>
      </w:r>
      <w:proofErr w:type="spellStart"/>
      <w:r>
        <w:rPr>
          <w:rFonts w:ascii="Times New Roman" w:hAnsi="Times New Roman" w:cs="Times New Roman"/>
          <w:sz w:val="20"/>
          <w:szCs w:val="20"/>
        </w:rPr>
        <w:t>Assosa</w:t>
      </w:r>
      <w:proofErr w:type="spellEnd"/>
      <w:r>
        <w:rPr>
          <w:rFonts w:ascii="Times New Roman" w:hAnsi="Times New Roman" w:cs="Times New Roman"/>
          <w:sz w:val="20"/>
          <w:szCs w:val="20"/>
        </w:rPr>
        <w:t xml:space="preserve"> district in </w:t>
      </w:r>
      <w:proofErr w:type="spellStart"/>
      <w:r>
        <w:rPr>
          <w:rFonts w:ascii="Times New Roman" w:hAnsi="Times New Roman" w:cs="Times New Roman"/>
          <w:sz w:val="20"/>
          <w:szCs w:val="20"/>
        </w:rPr>
        <w:t>Assosa</w:t>
      </w:r>
      <w:proofErr w:type="spellEnd"/>
      <w:r>
        <w:rPr>
          <w:rFonts w:ascii="Times New Roman" w:hAnsi="Times New Roman" w:cs="Times New Roman"/>
          <w:sz w:val="20"/>
          <w:szCs w:val="20"/>
        </w:rPr>
        <w:t xml:space="preserve"> Administrative Zone, woreda-1 ketena-5, Ethiopia (Figure 1). The specific experimental site lies at 10</w:t>
      </w:r>
      <w:r>
        <w:rPr>
          <w:rFonts w:ascii="Times New Roman" w:hAnsi="Times New Roman" w:cs="Times New Roman"/>
          <w:sz w:val="20"/>
          <w:szCs w:val="20"/>
          <w:vertAlign w:val="superscript"/>
        </w:rPr>
        <w:t>0</w:t>
      </w:r>
      <w:r>
        <w:rPr>
          <w:rFonts w:ascii="Times New Roman" w:hAnsi="Times New Roman" w:cs="Times New Roman"/>
          <w:sz w:val="20"/>
          <w:szCs w:val="20"/>
        </w:rPr>
        <w:t>3’22’’ - 10</w:t>
      </w:r>
      <w:r>
        <w:rPr>
          <w:rFonts w:ascii="Times New Roman" w:hAnsi="Times New Roman" w:cs="Times New Roman"/>
          <w:sz w:val="20"/>
          <w:szCs w:val="20"/>
          <w:vertAlign w:val="superscript"/>
        </w:rPr>
        <w:t>0</w:t>
      </w:r>
      <w:r>
        <w:rPr>
          <w:rFonts w:ascii="Times New Roman" w:hAnsi="Times New Roman" w:cs="Times New Roman"/>
          <w:sz w:val="20"/>
          <w:szCs w:val="20"/>
        </w:rPr>
        <w:t>3’16’’N latitude and 34</w:t>
      </w:r>
      <w:r>
        <w:rPr>
          <w:rFonts w:ascii="Times New Roman" w:hAnsi="Times New Roman" w:cs="Times New Roman"/>
          <w:sz w:val="20"/>
          <w:szCs w:val="20"/>
          <w:vertAlign w:val="superscript"/>
        </w:rPr>
        <w:t>0</w:t>
      </w:r>
      <w:r>
        <w:rPr>
          <w:rFonts w:ascii="Times New Roman" w:hAnsi="Times New Roman" w:cs="Times New Roman"/>
          <w:sz w:val="20"/>
          <w:szCs w:val="20"/>
        </w:rPr>
        <w:t>33’18’’ - 34</w:t>
      </w:r>
      <w:r>
        <w:rPr>
          <w:rFonts w:ascii="Times New Roman" w:hAnsi="Times New Roman" w:cs="Times New Roman"/>
          <w:sz w:val="20"/>
          <w:szCs w:val="20"/>
          <w:vertAlign w:val="superscript"/>
        </w:rPr>
        <w:t>0</w:t>
      </w:r>
      <w:r>
        <w:rPr>
          <w:rFonts w:ascii="Times New Roman" w:hAnsi="Times New Roman" w:cs="Times New Roman"/>
          <w:sz w:val="20"/>
          <w:szCs w:val="20"/>
        </w:rPr>
        <w:t xml:space="preserve">33’20’’E longitude and a mean altitude of 1554 meter above sea level. The site is located in </w:t>
      </w:r>
      <w:proofErr w:type="spellStart"/>
      <w:r>
        <w:rPr>
          <w:rFonts w:ascii="Times New Roman" w:hAnsi="Times New Roman" w:cs="Times New Roman"/>
          <w:sz w:val="20"/>
          <w:szCs w:val="20"/>
        </w:rPr>
        <w:t>Assosa</w:t>
      </w:r>
      <w:proofErr w:type="spellEnd"/>
      <w:r>
        <w:rPr>
          <w:rFonts w:ascii="Times New Roman" w:hAnsi="Times New Roman" w:cs="Times New Roman"/>
          <w:sz w:val="20"/>
          <w:szCs w:val="20"/>
        </w:rPr>
        <w:t xml:space="preserve"> poly technique mango orchard which was selected purposively by looking accessible uniform size mango trees, naturally infested by WMS (white mango scale) and easy access to road for day to day follow up of the site. It is 687 Km far from </w:t>
      </w:r>
      <w:proofErr w:type="spellStart"/>
      <w:r>
        <w:rPr>
          <w:rFonts w:ascii="Times New Roman" w:hAnsi="Times New Roman" w:cs="Times New Roman"/>
          <w:sz w:val="20"/>
          <w:szCs w:val="20"/>
        </w:rPr>
        <w:t>Addiss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Abeba</w:t>
      </w:r>
      <w:proofErr w:type="spellEnd"/>
      <w:r>
        <w:rPr>
          <w:rFonts w:ascii="Times New Roman" w:hAnsi="Times New Roman" w:cs="Times New Roman"/>
          <w:sz w:val="20"/>
          <w:szCs w:val="20"/>
        </w:rPr>
        <w:t>. The average annual rainfall is 900-1200 mm and the annual ambient temperature varies from 21-31°C (NMA, 2015).</w:t>
      </w:r>
    </w:p>
    <w:p w:rsidR="009C5B70" w:rsidRDefault="009C5B70">
      <w:pPr>
        <w:snapToGrid w:val="0"/>
        <w:spacing w:after="0" w:line="240" w:lineRule="auto"/>
        <w:jc w:val="center"/>
        <w:rPr>
          <w:rFonts w:ascii="Times New Roman" w:hAnsi="Times New Roman" w:cs="Times New Roman"/>
          <w:sz w:val="20"/>
          <w:szCs w:val="20"/>
          <w:lang w:val="en-US" w:eastAsia="zh-CN"/>
        </w:rPr>
        <w:sectPr w:rsidR="009C5B70">
          <w:type w:val="continuous"/>
          <w:pgSz w:w="12240" w:h="15839"/>
          <w:pgMar w:top="1440" w:right="1440" w:bottom="1440" w:left="1440" w:header="720" w:footer="720" w:gutter="0"/>
          <w:cols w:num="2" w:space="720" w:equalWidth="0">
            <w:col w:w="4467" w:space="425"/>
            <w:col w:w="4467"/>
          </w:cols>
          <w:titlePg/>
          <w:docGrid w:linePitch="360"/>
        </w:sectPr>
      </w:pPr>
    </w:p>
    <w:p w:rsidR="009C5B70" w:rsidRDefault="006605DA">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4804410" cy="3380740"/>
            <wp:effectExtent l="0" t="0" r="1524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04410" cy="3380740"/>
                    </a:xfrm>
                    <a:prstGeom prst="rect">
                      <a:avLst/>
                    </a:prstGeom>
                    <a:noFill/>
                  </pic:spPr>
                </pic:pic>
              </a:graphicData>
            </a:graphic>
          </wp:inline>
        </w:drawing>
      </w:r>
    </w:p>
    <w:p w:rsidR="009C5B70" w:rsidRDefault="006605DA">
      <w:pPr>
        <w:pStyle w:val="Caption"/>
        <w:snapToGrid w:val="0"/>
        <w:spacing w:after="0"/>
        <w:jc w:val="center"/>
        <w:rPr>
          <w:rFonts w:ascii="Times New Roman" w:hAnsi="Times New Roman" w:cs="Times New Roman"/>
          <w:b w:val="0"/>
          <w:color w:val="auto"/>
          <w:sz w:val="20"/>
          <w:szCs w:val="20"/>
        </w:rPr>
      </w:pPr>
      <w:r>
        <w:rPr>
          <w:rFonts w:ascii="Times New Roman" w:hAnsi="Times New Roman" w:cs="Times New Roman"/>
          <w:color w:val="auto"/>
          <w:sz w:val="20"/>
          <w:szCs w:val="20"/>
        </w:rPr>
        <w:t xml:space="preserve">Figure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Figure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1</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Location map of the experimental site</w:t>
      </w:r>
    </w:p>
    <w:p w:rsidR="009C5B70" w:rsidRDefault="009C5B70">
      <w:pPr>
        <w:snapToGrid w:val="0"/>
        <w:spacing w:after="0" w:line="240" w:lineRule="auto"/>
      </w:pPr>
    </w:p>
    <w:p w:rsidR="009C5B70" w:rsidRDefault="009C5B70">
      <w:pPr>
        <w:pStyle w:val="ListParagraph"/>
        <w:numPr>
          <w:ilvl w:val="1"/>
          <w:numId w:val="1"/>
        </w:numPr>
        <w:snapToGrid w:val="0"/>
        <w:spacing w:after="0" w:line="240" w:lineRule="auto"/>
        <w:rPr>
          <w:rFonts w:ascii="Times New Roman" w:hAnsi="Times New Roman" w:cs="Times New Roman"/>
          <w:sz w:val="20"/>
          <w:szCs w:val="20"/>
        </w:rPr>
        <w:sectPr w:rsidR="009C5B70">
          <w:headerReference w:type="first" r:id="rId17"/>
          <w:type w:val="continuous"/>
          <w:pgSz w:w="12240" w:h="15839"/>
          <w:pgMar w:top="1440" w:right="1440" w:bottom="1440" w:left="1440" w:header="720" w:footer="720" w:gutter="0"/>
          <w:cols w:space="425"/>
          <w:titlePg/>
          <w:docGrid w:linePitch="360"/>
        </w:sectPr>
      </w:pPr>
    </w:p>
    <w:p w:rsidR="009C5B70" w:rsidRDefault="006605DA">
      <w:pPr>
        <w:pStyle w:val="ListParagraph"/>
        <w:numPr>
          <w:ilvl w:val="1"/>
          <w:numId w:val="1"/>
        </w:numPr>
        <w:snapToGrid w:val="0"/>
        <w:spacing w:after="0" w:line="240" w:lineRule="auto"/>
        <w:rPr>
          <w:rFonts w:ascii="Times New Roman" w:hAnsi="Times New Roman" w:cs="Times New Roman"/>
          <w:sz w:val="20"/>
          <w:szCs w:val="20"/>
        </w:rPr>
      </w:pPr>
      <w:r>
        <w:rPr>
          <w:rStyle w:val="Heading2Char"/>
          <w:rFonts w:ascii="Times New Roman" w:hAnsi="Times New Roman" w:cs="Times New Roman"/>
          <w:color w:val="auto"/>
          <w:sz w:val="20"/>
          <w:szCs w:val="20"/>
        </w:rPr>
        <w:lastRenderedPageBreak/>
        <w:t>Experimental materials</w:t>
      </w:r>
    </w:p>
    <w:p w:rsidR="009C5B70" w:rsidRDefault="006605DA">
      <w:pPr>
        <w:snapToGrid w:val="0"/>
        <w:spacing w:after="0" w:line="240" w:lineRule="auto"/>
        <w:jc w:val="both"/>
        <w:rPr>
          <w:rFonts w:ascii="Times New Roman" w:hAnsi="Times New Roman" w:cs="Times New Roman"/>
          <w:sz w:val="20"/>
          <w:szCs w:val="20"/>
        </w:rPr>
        <w:sectPr w:rsidR="009C5B70">
          <w:type w:val="continuous"/>
          <w:pgSz w:w="12240" w:h="15839"/>
          <w:pgMar w:top="1440" w:right="1440" w:bottom="1440" w:left="1440" w:header="720" w:footer="720" w:gutter="0"/>
          <w:cols w:num="2" w:space="720" w:equalWidth="0">
            <w:col w:w="4467" w:space="425"/>
            <w:col w:w="4467"/>
          </w:cols>
          <w:titlePg/>
          <w:docGrid w:linePitch="360"/>
        </w:sectPr>
      </w:pPr>
      <w:r>
        <w:rPr>
          <w:rFonts w:ascii="Times New Roman" w:hAnsi="Times New Roman" w:cs="Times New Roman"/>
          <w:sz w:val="20"/>
          <w:szCs w:val="20"/>
        </w:rPr>
        <w:t xml:space="preserve">Field experiment was conducted to evaluate the effective management option of eight treatments such as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white oil extract, pruning,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 Pruning, white oil extract + Pruning and untreated control.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0.8ml per 1 </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of water dosage rate was used for this experiment. First 5 </w:t>
      </w:r>
      <w:proofErr w:type="spellStart"/>
      <w:r>
        <w:rPr>
          <w:rFonts w:ascii="Times New Roman" w:hAnsi="Times New Roman" w:cs="Times New Roman"/>
          <w:sz w:val="20"/>
          <w:szCs w:val="20"/>
        </w:rPr>
        <w:t>liters</w:t>
      </w:r>
      <w:proofErr w:type="spellEnd"/>
      <w:r>
        <w:rPr>
          <w:rFonts w:ascii="Times New Roman" w:hAnsi="Times New Roman" w:cs="Times New Roman"/>
          <w:sz w:val="20"/>
          <w:szCs w:val="20"/>
        </w:rPr>
        <w:t xml:space="preserve"> of water was filled in the sprayer tank and then 4ml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was added and well </w:t>
      </w:r>
      <w:proofErr w:type="spellStart"/>
      <w:r>
        <w:rPr>
          <w:rFonts w:ascii="Times New Roman" w:hAnsi="Times New Roman" w:cs="Times New Roman"/>
          <w:sz w:val="20"/>
          <w:szCs w:val="20"/>
        </w:rPr>
        <w:t>shaked</w:t>
      </w:r>
      <w:proofErr w:type="spellEnd"/>
      <w:r>
        <w:rPr>
          <w:rFonts w:ascii="Times New Roman" w:hAnsi="Times New Roman" w:cs="Times New Roman"/>
          <w:sz w:val="20"/>
          <w:szCs w:val="20"/>
        </w:rPr>
        <w:t xml:space="preserve"> and then sprayed for a single mango tree (Varghese, 2000).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0.75 ml per 1 </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of water dosage rate was used for this experiment. First 5 </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of water was filled in the sprayer tank and then 3.75 ml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was added and well </w:t>
      </w:r>
      <w:proofErr w:type="spellStart"/>
      <w:r>
        <w:rPr>
          <w:rFonts w:ascii="Times New Roman" w:hAnsi="Times New Roman" w:cs="Times New Roman"/>
          <w:sz w:val="20"/>
          <w:szCs w:val="20"/>
        </w:rPr>
        <w:t>shaked</w:t>
      </w:r>
      <w:proofErr w:type="spellEnd"/>
      <w:r>
        <w:rPr>
          <w:rFonts w:ascii="Times New Roman" w:hAnsi="Times New Roman" w:cs="Times New Roman"/>
          <w:sz w:val="20"/>
          <w:szCs w:val="20"/>
        </w:rPr>
        <w:t xml:space="preserve"> and then sprayed for a single mango tree (</w:t>
      </w:r>
      <w:proofErr w:type="spellStart"/>
      <w:r>
        <w:rPr>
          <w:rFonts w:ascii="Times New Roman" w:hAnsi="Times New Roman" w:cs="Times New Roman"/>
          <w:sz w:val="20"/>
          <w:szCs w:val="20"/>
        </w:rPr>
        <w:t>MoA</w:t>
      </w:r>
      <w:proofErr w:type="spellEnd"/>
      <w:r>
        <w:rPr>
          <w:rFonts w:ascii="Times New Roman" w:hAnsi="Times New Roman" w:cs="Times New Roman"/>
          <w:sz w:val="20"/>
          <w:szCs w:val="20"/>
        </w:rPr>
        <w:t xml:space="preserve">, 2016). White oil extract was prepared by taking an empty plastic bottle, pure edible oil (Trade name: </w:t>
      </w:r>
      <w:proofErr w:type="spellStart"/>
      <w:r>
        <w:rPr>
          <w:rFonts w:ascii="Times New Roman" w:hAnsi="Times New Roman" w:cs="Times New Roman"/>
          <w:sz w:val="20"/>
          <w:szCs w:val="20"/>
        </w:rPr>
        <w:lastRenderedPageBreak/>
        <w:t>Sekina</w:t>
      </w:r>
      <w:proofErr w:type="spellEnd"/>
      <w:r>
        <w:rPr>
          <w:rFonts w:ascii="Times New Roman" w:hAnsi="Times New Roman" w:cs="Times New Roman"/>
          <w:sz w:val="20"/>
          <w:szCs w:val="20"/>
        </w:rPr>
        <w:t xml:space="preserve">) was poured in a 250ml cup and mixed with 62.5ml of hand dish wash liquid detergent (Trade name: BEKAS Sine) and </w:t>
      </w:r>
      <w:proofErr w:type="spellStart"/>
      <w:r>
        <w:rPr>
          <w:rFonts w:ascii="Times New Roman" w:hAnsi="Times New Roman" w:cs="Times New Roman"/>
          <w:sz w:val="20"/>
          <w:szCs w:val="20"/>
        </w:rPr>
        <w:t>shaked</w:t>
      </w:r>
      <w:proofErr w:type="spellEnd"/>
      <w:r>
        <w:rPr>
          <w:rFonts w:ascii="Times New Roman" w:hAnsi="Times New Roman" w:cs="Times New Roman"/>
          <w:sz w:val="20"/>
          <w:szCs w:val="20"/>
        </w:rPr>
        <w:t xml:space="preserve"> well finally turned to white. The sprayer tank was first filled by 5 </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of water and then 10ml from prepared white oil per 1 </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of water calculated a total of 50ml of white oil was added and mixed well and used for a single mango tree for this experiment (https:// www. organicgardener.com.au/ blogs/home-made-pest-remedies, retrieved on 01 June 2018). Average water requirement used for spray was 5 </w:t>
      </w:r>
      <w:proofErr w:type="spellStart"/>
      <w:r>
        <w:rPr>
          <w:rFonts w:ascii="Times New Roman" w:hAnsi="Times New Roman" w:cs="Times New Roman"/>
          <w:sz w:val="20"/>
          <w:szCs w:val="20"/>
        </w:rPr>
        <w:t>liters</w:t>
      </w:r>
      <w:proofErr w:type="spellEnd"/>
      <w:r>
        <w:rPr>
          <w:rFonts w:ascii="Times New Roman" w:hAnsi="Times New Roman" w:cs="Times New Roman"/>
          <w:sz w:val="20"/>
          <w:szCs w:val="20"/>
        </w:rPr>
        <w:t xml:space="preserve"> per tree. Pruning was done for 12 randomly selected mango trees by removal of undesirable vegetative parts, crowded branches, insect-infested and diseased branches, leaves, flowers and other plant parts. Small branches were cut first followed by large branches and all debris was removed to clean the surroundings (Williams </w:t>
      </w:r>
      <w:r>
        <w:rPr>
          <w:rFonts w:ascii="Times New Roman" w:hAnsi="Times New Roman" w:cs="Times New Roman"/>
          <w:i/>
          <w:sz w:val="20"/>
          <w:szCs w:val="20"/>
        </w:rPr>
        <w:t>et al</w:t>
      </w:r>
      <w:r>
        <w:rPr>
          <w:rFonts w:ascii="Times New Roman" w:hAnsi="Times New Roman" w:cs="Times New Roman"/>
          <w:sz w:val="20"/>
          <w:szCs w:val="20"/>
        </w:rPr>
        <w:t>., 2009).</w:t>
      </w:r>
    </w:p>
    <w:p w:rsidR="009C5B70" w:rsidRDefault="009C5B70">
      <w:pPr>
        <w:snapToGrid w:val="0"/>
        <w:spacing w:after="0" w:line="240" w:lineRule="auto"/>
        <w:jc w:val="both"/>
        <w:rPr>
          <w:rFonts w:ascii="Times New Roman" w:hAnsi="Times New Roman" w:cs="Times New Roman"/>
          <w:sz w:val="20"/>
          <w:szCs w:val="20"/>
        </w:rPr>
      </w:pPr>
    </w:p>
    <w:p w:rsidR="009C5B70" w:rsidRDefault="006605DA">
      <w:pPr>
        <w:pStyle w:val="Caption"/>
        <w:keepNext/>
        <w:snapToGrid w:val="0"/>
        <w:spacing w:after="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Table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Table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1</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Dose and formulation of insecticides</w:t>
      </w:r>
    </w:p>
    <w:tbl>
      <w:tblPr>
        <w:tblW w:w="5021" w:type="pct"/>
        <w:tblLook w:val="04A0" w:firstRow="1" w:lastRow="0" w:firstColumn="1" w:lastColumn="0" w:noHBand="0" w:noVBand="1"/>
      </w:tblPr>
      <w:tblGrid>
        <w:gridCol w:w="1757"/>
        <w:gridCol w:w="1759"/>
        <w:gridCol w:w="2343"/>
        <w:gridCol w:w="1540"/>
        <w:gridCol w:w="2000"/>
      </w:tblGrid>
      <w:tr w:rsidR="009C5B70">
        <w:trPr>
          <w:trHeight w:val="554"/>
        </w:trPr>
        <w:tc>
          <w:tcPr>
            <w:tcW w:w="934"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Insecticide </w:t>
            </w:r>
          </w:p>
        </w:tc>
        <w:tc>
          <w:tcPr>
            <w:tcW w:w="935"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Active ingredient </w:t>
            </w:r>
          </w:p>
        </w:tc>
        <w:tc>
          <w:tcPr>
            <w:tcW w:w="1246"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Dosage rate </w:t>
            </w:r>
          </w:p>
        </w:tc>
        <w:tc>
          <w:tcPr>
            <w:tcW w:w="819"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Mode of application </w:t>
            </w:r>
          </w:p>
        </w:tc>
        <w:tc>
          <w:tcPr>
            <w:tcW w:w="1064"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w:t>
            </w:r>
          </w:p>
        </w:tc>
      </w:tr>
      <w:tr w:rsidR="009C5B70">
        <w:trPr>
          <w:trHeight w:val="554"/>
        </w:trPr>
        <w:tc>
          <w:tcPr>
            <w:tcW w:w="934"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Gain 20 SL</w:t>
            </w:r>
          </w:p>
        </w:tc>
        <w:tc>
          <w:tcPr>
            <w:tcW w:w="935"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Imidacloprid</w:t>
            </w:r>
            <w:proofErr w:type="spellEnd"/>
            <w:r>
              <w:rPr>
                <w:rFonts w:ascii="Times New Roman" w:hAnsi="Times New Roman" w:cs="Times New Roman"/>
                <w:sz w:val="20"/>
                <w:szCs w:val="20"/>
                <w:lang w:val="en-US"/>
              </w:rPr>
              <w:t xml:space="preserve"> 20 SL</w:t>
            </w:r>
          </w:p>
        </w:tc>
        <w:tc>
          <w:tcPr>
            <w:tcW w:w="1246"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0.8ml / 1 Liter of water</w:t>
            </w:r>
          </w:p>
        </w:tc>
        <w:tc>
          <w:tcPr>
            <w:tcW w:w="819"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Foliar spray </w:t>
            </w:r>
          </w:p>
        </w:tc>
        <w:tc>
          <w:tcPr>
            <w:tcW w:w="1064"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Chemtrade</w:t>
            </w:r>
            <w:proofErr w:type="spellEnd"/>
            <w:r>
              <w:rPr>
                <w:rFonts w:ascii="Times New Roman" w:hAnsi="Times New Roman" w:cs="Times New Roman"/>
                <w:bCs/>
                <w:sz w:val="20"/>
                <w:szCs w:val="20"/>
                <w:lang w:val="en-US"/>
              </w:rPr>
              <w:t xml:space="preserve"> International </w:t>
            </w:r>
          </w:p>
        </w:tc>
      </w:tr>
      <w:tr w:rsidR="009C5B70">
        <w:trPr>
          <w:trHeight w:val="648"/>
        </w:trPr>
        <w:tc>
          <w:tcPr>
            <w:tcW w:w="934"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Agro-</w:t>
            </w:r>
            <w:proofErr w:type="spellStart"/>
            <w:r>
              <w:rPr>
                <w:rFonts w:ascii="Times New Roman" w:hAnsi="Times New Roman" w:cs="Times New Roman"/>
                <w:sz w:val="20"/>
                <w:szCs w:val="20"/>
                <w:lang w:val="en-US"/>
              </w:rPr>
              <w:t>Thoate</w:t>
            </w:r>
            <w:proofErr w:type="spellEnd"/>
            <w:r>
              <w:rPr>
                <w:rFonts w:ascii="Times New Roman" w:hAnsi="Times New Roman" w:cs="Times New Roman"/>
                <w:sz w:val="20"/>
                <w:szCs w:val="20"/>
                <w:lang w:val="en-US"/>
              </w:rPr>
              <w:t xml:space="preserve"> 40% EC</w:t>
            </w:r>
          </w:p>
        </w:tc>
        <w:tc>
          <w:tcPr>
            <w:tcW w:w="935"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Dimethoate</w:t>
            </w:r>
            <w:proofErr w:type="spellEnd"/>
            <w:r>
              <w:rPr>
                <w:rFonts w:ascii="Times New Roman" w:hAnsi="Times New Roman" w:cs="Times New Roman"/>
                <w:sz w:val="20"/>
                <w:szCs w:val="20"/>
                <w:lang w:val="en-US"/>
              </w:rPr>
              <w:t xml:space="preserve"> 40% (W/V)</w:t>
            </w:r>
          </w:p>
        </w:tc>
        <w:tc>
          <w:tcPr>
            <w:tcW w:w="1246"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0.75 ml / 1 Liter of water</w:t>
            </w:r>
          </w:p>
        </w:tc>
        <w:tc>
          <w:tcPr>
            <w:tcW w:w="819"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Foliar spray </w:t>
            </w:r>
          </w:p>
        </w:tc>
        <w:tc>
          <w:tcPr>
            <w:tcW w:w="1064"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Chemtrade</w:t>
            </w:r>
            <w:proofErr w:type="spellEnd"/>
            <w:r>
              <w:rPr>
                <w:rFonts w:ascii="Times New Roman" w:hAnsi="Times New Roman" w:cs="Times New Roman"/>
                <w:bCs/>
                <w:sz w:val="20"/>
                <w:szCs w:val="20"/>
                <w:lang w:val="en-US"/>
              </w:rPr>
              <w:t xml:space="preserve"> International </w:t>
            </w:r>
          </w:p>
        </w:tc>
      </w:tr>
      <w:tr w:rsidR="009C5B70">
        <w:trPr>
          <w:trHeight w:val="294"/>
        </w:trPr>
        <w:tc>
          <w:tcPr>
            <w:tcW w:w="934"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bCs/>
                <w:sz w:val="20"/>
                <w:szCs w:val="20"/>
                <w:lang w:val="en-US"/>
              </w:rPr>
            </w:pPr>
            <w:r>
              <w:rPr>
                <w:rFonts w:ascii="Times New Roman" w:hAnsi="Times New Roman" w:cs="Times New Roman"/>
                <w:sz w:val="20"/>
                <w:szCs w:val="20"/>
                <w:lang w:val="en-US"/>
              </w:rPr>
              <w:t xml:space="preserve">White oil extract </w:t>
            </w:r>
          </w:p>
        </w:tc>
        <w:tc>
          <w:tcPr>
            <w:tcW w:w="935" w:type="pct"/>
            <w:tcBorders>
              <w:top w:val="single" w:sz="4" w:space="0" w:color="auto"/>
              <w:bottom w:val="single" w:sz="4" w:space="0" w:color="auto"/>
            </w:tcBorders>
          </w:tcPr>
          <w:p w:rsidR="009C5B70" w:rsidRDefault="009C5B70">
            <w:pPr>
              <w:snapToGrid w:val="0"/>
              <w:spacing w:after="0" w:line="240" w:lineRule="auto"/>
              <w:jc w:val="both"/>
              <w:rPr>
                <w:rFonts w:ascii="Times New Roman" w:hAnsi="Times New Roman" w:cs="Times New Roman"/>
                <w:sz w:val="20"/>
                <w:szCs w:val="20"/>
                <w:lang w:val="en-US"/>
              </w:rPr>
            </w:pPr>
          </w:p>
        </w:tc>
        <w:tc>
          <w:tcPr>
            <w:tcW w:w="1246"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bCs/>
                <w:i/>
                <w:sz w:val="20"/>
                <w:szCs w:val="20"/>
                <w:lang w:val="en-US"/>
              </w:rPr>
            </w:pPr>
            <w:r>
              <w:rPr>
                <w:rFonts w:ascii="Times New Roman" w:hAnsi="Times New Roman" w:cs="Times New Roman"/>
                <w:iCs/>
                <w:sz w:val="20"/>
                <w:szCs w:val="20"/>
                <w:lang w:val="en-US"/>
              </w:rPr>
              <w:t xml:space="preserve">10ml / </w:t>
            </w:r>
            <w:r>
              <w:rPr>
                <w:rFonts w:ascii="Times New Roman" w:hAnsi="Times New Roman" w:cs="Times New Roman"/>
                <w:sz w:val="20"/>
                <w:szCs w:val="20"/>
                <w:lang w:val="en-US"/>
              </w:rPr>
              <w:t>1 Liter of water</w:t>
            </w:r>
          </w:p>
        </w:tc>
        <w:tc>
          <w:tcPr>
            <w:tcW w:w="819"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Foliar spray </w:t>
            </w:r>
          </w:p>
        </w:tc>
        <w:tc>
          <w:tcPr>
            <w:tcW w:w="1064" w:type="pct"/>
            <w:tcBorders>
              <w:top w:val="single" w:sz="4" w:space="0" w:color="auto"/>
              <w:bottom w:val="single" w:sz="4" w:space="0" w:color="auto"/>
            </w:tcBorders>
          </w:tcPr>
          <w:p w:rsidR="009C5B70" w:rsidRDefault="006605DA">
            <w:pPr>
              <w:snapToGrid w:val="0"/>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Home made </w:t>
            </w:r>
          </w:p>
        </w:tc>
      </w:tr>
    </w:tbl>
    <w:p w:rsidR="009C5B70" w:rsidRDefault="009C5B70">
      <w:pPr>
        <w:pStyle w:val="ListParagraph"/>
        <w:snapToGrid w:val="0"/>
        <w:spacing w:after="0" w:line="240" w:lineRule="auto"/>
        <w:ind w:left="360"/>
        <w:rPr>
          <w:rFonts w:ascii="Times New Roman" w:hAnsi="Times New Roman" w:cs="Times New Roman"/>
          <w:b/>
          <w:sz w:val="20"/>
          <w:szCs w:val="20"/>
        </w:rPr>
      </w:pPr>
    </w:p>
    <w:p w:rsidR="009C5B70" w:rsidRDefault="009C5B70">
      <w:pPr>
        <w:pStyle w:val="ListParagraph"/>
        <w:numPr>
          <w:ilvl w:val="1"/>
          <w:numId w:val="1"/>
        </w:numPr>
        <w:snapToGrid w:val="0"/>
        <w:spacing w:after="0" w:line="240" w:lineRule="auto"/>
        <w:rPr>
          <w:rFonts w:ascii="Times New Roman" w:hAnsi="Times New Roman" w:cs="Times New Roman"/>
          <w:b/>
          <w:sz w:val="20"/>
          <w:szCs w:val="20"/>
        </w:rPr>
        <w:sectPr w:rsidR="009C5B70">
          <w:type w:val="continuous"/>
          <w:pgSz w:w="12240" w:h="15839"/>
          <w:pgMar w:top="1440" w:right="1440" w:bottom="1440" w:left="1440" w:header="720" w:footer="720" w:gutter="0"/>
          <w:cols w:space="425"/>
          <w:titlePg/>
          <w:docGrid w:linePitch="360"/>
        </w:sectPr>
      </w:pPr>
    </w:p>
    <w:p w:rsidR="009C5B70" w:rsidRDefault="006605DA">
      <w:pPr>
        <w:pStyle w:val="ListParagraph"/>
        <w:numPr>
          <w:ilvl w:val="1"/>
          <w:numId w:val="1"/>
        </w:numPr>
        <w:snapToGrid w:val="0"/>
        <w:spacing w:after="0" w:line="240" w:lineRule="auto"/>
        <w:rPr>
          <w:rFonts w:ascii="Times New Roman" w:hAnsi="Times New Roman" w:cs="Times New Roman"/>
          <w:b/>
          <w:sz w:val="20"/>
          <w:szCs w:val="20"/>
        </w:rPr>
      </w:pPr>
      <w:r>
        <w:rPr>
          <w:rStyle w:val="Heading2Char"/>
          <w:rFonts w:ascii="Times New Roman" w:hAnsi="Times New Roman" w:cs="Times New Roman"/>
          <w:b w:val="0"/>
          <w:color w:val="auto"/>
          <w:sz w:val="20"/>
          <w:szCs w:val="20"/>
        </w:rPr>
        <w:lastRenderedPageBreak/>
        <w:t>Treatments, experimental design and procedures</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Mango trees selected for pruning were treated during August 1-15/2018 before the flower induction and right after harvest before spray and spray was taken place during active stage of mango flowering stage (Williams </w:t>
      </w:r>
      <w:r>
        <w:rPr>
          <w:rFonts w:ascii="Times New Roman" w:hAnsi="Times New Roman" w:cs="Times New Roman"/>
          <w:i/>
          <w:sz w:val="20"/>
          <w:szCs w:val="20"/>
        </w:rPr>
        <w:t>et al.,</w:t>
      </w:r>
      <w:r>
        <w:rPr>
          <w:rFonts w:ascii="Times New Roman" w:hAnsi="Times New Roman" w:cs="Times New Roman"/>
          <w:sz w:val="20"/>
          <w:szCs w:val="20"/>
        </w:rPr>
        <w:t xml:space="preserve"> 2009). Mango trees were sprayed three times with the interval of two weeks during December 15-30/2018 and January 15/2019 after 11:00 hour using motorized knapsack sprayer and an untreated check were maintained for comparison purposes. In this experiment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are systemic insecticides and home-made white oil treatments were arranged separately as well as in combination with pruning cultural control method as a management tactics.</w:t>
      </w:r>
    </w:p>
    <w:p w:rsidR="009C5B70" w:rsidRDefault="006605DA">
      <w:pPr>
        <w:snapToGrid w:val="0"/>
        <w:spacing w:after="0" w:line="240" w:lineRule="auto"/>
        <w:jc w:val="both"/>
        <w:rPr>
          <w:rFonts w:ascii="Times New Roman" w:hAnsi="Times New Roman" w:cs="Times New Roman"/>
          <w:sz w:val="20"/>
          <w:szCs w:val="20"/>
        </w:rPr>
        <w:sectPr w:rsidR="009C5B70">
          <w:type w:val="continuous"/>
          <w:pgSz w:w="12240" w:h="15839"/>
          <w:pgMar w:top="1440" w:right="1440" w:bottom="1440" w:left="1440" w:header="720" w:footer="720" w:gutter="0"/>
          <w:cols w:num="2" w:space="720" w:equalWidth="0">
            <w:col w:w="4467" w:space="425"/>
            <w:col w:w="4467"/>
          </w:cols>
          <w:titlePg/>
          <w:docGrid w:linePitch="360"/>
        </w:sectPr>
      </w:pPr>
      <w:r>
        <w:rPr>
          <w:rFonts w:ascii="Times New Roman" w:hAnsi="Times New Roman" w:cs="Times New Roman"/>
          <w:sz w:val="20"/>
          <w:szCs w:val="20"/>
        </w:rPr>
        <w:lastRenderedPageBreak/>
        <w:t>The experimental were arranged in randomised complete block design (RCBD) with three replications. The treatments were eight and three mango trees per treatments were used as three replications in each treatment. A total number of 24 mango trees were used in this experiment. Uniform size, same age (16 years old age) and cultivar mango trees (Kent) were selected for experimental unit. Drift problem was protected by using breaker of a plastic cover of the neighbouring mango trees canopy during spraying. The control was wetted three times with sterile water to avoid moisture difference between treatments. All agronomic practices were kept the same among the treatments during experimental period.</w:t>
      </w:r>
    </w:p>
    <w:p w:rsidR="009C5B70" w:rsidRDefault="009C5B70">
      <w:pPr>
        <w:snapToGrid w:val="0"/>
        <w:spacing w:after="0" w:line="240" w:lineRule="auto"/>
        <w:jc w:val="both"/>
        <w:rPr>
          <w:rFonts w:ascii="Times New Roman" w:hAnsi="Times New Roman" w:cs="Times New Roman"/>
          <w:sz w:val="20"/>
          <w:szCs w:val="20"/>
        </w:rPr>
      </w:pPr>
    </w:p>
    <w:p w:rsidR="009C5B70" w:rsidRDefault="006605DA">
      <w:pPr>
        <w:pStyle w:val="Caption"/>
        <w:keepNext/>
        <w:snapToGrid w:val="0"/>
        <w:spacing w:after="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Table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Table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2</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Treatment types for the experiment</w:t>
      </w:r>
    </w:p>
    <w:tbl>
      <w:tblPr>
        <w:tblStyle w:val="TableGrid1"/>
        <w:tblW w:w="489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6846"/>
      </w:tblGrid>
      <w:tr w:rsidR="009C5B70">
        <w:trPr>
          <w:trHeight w:val="428"/>
          <w:tblHeader/>
          <w:jc w:val="center"/>
        </w:trPr>
        <w:tc>
          <w:tcPr>
            <w:tcW w:w="1266" w:type="pct"/>
            <w:tcBorders>
              <w:top w:val="single" w:sz="4" w:space="0" w:color="auto"/>
              <w:bottom w:val="single" w:sz="4" w:space="0" w:color="auto"/>
            </w:tcBorders>
            <w:shd w:val="clear" w:color="auto" w:fill="auto"/>
          </w:tcPr>
          <w:p w:rsidR="009C5B70" w:rsidRDefault="006605DA">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Treatment Code </w:t>
            </w:r>
          </w:p>
        </w:tc>
        <w:tc>
          <w:tcPr>
            <w:tcW w:w="3733" w:type="pct"/>
            <w:tcBorders>
              <w:top w:val="single" w:sz="4" w:space="0" w:color="auto"/>
              <w:bottom w:val="single" w:sz="4" w:space="0" w:color="auto"/>
            </w:tcBorders>
            <w:shd w:val="clear" w:color="auto" w:fill="auto"/>
          </w:tcPr>
          <w:p w:rsidR="009C5B70" w:rsidRDefault="006605DA">
            <w:pPr>
              <w:tabs>
                <w:tab w:val="right" w:pos="3862"/>
              </w:tabs>
              <w:snapToGri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Treatment Application Rate</w:t>
            </w:r>
            <w:r>
              <w:rPr>
                <w:rFonts w:ascii="Times New Roman" w:hAnsi="Times New Roman" w:cs="Times New Roman"/>
                <w:sz w:val="20"/>
                <w:szCs w:val="20"/>
                <w:lang w:val="en-US"/>
              </w:rPr>
              <w:tab/>
            </w:r>
          </w:p>
        </w:tc>
      </w:tr>
      <w:tr w:rsidR="009C5B70">
        <w:trPr>
          <w:trHeight w:val="428"/>
          <w:tblHeader/>
          <w:jc w:val="center"/>
        </w:trPr>
        <w:tc>
          <w:tcPr>
            <w:tcW w:w="1266" w:type="pct"/>
            <w:tcBorders>
              <w:top w:val="single" w:sz="4" w:space="0" w:color="auto"/>
            </w:tcBorders>
          </w:tcPr>
          <w:p w:rsidR="009C5B70" w:rsidRDefault="006605DA">
            <w:pPr>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(T1)</w:t>
            </w:r>
          </w:p>
        </w:tc>
        <w:tc>
          <w:tcPr>
            <w:tcW w:w="3733" w:type="pct"/>
            <w:tcBorders>
              <w:top w:val="single" w:sz="4" w:space="0" w:color="auto"/>
            </w:tcBorders>
          </w:tcPr>
          <w:p w:rsidR="009C5B70" w:rsidRDefault="006605DA">
            <w:pPr>
              <w:autoSpaceDE w:val="0"/>
              <w:autoSpaceDN w:val="0"/>
              <w:adjustRightInd w:val="0"/>
              <w:snapToGrid w:val="0"/>
              <w:spacing w:after="0" w:line="240" w:lineRule="auto"/>
              <w:rPr>
                <w:rFonts w:ascii="Times New Roman" w:hAnsi="Times New Roman" w:cs="Times New Roman"/>
                <w:sz w:val="20"/>
                <w:szCs w:val="20"/>
                <w:lang w:val="en-US"/>
              </w:rPr>
            </w:pPr>
            <w:proofErr w:type="spellStart"/>
            <w:r>
              <w:rPr>
                <w:rFonts w:ascii="Times New Roman" w:hAnsi="Times New Roman" w:cs="Times New Roman"/>
                <w:sz w:val="20"/>
                <w:szCs w:val="20"/>
                <w:lang w:val="en-US"/>
              </w:rPr>
              <w:t>Imidacloprid</w:t>
            </w:r>
            <w:proofErr w:type="spellEnd"/>
            <w:r>
              <w:rPr>
                <w:rFonts w:ascii="Times New Roman" w:hAnsi="Times New Roman" w:cs="Times New Roman"/>
                <w:sz w:val="20"/>
                <w:szCs w:val="20"/>
                <w:lang w:val="en-US"/>
              </w:rPr>
              <w:t xml:space="preserve"> 20SL@4ml/5 Liter water</w:t>
            </w:r>
          </w:p>
        </w:tc>
      </w:tr>
      <w:tr w:rsidR="009C5B70">
        <w:trPr>
          <w:trHeight w:val="387"/>
          <w:tblHeader/>
          <w:jc w:val="center"/>
        </w:trPr>
        <w:tc>
          <w:tcPr>
            <w:tcW w:w="1266" w:type="pct"/>
          </w:tcPr>
          <w:p w:rsidR="009C5B70" w:rsidRDefault="006605DA">
            <w:pPr>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(T2)</w:t>
            </w:r>
          </w:p>
        </w:tc>
        <w:tc>
          <w:tcPr>
            <w:tcW w:w="3733" w:type="pct"/>
          </w:tcPr>
          <w:p w:rsidR="009C5B70" w:rsidRDefault="006605DA">
            <w:pPr>
              <w:autoSpaceDE w:val="0"/>
              <w:autoSpaceDN w:val="0"/>
              <w:adjustRightInd w:val="0"/>
              <w:snapToGrid w:val="0"/>
              <w:spacing w:after="0" w:line="240" w:lineRule="auto"/>
              <w:rPr>
                <w:rFonts w:ascii="Times New Roman" w:hAnsi="Times New Roman" w:cs="Times New Roman"/>
                <w:sz w:val="20"/>
                <w:szCs w:val="20"/>
                <w:lang w:val="en-US"/>
              </w:rPr>
            </w:pPr>
            <w:proofErr w:type="spellStart"/>
            <w:r>
              <w:rPr>
                <w:rFonts w:ascii="Times New Roman" w:hAnsi="Times New Roman" w:cs="Times New Roman"/>
                <w:sz w:val="20"/>
                <w:szCs w:val="20"/>
                <w:lang w:val="en-US"/>
              </w:rPr>
              <w:t>Dimethoate</w:t>
            </w:r>
            <w:proofErr w:type="spellEnd"/>
            <w:r>
              <w:rPr>
                <w:rFonts w:ascii="Times New Roman" w:hAnsi="Times New Roman" w:cs="Times New Roman"/>
                <w:sz w:val="20"/>
                <w:szCs w:val="20"/>
                <w:lang w:val="en-US"/>
              </w:rPr>
              <w:t xml:space="preserve"> 40% EC@3.75ml/5 Liter water </w:t>
            </w:r>
          </w:p>
        </w:tc>
      </w:tr>
      <w:tr w:rsidR="009C5B70">
        <w:trPr>
          <w:trHeight w:val="387"/>
          <w:jc w:val="center"/>
        </w:trPr>
        <w:tc>
          <w:tcPr>
            <w:tcW w:w="1266" w:type="pct"/>
          </w:tcPr>
          <w:p w:rsidR="009C5B70" w:rsidRDefault="006605DA">
            <w:pPr>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(T3)</w:t>
            </w:r>
          </w:p>
        </w:tc>
        <w:tc>
          <w:tcPr>
            <w:tcW w:w="3733" w:type="pct"/>
          </w:tcPr>
          <w:p w:rsidR="009C5B70" w:rsidRDefault="006605DA">
            <w:pPr>
              <w:snapToGri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White oil extract @50ml l/5Liter water</w:t>
            </w:r>
          </w:p>
        </w:tc>
      </w:tr>
      <w:tr w:rsidR="009C5B70">
        <w:trPr>
          <w:trHeight w:val="387"/>
          <w:jc w:val="center"/>
        </w:trPr>
        <w:tc>
          <w:tcPr>
            <w:tcW w:w="1266" w:type="pct"/>
          </w:tcPr>
          <w:p w:rsidR="009C5B70" w:rsidRDefault="006605DA">
            <w:pPr>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(T4)</w:t>
            </w:r>
          </w:p>
        </w:tc>
        <w:tc>
          <w:tcPr>
            <w:tcW w:w="3733" w:type="pct"/>
          </w:tcPr>
          <w:p w:rsidR="009C5B70" w:rsidRDefault="006605DA">
            <w:pPr>
              <w:autoSpaceDE w:val="0"/>
              <w:autoSpaceDN w:val="0"/>
              <w:adjustRightInd w:val="0"/>
              <w:snapToGri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Pruning</w:t>
            </w:r>
          </w:p>
        </w:tc>
      </w:tr>
      <w:tr w:rsidR="009C5B70">
        <w:trPr>
          <w:trHeight w:val="387"/>
          <w:jc w:val="center"/>
        </w:trPr>
        <w:tc>
          <w:tcPr>
            <w:tcW w:w="1266" w:type="pct"/>
          </w:tcPr>
          <w:p w:rsidR="009C5B70" w:rsidRDefault="006605DA">
            <w:pPr>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(T5)</w:t>
            </w:r>
          </w:p>
        </w:tc>
        <w:tc>
          <w:tcPr>
            <w:tcW w:w="3733" w:type="pct"/>
          </w:tcPr>
          <w:p w:rsidR="009C5B70" w:rsidRDefault="006605DA">
            <w:pPr>
              <w:autoSpaceDE w:val="0"/>
              <w:autoSpaceDN w:val="0"/>
              <w:adjustRightInd w:val="0"/>
              <w:snapToGrid w:val="0"/>
              <w:spacing w:after="0" w:line="240" w:lineRule="auto"/>
              <w:rPr>
                <w:rFonts w:ascii="Times New Roman" w:hAnsi="Times New Roman" w:cs="Times New Roman"/>
                <w:sz w:val="20"/>
                <w:szCs w:val="20"/>
                <w:lang w:val="en-US"/>
              </w:rPr>
            </w:pPr>
            <w:proofErr w:type="spellStart"/>
            <w:r>
              <w:rPr>
                <w:rFonts w:ascii="Times New Roman" w:hAnsi="Times New Roman" w:cs="Times New Roman"/>
                <w:sz w:val="20"/>
                <w:szCs w:val="20"/>
                <w:lang w:val="en-US"/>
              </w:rPr>
              <w:t>Imidacloprid</w:t>
            </w:r>
            <w:proofErr w:type="spellEnd"/>
            <w:r>
              <w:rPr>
                <w:rFonts w:ascii="Times New Roman" w:hAnsi="Times New Roman" w:cs="Times New Roman"/>
                <w:sz w:val="20"/>
                <w:szCs w:val="20"/>
                <w:lang w:val="en-US"/>
              </w:rPr>
              <w:t xml:space="preserve"> 20SL@4ml/5Liter water + pruning</w:t>
            </w:r>
          </w:p>
        </w:tc>
      </w:tr>
      <w:tr w:rsidR="009C5B70">
        <w:trPr>
          <w:trHeight w:val="387"/>
          <w:jc w:val="center"/>
        </w:trPr>
        <w:tc>
          <w:tcPr>
            <w:tcW w:w="1266" w:type="pct"/>
          </w:tcPr>
          <w:p w:rsidR="009C5B70" w:rsidRDefault="006605DA">
            <w:pPr>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(T6)</w:t>
            </w:r>
          </w:p>
        </w:tc>
        <w:tc>
          <w:tcPr>
            <w:tcW w:w="3733" w:type="pct"/>
          </w:tcPr>
          <w:p w:rsidR="009C5B70" w:rsidRDefault="006605DA">
            <w:pPr>
              <w:autoSpaceDE w:val="0"/>
              <w:autoSpaceDN w:val="0"/>
              <w:adjustRightInd w:val="0"/>
              <w:snapToGrid w:val="0"/>
              <w:spacing w:after="0" w:line="240" w:lineRule="auto"/>
              <w:rPr>
                <w:rFonts w:ascii="Times New Roman" w:hAnsi="Times New Roman" w:cs="Times New Roman"/>
                <w:sz w:val="20"/>
                <w:szCs w:val="20"/>
                <w:lang w:val="en-US"/>
              </w:rPr>
            </w:pPr>
            <w:proofErr w:type="spellStart"/>
            <w:r>
              <w:rPr>
                <w:rFonts w:ascii="Times New Roman" w:hAnsi="Times New Roman" w:cs="Times New Roman"/>
                <w:sz w:val="20"/>
                <w:szCs w:val="20"/>
                <w:lang w:val="en-US"/>
              </w:rPr>
              <w:t>Dimethoate</w:t>
            </w:r>
            <w:proofErr w:type="spellEnd"/>
            <w:r>
              <w:rPr>
                <w:rFonts w:ascii="Times New Roman" w:hAnsi="Times New Roman" w:cs="Times New Roman"/>
                <w:sz w:val="20"/>
                <w:szCs w:val="20"/>
                <w:lang w:val="en-US"/>
              </w:rPr>
              <w:t xml:space="preserve"> 40% EC @3.75ml/5 Liter water  + pruning</w:t>
            </w:r>
          </w:p>
        </w:tc>
      </w:tr>
      <w:tr w:rsidR="009C5B70">
        <w:trPr>
          <w:trHeight w:val="387"/>
          <w:jc w:val="center"/>
        </w:trPr>
        <w:tc>
          <w:tcPr>
            <w:tcW w:w="1266" w:type="pct"/>
          </w:tcPr>
          <w:p w:rsidR="009C5B70" w:rsidRDefault="006605DA">
            <w:pPr>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(T7)</w:t>
            </w:r>
          </w:p>
        </w:tc>
        <w:tc>
          <w:tcPr>
            <w:tcW w:w="3733" w:type="pct"/>
          </w:tcPr>
          <w:p w:rsidR="009C5B70" w:rsidRDefault="006605DA">
            <w:pPr>
              <w:autoSpaceDE w:val="0"/>
              <w:autoSpaceDN w:val="0"/>
              <w:adjustRightInd w:val="0"/>
              <w:snapToGri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White oil extract @50ml l/5 Liter water + pruning</w:t>
            </w:r>
          </w:p>
        </w:tc>
      </w:tr>
      <w:tr w:rsidR="009C5B70">
        <w:trPr>
          <w:trHeight w:val="428"/>
          <w:jc w:val="center"/>
        </w:trPr>
        <w:tc>
          <w:tcPr>
            <w:tcW w:w="1266" w:type="pct"/>
            <w:tcBorders>
              <w:bottom w:val="single" w:sz="4" w:space="0" w:color="auto"/>
            </w:tcBorders>
          </w:tcPr>
          <w:p w:rsidR="009C5B70" w:rsidRDefault="006605DA">
            <w:pPr>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(T8)</w:t>
            </w:r>
          </w:p>
        </w:tc>
        <w:tc>
          <w:tcPr>
            <w:tcW w:w="3733" w:type="pct"/>
            <w:tcBorders>
              <w:bottom w:val="single" w:sz="4" w:space="0" w:color="auto"/>
            </w:tcBorders>
          </w:tcPr>
          <w:p w:rsidR="009C5B70" w:rsidRDefault="006605DA">
            <w:pPr>
              <w:snapToGri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Untreated Control @ 5 Liter water</w:t>
            </w:r>
          </w:p>
        </w:tc>
      </w:tr>
    </w:tbl>
    <w:p w:rsidR="009C5B70" w:rsidRDefault="009C5B70">
      <w:pPr>
        <w:pStyle w:val="Heading2"/>
        <w:snapToGrid w:val="0"/>
        <w:spacing w:before="0" w:line="240" w:lineRule="auto"/>
        <w:rPr>
          <w:rStyle w:val="Heading2Char"/>
          <w:rFonts w:ascii="Times New Roman" w:hAnsi="Times New Roman" w:cs="Times New Roman"/>
          <w:color w:val="auto"/>
          <w:sz w:val="20"/>
          <w:szCs w:val="20"/>
        </w:rPr>
      </w:pPr>
    </w:p>
    <w:p w:rsidR="009C5B70" w:rsidRDefault="009C5B70">
      <w:pPr>
        <w:pStyle w:val="Heading2"/>
        <w:numPr>
          <w:ilvl w:val="1"/>
          <w:numId w:val="1"/>
        </w:numPr>
        <w:snapToGrid w:val="0"/>
        <w:spacing w:before="0" w:line="240" w:lineRule="auto"/>
        <w:rPr>
          <w:rStyle w:val="Heading2Char"/>
          <w:rFonts w:ascii="Times New Roman" w:hAnsi="Times New Roman" w:cs="Times New Roman"/>
          <w:color w:val="auto"/>
          <w:sz w:val="20"/>
          <w:szCs w:val="20"/>
        </w:rPr>
        <w:sectPr w:rsidR="009C5B70">
          <w:type w:val="continuous"/>
          <w:pgSz w:w="12240" w:h="15839"/>
          <w:pgMar w:top="1440" w:right="1440" w:bottom="1440" w:left="1440" w:header="720" w:footer="720" w:gutter="0"/>
          <w:cols w:space="425"/>
          <w:titlePg/>
          <w:docGrid w:linePitch="360"/>
        </w:sectPr>
      </w:pPr>
    </w:p>
    <w:p w:rsidR="009C5B70" w:rsidRDefault="006605DA">
      <w:pPr>
        <w:pStyle w:val="Heading2"/>
        <w:numPr>
          <w:ilvl w:val="1"/>
          <w:numId w:val="1"/>
        </w:numPr>
        <w:snapToGrid w:val="0"/>
        <w:spacing w:before="0" w:line="240" w:lineRule="auto"/>
        <w:rPr>
          <w:rStyle w:val="Heading2Char"/>
          <w:rFonts w:ascii="Times New Roman" w:hAnsi="Times New Roman" w:cs="Times New Roman"/>
          <w:color w:val="auto"/>
          <w:sz w:val="20"/>
          <w:szCs w:val="20"/>
        </w:rPr>
      </w:pPr>
      <w:r>
        <w:rPr>
          <w:rStyle w:val="Heading2Char"/>
          <w:rFonts w:ascii="Times New Roman" w:hAnsi="Times New Roman" w:cs="Times New Roman"/>
          <w:color w:val="auto"/>
          <w:sz w:val="20"/>
          <w:szCs w:val="20"/>
        </w:rPr>
        <w:lastRenderedPageBreak/>
        <w:t>Data collection for the experiment</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Experimental data from the treated and untreated control were collected randomly three from lower, four from middle and three from top of canopy a total of ten sample leaves and 30 sample leaves from each treatment. The mean number of WMS population (sum of live nymph and adult) per 10 leaves before and after the treatments application were taken as the methodology used by </w:t>
      </w:r>
      <w:proofErr w:type="spellStart"/>
      <w:r>
        <w:rPr>
          <w:rFonts w:ascii="Times New Roman" w:hAnsi="Times New Roman" w:cs="Times New Roman"/>
          <w:sz w:val="20"/>
          <w:szCs w:val="20"/>
        </w:rPr>
        <w:t>Ayalew</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2014 and </w:t>
      </w:r>
      <w:proofErr w:type="spellStart"/>
      <w:r>
        <w:rPr>
          <w:rFonts w:ascii="Times New Roman" w:hAnsi="Times New Roman" w:cs="Times New Roman"/>
          <w:sz w:val="20"/>
          <w:szCs w:val="20"/>
        </w:rPr>
        <w:t>Djirata</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2017. Mean number of WMS population per 10 leaves prior to treatment application and Mean number of insects from post treatment was used to assess efficacy of the suggested management option.</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average mango fruit number and yield in Kilo gram per tree per treatment was determined during March and April at harvest. During each sampling time the marketable quality of the fruits was subjectively assessed and judged using a 1-9 rating scale with 1=unusable, 3=unsalable (poor), 5=fair, 7=good, 9=excellent to evaluate the fruit quality. The size,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firmness surface defects, sign of pest and shrinkage were </w:t>
      </w:r>
      <w:r>
        <w:rPr>
          <w:rFonts w:ascii="Times New Roman" w:hAnsi="Times New Roman" w:cs="Times New Roman"/>
          <w:sz w:val="20"/>
          <w:szCs w:val="20"/>
        </w:rPr>
        <w:lastRenderedPageBreak/>
        <w:t xml:space="preserve">used as visual parameters for the rating. Fruits that received a rating of five and above were considered marketable while those rated less than five were considered unmarketable (Mohammed </w:t>
      </w:r>
      <w:r>
        <w:rPr>
          <w:rFonts w:ascii="Times New Roman" w:hAnsi="Times New Roman" w:cs="Times New Roman"/>
          <w:i/>
          <w:sz w:val="20"/>
          <w:szCs w:val="20"/>
        </w:rPr>
        <w:t>et al</w:t>
      </w:r>
      <w:r>
        <w:rPr>
          <w:rFonts w:ascii="Times New Roman" w:hAnsi="Times New Roman" w:cs="Times New Roman"/>
          <w:sz w:val="20"/>
          <w:szCs w:val="20"/>
        </w:rPr>
        <w:t>., 1999).</w:t>
      </w:r>
    </w:p>
    <w:p w:rsidR="009C5B70" w:rsidRDefault="006605DA">
      <w:pPr>
        <w:pStyle w:val="ListParagraph"/>
        <w:numPr>
          <w:ilvl w:val="1"/>
          <w:numId w:val="1"/>
        </w:numPr>
        <w:snapToGrid w:val="0"/>
        <w:spacing w:after="0" w:line="240" w:lineRule="auto"/>
        <w:rPr>
          <w:rFonts w:ascii="Times New Roman" w:hAnsi="Times New Roman" w:cs="Times New Roman"/>
          <w:b/>
          <w:sz w:val="20"/>
          <w:szCs w:val="20"/>
        </w:rPr>
      </w:pPr>
      <w:r>
        <w:rPr>
          <w:rStyle w:val="Heading1Char"/>
          <w:rFonts w:ascii="Times New Roman" w:hAnsi="Times New Roman" w:cs="Times New Roman"/>
          <w:color w:val="auto"/>
          <w:sz w:val="20"/>
          <w:szCs w:val="20"/>
        </w:rPr>
        <w:t>Data analysis</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Mean number of live nymph and adult of WMS per ten leaves per tree per treatment were taken and subjected to analysis. The treatment effect on WMS population and mortality were analysed using a general linear model (PROC GLM). Count data of WMS was subjected to square root transformation (√X) and mortality percentages data was subjected to arcsine/angular transformation before analysis to stabilize the variance. Homogeneity of variance of the sample was tested using </w:t>
      </w:r>
      <w:proofErr w:type="spellStart"/>
      <w:r>
        <w:rPr>
          <w:rFonts w:ascii="Times New Roman" w:hAnsi="Times New Roman" w:cs="Times New Roman"/>
          <w:sz w:val="20"/>
          <w:szCs w:val="20"/>
        </w:rPr>
        <w:t>levene’s</w:t>
      </w:r>
      <w:proofErr w:type="spellEnd"/>
      <w:r>
        <w:rPr>
          <w:rFonts w:ascii="Times New Roman" w:hAnsi="Times New Roman" w:cs="Times New Roman"/>
          <w:sz w:val="20"/>
          <w:szCs w:val="20"/>
        </w:rPr>
        <w:t xml:space="preserve"> test before and after data transformation (</w:t>
      </w:r>
      <w:r>
        <w:rPr>
          <w:rFonts w:ascii="Times New Roman" w:hAnsi="Times New Roman" w:cs="Times New Roman"/>
          <w:i/>
          <w:sz w:val="20"/>
          <w:szCs w:val="20"/>
        </w:rPr>
        <w:t>p</w:t>
      </w:r>
      <w:r>
        <w:rPr>
          <w:rFonts w:ascii="Times New Roman" w:hAnsi="Times New Roman" w:cs="Times New Roman"/>
          <w:sz w:val="20"/>
          <w:szCs w:val="20"/>
        </w:rPr>
        <w:t xml:space="preserve"> &gt;.05) (Gomez and Gomez, 1984 and SAS Institute, 2009). The data were reported in the text using the back transformed values.</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Percent reduction in WMS population over control was worked out after each treatment using Abbott’s (1925) formula of mortality correction.</w:t>
      </w:r>
    </w:p>
    <w:p w:rsidR="009C5B70" w:rsidRDefault="006605DA">
      <w:pPr>
        <w:snapToGrid w:val="0"/>
        <w:spacing w:after="0" w:line="240" w:lineRule="auto"/>
        <w:jc w:val="center"/>
        <w:rPr>
          <w:rFonts w:ascii="Times New Roman" w:hAnsi="Times New Roman" w:cs="Times New Roman"/>
          <w:sz w:val="20"/>
          <w:szCs w:val="20"/>
        </w:rPr>
      </w:pPr>
      <m:oMathPara>
        <m:oMath>
          <m:r>
            <m:rPr>
              <m:sty m:val="p"/>
            </m:rPr>
            <w:rPr>
              <w:rFonts w:ascii="Cambria Math" w:hAnsi="Cambria Math" w:cs="Times New Roman"/>
              <w:sz w:val="20"/>
              <w:szCs w:val="20"/>
            </w:rPr>
            <w:lastRenderedPageBreak/>
            <m:t>Mortality correction</m:t>
          </m:r>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f>
                <m:fPr>
                  <m:ctrlPr>
                    <w:rPr>
                      <w:rFonts w:ascii="Cambria Math" w:hAnsi="Cambria Math" w:cs="Times New Roman"/>
                      <w:sz w:val="20"/>
                      <w:szCs w:val="20"/>
                    </w:rPr>
                  </m:ctrlPr>
                </m:fPr>
                <m:num>
                  <m:r>
                    <m:rPr>
                      <m:sty m:val="p"/>
                    </m:rPr>
                    <w:rPr>
                      <w:rFonts w:ascii="Cambria Math" w:hAnsi="Cambria Math" w:cs="Times New Roman"/>
                      <w:sz w:val="20"/>
                      <w:szCs w:val="20"/>
                    </w:rPr>
                    <m:t xml:space="preserve"> n in T after treatment </m:t>
                  </m:r>
                </m:num>
                <m:den>
                  <m:r>
                    <m:rPr>
                      <m:sty m:val="p"/>
                    </m:rPr>
                    <w:rPr>
                      <w:rFonts w:ascii="Cambria Math" w:hAnsi="Cambria Math" w:cs="Times New Roman"/>
                      <w:sz w:val="20"/>
                      <w:szCs w:val="20"/>
                    </w:rPr>
                    <m:t xml:space="preserve">n in Co  after treatment </m:t>
                  </m:r>
                </m:den>
              </m:f>
            </m:e>
          </m:d>
          <m:r>
            <w:rPr>
              <w:rFonts w:ascii="Cambria Math" w:hAnsi="Cambria Math" w:cs="Times New Roman"/>
              <w:sz w:val="20"/>
              <w:szCs w:val="20"/>
            </w:rPr>
            <m:t>*100</m:t>
          </m:r>
        </m:oMath>
      </m:oMathPara>
    </w:p>
    <w:p w:rsidR="009C5B70" w:rsidRDefault="009C5B70">
      <w:pPr>
        <w:snapToGrid w:val="0"/>
        <w:spacing w:after="0" w:line="240" w:lineRule="auto"/>
        <w:jc w:val="both"/>
        <w:rPr>
          <w:rFonts w:ascii="Times New Roman" w:hAnsi="Times New Roman" w:cs="Times New Roman"/>
          <w:sz w:val="20"/>
          <w:szCs w:val="20"/>
        </w:rPr>
      </w:pPr>
    </w:p>
    <w:p w:rsidR="009C5B70" w:rsidRDefault="006605DA">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Where n in T = Population in the treated plot after treatment; n in Co = Population in control after treatment</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treatment effect on average fruit number and yield in Kilo gram per tree per treatment were taken and subjected to analysis by using the methods described by Gomez and Gomez (1984) using a general linear model (PROC GLM). Whenever the F-test was significant, significant means were separated by Fisher’s Least Significant Difference (LSD) at 5% or 1% error level. For two group means </w:t>
      </w:r>
      <w:r>
        <w:rPr>
          <w:rFonts w:ascii="Times New Roman" w:hAnsi="Times New Roman" w:cs="Times New Roman"/>
          <w:i/>
          <w:sz w:val="20"/>
          <w:szCs w:val="20"/>
        </w:rPr>
        <w:t>t</w:t>
      </w:r>
      <w:r>
        <w:rPr>
          <w:rFonts w:ascii="Times New Roman" w:hAnsi="Times New Roman" w:cs="Times New Roman"/>
          <w:sz w:val="20"/>
          <w:szCs w:val="20"/>
        </w:rPr>
        <w:t>-test was used for comparison using PROC TTEST at 5% or 1% error level (Gomez and Gomez, 1984 and SAS Institute, 2009). Microsoft Excel was used for data summary.</w:t>
      </w:r>
    </w:p>
    <w:p w:rsidR="009C5B70" w:rsidRDefault="006605DA">
      <w:pPr>
        <w:pStyle w:val="ListParagraph"/>
        <w:numPr>
          <w:ilvl w:val="1"/>
          <w:numId w:val="1"/>
        </w:numPr>
        <w:snapToGrid w:val="0"/>
        <w:spacing w:after="0" w:line="240" w:lineRule="auto"/>
        <w:rPr>
          <w:rFonts w:ascii="Times New Roman" w:hAnsi="Times New Roman" w:cs="Times New Roman"/>
          <w:b/>
          <w:sz w:val="20"/>
          <w:szCs w:val="20"/>
        </w:rPr>
      </w:pPr>
      <w:r>
        <w:rPr>
          <w:rStyle w:val="Heading2Char"/>
          <w:rFonts w:ascii="Times New Roman" w:hAnsi="Times New Roman" w:cs="Times New Roman"/>
          <w:color w:val="auto"/>
          <w:sz w:val="20"/>
          <w:szCs w:val="20"/>
        </w:rPr>
        <w:t>Cost-benefit analysis</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Cost-benefit analysis using partial budget analysis was subjected to agricultural business (CIMMYT, 1988). Marginal analysis as used within this context is a procedure for calculating marginal rates of return between treatments, proceeding in a stepwise manner from a lower-cost treatment to the next higher-cost treatments, and comparing marginal rates of return to acceptable minimum rates of return. The minimum acceptable rate of return without asking producers what they considered to be a reasonable rate of return, researchers noted that experience and empirical evidence suggest that a rate between 50% and 100% seems adequate. If the technology is new and requires learning new skills, then the upper-bound should be used. In cases where switching technologies simply represents an adjustment, then the lower-bound may be acceptable. An alternative approach to estimating the minimum rate of return is to double the rate of interest charged by the lending institution. In this context as the experiment was new for the recommendation domain, the upper bound 100% was used as minimum rate of return for selecting profitable treatments.</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marginal rate of return was computed as the marginal net benefit (i.e. the change in net benefits) divided by the marginal cost (i.e. the change in costs), expressed as a percentage.</w:t>
      </w:r>
    </w:p>
    <w:p w:rsidR="009C5B70" w:rsidRDefault="006605DA">
      <w:pPr>
        <w:autoSpaceDE w:val="0"/>
        <w:autoSpaceDN w:val="0"/>
        <w:adjustRightInd w:val="0"/>
        <w:snapToGrid w:val="0"/>
        <w:spacing w:after="0" w:line="240" w:lineRule="auto"/>
        <w:jc w:val="both"/>
        <w:rPr>
          <w:rFonts w:ascii="Times New Roman" w:hAnsi="Times New Roman" w:cs="Times New Roman"/>
          <w:sz w:val="20"/>
          <w:szCs w:val="20"/>
        </w:rPr>
      </w:pPr>
      <m:oMathPara>
        <m:oMath>
          <m:r>
            <m:rPr>
              <m:sty m:val="p"/>
            </m:rPr>
            <w:rPr>
              <w:rFonts w:ascii="Cambria Math" w:hAnsi="Cambria Math" w:cs="Times New Roman"/>
              <w:sz w:val="20"/>
              <w:szCs w:val="20"/>
            </w:rPr>
            <m:t>MRR</m:t>
          </m:r>
          <m: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DNI</m:t>
              </m:r>
            </m:num>
            <m:den>
              <m:r>
                <w:rPr>
                  <w:rFonts w:ascii="Cambria Math" w:hAnsi="Cambria Math" w:cs="Times New Roman"/>
                  <w:sz w:val="20"/>
                  <w:szCs w:val="20"/>
                </w:rPr>
                <m:t>DIC</m:t>
              </m:r>
            </m:den>
          </m:f>
        </m:oMath>
      </m:oMathPara>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“net benefits” of different treatments were determined by first calculating the “gross field benefit” and the “total costs that vary” in switching treatments. The gross field benefit for each treatment was obtained by multiplying the “adjusted yield” by the farm gate price. The adjusted yield was represented by a fraction </w:t>
      </w:r>
      <w:r>
        <w:rPr>
          <w:rFonts w:ascii="Times New Roman" w:hAnsi="Times New Roman" w:cs="Times New Roman"/>
          <w:sz w:val="20"/>
          <w:szCs w:val="20"/>
        </w:rPr>
        <w:lastRenderedPageBreak/>
        <w:t xml:space="preserve">of 0.9 of the average marketable yield which obtained under an experimental condition. The farm gate price used in the analysis was the price that the producer receives less any harvesting and marketing costs. The price of mango fruits was based on the average farm gate price of fruit between March and April, obtained from personal communication with mango fruit producers around </w:t>
      </w:r>
      <w:proofErr w:type="spellStart"/>
      <w:r>
        <w:rPr>
          <w:rFonts w:ascii="Times New Roman" w:hAnsi="Times New Roman" w:cs="Times New Roman"/>
          <w:sz w:val="20"/>
          <w:szCs w:val="20"/>
        </w:rPr>
        <w:t>Assosa</w:t>
      </w:r>
      <w:proofErr w:type="spellEnd"/>
      <w:r>
        <w:rPr>
          <w:rFonts w:ascii="Times New Roman" w:hAnsi="Times New Roman" w:cs="Times New Roman"/>
          <w:sz w:val="20"/>
          <w:szCs w:val="20"/>
        </w:rPr>
        <w:t xml:space="preserve"> main market and ‘</w:t>
      </w:r>
      <w:proofErr w:type="spellStart"/>
      <w:r>
        <w:rPr>
          <w:rFonts w:ascii="Times New Roman" w:hAnsi="Times New Roman" w:cs="Times New Roman"/>
          <w:i/>
          <w:sz w:val="20"/>
          <w:szCs w:val="20"/>
        </w:rPr>
        <w:t>Gulit</w:t>
      </w:r>
      <w:proofErr w:type="spellEnd"/>
      <w:r>
        <w:rPr>
          <w:rFonts w:ascii="Times New Roman" w:hAnsi="Times New Roman" w:cs="Times New Roman"/>
          <w:sz w:val="20"/>
          <w:szCs w:val="20"/>
        </w:rPr>
        <w:t>’ which were the nearest market to the experiment site. The total costs that vary for each treatment was computed as the sum of ONLY those costs that were expected to change by using another treatment. The net benefit for a given treatment was then obtained by subtracting the total cost from the gross field benefit. The dominance analysis was done by sorting the treatment sum on the basis of costs from the lowest to the highest, together with their respective net benefit. The conclusion of a marginal analysis was also checked by using the concept of ‘‘residual’’ which was calculated by subtracting the return that farmers require (the minimum rate of return multiplied by the total costs that vary) from the net benefits.</w:t>
      </w:r>
    </w:p>
    <w:p w:rsidR="00BE387E" w:rsidRDefault="00BE387E">
      <w:pPr>
        <w:snapToGrid w:val="0"/>
        <w:spacing w:after="0" w:line="240" w:lineRule="auto"/>
        <w:jc w:val="both"/>
        <w:rPr>
          <w:rFonts w:ascii="Times New Roman" w:hAnsi="Times New Roman" w:cs="Times New Roman"/>
          <w:sz w:val="20"/>
          <w:szCs w:val="20"/>
        </w:rPr>
      </w:pPr>
    </w:p>
    <w:p w:rsidR="009C5B70" w:rsidRDefault="006605DA">
      <w:pPr>
        <w:pStyle w:val="ListParagraph"/>
        <w:numPr>
          <w:ilvl w:val="0"/>
          <w:numId w:val="1"/>
        </w:numPr>
        <w:snapToGrid w:val="0"/>
        <w:spacing w:after="0" w:line="240" w:lineRule="auto"/>
        <w:rPr>
          <w:rFonts w:ascii="Times New Roman" w:hAnsi="Times New Roman" w:cs="Times New Roman"/>
          <w:b/>
          <w:sz w:val="20"/>
          <w:szCs w:val="20"/>
        </w:rPr>
      </w:pPr>
      <w:r>
        <w:rPr>
          <w:rStyle w:val="Heading1Char"/>
          <w:rFonts w:ascii="Times New Roman" w:hAnsi="Times New Roman" w:cs="Times New Roman"/>
          <w:color w:val="auto"/>
          <w:sz w:val="20"/>
          <w:szCs w:val="20"/>
        </w:rPr>
        <w:t>Results</w:t>
      </w:r>
    </w:p>
    <w:p w:rsidR="009C5B70" w:rsidRDefault="006605DA">
      <w:pPr>
        <w:pStyle w:val="ListParagraph"/>
        <w:numPr>
          <w:ilvl w:val="1"/>
          <w:numId w:val="1"/>
        </w:numPr>
        <w:snapToGrid w:val="0"/>
        <w:spacing w:after="0" w:line="240" w:lineRule="auto"/>
        <w:ind w:left="1080" w:hanging="540"/>
        <w:rPr>
          <w:rStyle w:val="Heading2Char"/>
          <w:rFonts w:ascii="Times New Roman" w:hAnsi="Times New Roman" w:cs="Times New Roman"/>
          <w:color w:val="auto"/>
          <w:sz w:val="20"/>
          <w:szCs w:val="20"/>
        </w:rPr>
      </w:pPr>
      <w:r>
        <w:rPr>
          <w:rStyle w:val="Heading2Char"/>
          <w:rFonts w:ascii="Times New Roman" w:hAnsi="Times New Roman" w:cs="Times New Roman"/>
          <w:color w:val="auto"/>
          <w:sz w:val="20"/>
          <w:szCs w:val="20"/>
        </w:rPr>
        <w:t>Effects of treatments on white mango scales population</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pre-treatment observation on WMS population 333.33(18.23) to 370(19.22) per ten leaves per tree, which was statistically insignificant which indicated uniform distribution of the pest among different treatments. The observations were recorded on WMS population with 14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day’s interval of post first, post second and post third spray application (Table 3). </w:t>
      </w:r>
    </w:p>
    <w:p w:rsidR="009C5B70" w:rsidRDefault="006605DA">
      <w:pPr>
        <w:snapToGrid w:val="0"/>
        <w:spacing w:after="0" w:line="240" w:lineRule="auto"/>
        <w:jc w:val="both"/>
        <w:rPr>
          <w:rFonts w:ascii="Times New Roman" w:hAnsi="Times New Roman" w:cs="Times New Roman"/>
          <w:sz w:val="20"/>
          <w:szCs w:val="20"/>
        </w:rPr>
        <w:sectPr w:rsidR="009C5B70">
          <w:type w:val="continuous"/>
          <w:pgSz w:w="12240" w:h="15839"/>
          <w:pgMar w:top="1440" w:right="1440" w:bottom="1440" w:left="1440" w:header="720" w:footer="720" w:gutter="0"/>
          <w:cols w:num="2" w:space="720" w:equalWidth="0">
            <w:col w:w="4467" w:space="425"/>
            <w:col w:w="4467"/>
          </w:cols>
          <w:titlePg/>
          <w:docGrid w:linePitch="360"/>
        </w:sectPr>
      </w:pPr>
      <w:r>
        <w:rPr>
          <w:rFonts w:ascii="Times New Roman" w:hAnsi="Times New Roman" w:cs="Times New Roman"/>
          <w:sz w:val="20"/>
          <w:szCs w:val="20"/>
        </w:rPr>
        <w:t>The data revealed that after first spray mean WMS population ranged from 141.33(11.88) to 407(20.16) per ten leaves per tree in different treatments were highly significantly different (</w:t>
      </w:r>
      <w:r>
        <w:rPr>
          <w:rFonts w:ascii="Times New Roman" w:hAnsi="Times New Roman" w:cs="Times New Roman"/>
          <w:i/>
          <w:sz w:val="20"/>
          <w:szCs w:val="20"/>
        </w:rPr>
        <w:t>F</w:t>
      </w:r>
      <w:r>
        <w:rPr>
          <w:rFonts w:ascii="Times New Roman" w:hAnsi="Times New Roman" w:cs="Times New Roman"/>
          <w:sz w:val="20"/>
          <w:szCs w:val="20"/>
        </w:rPr>
        <w:t xml:space="preserve">= 2 44, </w:t>
      </w:r>
      <w:r>
        <w:rPr>
          <w:rFonts w:ascii="Times New Roman" w:hAnsi="Times New Roman" w:cs="Times New Roman"/>
          <w:i/>
          <w:sz w:val="20"/>
          <w:szCs w:val="20"/>
        </w:rPr>
        <w:t>p</w:t>
      </w:r>
      <w:r>
        <w:rPr>
          <w:rFonts w:ascii="Times New Roman" w:hAnsi="Times New Roman" w:cs="Times New Roman"/>
          <w:sz w:val="20"/>
          <w:szCs w:val="20"/>
        </w:rPr>
        <w:t xml:space="preserve"> &lt; .01). The lowest WMS population were observed in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20SL+pruning treatment 141.33(11.88) compared to other treatments (Figure 2). The comparative WMS population among treatments against WMS at </w:t>
      </w:r>
      <w:proofErr w:type="spellStart"/>
      <w:r>
        <w:rPr>
          <w:rFonts w:ascii="Times New Roman" w:hAnsi="Times New Roman" w:cs="Times New Roman"/>
          <w:sz w:val="20"/>
          <w:szCs w:val="20"/>
        </w:rPr>
        <w:t>fourteenth_day</w:t>
      </w:r>
      <w:proofErr w:type="spellEnd"/>
      <w:r>
        <w:rPr>
          <w:rFonts w:ascii="Times New Roman" w:hAnsi="Times New Roman" w:cs="Times New Roman"/>
          <w:sz w:val="20"/>
          <w:szCs w:val="20"/>
        </w:rPr>
        <w:t xml:space="preserve"> after first spraying found in descending order were untreated Control 407(20.16), Pruning 285.33(16.86), White oil extract 267.67(16.35),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261.33(16.14),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252.67(15.84), White oil extract + pruning 251(15.8),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 pruning 222.67(14.89)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20SL+pruning 141.33(11.88) respectively. All the treatments were significantly different from untreated control. White oil extract + pruning 251(15.8)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252.67(15.84) which were found to be at par with each other. White oil extract 267.67(16.35)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261.33(16.14) which were found to be at par with each other (Table 3). </w:t>
      </w:r>
    </w:p>
    <w:p w:rsidR="009C5B70" w:rsidRDefault="009C5B70">
      <w:pPr>
        <w:snapToGrid w:val="0"/>
        <w:spacing w:after="0" w:line="240" w:lineRule="auto"/>
        <w:jc w:val="both"/>
        <w:rPr>
          <w:rFonts w:ascii="Times New Roman" w:hAnsi="Times New Roman" w:cs="Times New Roman"/>
          <w:sz w:val="20"/>
          <w:szCs w:val="20"/>
        </w:rPr>
      </w:pPr>
    </w:p>
    <w:p w:rsidR="009C5B70" w:rsidRDefault="006605DA">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5522595" cy="34480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5522595" cy="3448050"/>
                    </a:xfrm>
                    <a:prstGeom prst="rect">
                      <a:avLst/>
                    </a:prstGeom>
                  </pic:spPr>
                </pic:pic>
              </a:graphicData>
            </a:graphic>
          </wp:inline>
        </w:drawing>
      </w:r>
    </w:p>
    <w:p w:rsidR="009C5B70" w:rsidRDefault="006605DA">
      <w:pPr>
        <w:pStyle w:val="Caption"/>
        <w:snapToGrid w:val="0"/>
        <w:spacing w:after="0"/>
        <w:jc w:val="center"/>
        <w:rPr>
          <w:rFonts w:ascii="Times New Roman" w:hAnsi="Times New Roman" w:cs="Times New Roman"/>
          <w:b w:val="0"/>
          <w:color w:val="auto"/>
          <w:sz w:val="20"/>
          <w:szCs w:val="20"/>
        </w:rPr>
      </w:pPr>
      <w:r>
        <w:rPr>
          <w:rFonts w:ascii="Times New Roman" w:hAnsi="Times New Roman" w:cs="Times New Roman"/>
          <w:color w:val="auto"/>
          <w:sz w:val="20"/>
          <w:szCs w:val="20"/>
        </w:rPr>
        <w:t xml:space="preserve">Figure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Figure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2</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 xml:space="preserve">Effect of application of treatments on white mango scale A) Untreated Control B) </w:t>
      </w:r>
      <w:proofErr w:type="spellStart"/>
      <w:r>
        <w:rPr>
          <w:rFonts w:ascii="Times New Roman" w:hAnsi="Times New Roman" w:cs="Times New Roman"/>
          <w:b w:val="0"/>
          <w:color w:val="auto"/>
          <w:sz w:val="20"/>
          <w:szCs w:val="20"/>
        </w:rPr>
        <w:t>Imidacloprid</w:t>
      </w:r>
      <w:proofErr w:type="spellEnd"/>
      <w:r>
        <w:rPr>
          <w:rFonts w:ascii="Times New Roman" w:hAnsi="Times New Roman" w:cs="Times New Roman"/>
          <w:b w:val="0"/>
          <w:color w:val="auto"/>
          <w:sz w:val="20"/>
          <w:szCs w:val="20"/>
        </w:rPr>
        <w:t xml:space="preserve"> 20SL+ pruning</w:t>
      </w:r>
    </w:p>
    <w:p w:rsidR="009C5B70" w:rsidRDefault="009C5B70">
      <w:pPr>
        <w:snapToGrid w:val="0"/>
        <w:spacing w:after="0" w:line="240" w:lineRule="auto"/>
      </w:pPr>
    </w:p>
    <w:p w:rsidR="009C5B70" w:rsidRDefault="009C5B70">
      <w:pPr>
        <w:snapToGrid w:val="0"/>
        <w:spacing w:after="0" w:line="240" w:lineRule="auto"/>
        <w:jc w:val="both"/>
        <w:rPr>
          <w:rFonts w:ascii="Times New Roman" w:hAnsi="Times New Roman" w:cs="Times New Roman"/>
          <w:sz w:val="20"/>
          <w:szCs w:val="20"/>
        </w:rPr>
        <w:sectPr w:rsidR="009C5B70">
          <w:type w:val="continuous"/>
          <w:pgSz w:w="12240" w:h="15839"/>
          <w:pgMar w:top="1440" w:right="1440" w:bottom="1440" w:left="1440" w:header="720" w:footer="720" w:gutter="0"/>
          <w:cols w:space="425"/>
          <w:titlePg/>
          <w:docGrid w:linePitch="360"/>
        </w:sectPr>
      </w:pP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The data revealed that after second spray the mean WMS population ranged from 89.33(9.44) to 447.67(21.14) per ten leaves per tree in different treatment were highly significantly different (</w:t>
      </w:r>
      <w:r>
        <w:rPr>
          <w:rFonts w:ascii="Times New Roman" w:hAnsi="Times New Roman" w:cs="Times New Roman"/>
          <w:i/>
          <w:sz w:val="20"/>
          <w:szCs w:val="20"/>
        </w:rPr>
        <w:t>F</w:t>
      </w:r>
      <w:r>
        <w:rPr>
          <w:rFonts w:ascii="Times New Roman" w:hAnsi="Times New Roman" w:cs="Times New Roman"/>
          <w:sz w:val="20"/>
          <w:szCs w:val="20"/>
        </w:rPr>
        <w:t xml:space="preserve">= 68.62, </w:t>
      </w:r>
      <w:r>
        <w:rPr>
          <w:rFonts w:ascii="Times New Roman" w:hAnsi="Times New Roman" w:cs="Times New Roman"/>
          <w:i/>
          <w:sz w:val="20"/>
          <w:szCs w:val="20"/>
        </w:rPr>
        <w:t>p</w:t>
      </w:r>
      <w:r>
        <w:rPr>
          <w:rFonts w:ascii="Times New Roman" w:hAnsi="Times New Roman" w:cs="Times New Roman"/>
          <w:sz w:val="20"/>
          <w:szCs w:val="20"/>
        </w:rPr>
        <w:t xml:space="preserve"> &lt; 0.01). The lowest WMS population was observed in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89.33(9.44) compared to other treatments. The comparative WMS population among treatments at </w:t>
      </w:r>
      <w:proofErr w:type="spellStart"/>
      <w:r>
        <w:rPr>
          <w:rFonts w:ascii="Times New Roman" w:hAnsi="Times New Roman" w:cs="Times New Roman"/>
          <w:sz w:val="20"/>
          <w:szCs w:val="20"/>
        </w:rPr>
        <w:t>fourteenth_day</w:t>
      </w:r>
      <w:proofErr w:type="spellEnd"/>
      <w:r>
        <w:rPr>
          <w:rFonts w:ascii="Times New Roman" w:hAnsi="Times New Roman" w:cs="Times New Roman"/>
          <w:sz w:val="20"/>
          <w:szCs w:val="20"/>
        </w:rPr>
        <w:t xml:space="preserve"> after second spraying found in descending order were Control 447.67(21.14), Pruning 234(15.24), White oil extract 224(14.93),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184.33(13.52),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163(12.63), White oil extract + pruning 161.33(12.58),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 Pruning 138.67(11.68)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pruning 89.33(9.44) respectively. All the treatments were significantly different from untreated control. Pruning 234(15.24) and White oil extract 224(14.93) which were found to be at par with each other.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163(12.63) and White oil extract + Pruning 161.33(12.58) which were found to be at par with each other (Table 3).</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data revealed that after third spray mean WMS population ranged from 24(4.87) to 492.67(22.18) per ten leaves per tree in different treatment were highly significantly different (</w:t>
      </w:r>
      <w:r>
        <w:rPr>
          <w:rFonts w:ascii="Times New Roman" w:hAnsi="Times New Roman" w:cs="Times New Roman"/>
          <w:i/>
          <w:sz w:val="20"/>
          <w:szCs w:val="20"/>
        </w:rPr>
        <w:t>F</w:t>
      </w:r>
      <w:r>
        <w:rPr>
          <w:rFonts w:ascii="Times New Roman" w:hAnsi="Times New Roman" w:cs="Times New Roman"/>
          <w:sz w:val="20"/>
          <w:szCs w:val="20"/>
        </w:rPr>
        <w:t xml:space="preserve"> = 90.81, </w:t>
      </w:r>
      <w:r>
        <w:rPr>
          <w:rFonts w:ascii="Times New Roman" w:hAnsi="Times New Roman" w:cs="Times New Roman"/>
          <w:i/>
          <w:sz w:val="20"/>
          <w:szCs w:val="20"/>
        </w:rPr>
        <w:t>p</w:t>
      </w:r>
      <w:r>
        <w:rPr>
          <w:rFonts w:ascii="Times New Roman" w:hAnsi="Times New Roman" w:cs="Times New Roman"/>
          <w:sz w:val="20"/>
          <w:szCs w:val="20"/>
        </w:rPr>
        <w:t xml:space="preserve"> &lt; .01). The lowest WMS population were observed in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24(4.87) compared to other treatments. The comparative WMS population among treatments at </w:t>
      </w:r>
      <w:proofErr w:type="spellStart"/>
      <w:r>
        <w:rPr>
          <w:rFonts w:ascii="Times New Roman" w:hAnsi="Times New Roman" w:cs="Times New Roman"/>
          <w:sz w:val="20"/>
          <w:szCs w:val="20"/>
        </w:rPr>
        <w:t>fourteenth_day</w:t>
      </w:r>
      <w:proofErr w:type="spellEnd"/>
      <w:r>
        <w:rPr>
          <w:rFonts w:ascii="Times New Roman" w:hAnsi="Times New Roman" w:cs="Times New Roman"/>
          <w:sz w:val="20"/>
          <w:szCs w:val="20"/>
        </w:rPr>
        <w:t xml:space="preserve"> after third spraying found </w:t>
      </w:r>
      <w:r>
        <w:rPr>
          <w:rFonts w:ascii="Times New Roman" w:hAnsi="Times New Roman" w:cs="Times New Roman"/>
          <w:sz w:val="20"/>
          <w:szCs w:val="20"/>
        </w:rPr>
        <w:lastRenderedPageBreak/>
        <w:t xml:space="preserve">in descending order were Control 492.67(22.18), Pruning 187.33(13.52), White oil extract 165.67(12.77),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92(9.44),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74(8.46), White oil extract + pruning 78.67(8.74),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 pruning 66.33(8.013)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24(4.87) respectively. All the treatments were significantly different from untreated control. Pruning 187.33(13.52) and White oil 165.67(12.77) which were found to be at par with each other.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92(9.44),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74(8.46) and White oil extract + Pruning 78.67(8.74) which were found to be at par with each other (Table 3). </w:t>
      </w:r>
    </w:p>
    <w:p w:rsidR="009C5B70" w:rsidRDefault="006605DA">
      <w:pPr>
        <w:snapToGrid w:val="0"/>
        <w:spacing w:after="0" w:line="240" w:lineRule="auto"/>
        <w:jc w:val="both"/>
        <w:rPr>
          <w:rFonts w:ascii="Times New Roman" w:hAnsi="Times New Roman" w:cs="Times New Roman"/>
          <w:sz w:val="20"/>
          <w:szCs w:val="20"/>
        </w:rPr>
        <w:sectPr w:rsidR="009C5B70">
          <w:type w:val="continuous"/>
          <w:pgSz w:w="12240" w:h="15839"/>
          <w:pgMar w:top="1440" w:right="1440" w:bottom="1440" w:left="1440" w:header="720" w:footer="720" w:gutter="0"/>
          <w:cols w:num="2" w:space="720" w:equalWidth="0">
            <w:col w:w="4467" w:space="425"/>
            <w:col w:w="4467"/>
          </w:cols>
          <w:titlePg/>
          <w:docGrid w:linePitch="360"/>
        </w:sectPr>
      </w:pPr>
      <w:r>
        <w:rPr>
          <w:rFonts w:ascii="Times New Roman" w:hAnsi="Times New Roman" w:cs="Times New Roman"/>
          <w:sz w:val="20"/>
          <w:szCs w:val="20"/>
        </w:rPr>
        <w:t>The mean of the three spray data revealed that the mean WMS population ranged from 85(9.21) to 449.33(21.18) per ten leaves per tree in different treatment were highly significantly different (</w:t>
      </w:r>
      <w:r>
        <w:rPr>
          <w:rFonts w:ascii="Times New Roman" w:hAnsi="Times New Roman" w:cs="Times New Roman"/>
          <w:i/>
          <w:sz w:val="20"/>
          <w:szCs w:val="20"/>
        </w:rPr>
        <w:t>F</w:t>
      </w:r>
      <w:r>
        <w:rPr>
          <w:rFonts w:ascii="Times New Roman" w:hAnsi="Times New Roman" w:cs="Times New Roman"/>
          <w:sz w:val="20"/>
          <w:szCs w:val="20"/>
        </w:rPr>
        <w:t xml:space="preserve"> = 98.63, </w:t>
      </w:r>
      <w:r>
        <w:rPr>
          <w:rFonts w:ascii="Times New Roman" w:hAnsi="Times New Roman" w:cs="Times New Roman"/>
          <w:i/>
          <w:sz w:val="20"/>
          <w:szCs w:val="20"/>
        </w:rPr>
        <w:t>p</w:t>
      </w:r>
      <w:r>
        <w:rPr>
          <w:rFonts w:ascii="Times New Roman" w:hAnsi="Times New Roman" w:cs="Times New Roman"/>
          <w:sz w:val="20"/>
          <w:szCs w:val="20"/>
        </w:rPr>
        <w:t xml:space="preserve"> &lt; .01). The lowest WMS population were observed in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85(9.21) compared to other treatments. The comparative WMS population among treatments against white mango scale found in descending order were Control 449.33(21.8), Pruning 235.67(15.28), White oil extract 219.33(14.78),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179.33(13.34),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163.33(12.69), White oil extract + Pruning 163.67(12.72),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 Pruning 142.67(11.89)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85(9.21) respectively. All the treatments were significantly different from untreated control. Pruning 235.67(15.28) and White oil extract 219.33(14.78) </w:t>
      </w:r>
      <w:r>
        <w:rPr>
          <w:rFonts w:ascii="Times New Roman" w:hAnsi="Times New Roman" w:cs="Times New Roman"/>
          <w:sz w:val="20"/>
          <w:szCs w:val="20"/>
        </w:rPr>
        <w:lastRenderedPageBreak/>
        <w:t xml:space="preserve">which were found to be at par with each other.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163.33(12.69) and White oil extract </w:t>
      </w:r>
      <w:r>
        <w:rPr>
          <w:rFonts w:ascii="Times New Roman" w:hAnsi="Times New Roman" w:cs="Times New Roman"/>
          <w:sz w:val="20"/>
          <w:szCs w:val="20"/>
        </w:rPr>
        <w:lastRenderedPageBreak/>
        <w:t>+ Pruning 163.67(12.72) which were found to be at par with each other (Table 3).</w:t>
      </w:r>
    </w:p>
    <w:p w:rsidR="009C5B70" w:rsidRDefault="009C5B70">
      <w:pPr>
        <w:snapToGrid w:val="0"/>
        <w:spacing w:after="0" w:line="240" w:lineRule="auto"/>
        <w:jc w:val="both"/>
        <w:rPr>
          <w:rFonts w:ascii="Times New Roman" w:hAnsi="Times New Roman" w:cs="Times New Roman"/>
          <w:sz w:val="20"/>
          <w:szCs w:val="20"/>
        </w:rPr>
      </w:pPr>
    </w:p>
    <w:p w:rsidR="009C5B70" w:rsidRDefault="006605DA">
      <w:pPr>
        <w:pStyle w:val="Caption"/>
        <w:keepNext/>
        <w:snapToGrid w:val="0"/>
        <w:spacing w:after="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Table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Table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3</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Mean number of white mango scales in the experimental mango orchards</w:t>
      </w:r>
    </w:p>
    <w:tbl>
      <w:tblPr>
        <w:tblW w:w="4865" w:type="pct"/>
        <w:tblLook w:val="04A0" w:firstRow="1" w:lastRow="0" w:firstColumn="1" w:lastColumn="0" w:noHBand="0" w:noVBand="1"/>
      </w:tblPr>
      <w:tblGrid>
        <w:gridCol w:w="2084"/>
        <w:gridCol w:w="1350"/>
        <w:gridCol w:w="1472"/>
        <w:gridCol w:w="1472"/>
        <w:gridCol w:w="1415"/>
        <w:gridCol w:w="1472"/>
      </w:tblGrid>
      <w:tr w:rsidR="009C5B70">
        <w:trPr>
          <w:trHeight w:val="258"/>
        </w:trPr>
        <w:tc>
          <w:tcPr>
            <w:tcW w:w="1145" w:type="pct"/>
            <w:tcBorders>
              <w:top w:val="single" w:sz="4" w:space="0" w:color="auto"/>
              <w:bottom w:val="single" w:sz="4" w:space="0" w:color="auto"/>
            </w:tcBorders>
            <w:shd w:val="clear" w:color="auto" w:fill="auto"/>
            <w:noWrap/>
            <w:vAlign w:val="center"/>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w:t>
            </w:r>
          </w:p>
        </w:tc>
        <w:tc>
          <w:tcPr>
            <w:tcW w:w="3854" w:type="pct"/>
            <w:gridSpan w:val="5"/>
            <w:tcBorders>
              <w:top w:val="single" w:sz="4" w:space="0" w:color="auto"/>
              <w:bottom w:val="single" w:sz="4" w:space="0" w:color="auto"/>
            </w:tcBorders>
            <w:shd w:val="clear" w:color="auto" w:fill="auto"/>
            <w:noWrap/>
            <w:vAlign w:val="center"/>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Mean</w:t>
            </w:r>
          </w:p>
        </w:tc>
      </w:tr>
      <w:tr w:rsidR="009C5B70">
        <w:trPr>
          <w:trHeight w:val="305"/>
        </w:trPr>
        <w:tc>
          <w:tcPr>
            <w:tcW w:w="1145" w:type="pct"/>
            <w:tcBorders>
              <w:top w:val="single" w:sz="4" w:space="0" w:color="auto"/>
              <w:bottom w:val="single" w:sz="4" w:space="0" w:color="auto"/>
            </w:tcBorders>
            <w:shd w:val="clear" w:color="auto" w:fill="auto"/>
            <w:noWrap/>
            <w:vAlign w:val="center"/>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Treatment</w:t>
            </w:r>
          </w:p>
        </w:tc>
        <w:tc>
          <w:tcPr>
            <w:tcW w:w="722" w:type="pct"/>
            <w:tcBorders>
              <w:top w:val="single" w:sz="4" w:space="0" w:color="auto"/>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PrT</w:t>
            </w:r>
            <w:proofErr w:type="spellEnd"/>
          </w:p>
        </w:tc>
        <w:tc>
          <w:tcPr>
            <w:tcW w:w="787" w:type="pct"/>
            <w:tcBorders>
              <w:top w:val="single" w:sz="4" w:space="0" w:color="auto"/>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PFS</w:t>
            </w:r>
          </w:p>
        </w:tc>
        <w:tc>
          <w:tcPr>
            <w:tcW w:w="787" w:type="pct"/>
            <w:tcBorders>
              <w:top w:val="single" w:sz="4" w:space="0" w:color="auto"/>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PSS</w:t>
            </w:r>
          </w:p>
        </w:tc>
        <w:tc>
          <w:tcPr>
            <w:tcW w:w="757" w:type="pct"/>
            <w:tcBorders>
              <w:top w:val="single" w:sz="4" w:space="0" w:color="auto"/>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PTS</w:t>
            </w:r>
          </w:p>
        </w:tc>
        <w:tc>
          <w:tcPr>
            <w:tcW w:w="798" w:type="pct"/>
            <w:tcBorders>
              <w:top w:val="single" w:sz="4" w:space="0" w:color="auto"/>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MS</w:t>
            </w:r>
          </w:p>
        </w:tc>
      </w:tr>
      <w:tr w:rsidR="009C5B70">
        <w:trPr>
          <w:trHeight w:val="305"/>
        </w:trPr>
        <w:tc>
          <w:tcPr>
            <w:tcW w:w="1145"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Control</w:t>
            </w:r>
          </w:p>
        </w:tc>
        <w:tc>
          <w:tcPr>
            <w:tcW w:w="722"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370(19.22)</w:t>
            </w:r>
          </w:p>
        </w:tc>
        <w:tc>
          <w:tcPr>
            <w:tcW w:w="787"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407(20.16)</w:t>
            </w:r>
            <w:r>
              <w:rPr>
                <w:rFonts w:ascii="Times New Roman" w:eastAsia="Times New Roman" w:hAnsi="Times New Roman" w:cs="Times New Roman"/>
                <w:sz w:val="20"/>
                <w:szCs w:val="20"/>
                <w:vertAlign w:val="superscript"/>
                <w:lang w:eastAsia="en-GB"/>
              </w:rPr>
              <w:t>a</w:t>
            </w:r>
          </w:p>
        </w:tc>
        <w:tc>
          <w:tcPr>
            <w:tcW w:w="787"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447.67(21.14)</w:t>
            </w:r>
            <w:r>
              <w:rPr>
                <w:rFonts w:ascii="Times New Roman" w:eastAsia="Times New Roman" w:hAnsi="Times New Roman" w:cs="Times New Roman"/>
                <w:sz w:val="20"/>
                <w:szCs w:val="20"/>
                <w:vertAlign w:val="superscript"/>
                <w:lang w:eastAsia="en-GB"/>
              </w:rPr>
              <w:t>a</w:t>
            </w:r>
          </w:p>
        </w:tc>
        <w:tc>
          <w:tcPr>
            <w:tcW w:w="757"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492.67(22.18)</w:t>
            </w:r>
            <w:r>
              <w:rPr>
                <w:rFonts w:ascii="Times New Roman" w:eastAsia="Times New Roman" w:hAnsi="Times New Roman" w:cs="Times New Roman"/>
                <w:sz w:val="20"/>
                <w:szCs w:val="20"/>
                <w:vertAlign w:val="superscript"/>
                <w:lang w:eastAsia="en-GB"/>
              </w:rPr>
              <w:t>a</w:t>
            </w:r>
          </w:p>
        </w:tc>
        <w:tc>
          <w:tcPr>
            <w:tcW w:w="798"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449.33(21.18)</w:t>
            </w:r>
            <w:r>
              <w:rPr>
                <w:rFonts w:ascii="Times New Roman" w:eastAsia="Times New Roman" w:hAnsi="Times New Roman" w:cs="Times New Roman"/>
                <w:sz w:val="20"/>
                <w:szCs w:val="20"/>
                <w:vertAlign w:val="superscript"/>
                <w:lang w:eastAsia="en-GB"/>
              </w:rPr>
              <w:t>a</w:t>
            </w:r>
          </w:p>
        </w:tc>
      </w:tr>
      <w:tr w:rsidR="009C5B70">
        <w:trPr>
          <w:trHeight w:val="297"/>
        </w:trPr>
        <w:tc>
          <w:tcPr>
            <w:tcW w:w="1145"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Pruning</w:t>
            </w:r>
          </w:p>
        </w:tc>
        <w:tc>
          <w:tcPr>
            <w:tcW w:w="722"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348.33(18.64)</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285.33(16.86)</w:t>
            </w:r>
            <w:r>
              <w:rPr>
                <w:rFonts w:ascii="Times New Roman" w:eastAsia="Times New Roman" w:hAnsi="Times New Roman" w:cs="Times New Roman"/>
                <w:sz w:val="20"/>
                <w:szCs w:val="20"/>
                <w:vertAlign w:val="superscript"/>
                <w:lang w:eastAsia="en-GB"/>
              </w:rPr>
              <w:t>b</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234(15.24)</w:t>
            </w:r>
            <w:r>
              <w:rPr>
                <w:rFonts w:ascii="Times New Roman" w:eastAsia="Times New Roman" w:hAnsi="Times New Roman" w:cs="Times New Roman"/>
                <w:sz w:val="20"/>
                <w:szCs w:val="20"/>
                <w:vertAlign w:val="superscript"/>
                <w:lang w:eastAsia="en-GB"/>
              </w:rPr>
              <w:t>b</w:t>
            </w:r>
          </w:p>
        </w:tc>
        <w:tc>
          <w:tcPr>
            <w:tcW w:w="75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187.33(13.52)</w:t>
            </w:r>
            <w:r>
              <w:rPr>
                <w:rFonts w:ascii="Times New Roman" w:eastAsia="Times New Roman" w:hAnsi="Times New Roman" w:cs="Times New Roman"/>
                <w:sz w:val="20"/>
                <w:szCs w:val="20"/>
                <w:vertAlign w:val="superscript"/>
                <w:lang w:eastAsia="en-GB"/>
              </w:rPr>
              <w:t>b</w:t>
            </w:r>
          </w:p>
        </w:tc>
        <w:tc>
          <w:tcPr>
            <w:tcW w:w="798"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235.67(15.28)</w:t>
            </w:r>
            <w:r>
              <w:rPr>
                <w:rFonts w:ascii="Times New Roman" w:eastAsia="Times New Roman" w:hAnsi="Times New Roman" w:cs="Times New Roman"/>
                <w:sz w:val="20"/>
                <w:szCs w:val="20"/>
                <w:vertAlign w:val="superscript"/>
                <w:lang w:eastAsia="en-GB"/>
              </w:rPr>
              <w:t>b</w:t>
            </w:r>
          </w:p>
        </w:tc>
      </w:tr>
      <w:tr w:rsidR="009C5B70">
        <w:trPr>
          <w:trHeight w:val="297"/>
        </w:trPr>
        <w:tc>
          <w:tcPr>
            <w:tcW w:w="1145"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 extract</w:t>
            </w:r>
          </w:p>
        </w:tc>
        <w:tc>
          <w:tcPr>
            <w:tcW w:w="722"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355(18.84) </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267.67(16.35)</w:t>
            </w:r>
            <w:proofErr w:type="spellStart"/>
            <w:r>
              <w:rPr>
                <w:rFonts w:ascii="Times New Roman" w:eastAsia="Times New Roman" w:hAnsi="Times New Roman" w:cs="Times New Roman"/>
                <w:sz w:val="20"/>
                <w:szCs w:val="20"/>
                <w:vertAlign w:val="superscript"/>
                <w:lang w:eastAsia="en-GB"/>
              </w:rPr>
              <w:t>bc</w:t>
            </w:r>
            <w:proofErr w:type="spellEnd"/>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224(14.93)</w:t>
            </w:r>
            <w:r>
              <w:rPr>
                <w:rFonts w:ascii="Times New Roman" w:eastAsia="Times New Roman" w:hAnsi="Times New Roman" w:cs="Times New Roman"/>
                <w:sz w:val="20"/>
                <w:szCs w:val="20"/>
                <w:vertAlign w:val="superscript"/>
                <w:lang w:eastAsia="en-GB"/>
              </w:rPr>
              <w:t>b</w:t>
            </w:r>
          </w:p>
        </w:tc>
        <w:tc>
          <w:tcPr>
            <w:tcW w:w="75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165.67(12.77)</w:t>
            </w:r>
            <w:r>
              <w:rPr>
                <w:rFonts w:ascii="Times New Roman" w:eastAsia="Times New Roman" w:hAnsi="Times New Roman" w:cs="Times New Roman"/>
                <w:sz w:val="20"/>
                <w:szCs w:val="20"/>
                <w:vertAlign w:val="superscript"/>
                <w:lang w:eastAsia="en-GB"/>
              </w:rPr>
              <w:t>b</w:t>
            </w:r>
          </w:p>
        </w:tc>
        <w:tc>
          <w:tcPr>
            <w:tcW w:w="798"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219.33(14.78)</w:t>
            </w:r>
            <w:r>
              <w:rPr>
                <w:rFonts w:ascii="Times New Roman" w:eastAsia="Times New Roman" w:hAnsi="Times New Roman" w:cs="Times New Roman"/>
                <w:sz w:val="20"/>
                <w:szCs w:val="20"/>
                <w:vertAlign w:val="superscript"/>
                <w:lang w:eastAsia="en-GB"/>
              </w:rPr>
              <w:t>b</w:t>
            </w:r>
          </w:p>
        </w:tc>
      </w:tr>
      <w:tr w:rsidR="009C5B70">
        <w:trPr>
          <w:trHeight w:val="297"/>
        </w:trPr>
        <w:tc>
          <w:tcPr>
            <w:tcW w:w="1145"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p>
        </w:tc>
        <w:tc>
          <w:tcPr>
            <w:tcW w:w="722"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333.33(18.23) </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261.33(16.14)</w:t>
            </w:r>
            <w:proofErr w:type="spellStart"/>
            <w:r>
              <w:rPr>
                <w:rFonts w:ascii="Times New Roman" w:eastAsia="Times New Roman" w:hAnsi="Times New Roman" w:cs="Times New Roman"/>
                <w:sz w:val="20"/>
                <w:szCs w:val="20"/>
                <w:vertAlign w:val="superscript"/>
                <w:lang w:eastAsia="en-GB"/>
              </w:rPr>
              <w:t>bc</w:t>
            </w:r>
            <w:proofErr w:type="spellEnd"/>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184.33(13.52)</w:t>
            </w:r>
            <w:r>
              <w:rPr>
                <w:rFonts w:ascii="Times New Roman" w:eastAsia="Times New Roman" w:hAnsi="Times New Roman" w:cs="Times New Roman"/>
                <w:sz w:val="20"/>
                <w:szCs w:val="20"/>
                <w:vertAlign w:val="superscript"/>
                <w:lang w:eastAsia="en-GB"/>
              </w:rPr>
              <w:t>c</w:t>
            </w:r>
          </w:p>
        </w:tc>
        <w:tc>
          <w:tcPr>
            <w:tcW w:w="75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92(9.44)</w:t>
            </w:r>
            <w:r>
              <w:rPr>
                <w:rFonts w:ascii="Times New Roman" w:eastAsia="Times New Roman" w:hAnsi="Times New Roman" w:cs="Times New Roman"/>
                <w:sz w:val="20"/>
                <w:szCs w:val="20"/>
                <w:vertAlign w:val="superscript"/>
                <w:lang w:eastAsia="en-GB"/>
              </w:rPr>
              <w:t>c</w:t>
            </w:r>
          </w:p>
        </w:tc>
        <w:tc>
          <w:tcPr>
            <w:tcW w:w="798"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179.33(13.34)</w:t>
            </w:r>
            <w:r>
              <w:rPr>
                <w:rFonts w:ascii="Times New Roman" w:eastAsia="Times New Roman" w:hAnsi="Times New Roman" w:cs="Times New Roman"/>
                <w:sz w:val="20"/>
                <w:szCs w:val="20"/>
                <w:vertAlign w:val="superscript"/>
                <w:lang w:eastAsia="en-GB"/>
              </w:rPr>
              <w:t>c</w:t>
            </w:r>
          </w:p>
        </w:tc>
      </w:tr>
      <w:tr w:rsidR="009C5B70">
        <w:trPr>
          <w:trHeight w:val="297"/>
        </w:trPr>
        <w:tc>
          <w:tcPr>
            <w:tcW w:w="1145"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p>
        </w:tc>
        <w:tc>
          <w:tcPr>
            <w:tcW w:w="722"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340(18.41) </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252.67(15.84)</w:t>
            </w:r>
            <w:r>
              <w:rPr>
                <w:rFonts w:ascii="Times New Roman" w:eastAsia="Times New Roman" w:hAnsi="Times New Roman" w:cs="Times New Roman"/>
                <w:sz w:val="20"/>
                <w:szCs w:val="20"/>
                <w:vertAlign w:val="superscript"/>
                <w:lang w:eastAsia="en-GB"/>
              </w:rPr>
              <w:t>c</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163(12.63)</w:t>
            </w:r>
            <w:r>
              <w:rPr>
                <w:rFonts w:ascii="Times New Roman" w:eastAsia="Times New Roman" w:hAnsi="Times New Roman" w:cs="Times New Roman"/>
                <w:sz w:val="20"/>
                <w:szCs w:val="20"/>
                <w:vertAlign w:val="superscript"/>
                <w:lang w:eastAsia="en-GB"/>
              </w:rPr>
              <w:t>cd</w:t>
            </w:r>
          </w:p>
        </w:tc>
        <w:tc>
          <w:tcPr>
            <w:tcW w:w="75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74(8.46)</w:t>
            </w:r>
            <w:r>
              <w:rPr>
                <w:rFonts w:ascii="Times New Roman" w:eastAsia="Times New Roman" w:hAnsi="Times New Roman" w:cs="Times New Roman"/>
                <w:sz w:val="20"/>
                <w:szCs w:val="20"/>
                <w:vertAlign w:val="superscript"/>
                <w:lang w:eastAsia="en-GB"/>
              </w:rPr>
              <w:t>c</w:t>
            </w:r>
          </w:p>
        </w:tc>
        <w:tc>
          <w:tcPr>
            <w:tcW w:w="798"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163.33(12.69)</w:t>
            </w:r>
            <w:r>
              <w:rPr>
                <w:rFonts w:ascii="Times New Roman" w:eastAsia="Times New Roman" w:hAnsi="Times New Roman" w:cs="Times New Roman"/>
                <w:sz w:val="20"/>
                <w:szCs w:val="20"/>
                <w:vertAlign w:val="superscript"/>
                <w:lang w:eastAsia="en-GB"/>
              </w:rPr>
              <w:t>cd</w:t>
            </w:r>
          </w:p>
        </w:tc>
      </w:tr>
      <w:tr w:rsidR="009C5B70">
        <w:trPr>
          <w:trHeight w:val="297"/>
        </w:trPr>
        <w:tc>
          <w:tcPr>
            <w:tcW w:w="1145"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 + pruning</w:t>
            </w:r>
          </w:p>
        </w:tc>
        <w:tc>
          <w:tcPr>
            <w:tcW w:w="722"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358.33(18.9)</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251(15.8)</w:t>
            </w:r>
            <w:r>
              <w:rPr>
                <w:rFonts w:ascii="Times New Roman" w:eastAsia="Times New Roman" w:hAnsi="Times New Roman" w:cs="Times New Roman"/>
                <w:sz w:val="20"/>
                <w:szCs w:val="20"/>
                <w:vertAlign w:val="superscript"/>
                <w:lang w:eastAsia="en-GB"/>
              </w:rPr>
              <w:t>c</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161.33(12.58)</w:t>
            </w:r>
            <w:r>
              <w:rPr>
                <w:rFonts w:ascii="Times New Roman" w:eastAsia="Times New Roman" w:hAnsi="Times New Roman" w:cs="Times New Roman"/>
                <w:sz w:val="20"/>
                <w:szCs w:val="20"/>
                <w:vertAlign w:val="superscript"/>
                <w:lang w:eastAsia="en-GB"/>
              </w:rPr>
              <w:t>cd</w:t>
            </w:r>
          </w:p>
        </w:tc>
        <w:tc>
          <w:tcPr>
            <w:tcW w:w="75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78.67(8.74)</w:t>
            </w:r>
            <w:r>
              <w:rPr>
                <w:rFonts w:ascii="Times New Roman" w:eastAsia="Times New Roman" w:hAnsi="Times New Roman" w:cs="Times New Roman"/>
                <w:sz w:val="20"/>
                <w:szCs w:val="20"/>
                <w:vertAlign w:val="superscript"/>
                <w:lang w:eastAsia="en-GB"/>
              </w:rPr>
              <w:t>c</w:t>
            </w:r>
          </w:p>
        </w:tc>
        <w:tc>
          <w:tcPr>
            <w:tcW w:w="798"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163.67(12.72)</w:t>
            </w:r>
            <w:r>
              <w:rPr>
                <w:rFonts w:ascii="Times New Roman" w:eastAsia="Times New Roman" w:hAnsi="Times New Roman" w:cs="Times New Roman"/>
                <w:sz w:val="20"/>
                <w:szCs w:val="20"/>
                <w:vertAlign w:val="superscript"/>
                <w:lang w:eastAsia="en-GB"/>
              </w:rPr>
              <w:t>cd</w:t>
            </w:r>
          </w:p>
        </w:tc>
      </w:tr>
      <w:tr w:rsidR="009C5B70">
        <w:trPr>
          <w:trHeight w:val="297"/>
        </w:trPr>
        <w:tc>
          <w:tcPr>
            <w:tcW w:w="1145"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r>
              <w:rPr>
                <w:rFonts w:ascii="Times New Roman" w:eastAsia="Times New Roman" w:hAnsi="Times New Roman" w:cs="Times New Roman"/>
                <w:sz w:val="20"/>
                <w:szCs w:val="20"/>
                <w:lang w:eastAsia="en-GB"/>
              </w:rPr>
              <w:t>+ pruning</w:t>
            </w:r>
          </w:p>
        </w:tc>
        <w:tc>
          <w:tcPr>
            <w:tcW w:w="722"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351.67(18.72)</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222.67(14.89)</w:t>
            </w:r>
            <w:r>
              <w:rPr>
                <w:rFonts w:ascii="Times New Roman" w:eastAsia="Times New Roman" w:hAnsi="Times New Roman" w:cs="Times New Roman"/>
                <w:sz w:val="20"/>
                <w:szCs w:val="20"/>
                <w:vertAlign w:val="superscript"/>
                <w:lang w:eastAsia="en-GB"/>
              </w:rPr>
              <w:t>d</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138.67(11.68)</w:t>
            </w:r>
            <w:r>
              <w:rPr>
                <w:rFonts w:ascii="Times New Roman" w:eastAsia="Times New Roman" w:hAnsi="Times New Roman" w:cs="Times New Roman"/>
                <w:sz w:val="20"/>
                <w:szCs w:val="20"/>
                <w:vertAlign w:val="superscript"/>
                <w:lang w:eastAsia="en-GB"/>
              </w:rPr>
              <w:t>d</w:t>
            </w:r>
          </w:p>
        </w:tc>
        <w:tc>
          <w:tcPr>
            <w:tcW w:w="75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66.33(8.013)</w:t>
            </w:r>
            <w:r>
              <w:rPr>
                <w:rFonts w:ascii="Times New Roman" w:eastAsia="Times New Roman" w:hAnsi="Times New Roman" w:cs="Times New Roman"/>
                <w:sz w:val="20"/>
                <w:szCs w:val="20"/>
                <w:vertAlign w:val="superscript"/>
                <w:lang w:eastAsia="en-GB"/>
              </w:rPr>
              <w:t>cd</w:t>
            </w:r>
          </w:p>
        </w:tc>
        <w:tc>
          <w:tcPr>
            <w:tcW w:w="798"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142.67(11.89)</w:t>
            </w:r>
            <w:r>
              <w:rPr>
                <w:rFonts w:ascii="Times New Roman" w:eastAsia="Times New Roman" w:hAnsi="Times New Roman" w:cs="Times New Roman"/>
                <w:sz w:val="20"/>
                <w:szCs w:val="20"/>
                <w:vertAlign w:val="superscript"/>
                <w:lang w:eastAsia="en-GB"/>
              </w:rPr>
              <w:t>d</w:t>
            </w:r>
          </w:p>
        </w:tc>
      </w:tr>
      <w:tr w:rsidR="009C5B70">
        <w:trPr>
          <w:trHeight w:val="297"/>
        </w:trPr>
        <w:tc>
          <w:tcPr>
            <w:tcW w:w="1145"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r>
              <w:rPr>
                <w:rFonts w:ascii="Times New Roman" w:eastAsia="Times New Roman" w:hAnsi="Times New Roman" w:cs="Times New Roman"/>
                <w:sz w:val="20"/>
                <w:szCs w:val="20"/>
                <w:lang w:eastAsia="en-GB"/>
              </w:rPr>
              <w:t xml:space="preserve"> + pruning</w:t>
            </w:r>
          </w:p>
        </w:tc>
        <w:tc>
          <w:tcPr>
            <w:tcW w:w="722"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353.33(18.78) </w:t>
            </w:r>
          </w:p>
        </w:tc>
        <w:tc>
          <w:tcPr>
            <w:tcW w:w="787"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141.33(11.88)</w:t>
            </w:r>
            <w:r>
              <w:rPr>
                <w:rFonts w:ascii="Times New Roman" w:eastAsia="Times New Roman" w:hAnsi="Times New Roman" w:cs="Times New Roman"/>
                <w:sz w:val="20"/>
                <w:szCs w:val="20"/>
                <w:vertAlign w:val="superscript"/>
                <w:lang w:eastAsia="en-GB"/>
              </w:rPr>
              <w:t>e</w:t>
            </w:r>
          </w:p>
        </w:tc>
        <w:tc>
          <w:tcPr>
            <w:tcW w:w="787"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89.33(9.44)</w:t>
            </w:r>
            <w:r>
              <w:rPr>
                <w:rFonts w:ascii="Times New Roman" w:eastAsia="Times New Roman" w:hAnsi="Times New Roman" w:cs="Times New Roman"/>
                <w:sz w:val="20"/>
                <w:szCs w:val="20"/>
                <w:vertAlign w:val="superscript"/>
                <w:lang w:eastAsia="en-GB"/>
              </w:rPr>
              <w:t>e</w:t>
            </w:r>
          </w:p>
        </w:tc>
        <w:tc>
          <w:tcPr>
            <w:tcW w:w="757"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24(4.87)</w:t>
            </w:r>
            <w:r>
              <w:rPr>
                <w:rFonts w:ascii="Times New Roman" w:eastAsia="Times New Roman" w:hAnsi="Times New Roman" w:cs="Times New Roman"/>
                <w:sz w:val="20"/>
                <w:szCs w:val="20"/>
                <w:vertAlign w:val="superscript"/>
                <w:lang w:eastAsia="en-GB"/>
              </w:rPr>
              <w:t>d</w:t>
            </w:r>
          </w:p>
        </w:tc>
        <w:tc>
          <w:tcPr>
            <w:tcW w:w="798"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85(9.21)</w:t>
            </w:r>
            <w:r>
              <w:rPr>
                <w:rFonts w:ascii="Times New Roman" w:eastAsia="Times New Roman" w:hAnsi="Times New Roman" w:cs="Times New Roman"/>
                <w:sz w:val="20"/>
                <w:szCs w:val="20"/>
                <w:vertAlign w:val="superscript"/>
                <w:lang w:eastAsia="en-GB"/>
              </w:rPr>
              <w:t>e</w:t>
            </w:r>
          </w:p>
        </w:tc>
      </w:tr>
      <w:tr w:rsidR="009C5B70">
        <w:trPr>
          <w:trHeight w:val="258"/>
        </w:trPr>
        <w:tc>
          <w:tcPr>
            <w:tcW w:w="1145" w:type="pct"/>
            <w:tcBorders>
              <w:top w:val="single" w:sz="4" w:space="0" w:color="auto"/>
              <w:left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Mean</w:t>
            </w:r>
          </w:p>
        </w:tc>
        <w:tc>
          <w:tcPr>
            <w:tcW w:w="722"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351.3(18.7)</w:t>
            </w:r>
          </w:p>
        </w:tc>
        <w:tc>
          <w:tcPr>
            <w:tcW w:w="787"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261.1(15.99)</w:t>
            </w:r>
          </w:p>
        </w:tc>
        <w:tc>
          <w:tcPr>
            <w:tcW w:w="787"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205.3(13.9)</w:t>
            </w:r>
          </w:p>
        </w:tc>
        <w:tc>
          <w:tcPr>
            <w:tcW w:w="757"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147.6(10.99)</w:t>
            </w:r>
          </w:p>
        </w:tc>
        <w:tc>
          <w:tcPr>
            <w:tcW w:w="798" w:type="pct"/>
            <w:tcBorders>
              <w:top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204.8(13.89)</w:t>
            </w:r>
          </w:p>
        </w:tc>
      </w:tr>
      <w:tr w:rsidR="009C5B70">
        <w:trPr>
          <w:trHeight w:val="250"/>
        </w:trPr>
        <w:tc>
          <w:tcPr>
            <w:tcW w:w="1145" w:type="pct"/>
            <w:tcBorders>
              <w:top w:val="nil"/>
              <w:left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SE</w:t>
            </w:r>
            <w:r>
              <w:rPr>
                <w:rFonts w:ascii="Times New Roman" w:eastAsia="Times New Roman" w:hAnsi="Times New Roman" w:cs="Times New Roman"/>
                <w:sz w:val="20"/>
                <w:szCs w:val="20"/>
                <w:vertAlign w:val="subscript"/>
                <w:lang w:eastAsia="en-GB"/>
              </w:rPr>
              <w:t>m</w:t>
            </w:r>
            <w:proofErr w:type="spellEnd"/>
          </w:p>
        </w:tc>
        <w:tc>
          <w:tcPr>
            <w:tcW w:w="722"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4.4(0.11)</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5.8(0.17)</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6.8(0.25)</w:t>
            </w:r>
          </w:p>
        </w:tc>
        <w:tc>
          <w:tcPr>
            <w:tcW w:w="75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9.2(0.34)</w:t>
            </w:r>
          </w:p>
        </w:tc>
        <w:tc>
          <w:tcPr>
            <w:tcW w:w="798"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6.4(0.21)</w:t>
            </w:r>
          </w:p>
        </w:tc>
      </w:tr>
      <w:tr w:rsidR="009C5B70">
        <w:trPr>
          <w:trHeight w:val="250"/>
        </w:trPr>
        <w:tc>
          <w:tcPr>
            <w:tcW w:w="1145" w:type="pct"/>
            <w:tcBorders>
              <w:top w:val="nil"/>
              <w:left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LSD</w:t>
            </w:r>
          </w:p>
        </w:tc>
        <w:tc>
          <w:tcPr>
            <w:tcW w:w="722"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21.8(059)</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28.7(0.85)</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33.46(1.27)</w:t>
            </w:r>
          </w:p>
        </w:tc>
        <w:tc>
          <w:tcPr>
            <w:tcW w:w="75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45.44(1.68)</w:t>
            </w:r>
          </w:p>
        </w:tc>
        <w:tc>
          <w:tcPr>
            <w:tcW w:w="798"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31.77(1.064)</w:t>
            </w:r>
          </w:p>
        </w:tc>
      </w:tr>
      <w:tr w:rsidR="009C5B70">
        <w:trPr>
          <w:trHeight w:val="250"/>
        </w:trPr>
        <w:tc>
          <w:tcPr>
            <w:tcW w:w="1145" w:type="pct"/>
            <w:tcBorders>
              <w:top w:val="nil"/>
              <w:left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CV%</w:t>
            </w:r>
          </w:p>
        </w:tc>
        <w:tc>
          <w:tcPr>
            <w:tcW w:w="722"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3.53(1.79)</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6.28(3.044)</w:t>
            </w:r>
          </w:p>
        </w:tc>
        <w:tc>
          <w:tcPr>
            <w:tcW w:w="78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9.31(5.199)</w:t>
            </w:r>
          </w:p>
        </w:tc>
        <w:tc>
          <w:tcPr>
            <w:tcW w:w="757"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17.58(8.72)</w:t>
            </w:r>
          </w:p>
        </w:tc>
        <w:tc>
          <w:tcPr>
            <w:tcW w:w="798" w:type="pct"/>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8.86(4.37)</w:t>
            </w:r>
          </w:p>
        </w:tc>
      </w:tr>
      <w:tr w:rsidR="009C5B70">
        <w:trPr>
          <w:trHeight w:val="250"/>
        </w:trPr>
        <w:tc>
          <w:tcPr>
            <w:tcW w:w="1145" w:type="pct"/>
            <w:tcBorders>
              <w:left w:val="nil"/>
              <w:bottom w:val="single" w:sz="4" w:space="0" w:color="auto"/>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Sign.difference</w:t>
            </w:r>
            <w:proofErr w:type="spellEnd"/>
          </w:p>
        </w:tc>
        <w:tc>
          <w:tcPr>
            <w:tcW w:w="722"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ns</w:t>
            </w:r>
          </w:p>
        </w:tc>
        <w:tc>
          <w:tcPr>
            <w:tcW w:w="787"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787"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757"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798" w:type="pct"/>
            <w:tcBorders>
              <w:bottom w:val="single" w:sz="4" w:space="0" w:color="auto"/>
            </w:tcBorders>
            <w:shd w:val="clear" w:color="auto" w:fill="auto"/>
            <w:noWrap/>
            <w:vAlign w:val="center"/>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9C5B70">
        <w:trPr>
          <w:trHeight w:val="917"/>
        </w:trPr>
        <w:tc>
          <w:tcPr>
            <w:tcW w:w="5000" w:type="pct"/>
            <w:gridSpan w:val="6"/>
            <w:tcBorders>
              <w:top w:val="single" w:sz="4" w:space="0" w:color="auto"/>
            </w:tcBorders>
            <w:shd w:val="clear" w:color="auto" w:fill="auto"/>
            <w:vAlign w:val="bottom"/>
          </w:tcPr>
          <w:p w:rsidR="009C5B70" w:rsidRDefault="006605DA">
            <w:pPr>
              <w:autoSpaceDE w:val="0"/>
              <w:autoSpaceDN w:val="0"/>
              <w:adjustRightInd w:val="0"/>
              <w:snapToGrid w:val="0"/>
              <w:spacing w:after="0" w:line="240" w:lineRule="auto"/>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 xml:space="preserve">Values given in parenthesis are </w:t>
            </w:r>
            <w:r>
              <w:rPr>
                <w:rFonts w:ascii="Times New Roman" w:hAnsi="Times New Roman" w:cs="Times New Roman"/>
                <w:sz w:val="20"/>
                <w:szCs w:val="20"/>
              </w:rPr>
              <w:t>square root transformed values</w:t>
            </w:r>
            <w:r>
              <w:rPr>
                <w:rFonts w:ascii="Times New Roman" w:eastAsiaTheme="minorEastAsia" w:hAnsi="Times New Roman" w:cs="Times New Roman"/>
                <w:sz w:val="20"/>
                <w:szCs w:val="20"/>
                <w:lang w:val="en-US"/>
              </w:rPr>
              <w:t xml:space="preserve">; </w:t>
            </w:r>
            <w:r>
              <w:rPr>
                <w:rFonts w:ascii="Times New Roman" w:hAnsi="Times New Roman" w:cs="Times New Roman"/>
                <w:sz w:val="20"/>
                <w:szCs w:val="20"/>
              </w:rPr>
              <w:t xml:space="preserve">Values in each column of the same letter are not significantly different; </w:t>
            </w:r>
            <w:proofErr w:type="spellStart"/>
            <w:r>
              <w:rPr>
                <w:rFonts w:ascii="Times New Roman" w:eastAsia="Times New Roman" w:hAnsi="Times New Roman" w:cs="Times New Roman"/>
                <w:sz w:val="20"/>
                <w:szCs w:val="20"/>
                <w:lang w:eastAsia="en-GB"/>
              </w:rPr>
              <w:t>SE</w:t>
            </w:r>
            <w:r>
              <w:rPr>
                <w:rFonts w:ascii="Times New Roman" w:eastAsia="Times New Roman" w:hAnsi="Times New Roman" w:cs="Times New Roman"/>
                <w:sz w:val="20"/>
                <w:szCs w:val="20"/>
                <w:vertAlign w:val="subscript"/>
                <w:lang w:eastAsia="en-GB"/>
              </w:rPr>
              <w:t>m</w:t>
            </w:r>
            <w:proofErr w:type="spellEnd"/>
            <w:r>
              <w:rPr>
                <w:rFonts w:ascii="Times New Roman" w:eastAsia="Times New Roman" w:hAnsi="Times New Roman" w:cs="Times New Roman"/>
                <w:sz w:val="20"/>
                <w:szCs w:val="20"/>
                <w:lang w:eastAsia="en-GB"/>
              </w:rPr>
              <w:t>=</w:t>
            </w:r>
            <w:r>
              <w:rPr>
                <w:rFonts w:ascii="Times New Roman" w:eastAsiaTheme="minorEastAsia" w:hAnsi="Times New Roman" w:cs="Times New Roman"/>
                <w:sz w:val="20"/>
                <w:szCs w:val="20"/>
                <w:lang w:val="en-US"/>
              </w:rPr>
              <w:t xml:space="preserve"> </w:t>
            </w:r>
            <w:r>
              <w:rPr>
                <w:rFonts w:ascii="Times New Roman" w:hAnsi="Times New Roman" w:cs="Times New Roman"/>
                <w:sz w:val="20"/>
                <w:szCs w:val="20"/>
              </w:rPr>
              <w:t>Standard error of mean</w:t>
            </w:r>
            <w:r>
              <w:rPr>
                <w:rFonts w:ascii="Times New Roman" w:eastAsia="Times New Roman" w:hAnsi="Times New Roman" w:cs="Times New Roman"/>
                <w:sz w:val="20"/>
                <w:szCs w:val="20"/>
                <w:lang w:eastAsia="en-GB"/>
              </w:rPr>
              <w:t>;</w:t>
            </w:r>
            <w:r>
              <w:rPr>
                <w:rFonts w:ascii="Times New Roman" w:hAnsi="Times New Roman" w:cs="Times New Roman"/>
                <w:sz w:val="20"/>
                <w:szCs w:val="20"/>
              </w:rPr>
              <w:t xml:space="preserve"> LSD=</w:t>
            </w:r>
            <w:r>
              <w:rPr>
                <w:rFonts w:ascii="Times New Roman" w:eastAsiaTheme="minorEastAsia" w:hAnsi="Times New Roman" w:cs="Times New Roman"/>
                <w:sz w:val="20"/>
                <w:szCs w:val="20"/>
                <w:lang w:val="en-US"/>
              </w:rPr>
              <w:t xml:space="preserve">Least Significant Difference; </w:t>
            </w:r>
            <w:r>
              <w:rPr>
                <w:rFonts w:ascii="Times New Roman" w:eastAsia="Times New Roman" w:hAnsi="Times New Roman" w:cs="Times New Roman"/>
                <w:sz w:val="20"/>
                <w:szCs w:val="20"/>
                <w:lang w:val="en-US" w:eastAsia="en-GB"/>
              </w:rPr>
              <w:t>CV=</w:t>
            </w:r>
            <w:r>
              <w:rPr>
                <w:rFonts w:ascii="Times New Roman" w:hAnsi="Times New Roman" w:cs="Times New Roman"/>
                <w:bCs/>
                <w:sz w:val="20"/>
                <w:szCs w:val="20"/>
              </w:rPr>
              <w:t>Coefficient of Variation;</w:t>
            </w:r>
            <w:r>
              <w:rPr>
                <w:rFonts w:ascii="Times New Roman" w:eastAsiaTheme="minorEastAsia" w:hAnsi="Times New Roman" w:cs="Times New Roman"/>
                <w:sz w:val="20"/>
                <w:szCs w:val="20"/>
                <w:lang w:val="en-US"/>
              </w:rPr>
              <w:t xml:space="preserve"> </w:t>
            </w:r>
            <w:r>
              <w:rPr>
                <w:rFonts w:ascii="Times New Roman" w:hAnsi="Times New Roman" w:cs="Times New Roman"/>
                <w:sz w:val="20"/>
                <w:szCs w:val="20"/>
              </w:rPr>
              <w:t>* significant at P &lt; .05; ** significant at .01</w:t>
            </w:r>
            <w:r>
              <w:rPr>
                <w:rFonts w:ascii="Times New Roman" w:eastAsia="Times New Roman" w:hAnsi="Times New Roman" w:cs="Times New Roman"/>
                <w:sz w:val="20"/>
                <w:szCs w:val="20"/>
                <w:lang w:val="en-US" w:eastAsia="en-GB"/>
              </w:rPr>
              <w:t xml:space="preserve">; </w:t>
            </w:r>
            <w:r>
              <w:rPr>
                <w:rFonts w:ascii="Times New Roman" w:hAnsi="Times New Roman" w:cs="Times New Roman"/>
                <w:sz w:val="20"/>
                <w:szCs w:val="20"/>
              </w:rPr>
              <w:t>ns=</w:t>
            </w:r>
            <w:proofErr w:type="spellStart"/>
            <w:r>
              <w:rPr>
                <w:rFonts w:ascii="Times New Roman" w:hAnsi="Times New Roman" w:cs="Times New Roman"/>
                <w:sz w:val="20"/>
                <w:szCs w:val="20"/>
              </w:rPr>
              <w:t>Non_significant</w:t>
            </w:r>
            <w:proofErr w:type="spellEnd"/>
            <w:r>
              <w:rPr>
                <w:rFonts w:ascii="Times New Roman" w:hAnsi="Times New Roman" w:cs="Times New Roman"/>
                <w:sz w:val="20"/>
                <w:szCs w:val="20"/>
              </w:rPr>
              <w:t>;</w:t>
            </w:r>
            <w:r>
              <w:rPr>
                <w:rFonts w:ascii="Times New Roman" w:eastAsiaTheme="minorEastAsia" w:hAnsi="Times New Roman" w:cs="Times New Roman"/>
                <w:sz w:val="20"/>
                <w:szCs w:val="20"/>
                <w:lang w:val="en-US"/>
              </w:rPr>
              <w:t xml:space="preserve"> </w:t>
            </w:r>
            <w:proofErr w:type="spellStart"/>
            <w:r>
              <w:rPr>
                <w:rFonts w:ascii="Times New Roman" w:eastAsia="Times New Roman" w:hAnsi="Times New Roman" w:cs="Times New Roman"/>
                <w:sz w:val="20"/>
                <w:szCs w:val="20"/>
                <w:lang w:eastAsia="en-GB"/>
              </w:rPr>
              <w:t>PrT</w:t>
            </w:r>
            <w:proofErr w:type="spellEnd"/>
            <w:r>
              <w:rPr>
                <w:rFonts w:ascii="Times New Roman" w:eastAsia="Times New Roman" w:hAnsi="Times New Roman" w:cs="Times New Roman"/>
                <w:sz w:val="20"/>
                <w:szCs w:val="20"/>
                <w:lang w:eastAsia="en-GB"/>
              </w:rPr>
              <w:t>=</w:t>
            </w:r>
            <w:proofErr w:type="spellStart"/>
            <w:r>
              <w:rPr>
                <w:rFonts w:ascii="Times New Roman" w:eastAsia="Times New Roman" w:hAnsi="Times New Roman" w:cs="Times New Roman"/>
                <w:sz w:val="20"/>
                <w:szCs w:val="20"/>
                <w:lang w:eastAsia="en-GB"/>
              </w:rPr>
              <w:t>Pre_Treatment</w:t>
            </w:r>
            <w:proofErr w:type="spellEnd"/>
            <w:r>
              <w:rPr>
                <w:rFonts w:ascii="Times New Roman" w:eastAsia="Times New Roman" w:hAnsi="Times New Roman" w:cs="Times New Roman"/>
                <w:sz w:val="20"/>
                <w:szCs w:val="20"/>
                <w:lang w:eastAsia="en-GB"/>
              </w:rPr>
              <w:t xml:space="preserve"> </w:t>
            </w:r>
            <w:r>
              <w:rPr>
                <w:rFonts w:ascii="Times New Roman" w:hAnsi="Times New Roman" w:cs="Times New Roman"/>
                <w:sz w:val="20"/>
                <w:szCs w:val="20"/>
              </w:rPr>
              <w:t>WMS</w:t>
            </w:r>
            <w:r>
              <w:rPr>
                <w:rFonts w:ascii="Times New Roman" w:eastAsia="Times New Roman" w:hAnsi="Times New Roman" w:cs="Times New Roman"/>
                <w:sz w:val="20"/>
                <w:szCs w:val="20"/>
                <w:lang w:eastAsia="en-GB"/>
              </w:rPr>
              <w:t xml:space="preserve"> count/10 leaves,  PFS=Post First Spray </w:t>
            </w:r>
            <w:r>
              <w:rPr>
                <w:rFonts w:ascii="Times New Roman" w:hAnsi="Times New Roman" w:cs="Times New Roman"/>
                <w:sz w:val="20"/>
                <w:szCs w:val="20"/>
              </w:rPr>
              <w:t>WMS</w:t>
            </w:r>
            <w:r>
              <w:rPr>
                <w:rFonts w:ascii="Times New Roman" w:eastAsia="Times New Roman" w:hAnsi="Times New Roman" w:cs="Times New Roman"/>
                <w:sz w:val="20"/>
                <w:szCs w:val="20"/>
                <w:lang w:eastAsia="en-GB"/>
              </w:rPr>
              <w:t xml:space="preserve"> count/10 leaves, PSS=Post Second Spray WMS count/10 leaves, PTS=Post Third Spray WMS count/10 leaves, MS=mean WMS count/10 leaves after all spray</w:t>
            </w:r>
          </w:p>
        </w:tc>
      </w:tr>
    </w:tbl>
    <w:p w:rsidR="009C5B70" w:rsidRDefault="009C5B70">
      <w:pPr>
        <w:snapToGrid w:val="0"/>
        <w:spacing w:after="0" w:line="240" w:lineRule="auto"/>
        <w:jc w:val="both"/>
        <w:rPr>
          <w:rFonts w:ascii="Times New Roman" w:hAnsi="Times New Roman" w:cs="Times New Roman"/>
          <w:sz w:val="20"/>
          <w:szCs w:val="20"/>
        </w:rPr>
      </w:pPr>
    </w:p>
    <w:p w:rsidR="009C5B70" w:rsidRDefault="009C5B70">
      <w:pPr>
        <w:pStyle w:val="Heading2"/>
        <w:numPr>
          <w:ilvl w:val="1"/>
          <w:numId w:val="1"/>
        </w:numPr>
        <w:tabs>
          <w:tab w:val="left" w:pos="810"/>
        </w:tabs>
        <w:snapToGrid w:val="0"/>
        <w:spacing w:before="0" w:line="240" w:lineRule="auto"/>
        <w:rPr>
          <w:rFonts w:ascii="Times New Roman" w:hAnsi="Times New Roman" w:cs="Times New Roman"/>
          <w:color w:val="auto"/>
          <w:sz w:val="20"/>
          <w:szCs w:val="20"/>
        </w:rPr>
        <w:sectPr w:rsidR="009C5B70">
          <w:type w:val="continuous"/>
          <w:pgSz w:w="12240" w:h="15839"/>
          <w:pgMar w:top="1440" w:right="1440" w:bottom="1440" w:left="1440" w:header="720" w:footer="720" w:gutter="0"/>
          <w:cols w:space="425"/>
          <w:titlePg/>
          <w:docGrid w:linePitch="360"/>
        </w:sectPr>
      </w:pPr>
    </w:p>
    <w:p w:rsidR="009C5B70" w:rsidRDefault="006605DA">
      <w:pPr>
        <w:pStyle w:val="Heading2"/>
        <w:numPr>
          <w:ilvl w:val="1"/>
          <w:numId w:val="1"/>
        </w:numPr>
        <w:tabs>
          <w:tab w:val="left" w:pos="810"/>
        </w:tabs>
        <w:snapToGrid w:val="0"/>
        <w:spacing w:before="0" w:line="240" w:lineRule="auto"/>
        <w:rPr>
          <w:rFonts w:ascii="Times New Roman" w:hAnsi="Times New Roman" w:cs="Times New Roman"/>
          <w:color w:val="auto"/>
          <w:sz w:val="20"/>
          <w:szCs w:val="20"/>
        </w:rPr>
      </w:pPr>
      <w:r>
        <w:rPr>
          <w:rFonts w:ascii="Times New Roman" w:hAnsi="Times New Roman" w:cs="Times New Roman"/>
          <w:color w:val="auto"/>
          <w:sz w:val="20"/>
          <w:szCs w:val="20"/>
        </w:rPr>
        <w:lastRenderedPageBreak/>
        <w:t>Effects of treatments on white mango scales mortality</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WMS mortality percentage over control was worked out after each treatment using Abbott’s (1925) formula of mortality correction (Table 4). The mortality percentage of WMS fourteen days after the first application was highly significantly different among treatments (</w:t>
      </w:r>
      <w:r>
        <w:rPr>
          <w:rFonts w:ascii="Times New Roman" w:hAnsi="Times New Roman" w:cs="Times New Roman"/>
          <w:i/>
          <w:sz w:val="20"/>
          <w:szCs w:val="20"/>
        </w:rPr>
        <w:t>F</w:t>
      </w:r>
      <w:r>
        <w:rPr>
          <w:rFonts w:ascii="Times New Roman" w:hAnsi="Times New Roman" w:cs="Times New Roman"/>
          <w:sz w:val="20"/>
          <w:szCs w:val="20"/>
        </w:rPr>
        <w:t xml:space="preserve"> = 136, </w:t>
      </w:r>
      <w:r>
        <w:rPr>
          <w:rFonts w:ascii="Times New Roman" w:hAnsi="Times New Roman" w:cs="Times New Roman"/>
          <w:i/>
          <w:sz w:val="20"/>
          <w:szCs w:val="20"/>
        </w:rPr>
        <w:t>p</w:t>
      </w:r>
      <w:r>
        <w:rPr>
          <w:rFonts w:ascii="Times New Roman" w:hAnsi="Times New Roman" w:cs="Times New Roman"/>
          <w:sz w:val="20"/>
          <w:szCs w:val="20"/>
        </w:rPr>
        <w:t xml:space="preserve"> &lt;0.01). The highest mortality percentage was observed in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pruning treatment 65(53.73) compared to other treatments. The comparative mortality percentage among treatments in descending order were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65(53.73),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45.33(42.27), White oil extract + pruning 38.67(38.42),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38.33(38.18),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36(36.9), White oil extract 34(35.5), Pruning 30.33(33.3) and Control 0(0.33) respectively. All the treatments were significantly different from untreated control.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45.33(42.27) and White oil extract + pruning 38.67(38.42) which was found to be at par with each other.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36(36.9) and White oil extract 34(35.5) which were found to be at par with each other.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mortality percentage of WMS </w:t>
      </w:r>
      <w:proofErr w:type="spellStart"/>
      <w:r>
        <w:rPr>
          <w:rFonts w:ascii="Times New Roman" w:hAnsi="Times New Roman" w:cs="Times New Roman"/>
          <w:sz w:val="20"/>
          <w:szCs w:val="20"/>
        </w:rPr>
        <w:t>fourteen_days</w:t>
      </w:r>
      <w:proofErr w:type="spellEnd"/>
      <w:r>
        <w:rPr>
          <w:rFonts w:ascii="Times New Roman" w:hAnsi="Times New Roman" w:cs="Times New Roman"/>
          <w:sz w:val="20"/>
          <w:szCs w:val="20"/>
        </w:rPr>
        <w:t xml:space="preserve"> after the second application were highly significantly different among treatments (</w:t>
      </w:r>
      <w:r>
        <w:rPr>
          <w:rFonts w:ascii="Times New Roman" w:hAnsi="Times New Roman" w:cs="Times New Roman"/>
          <w:i/>
          <w:sz w:val="20"/>
          <w:szCs w:val="20"/>
        </w:rPr>
        <w:t>F</w:t>
      </w:r>
      <w:r>
        <w:rPr>
          <w:rFonts w:ascii="Times New Roman" w:hAnsi="Times New Roman" w:cs="Times New Roman"/>
          <w:sz w:val="20"/>
          <w:szCs w:val="20"/>
        </w:rPr>
        <w:t xml:space="preserve">= 167, </w:t>
      </w:r>
      <w:r>
        <w:rPr>
          <w:rFonts w:ascii="Times New Roman" w:hAnsi="Times New Roman" w:cs="Times New Roman"/>
          <w:i/>
          <w:sz w:val="20"/>
          <w:szCs w:val="20"/>
        </w:rPr>
        <w:t>p</w:t>
      </w:r>
      <w:r>
        <w:rPr>
          <w:rFonts w:ascii="Times New Roman" w:hAnsi="Times New Roman" w:cs="Times New Roman"/>
          <w:sz w:val="20"/>
          <w:szCs w:val="20"/>
        </w:rPr>
        <w:t xml:space="preserve"> &lt; .01). The highest mortality percentage was observed in </w:t>
      </w:r>
      <w:proofErr w:type="spellStart"/>
      <w:r>
        <w:rPr>
          <w:rFonts w:ascii="Times New Roman" w:hAnsi="Times New Roman" w:cs="Times New Roman"/>
          <w:sz w:val="20"/>
          <w:szCs w:val="20"/>
        </w:rPr>
        <w:lastRenderedPageBreak/>
        <w:t>Imidacloprid</w:t>
      </w:r>
      <w:proofErr w:type="spellEnd"/>
      <w:r>
        <w:rPr>
          <w:rFonts w:ascii="Times New Roman" w:hAnsi="Times New Roman" w:cs="Times New Roman"/>
          <w:sz w:val="20"/>
          <w:szCs w:val="20"/>
        </w:rPr>
        <w:t xml:space="preserve"> 20SL + pruning treatment 80(63.44) compared to other treatments. The comparative mortality percentage among treatments in descending order were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80(63.44),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pruning 69(56.3),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64(53.1), White oil extract + pruning 64(53.3),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59(50.2), White oil extract 50(45.0), Pruning 47.67(43.7) and Control 0(0.33) respectively. All the treatments were significantly different from untreated control.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64(53.1) and White oil extract + pruning 64(53.3) which were found to be at par with each other. White oil extract 50(45.0) and Pruning 47.67(43.7) which were found to be at par with each other.</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mortality percentage of WMS </w:t>
      </w:r>
      <w:proofErr w:type="spellStart"/>
      <w:r>
        <w:rPr>
          <w:rFonts w:ascii="Times New Roman" w:hAnsi="Times New Roman" w:cs="Times New Roman"/>
          <w:sz w:val="20"/>
          <w:szCs w:val="20"/>
        </w:rPr>
        <w:t>fourteen_days</w:t>
      </w:r>
      <w:proofErr w:type="spellEnd"/>
      <w:r>
        <w:rPr>
          <w:rFonts w:ascii="Times New Roman" w:hAnsi="Times New Roman" w:cs="Times New Roman"/>
          <w:sz w:val="20"/>
          <w:szCs w:val="20"/>
        </w:rPr>
        <w:t xml:space="preserve"> after the third application were highly significantly different among treatments (</w:t>
      </w:r>
      <w:r>
        <w:rPr>
          <w:rFonts w:ascii="Times New Roman" w:hAnsi="Times New Roman" w:cs="Times New Roman"/>
          <w:i/>
          <w:sz w:val="20"/>
          <w:szCs w:val="20"/>
        </w:rPr>
        <w:t>F</w:t>
      </w:r>
      <w:r>
        <w:rPr>
          <w:rFonts w:ascii="Times New Roman" w:hAnsi="Times New Roman" w:cs="Times New Roman"/>
          <w:sz w:val="20"/>
          <w:szCs w:val="20"/>
        </w:rPr>
        <w:tab/>
        <w:t xml:space="preserve">= 168.1, </w:t>
      </w:r>
      <w:r>
        <w:rPr>
          <w:rFonts w:ascii="Times New Roman" w:hAnsi="Times New Roman" w:cs="Times New Roman"/>
          <w:i/>
          <w:sz w:val="20"/>
          <w:szCs w:val="20"/>
        </w:rPr>
        <w:t>p</w:t>
      </w:r>
      <w:r>
        <w:rPr>
          <w:rFonts w:ascii="Times New Roman" w:hAnsi="Times New Roman" w:cs="Times New Roman"/>
          <w:sz w:val="20"/>
          <w:szCs w:val="20"/>
        </w:rPr>
        <w:t xml:space="preserve"> &lt; .01). The highest mortality percentage was observed in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95(77.12) compared to other treatments. The comparative mortality percentage among treatments in descending order were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95(77.12),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87(69.1),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85.33(67.7), White oil + pruning 84.67(67.1),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81.67(64.9), White oil extract 66(54.5), Pruning 62.33(52.4) and Control 0(0.33) respectively. All the treatments were significantly </w:t>
      </w:r>
      <w:r>
        <w:rPr>
          <w:rFonts w:ascii="Times New Roman" w:hAnsi="Times New Roman" w:cs="Times New Roman"/>
          <w:sz w:val="20"/>
          <w:szCs w:val="20"/>
        </w:rPr>
        <w:lastRenderedPageBreak/>
        <w:t xml:space="preserve">different from untreated control.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87(69.1),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85.33(67.7), White oil extract + pruning 84.67(67.1)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81.67(64.9) which were found to be at par with each other. White oil extract 66(54.5) and Pruning 62.33(52.4) which were found to be at par with each other. </w:t>
      </w:r>
    </w:p>
    <w:p w:rsidR="009C5B70" w:rsidRDefault="006605DA">
      <w:pPr>
        <w:snapToGrid w:val="0"/>
        <w:spacing w:after="0" w:line="240" w:lineRule="auto"/>
        <w:jc w:val="both"/>
        <w:rPr>
          <w:rFonts w:ascii="Times New Roman" w:hAnsi="Times New Roman" w:cs="Times New Roman"/>
          <w:sz w:val="20"/>
          <w:szCs w:val="20"/>
        </w:rPr>
        <w:sectPr w:rsidR="009C5B70">
          <w:type w:val="continuous"/>
          <w:pgSz w:w="12240" w:h="15839"/>
          <w:pgMar w:top="1440" w:right="1440" w:bottom="1440" w:left="1440" w:header="720" w:footer="720" w:gutter="0"/>
          <w:cols w:num="2" w:space="720" w:equalWidth="0">
            <w:col w:w="4467" w:space="425"/>
            <w:col w:w="4467"/>
          </w:cols>
          <w:titlePg/>
          <w:docGrid w:linePitch="360"/>
        </w:sectPr>
      </w:pPr>
      <w:r>
        <w:rPr>
          <w:rFonts w:ascii="Times New Roman" w:hAnsi="Times New Roman" w:cs="Times New Roman"/>
          <w:sz w:val="20"/>
          <w:szCs w:val="20"/>
        </w:rPr>
        <w:t xml:space="preserve">Mortality percentages of WMS showed a progressive increase from first spray to third spray application for all </w:t>
      </w:r>
      <w:r>
        <w:rPr>
          <w:rFonts w:ascii="Times New Roman" w:hAnsi="Times New Roman" w:cs="Times New Roman"/>
          <w:sz w:val="20"/>
          <w:szCs w:val="20"/>
        </w:rPr>
        <w:lastRenderedPageBreak/>
        <w:t xml:space="preserve">treatments compared to untreated control. The progressive increase of mortality percentage of each treatments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White oil extract + pruning,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White oil extract and Pruning were 65 to 95, 45.33 to 87, 38.33 to 85.33, 38.67 to 84.67, 36 to 81.67, 34 to 66 and 30.33 to 62.33 respectively.</w:t>
      </w:r>
    </w:p>
    <w:p w:rsidR="009C5B70" w:rsidRDefault="009C5B70">
      <w:pPr>
        <w:snapToGrid w:val="0"/>
        <w:spacing w:after="0" w:line="240" w:lineRule="auto"/>
        <w:jc w:val="both"/>
        <w:rPr>
          <w:rFonts w:ascii="Times New Roman" w:hAnsi="Times New Roman" w:cs="Times New Roman"/>
          <w:sz w:val="20"/>
          <w:szCs w:val="20"/>
        </w:rPr>
      </w:pPr>
    </w:p>
    <w:p w:rsidR="009C5B70" w:rsidRDefault="006605DA">
      <w:pPr>
        <w:pStyle w:val="Caption"/>
        <w:keepNext/>
        <w:snapToGrid w:val="0"/>
        <w:spacing w:after="0"/>
        <w:ind w:left="864" w:hanging="864"/>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Table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Table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4</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Mortality percentage of white mango scales in response of treatments in the experimental mango orchards</w:t>
      </w:r>
    </w:p>
    <w:tbl>
      <w:tblPr>
        <w:tblW w:w="4991" w:type="pct"/>
        <w:tblLook w:val="04A0" w:firstRow="1" w:lastRow="0" w:firstColumn="1" w:lastColumn="0" w:noHBand="0" w:noVBand="1"/>
      </w:tblPr>
      <w:tblGrid>
        <w:gridCol w:w="2566"/>
        <w:gridCol w:w="2266"/>
        <w:gridCol w:w="2419"/>
        <w:gridCol w:w="2109"/>
      </w:tblGrid>
      <w:tr w:rsidR="009C5B70">
        <w:trPr>
          <w:trHeight w:val="199"/>
        </w:trPr>
        <w:tc>
          <w:tcPr>
            <w:tcW w:w="1378"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w:t>
            </w:r>
          </w:p>
        </w:tc>
        <w:tc>
          <w:tcPr>
            <w:tcW w:w="3621" w:type="pct"/>
            <w:gridSpan w:val="3"/>
            <w:tcBorders>
              <w:top w:val="single" w:sz="4" w:space="0" w:color="auto"/>
              <w:left w:val="nil"/>
              <w:bottom w:val="single" w:sz="4" w:space="0" w:color="auto"/>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Mean</w:t>
            </w:r>
          </w:p>
        </w:tc>
      </w:tr>
      <w:tr w:rsidR="009C5B70">
        <w:trPr>
          <w:trHeight w:val="301"/>
        </w:trPr>
        <w:tc>
          <w:tcPr>
            <w:tcW w:w="137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Treatment</w:t>
            </w:r>
          </w:p>
        </w:tc>
        <w:tc>
          <w:tcPr>
            <w:tcW w:w="120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hAnsi="Times New Roman" w:cs="Times New Roman"/>
                <w:sz w:val="20"/>
                <w:szCs w:val="20"/>
              </w:rPr>
              <w:t>First spray mortality %</w:t>
            </w:r>
          </w:p>
        </w:tc>
        <w:tc>
          <w:tcPr>
            <w:tcW w:w="129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hAnsi="Times New Roman" w:cs="Times New Roman"/>
                <w:sz w:val="20"/>
                <w:szCs w:val="20"/>
              </w:rPr>
              <w:t>Second spray mortality %</w:t>
            </w:r>
          </w:p>
        </w:tc>
        <w:tc>
          <w:tcPr>
            <w:tcW w:w="111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hAnsi="Times New Roman" w:cs="Times New Roman"/>
                <w:sz w:val="20"/>
                <w:szCs w:val="20"/>
              </w:rPr>
              <w:t xml:space="preserve">Third spray mortality %  </w:t>
            </w:r>
          </w:p>
        </w:tc>
      </w:tr>
      <w:tr w:rsidR="009C5B70">
        <w:trPr>
          <w:trHeight w:val="199"/>
        </w:trPr>
        <w:tc>
          <w:tcPr>
            <w:tcW w:w="137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r>
              <w:rPr>
                <w:rFonts w:ascii="Times New Roman" w:eastAsia="Times New Roman" w:hAnsi="Times New Roman" w:cs="Times New Roman"/>
                <w:sz w:val="20"/>
                <w:szCs w:val="20"/>
                <w:lang w:eastAsia="en-GB"/>
              </w:rPr>
              <w:t xml:space="preserve"> + Pruning</w:t>
            </w:r>
          </w:p>
        </w:tc>
        <w:tc>
          <w:tcPr>
            <w:tcW w:w="12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65(53.73)</w:t>
            </w:r>
            <w:r>
              <w:rPr>
                <w:rFonts w:ascii="Times New Roman" w:eastAsia="Times New Roman" w:hAnsi="Times New Roman" w:cs="Times New Roman"/>
                <w:sz w:val="20"/>
                <w:szCs w:val="20"/>
                <w:vertAlign w:val="superscript"/>
                <w:lang w:eastAsia="en-GB"/>
              </w:rPr>
              <w:t>a</w:t>
            </w:r>
          </w:p>
        </w:tc>
        <w:tc>
          <w:tcPr>
            <w:tcW w:w="129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80(63.44)</w:t>
            </w:r>
            <w:r>
              <w:rPr>
                <w:rFonts w:ascii="Times New Roman" w:eastAsia="Times New Roman" w:hAnsi="Times New Roman" w:cs="Times New Roman"/>
                <w:sz w:val="20"/>
                <w:szCs w:val="20"/>
                <w:vertAlign w:val="superscript"/>
                <w:lang w:eastAsia="en-GB"/>
              </w:rPr>
              <w:t>a</w:t>
            </w:r>
          </w:p>
        </w:tc>
        <w:tc>
          <w:tcPr>
            <w:tcW w:w="111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95(77.12)</w:t>
            </w:r>
            <w:r>
              <w:rPr>
                <w:rFonts w:ascii="Times New Roman" w:eastAsia="Times New Roman" w:hAnsi="Times New Roman" w:cs="Times New Roman"/>
                <w:sz w:val="20"/>
                <w:szCs w:val="20"/>
                <w:vertAlign w:val="superscript"/>
                <w:lang w:eastAsia="en-GB"/>
              </w:rPr>
              <w:t>a</w:t>
            </w:r>
          </w:p>
        </w:tc>
      </w:tr>
      <w:tr w:rsidR="009C5B70">
        <w:trPr>
          <w:trHeight w:val="193"/>
        </w:trPr>
        <w:tc>
          <w:tcPr>
            <w:tcW w:w="137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r>
              <w:rPr>
                <w:rFonts w:ascii="Times New Roman" w:eastAsia="Times New Roman" w:hAnsi="Times New Roman" w:cs="Times New Roman"/>
                <w:sz w:val="20"/>
                <w:szCs w:val="20"/>
                <w:lang w:eastAsia="en-GB"/>
              </w:rPr>
              <w:t xml:space="preserve"> + Pruning</w:t>
            </w:r>
          </w:p>
        </w:tc>
        <w:tc>
          <w:tcPr>
            <w:tcW w:w="12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45.33(42.27)</w:t>
            </w:r>
            <w:r>
              <w:rPr>
                <w:rFonts w:ascii="Times New Roman" w:eastAsia="Times New Roman" w:hAnsi="Times New Roman" w:cs="Times New Roman"/>
                <w:sz w:val="20"/>
                <w:szCs w:val="20"/>
                <w:vertAlign w:val="superscript"/>
                <w:lang w:eastAsia="en-GB"/>
              </w:rPr>
              <w:t>b</w:t>
            </w:r>
          </w:p>
        </w:tc>
        <w:tc>
          <w:tcPr>
            <w:tcW w:w="129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69(56.3)</w:t>
            </w:r>
            <w:r>
              <w:rPr>
                <w:rFonts w:ascii="Times New Roman" w:eastAsia="Times New Roman" w:hAnsi="Times New Roman" w:cs="Times New Roman"/>
                <w:sz w:val="20"/>
                <w:szCs w:val="20"/>
                <w:vertAlign w:val="superscript"/>
                <w:lang w:eastAsia="en-GB"/>
              </w:rPr>
              <w:t>b</w:t>
            </w:r>
          </w:p>
        </w:tc>
        <w:tc>
          <w:tcPr>
            <w:tcW w:w="111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87(69.1)</w:t>
            </w:r>
            <w:r>
              <w:rPr>
                <w:rFonts w:ascii="Times New Roman" w:eastAsia="Times New Roman" w:hAnsi="Times New Roman" w:cs="Times New Roman"/>
                <w:sz w:val="20"/>
                <w:szCs w:val="20"/>
                <w:vertAlign w:val="superscript"/>
                <w:lang w:eastAsia="en-GB"/>
              </w:rPr>
              <w:t>b</w:t>
            </w:r>
          </w:p>
        </w:tc>
      </w:tr>
      <w:tr w:rsidR="009C5B70">
        <w:trPr>
          <w:trHeight w:val="193"/>
        </w:trPr>
        <w:tc>
          <w:tcPr>
            <w:tcW w:w="137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p>
        </w:tc>
        <w:tc>
          <w:tcPr>
            <w:tcW w:w="12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38.33(38.18)</w:t>
            </w:r>
            <w:r>
              <w:rPr>
                <w:rFonts w:ascii="Times New Roman" w:eastAsia="Times New Roman" w:hAnsi="Times New Roman" w:cs="Times New Roman"/>
                <w:sz w:val="20"/>
                <w:szCs w:val="20"/>
                <w:vertAlign w:val="superscript"/>
                <w:lang w:eastAsia="en-GB"/>
              </w:rPr>
              <w:t>c</w:t>
            </w:r>
          </w:p>
        </w:tc>
        <w:tc>
          <w:tcPr>
            <w:tcW w:w="129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64(53.1)</w:t>
            </w:r>
            <w:proofErr w:type="spellStart"/>
            <w:r>
              <w:rPr>
                <w:rFonts w:ascii="Times New Roman" w:eastAsia="Times New Roman" w:hAnsi="Times New Roman" w:cs="Times New Roman"/>
                <w:sz w:val="20"/>
                <w:szCs w:val="20"/>
                <w:vertAlign w:val="superscript"/>
                <w:lang w:eastAsia="en-GB"/>
              </w:rPr>
              <w:t>bc</w:t>
            </w:r>
            <w:proofErr w:type="spellEnd"/>
          </w:p>
        </w:tc>
        <w:tc>
          <w:tcPr>
            <w:tcW w:w="111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85.33(67.7)</w:t>
            </w:r>
            <w:r>
              <w:rPr>
                <w:rFonts w:ascii="Times New Roman" w:eastAsia="Times New Roman" w:hAnsi="Times New Roman" w:cs="Times New Roman"/>
                <w:sz w:val="20"/>
                <w:szCs w:val="20"/>
                <w:vertAlign w:val="superscript"/>
                <w:lang w:eastAsia="en-GB"/>
              </w:rPr>
              <w:t>b</w:t>
            </w:r>
          </w:p>
        </w:tc>
      </w:tr>
      <w:tr w:rsidR="009C5B70">
        <w:trPr>
          <w:trHeight w:val="193"/>
        </w:trPr>
        <w:tc>
          <w:tcPr>
            <w:tcW w:w="137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 +Pruning</w:t>
            </w:r>
          </w:p>
        </w:tc>
        <w:tc>
          <w:tcPr>
            <w:tcW w:w="12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38.67(38.42)</w:t>
            </w:r>
            <w:r>
              <w:rPr>
                <w:rFonts w:ascii="Times New Roman" w:eastAsia="Times New Roman" w:hAnsi="Times New Roman" w:cs="Times New Roman"/>
                <w:sz w:val="20"/>
                <w:szCs w:val="20"/>
                <w:vertAlign w:val="superscript"/>
                <w:lang w:eastAsia="en-GB"/>
              </w:rPr>
              <w:t>b</w:t>
            </w:r>
          </w:p>
        </w:tc>
        <w:tc>
          <w:tcPr>
            <w:tcW w:w="129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64(53.3)</w:t>
            </w:r>
            <w:proofErr w:type="spellStart"/>
            <w:r>
              <w:rPr>
                <w:rFonts w:ascii="Times New Roman" w:eastAsia="Times New Roman" w:hAnsi="Times New Roman" w:cs="Times New Roman"/>
                <w:sz w:val="20"/>
                <w:szCs w:val="20"/>
                <w:vertAlign w:val="superscript"/>
                <w:lang w:eastAsia="en-GB"/>
              </w:rPr>
              <w:t>bc</w:t>
            </w:r>
            <w:proofErr w:type="spellEnd"/>
          </w:p>
        </w:tc>
        <w:tc>
          <w:tcPr>
            <w:tcW w:w="111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84.67(67.1)</w:t>
            </w:r>
            <w:r>
              <w:rPr>
                <w:rFonts w:ascii="Times New Roman" w:eastAsia="Times New Roman" w:hAnsi="Times New Roman" w:cs="Times New Roman"/>
                <w:sz w:val="20"/>
                <w:szCs w:val="20"/>
                <w:vertAlign w:val="superscript"/>
                <w:lang w:eastAsia="en-GB"/>
              </w:rPr>
              <w:t>b</w:t>
            </w:r>
          </w:p>
        </w:tc>
      </w:tr>
      <w:tr w:rsidR="009C5B70">
        <w:trPr>
          <w:trHeight w:val="193"/>
        </w:trPr>
        <w:tc>
          <w:tcPr>
            <w:tcW w:w="137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p>
        </w:tc>
        <w:tc>
          <w:tcPr>
            <w:tcW w:w="12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36 (36.9)</w:t>
            </w:r>
            <w:r>
              <w:rPr>
                <w:rFonts w:ascii="Times New Roman" w:eastAsia="Times New Roman" w:hAnsi="Times New Roman" w:cs="Times New Roman"/>
                <w:sz w:val="20"/>
                <w:szCs w:val="20"/>
                <w:vertAlign w:val="superscript"/>
                <w:lang w:eastAsia="en-GB"/>
              </w:rPr>
              <w:t>cd</w:t>
            </w:r>
          </w:p>
        </w:tc>
        <w:tc>
          <w:tcPr>
            <w:tcW w:w="129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59(50.2)</w:t>
            </w:r>
            <w:r>
              <w:rPr>
                <w:rFonts w:ascii="Times New Roman" w:eastAsia="Times New Roman" w:hAnsi="Times New Roman" w:cs="Times New Roman"/>
                <w:sz w:val="20"/>
                <w:szCs w:val="20"/>
                <w:vertAlign w:val="superscript"/>
                <w:lang w:eastAsia="en-GB"/>
              </w:rPr>
              <w:t>c</w:t>
            </w:r>
          </w:p>
        </w:tc>
        <w:tc>
          <w:tcPr>
            <w:tcW w:w="111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81.67(64.9)</w:t>
            </w:r>
            <w:r>
              <w:rPr>
                <w:rFonts w:ascii="Times New Roman" w:eastAsia="Times New Roman" w:hAnsi="Times New Roman" w:cs="Times New Roman"/>
                <w:sz w:val="20"/>
                <w:szCs w:val="20"/>
                <w:vertAlign w:val="superscript"/>
                <w:lang w:eastAsia="en-GB"/>
              </w:rPr>
              <w:t>b</w:t>
            </w:r>
          </w:p>
        </w:tc>
      </w:tr>
      <w:tr w:rsidR="009C5B70">
        <w:trPr>
          <w:trHeight w:val="193"/>
        </w:trPr>
        <w:tc>
          <w:tcPr>
            <w:tcW w:w="137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w:t>
            </w:r>
          </w:p>
        </w:tc>
        <w:tc>
          <w:tcPr>
            <w:tcW w:w="12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34(35.5)</w:t>
            </w:r>
            <w:r>
              <w:rPr>
                <w:rFonts w:ascii="Times New Roman" w:eastAsia="Times New Roman" w:hAnsi="Times New Roman" w:cs="Times New Roman"/>
                <w:sz w:val="20"/>
                <w:szCs w:val="20"/>
                <w:vertAlign w:val="superscript"/>
                <w:lang w:eastAsia="en-GB"/>
              </w:rPr>
              <w:t>cd</w:t>
            </w:r>
          </w:p>
        </w:tc>
        <w:tc>
          <w:tcPr>
            <w:tcW w:w="129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50(45.0)</w:t>
            </w:r>
            <w:r>
              <w:rPr>
                <w:rFonts w:ascii="Times New Roman" w:eastAsia="Times New Roman" w:hAnsi="Times New Roman" w:cs="Times New Roman"/>
                <w:sz w:val="20"/>
                <w:szCs w:val="20"/>
                <w:vertAlign w:val="superscript"/>
                <w:lang w:eastAsia="en-GB"/>
              </w:rPr>
              <w:t>d</w:t>
            </w:r>
          </w:p>
        </w:tc>
        <w:tc>
          <w:tcPr>
            <w:tcW w:w="111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66(54.5)</w:t>
            </w:r>
            <w:r>
              <w:rPr>
                <w:rFonts w:ascii="Times New Roman" w:eastAsia="Times New Roman" w:hAnsi="Times New Roman" w:cs="Times New Roman"/>
                <w:sz w:val="20"/>
                <w:szCs w:val="20"/>
                <w:vertAlign w:val="superscript"/>
                <w:lang w:eastAsia="en-GB"/>
              </w:rPr>
              <w:t>c</w:t>
            </w:r>
          </w:p>
        </w:tc>
      </w:tr>
      <w:tr w:rsidR="009C5B70">
        <w:trPr>
          <w:trHeight w:val="193"/>
        </w:trPr>
        <w:tc>
          <w:tcPr>
            <w:tcW w:w="137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Pruning</w:t>
            </w:r>
          </w:p>
        </w:tc>
        <w:tc>
          <w:tcPr>
            <w:tcW w:w="12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30.33(33.3)</w:t>
            </w:r>
            <w:r>
              <w:rPr>
                <w:rFonts w:ascii="Times New Roman" w:eastAsia="Times New Roman" w:hAnsi="Times New Roman" w:cs="Times New Roman"/>
                <w:sz w:val="20"/>
                <w:szCs w:val="20"/>
                <w:vertAlign w:val="superscript"/>
                <w:lang w:eastAsia="en-GB"/>
              </w:rPr>
              <w:t>d</w:t>
            </w:r>
          </w:p>
        </w:tc>
        <w:tc>
          <w:tcPr>
            <w:tcW w:w="129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47.67(43.7)</w:t>
            </w:r>
            <w:r>
              <w:rPr>
                <w:rFonts w:ascii="Times New Roman" w:eastAsia="Times New Roman" w:hAnsi="Times New Roman" w:cs="Times New Roman"/>
                <w:sz w:val="20"/>
                <w:szCs w:val="20"/>
                <w:vertAlign w:val="superscript"/>
                <w:lang w:eastAsia="en-GB"/>
              </w:rPr>
              <w:t>d</w:t>
            </w:r>
          </w:p>
        </w:tc>
        <w:tc>
          <w:tcPr>
            <w:tcW w:w="111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62.33(52.4)</w:t>
            </w:r>
            <w:r>
              <w:rPr>
                <w:rFonts w:ascii="Times New Roman" w:eastAsia="Times New Roman" w:hAnsi="Times New Roman" w:cs="Times New Roman"/>
                <w:sz w:val="20"/>
                <w:szCs w:val="20"/>
                <w:vertAlign w:val="superscript"/>
                <w:lang w:eastAsia="en-GB"/>
              </w:rPr>
              <w:t>c</w:t>
            </w:r>
          </w:p>
        </w:tc>
      </w:tr>
      <w:tr w:rsidR="009C5B70">
        <w:trPr>
          <w:trHeight w:val="193"/>
        </w:trPr>
        <w:tc>
          <w:tcPr>
            <w:tcW w:w="137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Control</w:t>
            </w:r>
          </w:p>
        </w:tc>
        <w:tc>
          <w:tcPr>
            <w:tcW w:w="120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0(0.33)</w:t>
            </w:r>
            <w:r>
              <w:rPr>
                <w:rFonts w:ascii="Times New Roman" w:eastAsia="Times New Roman" w:hAnsi="Times New Roman" w:cs="Times New Roman"/>
                <w:sz w:val="20"/>
                <w:szCs w:val="20"/>
                <w:vertAlign w:val="superscript"/>
                <w:lang w:eastAsia="en-GB"/>
              </w:rPr>
              <w:t>e</w:t>
            </w:r>
          </w:p>
        </w:tc>
        <w:tc>
          <w:tcPr>
            <w:tcW w:w="129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0(0.33)</w:t>
            </w:r>
            <w:r>
              <w:rPr>
                <w:rFonts w:ascii="Times New Roman" w:eastAsia="Times New Roman" w:hAnsi="Times New Roman" w:cs="Times New Roman"/>
                <w:sz w:val="20"/>
                <w:szCs w:val="20"/>
                <w:vertAlign w:val="superscript"/>
                <w:lang w:eastAsia="en-GB"/>
              </w:rPr>
              <w:t>e</w:t>
            </w:r>
          </w:p>
        </w:tc>
        <w:tc>
          <w:tcPr>
            <w:tcW w:w="111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0(0.33)</w:t>
            </w:r>
            <w:r>
              <w:rPr>
                <w:rFonts w:ascii="Times New Roman" w:eastAsia="Times New Roman" w:hAnsi="Times New Roman" w:cs="Times New Roman"/>
                <w:sz w:val="20"/>
                <w:szCs w:val="20"/>
                <w:vertAlign w:val="superscript"/>
                <w:lang w:eastAsia="en-GB"/>
              </w:rPr>
              <w:t>d</w:t>
            </w:r>
          </w:p>
        </w:tc>
      </w:tr>
      <w:tr w:rsidR="009C5B70">
        <w:trPr>
          <w:trHeight w:val="199"/>
        </w:trPr>
        <w:tc>
          <w:tcPr>
            <w:tcW w:w="1378" w:type="pct"/>
            <w:tcBorders>
              <w:top w:val="single" w:sz="4" w:space="0" w:color="auto"/>
              <w:left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Mean</w:t>
            </w:r>
          </w:p>
        </w:tc>
        <w:tc>
          <w:tcPr>
            <w:tcW w:w="1208" w:type="pct"/>
            <w:tcBorders>
              <w:top w:val="single" w:sz="4" w:space="0" w:color="auto"/>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35.97(34.8)</w:t>
            </w:r>
          </w:p>
        </w:tc>
        <w:tc>
          <w:tcPr>
            <w:tcW w:w="1295" w:type="pct"/>
            <w:tcBorders>
              <w:top w:val="single" w:sz="4" w:space="0" w:color="auto"/>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54.22(45.7)</w:t>
            </w:r>
          </w:p>
        </w:tc>
        <w:tc>
          <w:tcPr>
            <w:tcW w:w="1118" w:type="pct"/>
            <w:tcBorders>
              <w:top w:val="single" w:sz="4" w:space="0" w:color="auto"/>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70.3(56.6)</w:t>
            </w:r>
          </w:p>
        </w:tc>
      </w:tr>
      <w:tr w:rsidR="009C5B70">
        <w:trPr>
          <w:trHeight w:val="193"/>
        </w:trPr>
        <w:tc>
          <w:tcPr>
            <w:tcW w:w="1378" w:type="pct"/>
            <w:tcBorders>
              <w:top w:val="nil"/>
              <w:left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SE</w:t>
            </w:r>
            <w:r>
              <w:rPr>
                <w:rFonts w:ascii="Times New Roman" w:eastAsia="Times New Roman" w:hAnsi="Times New Roman" w:cs="Times New Roman"/>
                <w:sz w:val="20"/>
                <w:szCs w:val="20"/>
                <w:vertAlign w:val="subscript"/>
                <w:lang w:eastAsia="en-GB"/>
              </w:rPr>
              <w:t>m</w:t>
            </w:r>
            <w:proofErr w:type="spellEnd"/>
          </w:p>
        </w:tc>
        <w:tc>
          <w:tcPr>
            <w:tcW w:w="1208"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1.3(0.8)</w:t>
            </w:r>
          </w:p>
        </w:tc>
        <w:tc>
          <w:tcPr>
            <w:tcW w:w="1295"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1.5(0.9 )</w:t>
            </w:r>
          </w:p>
        </w:tc>
        <w:tc>
          <w:tcPr>
            <w:tcW w:w="1118"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1.9(1.14 )</w:t>
            </w:r>
          </w:p>
        </w:tc>
      </w:tr>
      <w:tr w:rsidR="009C5B70">
        <w:trPr>
          <w:trHeight w:val="193"/>
        </w:trPr>
        <w:tc>
          <w:tcPr>
            <w:tcW w:w="1378" w:type="pct"/>
            <w:tcBorders>
              <w:top w:val="nil"/>
              <w:left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LSD</w:t>
            </w:r>
          </w:p>
        </w:tc>
        <w:tc>
          <w:tcPr>
            <w:tcW w:w="1208"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6.49(3.97)</w:t>
            </w:r>
          </w:p>
        </w:tc>
        <w:tc>
          <w:tcPr>
            <w:tcW w:w="1295"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7.34(4.5)</w:t>
            </w:r>
          </w:p>
        </w:tc>
        <w:tc>
          <w:tcPr>
            <w:tcW w:w="1118"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9.24(5.6)</w:t>
            </w:r>
          </w:p>
        </w:tc>
      </w:tr>
      <w:tr w:rsidR="009C5B70">
        <w:trPr>
          <w:trHeight w:val="193"/>
        </w:trPr>
        <w:tc>
          <w:tcPr>
            <w:tcW w:w="1378" w:type="pct"/>
            <w:tcBorders>
              <w:top w:val="nil"/>
              <w:left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CV%</w:t>
            </w:r>
          </w:p>
        </w:tc>
        <w:tc>
          <w:tcPr>
            <w:tcW w:w="1208"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10.31(6.5)</w:t>
            </w:r>
          </w:p>
        </w:tc>
        <w:tc>
          <w:tcPr>
            <w:tcW w:w="1295"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7.73(5.7)</w:t>
            </w:r>
          </w:p>
        </w:tc>
        <w:tc>
          <w:tcPr>
            <w:tcW w:w="1118"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7.51(5.7)</w:t>
            </w:r>
          </w:p>
        </w:tc>
      </w:tr>
      <w:tr w:rsidR="009C5B70">
        <w:trPr>
          <w:trHeight w:val="193"/>
        </w:trPr>
        <w:tc>
          <w:tcPr>
            <w:tcW w:w="1378" w:type="pct"/>
            <w:tcBorders>
              <w:left w:val="nil"/>
              <w:bottom w:val="single" w:sz="4" w:space="0" w:color="auto"/>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Sign.difference</w:t>
            </w:r>
            <w:proofErr w:type="spellEnd"/>
          </w:p>
        </w:tc>
        <w:tc>
          <w:tcPr>
            <w:tcW w:w="120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129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111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9C5B70">
        <w:trPr>
          <w:trHeight w:val="449"/>
        </w:trPr>
        <w:tc>
          <w:tcPr>
            <w:tcW w:w="5000" w:type="pct"/>
            <w:gridSpan w:val="4"/>
            <w:tcBorders>
              <w:top w:val="single" w:sz="4" w:space="0" w:color="auto"/>
              <w:left w:val="nil"/>
              <w:right w:val="nil"/>
            </w:tcBorders>
            <w:shd w:val="clear" w:color="auto" w:fill="auto"/>
            <w:noWrap/>
            <w:vAlign w:val="bottom"/>
          </w:tcPr>
          <w:p w:rsidR="009C5B70" w:rsidRDefault="006605DA">
            <w:pPr>
              <w:autoSpaceDE w:val="0"/>
              <w:autoSpaceDN w:val="0"/>
              <w:adjustRightInd w:val="0"/>
              <w:snapToGrid w:val="0"/>
              <w:spacing w:after="0" w:line="240" w:lineRule="auto"/>
              <w:jc w:val="both"/>
              <w:rPr>
                <w:rFonts w:ascii="Times New Roman" w:eastAsia="Times New Roman" w:hAnsi="Times New Roman" w:cs="Times New Roman"/>
                <w:sz w:val="20"/>
                <w:szCs w:val="20"/>
                <w:lang w:eastAsia="en-GB"/>
              </w:rPr>
            </w:pPr>
            <w:r>
              <w:rPr>
                <w:rFonts w:ascii="Times New Roman" w:eastAsiaTheme="minorEastAsia" w:hAnsi="Times New Roman" w:cs="Times New Roman"/>
                <w:sz w:val="20"/>
                <w:szCs w:val="20"/>
                <w:lang w:val="en-US"/>
              </w:rPr>
              <w:t xml:space="preserve">Values given in parenthesis are </w:t>
            </w:r>
            <w:r>
              <w:rPr>
                <w:rFonts w:ascii="Times New Roman" w:hAnsi="Times New Roman" w:cs="Times New Roman"/>
                <w:sz w:val="20"/>
                <w:szCs w:val="20"/>
              </w:rPr>
              <w:t>angular transformed value</w:t>
            </w:r>
            <w:r>
              <w:rPr>
                <w:rFonts w:ascii="Times New Roman" w:eastAsiaTheme="minorEastAsia" w:hAnsi="Times New Roman" w:cs="Times New Roman"/>
                <w:sz w:val="20"/>
                <w:szCs w:val="20"/>
                <w:lang w:val="en-US"/>
              </w:rPr>
              <w:t xml:space="preserve">; </w:t>
            </w:r>
            <w:r>
              <w:rPr>
                <w:rFonts w:ascii="Times New Roman" w:hAnsi="Times New Roman" w:cs="Times New Roman"/>
                <w:sz w:val="20"/>
                <w:szCs w:val="20"/>
              </w:rPr>
              <w:t xml:space="preserve">Values in each column of the same letter are not significantly different; </w:t>
            </w:r>
            <w:proofErr w:type="spellStart"/>
            <w:r>
              <w:rPr>
                <w:rFonts w:ascii="Times New Roman" w:eastAsia="Times New Roman" w:hAnsi="Times New Roman" w:cs="Times New Roman"/>
                <w:sz w:val="20"/>
                <w:szCs w:val="20"/>
                <w:lang w:eastAsia="en-GB"/>
              </w:rPr>
              <w:t>SE</w:t>
            </w:r>
            <w:r>
              <w:rPr>
                <w:rFonts w:ascii="Times New Roman" w:eastAsia="Times New Roman" w:hAnsi="Times New Roman" w:cs="Times New Roman"/>
                <w:sz w:val="20"/>
                <w:szCs w:val="20"/>
                <w:vertAlign w:val="subscript"/>
                <w:lang w:eastAsia="en-GB"/>
              </w:rPr>
              <w:t>m</w:t>
            </w:r>
            <w:proofErr w:type="spellEnd"/>
            <w:r>
              <w:rPr>
                <w:rFonts w:ascii="Times New Roman" w:eastAsia="Times New Roman" w:hAnsi="Times New Roman" w:cs="Times New Roman"/>
                <w:sz w:val="20"/>
                <w:szCs w:val="20"/>
                <w:lang w:eastAsia="en-GB"/>
              </w:rPr>
              <w:t>=</w:t>
            </w:r>
            <w:r>
              <w:rPr>
                <w:rFonts w:ascii="Times New Roman" w:eastAsiaTheme="minorEastAsia" w:hAnsi="Times New Roman" w:cs="Times New Roman"/>
                <w:sz w:val="20"/>
                <w:szCs w:val="20"/>
                <w:lang w:val="en-US"/>
              </w:rPr>
              <w:t xml:space="preserve"> </w:t>
            </w:r>
            <w:r>
              <w:rPr>
                <w:rFonts w:ascii="Times New Roman" w:hAnsi="Times New Roman" w:cs="Times New Roman"/>
                <w:sz w:val="20"/>
                <w:szCs w:val="20"/>
              </w:rPr>
              <w:t>Standard error of mean</w:t>
            </w:r>
            <w:r>
              <w:rPr>
                <w:rFonts w:ascii="Times New Roman" w:eastAsia="Times New Roman" w:hAnsi="Times New Roman" w:cs="Times New Roman"/>
                <w:sz w:val="20"/>
                <w:szCs w:val="20"/>
                <w:lang w:eastAsia="en-GB"/>
              </w:rPr>
              <w:t>;</w:t>
            </w:r>
            <w:r>
              <w:rPr>
                <w:rFonts w:ascii="Times New Roman" w:hAnsi="Times New Roman" w:cs="Times New Roman"/>
                <w:sz w:val="20"/>
                <w:szCs w:val="20"/>
              </w:rPr>
              <w:t xml:space="preserve"> LSD=</w:t>
            </w:r>
            <w:r>
              <w:rPr>
                <w:rFonts w:ascii="Times New Roman" w:eastAsiaTheme="minorEastAsia" w:hAnsi="Times New Roman" w:cs="Times New Roman"/>
                <w:sz w:val="20"/>
                <w:szCs w:val="20"/>
                <w:lang w:val="en-US"/>
              </w:rPr>
              <w:t xml:space="preserve">Least Significant Difference; </w:t>
            </w:r>
            <w:r>
              <w:rPr>
                <w:rFonts w:ascii="Times New Roman" w:eastAsia="Times New Roman" w:hAnsi="Times New Roman" w:cs="Times New Roman"/>
                <w:sz w:val="20"/>
                <w:szCs w:val="20"/>
                <w:lang w:val="en-US" w:eastAsia="en-GB"/>
              </w:rPr>
              <w:t>CV=</w:t>
            </w:r>
            <w:r>
              <w:rPr>
                <w:rFonts w:ascii="Times New Roman" w:hAnsi="Times New Roman" w:cs="Times New Roman"/>
                <w:bCs/>
                <w:sz w:val="20"/>
                <w:szCs w:val="20"/>
              </w:rPr>
              <w:t>Coefficient of Variation;</w:t>
            </w:r>
            <w:r>
              <w:rPr>
                <w:rFonts w:ascii="Times New Roman" w:eastAsiaTheme="minorEastAsia" w:hAnsi="Times New Roman" w:cs="Times New Roman"/>
                <w:sz w:val="20"/>
                <w:szCs w:val="20"/>
                <w:lang w:val="en-US"/>
              </w:rPr>
              <w:t xml:space="preserve"> </w:t>
            </w:r>
            <w:r>
              <w:rPr>
                <w:rFonts w:ascii="Times New Roman" w:hAnsi="Times New Roman" w:cs="Times New Roman"/>
                <w:sz w:val="20"/>
                <w:szCs w:val="20"/>
              </w:rPr>
              <w:t>* significant at P &lt; .05; ** significant at .01</w:t>
            </w:r>
            <w:r>
              <w:rPr>
                <w:rFonts w:ascii="Times New Roman" w:eastAsia="Times New Roman" w:hAnsi="Times New Roman" w:cs="Times New Roman"/>
                <w:sz w:val="20"/>
                <w:szCs w:val="20"/>
                <w:lang w:val="en-US" w:eastAsia="en-GB"/>
              </w:rPr>
              <w:t xml:space="preserve">; </w:t>
            </w:r>
            <w:r>
              <w:rPr>
                <w:rFonts w:ascii="Times New Roman" w:hAnsi="Times New Roman" w:cs="Times New Roman"/>
                <w:sz w:val="20"/>
                <w:szCs w:val="20"/>
              </w:rPr>
              <w:t>ns=</w:t>
            </w:r>
            <w:proofErr w:type="spellStart"/>
            <w:r>
              <w:rPr>
                <w:rFonts w:ascii="Times New Roman" w:hAnsi="Times New Roman" w:cs="Times New Roman"/>
                <w:sz w:val="20"/>
                <w:szCs w:val="20"/>
              </w:rPr>
              <w:t>Non_significant</w:t>
            </w:r>
            <w:proofErr w:type="spellEnd"/>
          </w:p>
        </w:tc>
      </w:tr>
    </w:tbl>
    <w:p w:rsidR="009C5B70" w:rsidRDefault="009C5B70">
      <w:pPr>
        <w:snapToGrid w:val="0"/>
        <w:spacing w:after="0" w:line="240" w:lineRule="auto"/>
        <w:rPr>
          <w:rFonts w:ascii="Times New Roman" w:hAnsi="Times New Roman" w:cs="Times New Roman"/>
          <w:sz w:val="20"/>
          <w:szCs w:val="20"/>
        </w:rPr>
      </w:pPr>
    </w:p>
    <w:p w:rsidR="009C5B70" w:rsidRDefault="009C5B70">
      <w:pPr>
        <w:pStyle w:val="ListParagraph"/>
        <w:numPr>
          <w:ilvl w:val="1"/>
          <w:numId w:val="1"/>
        </w:numPr>
        <w:snapToGrid w:val="0"/>
        <w:spacing w:after="0" w:line="240" w:lineRule="auto"/>
        <w:rPr>
          <w:rFonts w:ascii="Times New Roman" w:hAnsi="Times New Roman" w:cs="Times New Roman"/>
          <w:b/>
          <w:sz w:val="20"/>
          <w:szCs w:val="20"/>
        </w:rPr>
        <w:sectPr w:rsidR="009C5B70">
          <w:type w:val="continuous"/>
          <w:pgSz w:w="12240" w:h="15839"/>
          <w:pgMar w:top="1440" w:right="1440" w:bottom="1440" w:left="1440" w:header="720" w:footer="720" w:gutter="0"/>
          <w:cols w:space="425"/>
          <w:titlePg/>
          <w:docGrid w:linePitch="360"/>
        </w:sectPr>
      </w:pPr>
    </w:p>
    <w:p w:rsidR="009C5B70" w:rsidRDefault="006605DA">
      <w:pPr>
        <w:pStyle w:val="ListParagraph"/>
        <w:numPr>
          <w:ilvl w:val="1"/>
          <w:numId w:val="1"/>
        </w:numPr>
        <w:snapToGrid w:val="0"/>
        <w:spacing w:after="0" w:line="240" w:lineRule="auto"/>
        <w:rPr>
          <w:rFonts w:ascii="Times New Roman" w:hAnsi="Times New Roman" w:cs="Times New Roman"/>
          <w:b/>
          <w:sz w:val="20"/>
          <w:szCs w:val="20"/>
        </w:rPr>
      </w:pPr>
      <w:r>
        <w:rPr>
          <w:rStyle w:val="Heading2Char"/>
          <w:rFonts w:ascii="Times New Roman" w:hAnsi="Times New Roman" w:cs="Times New Roman"/>
          <w:color w:val="auto"/>
          <w:sz w:val="20"/>
          <w:szCs w:val="20"/>
        </w:rPr>
        <w:lastRenderedPageBreak/>
        <w:t>Effects of treatments on mango fruit number and yield (kg/tree)</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mean marketable fruit number ranged from 43.33 to 262 per tree in different treatments were highly significantly different (</w:t>
      </w:r>
      <w:r>
        <w:rPr>
          <w:rFonts w:ascii="Times New Roman" w:hAnsi="Times New Roman" w:cs="Times New Roman"/>
          <w:i/>
          <w:sz w:val="20"/>
          <w:szCs w:val="20"/>
        </w:rPr>
        <w:t>F</w:t>
      </w:r>
      <w:r>
        <w:rPr>
          <w:rFonts w:ascii="Times New Roman" w:hAnsi="Times New Roman" w:cs="Times New Roman"/>
          <w:sz w:val="20"/>
          <w:szCs w:val="20"/>
        </w:rPr>
        <w:tab/>
        <w:t xml:space="preserve">= 23.68, </w:t>
      </w:r>
      <w:r>
        <w:rPr>
          <w:rFonts w:ascii="Times New Roman" w:hAnsi="Times New Roman" w:cs="Times New Roman"/>
          <w:i/>
          <w:sz w:val="20"/>
          <w:szCs w:val="20"/>
        </w:rPr>
        <w:t>p</w:t>
      </w:r>
      <w:r>
        <w:rPr>
          <w:rFonts w:ascii="Times New Roman" w:hAnsi="Times New Roman" w:cs="Times New Roman"/>
          <w:sz w:val="20"/>
          <w:szCs w:val="20"/>
        </w:rPr>
        <w:t xml:space="preserve"> &lt; .01). The lowest marketable fruit number was untreated control (43.33) compared to other treatments. The comparative marketable fruit number among treatments found in descending order were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(262),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(170.67),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(145.33), White oil extract + pruning (142.33),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(137.33), White oil extract (115.67), Pruning (112), untreated control (43.33) respectively.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(145.33), White oil extract + pruning (142.33)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(137.33) which were found to be at par with each other. White oil extract (115.67) and Pruning (112) which were found to be at par with each other (Table 5).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mean unmarketable fruit number ranged from 83.33 to 176.67 per tree in different treatments were highly significantly different (</w:t>
      </w:r>
      <w:r>
        <w:rPr>
          <w:rFonts w:ascii="Times New Roman" w:hAnsi="Times New Roman" w:cs="Times New Roman"/>
          <w:i/>
          <w:sz w:val="20"/>
          <w:szCs w:val="20"/>
        </w:rPr>
        <w:t>F</w:t>
      </w:r>
      <w:r>
        <w:rPr>
          <w:rFonts w:ascii="Times New Roman" w:hAnsi="Times New Roman" w:cs="Times New Roman"/>
          <w:sz w:val="20"/>
          <w:szCs w:val="20"/>
        </w:rPr>
        <w:t xml:space="preserve">= 6.46, </w:t>
      </w:r>
      <w:r>
        <w:rPr>
          <w:rFonts w:ascii="Times New Roman" w:hAnsi="Times New Roman" w:cs="Times New Roman"/>
          <w:i/>
          <w:sz w:val="20"/>
          <w:szCs w:val="20"/>
        </w:rPr>
        <w:t>p</w:t>
      </w:r>
      <w:r>
        <w:rPr>
          <w:rFonts w:ascii="Times New Roman" w:hAnsi="Times New Roman" w:cs="Times New Roman"/>
          <w:sz w:val="20"/>
          <w:szCs w:val="20"/>
        </w:rPr>
        <w:t xml:space="preserve"> &lt; .01). The lowest unmarketable fruit number was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treated 83.33 compared to other treatments. The comparative marketable fruit number among treatments found in descending order were untreated control </w:t>
      </w:r>
      <w:r>
        <w:rPr>
          <w:rFonts w:ascii="Times New Roman" w:hAnsi="Times New Roman" w:cs="Times New Roman"/>
          <w:sz w:val="20"/>
          <w:szCs w:val="20"/>
        </w:rPr>
        <w:lastRenderedPageBreak/>
        <w:t>(176.67), Pruning (154.67), White oil extract (147</w:t>
      </w:r>
      <w:proofErr w:type="gramStart"/>
      <w:r>
        <w:rPr>
          <w:rFonts w:ascii="Times New Roman" w:hAnsi="Times New Roman" w:cs="Times New Roman"/>
          <w:sz w:val="20"/>
          <w:szCs w:val="20"/>
        </w:rPr>
        <w:t>),White</w:t>
      </w:r>
      <w:proofErr w:type="gramEnd"/>
      <w:r>
        <w:rPr>
          <w:rFonts w:ascii="Times New Roman" w:hAnsi="Times New Roman" w:cs="Times New Roman"/>
          <w:sz w:val="20"/>
          <w:szCs w:val="20"/>
        </w:rPr>
        <w:t xml:space="preserve"> oil extract + pruning (144.67),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(132.67),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40%EC+pruning (130),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(122.33),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20SL+pruning (83.33) respectively. Pruning (154.67), White oil extract (147) and White oil extract + pruning (144.67) which were found to be at par with each other.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(132.67),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(130)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(122.33) which were found to be at par with each other (Table 5).</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mean total fruit number ranged from 345.33 to 220 per tree in different treatments were significantly different (</w:t>
      </w:r>
      <w:r>
        <w:rPr>
          <w:rFonts w:ascii="Times New Roman" w:hAnsi="Times New Roman" w:cs="Times New Roman"/>
          <w:i/>
          <w:sz w:val="20"/>
          <w:szCs w:val="20"/>
        </w:rPr>
        <w:t>F</w:t>
      </w:r>
      <w:r>
        <w:rPr>
          <w:rFonts w:ascii="Times New Roman" w:hAnsi="Times New Roman" w:cs="Times New Roman"/>
          <w:sz w:val="20"/>
          <w:szCs w:val="20"/>
        </w:rPr>
        <w:t xml:space="preserve">= 3.66, </w:t>
      </w:r>
      <w:r>
        <w:rPr>
          <w:rFonts w:ascii="Times New Roman" w:hAnsi="Times New Roman" w:cs="Times New Roman"/>
          <w:i/>
          <w:sz w:val="20"/>
          <w:szCs w:val="20"/>
        </w:rPr>
        <w:t>p</w:t>
      </w:r>
      <w:r>
        <w:rPr>
          <w:rFonts w:ascii="Times New Roman" w:hAnsi="Times New Roman" w:cs="Times New Roman"/>
          <w:sz w:val="20"/>
          <w:szCs w:val="20"/>
        </w:rPr>
        <w:t xml:space="preserve"> &lt; 0.05). The lowest total fruit number was untreated control 220 compared to other treatments. The comparative total fruit number among treatments found in descending order were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(345.33),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(300.67), White oil extract + pruning (287),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(270),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(267.67), Pruning (266.67), White oil extract (262.67) and untreated control (220) respectively.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(270),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(267.67), Pruning (266.67) and White oil extract (262.67) which were found to be at par with each other (Table 5).</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The mean marketable fruit yield ranged from 10.83 to 65.5 per tree in different treatments were significantly different (</w:t>
      </w:r>
      <w:r>
        <w:rPr>
          <w:rFonts w:ascii="Times New Roman" w:hAnsi="Times New Roman" w:cs="Times New Roman"/>
          <w:i/>
          <w:sz w:val="20"/>
          <w:szCs w:val="20"/>
        </w:rPr>
        <w:t>F</w:t>
      </w:r>
      <w:r>
        <w:rPr>
          <w:rFonts w:ascii="Times New Roman" w:hAnsi="Times New Roman" w:cs="Times New Roman"/>
          <w:sz w:val="20"/>
          <w:szCs w:val="20"/>
        </w:rPr>
        <w:t xml:space="preserve">= 23.68, </w:t>
      </w:r>
      <w:r>
        <w:rPr>
          <w:rFonts w:ascii="Times New Roman" w:hAnsi="Times New Roman" w:cs="Times New Roman"/>
          <w:i/>
          <w:sz w:val="20"/>
          <w:szCs w:val="20"/>
        </w:rPr>
        <w:t>p</w:t>
      </w:r>
      <w:r>
        <w:rPr>
          <w:rFonts w:ascii="Times New Roman" w:hAnsi="Times New Roman" w:cs="Times New Roman"/>
          <w:sz w:val="20"/>
          <w:szCs w:val="20"/>
        </w:rPr>
        <w:t xml:space="preserve"> &lt; .01). The lowest marketable fruit yield was untreated control (10.83) compared to other treatments. The comparative marketable fruit yield among treatments found in descending order were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(65.5),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(42.67),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(36.33), White oil extract + pruning (35.58),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(34.33), White oil extract (28.92), Pruning (28), untreated control (10.83) respectively.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(36.33), White oil extract + pruning (35.58)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(34.33) which were found to be at par with each other. White oil extract (28.92) and Pruning (28) which were found to be at par with each other (Table 5).</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mean unmarketable fruit yield ranged from 20.83 to 44.17 per tree in different treatments were significantly different (</w:t>
      </w:r>
      <w:r>
        <w:rPr>
          <w:rFonts w:ascii="Times New Roman" w:hAnsi="Times New Roman" w:cs="Times New Roman"/>
          <w:i/>
          <w:sz w:val="20"/>
          <w:szCs w:val="20"/>
        </w:rPr>
        <w:t>F</w:t>
      </w:r>
      <w:r>
        <w:rPr>
          <w:rFonts w:ascii="Times New Roman" w:hAnsi="Times New Roman" w:cs="Times New Roman"/>
          <w:sz w:val="20"/>
          <w:szCs w:val="20"/>
        </w:rPr>
        <w:t xml:space="preserve"> = 6.46, </w:t>
      </w:r>
      <w:r>
        <w:rPr>
          <w:rFonts w:ascii="Times New Roman" w:hAnsi="Times New Roman" w:cs="Times New Roman"/>
          <w:i/>
          <w:sz w:val="20"/>
          <w:szCs w:val="20"/>
        </w:rPr>
        <w:t>p</w:t>
      </w:r>
      <w:r>
        <w:rPr>
          <w:rFonts w:ascii="Times New Roman" w:hAnsi="Times New Roman" w:cs="Times New Roman"/>
          <w:sz w:val="20"/>
          <w:szCs w:val="20"/>
        </w:rPr>
        <w:t xml:space="preserve"> &lt; 0.01). The lowest unmarketable fruit yield was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treated (20.83) compared to other treatments. The comparative unmarketable fruit yield among treatments found in descending order were untreated control (44.17), Pruning (38.67), White oil extract (36.75), White oil </w:t>
      </w:r>
      <w:r>
        <w:rPr>
          <w:rFonts w:ascii="Times New Roman" w:hAnsi="Times New Roman" w:cs="Times New Roman"/>
          <w:sz w:val="20"/>
          <w:szCs w:val="20"/>
        </w:rPr>
        <w:lastRenderedPageBreak/>
        <w:t xml:space="preserve">extract + pruning (36.17),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(33.17),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+pruning (32.5),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(30.58),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(20.83) respectively. Pruning (38.67), White oil extract (36.75) and White oil extract + pruning (36.17) which were found to be at par with each other.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(33.17),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(32.5)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(30.58) which were found to be at par with each other (Table 5).</w:t>
      </w:r>
    </w:p>
    <w:p w:rsidR="009C5B70" w:rsidRDefault="006605DA">
      <w:pPr>
        <w:snapToGrid w:val="0"/>
        <w:spacing w:after="0" w:line="240" w:lineRule="auto"/>
        <w:jc w:val="both"/>
        <w:rPr>
          <w:rFonts w:ascii="Times New Roman" w:hAnsi="Times New Roman" w:cs="Times New Roman"/>
          <w:sz w:val="20"/>
          <w:szCs w:val="20"/>
        </w:rPr>
        <w:sectPr w:rsidR="009C5B70">
          <w:type w:val="continuous"/>
          <w:pgSz w:w="12240" w:h="15839"/>
          <w:pgMar w:top="1440" w:right="1440" w:bottom="1440" w:left="1440" w:header="720" w:footer="720" w:gutter="0"/>
          <w:cols w:num="2" w:space="720" w:equalWidth="0">
            <w:col w:w="4467" w:space="425"/>
            <w:col w:w="4467"/>
          </w:cols>
          <w:titlePg/>
          <w:docGrid w:linePitch="360"/>
        </w:sectPr>
      </w:pPr>
      <w:r>
        <w:rPr>
          <w:rFonts w:ascii="Times New Roman" w:hAnsi="Times New Roman" w:cs="Times New Roman"/>
          <w:sz w:val="20"/>
          <w:szCs w:val="20"/>
        </w:rPr>
        <w:t>The average total fruit yield ranged from 55 to 86.33 per tree in different treatments were significantly different (</w:t>
      </w:r>
      <w:r>
        <w:rPr>
          <w:rFonts w:ascii="Times New Roman" w:hAnsi="Times New Roman" w:cs="Times New Roman"/>
          <w:i/>
          <w:sz w:val="20"/>
          <w:szCs w:val="20"/>
        </w:rPr>
        <w:t>F</w:t>
      </w:r>
      <w:r>
        <w:rPr>
          <w:rFonts w:ascii="Times New Roman" w:hAnsi="Times New Roman" w:cs="Times New Roman"/>
          <w:sz w:val="20"/>
          <w:szCs w:val="20"/>
        </w:rPr>
        <w:t xml:space="preserve">= 3.66, </w:t>
      </w:r>
      <w:r>
        <w:rPr>
          <w:rFonts w:ascii="Times New Roman" w:hAnsi="Times New Roman" w:cs="Times New Roman"/>
          <w:i/>
          <w:sz w:val="20"/>
          <w:szCs w:val="20"/>
        </w:rPr>
        <w:t>p</w:t>
      </w:r>
      <w:r>
        <w:rPr>
          <w:rFonts w:ascii="Times New Roman" w:hAnsi="Times New Roman" w:cs="Times New Roman"/>
          <w:sz w:val="20"/>
          <w:szCs w:val="20"/>
        </w:rPr>
        <w:t xml:space="preserve"> &lt; 0.05). The lowest total fruit yield was untreated control 55 compared to other treatments. The comparative total fruit yield among treatments found in descending order were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(86.33),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(75.17), White oil extract + pruning (71.75),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(67.5),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(66.92), Pruning (66.67), White oil extract (65.67) and untreated control (55) respectively.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(67.5),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(66.92), Pruning (66.67) and White oil extract (65.67) which were found to be at par with each other (Table 5). </w:t>
      </w:r>
    </w:p>
    <w:p w:rsidR="009C5B70" w:rsidRDefault="009C5B70">
      <w:pPr>
        <w:snapToGrid w:val="0"/>
        <w:spacing w:after="0" w:line="240" w:lineRule="auto"/>
        <w:jc w:val="both"/>
        <w:rPr>
          <w:rFonts w:ascii="Times New Roman" w:hAnsi="Times New Roman" w:cs="Times New Roman"/>
          <w:sz w:val="20"/>
          <w:szCs w:val="20"/>
        </w:rPr>
      </w:pPr>
    </w:p>
    <w:p w:rsidR="009C5B70" w:rsidRDefault="006605DA">
      <w:pPr>
        <w:pStyle w:val="Caption"/>
        <w:keepNext/>
        <w:snapToGrid w:val="0"/>
        <w:spacing w:after="0"/>
        <w:ind w:left="864" w:hanging="864"/>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Table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Table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5</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Mean number of mango fruit and yield per tree in response of treatments in experimental mango orchards</w:t>
      </w:r>
    </w:p>
    <w:tbl>
      <w:tblPr>
        <w:tblW w:w="4918" w:type="pct"/>
        <w:tblLayout w:type="fixed"/>
        <w:tblLook w:val="04A0" w:firstRow="1" w:lastRow="0" w:firstColumn="1" w:lastColumn="0" w:noHBand="0" w:noVBand="1"/>
      </w:tblPr>
      <w:tblGrid>
        <w:gridCol w:w="2188"/>
        <w:gridCol w:w="1206"/>
        <w:gridCol w:w="1361"/>
        <w:gridCol w:w="1031"/>
        <w:gridCol w:w="1119"/>
        <w:gridCol w:w="1397"/>
        <w:gridCol w:w="904"/>
      </w:tblGrid>
      <w:tr w:rsidR="009C5B70">
        <w:trPr>
          <w:trHeight w:val="343"/>
        </w:trPr>
        <w:tc>
          <w:tcPr>
            <w:tcW w:w="1188" w:type="pct"/>
            <w:vMerge w:val="restart"/>
            <w:tcBorders>
              <w:top w:val="single" w:sz="4" w:space="0" w:color="auto"/>
              <w:left w:val="nil"/>
              <w:right w:val="nil"/>
            </w:tcBorders>
            <w:shd w:val="clear" w:color="auto" w:fill="auto"/>
            <w:noWrap/>
            <w:vAlign w:val="bottom"/>
          </w:tcPr>
          <w:p w:rsidR="009C5B70" w:rsidRDefault="009C5B70">
            <w:pPr>
              <w:snapToGrid w:val="0"/>
              <w:spacing w:after="0" w:line="240" w:lineRule="auto"/>
              <w:rPr>
                <w:rFonts w:ascii="Times New Roman" w:eastAsia="Times New Roman" w:hAnsi="Times New Roman" w:cs="Times New Roman"/>
                <w:sz w:val="20"/>
                <w:szCs w:val="20"/>
                <w:lang w:eastAsia="en-GB"/>
              </w:rPr>
            </w:pPr>
          </w:p>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Treatment</w:t>
            </w:r>
          </w:p>
        </w:tc>
        <w:tc>
          <w:tcPr>
            <w:tcW w:w="1954" w:type="pct"/>
            <w:gridSpan w:val="3"/>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Fruit mean (Number/per tree)</w:t>
            </w:r>
          </w:p>
        </w:tc>
        <w:tc>
          <w:tcPr>
            <w:tcW w:w="1856" w:type="pct"/>
            <w:gridSpan w:val="3"/>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Fruit Yield mean (kg/tree)</w:t>
            </w:r>
          </w:p>
        </w:tc>
      </w:tr>
      <w:tr w:rsidR="009C5B70">
        <w:trPr>
          <w:trHeight w:val="391"/>
        </w:trPr>
        <w:tc>
          <w:tcPr>
            <w:tcW w:w="1188" w:type="pct"/>
            <w:vMerge/>
            <w:tcBorders>
              <w:left w:val="nil"/>
              <w:bottom w:val="single" w:sz="4" w:space="0" w:color="auto"/>
              <w:right w:val="nil"/>
            </w:tcBorders>
            <w:shd w:val="clear" w:color="auto" w:fill="auto"/>
            <w:noWrap/>
            <w:vAlign w:val="bottom"/>
          </w:tcPr>
          <w:p w:rsidR="009C5B70" w:rsidRDefault="009C5B70">
            <w:pPr>
              <w:snapToGrid w:val="0"/>
              <w:spacing w:after="0" w:line="240" w:lineRule="auto"/>
              <w:rPr>
                <w:rFonts w:ascii="Times New Roman" w:eastAsia="Times New Roman" w:hAnsi="Times New Roman" w:cs="Times New Roman"/>
                <w:sz w:val="20"/>
                <w:szCs w:val="20"/>
                <w:lang w:eastAsia="en-GB"/>
              </w:rPr>
            </w:pPr>
          </w:p>
        </w:tc>
        <w:tc>
          <w:tcPr>
            <w:tcW w:w="655" w:type="pct"/>
            <w:tcBorders>
              <w:top w:val="single" w:sz="4" w:space="0" w:color="auto"/>
              <w:left w:val="nil"/>
              <w:bottom w:val="single" w:sz="4" w:space="0" w:color="auto"/>
              <w:right w:val="nil"/>
            </w:tcBorders>
            <w:shd w:val="clear" w:color="auto" w:fill="auto"/>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Marketable </w:t>
            </w:r>
          </w:p>
        </w:tc>
        <w:tc>
          <w:tcPr>
            <w:tcW w:w="739" w:type="pct"/>
            <w:tcBorders>
              <w:top w:val="single" w:sz="4" w:space="0" w:color="auto"/>
              <w:left w:val="nil"/>
              <w:bottom w:val="single" w:sz="4" w:space="0" w:color="auto"/>
              <w:right w:val="nil"/>
            </w:tcBorders>
            <w:shd w:val="clear" w:color="auto" w:fill="auto"/>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Unmarketable </w:t>
            </w:r>
          </w:p>
        </w:tc>
        <w:tc>
          <w:tcPr>
            <w:tcW w:w="558" w:type="pct"/>
            <w:tcBorders>
              <w:top w:val="single" w:sz="4" w:space="0" w:color="auto"/>
              <w:left w:val="nil"/>
              <w:bottom w:val="single" w:sz="4" w:space="0" w:color="auto"/>
              <w:right w:val="nil"/>
            </w:tcBorders>
            <w:shd w:val="clear" w:color="auto" w:fill="auto"/>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Total </w:t>
            </w:r>
          </w:p>
        </w:tc>
        <w:tc>
          <w:tcPr>
            <w:tcW w:w="608" w:type="pct"/>
            <w:tcBorders>
              <w:top w:val="single" w:sz="4" w:space="0" w:color="auto"/>
              <w:left w:val="nil"/>
              <w:bottom w:val="single" w:sz="4" w:space="0" w:color="auto"/>
              <w:right w:val="nil"/>
            </w:tcBorders>
            <w:shd w:val="clear" w:color="auto" w:fill="auto"/>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Marketable </w:t>
            </w:r>
          </w:p>
        </w:tc>
        <w:tc>
          <w:tcPr>
            <w:tcW w:w="759" w:type="pct"/>
            <w:tcBorders>
              <w:top w:val="single" w:sz="4" w:space="0" w:color="auto"/>
              <w:left w:val="nil"/>
              <w:bottom w:val="single" w:sz="4" w:space="0" w:color="auto"/>
              <w:right w:val="nil"/>
            </w:tcBorders>
            <w:shd w:val="clear" w:color="auto" w:fill="auto"/>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Unmarketable </w:t>
            </w:r>
          </w:p>
        </w:tc>
        <w:tc>
          <w:tcPr>
            <w:tcW w:w="488" w:type="pct"/>
            <w:tcBorders>
              <w:top w:val="single" w:sz="4" w:space="0" w:color="auto"/>
              <w:left w:val="nil"/>
              <w:bottom w:val="single" w:sz="4" w:space="0" w:color="auto"/>
              <w:right w:val="nil"/>
            </w:tcBorders>
            <w:shd w:val="clear" w:color="auto" w:fill="auto"/>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Total </w:t>
            </w:r>
          </w:p>
        </w:tc>
      </w:tr>
      <w:tr w:rsidR="009C5B70">
        <w:trPr>
          <w:trHeight w:val="343"/>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r>
              <w:rPr>
                <w:rFonts w:ascii="Times New Roman" w:eastAsia="Times New Roman" w:hAnsi="Times New Roman" w:cs="Times New Roman"/>
                <w:sz w:val="20"/>
                <w:szCs w:val="20"/>
                <w:lang w:eastAsia="en-GB"/>
              </w:rPr>
              <w:t xml:space="preserve"> + Pruning</w:t>
            </w:r>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262</w:t>
            </w:r>
            <w:r>
              <w:rPr>
                <w:rFonts w:ascii="Times New Roman" w:eastAsia="Times New Roman" w:hAnsi="Times New Roman" w:cs="Times New Roman"/>
                <w:sz w:val="20"/>
                <w:szCs w:val="20"/>
                <w:vertAlign w:val="superscript"/>
                <w:lang w:eastAsia="en-GB"/>
              </w:rPr>
              <w:t>a</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83.33</w:t>
            </w:r>
            <w:r>
              <w:rPr>
                <w:rFonts w:ascii="Times New Roman" w:eastAsia="Times New Roman" w:hAnsi="Times New Roman" w:cs="Times New Roman"/>
                <w:sz w:val="20"/>
                <w:szCs w:val="20"/>
                <w:vertAlign w:val="superscript"/>
                <w:lang w:eastAsia="en-GB"/>
              </w:rPr>
              <w:t>c</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345.33</w:t>
            </w:r>
            <w:r>
              <w:rPr>
                <w:rFonts w:ascii="Times New Roman" w:eastAsia="Times New Roman" w:hAnsi="Times New Roman" w:cs="Times New Roman"/>
                <w:sz w:val="20"/>
                <w:szCs w:val="20"/>
                <w:vertAlign w:val="superscript"/>
                <w:lang w:eastAsia="en-GB"/>
              </w:rPr>
              <w:t>a</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65.5</w:t>
            </w:r>
            <w:r>
              <w:rPr>
                <w:rFonts w:ascii="Times New Roman" w:eastAsia="Times New Roman" w:hAnsi="Times New Roman" w:cs="Times New Roman"/>
                <w:sz w:val="20"/>
                <w:szCs w:val="20"/>
                <w:vertAlign w:val="superscript"/>
                <w:lang w:eastAsia="en-GB"/>
              </w:rPr>
              <w:t>a</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20.83</w:t>
            </w:r>
            <w:r>
              <w:rPr>
                <w:rFonts w:ascii="Times New Roman" w:eastAsia="Times New Roman" w:hAnsi="Times New Roman" w:cs="Times New Roman"/>
                <w:sz w:val="20"/>
                <w:szCs w:val="20"/>
                <w:vertAlign w:val="superscript"/>
                <w:lang w:eastAsia="en-GB"/>
              </w:rPr>
              <w:t>c</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86.33</w:t>
            </w:r>
            <w:r>
              <w:rPr>
                <w:rFonts w:ascii="Times New Roman" w:eastAsia="Times New Roman" w:hAnsi="Times New Roman" w:cs="Times New Roman"/>
                <w:sz w:val="20"/>
                <w:szCs w:val="20"/>
                <w:vertAlign w:val="superscript"/>
                <w:lang w:eastAsia="en-GB"/>
              </w:rPr>
              <w:t>a</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r>
              <w:rPr>
                <w:rFonts w:ascii="Times New Roman" w:eastAsia="Times New Roman" w:hAnsi="Times New Roman" w:cs="Times New Roman"/>
                <w:sz w:val="20"/>
                <w:szCs w:val="20"/>
                <w:lang w:eastAsia="en-GB"/>
              </w:rPr>
              <w:t>+ Pruning</w:t>
            </w:r>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170.67</w:t>
            </w:r>
            <w:r>
              <w:rPr>
                <w:rFonts w:ascii="Times New Roman" w:eastAsia="Times New Roman" w:hAnsi="Times New Roman" w:cs="Times New Roman"/>
                <w:sz w:val="20"/>
                <w:szCs w:val="20"/>
                <w:vertAlign w:val="superscript"/>
                <w:lang w:eastAsia="en-GB"/>
              </w:rPr>
              <w:t>b</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130</w:t>
            </w:r>
            <w:r>
              <w:rPr>
                <w:rFonts w:ascii="Times New Roman" w:eastAsia="Times New Roman" w:hAnsi="Times New Roman" w:cs="Times New Roman"/>
                <w:sz w:val="20"/>
                <w:szCs w:val="20"/>
                <w:vertAlign w:val="superscript"/>
                <w:lang w:eastAsia="en-GB"/>
              </w:rPr>
              <w:t>b</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300.67</w:t>
            </w:r>
            <w:r>
              <w:rPr>
                <w:rFonts w:ascii="Times New Roman" w:eastAsia="Times New Roman" w:hAnsi="Times New Roman" w:cs="Times New Roman"/>
                <w:sz w:val="20"/>
                <w:szCs w:val="20"/>
                <w:vertAlign w:val="superscript"/>
                <w:lang w:eastAsia="en-GB"/>
              </w:rPr>
              <w:t>ab</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42.67</w:t>
            </w:r>
            <w:r>
              <w:rPr>
                <w:rFonts w:ascii="Times New Roman" w:eastAsia="Times New Roman" w:hAnsi="Times New Roman" w:cs="Times New Roman"/>
                <w:sz w:val="20"/>
                <w:szCs w:val="20"/>
                <w:vertAlign w:val="superscript"/>
                <w:lang w:eastAsia="en-GB"/>
              </w:rPr>
              <w:t>b</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32.5</w:t>
            </w:r>
            <w:r>
              <w:rPr>
                <w:rFonts w:ascii="Times New Roman" w:eastAsia="Times New Roman" w:hAnsi="Times New Roman" w:cs="Times New Roman"/>
                <w:sz w:val="20"/>
                <w:szCs w:val="20"/>
                <w:vertAlign w:val="superscript"/>
                <w:lang w:eastAsia="en-GB"/>
              </w:rPr>
              <w:t>b</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75.17</w:t>
            </w:r>
            <w:r>
              <w:rPr>
                <w:rFonts w:ascii="Times New Roman" w:eastAsia="Times New Roman" w:hAnsi="Times New Roman" w:cs="Times New Roman"/>
                <w:sz w:val="20"/>
                <w:szCs w:val="20"/>
                <w:vertAlign w:val="superscript"/>
                <w:lang w:eastAsia="en-GB"/>
              </w:rPr>
              <w:t>ab</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145.33</w:t>
            </w:r>
            <w:r>
              <w:rPr>
                <w:rFonts w:ascii="Times New Roman" w:eastAsia="Times New Roman" w:hAnsi="Times New Roman" w:cs="Times New Roman"/>
                <w:sz w:val="20"/>
                <w:szCs w:val="20"/>
                <w:vertAlign w:val="superscript"/>
                <w:lang w:eastAsia="en-GB"/>
              </w:rPr>
              <w:t>bc</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122.33</w:t>
            </w:r>
            <w:r>
              <w:rPr>
                <w:rFonts w:ascii="Times New Roman" w:eastAsia="Times New Roman" w:hAnsi="Times New Roman" w:cs="Times New Roman"/>
                <w:sz w:val="20"/>
                <w:szCs w:val="20"/>
                <w:vertAlign w:val="superscript"/>
                <w:lang w:eastAsia="en-GB"/>
              </w:rPr>
              <w:t>b</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267.67</w:t>
            </w:r>
            <w:r>
              <w:rPr>
                <w:rFonts w:ascii="Times New Roman" w:eastAsia="Times New Roman" w:hAnsi="Times New Roman" w:cs="Times New Roman"/>
                <w:sz w:val="20"/>
                <w:szCs w:val="20"/>
                <w:vertAlign w:val="superscript"/>
                <w:lang w:eastAsia="en-GB"/>
              </w:rPr>
              <w:t>bc</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36.33</w:t>
            </w:r>
            <w:r>
              <w:rPr>
                <w:rFonts w:ascii="Times New Roman" w:eastAsia="Times New Roman" w:hAnsi="Times New Roman" w:cs="Times New Roman"/>
                <w:sz w:val="20"/>
                <w:szCs w:val="20"/>
                <w:vertAlign w:val="superscript"/>
                <w:lang w:eastAsia="en-GB"/>
              </w:rPr>
              <w:t>bc</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30.58</w:t>
            </w:r>
            <w:r>
              <w:rPr>
                <w:rFonts w:ascii="Times New Roman" w:eastAsia="Times New Roman" w:hAnsi="Times New Roman" w:cs="Times New Roman"/>
                <w:sz w:val="20"/>
                <w:szCs w:val="20"/>
                <w:vertAlign w:val="superscript"/>
                <w:lang w:eastAsia="en-GB"/>
              </w:rPr>
              <w:t>b</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66.92</w:t>
            </w:r>
            <w:r>
              <w:rPr>
                <w:rFonts w:ascii="Times New Roman" w:eastAsia="Times New Roman" w:hAnsi="Times New Roman" w:cs="Times New Roman"/>
                <w:sz w:val="20"/>
                <w:szCs w:val="20"/>
                <w:vertAlign w:val="superscript"/>
                <w:lang w:eastAsia="en-GB"/>
              </w:rPr>
              <w:t>bc</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 + Pruning</w:t>
            </w:r>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142.33</w:t>
            </w:r>
            <w:r>
              <w:rPr>
                <w:rFonts w:ascii="Times New Roman" w:eastAsia="Times New Roman" w:hAnsi="Times New Roman" w:cs="Times New Roman"/>
                <w:sz w:val="20"/>
                <w:szCs w:val="20"/>
                <w:vertAlign w:val="superscript"/>
                <w:lang w:eastAsia="en-GB"/>
              </w:rPr>
              <w:t>bc</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144.67</w:t>
            </w:r>
            <w:r>
              <w:rPr>
                <w:rFonts w:ascii="Times New Roman" w:eastAsia="Times New Roman" w:hAnsi="Times New Roman" w:cs="Times New Roman"/>
                <w:sz w:val="20"/>
                <w:szCs w:val="20"/>
                <w:vertAlign w:val="superscript"/>
                <w:lang w:eastAsia="en-GB"/>
              </w:rPr>
              <w:t>ab</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287</w:t>
            </w:r>
            <w:r>
              <w:rPr>
                <w:rFonts w:ascii="Times New Roman" w:eastAsia="Times New Roman" w:hAnsi="Times New Roman" w:cs="Times New Roman"/>
                <w:sz w:val="20"/>
                <w:szCs w:val="20"/>
                <w:vertAlign w:val="superscript"/>
                <w:lang w:eastAsia="en-GB"/>
              </w:rPr>
              <w:t>b</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35.58</w:t>
            </w:r>
            <w:r>
              <w:rPr>
                <w:rFonts w:ascii="Times New Roman" w:eastAsia="Times New Roman" w:hAnsi="Times New Roman" w:cs="Times New Roman"/>
                <w:sz w:val="20"/>
                <w:szCs w:val="20"/>
                <w:vertAlign w:val="superscript"/>
                <w:lang w:eastAsia="en-GB"/>
              </w:rPr>
              <w:t>bc</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36.17</w:t>
            </w:r>
            <w:r>
              <w:rPr>
                <w:rFonts w:ascii="Times New Roman" w:eastAsia="Times New Roman" w:hAnsi="Times New Roman" w:cs="Times New Roman"/>
                <w:sz w:val="20"/>
                <w:szCs w:val="20"/>
                <w:vertAlign w:val="superscript"/>
                <w:lang w:eastAsia="en-GB"/>
              </w:rPr>
              <w:t>ab</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71.75</w:t>
            </w:r>
            <w:r>
              <w:rPr>
                <w:rFonts w:ascii="Times New Roman" w:eastAsia="Times New Roman" w:hAnsi="Times New Roman" w:cs="Times New Roman"/>
                <w:sz w:val="20"/>
                <w:szCs w:val="20"/>
                <w:vertAlign w:val="superscript"/>
                <w:lang w:eastAsia="en-GB"/>
              </w:rPr>
              <w:t>b</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137.33</w:t>
            </w:r>
            <w:r>
              <w:rPr>
                <w:rFonts w:ascii="Times New Roman" w:eastAsia="Times New Roman" w:hAnsi="Times New Roman" w:cs="Times New Roman"/>
                <w:sz w:val="20"/>
                <w:szCs w:val="20"/>
                <w:vertAlign w:val="superscript"/>
                <w:lang w:eastAsia="en-GB"/>
              </w:rPr>
              <w:t>bc</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132.67</w:t>
            </w:r>
            <w:r>
              <w:rPr>
                <w:rFonts w:ascii="Times New Roman" w:eastAsia="Times New Roman" w:hAnsi="Times New Roman" w:cs="Times New Roman"/>
                <w:sz w:val="20"/>
                <w:szCs w:val="20"/>
                <w:vertAlign w:val="superscript"/>
                <w:lang w:eastAsia="en-GB"/>
              </w:rPr>
              <w:t>b</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270</w:t>
            </w:r>
            <w:r>
              <w:rPr>
                <w:rFonts w:ascii="Times New Roman" w:eastAsia="Times New Roman" w:hAnsi="Times New Roman" w:cs="Times New Roman"/>
                <w:sz w:val="20"/>
                <w:szCs w:val="20"/>
                <w:vertAlign w:val="superscript"/>
                <w:lang w:eastAsia="en-GB"/>
              </w:rPr>
              <w:t>bc</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34.33</w:t>
            </w:r>
            <w:r>
              <w:rPr>
                <w:rFonts w:ascii="Times New Roman" w:eastAsia="Times New Roman" w:hAnsi="Times New Roman" w:cs="Times New Roman"/>
                <w:sz w:val="20"/>
                <w:szCs w:val="20"/>
                <w:vertAlign w:val="superscript"/>
                <w:lang w:eastAsia="en-GB"/>
              </w:rPr>
              <w:t>bc</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33.17</w:t>
            </w:r>
            <w:r>
              <w:rPr>
                <w:rFonts w:ascii="Times New Roman" w:eastAsia="Times New Roman" w:hAnsi="Times New Roman" w:cs="Times New Roman"/>
                <w:sz w:val="20"/>
                <w:szCs w:val="20"/>
                <w:vertAlign w:val="superscript"/>
                <w:lang w:eastAsia="en-GB"/>
              </w:rPr>
              <w:t>b</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67.5</w:t>
            </w:r>
            <w:r>
              <w:rPr>
                <w:rFonts w:ascii="Times New Roman" w:eastAsia="Times New Roman" w:hAnsi="Times New Roman" w:cs="Times New Roman"/>
                <w:sz w:val="20"/>
                <w:szCs w:val="20"/>
                <w:vertAlign w:val="superscript"/>
                <w:lang w:eastAsia="en-GB"/>
              </w:rPr>
              <w:t>bc</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w:t>
            </w:r>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115.67</w:t>
            </w:r>
            <w:r>
              <w:rPr>
                <w:rFonts w:ascii="Times New Roman" w:eastAsia="Times New Roman" w:hAnsi="Times New Roman" w:cs="Times New Roman"/>
                <w:sz w:val="20"/>
                <w:szCs w:val="20"/>
                <w:vertAlign w:val="superscript"/>
                <w:lang w:eastAsia="en-GB"/>
              </w:rPr>
              <w:t>c</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147</w:t>
            </w:r>
            <w:r>
              <w:rPr>
                <w:rFonts w:ascii="Times New Roman" w:eastAsia="Times New Roman" w:hAnsi="Times New Roman" w:cs="Times New Roman"/>
                <w:sz w:val="20"/>
                <w:szCs w:val="20"/>
                <w:vertAlign w:val="superscript"/>
                <w:lang w:eastAsia="en-GB"/>
              </w:rPr>
              <w:t>ab</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262.67</w:t>
            </w:r>
            <w:r>
              <w:rPr>
                <w:rFonts w:ascii="Times New Roman" w:eastAsia="Times New Roman" w:hAnsi="Times New Roman" w:cs="Times New Roman"/>
                <w:sz w:val="20"/>
                <w:szCs w:val="20"/>
                <w:vertAlign w:val="superscript"/>
                <w:lang w:eastAsia="en-GB"/>
              </w:rPr>
              <w:t>bc</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28.92</w:t>
            </w:r>
            <w:r>
              <w:rPr>
                <w:rFonts w:ascii="Times New Roman" w:eastAsia="Times New Roman" w:hAnsi="Times New Roman" w:cs="Times New Roman"/>
                <w:sz w:val="20"/>
                <w:szCs w:val="20"/>
                <w:vertAlign w:val="superscript"/>
                <w:lang w:eastAsia="en-GB"/>
              </w:rPr>
              <w:t>c</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36.75</w:t>
            </w:r>
            <w:r>
              <w:rPr>
                <w:rFonts w:ascii="Times New Roman" w:eastAsia="Times New Roman" w:hAnsi="Times New Roman" w:cs="Times New Roman"/>
                <w:sz w:val="20"/>
                <w:szCs w:val="20"/>
                <w:vertAlign w:val="superscript"/>
                <w:lang w:eastAsia="en-GB"/>
              </w:rPr>
              <w:t>ab</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65.67</w:t>
            </w:r>
            <w:r>
              <w:rPr>
                <w:rFonts w:ascii="Times New Roman" w:eastAsia="Times New Roman" w:hAnsi="Times New Roman" w:cs="Times New Roman"/>
                <w:sz w:val="20"/>
                <w:szCs w:val="20"/>
                <w:vertAlign w:val="superscript"/>
                <w:lang w:eastAsia="en-GB"/>
              </w:rPr>
              <w:t>bc</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Pruning</w:t>
            </w:r>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112</w:t>
            </w:r>
            <w:r>
              <w:rPr>
                <w:rFonts w:ascii="Times New Roman" w:eastAsia="Times New Roman" w:hAnsi="Times New Roman" w:cs="Times New Roman"/>
                <w:sz w:val="20"/>
                <w:szCs w:val="20"/>
                <w:vertAlign w:val="superscript"/>
                <w:lang w:eastAsia="en-GB"/>
              </w:rPr>
              <w:t>c</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154.67</w:t>
            </w:r>
            <w:r>
              <w:rPr>
                <w:rFonts w:ascii="Times New Roman" w:eastAsia="Times New Roman" w:hAnsi="Times New Roman" w:cs="Times New Roman"/>
                <w:sz w:val="20"/>
                <w:szCs w:val="20"/>
                <w:vertAlign w:val="superscript"/>
                <w:lang w:eastAsia="en-GB"/>
              </w:rPr>
              <w:t>ab</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266.67</w:t>
            </w:r>
            <w:r>
              <w:rPr>
                <w:rFonts w:ascii="Times New Roman" w:eastAsia="Times New Roman" w:hAnsi="Times New Roman" w:cs="Times New Roman"/>
                <w:sz w:val="20"/>
                <w:szCs w:val="20"/>
                <w:vertAlign w:val="superscript"/>
                <w:lang w:eastAsia="en-GB"/>
              </w:rPr>
              <w:t>bc</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28</w:t>
            </w:r>
            <w:r>
              <w:rPr>
                <w:rFonts w:ascii="Times New Roman" w:eastAsia="Times New Roman" w:hAnsi="Times New Roman" w:cs="Times New Roman"/>
                <w:sz w:val="20"/>
                <w:szCs w:val="20"/>
                <w:vertAlign w:val="superscript"/>
                <w:lang w:eastAsia="en-GB"/>
              </w:rPr>
              <w:t>c</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38.67</w:t>
            </w:r>
            <w:r>
              <w:rPr>
                <w:rFonts w:ascii="Times New Roman" w:eastAsia="Times New Roman" w:hAnsi="Times New Roman" w:cs="Times New Roman"/>
                <w:sz w:val="20"/>
                <w:szCs w:val="20"/>
                <w:vertAlign w:val="superscript"/>
                <w:lang w:eastAsia="en-GB"/>
              </w:rPr>
              <w:t>ab</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66.67</w:t>
            </w:r>
            <w:r>
              <w:rPr>
                <w:rFonts w:ascii="Times New Roman" w:eastAsia="Times New Roman" w:hAnsi="Times New Roman" w:cs="Times New Roman"/>
                <w:sz w:val="20"/>
                <w:szCs w:val="20"/>
                <w:vertAlign w:val="superscript"/>
                <w:lang w:eastAsia="en-GB"/>
              </w:rPr>
              <w:t>bc</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Control</w:t>
            </w:r>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43.33</w:t>
            </w:r>
            <w:r>
              <w:rPr>
                <w:rFonts w:ascii="Times New Roman" w:eastAsia="Times New Roman" w:hAnsi="Times New Roman" w:cs="Times New Roman"/>
                <w:sz w:val="20"/>
                <w:szCs w:val="20"/>
                <w:vertAlign w:val="superscript"/>
                <w:lang w:eastAsia="en-GB"/>
              </w:rPr>
              <w:t>d</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176.67</w:t>
            </w:r>
            <w:r>
              <w:rPr>
                <w:rFonts w:ascii="Times New Roman" w:eastAsia="Times New Roman" w:hAnsi="Times New Roman" w:cs="Times New Roman"/>
                <w:sz w:val="20"/>
                <w:szCs w:val="20"/>
                <w:vertAlign w:val="superscript"/>
                <w:lang w:eastAsia="en-GB"/>
              </w:rPr>
              <w:t>a</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220</w:t>
            </w:r>
            <w:r>
              <w:rPr>
                <w:rFonts w:ascii="Times New Roman" w:eastAsia="Times New Roman" w:hAnsi="Times New Roman" w:cs="Times New Roman"/>
                <w:sz w:val="20"/>
                <w:szCs w:val="20"/>
                <w:vertAlign w:val="superscript"/>
                <w:lang w:eastAsia="en-GB"/>
              </w:rPr>
              <w:t>c</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10.83</w:t>
            </w:r>
            <w:r>
              <w:rPr>
                <w:rFonts w:ascii="Times New Roman" w:eastAsia="Times New Roman" w:hAnsi="Times New Roman" w:cs="Times New Roman"/>
                <w:sz w:val="20"/>
                <w:szCs w:val="20"/>
                <w:vertAlign w:val="superscript"/>
                <w:lang w:eastAsia="en-GB"/>
              </w:rPr>
              <w:t>d</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44.17</w:t>
            </w:r>
            <w:r>
              <w:rPr>
                <w:rFonts w:ascii="Times New Roman" w:eastAsia="Times New Roman" w:hAnsi="Times New Roman" w:cs="Times New Roman"/>
                <w:sz w:val="20"/>
                <w:szCs w:val="20"/>
                <w:vertAlign w:val="superscript"/>
                <w:lang w:eastAsia="en-GB"/>
              </w:rPr>
              <w:t>a</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55</w:t>
            </w:r>
            <w:r>
              <w:rPr>
                <w:rFonts w:ascii="Times New Roman" w:eastAsia="Times New Roman" w:hAnsi="Times New Roman" w:cs="Times New Roman"/>
                <w:sz w:val="20"/>
                <w:szCs w:val="20"/>
                <w:vertAlign w:val="superscript"/>
                <w:lang w:eastAsia="en-GB"/>
              </w:rPr>
              <w:t>c</w:t>
            </w:r>
          </w:p>
        </w:tc>
      </w:tr>
      <w:tr w:rsidR="009C5B70">
        <w:trPr>
          <w:trHeight w:val="343"/>
        </w:trPr>
        <w:tc>
          <w:tcPr>
            <w:tcW w:w="1188"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Mean</w:t>
            </w:r>
          </w:p>
        </w:tc>
        <w:tc>
          <w:tcPr>
            <w:tcW w:w="655"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141.1</w:t>
            </w:r>
          </w:p>
        </w:tc>
        <w:tc>
          <w:tcPr>
            <w:tcW w:w="739"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136.4</w:t>
            </w:r>
          </w:p>
        </w:tc>
        <w:tc>
          <w:tcPr>
            <w:tcW w:w="558"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277.5</w:t>
            </w:r>
          </w:p>
        </w:tc>
        <w:tc>
          <w:tcPr>
            <w:tcW w:w="608"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35.3</w:t>
            </w:r>
          </w:p>
        </w:tc>
        <w:tc>
          <w:tcPr>
            <w:tcW w:w="759"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34.1</w:t>
            </w:r>
          </w:p>
        </w:tc>
        <w:tc>
          <w:tcPr>
            <w:tcW w:w="488"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69.4</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SEm</w:t>
            </w:r>
            <w:proofErr w:type="spellEnd"/>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7.8</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6.6</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11.5</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1.9</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1.9</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2.7</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LSD</w:t>
            </w:r>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38.41</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32.54</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56.91</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9.6</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8.13</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14.23</w:t>
            </w:r>
          </w:p>
        </w:tc>
      </w:tr>
      <w:tr w:rsidR="009C5B70">
        <w:trPr>
          <w:trHeight w:val="312"/>
        </w:trPr>
        <w:tc>
          <w:tcPr>
            <w:tcW w:w="1188"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CV%</w:t>
            </w:r>
          </w:p>
        </w:tc>
        <w:tc>
          <w:tcPr>
            <w:tcW w:w="6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15.54</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13.62</w:t>
            </w:r>
          </w:p>
        </w:tc>
        <w:tc>
          <w:tcPr>
            <w:tcW w:w="55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11.71</w:t>
            </w:r>
          </w:p>
        </w:tc>
        <w:tc>
          <w:tcPr>
            <w:tcW w:w="60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15.54</w:t>
            </w:r>
          </w:p>
        </w:tc>
        <w:tc>
          <w:tcPr>
            <w:tcW w:w="759"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13.62</w:t>
            </w:r>
          </w:p>
        </w:tc>
        <w:tc>
          <w:tcPr>
            <w:tcW w:w="488"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11.71</w:t>
            </w:r>
          </w:p>
        </w:tc>
      </w:tr>
      <w:tr w:rsidR="009C5B70">
        <w:trPr>
          <w:trHeight w:val="312"/>
        </w:trPr>
        <w:tc>
          <w:tcPr>
            <w:tcW w:w="118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Sign.difference</w:t>
            </w:r>
            <w:proofErr w:type="spellEnd"/>
          </w:p>
        </w:tc>
        <w:tc>
          <w:tcPr>
            <w:tcW w:w="65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739"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55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60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759"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488"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9C5B70">
        <w:trPr>
          <w:trHeight w:val="746"/>
        </w:trPr>
        <w:tc>
          <w:tcPr>
            <w:tcW w:w="5000" w:type="pct"/>
            <w:gridSpan w:val="7"/>
            <w:tcBorders>
              <w:top w:val="nil"/>
              <w:left w:val="nil"/>
              <w:bottom w:val="nil"/>
              <w:right w:val="nil"/>
            </w:tcBorders>
            <w:shd w:val="clear" w:color="auto" w:fill="auto"/>
          </w:tcPr>
          <w:p w:rsidR="009C5B70" w:rsidRDefault="006605DA">
            <w:pPr>
              <w:snapToGrid w:val="0"/>
              <w:spacing w:after="0" w:line="240" w:lineRule="auto"/>
              <w:jc w:val="both"/>
              <w:rPr>
                <w:rFonts w:ascii="Times New Roman" w:eastAsia="Times New Roman" w:hAnsi="Times New Roman" w:cs="Times New Roman"/>
                <w:sz w:val="20"/>
                <w:szCs w:val="20"/>
                <w:lang w:eastAsia="en-GB"/>
              </w:rPr>
            </w:pPr>
            <w:r>
              <w:rPr>
                <w:rFonts w:ascii="Times New Roman" w:hAnsi="Times New Roman" w:cs="Times New Roman"/>
                <w:sz w:val="20"/>
                <w:szCs w:val="20"/>
              </w:rPr>
              <w:t xml:space="preserve">Values in each column of the same letter are not significantly different; </w:t>
            </w:r>
            <w:proofErr w:type="spellStart"/>
            <w:r>
              <w:rPr>
                <w:rFonts w:ascii="Times New Roman" w:eastAsia="Times New Roman" w:hAnsi="Times New Roman" w:cs="Times New Roman"/>
                <w:sz w:val="20"/>
                <w:szCs w:val="20"/>
                <w:lang w:eastAsia="en-GB"/>
              </w:rPr>
              <w:t>SE</w:t>
            </w:r>
            <w:r>
              <w:rPr>
                <w:rFonts w:ascii="Times New Roman" w:eastAsia="Times New Roman" w:hAnsi="Times New Roman" w:cs="Times New Roman"/>
                <w:sz w:val="20"/>
                <w:szCs w:val="20"/>
                <w:vertAlign w:val="subscript"/>
                <w:lang w:eastAsia="en-GB"/>
              </w:rPr>
              <w:t>m</w:t>
            </w:r>
            <w:proofErr w:type="spellEnd"/>
            <w:r>
              <w:rPr>
                <w:rFonts w:ascii="Times New Roman" w:eastAsia="Times New Roman" w:hAnsi="Times New Roman" w:cs="Times New Roman"/>
                <w:sz w:val="20"/>
                <w:szCs w:val="20"/>
                <w:lang w:eastAsia="en-GB"/>
              </w:rPr>
              <w:t>=</w:t>
            </w:r>
            <w:r>
              <w:rPr>
                <w:rFonts w:ascii="Times New Roman" w:eastAsiaTheme="minorEastAsia" w:hAnsi="Times New Roman" w:cs="Times New Roman"/>
                <w:sz w:val="20"/>
                <w:szCs w:val="20"/>
                <w:lang w:val="en-US"/>
              </w:rPr>
              <w:t xml:space="preserve"> </w:t>
            </w:r>
            <w:r>
              <w:rPr>
                <w:rFonts w:ascii="Times New Roman" w:hAnsi="Times New Roman" w:cs="Times New Roman"/>
                <w:sz w:val="20"/>
                <w:szCs w:val="20"/>
              </w:rPr>
              <w:t>Standard error of mean</w:t>
            </w:r>
            <w:r>
              <w:rPr>
                <w:rFonts w:ascii="Times New Roman" w:eastAsia="Times New Roman" w:hAnsi="Times New Roman" w:cs="Times New Roman"/>
                <w:sz w:val="20"/>
                <w:szCs w:val="20"/>
                <w:lang w:eastAsia="en-GB"/>
              </w:rPr>
              <w:t>;</w:t>
            </w:r>
            <w:r>
              <w:rPr>
                <w:rFonts w:ascii="Times New Roman" w:hAnsi="Times New Roman" w:cs="Times New Roman"/>
                <w:sz w:val="20"/>
                <w:szCs w:val="20"/>
              </w:rPr>
              <w:t xml:space="preserve"> LSD=</w:t>
            </w:r>
            <w:r>
              <w:rPr>
                <w:rFonts w:ascii="Times New Roman" w:eastAsiaTheme="minorEastAsia" w:hAnsi="Times New Roman" w:cs="Times New Roman"/>
                <w:sz w:val="20"/>
                <w:szCs w:val="20"/>
                <w:lang w:val="en-US"/>
              </w:rPr>
              <w:t xml:space="preserve">Least Significant Difference; </w:t>
            </w:r>
            <w:r>
              <w:rPr>
                <w:rFonts w:ascii="Times New Roman" w:eastAsia="Times New Roman" w:hAnsi="Times New Roman" w:cs="Times New Roman"/>
                <w:sz w:val="20"/>
                <w:szCs w:val="20"/>
                <w:lang w:val="en-US" w:eastAsia="en-GB"/>
              </w:rPr>
              <w:t>CV=</w:t>
            </w:r>
            <w:r>
              <w:rPr>
                <w:rFonts w:ascii="Times New Roman" w:hAnsi="Times New Roman" w:cs="Times New Roman"/>
                <w:bCs/>
                <w:sz w:val="20"/>
                <w:szCs w:val="20"/>
              </w:rPr>
              <w:t>Coefficient of Variation;</w:t>
            </w:r>
            <w:r>
              <w:rPr>
                <w:rFonts w:ascii="Times New Roman" w:eastAsiaTheme="minorEastAsia" w:hAnsi="Times New Roman" w:cs="Times New Roman"/>
                <w:sz w:val="20"/>
                <w:szCs w:val="20"/>
                <w:lang w:val="en-US"/>
              </w:rPr>
              <w:t xml:space="preserve"> </w:t>
            </w:r>
            <w:r>
              <w:rPr>
                <w:rFonts w:ascii="Times New Roman" w:hAnsi="Times New Roman" w:cs="Times New Roman"/>
                <w:sz w:val="20"/>
                <w:szCs w:val="20"/>
              </w:rPr>
              <w:t>* significant at P &lt; .05; ** significant at .01</w:t>
            </w:r>
            <w:r>
              <w:rPr>
                <w:rFonts w:ascii="Times New Roman" w:eastAsia="Times New Roman" w:hAnsi="Times New Roman" w:cs="Times New Roman"/>
                <w:sz w:val="20"/>
                <w:szCs w:val="20"/>
                <w:lang w:val="en-US" w:eastAsia="en-GB"/>
              </w:rPr>
              <w:t xml:space="preserve">; </w:t>
            </w:r>
            <w:r>
              <w:rPr>
                <w:rFonts w:ascii="Times New Roman" w:hAnsi="Times New Roman" w:cs="Times New Roman"/>
                <w:sz w:val="20"/>
                <w:szCs w:val="20"/>
              </w:rPr>
              <w:t>ns=</w:t>
            </w:r>
            <w:proofErr w:type="spellStart"/>
            <w:r>
              <w:rPr>
                <w:rFonts w:ascii="Times New Roman" w:hAnsi="Times New Roman" w:cs="Times New Roman"/>
                <w:sz w:val="20"/>
                <w:szCs w:val="20"/>
              </w:rPr>
              <w:t>Non_significant</w:t>
            </w:r>
            <w:proofErr w:type="spellEnd"/>
          </w:p>
        </w:tc>
      </w:tr>
    </w:tbl>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Cost benefit analysis Partial budget analysis for white mango scale management experiment: Table 6 illustrates the partial budget analysis of treatments. ETB18/Kg was used as farm gate price. Adjusted yield, total costs that vary and net benefit was done for each treatment</w:t>
      </w:r>
    </w:p>
    <w:p w:rsidR="009C5B70" w:rsidRDefault="009C5B70">
      <w:pPr>
        <w:snapToGrid w:val="0"/>
        <w:spacing w:after="0" w:line="240" w:lineRule="auto"/>
        <w:jc w:val="both"/>
        <w:rPr>
          <w:rFonts w:ascii="Times New Roman" w:hAnsi="Times New Roman" w:cs="Times New Roman"/>
          <w:sz w:val="20"/>
          <w:szCs w:val="20"/>
        </w:rPr>
      </w:pPr>
    </w:p>
    <w:p w:rsidR="009C5B70" w:rsidRDefault="006605DA">
      <w:pPr>
        <w:pStyle w:val="Caption"/>
        <w:keepNext/>
        <w:snapToGrid w:val="0"/>
        <w:spacing w:after="0"/>
        <w:jc w:val="both"/>
        <w:rPr>
          <w:rFonts w:ascii="Times New Roman" w:hAnsi="Times New Roman" w:cs="Times New Roman"/>
          <w:b w:val="0"/>
          <w:color w:val="auto"/>
          <w:sz w:val="20"/>
          <w:szCs w:val="20"/>
        </w:rPr>
      </w:pPr>
      <w:r>
        <w:rPr>
          <w:rFonts w:ascii="Times New Roman" w:hAnsi="Times New Roman" w:cs="Times New Roman"/>
          <w:color w:val="auto"/>
          <w:sz w:val="20"/>
          <w:szCs w:val="20"/>
        </w:rPr>
        <w:lastRenderedPageBreak/>
        <w:t xml:space="preserve">Table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Table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6</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Partial budget analysis for white mango scale management experiment</w:t>
      </w:r>
    </w:p>
    <w:tbl>
      <w:tblPr>
        <w:tblW w:w="4876" w:type="pct"/>
        <w:tblLayout w:type="fixed"/>
        <w:tblLook w:val="04A0" w:firstRow="1" w:lastRow="0" w:firstColumn="1" w:lastColumn="0" w:noHBand="0" w:noVBand="1"/>
      </w:tblPr>
      <w:tblGrid>
        <w:gridCol w:w="2257"/>
        <w:gridCol w:w="813"/>
        <w:gridCol w:w="806"/>
        <w:gridCol w:w="716"/>
        <w:gridCol w:w="880"/>
        <w:gridCol w:w="831"/>
        <w:gridCol w:w="918"/>
        <w:gridCol w:w="969"/>
        <w:gridCol w:w="938"/>
      </w:tblGrid>
      <w:tr w:rsidR="009C5B70">
        <w:trPr>
          <w:trHeight w:hRule="exact" w:val="206"/>
        </w:trPr>
        <w:tc>
          <w:tcPr>
            <w:tcW w:w="1236"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w:t>
            </w:r>
          </w:p>
        </w:tc>
        <w:tc>
          <w:tcPr>
            <w:tcW w:w="3763" w:type="pct"/>
            <w:gridSpan w:val="8"/>
            <w:tcBorders>
              <w:top w:val="single" w:sz="4" w:space="0" w:color="auto"/>
              <w:left w:val="nil"/>
              <w:bottom w:val="single" w:sz="4" w:space="0" w:color="auto"/>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Treatments</w:t>
            </w:r>
          </w:p>
        </w:tc>
      </w:tr>
      <w:tr w:rsidR="009C5B70">
        <w:trPr>
          <w:trHeight w:hRule="exact" w:val="206"/>
        </w:trPr>
        <w:tc>
          <w:tcPr>
            <w:tcW w:w="1236"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Item</w:t>
            </w:r>
          </w:p>
        </w:tc>
        <w:tc>
          <w:tcPr>
            <w:tcW w:w="445"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Control</w:t>
            </w:r>
          </w:p>
        </w:tc>
        <w:tc>
          <w:tcPr>
            <w:tcW w:w="441"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Pruning</w:t>
            </w:r>
          </w:p>
        </w:tc>
        <w:tc>
          <w:tcPr>
            <w:tcW w:w="392"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 extract</w:t>
            </w:r>
          </w:p>
        </w:tc>
        <w:tc>
          <w:tcPr>
            <w:tcW w:w="482"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r>
              <w:rPr>
                <w:rFonts w:ascii="Times New Roman" w:eastAsia="Times New Roman" w:hAnsi="Times New Roman" w:cs="Times New Roman"/>
                <w:sz w:val="20"/>
                <w:szCs w:val="20"/>
                <w:lang w:eastAsia="en-GB"/>
              </w:rPr>
              <w:t xml:space="preserve"> 40%EC</w:t>
            </w:r>
          </w:p>
        </w:tc>
        <w:tc>
          <w:tcPr>
            <w:tcW w:w="455"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 + pruning</w:t>
            </w:r>
          </w:p>
        </w:tc>
        <w:tc>
          <w:tcPr>
            <w:tcW w:w="503"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r>
              <w:rPr>
                <w:rFonts w:ascii="Times New Roman" w:eastAsia="Times New Roman" w:hAnsi="Times New Roman" w:cs="Times New Roman"/>
                <w:sz w:val="20"/>
                <w:szCs w:val="20"/>
                <w:lang w:eastAsia="en-GB"/>
              </w:rPr>
              <w:t xml:space="preserve"> 20SL</w:t>
            </w:r>
          </w:p>
        </w:tc>
        <w:tc>
          <w:tcPr>
            <w:tcW w:w="531"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r>
              <w:rPr>
                <w:rFonts w:ascii="Times New Roman" w:eastAsia="Times New Roman" w:hAnsi="Times New Roman" w:cs="Times New Roman"/>
                <w:sz w:val="20"/>
                <w:szCs w:val="20"/>
                <w:lang w:eastAsia="en-GB"/>
              </w:rPr>
              <w:t xml:space="preserve"> 40%EC + pruning</w:t>
            </w:r>
          </w:p>
        </w:tc>
        <w:tc>
          <w:tcPr>
            <w:tcW w:w="510"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r>
              <w:rPr>
                <w:rFonts w:ascii="Times New Roman" w:eastAsia="Times New Roman" w:hAnsi="Times New Roman" w:cs="Times New Roman"/>
                <w:sz w:val="20"/>
                <w:szCs w:val="20"/>
                <w:lang w:eastAsia="en-GB"/>
              </w:rPr>
              <w:t xml:space="preserve"> 20SL + pruning</w:t>
            </w:r>
          </w:p>
        </w:tc>
      </w:tr>
      <w:tr w:rsidR="009C5B70">
        <w:trPr>
          <w:trHeight w:val="580"/>
        </w:trPr>
        <w:tc>
          <w:tcPr>
            <w:tcW w:w="1236"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Average yield (kg/tree)</w:t>
            </w:r>
          </w:p>
        </w:tc>
        <w:tc>
          <w:tcPr>
            <w:tcW w:w="44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10.83</w:t>
            </w:r>
          </w:p>
        </w:tc>
        <w:tc>
          <w:tcPr>
            <w:tcW w:w="44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28</w:t>
            </w:r>
          </w:p>
        </w:tc>
        <w:tc>
          <w:tcPr>
            <w:tcW w:w="39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28.92</w:t>
            </w:r>
          </w:p>
        </w:tc>
        <w:tc>
          <w:tcPr>
            <w:tcW w:w="48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34.33</w:t>
            </w:r>
          </w:p>
        </w:tc>
        <w:tc>
          <w:tcPr>
            <w:tcW w:w="4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35.58</w:t>
            </w:r>
          </w:p>
        </w:tc>
        <w:tc>
          <w:tcPr>
            <w:tcW w:w="503"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36.33</w:t>
            </w:r>
          </w:p>
        </w:tc>
        <w:tc>
          <w:tcPr>
            <w:tcW w:w="53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42.67</w:t>
            </w:r>
          </w:p>
        </w:tc>
        <w:tc>
          <w:tcPr>
            <w:tcW w:w="51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65.5</w:t>
            </w:r>
          </w:p>
        </w:tc>
      </w:tr>
      <w:tr w:rsidR="009C5B70">
        <w:trPr>
          <w:trHeight w:val="1059"/>
        </w:trPr>
        <w:tc>
          <w:tcPr>
            <w:tcW w:w="1236"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Adjusted yield (kg/tree)</w:t>
            </w:r>
          </w:p>
        </w:tc>
        <w:tc>
          <w:tcPr>
            <w:tcW w:w="44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9.747</w:t>
            </w:r>
          </w:p>
        </w:tc>
        <w:tc>
          <w:tcPr>
            <w:tcW w:w="44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25.2</w:t>
            </w:r>
          </w:p>
        </w:tc>
        <w:tc>
          <w:tcPr>
            <w:tcW w:w="39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26.028</w:t>
            </w:r>
          </w:p>
        </w:tc>
        <w:tc>
          <w:tcPr>
            <w:tcW w:w="48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30.897</w:t>
            </w:r>
          </w:p>
        </w:tc>
        <w:tc>
          <w:tcPr>
            <w:tcW w:w="4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32.022</w:t>
            </w:r>
          </w:p>
        </w:tc>
        <w:tc>
          <w:tcPr>
            <w:tcW w:w="503"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32.697</w:t>
            </w:r>
          </w:p>
        </w:tc>
        <w:tc>
          <w:tcPr>
            <w:tcW w:w="53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38.403</w:t>
            </w:r>
          </w:p>
        </w:tc>
        <w:tc>
          <w:tcPr>
            <w:tcW w:w="51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58.95</w:t>
            </w:r>
          </w:p>
        </w:tc>
      </w:tr>
      <w:tr w:rsidR="009C5B70">
        <w:trPr>
          <w:trHeight w:val="1059"/>
        </w:trPr>
        <w:tc>
          <w:tcPr>
            <w:tcW w:w="1236"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Gross field benefits (ETB/tree)</w:t>
            </w:r>
          </w:p>
        </w:tc>
        <w:tc>
          <w:tcPr>
            <w:tcW w:w="44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175.446</w:t>
            </w:r>
          </w:p>
        </w:tc>
        <w:tc>
          <w:tcPr>
            <w:tcW w:w="44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453.6</w:t>
            </w:r>
          </w:p>
        </w:tc>
        <w:tc>
          <w:tcPr>
            <w:tcW w:w="39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468.50</w:t>
            </w:r>
          </w:p>
        </w:tc>
        <w:tc>
          <w:tcPr>
            <w:tcW w:w="48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556.146</w:t>
            </w:r>
          </w:p>
        </w:tc>
        <w:tc>
          <w:tcPr>
            <w:tcW w:w="4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576.396</w:t>
            </w:r>
          </w:p>
        </w:tc>
        <w:tc>
          <w:tcPr>
            <w:tcW w:w="503"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588.546</w:t>
            </w:r>
          </w:p>
        </w:tc>
        <w:tc>
          <w:tcPr>
            <w:tcW w:w="53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691.254</w:t>
            </w:r>
          </w:p>
        </w:tc>
        <w:tc>
          <w:tcPr>
            <w:tcW w:w="51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1061.1</w:t>
            </w:r>
          </w:p>
        </w:tc>
      </w:tr>
      <w:tr w:rsidR="009C5B70">
        <w:trPr>
          <w:trHeight w:val="1112"/>
        </w:trPr>
        <w:tc>
          <w:tcPr>
            <w:tcW w:w="1236"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cost of insecticide (ETB/tree)</w:t>
            </w:r>
          </w:p>
        </w:tc>
        <w:tc>
          <w:tcPr>
            <w:tcW w:w="445"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41"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392"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82"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3.94</w:t>
            </w:r>
          </w:p>
        </w:tc>
        <w:tc>
          <w:tcPr>
            <w:tcW w:w="455"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503"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9.36</w:t>
            </w:r>
          </w:p>
        </w:tc>
        <w:tc>
          <w:tcPr>
            <w:tcW w:w="531"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3.94</w:t>
            </w:r>
          </w:p>
        </w:tc>
        <w:tc>
          <w:tcPr>
            <w:tcW w:w="510" w:type="pct"/>
            <w:tcBorders>
              <w:top w:val="single" w:sz="4" w:space="0" w:color="auto"/>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9.36</w:t>
            </w:r>
          </w:p>
        </w:tc>
      </w:tr>
      <w:tr w:rsidR="009C5B70">
        <w:trPr>
          <w:trHeight w:val="1059"/>
        </w:trPr>
        <w:tc>
          <w:tcPr>
            <w:tcW w:w="1236"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cost of white oil (ETB/tree)</w:t>
            </w:r>
          </w:p>
        </w:tc>
        <w:tc>
          <w:tcPr>
            <w:tcW w:w="44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4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39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10.3</w:t>
            </w:r>
          </w:p>
        </w:tc>
        <w:tc>
          <w:tcPr>
            <w:tcW w:w="482" w:type="pct"/>
            <w:tcBorders>
              <w:top w:val="nil"/>
              <w:left w:val="nil"/>
              <w:bottom w:val="nil"/>
              <w:right w:val="nil"/>
            </w:tcBorders>
            <w:shd w:val="clear" w:color="auto" w:fill="auto"/>
            <w:noWrap/>
            <w:vAlign w:val="bottom"/>
          </w:tcPr>
          <w:p w:rsidR="009C5B70" w:rsidRDefault="009C5B70">
            <w:pPr>
              <w:snapToGrid w:val="0"/>
              <w:spacing w:after="0" w:line="240" w:lineRule="auto"/>
              <w:jc w:val="right"/>
              <w:rPr>
                <w:rFonts w:ascii="Times New Roman" w:eastAsia="Times New Roman" w:hAnsi="Times New Roman" w:cs="Times New Roman"/>
                <w:sz w:val="20"/>
                <w:szCs w:val="20"/>
                <w:lang w:eastAsia="en-GB"/>
              </w:rPr>
            </w:pPr>
          </w:p>
        </w:tc>
        <w:tc>
          <w:tcPr>
            <w:tcW w:w="4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10.3</w:t>
            </w:r>
          </w:p>
        </w:tc>
        <w:tc>
          <w:tcPr>
            <w:tcW w:w="503"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53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51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r>
      <w:tr w:rsidR="009C5B70">
        <w:trPr>
          <w:trHeight w:val="1059"/>
        </w:trPr>
        <w:tc>
          <w:tcPr>
            <w:tcW w:w="1236"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Cost of </w:t>
            </w:r>
            <w:proofErr w:type="spellStart"/>
            <w:r>
              <w:rPr>
                <w:rFonts w:ascii="Times New Roman" w:eastAsia="Times New Roman" w:hAnsi="Times New Roman" w:cs="Times New Roman"/>
                <w:sz w:val="20"/>
                <w:szCs w:val="20"/>
                <w:lang w:eastAsia="en-GB"/>
              </w:rPr>
              <w:t>labor</w:t>
            </w:r>
            <w:proofErr w:type="spellEnd"/>
            <w:r>
              <w:rPr>
                <w:rFonts w:ascii="Times New Roman" w:eastAsia="Times New Roman" w:hAnsi="Times New Roman" w:cs="Times New Roman"/>
                <w:sz w:val="20"/>
                <w:szCs w:val="20"/>
                <w:lang w:eastAsia="en-GB"/>
              </w:rPr>
              <w:t xml:space="preserve"> to apply insecticide (ETB/tree)</w:t>
            </w:r>
          </w:p>
        </w:tc>
        <w:tc>
          <w:tcPr>
            <w:tcW w:w="44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4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39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8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90</w:t>
            </w:r>
          </w:p>
        </w:tc>
        <w:tc>
          <w:tcPr>
            <w:tcW w:w="4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503"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90</w:t>
            </w:r>
          </w:p>
        </w:tc>
        <w:tc>
          <w:tcPr>
            <w:tcW w:w="53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90</w:t>
            </w:r>
          </w:p>
        </w:tc>
        <w:tc>
          <w:tcPr>
            <w:tcW w:w="51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90</w:t>
            </w:r>
          </w:p>
        </w:tc>
      </w:tr>
      <w:tr w:rsidR="009C5B70">
        <w:trPr>
          <w:trHeight w:val="1059"/>
        </w:trPr>
        <w:tc>
          <w:tcPr>
            <w:tcW w:w="1236"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Cost of sprayer rental (ETB/tree)</w:t>
            </w:r>
          </w:p>
        </w:tc>
        <w:tc>
          <w:tcPr>
            <w:tcW w:w="44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4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39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40</w:t>
            </w:r>
          </w:p>
        </w:tc>
        <w:tc>
          <w:tcPr>
            <w:tcW w:w="48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60</w:t>
            </w:r>
          </w:p>
        </w:tc>
        <w:tc>
          <w:tcPr>
            <w:tcW w:w="4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40</w:t>
            </w:r>
          </w:p>
        </w:tc>
        <w:tc>
          <w:tcPr>
            <w:tcW w:w="503"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60</w:t>
            </w:r>
          </w:p>
        </w:tc>
        <w:tc>
          <w:tcPr>
            <w:tcW w:w="53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60</w:t>
            </w:r>
          </w:p>
        </w:tc>
        <w:tc>
          <w:tcPr>
            <w:tcW w:w="51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60</w:t>
            </w:r>
          </w:p>
        </w:tc>
      </w:tr>
      <w:tr w:rsidR="009C5B70">
        <w:trPr>
          <w:trHeight w:val="1059"/>
        </w:trPr>
        <w:tc>
          <w:tcPr>
            <w:tcW w:w="1236" w:type="pct"/>
            <w:tcBorders>
              <w:top w:val="nil"/>
              <w:left w:val="nil"/>
              <w:bottom w:val="nil"/>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Cost of </w:t>
            </w:r>
            <w:proofErr w:type="spellStart"/>
            <w:r>
              <w:rPr>
                <w:rFonts w:ascii="Times New Roman" w:eastAsia="Times New Roman" w:hAnsi="Times New Roman" w:cs="Times New Roman"/>
                <w:sz w:val="20"/>
                <w:szCs w:val="20"/>
                <w:lang w:eastAsia="en-GB"/>
              </w:rPr>
              <w:t>labor</w:t>
            </w:r>
            <w:proofErr w:type="spellEnd"/>
            <w:r>
              <w:rPr>
                <w:rFonts w:ascii="Times New Roman" w:eastAsia="Times New Roman" w:hAnsi="Times New Roman" w:cs="Times New Roman"/>
                <w:sz w:val="20"/>
                <w:szCs w:val="20"/>
                <w:lang w:eastAsia="en-GB"/>
              </w:rPr>
              <w:t xml:space="preserve"> to apply white oil (ETB/tree)</w:t>
            </w:r>
          </w:p>
        </w:tc>
        <w:tc>
          <w:tcPr>
            <w:tcW w:w="44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4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39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30</w:t>
            </w:r>
          </w:p>
        </w:tc>
        <w:tc>
          <w:tcPr>
            <w:tcW w:w="482"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5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30</w:t>
            </w:r>
          </w:p>
        </w:tc>
        <w:tc>
          <w:tcPr>
            <w:tcW w:w="503"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531"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51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r>
      <w:tr w:rsidR="009C5B70">
        <w:trPr>
          <w:trHeight w:val="1059"/>
        </w:trPr>
        <w:tc>
          <w:tcPr>
            <w:tcW w:w="1236"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Cost of </w:t>
            </w:r>
            <w:proofErr w:type="spellStart"/>
            <w:r>
              <w:rPr>
                <w:rFonts w:ascii="Times New Roman" w:eastAsia="Times New Roman" w:hAnsi="Times New Roman" w:cs="Times New Roman"/>
                <w:sz w:val="20"/>
                <w:szCs w:val="20"/>
                <w:lang w:eastAsia="en-GB"/>
              </w:rPr>
              <w:t>labor</w:t>
            </w:r>
            <w:proofErr w:type="spellEnd"/>
            <w:r>
              <w:rPr>
                <w:rFonts w:ascii="Times New Roman" w:eastAsia="Times New Roman" w:hAnsi="Times New Roman" w:cs="Times New Roman"/>
                <w:sz w:val="20"/>
                <w:szCs w:val="20"/>
                <w:lang w:eastAsia="en-GB"/>
              </w:rPr>
              <w:t xml:space="preserve"> for pruning (ETB/tree)</w:t>
            </w:r>
          </w:p>
        </w:tc>
        <w:tc>
          <w:tcPr>
            <w:tcW w:w="44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41"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w:t>
            </w:r>
          </w:p>
        </w:tc>
        <w:tc>
          <w:tcPr>
            <w:tcW w:w="392"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82"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5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w:t>
            </w:r>
          </w:p>
        </w:tc>
        <w:tc>
          <w:tcPr>
            <w:tcW w:w="503"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531"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w:t>
            </w:r>
          </w:p>
        </w:tc>
        <w:tc>
          <w:tcPr>
            <w:tcW w:w="510"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w:t>
            </w:r>
          </w:p>
        </w:tc>
      </w:tr>
      <w:tr w:rsidR="009C5B70">
        <w:trPr>
          <w:trHeight w:val="1112"/>
        </w:trPr>
        <w:tc>
          <w:tcPr>
            <w:tcW w:w="1236"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Total costs that vary (ETB/tree)</w:t>
            </w:r>
          </w:p>
        </w:tc>
        <w:tc>
          <w:tcPr>
            <w:tcW w:w="44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441"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w:t>
            </w:r>
          </w:p>
        </w:tc>
        <w:tc>
          <w:tcPr>
            <w:tcW w:w="392"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80.3</w:t>
            </w:r>
          </w:p>
        </w:tc>
        <w:tc>
          <w:tcPr>
            <w:tcW w:w="482"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153.94</w:t>
            </w:r>
          </w:p>
        </w:tc>
        <w:tc>
          <w:tcPr>
            <w:tcW w:w="45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155.3</w:t>
            </w:r>
          </w:p>
        </w:tc>
        <w:tc>
          <w:tcPr>
            <w:tcW w:w="503"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159.36</w:t>
            </w:r>
          </w:p>
        </w:tc>
        <w:tc>
          <w:tcPr>
            <w:tcW w:w="531"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228.94</w:t>
            </w:r>
          </w:p>
        </w:tc>
        <w:tc>
          <w:tcPr>
            <w:tcW w:w="510"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234.36</w:t>
            </w:r>
          </w:p>
        </w:tc>
      </w:tr>
      <w:tr w:rsidR="009C5B70">
        <w:trPr>
          <w:trHeight w:val="1164"/>
        </w:trPr>
        <w:tc>
          <w:tcPr>
            <w:tcW w:w="1236"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Net benefits (ETB/tree)</w:t>
            </w:r>
          </w:p>
        </w:tc>
        <w:tc>
          <w:tcPr>
            <w:tcW w:w="44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175.446</w:t>
            </w:r>
          </w:p>
        </w:tc>
        <w:tc>
          <w:tcPr>
            <w:tcW w:w="441"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378.6</w:t>
            </w:r>
          </w:p>
        </w:tc>
        <w:tc>
          <w:tcPr>
            <w:tcW w:w="392"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388.20</w:t>
            </w:r>
          </w:p>
        </w:tc>
        <w:tc>
          <w:tcPr>
            <w:tcW w:w="482"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402.206</w:t>
            </w:r>
          </w:p>
        </w:tc>
        <w:tc>
          <w:tcPr>
            <w:tcW w:w="455"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421.096</w:t>
            </w:r>
          </w:p>
        </w:tc>
        <w:tc>
          <w:tcPr>
            <w:tcW w:w="503"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429.186</w:t>
            </w:r>
          </w:p>
        </w:tc>
        <w:tc>
          <w:tcPr>
            <w:tcW w:w="531"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462.314</w:t>
            </w:r>
          </w:p>
        </w:tc>
        <w:tc>
          <w:tcPr>
            <w:tcW w:w="510"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826.74</w:t>
            </w:r>
          </w:p>
        </w:tc>
      </w:tr>
    </w:tbl>
    <w:p w:rsidR="009C5B70" w:rsidRDefault="009C5B70">
      <w:pPr>
        <w:autoSpaceDE w:val="0"/>
        <w:autoSpaceDN w:val="0"/>
        <w:adjustRightInd w:val="0"/>
        <w:snapToGrid w:val="0"/>
        <w:spacing w:after="0" w:line="240" w:lineRule="auto"/>
        <w:jc w:val="both"/>
        <w:rPr>
          <w:rFonts w:ascii="Times New Roman" w:eastAsiaTheme="minorEastAsia" w:hAnsi="Times New Roman" w:cs="Times New Roman"/>
          <w:sz w:val="20"/>
          <w:szCs w:val="20"/>
          <w:lang w:val="en-US"/>
        </w:rPr>
      </w:pPr>
    </w:p>
    <w:p w:rsidR="009C5B70" w:rsidRDefault="009C5B70">
      <w:pPr>
        <w:autoSpaceDE w:val="0"/>
        <w:autoSpaceDN w:val="0"/>
        <w:adjustRightInd w:val="0"/>
        <w:snapToGrid w:val="0"/>
        <w:spacing w:after="0" w:line="240" w:lineRule="auto"/>
        <w:ind w:firstLine="432"/>
        <w:jc w:val="both"/>
        <w:rPr>
          <w:rFonts w:ascii="Times New Roman" w:eastAsiaTheme="minorEastAsia" w:hAnsi="Times New Roman" w:cs="Times New Roman"/>
          <w:sz w:val="20"/>
          <w:szCs w:val="20"/>
          <w:lang w:val="en-US"/>
        </w:rPr>
        <w:sectPr w:rsidR="009C5B70">
          <w:type w:val="continuous"/>
          <w:pgSz w:w="12240" w:h="15839"/>
          <w:pgMar w:top="1440" w:right="1440" w:bottom="1440" w:left="1440" w:header="720" w:footer="720" w:gutter="0"/>
          <w:cols w:space="425"/>
          <w:titlePg/>
          <w:docGrid w:linePitch="360"/>
        </w:sectPr>
      </w:pPr>
    </w:p>
    <w:p w:rsidR="009C5B70" w:rsidRDefault="006605DA">
      <w:pPr>
        <w:autoSpaceDE w:val="0"/>
        <w:autoSpaceDN w:val="0"/>
        <w:adjustRightInd w:val="0"/>
        <w:snapToGrid w:val="0"/>
        <w:spacing w:after="0" w:line="240" w:lineRule="auto"/>
        <w:jc w:val="both"/>
        <w:rPr>
          <w:rFonts w:ascii="Times New Roman" w:eastAsiaTheme="minorEastAsia" w:hAnsi="Times New Roman" w:cs="Times New Roman"/>
          <w:sz w:val="20"/>
          <w:szCs w:val="20"/>
          <w:lang w:val="en-US"/>
        </w:rPr>
        <w:sectPr w:rsidR="009C5B70">
          <w:pgSz w:w="12240" w:h="15839"/>
          <w:pgMar w:top="1440" w:right="1440" w:bottom="1440" w:left="1440" w:header="720" w:footer="720" w:gutter="0"/>
          <w:cols w:num="2" w:space="720" w:equalWidth="0">
            <w:col w:w="4467" w:space="425"/>
            <w:col w:w="4467"/>
          </w:cols>
          <w:docGrid w:linePitch="360"/>
        </w:sectPr>
      </w:pPr>
      <w:r>
        <w:rPr>
          <w:rFonts w:ascii="Times New Roman" w:eastAsiaTheme="minorEastAsia" w:hAnsi="Times New Roman" w:cs="Times New Roman"/>
          <w:sz w:val="20"/>
          <w:szCs w:val="20"/>
          <w:lang w:val="en-US"/>
        </w:rPr>
        <w:lastRenderedPageBreak/>
        <w:t xml:space="preserve">Dominance analysis for white mango scale management experiment: Table 7 illustrates </w:t>
      </w:r>
      <w:r>
        <w:rPr>
          <w:rFonts w:ascii="Times New Roman" w:eastAsia="Times New Roman" w:hAnsi="Times New Roman" w:cs="Times New Roman"/>
          <w:sz w:val="20"/>
          <w:szCs w:val="20"/>
          <w:lang w:eastAsia="en-GB"/>
        </w:rPr>
        <w:t>Dominance analysis</w:t>
      </w:r>
      <w:r>
        <w:rPr>
          <w:rFonts w:ascii="Times New Roman" w:eastAsiaTheme="minorEastAsia" w:hAnsi="Times New Roman" w:cs="Times New Roman"/>
          <w:sz w:val="20"/>
          <w:szCs w:val="20"/>
          <w:lang w:val="en-US"/>
        </w:rPr>
        <w:t xml:space="preserve"> between treatments. In moving from the lowest to the </w:t>
      </w:r>
      <w:r>
        <w:rPr>
          <w:rFonts w:ascii="Times New Roman" w:eastAsiaTheme="minorEastAsia" w:hAnsi="Times New Roman" w:cs="Times New Roman"/>
          <w:sz w:val="20"/>
          <w:szCs w:val="20"/>
          <w:lang w:val="en-US"/>
        </w:rPr>
        <w:lastRenderedPageBreak/>
        <w:t xml:space="preserve">highest, there were no ‘dominated’ treatments obtained which costs more than the previous. </w:t>
      </w:r>
      <w:proofErr w:type="gramStart"/>
      <w:r>
        <w:rPr>
          <w:rFonts w:ascii="Times New Roman" w:eastAsiaTheme="minorEastAsia" w:hAnsi="Times New Roman" w:cs="Times New Roman"/>
          <w:sz w:val="20"/>
          <w:szCs w:val="20"/>
          <w:lang w:val="en-US"/>
        </w:rPr>
        <w:t>Therefore</w:t>
      </w:r>
      <w:proofErr w:type="gramEnd"/>
      <w:r>
        <w:rPr>
          <w:rFonts w:ascii="Times New Roman" w:eastAsiaTheme="minorEastAsia" w:hAnsi="Times New Roman" w:cs="Times New Roman"/>
          <w:sz w:val="20"/>
          <w:szCs w:val="20"/>
          <w:lang w:val="en-US"/>
        </w:rPr>
        <w:t xml:space="preserve"> all treatments were taken in to MRR analysis. </w:t>
      </w:r>
    </w:p>
    <w:p w:rsidR="009C5B70" w:rsidRDefault="009C5B70">
      <w:pPr>
        <w:autoSpaceDE w:val="0"/>
        <w:autoSpaceDN w:val="0"/>
        <w:adjustRightInd w:val="0"/>
        <w:snapToGrid w:val="0"/>
        <w:spacing w:after="0" w:line="240" w:lineRule="auto"/>
        <w:jc w:val="both"/>
        <w:rPr>
          <w:rFonts w:ascii="Times New Roman" w:eastAsiaTheme="minorEastAsia" w:hAnsi="Times New Roman" w:cs="Times New Roman"/>
          <w:sz w:val="20"/>
          <w:szCs w:val="20"/>
          <w:lang w:val="en-US"/>
        </w:rPr>
      </w:pPr>
    </w:p>
    <w:p w:rsidR="009C5B70" w:rsidRDefault="006605DA">
      <w:pPr>
        <w:pStyle w:val="Caption"/>
        <w:keepNext/>
        <w:snapToGrid w:val="0"/>
        <w:spacing w:after="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Table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Table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7</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Dominance analysis for white mango scale management experiment</w:t>
      </w:r>
    </w:p>
    <w:tbl>
      <w:tblPr>
        <w:tblW w:w="4833" w:type="pct"/>
        <w:jc w:val="center"/>
        <w:tblLayout w:type="fixed"/>
        <w:tblLook w:val="04A0" w:firstRow="1" w:lastRow="0" w:firstColumn="1" w:lastColumn="0" w:noHBand="0" w:noVBand="1"/>
      </w:tblPr>
      <w:tblGrid>
        <w:gridCol w:w="3748"/>
        <w:gridCol w:w="1870"/>
        <w:gridCol w:w="1663"/>
        <w:gridCol w:w="1766"/>
      </w:tblGrid>
      <w:tr w:rsidR="009C5B70">
        <w:trPr>
          <w:trHeight w:val="245"/>
          <w:jc w:val="center"/>
        </w:trPr>
        <w:tc>
          <w:tcPr>
            <w:tcW w:w="2070"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b/>
                <w:sz w:val="20"/>
                <w:szCs w:val="20"/>
                <w:lang w:eastAsia="en-GB"/>
              </w:rPr>
            </w:pPr>
            <w:r>
              <w:rPr>
                <w:rFonts w:ascii="Times New Roman" w:eastAsia="Times New Roman" w:hAnsi="Times New Roman" w:cs="Times New Roman"/>
                <w:b/>
                <w:sz w:val="20"/>
                <w:szCs w:val="20"/>
                <w:lang w:eastAsia="en-GB"/>
              </w:rPr>
              <w:t>Treatment</w:t>
            </w:r>
          </w:p>
        </w:tc>
        <w:tc>
          <w:tcPr>
            <w:tcW w:w="1033"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b/>
                <w:sz w:val="20"/>
                <w:szCs w:val="20"/>
                <w:lang w:eastAsia="en-GB"/>
              </w:rPr>
            </w:pPr>
            <w:r>
              <w:rPr>
                <w:rFonts w:ascii="Times New Roman" w:eastAsia="Times New Roman" w:hAnsi="Times New Roman" w:cs="Times New Roman"/>
                <w:b/>
                <w:sz w:val="20"/>
                <w:szCs w:val="20"/>
                <w:lang w:eastAsia="en-GB"/>
              </w:rPr>
              <w:t>Total costs that vary (ETB/tree)</w:t>
            </w:r>
          </w:p>
        </w:tc>
        <w:tc>
          <w:tcPr>
            <w:tcW w:w="919"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b/>
                <w:sz w:val="20"/>
                <w:szCs w:val="20"/>
                <w:lang w:eastAsia="en-GB"/>
              </w:rPr>
            </w:pPr>
            <w:r>
              <w:rPr>
                <w:rFonts w:ascii="Times New Roman" w:eastAsia="Times New Roman" w:hAnsi="Times New Roman" w:cs="Times New Roman"/>
                <w:b/>
                <w:sz w:val="20"/>
                <w:szCs w:val="20"/>
                <w:lang w:eastAsia="en-GB"/>
              </w:rPr>
              <w:t>Net benefits (ETB/tree)</w:t>
            </w:r>
          </w:p>
        </w:tc>
        <w:tc>
          <w:tcPr>
            <w:tcW w:w="976"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b/>
                <w:sz w:val="20"/>
                <w:szCs w:val="20"/>
                <w:lang w:eastAsia="en-GB"/>
              </w:rPr>
            </w:pPr>
            <w:r>
              <w:rPr>
                <w:rFonts w:ascii="Times New Roman" w:eastAsia="Times New Roman" w:hAnsi="Times New Roman" w:cs="Times New Roman"/>
                <w:b/>
                <w:sz w:val="20"/>
                <w:szCs w:val="20"/>
                <w:lang w:eastAsia="en-GB"/>
              </w:rPr>
              <w:t>Dominancy</w:t>
            </w:r>
          </w:p>
        </w:tc>
      </w:tr>
      <w:tr w:rsidR="009C5B70">
        <w:trPr>
          <w:trHeight w:val="171"/>
          <w:jc w:val="center"/>
        </w:trPr>
        <w:tc>
          <w:tcPr>
            <w:tcW w:w="207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Untreated Control</w:t>
            </w:r>
          </w:p>
        </w:tc>
        <w:tc>
          <w:tcPr>
            <w:tcW w:w="103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91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175.446</w:t>
            </w:r>
          </w:p>
        </w:tc>
        <w:tc>
          <w:tcPr>
            <w:tcW w:w="976" w:type="pct"/>
            <w:tcBorders>
              <w:top w:val="nil"/>
              <w:left w:val="nil"/>
              <w:bottom w:val="nil"/>
              <w:right w:val="nil"/>
            </w:tcBorders>
            <w:shd w:val="clear" w:color="auto" w:fill="auto"/>
            <w:noWrap/>
            <w:vAlign w:val="bottom"/>
          </w:tcPr>
          <w:p w:rsidR="009C5B70" w:rsidRDefault="009C5B70">
            <w:pPr>
              <w:snapToGrid w:val="0"/>
              <w:spacing w:after="0" w:line="240" w:lineRule="auto"/>
              <w:jc w:val="center"/>
              <w:rPr>
                <w:rFonts w:ascii="Times New Roman" w:eastAsia="Times New Roman" w:hAnsi="Times New Roman" w:cs="Times New Roman"/>
                <w:sz w:val="20"/>
                <w:szCs w:val="20"/>
                <w:lang w:eastAsia="en-GB"/>
              </w:rPr>
            </w:pPr>
          </w:p>
        </w:tc>
      </w:tr>
      <w:tr w:rsidR="009C5B70">
        <w:trPr>
          <w:trHeight w:val="160"/>
          <w:jc w:val="center"/>
        </w:trPr>
        <w:tc>
          <w:tcPr>
            <w:tcW w:w="207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Pruning</w:t>
            </w:r>
          </w:p>
        </w:tc>
        <w:tc>
          <w:tcPr>
            <w:tcW w:w="103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w:t>
            </w:r>
          </w:p>
        </w:tc>
        <w:tc>
          <w:tcPr>
            <w:tcW w:w="91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378.6</w:t>
            </w:r>
          </w:p>
        </w:tc>
        <w:tc>
          <w:tcPr>
            <w:tcW w:w="976"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w:t>
            </w:r>
          </w:p>
        </w:tc>
      </w:tr>
      <w:tr w:rsidR="009C5B70">
        <w:trPr>
          <w:trHeight w:val="160"/>
          <w:jc w:val="center"/>
        </w:trPr>
        <w:tc>
          <w:tcPr>
            <w:tcW w:w="207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 extract</w:t>
            </w:r>
          </w:p>
        </w:tc>
        <w:tc>
          <w:tcPr>
            <w:tcW w:w="103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80.3</w:t>
            </w:r>
          </w:p>
        </w:tc>
        <w:tc>
          <w:tcPr>
            <w:tcW w:w="91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388.20</w:t>
            </w:r>
          </w:p>
        </w:tc>
        <w:tc>
          <w:tcPr>
            <w:tcW w:w="976"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w:t>
            </w:r>
          </w:p>
        </w:tc>
      </w:tr>
      <w:tr w:rsidR="009C5B70">
        <w:trPr>
          <w:trHeight w:val="160"/>
          <w:jc w:val="center"/>
        </w:trPr>
        <w:tc>
          <w:tcPr>
            <w:tcW w:w="207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r>
              <w:rPr>
                <w:rFonts w:ascii="Times New Roman" w:eastAsia="Times New Roman" w:hAnsi="Times New Roman" w:cs="Times New Roman"/>
                <w:sz w:val="20"/>
                <w:szCs w:val="20"/>
                <w:lang w:eastAsia="en-GB"/>
              </w:rPr>
              <w:t xml:space="preserve"> </w:t>
            </w:r>
            <w:r>
              <w:rPr>
                <w:rFonts w:ascii="Times New Roman" w:eastAsiaTheme="minorEastAsia" w:hAnsi="Times New Roman" w:cs="Times New Roman"/>
                <w:sz w:val="20"/>
                <w:szCs w:val="20"/>
                <w:lang w:val="en-US"/>
              </w:rPr>
              <w:t>40% EC</w:t>
            </w:r>
          </w:p>
        </w:tc>
        <w:tc>
          <w:tcPr>
            <w:tcW w:w="103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153.94</w:t>
            </w:r>
          </w:p>
        </w:tc>
        <w:tc>
          <w:tcPr>
            <w:tcW w:w="91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402.206</w:t>
            </w:r>
          </w:p>
        </w:tc>
        <w:tc>
          <w:tcPr>
            <w:tcW w:w="976"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w:t>
            </w:r>
          </w:p>
        </w:tc>
      </w:tr>
      <w:tr w:rsidR="009C5B70">
        <w:trPr>
          <w:trHeight w:val="160"/>
          <w:jc w:val="center"/>
        </w:trPr>
        <w:tc>
          <w:tcPr>
            <w:tcW w:w="207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 extract + pruning</w:t>
            </w:r>
          </w:p>
        </w:tc>
        <w:tc>
          <w:tcPr>
            <w:tcW w:w="103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155.3</w:t>
            </w:r>
          </w:p>
        </w:tc>
        <w:tc>
          <w:tcPr>
            <w:tcW w:w="91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421.096</w:t>
            </w:r>
          </w:p>
        </w:tc>
        <w:tc>
          <w:tcPr>
            <w:tcW w:w="976"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w:t>
            </w:r>
          </w:p>
        </w:tc>
      </w:tr>
      <w:tr w:rsidR="009C5B70">
        <w:trPr>
          <w:trHeight w:val="160"/>
          <w:jc w:val="center"/>
        </w:trPr>
        <w:tc>
          <w:tcPr>
            <w:tcW w:w="207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r>
              <w:rPr>
                <w:rFonts w:ascii="Times New Roman" w:eastAsia="Times New Roman" w:hAnsi="Times New Roman" w:cs="Times New Roman"/>
                <w:sz w:val="20"/>
                <w:szCs w:val="20"/>
                <w:lang w:eastAsia="en-GB"/>
              </w:rPr>
              <w:t xml:space="preserve"> 20SL</w:t>
            </w:r>
          </w:p>
        </w:tc>
        <w:tc>
          <w:tcPr>
            <w:tcW w:w="103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159.36</w:t>
            </w:r>
          </w:p>
        </w:tc>
        <w:tc>
          <w:tcPr>
            <w:tcW w:w="91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429.186</w:t>
            </w:r>
          </w:p>
        </w:tc>
        <w:tc>
          <w:tcPr>
            <w:tcW w:w="976"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w:t>
            </w:r>
          </w:p>
        </w:tc>
      </w:tr>
      <w:tr w:rsidR="009C5B70">
        <w:trPr>
          <w:trHeight w:val="160"/>
          <w:jc w:val="center"/>
        </w:trPr>
        <w:tc>
          <w:tcPr>
            <w:tcW w:w="2070"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r>
              <w:rPr>
                <w:rFonts w:ascii="Times New Roman" w:eastAsia="Times New Roman" w:hAnsi="Times New Roman" w:cs="Times New Roman"/>
                <w:sz w:val="20"/>
                <w:szCs w:val="20"/>
                <w:lang w:eastAsia="en-GB"/>
              </w:rPr>
              <w:t xml:space="preserve"> </w:t>
            </w:r>
            <w:r>
              <w:rPr>
                <w:rFonts w:ascii="Times New Roman" w:eastAsiaTheme="minorEastAsia" w:hAnsi="Times New Roman" w:cs="Times New Roman"/>
                <w:sz w:val="20"/>
                <w:szCs w:val="20"/>
                <w:lang w:val="en-US"/>
              </w:rPr>
              <w:t>40% EC</w:t>
            </w:r>
            <w:r>
              <w:rPr>
                <w:rFonts w:ascii="Times New Roman" w:eastAsia="Times New Roman" w:hAnsi="Times New Roman" w:cs="Times New Roman"/>
                <w:sz w:val="20"/>
                <w:szCs w:val="20"/>
                <w:lang w:eastAsia="en-GB"/>
              </w:rPr>
              <w:t xml:space="preserve"> + pruning</w:t>
            </w:r>
          </w:p>
        </w:tc>
        <w:tc>
          <w:tcPr>
            <w:tcW w:w="103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228.94</w:t>
            </w:r>
          </w:p>
        </w:tc>
        <w:tc>
          <w:tcPr>
            <w:tcW w:w="91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462.314</w:t>
            </w:r>
          </w:p>
        </w:tc>
        <w:tc>
          <w:tcPr>
            <w:tcW w:w="976"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w:t>
            </w:r>
          </w:p>
        </w:tc>
      </w:tr>
      <w:tr w:rsidR="009C5B70">
        <w:trPr>
          <w:trHeight w:val="171"/>
          <w:jc w:val="center"/>
        </w:trPr>
        <w:tc>
          <w:tcPr>
            <w:tcW w:w="2070"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r>
              <w:rPr>
                <w:rFonts w:ascii="Times New Roman" w:eastAsia="Times New Roman" w:hAnsi="Times New Roman" w:cs="Times New Roman"/>
                <w:sz w:val="20"/>
                <w:szCs w:val="20"/>
                <w:lang w:eastAsia="en-GB"/>
              </w:rPr>
              <w:t xml:space="preserve"> 20SL+ pruning</w:t>
            </w:r>
          </w:p>
        </w:tc>
        <w:tc>
          <w:tcPr>
            <w:tcW w:w="1033"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234.36</w:t>
            </w:r>
          </w:p>
        </w:tc>
        <w:tc>
          <w:tcPr>
            <w:tcW w:w="919"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826.74</w:t>
            </w:r>
          </w:p>
        </w:tc>
        <w:tc>
          <w:tcPr>
            <w:tcW w:w="976" w:type="pct"/>
            <w:tcBorders>
              <w:top w:val="nil"/>
              <w:left w:val="nil"/>
              <w:bottom w:val="single" w:sz="4" w:space="0" w:color="auto"/>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w:t>
            </w:r>
          </w:p>
        </w:tc>
      </w:tr>
    </w:tbl>
    <w:p w:rsidR="009C5B70" w:rsidRDefault="009C5B70">
      <w:pPr>
        <w:snapToGrid w:val="0"/>
        <w:spacing w:after="0" w:line="240" w:lineRule="auto"/>
        <w:rPr>
          <w:rFonts w:ascii="Times New Roman" w:hAnsi="Times New Roman" w:cs="Times New Roman"/>
          <w:sz w:val="20"/>
          <w:szCs w:val="20"/>
        </w:rPr>
      </w:pPr>
    </w:p>
    <w:p w:rsidR="009C5B70" w:rsidRDefault="009C5B70">
      <w:pPr>
        <w:snapToGrid w:val="0"/>
        <w:spacing w:after="0" w:line="240" w:lineRule="auto"/>
        <w:jc w:val="both"/>
        <w:rPr>
          <w:rFonts w:ascii="Times New Roman" w:hAnsi="Times New Roman" w:cs="Times New Roman"/>
          <w:sz w:val="20"/>
          <w:szCs w:val="20"/>
        </w:rPr>
        <w:sectPr w:rsidR="009C5B70">
          <w:type w:val="continuous"/>
          <w:pgSz w:w="12240" w:h="15839"/>
          <w:pgMar w:top="1440" w:right="1440" w:bottom="1440" w:left="1440" w:header="720" w:footer="720" w:gutter="0"/>
          <w:cols w:space="425"/>
          <w:docGrid w:linePitch="360"/>
        </w:sectPr>
      </w:pP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Marginal analysis for WMS management experiment: Table 8 illustrates calculating the MRR between treatments. The MRR by switching from untreated control to pruning treatment was 270.87%, well above the minimum. Hence, a 270.87% MRR in switching from untreated control to pruning treatment implied that for each ETB invested in the new treatment, the producer can expect to recover the 1ETB invested plus an additional return of 2.7087ETB.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pruning was certainly a worthwhile alternative to the untreated control.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MRR by switching from pruning to white oil extract treatment the marginal rate of return was 181.21%, also well above the minimum. Hence, a 181.21% MRR in switching from pruning to white oil treatment implied that for each ETB invested in the new treatment, the producer can expect to recover the 1ETB invested plus an additional return of 1.8121ETB, and therefore white oil was certainly a worthwhile alternative to pruning management option.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MRR by switching from white oil to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treatment the was 19.014%, and below the minimum. Hence, a 19.014% MRR in switching from pruning to white oil treatment implied that for each ETB invested in the new treatment, the producer can expect to recover the 1ETB invested plus an additional return of 0.19014ETB which was less than white oil treatment.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treatment had been eliminated from consideration.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MRR by switching from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to white oil + pruning treatment was 1388.97% and above the minimum rate of return which seems profitable.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the MRR by switching from white oil to white oil + pruning was 43.86%, below the minimum. Hence, a 43.86% MRR in switching from white oil to white oil + pruning implied that for each ETB invested in the new treatment, the producer can expect to recover the 1ETB invested plus an additional return of 0.4386ETB which was less than white oil treatment.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white oil + pruning had been eliminated from consideration.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The MRR by switching from white oil + pruning to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treatment the was 199.26%, well above the minimum, which seems profitable however the MRR by switching from white oil to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treatment was 51.85%, below the minimum. Hence, a 51.85% MRR in switching from white oil to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treatment implied that for each ETB invested in the new treatment, the producer can expect to recover the 1ETB invested plus an additional return of 0.5185ETB which was less than white oil treatment.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treatment had been eliminated from consideration.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MRR by switching from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treatment to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was 47.61%, below the minimum and also by switching from white oil to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the MRR was 49.85, below the minimum. Hence, a 49.85% MRR in switching from white oil to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treatment implied that for each ETB invested in the new treatment, the producer can expect to recover the 1ETB invested plus an additional return of 0.4985ETB which was less than white oil treatment.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treatment had been eliminated from consideration.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MRR by switching from </w:t>
      </w:r>
      <w:proofErr w:type="spellStart"/>
      <w:r>
        <w:rPr>
          <w:rFonts w:ascii="Times New Roman" w:hAnsi="Times New Roman" w:cs="Times New Roman"/>
          <w:sz w:val="20"/>
          <w:szCs w:val="20"/>
        </w:rPr>
        <w:t>Dimethoat</w:t>
      </w:r>
      <w:proofErr w:type="spellEnd"/>
      <w:r>
        <w:rPr>
          <w:rFonts w:ascii="Times New Roman" w:hAnsi="Times New Roman" w:cs="Times New Roman"/>
          <w:sz w:val="20"/>
          <w:szCs w:val="20"/>
        </w:rPr>
        <w:t xml:space="preserve"> 40%EC e + pruning to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pruning treatment was 6723.72%, well above the minimum which seems unrealistic since which was seen from not profitable treatment. But by switching from white oil to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the MRR was 284.65%, also well above the minimum. Hence, a 284.65%, MRR in switching from white oil to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pruning treatment implies that for each ETB invested in the new treatment, the producer can expect to recover the 1ETB invested plus an additional return of 2.8465ETB which was greater than white oil treatment.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was certainly a worthwhile alternative to all management option.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white oil and </w:t>
      </w:r>
      <w:r>
        <w:rPr>
          <w:rFonts w:ascii="Times New Roman" w:hAnsi="Times New Roman" w:cs="Times New Roman"/>
          <w:sz w:val="20"/>
          <w:szCs w:val="20"/>
        </w:rPr>
        <w:lastRenderedPageBreak/>
        <w:t>pruning should be considered as second and third alternative to producers.</w:t>
      </w:r>
    </w:p>
    <w:p w:rsidR="009C5B70" w:rsidRDefault="006605DA">
      <w:pPr>
        <w:snapToGrid w:val="0"/>
        <w:spacing w:after="0" w:line="240" w:lineRule="auto"/>
        <w:jc w:val="both"/>
        <w:rPr>
          <w:rFonts w:ascii="Times New Roman" w:hAnsi="Times New Roman" w:cs="Times New Roman"/>
          <w:sz w:val="20"/>
          <w:szCs w:val="20"/>
        </w:rPr>
        <w:sectPr w:rsidR="009C5B70">
          <w:type w:val="continuous"/>
          <w:pgSz w:w="12240" w:h="15839"/>
          <w:pgMar w:top="1440" w:right="1440" w:bottom="1440" w:left="1440" w:header="720" w:footer="720" w:gutter="0"/>
          <w:cols w:num="2" w:space="720" w:equalWidth="0">
            <w:col w:w="4467" w:space="425"/>
            <w:col w:w="4467"/>
          </w:cols>
          <w:docGrid w:linePitch="360"/>
        </w:sectPr>
      </w:pPr>
      <w:r>
        <w:rPr>
          <w:rFonts w:ascii="Times New Roman" w:hAnsi="Times New Roman" w:cs="Times New Roman"/>
          <w:sz w:val="20"/>
          <w:szCs w:val="20"/>
        </w:rPr>
        <w:t xml:space="preserve">Researchers should continue to experiment white oil, pruning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which seems to be a promising alternative to </w:t>
      </w:r>
      <w:proofErr w:type="gramStart"/>
      <w:r>
        <w:rPr>
          <w:rFonts w:ascii="Times New Roman" w:hAnsi="Times New Roman" w:cs="Times New Roman"/>
          <w:sz w:val="20"/>
          <w:szCs w:val="20"/>
        </w:rPr>
        <w:t>producers</w:t>
      </w:r>
      <w:proofErr w:type="gramEnd"/>
      <w:r>
        <w:rPr>
          <w:rFonts w:ascii="Times New Roman" w:hAnsi="Times New Roman" w:cs="Times New Roman"/>
          <w:sz w:val="20"/>
          <w:szCs w:val="20"/>
        </w:rPr>
        <w:t xml:space="preserve"> white mango scale management.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white oil + pruning,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40%EC + pruning treatments gave higher marketable yield and statistically significant different from pruning and white oil treatment but their costs were such that they did not provide an acceptable rate of return. However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costs higher compared with all other treatment but gave higher yield and acceptable rate of return.</w:t>
      </w:r>
    </w:p>
    <w:p w:rsidR="009C5B70" w:rsidRDefault="009C5B70">
      <w:pPr>
        <w:snapToGrid w:val="0"/>
        <w:spacing w:after="0" w:line="240" w:lineRule="auto"/>
        <w:jc w:val="both"/>
        <w:rPr>
          <w:rFonts w:ascii="Times New Roman" w:hAnsi="Times New Roman" w:cs="Times New Roman"/>
          <w:sz w:val="20"/>
          <w:szCs w:val="20"/>
        </w:rPr>
      </w:pPr>
    </w:p>
    <w:p w:rsidR="009C5B70" w:rsidRDefault="006605DA">
      <w:pPr>
        <w:pStyle w:val="Caption"/>
        <w:keepNext/>
        <w:snapToGrid w:val="0"/>
        <w:spacing w:after="0"/>
        <w:jc w:val="both"/>
        <w:rPr>
          <w:rFonts w:ascii="Times New Roman" w:hAnsi="Times New Roman" w:cs="Times New Roman"/>
          <w:b w:val="0"/>
          <w:color w:val="auto"/>
          <w:sz w:val="20"/>
          <w:szCs w:val="20"/>
        </w:rPr>
      </w:pPr>
      <w:r>
        <w:rPr>
          <w:rFonts w:ascii="Times New Roman" w:hAnsi="Times New Roman" w:cs="Times New Roman"/>
          <w:color w:val="auto"/>
          <w:sz w:val="20"/>
          <w:szCs w:val="20"/>
        </w:rPr>
        <w:t xml:space="preserve">Table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Table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8</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Marginal analysis for white mango scale management experiment</w:t>
      </w:r>
    </w:p>
    <w:p w:rsidR="009C5B70" w:rsidRDefault="006605DA">
      <w:pPr>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5873750" cy="3590925"/>
            <wp:effectExtent l="0" t="0" r="1270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5873750" cy="3590925"/>
                    </a:xfrm>
                    <a:prstGeom prst="rect">
                      <a:avLst/>
                    </a:prstGeom>
                  </pic:spPr>
                </pic:pic>
              </a:graphicData>
            </a:graphic>
          </wp:inline>
        </w:drawing>
      </w:r>
    </w:p>
    <w:p w:rsidR="009C5B70" w:rsidRDefault="006605DA">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Residual analysis for white mango scale management experiment: Table 9 illustrates the computation of residual of treatments. The treatments were arranged in order from lowest to highest total costs that vary. Since producers will be interested in the treatment with the highest residual. The treatment with highest residual was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and the second and third highest residual were white oil and pruning respectively which was the same conclusion reached in the previous MRR analysis.</w:t>
      </w:r>
    </w:p>
    <w:p w:rsidR="009C5B70" w:rsidRDefault="006605DA">
      <w:pPr>
        <w:pStyle w:val="Caption"/>
        <w:keepNext/>
        <w:snapToGrid w:val="0"/>
        <w:spacing w:after="0"/>
        <w:jc w:val="both"/>
        <w:rPr>
          <w:rFonts w:ascii="Times New Roman" w:hAnsi="Times New Roman" w:cs="Times New Roman"/>
          <w:b w:val="0"/>
          <w:color w:val="auto"/>
          <w:sz w:val="20"/>
          <w:szCs w:val="20"/>
        </w:rPr>
      </w:pPr>
      <w:r>
        <w:rPr>
          <w:rFonts w:ascii="Times New Roman" w:hAnsi="Times New Roman" w:cs="Times New Roman"/>
          <w:color w:val="auto"/>
          <w:sz w:val="20"/>
          <w:szCs w:val="20"/>
        </w:rPr>
        <w:t xml:space="preserve">Table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Table \* ARABIC </w:instrText>
      </w:r>
      <w:r>
        <w:rPr>
          <w:rFonts w:ascii="Times New Roman" w:hAnsi="Times New Roman" w:cs="Times New Roman"/>
          <w:color w:val="auto"/>
          <w:sz w:val="20"/>
          <w:szCs w:val="20"/>
        </w:rPr>
        <w:fldChar w:fldCharType="separate"/>
      </w:r>
      <w:r w:rsidR="000C26CE">
        <w:rPr>
          <w:rFonts w:ascii="Times New Roman" w:hAnsi="Times New Roman" w:cs="Times New Roman"/>
          <w:noProof/>
          <w:color w:val="auto"/>
          <w:sz w:val="20"/>
          <w:szCs w:val="20"/>
        </w:rPr>
        <w:t>9</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Residual analysis for white mango scale management experiment</w:t>
      </w:r>
    </w:p>
    <w:tbl>
      <w:tblPr>
        <w:tblW w:w="4937" w:type="pct"/>
        <w:tblLook w:val="04A0" w:firstRow="1" w:lastRow="0" w:firstColumn="1" w:lastColumn="0" w:noHBand="0" w:noVBand="1"/>
      </w:tblPr>
      <w:tblGrid>
        <w:gridCol w:w="2707"/>
        <w:gridCol w:w="1832"/>
        <w:gridCol w:w="1318"/>
        <w:gridCol w:w="2013"/>
        <w:gridCol w:w="1372"/>
      </w:tblGrid>
      <w:tr w:rsidR="009C5B70">
        <w:trPr>
          <w:trHeight w:val="90"/>
        </w:trPr>
        <w:tc>
          <w:tcPr>
            <w:tcW w:w="1465" w:type="pct"/>
            <w:tcBorders>
              <w:top w:val="nil"/>
              <w:left w:val="nil"/>
              <w:right w:val="nil"/>
            </w:tcBorders>
            <w:shd w:val="clear" w:color="auto" w:fill="auto"/>
            <w:noWrap/>
            <w:vAlign w:val="bottom"/>
          </w:tcPr>
          <w:p w:rsidR="009C5B70" w:rsidRDefault="009C5B70">
            <w:pPr>
              <w:snapToGrid w:val="0"/>
              <w:spacing w:after="0" w:line="240" w:lineRule="auto"/>
              <w:rPr>
                <w:rFonts w:ascii="Times New Roman" w:eastAsia="Times New Roman" w:hAnsi="Times New Roman" w:cs="Times New Roman"/>
                <w:sz w:val="20"/>
                <w:szCs w:val="20"/>
                <w:lang w:eastAsia="en-GB"/>
              </w:rPr>
            </w:pPr>
          </w:p>
        </w:tc>
        <w:tc>
          <w:tcPr>
            <w:tcW w:w="991"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w:t>
            </w:r>
          </w:p>
        </w:tc>
        <w:tc>
          <w:tcPr>
            <w:tcW w:w="713"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w:t>
            </w:r>
          </w:p>
        </w:tc>
        <w:tc>
          <w:tcPr>
            <w:tcW w:w="1089"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w:t>
            </w:r>
          </w:p>
        </w:tc>
        <w:tc>
          <w:tcPr>
            <w:tcW w:w="739" w:type="pct"/>
            <w:tcBorders>
              <w:top w:val="nil"/>
              <w:left w:val="nil"/>
              <w:bottom w:val="single" w:sz="4" w:space="0" w:color="auto"/>
              <w:right w:val="nil"/>
            </w:tcBorders>
            <w:shd w:val="clear" w:color="auto" w:fill="auto"/>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w:t>
            </w:r>
          </w:p>
        </w:tc>
      </w:tr>
      <w:tr w:rsidR="009C5B70">
        <w:trPr>
          <w:trHeight w:val="90"/>
        </w:trPr>
        <w:tc>
          <w:tcPr>
            <w:tcW w:w="1465" w:type="pct"/>
            <w:tcBorders>
              <w:left w:val="nil"/>
              <w:bottom w:val="single" w:sz="4" w:space="0" w:color="auto"/>
              <w:right w:val="nil"/>
            </w:tcBorders>
            <w:shd w:val="clear" w:color="auto" w:fill="auto"/>
            <w:noWrap/>
            <w:vAlign w:val="bottom"/>
          </w:tcPr>
          <w:p w:rsidR="009C5B70" w:rsidRDefault="006605DA">
            <w:pPr>
              <w:snapToGrid w:val="0"/>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Treatment</w:t>
            </w:r>
          </w:p>
        </w:tc>
        <w:tc>
          <w:tcPr>
            <w:tcW w:w="991" w:type="pct"/>
            <w:tcBorders>
              <w:top w:val="single" w:sz="4" w:space="0" w:color="auto"/>
              <w:left w:val="nil"/>
              <w:bottom w:val="single" w:sz="4" w:space="0" w:color="auto"/>
              <w:right w:val="nil"/>
            </w:tcBorders>
            <w:shd w:val="clear" w:color="auto" w:fill="auto"/>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Total costs that vary (ETB/tree)</w:t>
            </w:r>
          </w:p>
        </w:tc>
        <w:tc>
          <w:tcPr>
            <w:tcW w:w="713" w:type="pct"/>
            <w:tcBorders>
              <w:top w:val="single" w:sz="4" w:space="0" w:color="auto"/>
              <w:left w:val="nil"/>
              <w:bottom w:val="single" w:sz="4" w:space="0" w:color="auto"/>
              <w:right w:val="nil"/>
            </w:tcBorders>
            <w:shd w:val="clear" w:color="auto" w:fill="auto"/>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Net benefits (ETB/tree)</w:t>
            </w:r>
          </w:p>
        </w:tc>
        <w:tc>
          <w:tcPr>
            <w:tcW w:w="1089" w:type="pct"/>
            <w:tcBorders>
              <w:top w:val="single" w:sz="4" w:space="0" w:color="auto"/>
              <w:left w:val="nil"/>
              <w:bottom w:val="single" w:sz="4" w:space="0" w:color="auto"/>
              <w:right w:val="nil"/>
            </w:tcBorders>
            <w:shd w:val="clear" w:color="auto" w:fill="auto"/>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Return required [100%*(1)] ETB/tree</w:t>
            </w:r>
          </w:p>
        </w:tc>
        <w:tc>
          <w:tcPr>
            <w:tcW w:w="739" w:type="pct"/>
            <w:tcBorders>
              <w:top w:val="single" w:sz="4" w:space="0" w:color="auto"/>
              <w:left w:val="nil"/>
              <w:bottom w:val="single" w:sz="4" w:space="0" w:color="auto"/>
              <w:right w:val="nil"/>
            </w:tcBorders>
            <w:shd w:val="clear" w:color="auto" w:fill="auto"/>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Residual</w:t>
            </w:r>
          </w:p>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[(2)-(3)] ETB/tree</w:t>
            </w:r>
          </w:p>
        </w:tc>
      </w:tr>
      <w:tr w:rsidR="009C5B70">
        <w:trPr>
          <w:trHeight w:val="90"/>
        </w:trPr>
        <w:tc>
          <w:tcPr>
            <w:tcW w:w="146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Untreated Control</w:t>
            </w:r>
          </w:p>
        </w:tc>
        <w:tc>
          <w:tcPr>
            <w:tcW w:w="991" w:type="pct"/>
            <w:tcBorders>
              <w:top w:val="nil"/>
              <w:left w:val="nil"/>
              <w:bottom w:val="nil"/>
              <w:right w:val="nil"/>
            </w:tcBorders>
            <w:shd w:val="clear" w:color="auto" w:fill="auto"/>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71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175.446</w:t>
            </w:r>
          </w:p>
        </w:tc>
        <w:tc>
          <w:tcPr>
            <w:tcW w:w="108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175.446</w:t>
            </w:r>
          </w:p>
        </w:tc>
      </w:tr>
      <w:tr w:rsidR="009C5B70">
        <w:trPr>
          <w:trHeight w:val="90"/>
        </w:trPr>
        <w:tc>
          <w:tcPr>
            <w:tcW w:w="146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Pruning</w:t>
            </w:r>
          </w:p>
        </w:tc>
        <w:tc>
          <w:tcPr>
            <w:tcW w:w="991"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w:t>
            </w:r>
          </w:p>
        </w:tc>
        <w:tc>
          <w:tcPr>
            <w:tcW w:w="71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378.6</w:t>
            </w:r>
          </w:p>
        </w:tc>
        <w:tc>
          <w:tcPr>
            <w:tcW w:w="108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75</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303.6</w:t>
            </w:r>
            <w:r>
              <w:rPr>
                <w:rFonts w:ascii="Times New Roman" w:eastAsia="Times New Roman" w:hAnsi="Times New Roman" w:cs="Times New Roman"/>
                <w:sz w:val="20"/>
                <w:szCs w:val="20"/>
                <w:u w:val="single"/>
                <w:vertAlign w:val="superscript"/>
                <w:lang w:eastAsia="en-GB"/>
              </w:rPr>
              <w:t>c</w:t>
            </w:r>
          </w:p>
        </w:tc>
      </w:tr>
      <w:tr w:rsidR="009C5B70">
        <w:trPr>
          <w:trHeight w:val="90"/>
        </w:trPr>
        <w:tc>
          <w:tcPr>
            <w:tcW w:w="1465" w:type="pct"/>
            <w:tcBorders>
              <w:top w:val="nil"/>
              <w:left w:val="nil"/>
              <w:bottom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White oil extract </w:t>
            </w:r>
          </w:p>
        </w:tc>
        <w:tc>
          <w:tcPr>
            <w:tcW w:w="991"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80.3</w:t>
            </w:r>
          </w:p>
        </w:tc>
        <w:tc>
          <w:tcPr>
            <w:tcW w:w="713"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388.20</w:t>
            </w:r>
          </w:p>
        </w:tc>
        <w:tc>
          <w:tcPr>
            <w:tcW w:w="108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80.3</w:t>
            </w:r>
          </w:p>
        </w:tc>
        <w:tc>
          <w:tcPr>
            <w:tcW w:w="739" w:type="pct"/>
            <w:tcBorders>
              <w:top w:val="nil"/>
              <w:left w:val="nil"/>
              <w:bottom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307.904</w:t>
            </w:r>
            <w:r>
              <w:rPr>
                <w:rFonts w:ascii="Times New Roman" w:eastAsia="Times New Roman" w:hAnsi="Times New Roman" w:cs="Times New Roman"/>
                <w:sz w:val="20"/>
                <w:szCs w:val="20"/>
                <w:u w:val="single"/>
                <w:vertAlign w:val="superscript"/>
                <w:lang w:eastAsia="en-GB"/>
              </w:rPr>
              <w:t>b</w:t>
            </w:r>
          </w:p>
        </w:tc>
      </w:tr>
      <w:tr w:rsidR="009C5B70">
        <w:trPr>
          <w:trHeight w:val="90"/>
        </w:trPr>
        <w:tc>
          <w:tcPr>
            <w:tcW w:w="1465"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r>
              <w:rPr>
                <w:rFonts w:ascii="Times New Roman" w:eastAsiaTheme="minorEastAsia" w:hAnsi="Times New Roman" w:cs="Times New Roman"/>
                <w:sz w:val="20"/>
                <w:szCs w:val="20"/>
                <w:lang w:val="en-US"/>
              </w:rPr>
              <w:t>40% EC</w:t>
            </w:r>
          </w:p>
        </w:tc>
        <w:tc>
          <w:tcPr>
            <w:tcW w:w="991"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153.94</w:t>
            </w:r>
          </w:p>
        </w:tc>
        <w:tc>
          <w:tcPr>
            <w:tcW w:w="713"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402.206</w:t>
            </w:r>
          </w:p>
        </w:tc>
        <w:tc>
          <w:tcPr>
            <w:tcW w:w="108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153.94</w:t>
            </w:r>
          </w:p>
        </w:tc>
        <w:tc>
          <w:tcPr>
            <w:tcW w:w="73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248.266</w:t>
            </w:r>
          </w:p>
        </w:tc>
      </w:tr>
      <w:tr w:rsidR="009C5B70">
        <w:trPr>
          <w:trHeight w:val="90"/>
        </w:trPr>
        <w:tc>
          <w:tcPr>
            <w:tcW w:w="1465"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White oil  extract+ pruning</w:t>
            </w:r>
          </w:p>
        </w:tc>
        <w:tc>
          <w:tcPr>
            <w:tcW w:w="991"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155.3</w:t>
            </w:r>
          </w:p>
        </w:tc>
        <w:tc>
          <w:tcPr>
            <w:tcW w:w="713"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421.096</w:t>
            </w:r>
          </w:p>
        </w:tc>
        <w:tc>
          <w:tcPr>
            <w:tcW w:w="108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155.3</w:t>
            </w:r>
          </w:p>
        </w:tc>
        <w:tc>
          <w:tcPr>
            <w:tcW w:w="73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265.796</w:t>
            </w:r>
          </w:p>
        </w:tc>
      </w:tr>
      <w:tr w:rsidR="009C5B70">
        <w:trPr>
          <w:trHeight w:val="90"/>
        </w:trPr>
        <w:tc>
          <w:tcPr>
            <w:tcW w:w="1465"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r>
              <w:rPr>
                <w:rFonts w:ascii="Times New Roman" w:eastAsia="Times New Roman" w:hAnsi="Times New Roman" w:cs="Times New Roman"/>
                <w:sz w:val="20"/>
                <w:szCs w:val="20"/>
                <w:lang w:eastAsia="en-GB"/>
              </w:rPr>
              <w:t xml:space="preserve"> 20SL</w:t>
            </w:r>
          </w:p>
        </w:tc>
        <w:tc>
          <w:tcPr>
            <w:tcW w:w="991"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159.36</w:t>
            </w:r>
          </w:p>
        </w:tc>
        <w:tc>
          <w:tcPr>
            <w:tcW w:w="713"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429.186</w:t>
            </w:r>
          </w:p>
        </w:tc>
        <w:tc>
          <w:tcPr>
            <w:tcW w:w="108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159.36</w:t>
            </w:r>
          </w:p>
        </w:tc>
        <w:tc>
          <w:tcPr>
            <w:tcW w:w="73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269.826</w:t>
            </w:r>
          </w:p>
        </w:tc>
      </w:tr>
      <w:tr w:rsidR="009C5B70">
        <w:trPr>
          <w:trHeight w:val="90"/>
        </w:trPr>
        <w:tc>
          <w:tcPr>
            <w:tcW w:w="1465"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Dimethoate</w:t>
            </w:r>
            <w:proofErr w:type="spellEnd"/>
            <w:r>
              <w:rPr>
                <w:rFonts w:ascii="Times New Roman" w:eastAsiaTheme="minorEastAsia" w:hAnsi="Times New Roman" w:cs="Times New Roman"/>
                <w:sz w:val="20"/>
                <w:szCs w:val="20"/>
                <w:lang w:val="en-US"/>
              </w:rPr>
              <w:t>40% EC</w:t>
            </w:r>
            <w:r>
              <w:rPr>
                <w:rFonts w:ascii="Times New Roman" w:eastAsia="Times New Roman" w:hAnsi="Times New Roman" w:cs="Times New Roman"/>
                <w:sz w:val="20"/>
                <w:szCs w:val="20"/>
                <w:lang w:eastAsia="en-GB"/>
              </w:rPr>
              <w:t xml:space="preserve"> + pruning</w:t>
            </w:r>
          </w:p>
        </w:tc>
        <w:tc>
          <w:tcPr>
            <w:tcW w:w="991"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228.94</w:t>
            </w:r>
          </w:p>
        </w:tc>
        <w:tc>
          <w:tcPr>
            <w:tcW w:w="713"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462.314</w:t>
            </w:r>
          </w:p>
        </w:tc>
        <w:tc>
          <w:tcPr>
            <w:tcW w:w="108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228.94</w:t>
            </w:r>
          </w:p>
        </w:tc>
        <w:tc>
          <w:tcPr>
            <w:tcW w:w="73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233.374</w:t>
            </w:r>
          </w:p>
        </w:tc>
      </w:tr>
      <w:tr w:rsidR="009C5B70">
        <w:trPr>
          <w:trHeight w:val="90"/>
        </w:trPr>
        <w:tc>
          <w:tcPr>
            <w:tcW w:w="1465" w:type="pct"/>
            <w:tcBorders>
              <w:top w:val="nil"/>
              <w:left w:val="nil"/>
              <w:right w:val="nil"/>
            </w:tcBorders>
            <w:shd w:val="clear" w:color="auto" w:fill="auto"/>
            <w:noWrap/>
            <w:vAlign w:val="bottom"/>
          </w:tcPr>
          <w:p w:rsidR="009C5B70" w:rsidRDefault="006605DA">
            <w:pPr>
              <w:snapToGrid w:val="0"/>
              <w:spacing w:after="0" w:line="240" w:lineRule="auto"/>
              <w:jc w:val="right"/>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Imidacloprid</w:t>
            </w:r>
            <w:proofErr w:type="spellEnd"/>
            <w:r>
              <w:rPr>
                <w:rFonts w:ascii="Times New Roman" w:eastAsia="Times New Roman" w:hAnsi="Times New Roman" w:cs="Times New Roman"/>
                <w:sz w:val="20"/>
                <w:szCs w:val="20"/>
                <w:lang w:eastAsia="en-GB"/>
              </w:rPr>
              <w:t xml:space="preserve"> 20SL+ pruning</w:t>
            </w:r>
          </w:p>
        </w:tc>
        <w:tc>
          <w:tcPr>
            <w:tcW w:w="991"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234.36</w:t>
            </w:r>
          </w:p>
        </w:tc>
        <w:tc>
          <w:tcPr>
            <w:tcW w:w="713"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826.74</w:t>
            </w:r>
          </w:p>
        </w:tc>
        <w:tc>
          <w:tcPr>
            <w:tcW w:w="108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234.36</w:t>
            </w:r>
          </w:p>
        </w:tc>
        <w:tc>
          <w:tcPr>
            <w:tcW w:w="739" w:type="pct"/>
            <w:tcBorders>
              <w:top w:val="nil"/>
              <w:left w:val="nil"/>
              <w:right w:val="nil"/>
            </w:tcBorders>
            <w:shd w:val="clear" w:color="auto" w:fill="auto"/>
            <w:noWrap/>
            <w:vAlign w:val="bottom"/>
          </w:tcPr>
          <w:p w:rsidR="009C5B70" w:rsidRDefault="006605DA">
            <w:pPr>
              <w:snapToGrid w:val="0"/>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592.38</w:t>
            </w:r>
            <w:r>
              <w:rPr>
                <w:rFonts w:ascii="Times New Roman" w:eastAsia="Times New Roman" w:hAnsi="Times New Roman" w:cs="Times New Roman"/>
                <w:sz w:val="20"/>
                <w:szCs w:val="20"/>
                <w:u w:val="single"/>
                <w:vertAlign w:val="superscript"/>
                <w:lang w:eastAsia="en-GB"/>
              </w:rPr>
              <w:t>a</w:t>
            </w:r>
          </w:p>
        </w:tc>
      </w:tr>
      <w:tr w:rsidR="009C5B70">
        <w:trPr>
          <w:trHeight w:val="90"/>
        </w:trPr>
        <w:tc>
          <w:tcPr>
            <w:tcW w:w="5000" w:type="pct"/>
            <w:gridSpan w:val="5"/>
            <w:tcBorders>
              <w:top w:val="single" w:sz="4" w:space="0" w:color="auto"/>
              <w:left w:val="nil"/>
              <w:right w:val="nil"/>
            </w:tcBorders>
            <w:shd w:val="clear" w:color="auto" w:fill="auto"/>
            <w:noWrap/>
            <w:vAlign w:val="bottom"/>
          </w:tcPr>
          <w:p w:rsidR="009C5B70" w:rsidRDefault="006605DA">
            <w:pPr>
              <w:snapToGrid w:val="0"/>
              <w:spacing w:after="0" w:line="240" w:lineRule="auto"/>
              <w:jc w:val="both"/>
              <w:rPr>
                <w:rFonts w:ascii="Times New Roman" w:eastAsiaTheme="minorEastAsia" w:hAnsi="Times New Roman" w:cs="Times New Roman"/>
                <w:sz w:val="20"/>
                <w:szCs w:val="20"/>
                <w:u w:val="single"/>
                <w:lang w:val="en-US"/>
              </w:rPr>
            </w:pPr>
            <w:r>
              <w:rPr>
                <w:rFonts w:ascii="Times New Roman" w:eastAsiaTheme="minorEastAsia" w:hAnsi="Times New Roman" w:cs="Times New Roman"/>
                <w:sz w:val="20"/>
                <w:szCs w:val="20"/>
                <w:u w:val="single"/>
                <w:lang w:val="en-US"/>
              </w:rPr>
              <w:t>a</w:t>
            </w:r>
            <w:r>
              <w:rPr>
                <w:rFonts w:ascii="Times New Roman" w:eastAsiaTheme="minorEastAsia" w:hAnsi="Times New Roman" w:cs="Times New Roman"/>
                <w:sz w:val="20"/>
                <w:szCs w:val="20"/>
                <w:lang w:val="en-US"/>
              </w:rPr>
              <w:t xml:space="preserve"> /</w:t>
            </w:r>
            <w:r>
              <w:rPr>
                <w:rFonts w:ascii="Times New Roman" w:hAnsi="Times New Roman" w:cs="Times New Roman"/>
                <w:i/>
                <w:iCs/>
                <w:sz w:val="20"/>
                <w:szCs w:val="20"/>
              </w:rPr>
              <w:t xml:space="preserve"> </w:t>
            </w:r>
            <w:r>
              <w:rPr>
                <w:rFonts w:ascii="Times New Roman" w:hAnsi="Times New Roman" w:cs="Times New Roman"/>
                <w:iCs/>
                <w:sz w:val="20"/>
                <w:szCs w:val="20"/>
              </w:rPr>
              <w:t xml:space="preserve">The first </w:t>
            </w:r>
            <w:r>
              <w:rPr>
                <w:rFonts w:ascii="Times New Roman" w:hAnsi="Times New Roman" w:cs="Times New Roman"/>
                <w:sz w:val="20"/>
                <w:szCs w:val="20"/>
              </w:rPr>
              <w:t xml:space="preserve">Maximum residual  </w:t>
            </w:r>
            <w:r>
              <w:rPr>
                <w:rFonts w:ascii="Times New Roman" w:eastAsiaTheme="minorEastAsia" w:hAnsi="Times New Roman" w:cs="Times New Roman"/>
                <w:sz w:val="20"/>
                <w:szCs w:val="20"/>
                <w:u w:val="single"/>
                <w:lang w:val="en-US"/>
              </w:rPr>
              <w:t>b</w:t>
            </w:r>
            <w:r>
              <w:rPr>
                <w:rFonts w:ascii="Times New Roman" w:eastAsiaTheme="minorEastAsia" w:hAnsi="Times New Roman" w:cs="Times New Roman"/>
                <w:sz w:val="20"/>
                <w:szCs w:val="20"/>
                <w:lang w:val="en-US"/>
              </w:rPr>
              <w:t xml:space="preserve"> /</w:t>
            </w:r>
            <w:r>
              <w:rPr>
                <w:rFonts w:ascii="Times New Roman" w:hAnsi="Times New Roman" w:cs="Times New Roman"/>
                <w:i/>
                <w:iCs/>
                <w:sz w:val="20"/>
                <w:szCs w:val="20"/>
              </w:rPr>
              <w:t xml:space="preserve"> </w:t>
            </w:r>
            <w:r>
              <w:rPr>
                <w:rFonts w:ascii="Times New Roman" w:hAnsi="Times New Roman" w:cs="Times New Roman"/>
                <w:iCs/>
                <w:sz w:val="20"/>
                <w:szCs w:val="20"/>
              </w:rPr>
              <w:t xml:space="preserve">The second </w:t>
            </w:r>
            <w:r>
              <w:rPr>
                <w:rFonts w:ascii="Times New Roman" w:hAnsi="Times New Roman" w:cs="Times New Roman"/>
                <w:sz w:val="20"/>
                <w:szCs w:val="20"/>
              </w:rPr>
              <w:t>Maximum residual</w:t>
            </w:r>
            <w:r>
              <w:rPr>
                <w:rFonts w:ascii="Times New Roman" w:eastAsiaTheme="minorEastAsia" w:hAnsi="Times New Roman" w:cs="Times New Roman"/>
                <w:sz w:val="20"/>
                <w:szCs w:val="20"/>
                <w:lang w:val="en-US"/>
              </w:rPr>
              <w:t xml:space="preserve">  </w:t>
            </w:r>
            <w:r>
              <w:rPr>
                <w:rFonts w:ascii="Times New Roman" w:eastAsiaTheme="minorEastAsia" w:hAnsi="Times New Roman" w:cs="Times New Roman"/>
                <w:sz w:val="20"/>
                <w:szCs w:val="20"/>
                <w:u w:val="single"/>
                <w:lang w:val="en-US"/>
              </w:rPr>
              <w:t>c</w:t>
            </w:r>
            <w:r>
              <w:rPr>
                <w:rFonts w:ascii="Times New Roman" w:eastAsiaTheme="minorEastAsia" w:hAnsi="Times New Roman" w:cs="Times New Roman"/>
                <w:sz w:val="20"/>
                <w:szCs w:val="20"/>
                <w:lang w:val="en-US"/>
              </w:rPr>
              <w:t xml:space="preserve"> /</w:t>
            </w:r>
            <w:r>
              <w:rPr>
                <w:rFonts w:ascii="Times New Roman" w:hAnsi="Times New Roman" w:cs="Times New Roman"/>
                <w:i/>
                <w:iCs/>
                <w:sz w:val="20"/>
                <w:szCs w:val="20"/>
              </w:rPr>
              <w:t xml:space="preserve"> </w:t>
            </w:r>
            <w:r>
              <w:rPr>
                <w:rFonts w:ascii="Times New Roman" w:hAnsi="Times New Roman" w:cs="Times New Roman"/>
                <w:iCs/>
                <w:sz w:val="20"/>
                <w:szCs w:val="20"/>
              </w:rPr>
              <w:t xml:space="preserve">The third </w:t>
            </w:r>
            <w:r>
              <w:rPr>
                <w:rFonts w:ascii="Times New Roman" w:hAnsi="Times New Roman" w:cs="Times New Roman"/>
                <w:sz w:val="20"/>
                <w:szCs w:val="20"/>
              </w:rPr>
              <w:t>Maximum residual</w:t>
            </w:r>
          </w:p>
        </w:tc>
      </w:tr>
    </w:tbl>
    <w:p w:rsidR="009C5B70" w:rsidRDefault="009C5B70">
      <w:pPr>
        <w:pStyle w:val="Heading1"/>
        <w:snapToGrid w:val="0"/>
        <w:spacing w:before="0" w:line="240" w:lineRule="auto"/>
        <w:ind w:left="360"/>
        <w:rPr>
          <w:rFonts w:ascii="Times New Roman" w:hAnsi="Times New Roman" w:cs="Times New Roman"/>
          <w:color w:val="auto"/>
          <w:sz w:val="20"/>
          <w:szCs w:val="20"/>
        </w:rPr>
      </w:pPr>
    </w:p>
    <w:p w:rsidR="009C5B70" w:rsidRDefault="009C5B70">
      <w:pPr>
        <w:pStyle w:val="Heading1"/>
        <w:numPr>
          <w:ilvl w:val="0"/>
          <w:numId w:val="1"/>
        </w:numPr>
        <w:snapToGrid w:val="0"/>
        <w:spacing w:before="0" w:line="240" w:lineRule="auto"/>
        <w:rPr>
          <w:rFonts w:ascii="Times New Roman" w:hAnsi="Times New Roman" w:cs="Times New Roman"/>
          <w:color w:val="auto"/>
          <w:sz w:val="20"/>
          <w:szCs w:val="20"/>
        </w:rPr>
        <w:sectPr w:rsidR="009C5B70">
          <w:type w:val="continuous"/>
          <w:pgSz w:w="12240" w:h="15839"/>
          <w:pgMar w:top="1440" w:right="1440" w:bottom="1440" w:left="1440" w:header="720" w:footer="720" w:gutter="0"/>
          <w:cols w:space="425"/>
          <w:docGrid w:linePitch="360"/>
        </w:sectPr>
      </w:pPr>
    </w:p>
    <w:p w:rsidR="009C5B70" w:rsidRDefault="006605DA">
      <w:pPr>
        <w:pStyle w:val="Heading1"/>
        <w:numPr>
          <w:ilvl w:val="0"/>
          <w:numId w:val="1"/>
        </w:numPr>
        <w:snapToGrid w:val="0"/>
        <w:spacing w:before="0" w:line="240" w:lineRule="auto"/>
        <w:rPr>
          <w:rFonts w:ascii="Times New Roman" w:hAnsi="Times New Roman" w:cs="Times New Roman"/>
          <w:color w:val="auto"/>
          <w:sz w:val="20"/>
          <w:szCs w:val="20"/>
        </w:rPr>
      </w:pPr>
      <w:r>
        <w:rPr>
          <w:rFonts w:ascii="Times New Roman" w:hAnsi="Times New Roman" w:cs="Times New Roman"/>
          <w:color w:val="auto"/>
          <w:sz w:val="20"/>
          <w:szCs w:val="20"/>
        </w:rPr>
        <w:lastRenderedPageBreak/>
        <w:t>Discussion</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 xml:space="preserve">White mango scale is a </w:t>
      </w:r>
      <w:r>
        <w:rPr>
          <w:rFonts w:ascii="Times New Roman" w:hAnsi="Times New Roman" w:cs="Times New Roman"/>
          <w:sz w:val="20"/>
          <w:szCs w:val="20"/>
        </w:rPr>
        <w:t>sucking</w:t>
      </w:r>
      <w:r>
        <w:rPr>
          <w:rFonts w:ascii="Times New Roman" w:hAnsi="Times New Roman" w:cs="Times New Roman"/>
          <w:sz w:val="20"/>
          <w:szCs w:val="20"/>
          <w:lang w:val="en-US"/>
        </w:rPr>
        <w:t xml:space="preserve"> and hard scale which secrete tough waxy protective covering coat attached to the plant surface while the insect is free within the cover (</w:t>
      </w:r>
      <w:proofErr w:type="spellStart"/>
      <w:r>
        <w:rPr>
          <w:rFonts w:ascii="Times New Roman" w:hAnsi="Times New Roman" w:cs="Times New Roman"/>
          <w:sz w:val="20"/>
          <w:szCs w:val="20"/>
          <w:lang w:val="en-US"/>
        </w:rPr>
        <w:t>Varshney</w:t>
      </w:r>
      <w:proofErr w:type="spellEnd"/>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et al</w:t>
      </w:r>
      <w:r>
        <w:rPr>
          <w:rFonts w:ascii="Times New Roman" w:hAnsi="Times New Roman" w:cs="Times New Roman"/>
          <w:sz w:val="20"/>
          <w:szCs w:val="20"/>
          <w:lang w:val="en-US"/>
        </w:rPr>
        <w:t xml:space="preserve">., 2002; </w:t>
      </w:r>
      <w:proofErr w:type="spellStart"/>
      <w:r>
        <w:rPr>
          <w:rFonts w:ascii="Times New Roman" w:hAnsi="Times New Roman" w:cs="Times New Roman"/>
          <w:sz w:val="20"/>
          <w:szCs w:val="20"/>
          <w:lang w:val="en-US"/>
        </w:rPr>
        <w:t>Moharum</w:t>
      </w:r>
      <w:proofErr w:type="spellEnd"/>
      <w:r>
        <w:rPr>
          <w:rFonts w:ascii="Times New Roman" w:hAnsi="Times New Roman" w:cs="Times New Roman"/>
          <w:sz w:val="20"/>
          <w:szCs w:val="20"/>
          <w:lang w:val="en-US"/>
        </w:rPr>
        <w:t xml:space="preserve">, 2012 and Mark </w:t>
      </w:r>
      <w:r>
        <w:rPr>
          <w:rFonts w:ascii="Times New Roman" w:hAnsi="Times New Roman" w:cs="Times New Roman"/>
          <w:i/>
          <w:sz w:val="20"/>
          <w:szCs w:val="20"/>
          <w:lang w:val="en-US"/>
        </w:rPr>
        <w:t>et al.</w:t>
      </w:r>
      <w:r>
        <w:rPr>
          <w:rFonts w:ascii="Times New Roman" w:hAnsi="Times New Roman" w:cs="Times New Roman"/>
          <w:sz w:val="20"/>
          <w:szCs w:val="20"/>
          <w:lang w:val="en-US"/>
        </w:rPr>
        <w:t xml:space="preserve">, 2019).  </w:t>
      </w:r>
      <w:r>
        <w:rPr>
          <w:rFonts w:ascii="Times New Roman" w:hAnsi="Times New Roman" w:cs="Times New Roman"/>
          <w:sz w:val="20"/>
          <w:szCs w:val="20"/>
        </w:rPr>
        <w:t xml:space="preserve"> Also the insect pest reproduces during both dry and wet seasons, and produce</w:t>
      </w:r>
      <w:r>
        <w:rPr>
          <w:rFonts w:ascii="Times New Roman" w:hAnsi="Times New Roman" w:cs="Times New Roman"/>
          <w:sz w:val="20"/>
          <w:szCs w:val="20"/>
          <w:lang w:val="en-US"/>
        </w:rPr>
        <w:t xml:space="preserve"> five to six generations per year, at a maximum day time temperature of 26°C and night time minimum temperature of 13°</w:t>
      </w:r>
      <w:proofErr w:type="gramStart"/>
      <w:r>
        <w:rPr>
          <w:rFonts w:ascii="Times New Roman" w:hAnsi="Times New Roman" w:cs="Times New Roman"/>
          <w:sz w:val="20"/>
          <w:szCs w:val="20"/>
          <w:lang w:val="en-US"/>
        </w:rPr>
        <w:t>C</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and also </w:t>
      </w:r>
      <w:r>
        <w:rPr>
          <w:rFonts w:ascii="Times New Roman" w:hAnsi="Times New Roman" w:cs="Times New Roman"/>
          <w:sz w:val="20"/>
          <w:szCs w:val="20"/>
          <w:lang w:val="en-US"/>
        </w:rPr>
        <w:t xml:space="preserve">overlapping generations throughout the year and reached peak population during the flowering time of spring and harvesting period in western </w:t>
      </w:r>
      <w:proofErr w:type="spellStart"/>
      <w:r>
        <w:rPr>
          <w:rFonts w:ascii="Times New Roman" w:hAnsi="Times New Roman" w:cs="Times New Roman"/>
          <w:sz w:val="20"/>
          <w:szCs w:val="20"/>
          <w:lang w:val="en-US"/>
        </w:rPr>
        <w:t>wellega</w:t>
      </w:r>
      <w:proofErr w:type="spellEnd"/>
      <w:r>
        <w:rPr>
          <w:rFonts w:ascii="Times New Roman" w:hAnsi="Times New Roman" w:cs="Times New Roman"/>
          <w:sz w:val="20"/>
          <w:szCs w:val="20"/>
          <w:lang w:val="en-US"/>
        </w:rPr>
        <w:t xml:space="preserve"> area </w:t>
      </w:r>
      <w:r>
        <w:rPr>
          <w:rFonts w:ascii="Times New Roman" w:hAnsi="Times New Roman" w:cs="Times New Roman"/>
          <w:sz w:val="20"/>
          <w:szCs w:val="20"/>
        </w:rPr>
        <w:t>(</w:t>
      </w:r>
      <w:proofErr w:type="spellStart"/>
      <w:r>
        <w:rPr>
          <w:rFonts w:ascii="Times New Roman" w:hAnsi="Times New Roman" w:cs="Times New Roman"/>
          <w:sz w:val="20"/>
          <w:szCs w:val="20"/>
        </w:rPr>
        <w:t>Halteren</w:t>
      </w:r>
      <w:proofErr w:type="spellEnd"/>
      <w:r>
        <w:rPr>
          <w:rFonts w:ascii="Times New Roman" w:hAnsi="Times New Roman" w:cs="Times New Roman"/>
          <w:sz w:val="20"/>
          <w:szCs w:val="20"/>
        </w:rPr>
        <w:t>, 1970;</w:t>
      </w:r>
      <w:r>
        <w:rPr>
          <w:rFonts w:ascii="Times New Roman" w:hAnsi="Times New Roman" w:cs="Times New Roman"/>
          <w:sz w:val="20"/>
          <w:szCs w:val="20"/>
          <w:lang w:val="en-US"/>
        </w:rPr>
        <w:t xml:space="preserve"> Miller and Davidson, 2005 and </w:t>
      </w:r>
      <w:proofErr w:type="spellStart"/>
      <w:r>
        <w:rPr>
          <w:rFonts w:ascii="Times New Roman" w:hAnsi="Times New Roman" w:cs="Times New Roman"/>
          <w:sz w:val="20"/>
          <w:szCs w:val="20"/>
          <w:lang w:val="en-US"/>
        </w:rPr>
        <w:t>Hailu</w:t>
      </w:r>
      <w:proofErr w:type="spellEnd"/>
      <w:r>
        <w:rPr>
          <w:rFonts w:ascii="Times New Roman" w:hAnsi="Times New Roman" w:cs="Times New Roman"/>
          <w:sz w:val="20"/>
          <w:szCs w:val="20"/>
          <w:lang w:val="en-US"/>
        </w:rPr>
        <w:t xml:space="preserve"> </w:t>
      </w:r>
      <w:r>
        <w:rPr>
          <w:rFonts w:ascii="Times New Roman" w:hAnsi="Times New Roman" w:cs="Times New Roman"/>
          <w:i/>
          <w:sz w:val="20"/>
          <w:szCs w:val="20"/>
          <w:lang w:val="en-US"/>
        </w:rPr>
        <w:t>et al.,</w:t>
      </w:r>
      <w:r>
        <w:rPr>
          <w:rFonts w:ascii="Times New Roman" w:hAnsi="Times New Roman" w:cs="Times New Roman"/>
          <w:sz w:val="20"/>
          <w:szCs w:val="20"/>
          <w:lang w:val="en-US"/>
        </w:rPr>
        <w:t xml:space="preserve"> 2014</w:t>
      </w:r>
      <w:r>
        <w:rPr>
          <w:rFonts w:ascii="Times New Roman" w:hAnsi="Times New Roman" w:cs="Times New Roman"/>
          <w:sz w:val="20"/>
          <w:szCs w:val="20"/>
        </w:rPr>
        <w:t xml:space="preserve">).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the armour of the insect which used for protection from natural enemies and insecticide penetration and also its overlapping generation throughout the year made this insect pest difficult to control.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Different literatures and countries experience indicated that management of white mango scale using applaud, white oil extract, mineral oils such as Diver®, CAPL2® and super </w:t>
      </w:r>
      <w:proofErr w:type="spellStart"/>
      <w:r>
        <w:rPr>
          <w:rFonts w:ascii="Times New Roman" w:hAnsi="Times New Roman" w:cs="Times New Roman"/>
          <w:sz w:val="20"/>
          <w:szCs w:val="20"/>
        </w:rPr>
        <w:t>masrona</w:t>
      </w:r>
      <w:proofErr w:type="spellEnd"/>
      <w:r>
        <w:rPr>
          <w:rFonts w:ascii="Times New Roman" w:hAnsi="Times New Roman" w:cs="Times New Roman"/>
          <w:sz w:val="20"/>
          <w:szCs w:val="20"/>
        </w:rPr>
        <w:t xml:space="preserve">®, insecticide such as </w:t>
      </w:r>
      <w:proofErr w:type="spellStart"/>
      <w:r>
        <w:rPr>
          <w:rFonts w:ascii="Times New Roman" w:hAnsi="Times New Roman" w:cs="Times New Roman"/>
          <w:sz w:val="20"/>
          <w:szCs w:val="20"/>
        </w:rPr>
        <w:t>Deltametrine</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pyrethrin</w:t>
      </w:r>
      <w:proofErr w:type="spellEnd"/>
      <w:r>
        <w:rPr>
          <w:rFonts w:ascii="Times New Roman" w:hAnsi="Times New Roman" w:cs="Times New Roman"/>
          <w:sz w:val="20"/>
          <w:szCs w:val="20"/>
        </w:rPr>
        <w:t xml:space="preserve"> in Kenya, </w:t>
      </w:r>
      <w:proofErr w:type="spellStart"/>
      <w:r>
        <w:rPr>
          <w:rFonts w:ascii="Times New Roman" w:hAnsi="Times New Roman" w:cs="Times New Roman"/>
          <w:sz w:val="20"/>
          <w:szCs w:val="20"/>
        </w:rPr>
        <w:t>chloropyrifos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methidathion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t>
      </w:r>
      <w:proofErr w:type="spellStart"/>
      <w:r>
        <w:rPr>
          <w:rFonts w:ascii="Times New Roman" w:hAnsi="Times New Roman" w:cs="Times New Roman"/>
          <w:sz w:val="20"/>
          <w:szCs w:val="20"/>
        </w:rPr>
        <w:t>Movento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Folimat</w:t>
      </w:r>
      <w:proofErr w:type="spellEnd"/>
      <w:r>
        <w:rPr>
          <w:rFonts w:ascii="Times New Roman" w:hAnsi="Times New Roman" w:cs="Times New Roman"/>
          <w:sz w:val="20"/>
          <w:szCs w:val="20"/>
        </w:rPr>
        <w:t xml:space="preserve"> 500SL, D-C-Tron and Closer insecticides showed different effectiveness in reducing the insect number (Howard, 1989; Findlay, 2003; Abo-</w:t>
      </w:r>
      <w:proofErr w:type="spellStart"/>
      <w:r>
        <w:rPr>
          <w:rFonts w:ascii="Times New Roman" w:hAnsi="Times New Roman" w:cs="Times New Roman"/>
          <w:sz w:val="20"/>
          <w:szCs w:val="20"/>
        </w:rPr>
        <w:t>Shanab</w:t>
      </w:r>
      <w:proofErr w:type="spellEnd"/>
      <w:r>
        <w:rPr>
          <w:rFonts w:ascii="Times New Roman" w:hAnsi="Times New Roman" w:cs="Times New Roman"/>
          <w:sz w:val="20"/>
          <w:szCs w:val="20"/>
        </w:rPr>
        <w:t xml:space="preserve">, 2012; </w:t>
      </w:r>
      <w:proofErr w:type="spellStart"/>
      <w:r>
        <w:rPr>
          <w:rFonts w:ascii="Times New Roman" w:hAnsi="Times New Roman" w:cs="Times New Roman"/>
          <w:sz w:val="20"/>
          <w:szCs w:val="20"/>
        </w:rPr>
        <w:t>Hailu</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2014; </w:t>
      </w:r>
      <w:proofErr w:type="spellStart"/>
      <w:r>
        <w:rPr>
          <w:rFonts w:ascii="Times New Roman" w:hAnsi="Times New Roman" w:cs="Times New Roman"/>
          <w:sz w:val="20"/>
          <w:szCs w:val="20"/>
        </w:rPr>
        <w:t>Ayalew</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2015; </w:t>
      </w:r>
      <w:proofErr w:type="spellStart"/>
      <w:r>
        <w:rPr>
          <w:rFonts w:ascii="Times New Roman" w:hAnsi="Times New Roman" w:cs="Times New Roman"/>
          <w:sz w:val="20"/>
          <w:szCs w:val="20"/>
        </w:rPr>
        <w:t>Djirata</w:t>
      </w:r>
      <w:proofErr w:type="spellEnd"/>
      <w:r>
        <w:rPr>
          <w:rFonts w:ascii="Times New Roman" w:hAnsi="Times New Roman" w:cs="Times New Roman"/>
          <w:sz w:val="20"/>
          <w:szCs w:val="20"/>
        </w:rPr>
        <w:t xml:space="preserve">, 2017).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in our country there were a limited literature and recommendation for the white mango scale management since the insect introduced in the country not more than a decade.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this experiment was used different management option such as systemic insecticide, white oil extract and pruning each separately and systemic insecticide and white oil extract each in combination with pruning as management tactics. All the management tactics were highly significant effectiveness as compared with untreated control. </w:t>
      </w:r>
    </w:p>
    <w:p w:rsidR="009C5B70" w:rsidRDefault="006605DA">
      <w:pPr>
        <w:snapToGrid w:val="0"/>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the treatments were showed that different effectiveness in decreasing population number of white mango scale and in increasing mortality percentage and mango fruits and yields. The treatments against white mango scale population found in descending order were (Pruning at par with White oil extract) &gt;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&gt;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at par with White oil extract + Pruning) &gt;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 Pruning) &gt;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respectively. The treatments against mortality percentage found in descending order were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&gt;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(White oil + pruning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 EC at par with each other) &gt; (White oil extract at par with Pruning) respectively. Fruit number and yield among treatments found in descending order were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&gt;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&gt; (White oil extract + pruning) &gt;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w:t>
      </w:r>
      <w:r>
        <w:rPr>
          <w:rFonts w:ascii="Times New Roman" w:hAnsi="Times New Roman" w:cs="Times New Roman"/>
          <w:sz w:val="20"/>
          <w:szCs w:val="20"/>
        </w:rPr>
        <w:lastRenderedPageBreak/>
        <w:t>20SL, Pruning, White oil extract at par with each) other respectively.</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Management of white mango scale using pruning as cited by Williams et al. (2009) was one of the method of pest management on mango trees by removal of undesirable vegetative parts, crowded branches, insect-infested and diseased branches, leaves, flowers and other plant parts.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the mango trees were pruned during the vegetative stage soon after mango fruits harvest. The white mango scale was relatively decreased its population and increased its mortality than untreated control during 1st, 2nd and 3rd count, respectively.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the management using pruning helps free sun light penetration in the mango canopy which forces white mango scale population to the lower canopy and under shade area and some might be killed by the direct sunlight which helps to decrease the infestation status. Integrated management tactics using white oil extract,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each with pruning operation were increased the effectiveness of white mango scale control since pruning increased the penetration for the spray. Literature reported by Cunningham (1989) post-harvest pruning was an effective control measure and also helps the penetration of chemical sprays through the tree canopy. In </w:t>
      </w:r>
      <w:proofErr w:type="gramStart"/>
      <w:r>
        <w:rPr>
          <w:rFonts w:ascii="Times New Roman" w:hAnsi="Times New Roman" w:cs="Times New Roman"/>
          <w:sz w:val="20"/>
          <w:szCs w:val="20"/>
        </w:rPr>
        <w:t>addition</w:t>
      </w:r>
      <w:proofErr w:type="gramEnd"/>
      <w:r>
        <w:rPr>
          <w:rFonts w:ascii="Times New Roman" w:hAnsi="Times New Roman" w:cs="Times New Roman"/>
          <w:sz w:val="20"/>
          <w:szCs w:val="20"/>
        </w:rPr>
        <w:t xml:space="preserve"> Bautista-Rosales et al. (2013) who stated that pruning was significantly reduced the number of females per leaf and Lal and Mishra (2007) reported that pruning used as cultural management for obtaining quality yield by reducing incidence of pests and disease occurs due to high relative humidity.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Pruning decreased mango fruits number during the first year soon after pruning which kept increasing in the successive years (Lal </w:t>
      </w:r>
      <w:r>
        <w:rPr>
          <w:rFonts w:ascii="Times New Roman" w:hAnsi="Times New Roman" w:cs="Times New Roman"/>
          <w:i/>
          <w:sz w:val="20"/>
          <w:szCs w:val="20"/>
        </w:rPr>
        <w:t>et al</w:t>
      </w:r>
      <w:r>
        <w:rPr>
          <w:rFonts w:ascii="Times New Roman" w:hAnsi="Times New Roman" w:cs="Times New Roman"/>
          <w:sz w:val="20"/>
          <w:szCs w:val="20"/>
        </w:rPr>
        <w:t xml:space="preserve">., 2000).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in this experiment as the pre-treatment data showed that white mango scale natural infestation was similar infestation status which means comparatively similar dead leaf, twigs and branches which was unproductive and used for harbouring the pest which in turn contribute infestation of the newly emerged leaf. Therefore avoiding of such dead tree parts which was not used for fruit </w:t>
      </w:r>
      <w:proofErr w:type="gramStart"/>
      <w:r>
        <w:rPr>
          <w:rFonts w:ascii="Times New Roman" w:hAnsi="Times New Roman" w:cs="Times New Roman"/>
          <w:sz w:val="20"/>
          <w:szCs w:val="20"/>
        </w:rPr>
        <w:t>baring  did</w:t>
      </w:r>
      <w:proofErr w:type="gramEnd"/>
      <w:r>
        <w:rPr>
          <w:rFonts w:ascii="Times New Roman" w:hAnsi="Times New Roman" w:cs="Times New Roman"/>
          <w:sz w:val="20"/>
          <w:szCs w:val="20"/>
        </w:rPr>
        <w:t xml:space="preserve"> not affect the yield obtained per tree rather than these tree parts used for harbouring the pest as shelter for further infestation while the newly emerged leaf. So in this case the yield was compensated comparatively with other unpruned treatments.</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Management of white mango scale using white oil extract was significantly effective compared with untreated control.  White oil extract was prepared by taking an empty plastic bottle, pure edible oil (Trade name: </w:t>
      </w:r>
      <w:proofErr w:type="spellStart"/>
      <w:r>
        <w:rPr>
          <w:rFonts w:ascii="Times New Roman" w:hAnsi="Times New Roman" w:cs="Times New Roman"/>
          <w:sz w:val="20"/>
          <w:szCs w:val="20"/>
        </w:rPr>
        <w:t>Sekina</w:t>
      </w:r>
      <w:proofErr w:type="spellEnd"/>
      <w:r>
        <w:rPr>
          <w:rFonts w:ascii="Times New Roman" w:hAnsi="Times New Roman" w:cs="Times New Roman"/>
          <w:sz w:val="20"/>
          <w:szCs w:val="20"/>
        </w:rPr>
        <w:t xml:space="preserve">) was poured in a 250ml cup and mixed with 62.5ml of hand dish wash liquid detergent (Trade name: BEKAS Sine) and </w:t>
      </w:r>
      <w:proofErr w:type="spellStart"/>
      <w:r>
        <w:rPr>
          <w:rFonts w:ascii="Times New Roman" w:hAnsi="Times New Roman" w:cs="Times New Roman"/>
          <w:sz w:val="20"/>
          <w:szCs w:val="20"/>
        </w:rPr>
        <w:t>shaked</w:t>
      </w:r>
      <w:proofErr w:type="spellEnd"/>
      <w:r>
        <w:rPr>
          <w:rFonts w:ascii="Times New Roman" w:hAnsi="Times New Roman" w:cs="Times New Roman"/>
          <w:sz w:val="20"/>
          <w:szCs w:val="20"/>
        </w:rPr>
        <w:t xml:space="preserve"> well finally turned to white. White oil extract of 50 ml per 5 </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water mixed well and used for a single mango tree for this experiment (https:// www. organicgardener.com.au/ blogs/home-</w:t>
      </w:r>
      <w:r>
        <w:rPr>
          <w:rFonts w:ascii="Times New Roman" w:hAnsi="Times New Roman" w:cs="Times New Roman"/>
          <w:sz w:val="20"/>
          <w:szCs w:val="20"/>
        </w:rPr>
        <w:lastRenderedPageBreak/>
        <w:t xml:space="preserve">made-pest-remedies, retrieved on 01 June 2018). Since the white oil extract was used for suffocating and dried out the white mango scale results a decreased population. Different literature indicated that white oil extract used for white mango scale management. As cited by </w:t>
      </w:r>
      <w:proofErr w:type="spellStart"/>
      <w:r>
        <w:rPr>
          <w:rFonts w:ascii="Times New Roman" w:hAnsi="Times New Roman" w:cs="Times New Roman"/>
          <w:sz w:val="20"/>
          <w:szCs w:val="20"/>
        </w:rPr>
        <w:t>Hailu</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(2014) that </w:t>
      </w:r>
      <w:proofErr w:type="spellStart"/>
      <w:r>
        <w:rPr>
          <w:rFonts w:ascii="Times New Roman" w:hAnsi="Times New Roman" w:cs="Times New Roman"/>
          <w:sz w:val="20"/>
          <w:szCs w:val="20"/>
        </w:rPr>
        <w:t>Assosa</w:t>
      </w:r>
      <w:proofErr w:type="spellEnd"/>
      <w:r>
        <w:rPr>
          <w:rFonts w:ascii="Times New Roman" w:hAnsi="Times New Roman" w:cs="Times New Roman"/>
          <w:sz w:val="20"/>
          <w:szCs w:val="20"/>
        </w:rPr>
        <w:t xml:space="preserve"> Agricultural research institute recommended white oil extract for control of white mango scale. Others literature by </w:t>
      </w:r>
      <w:proofErr w:type="spellStart"/>
      <w:r>
        <w:rPr>
          <w:rFonts w:ascii="Times New Roman" w:hAnsi="Times New Roman" w:cs="Times New Roman"/>
          <w:sz w:val="20"/>
          <w:szCs w:val="20"/>
        </w:rPr>
        <w:t>Muegge</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(2019) reported that scale insects are suffocated by oils and dried out by insecticidal soaps. Insecticidal soaps disrupt the waxy cuticle or “skin” of the insect, which eventually causes the insect to dry out or desiccate and die. In </w:t>
      </w:r>
      <w:proofErr w:type="gramStart"/>
      <w:r>
        <w:rPr>
          <w:rFonts w:ascii="Times New Roman" w:hAnsi="Times New Roman" w:cs="Times New Roman"/>
          <w:sz w:val="20"/>
          <w:szCs w:val="20"/>
        </w:rPr>
        <w:t>addition</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Prasannath</w:t>
      </w:r>
      <w:proofErr w:type="spellEnd"/>
      <w:r>
        <w:rPr>
          <w:rFonts w:ascii="Times New Roman" w:hAnsi="Times New Roman" w:cs="Times New Roman"/>
          <w:sz w:val="20"/>
          <w:szCs w:val="20"/>
        </w:rPr>
        <w:t xml:space="preserve"> (2016) supports to use such type of botanical control due to biodegradable nature, </w:t>
      </w:r>
      <w:proofErr w:type="spellStart"/>
      <w:r>
        <w:rPr>
          <w:rFonts w:ascii="Times New Roman" w:hAnsi="Times New Roman" w:cs="Times New Roman"/>
          <w:sz w:val="20"/>
          <w:szCs w:val="20"/>
        </w:rPr>
        <w:t>systemicity</w:t>
      </w:r>
      <w:proofErr w:type="spellEnd"/>
      <w:r>
        <w:rPr>
          <w:rFonts w:ascii="Times New Roman" w:hAnsi="Times New Roman" w:cs="Times New Roman"/>
          <w:sz w:val="20"/>
          <w:szCs w:val="20"/>
        </w:rPr>
        <w:t xml:space="preserve"> after application, capacity to alter the behaviour of target pests and favourable safety profile. Management of white mango scale using pruning and white oil extract at par with each other and effective compared with untreated control but less effective compared with white oil extract with pruning management tactics. </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this experiment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was used for the management of white mango scale.  Experiments conducted by Varghese (2000) on mango varieties, </w:t>
      </w:r>
      <w:proofErr w:type="spellStart"/>
      <w:r>
        <w:rPr>
          <w:rFonts w:ascii="Times New Roman" w:hAnsi="Times New Roman" w:cs="Times New Roman"/>
          <w:sz w:val="20"/>
          <w:szCs w:val="20"/>
        </w:rPr>
        <w:t>Alphanso</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Bangampalli</w:t>
      </w:r>
      <w:proofErr w:type="spellEnd"/>
      <w:r>
        <w:rPr>
          <w:rFonts w:ascii="Times New Roman" w:hAnsi="Times New Roman" w:cs="Times New Roman"/>
          <w:sz w:val="20"/>
          <w:szCs w:val="20"/>
        </w:rPr>
        <w:t xml:space="preserve"> showed that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recommendation dosage between 0.2 to 0.8 ml/</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was found effective.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for this experiment 0.8ml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per 1 </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of water dosage 4ml per 5 </w:t>
      </w:r>
      <w:proofErr w:type="spellStart"/>
      <w:r>
        <w:rPr>
          <w:rFonts w:ascii="Times New Roman" w:hAnsi="Times New Roman" w:cs="Times New Roman"/>
          <w:sz w:val="20"/>
          <w:szCs w:val="20"/>
        </w:rPr>
        <w:t>liters</w:t>
      </w:r>
      <w:proofErr w:type="spellEnd"/>
      <w:r>
        <w:rPr>
          <w:rFonts w:ascii="Times New Roman" w:hAnsi="Times New Roman" w:cs="Times New Roman"/>
          <w:sz w:val="20"/>
          <w:szCs w:val="20"/>
        </w:rPr>
        <w:t xml:space="preserve"> of water was sprayed for a single mango tree. Mango white scale insect population highly significant decreased while using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as compared with pruning, white oil extract,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40%EC+pruning.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it was insignificant mortality percentage compared with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40%EC+pruning, white </w:t>
      </w:r>
      <w:proofErr w:type="spellStart"/>
      <w:r>
        <w:rPr>
          <w:rFonts w:ascii="Times New Roman" w:hAnsi="Times New Roman" w:cs="Times New Roman"/>
          <w:sz w:val="20"/>
          <w:szCs w:val="20"/>
        </w:rPr>
        <w:t>oil+pruning</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but highly significant mortality percentage compared with white oil and pruning. The effect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with pruning operation was highly significant effectiveness compared with all other treatments. Literature by </w:t>
      </w:r>
      <w:proofErr w:type="spellStart"/>
      <w:r>
        <w:rPr>
          <w:rFonts w:ascii="Times New Roman" w:hAnsi="Times New Roman" w:cs="Times New Roman"/>
          <w:sz w:val="20"/>
          <w:szCs w:val="20"/>
        </w:rPr>
        <w:t>Hegde</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Nidagundi</w:t>
      </w:r>
      <w:proofErr w:type="spellEnd"/>
      <w:r>
        <w:rPr>
          <w:rFonts w:ascii="Times New Roman" w:hAnsi="Times New Roman" w:cs="Times New Roman"/>
          <w:sz w:val="20"/>
          <w:szCs w:val="20"/>
        </w:rPr>
        <w:t xml:space="preserve">, 2009 and </w:t>
      </w:r>
      <w:proofErr w:type="spellStart"/>
      <w:r>
        <w:rPr>
          <w:rFonts w:ascii="Times New Roman" w:hAnsi="Times New Roman" w:cs="Times New Roman"/>
          <w:sz w:val="20"/>
          <w:szCs w:val="20"/>
        </w:rPr>
        <w:t>Patil</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(2009) reported that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is a new class of insecticide and its potency against sucking insect is well reported in different countries of the world. Studies by </w:t>
      </w:r>
      <w:proofErr w:type="spellStart"/>
      <w:r>
        <w:rPr>
          <w:rFonts w:ascii="Times New Roman" w:hAnsi="Times New Roman" w:cs="Times New Roman"/>
          <w:sz w:val="20"/>
          <w:szCs w:val="20"/>
        </w:rPr>
        <w:t>Kencharaddai</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Balikai</w:t>
      </w:r>
      <w:proofErr w:type="spellEnd"/>
      <w:r>
        <w:rPr>
          <w:rFonts w:ascii="Times New Roman" w:hAnsi="Times New Roman" w:cs="Times New Roman"/>
          <w:sz w:val="20"/>
          <w:szCs w:val="20"/>
        </w:rPr>
        <w:t xml:space="preserve"> (2012) and Joshi and Sharma (2009) showed that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gives an outstanding result against sucking insects. Also Robson </w:t>
      </w:r>
      <w:r>
        <w:rPr>
          <w:rFonts w:ascii="Times New Roman" w:hAnsi="Times New Roman" w:cs="Times New Roman"/>
          <w:i/>
          <w:sz w:val="20"/>
          <w:szCs w:val="20"/>
        </w:rPr>
        <w:t>et a</w:t>
      </w:r>
      <w:r>
        <w:rPr>
          <w:rFonts w:ascii="Times New Roman" w:hAnsi="Times New Roman" w:cs="Times New Roman"/>
          <w:sz w:val="20"/>
          <w:szCs w:val="20"/>
        </w:rPr>
        <w:t xml:space="preserve">l. (2007) and Shi </w:t>
      </w:r>
      <w:r>
        <w:rPr>
          <w:rFonts w:ascii="Times New Roman" w:hAnsi="Times New Roman" w:cs="Times New Roman"/>
          <w:i/>
          <w:sz w:val="20"/>
          <w:szCs w:val="20"/>
        </w:rPr>
        <w:t>et al</w:t>
      </w:r>
      <w:r>
        <w:rPr>
          <w:rFonts w:ascii="Times New Roman" w:hAnsi="Times New Roman" w:cs="Times New Roman"/>
          <w:sz w:val="20"/>
          <w:szCs w:val="20"/>
        </w:rPr>
        <w:t xml:space="preserve">. (2011) stated that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is comparatively safer than other conventional insecticides and once it is applied, the action continued for a longer period. On the other hand, the action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persisted at least up to day 10 which raises the possibility that once it enters into the plant system, the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remains comparatively for a longer period of </w:t>
      </w:r>
      <w:proofErr w:type="gramStart"/>
      <w:r>
        <w:rPr>
          <w:rFonts w:ascii="Times New Roman" w:hAnsi="Times New Roman" w:cs="Times New Roman"/>
          <w:sz w:val="20"/>
          <w:szCs w:val="20"/>
        </w:rPr>
        <w:t>time  and</w:t>
      </w:r>
      <w:proofErr w:type="gramEnd"/>
      <w:r>
        <w:rPr>
          <w:rFonts w:ascii="Times New Roman" w:hAnsi="Times New Roman" w:cs="Times New Roman"/>
          <w:sz w:val="20"/>
          <w:szCs w:val="20"/>
        </w:rPr>
        <w:t xml:space="preserve">  also supports as this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is comparatively less toxicity to human and environment.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is registered </w:t>
      </w:r>
      <w:r>
        <w:rPr>
          <w:rFonts w:ascii="Times New Roman" w:hAnsi="Times New Roman" w:cs="Times New Roman"/>
          <w:sz w:val="20"/>
          <w:szCs w:val="20"/>
        </w:rPr>
        <w:lastRenderedPageBreak/>
        <w:t>for the control of aphids (</w:t>
      </w:r>
      <w:proofErr w:type="spellStart"/>
      <w:r>
        <w:rPr>
          <w:rFonts w:ascii="Times New Roman" w:hAnsi="Times New Roman" w:cs="Times New Roman"/>
          <w:sz w:val="20"/>
          <w:szCs w:val="20"/>
        </w:rPr>
        <w:t>Macrosiphum</w:t>
      </w:r>
      <w:proofErr w:type="spellEnd"/>
      <w:r>
        <w:rPr>
          <w:rFonts w:ascii="Times New Roman" w:hAnsi="Times New Roman" w:cs="Times New Roman"/>
          <w:sz w:val="20"/>
          <w:szCs w:val="20"/>
        </w:rPr>
        <w:t xml:space="preserve"> euphorbiae) on potatoes in Ethiopia (</w:t>
      </w:r>
      <w:proofErr w:type="spellStart"/>
      <w:r>
        <w:rPr>
          <w:rFonts w:ascii="Times New Roman" w:hAnsi="Times New Roman" w:cs="Times New Roman"/>
          <w:sz w:val="20"/>
          <w:szCs w:val="20"/>
        </w:rPr>
        <w:t>MoA</w:t>
      </w:r>
      <w:proofErr w:type="spellEnd"/>
      <w:r>
        <w:rPr>
          <w:rFonts w:ascii="Times New Roman" w:hAnsi="Times New Roman" w:cs="Times New Roman"/>
          <w:sz w:val="20"/>
          <w:szCs w:val="20"/>
        </w:rPr>
        <w:t>, 2016).</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this experiment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was sprayed for the management of white mango scale. In this experiment based on 0.75 ml of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per 1 </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of water dosage rate 3.75 ml per 5 </w:t>
      </w:r>
      <w:proofErr w:type="spellStart"/>
      <w:r>
        <w:rPr>
          <w:rFonts w:ascii="Times New Roman" w:hAnsi="Times New Roman" w:cs="Times New Roman"/>
          <w:sz w:val="20"/>
          <w:szCs w:val="20"/>
        </w:rPr>
        <w:t>liter</w:t>
      </w:r>
      <w:proofErr w:type="spellEnd"/>
      <w:r>
        <w:rPr>
          <w:rFonts w:ascii="Times New Roman" w:hAnsi="Times New Roman" w:cs="Times New Roman"/>
          <w:sz w:val="20"/>
          <w:szCs w:val="20"/>
        </w:rPr>
        <w:t xml:space="preserve"> of water per a single mango tree was used for spray (</w:t>
      </w:r>
      <w:proofErr w:type="spellStart"/>
      <w:r>
        <w:rPr>
          <w:rFonts w:ascii="Times New Roman" w:hAnsi="Times New Roman" w:cs="Times New Roman"/>
          <w:sz w:val="20"/>
          <w:szCs w:val="20"/>
        </w:rPr>
        <w:t>MoA</w:t>
      </w:r>
      <w:proofErr w:type="spellEnd"/>
      <w:r>
        <w:rPr>
          <w:rFonts w:ascii="Times New Roman" w:hAnsi="Times New Roman" w:cs="Times New Roman"/>
          <w:sz w:val="20"/>
          <w:szCs w:val="20"/>
        </w:rPr>
        <w:t xml:space="preserve">, 2016). Management of white mango scale using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was highly significant effectiveness as compared with white oil extract and pruning in decreasing population number and increasing mortality percentage.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it was insignificant </w:t>
      </w:r>
      <w:proofErr w:type="spellStart"/>
      <w:r>
        <w:rPr>
          <w:rFonts w:ascii="Times New Roman" w:hAnsi="Times New Roman" w:cs="Times New Roman"/>
          <w:sz w:val="20"/>
          <w:szCs w:val="20"/>
        </w:rPr>
        <w:t>moratlity</w:t>
      </w:r>
      <w:proofErr w:type="spellEnd"/>
      <w:r>
        <w:rPr>
          <w:rFonts w:ascii="Times New Roman" w:hAnsi="Times New Roman" w:cs="Times New Roman"/>
          <w:sz w:val="20"/>
          <w:szCs w:val="20"/>
        </w:rPr>
        <w:t xml:space="preserve"> percentage variation as compared with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40%EC+pruning,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and white oil </w:t>
      </w:r>
      <w:proofErr w:type="spellStart"/>
      <w:r>
        <w:rPr>
          <w:rFonts w:ascii="Times New Roman" w:hAnsi="Times New Roman" w:cs="Times New Roman"/>
          <w:sz w:val="20"/>
          <w:szCs w:val="20"/>
        </w:rPr>
        <w:t>extract+pruning</w:t>
      </w:r>
      <w:proofErr w:type="spellEnd"/>
      <w:r>
        <w:rPr>
          <w:rFonts w:ascii="Times New Roman" w:hAnsi="Times New Roman" w:cs="Times New Roman"/>
          <w:sz w:val="20"/>
          <w:szCs w:val="20"/>
        </w:rPr>
        <w:t xml:space="preserve">. In the case of white mango scale population number reduction management using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with pruning operation was highly significant effectiveness as compared with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without pruning management tactics.  Management using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with pruning operation in the case of population number reduction was highly significant effectiveness as compared with other </w:t>
      </w:r>
      <w:proofErr w:type="spellStart"/>
      <w:r>
        <w:rPr>
          <w:rFonts w:ascii="Times New Roman" w:hAnsi="Times New Roman" w:cs="Times New Roman"/>
          <w:sz w:val="20"/>
          <w:szCs w:val="20"/>
        </w:rPr>
        <w:t>treatements</w:t>
      </w:r>
      <w:proofErr w:type="spellEnd"/>
      <w:r>
        <w:rPr>
          <w:rFonts w:ascii="Times New Roman" w:hAnsi="Times New Roman" w:cs="Times New Roman"/>
          <w:sz w:val="20"/>
          <w:szCs w:val="20"/>
        </w:rPr>
        <w:t xml:space="preserve"> excluding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20SL+pruning treatment.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it was insignificant mortality percentage variation as compared with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without pruning management tactics. In general management of white mango scale </w:t>
      </w:r>
      <w:proofErr w:type="gramStart"/>
      <w:r>
        <w:rPr>
          <w:rFonts w:ascii="Times New Roman" w:hAnsi="Times New Roman" w:cs="Times New Roman"/>
          <w:sz w:val="20"/>
          <w:szCs w:val="20"/>
        </w:rPr>
        <w:t xml:space="preserve">using  </w:t>
      </w:r>
      <w:proofErr w:type="spellStart"/>
      <w:r>
        <w:rPr>
          <w:rFonts w:ascii="Times New Roman" w:hAnsi="Times New Roman" w:cs="Times New Roman"/>
          <w:sz w:val="20"/>
          <w:szCs w:val="20"/>
        </w:rPr>
        <w:t>Dimethoate</w:t>
      </w:r>
      <w:proofErr w:type="spellEnd"/>
      <w:proofErr w:type="gramEnd"/>
      <w:r>
        <w:rPr>
          <w:rFonts w:ascii="Times New Roman" w:hAnsi="Times New Roman" w:cs="Times New Roman"/>
          <w:sz w:val="20"/>
          <w:szCs w:val="20"/>
        </w:rPr>
        <w:t xml:space="preserve"> 40%EC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with pruning management tactics were highly significant effectiveness as compared with untreated control. Study by </w:t>
      </w:r>
      <w:proofErr w:type="spellStart"/>
      <w:r>
        <w:rPr>
          <w:rFonts w:ascii="Times New Roman" w:hAnsi="Times New Roman" w:cs="Times New Roman"/>
          <w:sz w:val="20"/>
          <w:szCs w:val="20"/>
        </w:rPr>
        <w:t>Swaminathan</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(2010) who reported that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was effective in reducing the effect of sucking insect pest and earlier study by Howard (1989) showed that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was used for control of white mango scale.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organo</w:t>
      </w:r>
      <w:proofErr w:type="spellEnd"/>
      <w:r>
        <w:rPr>
          <w:rFonts w:ascii="Times New Roman" w:hAnsi="Times New Roman" w:cs="Times New Roman"/>
          <w:sz w:val="20"/>
          <w:szCs w:val="20"/>
        </w:rPr>
        <w:t xml:space="preserve"> phosphate class which is now in modern crop protection is not recommended due to its hazardous nature to water, soil, environment and human health compared with </w:t>
      </w:r>
      <w:proofErr w:type="spellStart"/>
      <w:r>
        <w:rPr>
          <w:rFonts w:ascii="Times New Roman" w:hAnsi="Times New Roman" w:cs="Times New Roman"/>
          <w:sz w:val="20"/>
          <w:szCs w:val="20"/>
        </w:rPr>
        <w:t>neonicotinoides</w:t>
      </w:r>
      <w:proofErr w:type="spellEnd"/>
      <w:r>
        <w:rPr>
          <w:rFonts w:ascii="Times New Roman" w:hAnsi="Times New Roman" w:cs="Times New Roman"/>
          <w:sz w:val="20"/>
          <w:szCs w:val="20"/>
        </w:rPr>
        <w:t xml:space="preserve"> new type insecticides like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general management of white mango scale using white oil extract,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integrating with pruning increases the effectiveness which in lined with Cunningham (1989) and Andrew (2016) who reported post-harvest pruning is an effective control measure which helps the penetration of chemical sprays through the tree canopy. In the case of cost wise effectiveness white oil, pruning and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 pruning treatment seems to be a promising alternative to producers for white mango scale management. Management with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white oil + pruning,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and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 pruning treatments gave higher marketable yield and statistically highly significant different from pruning and white oil treatment but their costs were such that they did not provide an acceptable rate of return.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in this experiment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w:t>
      </w:r>
      <w:r>
        <w:rPr>
          <w:rFonts w:ascii="Times New Roman" w:hAnsi="Times New Roman" w:cs="Times New Roman"/>
          <w:sz w:val="20"/>
          <w:szCs w:val="20"/>
        </w:rPr>
        <w:lastRenderedPageBreak/>
        <w:t>20SL + pruning treatment costs higher compared with all other treatment but gave higher yield and acceptable rate of return.</w:t>
      </w:r>
    </w:p>
    <w:p w:rsidR="009C5B70" w:rsidRDefault="006605DA">
      <w:pPr>
        <w:pStyle w:val="ListParagraph"/>
        <w:numPr>
          <w:ilvl w:val="0"/>
          <w:numId w:val="1"/>
        </w:numPr>
        <w:snapToGrid w:val="0"/>
        <w:spacing w:after="0" w:line="240" w:lineRule="auto"/>
        <w:rPr>
          <w:rFonts w:ascii="Times New Roman" w:hAnsi="Times New Roman" w:cs="Times New Roman"/>
          <w:b/>
          <w:sz w:val="20"/>
          <w:szCs w:val="20"/>
        </w:rPr>
      </w:pPr>
      <w:r>
        <w:rPr>
          <w:rStyle w:val="Heading1Char"/>
          <w:rFonts w:ascii="Times New Roman" w:hAnsi="Times New Roman" w:cs="Times New Roman"/>
          <w:color w:val="auto"/>
          <w:sz w:val="20"/>
          <w:szCs w:val="20"/>
        </w:rPr>
        <w:t>Conclusions</w:t>
      </w:r>
    </w:p>
    <w:p w:rsidR="009C5B70" w:rsidRDefault="006605DA">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Results of the present study indicated that integrated application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 SL with pruning of mango tree was the most effective method for management of white mango scale. </w:t>
      </w:r>
      <w:proofErr w:type="gramStart"/>
      <w:r>
        <w:rPr>
          <w:rFonts w:ascii="Times New Roman" w:hAnsi="Times New Roman" w:cs="Times New Roman"/>
          <w:sz w:val="20"/>
          <w:szCs w:val="20"/>
        </w:rPr>
        <w:t>Furthermore</w:t>
      </w:r>
      <w:proofErr w:type="gramEnd"/>
      <w:r>
        <w:rPr>
          <w:rFonts w:ascii="Times New Roman" w:hAnsi="Times New Roman" w:cs="Times New Roman"/>
          <w:sz w:val="20"/>
          <w:szCs w:val="20"/>
        </w:rPr>
        <w:t xml:space="preserve"> this study revealed that application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 SL + pruning treatment provides a promising cost effective alternative to producers against white mango scale insect pest. Since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20SL is ecologically safe insecticide compared to </w:t>
      </w:r>
      <w:proofErr w:type="spellStart"/>
      <w:r>
        <w:rPr>
          <w:rFonts w:ascii="Times New Roman" w:hAnsi="Times New Roman" w:cs="Times New Roman"/>
          <w:sz w:val="20"/>
          <w:szCs w:val="20"/>
        </w:rPr>
        <w:t>Dimethoate</w:t>
      </w:r>
      <w:proofErr w:type="spellEnd"/>
      <w:r>
        <w:rPr>
          <w:rFonts w:ascii="Times New Roman" w:hAnsi="Times New Roman" w:cs="Times New Roman"/>
          <w:sz w:val="20"/>
          <w:szCs w:val="20"/>
        </w:rPr>
        <w:t xml:space="preserve"> 40%EC; </w:t>
      </w:r>
      <w:proofErr w:type="gramStart"/>
      <w:r>
        <w:rPr>
          <w:rFonts w:ascii="Times New Roman" w:hAnsi="Times New Roman" w:cs="Times New Roman"/>
          <w:sz w:val="20"/>
          <w:szCs w:val="20"/>
        </w:rPr>
        <w:t>therefore</w:t>
      </w:r>
      <w:proofErr w:type="gramEnd"/>
      <w:r>
        <w:rPr>
          <w:rFonts w:ascii="Times New Roman" w:hAnsi="Times New Roman" w:cs="Times New Roman"/>
          <w:sz w:val="20"/>
          <w:szCs w:val="20"/>
        </w:rPr>
        <w:t xml:space="preserve"> it is more preferable for white mango scale insect pest management. Further detail study on other management tactics such as biological control, host resistances which are compatible with cultural practices and reduced dose of insecticide as a part of integrated pest management strategy is mandatory to come with sustainable strategy for management of white mango scale and increase productivity of mango.</w:t>
      </w:r>
    </w:p>
    <w:p w:rsidR="00BE387E" w:rsidRDefault="00BE387E">
      <w:pPr>
        <w:snapToGrid w:val="0"/>
        <w:spacing w:after="0" w:line="240" w:lineRule="auto"/>
        <w:jc w:val="both"/>
        <w:rPr>
          <w:rFonts w:ascii="Times New Roman" w:hAnsi="Times New Roman" w:cs="Times New Roman"/>
          <w:sz w:val="20"/>
          <w:szCs w:val="20"/>
        </w:rPr>
      </w:pPr>
    </w:p>
    <w:p w:rsidR="009C5B70" w:rsidRDefault="006605DA">
      <w:pPr>
        <w:pStyle w:val="ListParagraph"/>
        <w:numPr>
          <w:ilvl w:val="0"/>
          <w:numId w:val="1"/>
        </w:numPr>
        <w:snapToGrid w:val="0"/>
        <w:spacing w:after="0" w:line="240" w:lineRule="auto"/>
        <w:jc w:val="both"/>
        <w:rPr>
          <w:rStyle w:val="Heading1Char"/>
          <w:rFonts w:ascii="Times New Roman" w:eastAsiaTheme="minorHAnsi" w:hAnsi="Times New Roman" w:cs="Times New Roman"/>
          <w:bCs w:val="0"/>
          <w:color w:val="auto"/>
          <w:sz w:val="20"/>
          <w:szCs w:val="20"/>
        </w:rPr>
      </w:pPr>
      <w:r>
        <w:rPr>
          <w:rStyle w:val="Heading1Char"/>
          <w:rFonts w:ascii="Times New Roman" w:hAnsi="Times New Roman" w:cs="Times New Roman"/>
          <w:color w:val="auto"/>
          <w:sz w:val="20"/>
          <w:szCs w:val="20"/>
        </w:rPr>
        <w:t>References</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Abate T. 1994. Entomological studies on fruit crops. In </w:t>
      </w:r>
      <w:proofErr w:type="spellStart"/>
      <w:r>
        <w:rPr>
          <w:rFonts w:ascii="Times New Roman" w:hAnsi="Times New Roman" w:cs="Times New Roman"/>
          <w:sz w:val="20"/>
          <w:szCs w:val="20"/>
        </w:rPr>
        <w:t>Herath</w:t>
      </w:r>
      <w:proofErr w:type="spellEnd"/>
      <w:r>
        <w:rPr>
          <w:rFonts w:ascii="Times New Roman" w:hAnsi="Times New Roman" w:cs="Times New Roman"/>
          <w:sz w:val="20"/>
          <w:szCs w:val="20"/>
        </w:rPr>
        <w:t xml:space="preserve"> and Lemma (eds.), Horticultural research and Development in Ethiopia. Addis Ababa Ethiopia. 1-3 Dec 1992: 177-186.</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lang w:val="en-US"/>
        </w:rPr>
        <w:t xml:space="preserve">Abbott, W.S.1925. A method of computing the effectiveness of an insecticide. </w:t>
      </w:r>
      <w:r>
        <w:rPr>
          <w:rFonts w:ascii="Times New Roman" w:hAnsi="Times New Roman" w:cs="Times New Roman"/>
          <w:iCs/>
          <w:sz w:val="20"/>
          <w:szCs w:val="20"/>
          <w:lang w:val="en-US"/>
        </w:rPr>
        <w:t>Journal of Economic</w:t>
      </w:r>
      <w:r>
        <w:rPr>
          <w:rFonts w:ascii="Times New Roman" w:hAnsi="Times New Roman" w:cs="Times New Roman"/>
          <w:sz w:val="20"/>
          <w:szCs w:val="20"/>
          <w:lang w:val="en-US"/>
        </w:rPr>
        <w:t xml:space="preserve"> </w:t>
      </w:r>
      <w:r>
        <w:rPr>
          <w:rFonts w:ascii="Times New Roman" w:hAnsi="Times New Roman" w:cs="Times New Roman"/>
          <w:iCs/>
          <w:sz w:val="20"/>
          <w:szCs w:val="20"/>
          <w:lang w:val="en-US"/>
        </w:rPr>
        <w:t xml:space="preserve">Entomology. </w:t>
      </w:r>
      <w:r>
        <w:rPr>
          <w:rFonts w:ascii="Times New Roman" w:hAnsi="Times New Roman" w:cs="Times New Roman"/>
          <w:sz w:val="20"/>
          <w:szCs w:val="20"/>
          <w:lang w:val="en-US"/>
        </w:rPr>
        <w:t>18: 265-267.</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Abo-</w:t>
      </w:r>
      <w:proofErr w:type="spellStart"/>
      <w:r>
        <w:rPr>
          <w:rFonts w:ascii="Times New Roman" w:hAnsi="Times New Roman" w:cs="Times New Roman"/>
          <w:sz w:val="20"/>
          <w:szCs w:val="20"/>
        </w:rPr>
        <w:t>Shanab</w:t>
      </w:r>
      <w:proofErr w:type="spellEnd"/>
      <w:r>
        <w:rPr>
          <w:rFonts w:ascii="Times New Roman" w:hAnsi="Times New Roman" w:cs="Times New Roman"/>
          <w:sz w:val="20"/>
          <w:szCs w:val="20"/>
        </w:rPr>
        <w:t xml:space="preserve"> ASH. 2012. Suppression of white mango scale,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Hemiptera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Diaspididae</w:t>
      </w:r>
      <w:proofErr w:type="spellEnd"/>
      <w:r>
        <w:rPr>
          <w:rFonts w:ascii="Times New Roman" w:hAnsi="Times New Roman" w:cs="Times New Roman"/>
          <w:sz w:val="20"/>
          <w:szCs w:val="20"/>
        </w:rPr>
        <w:t xml:space="preserve">) on mango trees in El </w:t>
      </w:r>
      <w:proofErr w:type="spellStart"/>
      <w:r>
        <w:rPr>
          <w:rFonts w:ascii="Times New Roman" w:hAnsi="Times New Roman" w:cs="Times New Roman"/>
          <w:sz w:val="20"/>
          <w:szCs w:val="20"/>
        </w:rPr>
        <w:t>Beheira</w:t>
      </w:r>
      <w:proofErr w:type="spellEnd"/>
      <w:r>
        <w:rPr>
          <w:rFonts w:ascii="Times New Roman" w:hAnsi="Times New Roman" w:cs="Times New Roman"/>
          <w:sz w:val="20"/>
          <w:szCs w:val="20"/>
        </w:rPr>
        <w:t xml:space="preserve"> Governorate. Egyptian Academic Journal of Biological Sciences. 5: 43–50.</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Andrew M. 2016. Scale insects: A difficult problem that can be managed. </w:t>
      </w:r>
      <w:proofErr w:type="spellStart"/>
      <w:r>
        <w:rPr>
          <w:rFonts w:ascii="Times New Roman" w:hAnsi="Times New Roman" w:cs="Times New Roman"/>
          <w:sz w:val="20"/>
          <w:szCs w:val="20"/>
        </w:rPr>
        <w:t>Agri</w:t>
      </w:r>
      <w:proofErr w:type="spellEnd"/>
      <w:r>
        <w:rPr>
          <w:rFonts w:ascii="Times New Roman" w:hAnsi="Times New Roman" w:cs="Times New Roman"/>
          <w:sz w:val="20"/>
          <w:szCs w:val="20"/>
        </w:rPr>
        <w:t xml:space="preserve">-science Queensland, Department of Agriculture and Fisheries, Eco sciences Precinct, Brisbane Queensland, Australia, 1 –12. </w:t>
      </w:r>
      <w:hyperlink r:id="rId20" w:history="1">
        <w:r>
          <w:rPr>
            <w:rFonts w:ascii="Times New Roman" w:hAnsi="Times New Roman" w:cs="Times New Roman"/>
            <w:sz w:val="20"/>
            <w:szCs w:val="20"/>
          </w:rPr>
          <w:t>http://era.daf.qld.gov.au/2208/6/005-ipm.pdf</w:t>
        </w:r>
      </w:hyperlink>
      <w:r>
        <w:rPr>
          <w:rFonts w:ascii="Times New Roman" w:hAnsi="Times New Roman" w:cs="Times New Roman"/>
          <w:sz w:val="20"/>
          <w:szCs w:val="20"/>
        </w:rPr>
        <w:t xml:space="preserve"> retrieved on 10 October 2019.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Ayalew</w:t>
      </w:r>
      <w:proofErr w:type="spellEnd"/>
      <w:r>
        <w:rPr>
          <w:rFonts w:ascii="Times New Roman" w:hAnsi="Times New Roman" w:cs="Times New Roman"/>
          <w:sz w:val="20"/>
          <w:szCs w:val="20"/>
        </w:rPr>
        <w:t xml:space="preserve"> G, </w:t>
      </w:r>
      <w:proofErr w:type="spellStart"/>
      <w:r>
        <w:rPr>
          <w:rFonts w:ascii="Times New Roman" w:hAnsi="Times New Roman" w:cs="Times New Roman"/>
          <w:sz w:val="20"/>
          <w:szCs w:val="20"/>
        </w:rPr>
        <w:t>Fekadu</w:t>
      </w:r>
      <w:proofErr w:type="spellEnd"/>
      <w:r>
        <w:rPr>
          <w:rFonts w:ascii="Times New Roman" w:hAnsi="Times New Roman" w:cs="Times New Roman"/>
          <w:sz w:val="20"/>
          <w:szCs w:val="20"/>
        </w:rPr>
        <w:t xml:space="preserve"> A, and </w:t>
      </w:r>
      <w:proofErr w:type="spellStart"/>
      <w:r>
        <w:rPr>
          <w:rFonts w:ascii="Times New Roman" w:hAnsi="Times New Roman" w:cs="Times New Roman"/>
          <w:sz w:val="20"/>
          <w:szCs w:val="20"/>
        </w:rPr>
        <w:t>Sisay</w:t>
      </w:r>
      <w:proofErr w:type="spellEnd"/>
      <w:r>
        <w:rPr>
          <w:rFonts w:ascii="Times New Roman" w:hAnsi="Times New Roman" w:cs="Times New Roman"/>
          <w:sz w:val="20"/>
          <w:szCs w:val="20"/>
        </w:rPr>
        <w:t xml:space="preserve"> B. 2015. Appearance and chemical control of white mango scale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in Central Rift Valley. Science, Technology and Arts Research Journal. 4: 59–63.</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Azerefegne</w:t>
      </w:r>
      <w:proofErr w:type="spellEnd"/>
      <w:r>
        <w:rPr>
          <w:rFonts w:ascii="Times New Roman" w:hAnsi="Times New Roman" w:cs="Times New Roman"/>
          <w:sz w:val="20"/>
          <w:szCs w:val="20"/>
        </w:rPr>
        <w:t xml:space="preserve"> F, </w:t>
      </w:r>
      <w:proofErr w:type="spellStart"/>
      <w:r>
        <w:rPr>
          <w:rFonts w:ascii="Times New Roman" w:hAnsi="Times New Roman" w:cs="Times New Roman"/>
          <w:sz w:val="20"/>
          <w:szCs w:val="20"/>
        </w:rPr>
        <w:t>Dawd</w:t>
      </w:r>
      <w:proofErr w:type="spellEnd"/>
      <w:r>
        <w:rPr>
          <w:rFonts w:ascii="Times New Roman" w:hAnsi="Times New Roman" w:cs="Times New Roman"/>
          <w:sz w:val="20"/>
          <w:szCs w:val="20"/>
        </w:rPr>
        <w:t xml:space="preserve"> M, Belay D, and </w:t>
      </w:r>
      <w:proofErr w:type="spellStart"/>
      <w:r>
        <w:rPr>
          <w:rFonts w:ascii="Times New Roman" w:hAnsi="Times New Roman" w:cs="Times New Roman"/>
          <w:sz w:val="20"/>
          <w:szCs w:val="20"/>
        </w:rPr>
        <w:t>Mekonen</w:t>
      </w:r>
      <w:proofErr w:type="spellEnd"/>
      <w:r>
        <w:rPr>
          <w:rFonts w:ascii="Times New Roman" w:hAnsi="Times New Roman" w:cs="Times New Roman"/>
          <w:sz w:val="20"/>
          <w:szCs w:val="20"/>
        </w:rPr>
        <w:t xml:space="preserve"> B. 2009. Review of Entomological Research on fruit crops in Ethiopia. In: Abraham </w:t>
      </w:r>
      <w:proofErr w:type="spellStart"/>
      <w:r>
        <w:rPr>
          <w:rFonts w:ascii="Times New Roman" w:hAnsi="Times New Roman" w:cs="Times New Roman"/>
          <w:sz w:val="20"/>
          <w:szCs w:val="20"/>
        </w:rPr>
        <w:t>Tadesse</w:t>
      </w:r>
      <w:proofErr w:type="spellEnd"/>
      <w:r>
        <w:rPr>
          <w:rFonts w:ascii="Times New Roman" w:hAnsi="Times New Roman" w:cs="Times New Roman"/>
          <w:sz w:val="20"/>
          <w:szCs w:val="20"/>
        </w:rPr>
        <w:t xml:space="preserve"> (Ed.). Increasing Crop</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Bautista-Rosales PU, </w:t>
      </w:r>
      <w:proofErr w:type="spellStart"/>
      <w:r>
        <w:rPr>
          <w:rFonts w:ascii="Times New Roman" w:hAnsi="Times New Roman" w:cs="Times New Roman"/>
          <w:sz w:val="20"/>
          <w:szCs w:val="20"/>
        </w:rPr>
        <w:t>Ragazzo</w:t>
      </w:r>
      <w:proofErr w:type="spellEnd"/>
      <w:r>
        <w:rPr>
          <w:rFonts w:ascii="Times New Roman" w:hAnsi="Times New Roman" w:cs="Times New Roman"/>
          <w:sz w:val="20"/>
          <w:szCs w:val="20"/>
        </w:rPr>
        <w:t xml:space="preserve">-Sánchez JA, </w:t>
      </w:r>
      <w:proofErr w:type="spellStart"/>
      <w:r>
        <w:rPr>
          <w:rFonts w:ascii="Times New Roman" w:hAnsi="Times New Roman" w:cs="Times New Roman"/>
          <w:sz w:val="20"/>
          <w:szCs w:val="20"/>
        </w:rPr>
        <w:t>Calderón-Santoyo</w:t>
      </w:r>
      <w:proofErr w:type="spellEnd"/>
      <w:r>
        <w:rPr>
          <w:rFonts w:ascii="Times New Roman" w:hAnsi="Times New Roman" w:cs="Times New Roman"/>
          <w:sz w:val="20"/>
          <w:szCs w:val="20"/>
        </w:rPr>
        <w:t xml:space="preserve"> M, </w:t>
      </w:r>
      <w:proofErr w:type="spellStart"/>
      <w:r>
        <w:rPr>
          <w:rFonts w:ascii="Times New Roman" w:hAnsi="Times New Roman" w:cs="Times New Roman"/>
          <w:sz w:val="20"/>
          <w:szCs w:val="20"/>
        </w:rPr>
        <w:t>Cortéz-Mondaca</w:t>
      </w:r>
      <w:proofErr w:type="spellEnd"/>
      <w:r>
        <w:rPr>
          <w:rFonts w:ascii="Times New Roman" w:hAnsi="Times New Roman" w:cs="Times New Roman"/>
          <w:sz w:val="20"/>
          <w:szCs w:val="20"/>
        </w:rPr>
        <w:t xml:space="preserve"> E. and </w:t>
      </w:r>
      <w:proofErr w:type="spellStart"/>
      <w:r>
        <w:rPr>
          <w:rFonts w:ascii="Times New Roman" w:hAnsi="Times New Roman" w:cs="Times New Roman"/>
          <w:sz w:val="20"/>
          <w:szCs w:val="20"/>
        </w:rPr>
        <w:t>Servín</w:t>
      </w:r>
      <w:proofErr w:type="spellEnd"/>
      <w:r>
        <w:rPr>
          <w:rFonts w:ascii="Times New Roman" w:hAnsi="Times New Roman" w:cs="Times New Roman"/>
          <w:sz w:val="20"/>
          <w:szCs w:val="20"/>
        </w:rPr>
        <w:t xml:space="preserve">-Villegas R. 2013.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xml:space="preserve"> Newstead in mango orchards of Nayarit, Mexico, and relationship with environmental and agronomic factors. Southwester Entomologist. 38(2):221-230.</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Bezu</w:t>
      </w:r>
      <w:proofErr w:type="spellEnd"/>
      <w:r>
        <w:rPr>
          <w:rFonts w:ascii="Times New Roman" w:hAnsi="Times New Roman" w:cs="Times New Roman"/>
          <w:sz w:val="20"/>
          <w:szCs w:val="20"/>
        </w:rPr>
        <w:t xml:space="preserve"> T, </w:t>
      </w:r>
      <w:proofErr w:type="spellStart"/>
      <w:r>
        <w:rPr>
          <w:rFonts w:ascii="Times New Roman" w:hAnsi="Times New Roman" w:cs="Times New Roman"/>
          <w:sz w:val="20"/>
          <w:szCs w:val="20"/>
        </w:rPr>
        <w:t>Woldetsadik</w:t>
      </w:r>
      <w:proofErr w:type="spellEnd"/>
      <w:r>
        <w:rPr>
          <w:rFonts w:ascii="Times New Roman" w:hAnsi="Times New Roman" w:cs="Times New Roman"/>
          <w:sz w:val="20"/>
          <w:szCs w:val="20"/>
        </w:rPr>
        <w:t xml:space="preserve"> K and </w:t>
      </w:r>
      <w:proofErr w:type="spellStart"/>
      <w:r>
        <w:rPr>
          <w:rFonts w:ascii="Times New Roman" w:hAnsi="Times New Roman" w:cs="Times New Roman"/>
          <w:sz w:val="20"/>
          <w:szCs w:val="20"/>
        </w:rPr>
        <w:t>Tana</w:t>
      </w:r>
      <w:proofErr w:type="spellEnd"/>
      <w:r>
        <w:rPr>
          <w:rFonts w:ascii="Times New Roman" w:hAnsi="Times New Roman" w:cs="Times New Roman"/>
          <w:sz w:val="20"/>
          <w:szCs w:val="20"/>
        </w:rPr>
        <w:t xml:space="preserve"> T. 2014. Production scenarios of mango (</w:t>
      </w:r>
      <w:proofErr w:type="spellStart"/>
      <w:r>
        <w:rPr>
          <w:rFonts w:ascii="Times New Roman" w:hAnsi="Times New Roman" w:cs="Times New Roman"/>
          <w:sz w:val="20"/>
          <w:szCs w:val="20"/>
        </w:rPr>
        <w:t>Mangifera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indica</w:t>
      </w:r>
      <w:proofErr w:type="spellEnd"/>
      <w:r>
        <w:rPr>
          <w:rFonts w:ascii="Times New Roman" w:hAnsi="Times New Roman" w:cs="Times New Roman"/>
          <w:sz w:val="20"/>
          <w:szCs w:val="20"/>
        </w:rPr>
        <w:t xml:space="preserve"> L.) in Harari Regional State, Eastern Ethiopia. Science, Technology and Arts Research Journal. 3:59-63.</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Central Statistical Agency (CSA) (2019). Agricultural sample survey report on area and production of major crops for national and regional level. Addis Ababa, Ethiopia. 589(1):25</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noProof/>
          <w:sz w:val="20"/>
          <w:szCs w:val="20"/>
          <w:lang w:val="en-US" w:eastAsia="zh-CN"/>
        </w:rPr>
        <mc:AlternateContent>
          <mc:Choice Requires="wps">
            <w:drawing>
              <wp:anchor distT="0" distB="0" distL="114300" distR="114300" simplePos="0" relativeHeight="251659264" behindDoc="1" locked="0" layoutInCell="1" allowOverlap="1">
                <wp:simplePos x="0" y="0"/>
                <wp:positionH relativeFrom="column">
                  <wp:posOffset>1544955</wp:posOffset>
                </wp:positionH>
                <wp:positionV relativeFrom="paragraph">
                  <wp:posOffset>-332105</wp:posOffset>
                </wp:positionV>
                <wp:extent cx="76200" cy="0"/>
                <wp:effectExtent l="11430" t="10795" r="7620" b="82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12700">
                          <a:solidFill>
                            <a:srgbClr val="000000"/>
                          </a:solidFill>
                          <a:prstDash val="solid"/>
                          <a:round/>
                        </a:ln>
                      </wps:spPr>
                      <wps:bodyPr/>
                    </wps:wsp>
                  </a:graphicData>
                </a:graphic>
              </wp:anchor>
            </w:drawing>
          </mc:Choice>
          <mc:Fallback xmlns:wpsCustomData="http://www.wps.cn/officeDocument/2013/wpsCustomData">
            <w:pict>
              <v:line id="Straight Connector 9" o:spid="_x0000_s1026" o:spt="20" style="position:absolute;left:0pt;margin-left:121.65pt;margin-top:-26.15pt;height:0pt;width:6pt;z-index:-251657216;mso-width-relative:page;mso-height-relative:page;" filled="f" stroked="t" coordsize="21600,21600" o:gfxdata="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X/1LzYAAAACwEAAA8AAAAAAAAA&#10;AQAgAAAAIgAAAGRycy9kb3ducmV2LnhtbFBLAQIUABQAAAAIAIdO4kCBOkpO2AEAAMUDAAAOAAAA&#10;AAAAAAEAIAAAACcBAABkcnMvZTJvRG9jLnhtbFBLBQYAAAAABgAGAFkBAABxBQAAAAA=&#10;">
                <v:fill on="f" focussize="0,0"/>
                <v:stroke weight="1pt" color="#000000" joinstyle="round"/>
                <v:imagedata o:title=""/>
                <o:lock v:ext="edit" aspectratio="f"/>
              </v:line>
            </w:pict>
          </mc:Fallback>
        </mc:AlternateContent>
      </w:r>
      <w:proofErr w:type="spellStart"/>
      <w:r>
        <w:rPr>
          <w:rFonts w:ascii="Times New Roman" w:hAnsi="Times New Roman" w:cs="Times New Roman"/>
          <w:sz w:val="20"/>
          <w:szCs w:val="20"/>
        </w:rPr>
        <w:t>Chala</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Getahun</w:t>
      </w:r>
      <w:proofErr w:type="spellEnd"/>
      <w:r>
        <w:rPr>
          <w:rFonts w:ascii="Times New Roman" w:hAnsi="Times New Roman" w:cs="Times New Roman"/>
          <w:sz w:val="20"/>
          <w:szCs w:val="20"/>
        </w:rPr>
        <w:t xml:space="preserve"> M, </w:t>
      </w:r>
      <w:proofErr w:type="spellStart"/>
      <w:r>
        <w:rPr>
          <w:rFonts w:ascii="Times New Roman" w:hAnsi="Times New Roman" w:cs="Times New Roman"/>
          <w:sz w:val="20"/>
          <w:szCs w:val="20"/>
        </w:rPr>
        <w:t>Alemayehu</w:t>
      </w:r>
      <w:proofErr w:type="spellEnd"/>
      <w:r>
        <w:rPr>
          <w:rFonts w:ascii="Times New Roman" w:hAnsi="Times New Roman" w:cs="Times New Roman"/>
          <w:sz w:val="20"/>
          <w:szCs w:val="20"/>
        </w:rPr>
        <w:t xml:space="preserve"> S and </w:t>
      </w:r>
      <w:proofErr w:type="spellStart"/>
      <w:r>
        <w:rPr>
          <w:rFonts w:ascii="Times New Roman" w:hAnsi="Times New Roman" w:cs="Times New Roman"/>
          <w:sz w:val="20"/>
          <w:szCs w:val="20"/>
        </w:rPr>
        <w:t>Tadesse</w:t>
      </w:r>
      <w:proofErr w:type="spellEnd"/>
      <w:r>
        <w:rPr>
          <w:rFonts w:ascii="Times New Roman" w:hAnsi="Times New Roman" w:cs="Times New Roman"/>
          <w:sz w:val="20"/>
          <w:szCs w:val="20"/>
        </w:rPr>
        <w:t xml:space="preserve"> M. 2014. Survey of mango anthracnose in southern Ethiopia and in-vitro screening of some essential oils against </w:t>
      </w:r>
      <w:proofErr w:type="spellStart"/>
      <w:r>
        <w:rPr>
          <w:rFonts w:ascii="Times New Roman" w:hAnsi="Times New Roman" w:cs="Times New Roman"/>
          <w:sz w:val="20"/>
          <w:szCs w:val="20"/>
        </w:rPr>
        <w:t>Colletotrichum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gloeosporioides</w:t>
      </w:r>
      <w:proofErr w:type="spellEnd"/>
      <w:r>
        <w:rPr>
          <w:rFonts w:ascii="Times New Roman" w:hAnsi="Times New Roman" w:cs="Times New Roman"/>
          <w:sz w:val="20"/>
          <w:szCs w:val="20"/>
        </w:rPr>
        <w:t>. International Journal of Fruit Science. 14:157-173.</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CIMMY (1988). From agronomic data to farmers’ recommendations: Economic training mannual.79.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Crane JH, </w:t>
      </w:r>
      <w:proofErr w:type="spellStart"/>
      <w:r>
        <w:rPr>
          <w:rFonts w:ascii="Times New Roman" w:hAnsi="Times New Roman" w:cs="Times New Roman"/>
          <w:sz w:val="20"/>
          <w:szCs w:val="20"/>
        </w:rPr>
        <w:t>Wasielewsk</w:t>
      </w:r>
      <w:proofErr w:type="spellEnd"/>
      <w:r>
        <w:rPr>
          <w:rFonts w:ascii="Times New Roman" w:hAnsi="Times New Roman" w:cs="Times New Roman"/>
          <w:sz w:val="20"/>
          <w:szCs w:val="20"/>
        </w:rPr>
        <w:t xml:space="preserve"> IJ, </w:t>
      </w:r>
      <w:proofErr w:type="spellStart"/>
      <w:r>
        <w:rPr>
          <w:rFonts w:ascii="Times New Roman" w:hAnsi="Times New Roman" w:cs="Times New Roman"/>
          <w:sz w:val="20"/>
          <w:szCs w:val="20"/>
        </w:rPr>
        <w:t>Balerdi</w:t>
      </w:r>
      <w:proofErr w:type="spellEnd"/>
      <w:r>
        <w:rPr>
          <w:rFonts w:ascii="Times New Roman" w:hAnsi="Times New Roman" w:cs="Times New Roman"/>
          <w:sz w:val="20"/>
          <w:szCs w:val="20"/>
        </w:rPr>
        <w:t xml:space="preserve"> CF. and Maguire I. 2017. Mango growing in the Florida home landscape. Horticultural Sciences Department, University of Florida, IFAS Extension. </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Cunningham I. 1989. Mango Pests and Disorders. </w:t>
      </w:r>
      <w:proofErr w:type="spellStart"/>
      <w:r>
        <w:rPr>
          <w:rFonts w:ascii="Times New Roman" w:hAnsi="Times New Roman" w:cs="Times New Roman"/>
          <w:sz w:val="20"/>
          <w:szCs w:val="20"/>
        </w:rPr>
        <w:t>Departement</w:t>
      </w:r>
      <w:proofErr w:type="spellEnd"/>
      <w:r>
        <w:rPr>
          <w:rFonts w:ascii="Times New Roman" w:hAnsi="Times New Roman" w:cs="Times New Roman"/>
          <w:sz w:val="20"/>
          <w:szCs w:val="20"/>
        </w:rPr>
        <w:t xml:space="preserve"> of primary industries.</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Dawd</w:t>
      </w:r>
      <w:proofErr w:type="spellEnd"/>
      <w:r>
        <w:rPr>
          <w:rFonts w:ascii="Times New Roman" w:hAnsi="Times New Roman" w:cs="Times New Roman"/>
          <w:sz w:val="20"/>
          <w:szCs w:val="20"/>
        </w:rPr>
        <w:t xml:space="preserve"> M, H/Gabriel B, </w:t>
      </w:r>
      <w:proofErr w:type="spellStart"/>
      <w:r>
        <w:rPr>
          <w:rFonts w:ascii="Times New Roman" w:hAnsi="Times New Roman" w:cs="Times New Roman"/>
          <w:sz w:val="20"/>
          <w:szCs w:val="20"/>
        </w:rPr>
        <w:t>Ayele</w:t>
      </w:r>
      <w:proofErr w:type="spellEnd"/>
      <w:r>
        <w:rPr>
          <w:rFonts w:ascii="Times New Roman" w:hAnsi="Times New Roman" w:cs="Times New Roman"/>
          <w:sz w:val="20"/>
          <w:szCs w:val="20"/>
        </w:rPr>
        <w:t xml:space="preserve"> L, </w:t>
      </w:r>
      <w:proofErr w:type="spellStart"/>
      <w:r>
        <w:rPr>
          <w:rFonts w:ascii="Times New Roman" w:hAnsi="Times New Roman" w:cs="Times New Roman"/>
          <w:sz w:val="20"/>
          <w:szCs w:val="20"/>
        </w:rPr>
        <w:t>Feleke</w:t>
      </w:r>
      <w:proofErr w:type="spellEnd"/>
      <w:r>
        <w:rPr>
          <w:rFonts w:ascii="Times New Roman" w:hAnsi="Times New Roman" w:cs="Times New Roman"/>
          <w:sz w:val="20"/>
          <w:szCs w:val="20"/>
        </w:rPr>
        <w:t xml:space="preserve"> K, </w:t>
      </w:r>
      <w:proofErr w:type="spellStart"/>
      <w:r>
        <w:rPr>
          <w:rFonts w:ascii="Times New Roman" w:hAnsi="Times New Roman" w:cs="Times New Roman"/>
          <w:sz w:val="20"/>
          <w:szCs w:val="20"/>
        </w:rPr>
        <w:t>Hailemariam</w:t>
      </w:r>
      <w:proofErr w:type="spellEnd"/>
      <w:r>
        <w:rPr>
          <w:rFonts w:ascii="Times New Roman" w:hAnsi="Times New Roman" w:cs="Times New Roman"/>
          <w:sz w:val="20"/>
          <w:szCs w:val="20"/>
        </w:rPr>
        <w:t xml:space="preserve"> S and Burka T. 2012. White mango scale: A new insect pest of mango in western Ethiopia. </w:t>
      </w:r>
      <w:proofErr w:type="spellStart"/>
      <w:r>
        <w:rPr>
          <w:rFonts w:ascii="Times New Roman" w:hAnsi="Times New Roman" w:cs="Times New Roman"/>
          <w:sz w:val="20"/>
          <w:szCs w:val="20"/>
        </w:rPr>
        <w:t>Eshetu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Derso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Asfaw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Zelleke</w:t>
      </w:r>
      <w:proofErr w:type="spellEnd"/>
      <w:r>
        <w:rPr>
          <w:rFonts w:ascii="Times New Roman" w:hAnsi="Times New Roman" w:cs="Times New Roman"/>
          <w:sz w:val="20"/>
          <w:szCs w:val="20"/>
        </w:rPr>
        <w:t xml:space="preserve">, Lemma </w:t>
      </w:r>
      <w:proofErr w:type="spellStart"/>
      <w:r>
        <w:rPr>
          <w:rFonts w:ascii="Times New Roman" w:hAnsi="Times New Roman" w:cs="Times New Roman"/>
          <w:sz w:val="20"/>
          <w:szCs w:val="20"/>
        </w:rPr>
        <w:t>Desalegne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Zemedu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Worku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Hailemichael</w:t>
      </w:r>
      <w:proofErr w:type="spellEnd"/>
      <w:r>
        <w:rPr>
          <w:rFonts w:ascii="Times New Roman" w:hAnsi="Times New Roman" w:cs="Times New Roman"/>
          <w:sz w:val="20"/>
          <w:szCs w:val="20"/>
        </w:rPr>
        <w:t xml:space="preserve"> K/ Mariam, </w:t>
      </w:r>
      <w:proofErr w:type="spellStart"/>
      <w:r>
        <w:rPr>
          <w:rFonts w:ascii="Times New Roman" w:hAnsi="Times New Roman" w:cs="Times New Roman"/>
          <w:sz w:val="20"/>
          <w:szCs w:val="20"/>
        </w:rPr>
        <w:t>Getachew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Tabore</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Ynew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Getachew</w:t>
      </w:r>
      <w:proofErr w:type="spellEnd"/>
      <w:r>
        <w:rPr>
          <w:rFonts w:ascii="Times New Roman" w:hAnsi="Times New Roman" w:cs="Times New Roman"/>
          <w:sz w:val="20"/>
          <w:szCs w:val="20"/>
        </w:rPr>
        <w:t xml:space="preserve"> (Eds.) (2012). </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Dirou</w:t>
      </w:r>
      <w:proofErr w:type="spellEnd"/>
      <w:r>
        <w:rPr>
          <w:rFonts w:ascii="Times New Roman" w:hAnsi="Times New Roman" w:cs="Times New Roman"/>
          <w:sz w:val="20"/>
          <w:szCs w:val="20"/>
        </w:rPr>
        <w:t xml:space="preserve"> JF. 2004. Mango growing. NSW Centre for Tropical Horticulture, </w:t>
      </w:r>
      <w:proofErr w:type="spellStart"/>
      <w:r>
        <w:rPr>
          <w:rFonts w:ascii="Times New Roman" w:hAnsi="Times New Roman" w:cs="Times New Roman"/>
          <w:sz w:val="20"/>
          <w:szCs w:val="20"/>
        </w:rPr>
        <w:t>Alstonville</w:t>
      </w:r>
      <w:proofErr w:type="spellEnd"/>
      <w:r>
        <w:rPr>
          <w:rFonts w:ascii="Times New Roman" w:hAnsi="Times New Roman" w:cs="Times New Roman"/>
          <w:sz w:val="20"/>
          <w:szCs w:val="20"/>
        </w:rPr>
        <w:t xml:space="preserve">. 6. </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Djirata</w:t>
      </w:r>
      <w:proofErr w:type="spellEnd"/>
      <w:r>
        <w:rPr>
          <w:rFonts w:ascii="Times New Roman" w:hAnsi="Times New Roman" w:cs="Times New Roman"/>
          <w:sz w:val="20"/>
          <w:szCs w:val="20"/>
        </w:rPr>
        <w:t xml:space="preserve"> O. 2017. Bionomics and Management of White Mango Scale,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xml:space="preserve"> Newstead (</w:t>
      </w:r>
      <w:proofErr w:type="spellStart"/>
      <w:r>
        <w:rPr>
          <w:rFonts w:ascii="Times New Roman" w:hAnsi="Times New Roman" w:cs="Times New Roman"/>
          <w:sz w:val="20"/>
          <w:szCs w:val="20"/>
        </w:rPr>
        <w:t>Homoptera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Diaspididae</w:t>
      </w:r>
      <w:proofErr w:type="spellEnd"/>
      <w:r>
        <w:rPr>
          <w:rFonts w:ascii="Times New Roman" w:hAnsi="Times New Roman" w:cs="Times New Roman"/>
          <w:sz w:val="20"/>
          <w:szCs w:val="20"/>
        </w:rPr>
        <w:t xml:space="preserve">) on Mango in Western Ethiopia, and Central and Eastern Kenya. PhD Thesis, University of Addis </w:t>
      </w:r>
      <w:proofErr w:type="spellStart"/>
      <w:r>
        <w:rPr>
          <w:rFonts w:ascii="Times New Roman" w:hAnsi="Times New Roman" w:cs="Times New Roman"/>
          <w:sz w:val="20"/>
          <w:szCs w:val="20"/>
        </w:rPr>
        <w:t>Abeba</w:t>
      </w:r>
      <w:proofErr w:type="spellEnd"/>
      <w:r>
        <w:rPr>
          <w:rFonts w:ascii="Times New Roman" w:hAnsi="Times New Roman" w:cs="Times New Roman"/>
          <w:sz w:val="20"/>
          <w:szCs w:val="20"/>
        </w:rPr>
        <w:t xml:space="preserve">, Addis </w:t>
      </w:r>
      <w:proofErr w:type="spellStart"/>
      <w:r>
        <w:rPr>
          <w:rFonts w:ascii="Times New Roman" w:hAnsi="Times New Roman" w:cs="Times New Roman"/>
          <w:sz w:val="20"/>
          <w:szCs w:val="20"/>
        </w:rPr>
        <w:t>Abeba</w:t>
      </w:r>
      <w:proofErr w:type="spellEnd"/>
      <w:r>
        <w:rPr>
          <w:rFonts w:ascii="Times New Roman" w:hAnsi="Times New Roman" w:cs="Times New Roman"/>
          <w:sz w:val="20"/>
          <w:szCs w:val="20"/>
        </w:rPr>
        <w:t>. 166.</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Djirata</w:t>
      </w:r>
      <w:proofErr w:type="spellEnd"/>
      <w:r>
        <w:rPr>
          <w:rFonts w:ascii="Times New Roman" w:hAnsi="Times New Roman" w:cs="Times New Roman"/>
          <w:sz w:val="20"/>
          <w:szCs w:val="20"/>
        </w:rPr>
        <w:t xml:space="preserve"> O. and </w:t>
      </w:r>
      <w:proofErr w:type="spellStart"/>
      <w:r>
        <w:rPr>
          <w:rFonts w:ascii="Times New Roman" w:hAnsi="Times New Roman" w:cs="Times New Roman"/>
          <w:sz w:val="20"/>
          <w:szCs w:val="20"/>
        </w:rPr>
        <w:t>Getu</w:t>
      </w:r>
      <w:proofErr w:type="spellEnd"/>
      <w:r>
        <w:rPr>
          <w:rFonts w:ascii="Times New Roman" w:hAnsi="Times New Roman" w:cs="Times New Roman"/>
          <w:sz w:val="20"/>
          <w:szCs w:val="20"/>
        </w:rPr>
        <w:t xml:space="preserve"> E. 2015. Infestation of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Homoptera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Diaspididae</w:t>
      </w:r>
      <w:proofErr w:type="spellEnd"/>
      <w:r>
        <w:rPr>
          <w:rFonts w:ascii="Times New Roman" w:hAnsi="Times New Roman" w:cs="Times New Roman"/>
          <w:sz w:val="20"/>
          <w:szCs w:val="20"/>
        </w:rPr>
        <w:t>) on Mango Fruits at Different Stages of Fruit Development, in Western Ethiopia. Journal of Biology. Agriculture and Healthcare. 5(18): 34-38.</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El-</w:t>
      </w:r>
      <w:proofErr w:type="spellStart"/>
      <w:r>
        <w:rPr>
          <w:rFonts w:ascii="Times New Roman" w:hAnsi="Times New Roman" w:cs="Times New Roman"/>
          <w:sz w:val="20"/>
          <w:szCs w:val="20"/>
        </w:rPr>
        <w:t>Metwally</w:t>
      </w:r>
      <w:proofErr w:type="spellEnd"/>
      <w:r>
        <w:rPr>
          <w:rFonts w:ascii="Times New Roman" w:hAnsi="Times New Roman" w:cs="Times New Roman"/>
          <w:sz w:val="20"/>
          <w:szCs w:val="20"/>
        </w:rPr>
        <w:t xml:space="preserve"> MM, Moussa SFM and </w:t>
      </w:r>
      <w:proofErr w:type="spellStart"/>
      <w:r>
        <w:rPr>
          <w:rFonts w:ascii="Times New Roman" w:hAnsi="Times New Roman" w:cs="Times New Roman"/>
          <w:sz w:val="20"/>
          <w:szCs w:val="20"/>
        </w:rPr>
        <w:t>Ghanim</w:t>
      </w:r>
      <w:proofErr w:type="spellEnd"/>
      <w:r>
        <w:rPr>
          <w:rFonts w:ascii="Times New Roman" w:hAnsi="Times New Roman" w:cs="Times New Roman"/>
          <w:sz w:val="20"/>
          <w:szCs w:val="20"/>
        </w:rPr>
        <w:t xml:space="preserve"> NM. 2011. Studies on the population fluctuations and distribution of the white mango scale insect,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xml:space="preserve"> Newstead within the canopy of the mango trees in eastern of Delta region at the north of Egypt. Acad. J. </w:t>
      </w:r>
      <w:proofErr w:type="spellStart"/>
      <w:r>
        <w:rPr>
          <w:rFonts w:ascii="Times New Roman" w:hAnsi="Times New Roman" w:cs="Times New Roman"/>
          <w:sz w:val="20"/>
          <w:szCs w:val="20"/>
        </w:rPr>
        <w:t>biolog</w:t>
      </w:r>
      <w:proofErr w:type="spellEnd"/>
      <w:r>
        <w:rPr>
          <w:rFonts w:ascii="Times New Roman" w:hAnsi="Times New Roman" w:cs="Times New Roman"/>
          <w:sz w:val="20"/>
          <w:szCs w:val="20"/>
        </w:rPr>
        <w:t>. Sci. 4: 123- 130.</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FAO (Food and Agriculture Organization of the United Nation). 2010. Technical guidelines on tropical fruit tree management in Ethiopia, FAO.</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Findlay J. 2003. Pesticide Evaluation Report and Safer Use Action Plan (PERSUAP) for the </w:t>
      </w:r>
      <w:r>
        <w:rPr>
          <w:rFonts w:ascii="Times New Roman" w:hAnsi="Times New Roman" w:cs="Times New Roman"/>
          <w:sz w:val="20"/>
          <w:szCs w:val="20"/>
        </w:rPr>
        <w:lastRenderedPageBreak/>
        <w:t>Kenya Business Development Services Program, Kenya Business Development Services Program, Nairobi. 35.</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Fita</w:t>
      </w:r>
      <w:proofErr w:type="spellEnd"/>
      <w:r>
        <w:rPr>
          <w:rFonts w:ascii="Times New Roman" w:hAnsi="Times New Roman" w:cs="Times New Roman"/>
          <w:sz w:val="20"/>
          <w:szCs w:val="20"/>
        </w:rPr>
        <w:t xml:space="preserve"> T. 2014. White mango scale,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xml:space="preserve">, distribution and severity status in East and West </w:t>
      </w:r>
      <w:proofErr w:type="spellStart"/>
      <w:r>
        <w:rPr>
          <w:rFonts w:ascii="Times New Roman" w:hAnsi="Times New Roman" w:cs="Times New Roman"/>
          <w:sz w:val="20"/>
          <w:szCs w:val="20"/>
        </w:rPr>
        <w:t>Wollega</w:t>
      </w:r>
      <w:proofErr w:type="spellEnd"/>
      <w:r>
        <w:rPr>
          <w:rFonts w:ascii="Times New Roman" w:hAnsi="Times New Roman" w:cs="Times New Roman"/>
          <w:sz w:val="20"/>
          <w:szCs w:val="20"/>
        </w:rPr>
        <w:t xml:space="preserve"> Zones, western Ethiopia. Science, Technology and Arts Research Journal. 3(3): 01 – 10</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Germain</w:t>
      </w:r>
      <w:proofErr w:type="spellEnd"/>
      <w:r>
        <w:rPr>
          <w:rFonts w:ascii="Times New Roman" w:hAnsi="Times New Roman" w:cs="Times New Roman"/>
          <w:sz w:val="20"/>
          <w:szCs w:val="20"/>
        </w:rPr>
        <w:t xml:space="preserve"> JF, </w:t>
      </w:r>
      <w:proofErr w:type="spellStart"/>
      <w:r>
        <w:rPr>
          <w:rFonts w:ascii="Times New Roman" w:hAnsi="Times New Roman" w:cs="Times New Roman"/>
          <w:sz w:val="20"/>
          <w:szCs w:val="20"/>
        </w:rPr>
        <w:t>Vayssieres</w:t>
      </w:r>
      <w:proofErr w:type="spellEnd"/>
      <w:r>
        <w:rPr>
          <w:rFonts w:ascii="Times New Roman" w:hAnsi="Times New Roman" w:cs="Times New Roman"/>
          <w:sz w:val="20"/>
          <w:szCs w:val="20"/>
        </w:rPr>
        <w:t xml:space="preserve"> JF. and </w:t>
      </w:r>
      <w:proofErr w:type="spellStart"/>
      <w:r>
        <w:rPr>
          <w:rFonts w:ascii="Times New Roman" w:hAnsi="Times New Roman" w:cs="Times New Roman"/>
          <w:sz w:val="20"/>
          <w:szCs w:val="20"/>
        </w:rPr>
        <w:t>Matile</w:t>
      </w:r>
      <w:proofErr w:type="spellEnd"/>
      <w:r>
        <w:rPr>
          <w:rFonts w:ascii="Times New Roman" w:hAnsi="Times New Roman" w:cs="Times New Roman"/>
          <w:sz w:val="20"/>
          <w:szCs w:val="20"/>
        </w:rPr>
        <w:t xml:space="preserve"> DF. 2010. Preliminary inventory of scale insects on mango trees in Benin. </w:t>
      </w:r>
      <w:proofErr w:type="spellStart"/>
      <w:r>
        <w:rPr>
          <w:rFonts w:ascii="Times New Roman" w:hAnsi="Times New Roman" w:cs="Times New Roman"/>
          <w:sz w:val="20"/>
          <w:szCs w:val="20"/>
        </w:rPr>
        <w:t>Entomologia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hellenica</w:t>
      </w:r>
      <w:proofErr w:type="spellEnd"/>
      <w:r>
        <w:rPr>
          <w:rFonts w:ascii="Times New Roman" w:hAnsi="Times New Roman" w:cs="Times New Roman"/>
          <w:sz w:val="20"/>
          <w:szCs w:val="20"/>
        </w:rPr>
        <w:t>. 19: 124-131.</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Gomez KA. and Gomez AA. 1984. Statistical Procedures for Agricultural Research. 2nd Edition, A Wiley </w:t>
      </w:r>
      <w:proofErr w:type="spellStart"/>
      <w:r>
        <w:rPr>
          <w:rFonts w:ascii="Times New Roman" w:hAnsi="Times New Roman" w:cs="Times New Roman"/>
          <w:sz w:val="20"/>
          <w:szCs w:val="20"/>
        </w:rPr>
        <w:t>Interscience</w:t>
      </w:r>
      <w:proofErr w:type="spellEnd"/>
      <w:r>
        <w:rPr>
          <w:rFonts w:ascii="Times New Roman" w:hAnsi="Times New Roman" w:cs="Times New Roman"/>
          <w:sz w:val="20"/>
          <w:szCs w:val="20"/>
        </w:rPr>
        <w:t xml:space="preserve"> Publications John Wiley and Sons, New York. 680.</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Griesbach</w:t>
      </w:r>
      <w:proofErr w:type="spellEnd"/>
      <w:r>
        <w:rPr>
          <w:rFonts w:ascii="Times New Roman" w:hAnsi="Times New Roman" w:cs="Times New Roman"/>
          <w:sz w:val="20"/>
          <w:szCs w:val="20"/>
        </w:rPr>
        <w:t xml:space="preserve"> J. 2003. Mango growing in Kenya, World Agroforestry Centre (ICRAF), Nairobi. </w:t>
      </w:r>
      <w:proofErr w:type="spellStart"/>
      <w:r>
        <w:rPr>
          <w:rFonts w:ascii="Times New Roman" w:hAnsi="Times New Roman" w:cs="Times New Roman"/>
          <w:sz w:val="20"/>
          <w:szCs w:val="20"/>
        </w:rPr>
        <w:t>Balock</w:t>
      </w:r>
      <w:proofErr w:type="spellEnd"/>
      <w:r>
        <w:rPr>
          <w:rFonts w:ascii="Times New Roman" w:hAnsi="Times New Roman" w:cs="Times New Roman"/>
          <w:sz w:val="20"/>
          <w:szCs w:val="20"/>
        </w:rPr>
        <w:t xml:space="preserve">, J.W. &amp; </w:t>
      </w:r>
      <w:proofErr w:type="spellStart"/>
      <w:r>
        <w:rPr>
          <w:rFonts w:ascii="Times New Roman" w:hAnsi="Times New Roman" w:cs="Times New Roman"/>
          <w:sz w:val="20"/>
          <w:szCs w:val="20"/>
        </w:rPr>
        <w:t>Kozuma</w:t>
      </w:r>
      <w:proofErr w:type="spellEnd"/>
      <w:r>
        <w:rPr>
          <w:rFonts w:ascii="Times New Roman" w:hAnsi="Times New Roman" w:cs="Times New Roman"/>
          <w:sz w:val="20"/>
          <w:szCs w:val="20"/>
        </w:rPr>
        <w:t xml:space="preserve">, T. T. 1963. Notes on the biology and economic importance of the mango weevil, </w:t>
      </w:r>
      <w:proofErr w:type="spellStart"/>
      <w:r>
        <w:rPr>
          <w:rFonts w:ascii="Times New Roman" w:hAnsi="Times New Roman" w:cs="Times New Roman"/>
          <w:sz w:val="20"/>
          <w:szCs w:val="20"/>
        </w:rPr>
        <w:t>Sternochetus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mangiferae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Fabricius</w:t>
      </w:r>
      <w:proofErr w:type="spellEnd"/>
      <w:r>
        <w:rPr>
          <w:rFonts w:ascii="Times New Roman" w:hAnsi="Times New Roman" w:cs="Times New Roman"/>
          <w:sz w:val="20"/>
          <w:szCs w:val="20"/>
        </w:rPr>
        <w:t>), in Hawaii (</w:t>
      </w:r>
      <w:proofErr w:type="spellStart"/>
      <w:r>
        <w:rPr>
          <w:rFonts w:ascii="Times New Roman" w:hAnsi="Times New Roman" w:cs="Times New Roman"/>
          <w:sz w:val="20"/>
          <w:szCs w:val="20"/>
        </w:rPr>
        <w:t>Coleoptera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Curculionidae</w:t>
      </w:r>
      <w:proofErr w:type="spellEnd"/>
      <w:r>
        <w:rPr>
          <w:rFonts w:ascii="Times New Roman" w:hAnsi="Times New Roman" w:cs="Times New Roman"/>
          <w:sz w:val="20"/>
          <w:szCs w:val="20"/>
        </w:rPr>
        <w:t>). Hawaiian Entomological Society. 3:1-12.</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Hailu</w:t>
      </w:r>
      <w:proofErr w:type="spellEnd"/>
      <w:r>
        <w:rPr>
          <w:rFonts w:ascii="Times New Roman" w:hAnsi="Times New Roman" w:cs="Times New Roman"/>
          <w:sz w:val="20"/>
          <w:szCs w:val="20"/>
        </w:rPr>
        <w:t xml:space="preserve"> T, </w:t>
      </w:r>
      <w:proofErr w:type="spellStart"/>
      <w:r>
        <w:rPr>
          <w:rFonts w:ascii="Times New Roman" w:hAnsi="Times New Roman" w:cs="Times New Roman"/>
          <w:sz w:val="20"/>
          <w:szCs w:val="20"/>
        </w:rPr>
        <w:t>Tsegaye</w:t>
      </w:r>
      <w:proofErr w:type="spellEnd"/>
      <w:r>
        <w:rPr>
          <w:rFonts w:ascii="Times New Roman" w:hAnsi="Times New Roman" w:cs="Times New Roman"/>
          <w:sz w:val="20"/>
          <w:szCs w:val="20"/>
        </w:rPr>
        <w:t xml:space="preserve"> S, and </w:t>
      </w:r>
      <w:proofErr w:type="spellStart"/>
      <w:r>
        <w:rPr>
          <w:rFonts w:ascii="Times New Roman" w:hAnsi="Times New Roman" w:cs="Times New Roman"/>
          <w:sz w:val="20"/>
          <w:szCs w:val="20"/>
        </w:rPr>
        <w:t>Wakuma</w:t>
      </w:r>
      <w:proofErr w:type="spellEnd"/>
      <w:r>
        <w:rPr>
          <w:rFonts w:ascii="Times New Roman" w:hAnsi="Times New Roman" w:cs="Times New Roman"/>
          <w:sz w:val="20"/>
          <w:szCs w:val="20"/>
        </w:rPr>
        <w:t xml:space="preserve"> T. 2014. White Mango Scale Insect’s Infestations and Its Implications in </w:t>
      </w:r>
      <w:proofErr w:type="spellStart"/>
      <w:r>
        <w:rPr>
          <w:rFonts w:ascii="Times New Roman" w:hAnsi="Times New Roman" w:cs="Times New Roman"/>
          <w:sz w:val="20"/>
          <w:szCs w:val="20"/>
        </w:rPr>
        <w:t>Guto</w:t>
      </w:r>
      <w:proofErr w:type="spellEnd"/>
      <w:r>
        <w:rPr>
          <w:rFonts w:ascii="Times New Roman" w:hAnsi="Times New Roman" w:cs="Times New Roman"/>
          <w:sz w:val="20"/>
          <w:szCs w:val="20"/>
        </w:rPr>
        <w:t xml:space="preserve"> Gida and </w:t>
      </w:r>
      <w:proofErr w:type="spellStart"/>
      <w:r>
        <w:rPr>
          <w:rFonts w:ascii="Times New Roman" w:hAnsi="Times New Roman" w:cs="Times New Roman"/>
          <w:sz w:val="20"/>
          <w:szCs w:val="20"/>
        </w:rPr>
        <w:t>Diga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Distrcts</w:t>
      </w:r>
      <w:proofErr w:type="spellEnd"/>
      <w:r>
        <w:rPr>
          <w:rFonts w:ascii="Times New Roman" w:hAnsi="Times New Roman" w:cs="Times New Roman"/>
          <w:sz w:val="20"/>
          <w:szCs w:val="20"/>
        </w:rPr>
        <w:t xml:space="preserve"> of East </w:t>
      </w:r>
      <w:proofErr w:type="spellStart"/>
      <w:r>
        <w:rPr>
          <w:rFonts w:ascii="Times New Roman" w:hAnsi="Times New Roman" w:cs="Times New Roman"/>
          <w:sz w:val="20"/>
          <w:szCs w:val="20"/>
        </w:rPr>
        <w:t>Wellega</w:t>
      </w:r>
      <w:proofErr w:type="spellEnd"/>
      <w:r>
        <w:rPr>
          <w:rFonts w:ascii="Times New Roman" w:hAnsi="Times New Roman" w:cs="Times New Roman"/>
          <w:sz w:val="20"/>
          <w:szCs w:val="20"/>
        </w:rPr>
        <w:t xml:space="preserve"> Zone, ABC Research Alert. 2(2):1-32</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Halteren</w:t>
      </w:r>
      <w:proofErr w:type="spellEnd"/>
      <w:r>
        <w:rPr>
          <w:rFonts w:ascii="Times New Roman" w:hAnsi="Times New Roman" w:cs="Times New Roman"/>
          <w:sz w:val="20"/>
          <w:szCs w:val="20"/>
        </w:rPr>
        <w:t xml:space="preserve"> PV. 1970. Notes on the biology of the scale insect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mangiferae</w:t>
      </w:r>
      <w:proofErr w:type="spellEnd"/>
      <w:r>
        <w:rPr>
          <w:rFonts w:ascii="Times New Roman" w:hAnsi="Times New Roman" w:cs="Times New Roman"/>
          <w:sz w:val="20"/>
          <w:szCs w:val="20"/>
        </w:rPr>
        <w:t xml:space="preserve"> Newstead. (</w:t>
      </w:r>
      <w:proofErr w:type="spellStart"/>
      <w:r>
        <w:rPr>
          <w:rFonts w:ascii="Times New Roman" w:hAnsi="Times New Roman" w:cs="Times New Roman"/>
          <w:sz w:val="20"/>
          <w:szCs w:val="20"/>
        </w:rPr>
        <w:t>Diaspididae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Hemiptera</w:t>
      </w:r>
      <w:proofErr w:type="spellEnd"/>
      <w:r>
        <w:rPr>
          <w:rFonts w:ascii="Times New Roman" w:hAnsi="Times New Roman" w:cs="Times New Roman"/>
          <w:sz w:val="20"/>
          <w:szCs w:val="20"/>
        </w:rPr>
        <w:t xml:space="preserve">) on mango. Ghana </w:t>
      </w:r>
      <w:proofErr w:type="spellStart"/>
      <w:r>
        <w:rPr>
          <w:rFonts w:ascii="Times New Roman" w:hAnsi="Times New Roman" w:cs="Times New Roman"/>
          <w:sz w:val="20"/>
          <w:szCs w:val="20"/>
        </w:rPr>
        <w:t>Jnl</w:t>
      </w:r>
      <w:proofErr w:type="spellEnd"/>
      <w:r>
        <w:rPr>
          <w:rFonts w:ascii="Times New Roman" w:hAnsi="Times New Roman" w:cs="Times New Roman"/>
          <w:sz w:val="20"/>
          <w:szCs w:val="20"/>
        </w:rPr>
        <w:t xml:space="preserve"> agric. Sci. 3: 83-85.</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Hamon</w:t>
      </w:r>
      <w:proofErr w:type="spellEnd"/>
      <w:r>
        <w:rPr>
          <w:rFonts w:ascii="Times New Roman" w:hAnsi="Times New Roman" w:cs="Times New Roman"/>
          <w:sz w:val="20"/>
          <w:szCs w:val="20"/>
        </w:rPr>
        <w:t xml:space="preserve"> A. 2016. White mango scale </w:t>
      </w:r>
      <w:proofErr w:type="spellStart"/>
      <w:proofErr w:type="gram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proofErr w:type="gramEnd"/>
      <w:r>
        <w:rPr>
          <w:rFonts w:ascii="Times New Roman" w:hAnsi="Times New Roman" w:cs="Times New Roman"/>
          <w:sz w:val="20"/>
          <w:szCs w:val="20"/>
        </w:rPr>
        <w:t xml:space="preserve">  Newstead (</w:t>
      </w:r>
      <w:proofErr w:type="spellStart"/>
      <w:r>
        <w:rPr>
          <w:rFonts w:ascii="Times New Roman" w:hAnsi="Times New Roman" w:cs="Times New Roman"/>
          <w:sz w:val="20"/>
          <w:szCs w:val="20"/>
        </w:rPr>
        <w:t>Coccoidea:Diaspididae</w:t>
      </w:r>
      <w:proofErr w:type="spellEnd"/>
      <w:r>
        <w:rPr>
          <w:rFonts w:ascii="Times New Roman" w:hAnsi="Times New Roman" w:cs="Times New Roman"/>
          <w:sz w:val="20"/>
          <w:szCs w:val="20"/>
        </w:rPr>
        <w:t xml:space="preserve">), Pest </w:t>
      </w:r>
      <w:proofErr w:type="spellStart"/>
      <w:r>
        <w:rPr>
          <w:rFonts w:ascii="Times New Roman" w:hAnsi="Times New Roman" w:cs="Times New Roman"/>
          <w:sz w:val="20"/>
          <w:szCs w:val="20"/>
        </w:rPr>
        <w:t>Alart</w:t>
      </w:r>
      <w:proofErr w:type="spellEnd"/>
      <w:r>
        <w:rPr>
          <w:rFonts w:ascii="Times New Roman" w:hAnsi="Times New Roman" w:cs="Times New Roman"/>
          <w:sz w:val="20"/>
          <w:szCs w:val="20"/>
        </w:rPr>
        <w:t>, FDACS-P-01697.</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Hegde</w:t>
      </w:r>
      <w:proofErr w:type="spellEnd"/>
      <w:r>
        <w:rPr>
          <w:rFonts w:ascii="Times New Roman" w:hAnsi="Times New Roman" w:cs="Times New Roman"/>
          <w:sz w:val="20"/>
          <w:szCs w:val="20"/>
        </w:rPr>
        <w:t xml:space="preserve"> M </w:t>
      </w:r>
      <w:proofErr w:type="gramStart"/>
      <w:r>
        <w:rPr>
          <w:rFonts w:ascii="Times New Roman" w:hAnsi="Times New Roman" w:cs="Times New Roman"/>
          <w:sz w:val="20"/>
          <w:szCs w:val="20"/>
        </w:rPr>
        <w:t xml:space="preserve">and  </w:t>
      </w:r>
      <w:proofErr w:type="spellStart"/>
      <w:r>
        <w:rPr>
          <w:rFonts w:ascii="Times New Roman" w:hAnsi="Times New Roman" w:cs="Times New Roman"/>
          <w:sz w:val="20"/>
          <w:szCs w:val="20"/>
        </w:rPr>
        <w:t>Nidagundi</w:t>
      </w:r>
      <w:proofErr w:type="spellEnd"/>
      <w:proofErr w:type="gramEnd"/>
      <w:r>
        <w:rPr>
          <w:rFonts w:ascii="Times New Roman" w:hAnsi="Times New Roman" w:cs="Times New Roman"/>
          <w:sz w:val="20"/>
          <w:szCs w:val="20"/>
        </w:rPr>
        <w:t xml:space="preserve"> J. 2009. Effect of newer chemicals on </w:t>
      </w:r>
      <w:proofErr w:type="spellStart"/>
      <w:r>
        <w:rPr>
          <w:rFonts w:ascii="Times New Roman" w:hAnsi="Times New Roman" w:cs="Times New Roman"/>
          <w:sz w:val="20"/>
          <w:szCs w:val="20"/>
        </w:rPr>
        <w:t>planthoppers</w:t>
      </w:r>
      <w:proofErr w:type="spellEnd"/>
      <w:r>
        <w:rPr>
          <w:rFonts w:ascii="Times New Roman" w:hAnsi="Times New Roman" w:cs="Times New Roman"/>
          <w:sz w:val="20"/>
          <w:szCs w:val="20"/>
        </w:rPr>
        <w:t xml:space="preserve"> and their </w:t>
      </w:r>
      <w:proofErr w:type="spellStart"/>
      <w:r>
        <w:rPr>
          <w:rFonts w:ascii="Times New Roman" w:hAnsi="Times New Roman" w:cs="Times New Roman"/>
          <w:sz w:val="20"/>
          <w:szCs w:val="20"/>
        </w:rPr>
        <w:t>mirid</w:t>
      </w:r>
      <w:proofErr w:type="spellEnd"/>
      <w:r>
        <w:rPr>
          <w:rFonts w:ascii="Times New Roman" w:hAnsi="Times New Roman" w:cs="Times New Roman"/>
          <w:sz w:val="20"/>
          <w:szCs w:val="20"/>
        </w:rPr>
        <w:t xml:space="preserve"> predators in rice. Karnataka J. Agric. Sci. 22: 511-513.</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Howard FH. 1989. Insecticidal control of Magnolia White Scale, and Long-tailed Mealy bug on </w:t>
      </w:r>
      <w:proofErr w:type="spellStart"/>
      <w:r>
        <w:rPr>
          <w:rFonts w:ascii="Times New Roman" w:hAnsi="Times New Roman" w:cs="Times New Roman"/>
          <w:sz w:val="20"/>
          <w:szCs w:val="20"/>
        </w:rPr>
        <w:t>Sagopalms</w:t>
      </w:r>
      <w:proofErr w:type="spellEnd"/>
      <w:r>
        <w:rPr>
          <w:rFonts w:ascii="Times New Roman" w:hAnsi="Times New Roman" w:cs="Times New Roman"/>
          <w:sz w:val="20"/>
          <w:szCs w:val="20"/>
        </w:rPr>
        <w:t>. University of Florida. 293-295.</w:t>
      </w:r>
    </w:p>
    <w:p w:rsidR="009C5B70" w:rsidRDefault="0091236F">
      <w:pPr>
        <w:numPr>
          <w:ilvl w:val="0"/>
          <w:numId w:val="2"/>
        </w:numPr>
        <w:snapToGrid w:val="0"/>
        <w:spacing w:after="0" w:line="240" w:lineRule="auto"/>
        <w:ind w:left="363" w:hanging="363"/>
        <w:jc w:val="both"/>
        <w:rPr>
          <w:rFonts w:ascii="Times New Roman" w:hAnsi="Times New Roman" w:cs="Times New Roman"/>
          <w:sz w:val="20"/>
          <w:szCs w:val="20"/>
        </w:rPr>
      </w:pPr>
      <w:hyperlink w:history="1">
        <w:r w:rsidR="006605DA">
          <w:rPr>
            <w:rFonts w:ascii="Times New Roman" w:hAnsi="Times New Roman" w:cs="Times New Roman"/>
            <w:sz w:val="20"/>
            <w:szCs w:val="20"/>
          </w:rPr>
          <w:t>https:// www. organicgardener.com.au/ blogs/home-made-pest-remedies</w:t>
        </w:r>
      </w:hyperlink>
      <w:r w:rsidR="006605DA">
        <w:rPr>
          <w:rFonts w:ascii="Times New Roman" w:hAnsi="Times New Roman" w:cs="Times New Roman"/>
          <w:sz w:val="20"/>
          <w:szCs w:val="20"/>
        </w:rPr>
        <w:t>, retrieved on 01 June 2018</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Hussen</w:t>
      </w:r>
      <w:proofErr w:type="spellEnd"/>
      <w:r>
        <w:rPr>
          <w:rFonts w:ascii="Times New Roman" w:hAnsi="Times New Roman" w:cs="Times New Roman"/>
          <w:sz w:val="20"/>
          <w:szCs w:val="20"/>
        </w:rPr>
        <w:t xml:space="preserve"> S. and </w:t>
      </w:r>
      <w:proofErr w:type="spellStart"/>
      <w:r>
        <w:rPr>
          <w:rFonts w:ascii="Times New Roman" w:hAnsi="Times New Roman" w:cs="Times New Roman"/>
          <w:sz w:val="20"/>
          <w:szCs w:val="20"/>
        </w:rPr>
        <w:t>Yimer</w:t>
      </w:r>
      <w:proofErr w:type="spellEnd"/>
      <w:r>
        <w:rPr>
          <w:rFonts w:ascii="Times New Roman" w:hAnsi="Times New Roman" w:cs="Times New Roman"/>
          <w:sz w:val="20"/>
          <w:szCs w:val="20"/>
        </w:rPr>
        <w:t xml:space="preserve"> Z. 2013. Assessment of production potentials and constraints of mango (</w:t>
      </w:r>
      <w:proofErr w:type="spellStart"/>
      <w:r>
        <w:rPr>
          <w:rFonts w:ascii="Times New Roman" w:hAnsi="Times New Roman" w:cs="Times New Roman"/>
          <w:sz w:val="20"/>
          <w:szCs w:val="20"/>
        </w:rPr>
        <w:t>Mangifera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indica</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Bati</w:t>
      </w:r>
      <w:proofErr w:type="spellEnd"/>
      <w:r>
        <w:rPr>
          <w:rFonts w:ascii="Times New Roman" w:hAnsi="Times New Roman" w:cs="Times New Roman"/>
          <w:sz w:val="20"/>
          <w:szCs w:val="20"/>
        </w:rPr>
        <w:t>, Oromia Zone, Ethiopia. International Journal of Sciences: Basic and Applied Research. 11(1):1-9.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Juárez-Hernánde</w:t>
      </w:r>
      <w:proofErr w:type="spellEnd"/>
      <w:r>
        <w:rPr>
          <w:rFonts w:ascii="Times New Roman" w:hAnsi="Times New Roman" w:cs="Times New Roman"/>
          <w:sz w:val="20"/>
          <w:szCs w:val="20"/>
        </w:rPr>
        <w:t xml:space="preserve"> ZP, </w:t>
      </w:r>
      <w:proofErr w:type="spellStart"/>
      <w:r>
        <w:rPr>
          <w:rFonts w:ascii="Times New Roman" w:hAnsi="Times New Roman" w:cs="Times New Roman"/>
          <w:sz w:val="20"/>
          <w:szCs w:val="20"/>
        </w:rPr>
        <w:t>Valde</w:t>
      </w:r>
      <w:proofErr w:type="spellEnd"/>
      <w:r>
        <w:rPr>
          <w:rFonts w:ascii="Times New Roman" w:hAnsi="Times New Roman" w:cs="Times New Roman"/>
          <w:sz w:val="20"/>
          <w:szCs w:val="20"/>
        </w:rPr>
        <w:t xml:space="preserve"> z-Carrasco J, </w:t>
      </w:r>
      <w:proofErr w:type="spellStart"/>
      <w:r>
        <w:rPr>
          <w:rFonts w:ascii="Times New Roman" w:hAnsi="Times New Roman" w:cs="Times New Roman"/>
          <w:sz w:val="20"/>
          <w:szCs w:val="20"/>
        </w:rPr>
        <w:t>Valdov</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inos</w:t>
      </w:r>
      <w:proofErr w:type="spellEnd"/>
      <w:r>
        <w:rPr>
          <w:rFonts w:ascii="Times New Roman" w:hAnsi="Times New Roman" w:cs="Times New Roman"/>
          <w:sz w:val="20"/>
          <w:szCs w:val="20"/>
        </w:rPr>
        <w:t xml:space="preserve"> -Ponce, G, Mora-Aguilera AJ, Otero-</w:t>
      </w:r>
      <w:proofErr w:type="spellStart"/>
      <w:r>
        <w:rPr>
          <w:rFonts w:ascii="Times New Roman" w:hAnsi="Times New Roman" w:cs="Times New Roman"/>
          <w:sz w:val="20"/>
          <w:szCs w:val="20"/>
        </w:rPr>
        <w:t>Colina</w:t>
      </w:r>
      <w:proofErr w:type="spellEnd"/>
      <w:r>
        <w:rPr>
          <w:rFonts w:ascii="Times New Roman" w:hAnsi="Times New Roman" w:cs="Times New Roman"/>
          <w:sz w:val="20"/>
          <w:szCs w:val="20"/>
        </w:rPr>
        <w:t xml:space="preserve"> G, </w:t>
      </w:r>
      <w:proofErr w:type="spellStart"/>
      <w:r>
        <w:rPr>
          <w:rFonts w:ascii="Times New Roman" w:hAnsi="Times New Roman" w:cs="Times New Roman"/>
          <w:sz w:val="20"/>
          <w:szCs w:val="20"/>
        </w:rPr>
        <w:t>Téliz</w:t>
      </w:r>
      <w:proofErr w:type="spellEnd"/>
      <w:r>
        <w:rPr>
          <w:rFonts w:ascii="Times New Roman" w:hAnsi="Times New Roman" w:cs="Times New Roman"/>
          <w:sz w:val="20"/>
          <w:szCs w:val="20"/>
        </w:rPr>
        <w:t xml:space="preserve">-Ortiz D, </w:t>
      </w:r>
      <w:proofErr w:type="spellStart"/>
      <w:r>
        <w:rPr>
          <w:rFonts w:ascii="Times New Roman" w:hAnsi="Times New Roman" w:cs="Times New Roman"/>
          <w:sz w:val="20"/>
          <w:szCs w:val="20"/>
        </w:rPr>
        <w:t>Hernánde</w:t>
      </w:r>
      <w:proofErr w:type="spellEnd"/>
      <w:r>
        <w:rPr>
          <w:rFonts w:ascii="Times New Roman" w:hAnsi="Times New Roman" w:cs="Times New Roman"/>
          <w:sz w:val="20"/>
          <w:szCs w:val="20"/>
        </w:rPr>
        <w:t xml:space="preserve"> z-Castro E, </w:t>
      </w:r>
      <w:proofErr w:type="spellStart"/>
      <w:r>
        <w:rPr>
          <w:rFonts w:ascii="Times New Roman" w:hAnsi="Times New Roman" w:cs="Times New Roman"/>
          <w:sz w:val="20"/>
          <w:szCs w:val="20"/>
        </w:rPr>
        <w:t>Ramírez-Ramírez</w:t>
      </w:r>
      <w:proofErr w:type="spellEnd"/>
      <w:r>
        <w:rPr>
          <w:rFonts w:ascii="Times New Roman" w:hAnsi="Times New Roman" w:cs="Times New Roman"/>
          <w:sz w:val="20"/>
          <w:szCs w:val="20"/>
        </w:rPr>
        <w:t xml:space="preserve"> I. and González-</w:t>
      </w:r>
      <w:proofErr w:type="spellStart"/>
      <w:r>
        <w:rPr>
          <w:rFonts w:ascii="Times New Roman" w:hAnsi="Times New Roman" w:cs="Times New Roman"/>
          <w:sz w:val="20"/>
          <w:szCs w:val="20"/>
        </w:rPr>
        <w:t>Hernánde</w:t>
      </w:r>
      <w:proofErr w:type="spellEnd"/>
      <w:r>
        <w:rPr>
          <w:rFonts w:ascii="Times New Roman" w:hAnsi="Times New Roman" w:cs="Times New Roman"/>
          <w:sz w:val="20"/>
          <w:szCs w:val="20"/>
        </w:rPr>
        <w:t xml:space="preserve"> z, VA. 2014. Leaf penetration pattern of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tubercularis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Hemiptera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Diaspididae</w:t>
      </w:r>
      <w:proofErr w:type="spellEnd"/>
      <w:r>
        <w:rPr>
          <w:rFonts w:ascii="Times New Roman" w:hAnsi="Times New Roman" w:cs="Times New Roman"/>
          <w:sz w:val="20"/>
          <w:szCs w:val="20"/>
        </w:rPr>
        <w:t>) stylet in mango. Florida Entomologist. 97: 100–107.</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Kencharaddi</w:t>
      </w:r>
      <w:proofErr w:type="spellEnd"/>
      <w:r>
        <w:rPr>
          <w:rFonts w:ascii="Times New Roman" w:hAnsi="Times New Roman" w:cs="Times New Roman"/>
          <w:sz w:val="20"/>
          <w:szCs w:val="20"/>
        </w:rPr>
        <w:t xml:space="preserve"> Asha V and </w:t>
      </w:r>
      <w:proofErr w:type="spellStart"/>
      <w:r>
        <w:rPr>
          <w:rFonts w:ascii="Times New Roman" w:hAnsi="Times New Roman" w:cs="Times New Roman"/>
          <w:sz w:val="20"/>
          <w:szCs w:val="20"/>
        </w:rPr>
        <w:t>Balikari</w:t>
      </w:r>
      <w:proofErr w:type="spellEnd"/>
      <w:r>
        <w:rPr>
          <w:rFonts w:ascii="Times New Roman" w:hAnsi="Times New Roman" w:cs="Times New Roman"/>
          <w:sz w:val="20"/>
          <w:szCs w:val="20"/>
        </w:rPr>
        <w:t xml:space="preserve"> RA. 2012. Effect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thiamethoxam</w:t>
      </w:r>
      <w:proofErr w:type="spellEnd"/>
      <w:r>
        <w:rPr>
          <w:rFonts w:ascii="Times New Roman" w:hAnsi="Times New Roman" w:cs="Times New Roman"/>
          <w:sz w:val="20"/>
          <w:szCs w:val="20"/>
        </w:rPr>
        <w:t xml:space="preserve"> treated stored seeds on sucking pests in Sunflower. Annals Plant Prot. Sci. 20: 107-113.</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Labuschagne</w:t>
      </w:r>
      <w:proofErr w:type="spellEnd"/>
      <w:r>
        <w:rPr>
          <w:rFonts w:ascii="Times New Roman" w:hAnsi="Times New Roman" w:cs="Times New Roman"/>
          <w:sz w:val="20"/>
          <w:szCs w:val="20"/>
        </w:rPr>
        <w:t xml:space="preserve"> TI, van Hamburg H and </w:t>
      </w:r>
      <w:proofErr w:type="spellStart"/>
      <w:r>
        <w:rPr>
          <w:rFonts w:ascii="Times New Roman" w:hAnsi="Times New Roman" w:cs="Times New Roman"/>
          <w:sz w:val="20"/>
          <w:szCs w:val="20"/>
        </w:rPr>
        <w:t>Froneman</w:t>
      </w:r>
      <w:proofErr w:type="spellEnd"/>
      <w:r>
        <w:rPr>
          <w:rFonts w:ascii="Times New Roman" w:hAnsi="Times New Roman" w:cs="Times New Roman"/>
          <w:sz w:val="20"/>
          <w:szCs w:val="20"/>
        </w:rPr>
        <w:t xml:space="preserve"> IJ. 1995. Population dynamics of the mango scale,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xml:space="preserve"> (Newstead) (</w:t>
      </w:r>
      <w:proofErr w:type="spellStart"/>
      <w:r>
        <w:rPr>
          <w:rFonts w:ascii="Times New Roman" w:hAnsi="Times New Roman" w:cs="Times New Roman"/>
          <w:sz w:val="20"/>
          <w:szCs w:val="20"/>
        </w:rPr>
        <w:t>Coccoidea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Diaspididae</w:t>
      </w:r>
      <w:proofErr w:type="spellEnd"/>
      <w:r>
        <w:rPr>
          <w:rFonts w:ascii="Times New Roman" w:hAnsi="Times New Roman" w:cs="Times New Roman"/>
          <w:sz w:val="20"/>
          <w:szCs w:val="20"/>
        </w:rPr>
        <w:t>), in South Africa. Israel Journal of Entomology. 29: 207–217.</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Lal B, Rajput MS, </w:t>
      </w:r>
      <w:proofErr w:type="spellStart"/>
      <w:r>
        <w:rPr>
          <w:rFonts w:ascii="Times New Roman" w:hAnsi="Times New Roman" w:cs="Times New Roman"/>
          <w:sz w:val="20"/>
          <w:szCs w:val="20"/>
        </w:rPr>
        <w:t>Rajan</w:t>
      </w:r>
      <w:proofErr w:type="spellEnd"/>
      <w:r>
        <w:rPr>
          <w:rFonts w:ascii="Times New Roman" w:hAnsi="Times New Roman" w:cs="Times New Roman"/>
          <w:sz w:val="20"/>
          <w:szCs w:val="20"/>
        </w:rPr>
        <w:t xml:space="preserve"> S. and </w:t>
      </w:r>
      <w:proofErr w:type="spellStart"/>
      <w:r>
        <w:rPr>
          <w:rFonts w:ascii="Times New Roman" w:hAnsi="Times New Roman" w:cs="Times New Roman"/>
          <w:sz w:val="20"/>
          <w:szCs w:val="20"/>
        </w:rPr>
        <w:t>Rathore</w:t>
      </w:r>
      <w:proofErr w:type="spellEnd"/>
      <w:r>
        <w:rPr>
          <w:rFonts w:ascii="Times New Roman" w:hAnsi="Times New Roman" w:cs="Times New Roman"/>
          <w:sz w:val="20"/>
          <w:szCs w:val="20"/>
        </w:rPr>
        <w:t xml:space="preserve"> DS. 2000. Effect of pruning on rejuvenation of old mango trees, Indian J. </w:t>
      </w:r>
      <w:proofErr w:type="spellStart"/>
      <w:r>
        <w:rPr>
          <w:rFonts w:ascii="Times New Roman" w:hAnsi="Times New Roman" w:cs="Times New Roman"/>
          <w:sz w:val="20"/>
          <w:szCs w:val="20"/>
        </w:rPr>
        <w:t>Hortic</w:t>
      </w:r>
      <w:proofErr w:type="spellEnd"/>
      <w:r>
        <w:rPr>
          <w:rFonts w:ascii="Times New Roman" w:hAnsi="Times New Roman" w:cs="Times New Roman"/>
          <w:sz w:val="20"/>
          <w:szCs w:val="20"/>
        </w:rPr>
        <w:t>. 57: 240– 242.</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Lal B. and Mishra D. 2007. Effect of pruning on growth and bearing </w:t>
      </w:r>
      <w:proofErr w:type="spellStart"/>
      <w:r>
        <w:rPr>
          <w:rFonts w:ascii="Times New Roman" w:hAnsi="Times New Roman" w:cs="Times New Roman"/>
          <w:sz w:val="20"/>
          <w:szCs w:val="20"/>
        </w:rPr>
        <w:t>behavior</w:t>
      </w:r>
      <w:proofErr w:type="spellEnd"/>
      <w:r>
        <w:rPr>
          <w:rFonts w:ascii="Times New Roman" w:hAnsi="Times New Roman" w:cs="Times New Roman"/>
          <w:sz w:val="20"/>
          <w:szCs w:val="20"/>
        </w:rPr>
        <w:t xml:space="preserve"> of mango </w:t>
      </w:r>
      <w:proofErr w:type="spellStart"/>
      <w:proofErr w:type="gramStart"/>
      <w:r>
        <w:rPr>
          <w:rFonts w:ascii="Times New Roman" w:hAnsi="Times New Roman" w:cs="Times New Roman"/>
          <w:sz w:val="20"/>
          <w:szCs w:val="20"/>
        </w:rPr>
        <w:t>cv.Chausa</w:t>
      </w:r>
      <w:proofErr w:type="spellEnd"/>
      <w:proofErr w:type="gramEnd"/>
      <w:r>
        <w:rPr>
          <w:rFonts w:ascii="Times New Roman" w:hAnsi="Times New Roman" w:cs="Times New Roman"/>
          <w:sz w:val="20"/>
          <w:szCs w:val="20"/>
        </w:rPr>
        <w:t xml:space="preserve">, Indian J. </w:t>
      </w:r>
      <w:proofErr w:type="spellStart"/>
      <w:r>
        <w:rPr>
          <w:rFonts w:ascii="Times New Roman" w:hAnsi="Times New Roman" w:cs="Times New Roman"/>
          <w:sz w:val="20"/>
          <w:szCs w:val="20"/>
        </w:rPr>
        <w:t>Hortic</w:t>
      </w:r>
      <w:proofErr w:type="spellEnd"/>
      <w:r>
        <w:rPr>
          <w:rFonts w:ascii="Times New Roman" w:hAnsi="Times New Roman" w:cs="Times New Roman"/>
          <w:sz w:val="20"/>
          <w:szCs w:val="20"/>
        </w:rPr>
        <w:t>. 64: 268–270.</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MoA</w:t>
      </w:r>
      <w:proofErr w:type="spellEnd"/>
      <w:r>
        <w:rPr>
          <w:rFonts w:ascii="Times New Roman" w:hAnsi="Times New Roman" w:cs="Times New Roman"/>
          <w:sz w:val="20"/>
          <w:szCs w:val="20"/>
        </w:rPr>
        <w:t xml:space="preserve"> (Ethiopia Ministry of Agriculture). 2016. List of Registered Pesticides. </w:t>
      </w:r>
      <w:proofErr w:type="spellStart"/>
      <w:r>
        <w:rPr>
          <w:rFonts w:ascii="Times New Roman" w:hAnsi="Times New Roman" w:cs="Times New Roman"/>
          <w:sz w:val="20"/>
          <w:szCs w:val="20"/>
        </w:rPr>
        <w:t>Adiss</w:t>
      </w:r>
      <w:proofErr w:type="spellEnd"/>
      <w:r>
        <w:rPr>
          <w:rFonts w:ascii="Times New Roman" w:hAnsi="Times New Roman" w:cs="Times New Roman"/>
          <w:sz w:val="20"/>
          <w:szCs w:val="20"/>
        </w:rPr>
        <w:t xml:space="preserve"> Abeba.18 (Unpublished).</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Mohammed, M, Wilson LA. and Gomes PL. 1999. Postharvest sensory and physiochemical attributes of processing and non-processing tomato cultivar. J. Food Quality 22: 167-182.</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Moharum</w:t>
      </w:r>
      <w:proofErr w:type="spellEnd"/>
      <w:r>
        <w:rPr>
          <w:rFonts w:ascii="Times New Roman" w:hAnsi="Times New Roman" w:cs="Times New Roman"/>
          <w:sz w:val="20"/>
          <w:szCs w:val="20"/>
        </w:rPr>
        <w:t xml:space="preserve">, F.A., 2012. Description of the first and second female and male instars of white mango scale,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xml:space="preserve"> Newstead (</w:t>
      </w:r>
      <w:proofErr w:type="spellStart"/>
      <w:r>
        <w:rPr>
          <w:rFonts w:ascii="Times New Roman" w:hAnsi="Times New Roman" w:cs="Times New Roman"/>
          <w:sz w:val="20"/>
          <w:szCs w:val="20"/>
        </w:rPr>
        <w:t>Coccoidea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Diaspididae</w:t>
      </w:r>
      <w:proofErr w:type="spellEnd"/>
      <w:r>
        <w:rPr>
          <w:rFonts w:ascii="Times New Roman" w:hAnsi="Times New Roman" w:cs="Times New Roman"/>
          <w:sz w:val="20"/>
          <w:szCs w:val="20"/>
        </w:rPr>
        <w:t>). The Journal of Basic and Applied Zoology. 65:29-36.</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Mark A. </w:t>
      </w:r>
      <w:proofErr w:type="spellStart"/>
      <w:r>
        <w:rPr>
          <w:rFonts w:ascii="Times New Roman" w:hAnsi="Times New Roman" w:cs="Times New Roman"/>
          <w:sz w:val="20"/>
          <w:szCs w:val="20"/>
        </w:rPr>
        <w:t>Muegge</w:t>
      </w:r>
      <w:proofErr w:type="spellEnd"/>
      <w:r>
        <w:rPr>
          <w:rFonts w:ascii="Times New Roman" w:hAnsi="Times New Roman" w:cs="Times New Roman"/>
          <w:sz w:val="20"/>
          <w:szCs w:val="20"/>
        </w:rPr>
        <w:t xml:space="preserve"> and Michael Merchant, 2019. Scale insects on ornamental plants. 1 – 8. Web at: </w:t>
      </w:r>
      <w:hyperlink r:id="rId21" w:history="1">
        <w:r>
          <w:rPr>
            <w:rFonts w:ascii="Times New Roman" w:hAnsi="Times New Roman" w:cs="Times New Roman"/>
            <w:sz w:val="20"/>
            <w:szCs w:val="20"/>
          </w:rPr>
          <w:t>http://texaserc.tamu.edu</w:t>
        </w:r>
      </w:hyperlink>
      <w:r>
        <w:rPr>
          <w:rFonts w:ascii="Times New Roman" w:hAnsi="Times New Roman" w:cs="Times New Roman"/>
          <w:sz w:val="20"/>
          <w:szCs w:val="20"/>
        </w:rPr>
        <w:t xml:space="preserve"> retrieved on 10 October 2019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Miller, D. R., and Davidson, J. A. 2005. </w:t>
      </w:r>
      <w:proofErr w:type="spellStart"/>
      <w:r>
        <w:rPr>
          <w:rFonts w:ascii="Times New Roman" w:hAnsi="Times New Roman" w:cs="Times New Roman"/>
          <w:sz w:val="20"/>
          <w:szCs w:val="20"/>
        </w:rPr>
        <w:t>Armored</w:t>
      </w:r>
      <w:proofErr w:type="spellEnd"/>
      <w:r>
        <w:rPr>
          <w:rFonts w:ascii="Times New Roman" w:hAnsi="Times New Roman" w:cs="Times New Roman"/>
          <w:sz w:val="20"/>
          <w:szCs w:val="20"/>
        </w:rPr>
        <w:t xml:space="preserve"> Scale Insect Pests of Trees and Shrubs (</w:t>
      </w:r>
      <w:proofErr w:type="spellStart"/>
      <w:r>
        <w:rPr>
          <w:rFonts w:ascii="Times New Roman" w:hAnsi="Times New Roman" w:cs="Times New Roman"/>
          <w:sz w:val="20"/>
          <w:szCs w:val="20"/>
        </w:rPr>
        <w:t>Hemiptera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Diaspididae</w:t>
      </w:r>
      <w:proofErr w:type="spellEnd"/>
      <w:r>
        <w:rPr>
          <w:rFonts w:ascii="Times New Roman" w:hAnsi="Times New Roman" w:cs="Times New Roman"/>
          <w:sz w:val="20"/>
          <w:szCs w:val="20"/>
        </w:rPr>
        <w:t>), 1st ed. Cornell University Press. New York. 442.</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Muegge</w:t>
      </w:r>
      <w:proofErr w:type="spellEnd"/>
      <w:r>
        <w:rPr>
          <w:rFonts w:ascii="Times New Roman" w:hAnsi="Times New Roman" w:cs="Times New Roman"/>
          <w:sz w:val="20"/>
          <w:szCs w:val="20"/>
        </w:rPr>
        <w:t xml:space="preserve"> M.A.  and Merchant M.2019. Scale insects on ornamental plants. 1 – 8. Web at: </w:t>
      </w:r>
      <w:hyperlink r:id="rId22" w:history="1">
        <w:r>
          <w:rPr>
            <w:rFonts w:ascii="Times New Roman" w:hAnsi="Times New Roman" w:cs="Times New Roman"/>
            <w:sz w:val="20"/>
            <w:szCs w:val="20"/>
          </w:rPr>
          <w:t xml:space="preserve">http://texaserc.tamu.edu </w:t>
        </w:r>
      </w:hyperlink>
      <w:r>
        <w:rPr>
          <w:rFonts w:ascii="Times New Roman" w:hAnsi="Times New Roman" w:cs="Times New Roman"/>
          <w:sz w:val="20"/>
          <w:szCs w:val="20"/>
        </w:rPr>
        <w:t>retrieved on 10 October 2019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Nabil HA, </w:t>
      </w:r>
      <w:proofErr w:type="spellStart"/>
      <w:r>
        <w:rPr>
          <w:rFonts w:ascii="Times New Roman" w:hAnsi="Times New Roman" w:cs="Times New Roman"/>
          <w:sz w:val="20"/>
          <w:szCs w:val="20"/>
        </w:rPr>
        <w:t>Shahein</w:t>
      </w:r>
      <w:proofErr w:type="spellEnd"/>
      <w:r>
        <w:rPr>
          <w:rFonts w:ascii="Times New Roman" w:hAnsi="Times New Roman" w:cs="Times New Roman"/>
          <w:sz w:val="20"/>
          <w:szCs w:val="20"/>
        </w:rPr>
        <w:t xml:space="preserve"> AA, </w:t>
      </w:r>
      <w:proofErr w:type="spellStart"/>
      <w:r>
        <w:rPr>
          <w:rFonts w:ascii="Times New Roman" w:hAnsi="Times New Roman" w:cs="Times New Roman"/>
          <w:sz w:val="20"/>
          <w:szCs w:val="20"/>
        </w:rPr>
        <w:t>Hammad</w:t>
      </w:r>
      <w:proofErr w:type="spellEnd"/>
      <w:r>
        <w:rPr>
          <w:rFonts w:ascii="Times New Roman" w:hAnsi="Times New Roman" w:cs="Times New Roman"/>
          <w:sz w:val="20"/>
          <w:szCs w:val="20"/>
        </w:rPr>
        <w:t xml:space="preserve"> KAA. and Hassan AS. 2012. Ecological studies of </w:t>
      </w:r>
      <w:proofErr w:type="spellStart"/>
      <w:r>
        <w:rPr>
          <w:rFonts w:ascii="Times New Roman" w:hAnsi="Times New Roman" w:cs="Times New Roman"/>
          <w:sz w:val="20"/>
          <w:szCs w:val="20"/>
        </w:rPr>
        <w:t>Aulacaspis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tubercularis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Diaspididae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Hemiptera</w:t>
      </w:r>
      <w:proofErr w:type="spellEnd"/>
      <w:r>
        <w:rPr>
          <w:rFonts w:ascii="Times New Roman" w:hAnsi="Times New Roman" w:cs="Times New Roman"/>
          <w:sz w:val="20"/>
          <w:szCs w:val="20"/>
        </w:rPr>
        <w:t xml:space="preserve">) and its natural enemies infesting mango trees in </w:t>
      </w:r>
      <w:proofErr w:type="spellStart"/>
      <w:r>
        <w:rPr>
          <w:rFonts w:ascii="Times New Roman" w:hAnsi="Times New Roman" w:cs="Times New Roman"/>
          <w:sz w:val="20"/>
          <w:szCs w:val="20"/>
        </w:rPr>
        <w:t>Sharkia</w:t>
      </w:r>
      <w:proofErr w:type="spellEnd"/>
      <w:r>
        <w:rPr>
          <w:rFonts w:ascii="Times New Roman" w:hAnsi="Times New Roman" w:cs="Times New Roman"/>
          <w:sz w:val="20"/>
          <w:szCs w:val="20"/>
        </w:rPr>
        <w:t xml:space="preserve"> Governorate, Egypt. Acad. J. </w:t>
      </w:r>
      <w:proofErr w:type="spellStart"/>
      <w:r>
        <w:rPr>
          <w:rFonts w:ascii="Times New Roman" w:hAnsi="Times New Roman" w:cs="Times New Roman"/>
          <w:sz w:val="20"/>
          <w:szCs w:val="20"/>
        </w:rPr>
        <w:t>Biolog</w:t>
      </w:r>
      <w:proofErr w:type="spellEnd"/>
      <w:r>
        <w:rPr>
          <w:rFonts w:ascii="Times New Roman" w:hAnsi="Times New Roman" w:cs="Times New Roman"/>
          <w:sz w:val="20"/>
          <w:szCs w:val="20"/>
        </w:rPr>
        <w:t>. Sci. 5: 9-17.</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NMA (National Meteorological Agency). 2015. Monthly report on temperature and Rainfall distribution for </w:t>
      </w:r>
      <w:proofErr w:type="spellStart"/>
      <w:r>
        <w:rPr>
          <w:rFonts w:ascii="Times New Roman" w:hAnsi="Times New Roman" w:cs="Times New Roman"/>
          <w:sz w:val="20"/>
          <w:szCs w:val="20"/>
        </w:rPr>
        <w:t>Assosa</w:t>
      </w:r>
      <w:proofErr w:type="spellEnd"/>
      <w:r>
        <w:rPr>
          <w:rFonts w:ascii="Times New Roman" w:hAnsi="Times New Roman" w:cs="Times New Roman"/>
          <w:sz w:val="20"/>
          <w:szCs w:val="20"/>
        </w:rPr>
        <w:t xml:space="preserve"> Zone, Regional Metrological Office, </w:t>
      </w:r>
      <w:proofErr w:type="spellStart"/>
      <w:r>
        <w:rPr>
          <w:rFonts w:ascii="Times New Roman" w:hAnsi="Times New Roman" w:cs="Times New Roman"/>
          <w:sz w:val="20"/>
          <w:szCs w:val="20"/>
        </w:rPr>
        <w:t>Assosa</w:t>
      </w:r>
      <w:proofErr w:type="spellEnd"/>
      <w:r>
        <w:rPr>
          <w:rFonts w:ascii="Times New Roman" w:hAnsi="Times New Roman" w:cs="Times New Roman"/>
          <w:sz w:val="20"/>
          <w:szCs w:val="20"/>
        </w:rPr>
        <w:t>, Ethiopia. 17-19.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Okoth</w:t>
      </w:r>
      <w:proofErr w:type="spellEnd"/>
      <w:r>
        <w:rPr>
          <w:rFonts w:ascii="Times New Roman" w:hAnsi="Times New Roman" w:cs="Times New Roman"/>
          <w:sz w:val="20"/>
          <w:szCs w:val="20"/>
        </w:rPr>
        <w:t xml:space="preserve"> EM, </w:t>
      </w:r>
      <w:proofErr w:type="spellStart"/>
      <w:r>
        <w:rPr>
          <w:rFonts w:ascii="Times New Roman" w:hAnsi="Times New Roman" w:cs="Times New Roman"/>
          <w:sz w:val="20"/>
          <w:szCs w:val="20"/>
        </w:rPr>
        <w:t>Sila</w:t>
      </w:r>
      <w:proofErr w:type="spellEnd"/>
      <w:r>
        <w:rPr>
          <w:rFonts w:ascii="Times New Roman" w:hAnsi="Times New Roman" w:cs="Times New Roman"/>
          <w:sz w:val="20"/>
          <w:szCs w:val="20"/>
        </w:rPr>
        <w:t xml:space="preserve"> DN, Onyango CA, </w:t>
      </w:r>
      <w:proofErr w:type="spellStart"/>
      <w:r>
        <w:rPr>
          <w:rFonts w:ascii="Times New Roman" w:hAnsi="Times New Roman" w:cs="Times New Roman"/>
          <w:sz w:val="20"/>
          <w:szCs w:val="20"/>
        </w:rPr>
        <w:t>Owino</w:t>
      </w:r>
      <w:proofErr w:type="spellEnd"/>
      <w:r>
        <w:rPr>
          <w:rFonts w:ascii="Times New Roman" w:hAnsi="Times New Roman" w:cs="Times New Roman"/>
          <w:sz w:val="20"/>
          <w:szCs w:val="20"/>
        </w:rPr>
        <w:t xml:space="preserve"> WO, Muse </w:t>
      </w:r>
      <w:proofErr w:type="spellStart"/>
      <w:r>
        <w:rPr>
          <w:rFonts w:ascii="Times New Roman" w:hAnsi="Times New Roman" w:cs="Times New Roman"/>
          <w:sz w:val="20"/>
          <w:szCs w:val="20"/>
        </w:rPr>
        <w:t>mbi</w:t>
      </w:r>
      <w:proofErr w:type="spellEnd"/>
      <w:r>
        <w:rPr>
          <w:rFonts w:ascii="Times New Roman" w:hAnsi="Times New Roman" w:cs="Times New Roman"/>
          <w:sz w:val="20"/>
          <w:szCs w:val="20"/>
        </w:rPr>
        <w:t xml:space="preserve">, SM. and </w:t>
      </w:r>
      <w:proofErr w:type="spellStart"/>
      <w:r>
        <w:rPr>
          <w:rFonts w:ascii="Times New Roman" w:hAnsi="Times New Roman" w:cs="Times New Roman"/>
          <w:sz w:val="20"/>
          <w:szCs w:val="20"/>
        </w:rPr>
        <w:t>Mathooko</w:t>
      </w:r>
      <w:proofErr w:type="spellEnd"/>
      <w:r>
        <w:rPr>
          <w:rFonts w:ascii="Times New Roman" w:hAnsi="Times New Roman" w:cs="Times New Roman"/>
          <w:sz w:val="20"/>
          <w:szCs w:val="20"/>
        </w:rPr>
        <w:t xml:space="preserve"> FM. 2013. Evaluation of physical and sensory quality attributes of three mango varieties at three stages of ripeness, grown in lower eastern province of Kenya </w:t>
      </w:r>
      <w:r>
        <w:rPr>
          <w:rFonts w:ascii="Times New Roman" w:hAnsi="Times New Roman" w:cs="Times New Roman"/>
          <w:sz w:val="20"/>
          <w:szCs w:val="20"/>
        </w:rPr>
        <w:lastRenderedPageBreak/>
        <w:t>– part 1. Journal of Animal and Plant Sciences. 17: 2608–2618.</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Patil</w:t>
      </w:r>
      <w:proofErr w:type="spellEnd"/>
      <w:r>
        <w:rPr>
          <w:rFonts w:ascii="Times New Roman" w:hAnsi="Times New Roman" w:cs="Times New Roman"/>
          <w:sz w:val="20"/>
          <w:szCs w:val="20"/>
        </w:rPr>
        <w:t xml:space="preserve"> SB, </w:t>
      </w:r>
      <w:proofErr w:type="spellStart"/>
      <w:r>
        <w:rPr>
          <w:rFonts w:ascii="Times New Roman" w:hAnsi="Times New Roman" w:cs="Times New Roman"/>
          <w:sz w:val="20"/>
          <w:szCs w:val="20"/>
        </w:rPr>
        <w:t>Udikeri</w:t>
      </w:r>
      <w:proofErr w:type="spellEnd"/>
      <w:r>
        <w:rPr>
          <w:rFonts w:ascii="Times New Roman" w:hAnsi="Times New Roman" w:cs="Times New Roman"/>
          <w:sz w:val="20"/>
          <w:szCs w:val="20"/>
        </w:rPr>
        <w:t xml:space="preserve"> SS, </w:t>
      </w:r>
      <w:proofErr w:type="spellStart"/>
      <w:r>
        <w:rPr>
          <w:rFonts w:ascii="Times New Roman" w:hAnsi="Times New Roman" w:cs="Times New Roman"/>
          <w:sz w:val="20"/>
          <w:szCs w:val="20"/>
        </w:rPr>
        <w:t>Matti</w:t>
      </w:r>
      <w:proofErr w:type="spellEnd"/>
      <w:r>
        <w:rPr>
          <w:rFonts w:ascii="Times New Roman" w:hAnsi="Times New Roman" w:cs="Times New Roman"/>
          <w:sz w:val="20"/>
          <w:szCs w:val="20"/>
        </w:rPr>
        <w:t xml:space="preserve"> PV, </w:t>
      </w:r>
      <w:proofErr w:type="spellStart"/>
      <w:r>
        <w:rPr>
          <w:rFonts w:ascii="Times New Roman" w:hAnsi="Times New Roman" w:cs="Times New Roman"/>
          <w:sz w:val="20"/>
          <w:szCs w:val="20"/>
        </w:rPr>
        <w:t>Guruprasad</w:t>
      </w:r>
      <w:proofErr w:type="spellEnd"/>
      <w:r>
        <w:rPr>
          <w:rFonts w:ascii="Times New Roman" w:hAnsi="Times New Roman" w:cs="Times New Roman"/>
          <w:sz w:val="20"/>
          <w:szCs w:val="20"/>
        </w:rPr>
        <w:t xml:space="preserve"> SG, </w:t>
      </w:r>
      <w:proofErr w:type="spellStart"/>
      <w:r>
        <w:rPr>
          <w:rFonts w:ascii="Times New Roman" w:hAnsi="Times New Roman" w:cs="Times New Roman"/>
          <w:sz w:val="20"/>
          <w:szCs w:val="20"/>
        </w:rPr>
        <w:t>Hirekurubar</w:t>
      </w:r>
      <w:proofErr w:type="spellEnd"/>
      <w:r>
        <w:rPr>
          <w:rFonts w:ascii="Times New Roman" w:hAnsi="Times New Roman" w:cs="Times New Roman"/>
          <w:sz w:val="20"/>
          <w:szCs w:val="20"/>
        </w:rPr>
        <w:t xml:space="preserve"> RB, </w:t>
      </w:r>
      <w:proofErr w:type="spellStart"/>
      <w:r>
        <w:rPr>
          <w:rFonts w:ascii="Times New Roman" w:hAnsi="Times New Roman" w:cs="Times New Roman"/>
          <w:sz w:val="20"/>
          <w:szCs w:val="20"/>
        </w:rPr>
        <w:t>Shaila</w:t>
      </w:r>
      <w:proofErr w:type="spellEnd"/>
      <w:r>
        <w:rPr>
          <w:rFonts w:ascii="Times New Roman" w:hAnsi="Times New Roman" w:cs="Times New Roman"/>
          <w:sz w:val="20"/>
          <w:szCs w:val="20"/>
        </w:rPr>
        <w:t xml:space="preserve"> HM, Vandal NB. 2009. </w:t>
      </w:r>
      <w:proofErr w:type="spellStart"/>
      <w:r>
        <w:rPr>
          <w:rFonts w:ascii="Times New Roman" w:hAnsi="Times New Roman" w:cs="Times New Roman"/>
          <w:sz w:val="20"/>
          <w:szCs w:val="20"/>
        </w:rPr>
        <w:t>Bioefficacy</w:t>
      </w:r>
      <w:proofErr w:type="spellEnd"/>
      <w:r>
        <w:rPr>
          <w:rFonts w:ascii="Times New Roman" w:hAnsi="Times New Roman" w:cs="Times New Roman"/>
          <w:sz w:val="20"/>
          <w:szCs w:val="20"/>
        </w:rPr>
        <w:t xml:space="preserve"> of new molecule </w:t>
      </w:r>
      <w:proofErr w:type="spellStart"/>
      <w:r>
        <w:rPr>
          <w:rFonts w:ascii="Times New Roman" w:hAnsi="Times New Roman" w:cs="Times New Roman"/>
          <w:sz w:val="20"/>
          <w:szCs w:val="20"/>
        </w:rPr>
        <w:t>fipronil</w:t>
      </w:r>
      <w:proofErr w:type="spellEnd"/>
      <w:r>
        <w:rPr>
          <w:rFonts w:ascii="Times New Roman" w:hAnsi="Times New Roman" w:cs="Times New Roman"/>
          <w:sz w:val="20"/>
          <w:szCs w:val="20"/>
        </w:rPr>
        <w:t xml:space="preserve"> 5% SC against sucking pest complex in </w:t>
      </w:r>
      <w:proofErr w:type="spellStart"/>
      <w:r>
        <w:rPr>
          <w:rFonts w:ascii="Times New Roman" w:hAnsi="Times New Roman" w:cs="Times New Roman"/>
          <w:sz w:val="20"/>
          <w:szCs w:val="20"/>
        </w:rPr>
        <w:t>Bt</w:t>
      </w:r>
      <w:proofErr w:type="spellEnd"/>
      <w:r>
        <w:rPr>
          <w:rFonts w:ascii="Times New Roman" w:hAnsi="Times New Roman" w:cs="Times New Roman"/>
          <w:sz w:val="20"/>
          <w:szCs w:val="20"/>
        </w:rPr>
        <w:t xml:space="preserve"> cotton. Karnataka J. Agric. Sci. 22: 1029-1031.</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Pena JE, </w:t>
      </w:r>
      <w:proofErr w:type="spellStart"/>
      <w:r>
        <w:rPr>
          <w:rFonts w:ascii="Times New Roman" w:hAnsi="Times New Roman" w:cs="Times New Roman"/>
          <w:sz w:val="20"/>
          <w:szCs w:val="20"/>
        </w:rPr>
        <w:t>Mohyuddin</w:t>
      </w:r>
      <w:proofErr w:type="spellEnd"/>
      <w:r>
        <w:rPr>
          <w:rFonts w:ascii="Times New Roman" w:hAnsi="Times New Roman" w:cs="Times New Roman"/>
          <w:sz w:val="20"/>
          <w:szCs w:val="20"/>
        </w:rPr>
        <w:t xml:space="preserve"> AI. and </w:t>
      </w:r>
      <w:proofErr w:type="spellStart"/>
      <w:r>
        <w:rPr>
          <w:rFonts w:ascii="Times New Roman" w:hAnsi="Times New Roman" w:cs="Times New Roman"/>
          <w:sz w:val="20"/>
          <w:szCs w:val="20"/>
        </w:rPr>
        <w:t>Wysok</w:t>
      </w:r>
      <w:proofErr w:type="spellEnd"/>
      <w:r>
        <w:rPr>
          <w:rFonts w:ascii="Times New Roman" w:hAnsi="Times New Roman" w:cs="Times New Roman"/>
          <w:sz w:val="20"/>
          <w:szCs w:val="20"/>
        </w:rPr>
        <w:t xml:space="preserve"> IM. 1998. A review of the pest management situation in mango agroecosystems. </w:t>
      </w:r>
      <w:proofErr w:type="spellStart"/>
      <w:r>
        <w:rPr>
          <w:rFonts w:ascii="Times New Roman" w:hAnsi="Times New Roman" w:cs="Times New Roman"/>
          <w:sz w:val="20"/>
          <w:szCs w:val="20"/>
        </w:rPr>
        <w:t>Phytoparasitica</w:t>
      </w:r>
      <w:proofErr w:type="spellEnd"/>
      <w:r>
        <w:rPr>
          <w:rFonts w:ascii="Times New Roman" w:hAnsi="Times New Roman" w:cs="Times New Roman"/>
          <w:sz w:val="20"/>
          <w:szCs w:val="20"/>
        </w:rPr>
        <w:t>. 26: 129–148</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Prasannath</w:t>
      </w:r>
      <w:proofErr w:type="spellEnd"/>
      <w:r>
        <w:rPr>
          <w:rFonts w:ascii="Times New Roman" w:hAnsi="Times New Roman" w:cs="Times New Roman"/>
          <w:sz w:val="20"/>
          <w:szCs w:val="20"/>
        </w:rPr>
        <w:t xml:space="preserve"> K. 2016. Botanical insecticides - special reference to Horticultural insect pest management: A Review, Eastern University, Sri Lanka, International Journal of Advanced Research and Review. 1(5):14 – 18.</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Robson JD, Wright MG, </w:t>
      </w:r>
      <w:proofErr w:type="spellStart"/>
      <w:r>
        <w:rPr>
          <w:rFonts w:ascii="Times New Roman" w:hAnsi="Times New Roman" w:cs="Times New Roman"/>
          <w:sz w:val="20"/>
          <w:szCs w:val="20"/>
        </w:rPr>
        <w:t>Almedia</w:t>
      </w:r>
      <w:proofErr w:type="spellEnd"/>
      <w:r>
        <w:rPr>
          <w:rFonts w:ascii="Times New Roman" w:hAnsi="Times New Roman" w:cs="Times New Roman"/>
          <w:sz w:val="20"/>
          <w:szCs w:val="20"/>
        </w:rPr>
        <w:t xml:space="preserve"> RPP. 2007. Effect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 foliar treatment and banana leaf age on </w:t>
      </w:r>
      <w:proofErr w:type="spellStart"/>
      <w:r>
        <w:rPr>
          <w:rFonts w:ascii="Times New Roman" w:hAnsi="Times New Roman" w:cs="Times New Roman"/>
          <w:sz w:val="20"/>
          <w:szCs w:val="20"/>
        </w:rPr>
        <w:t>Pentalonia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nigronervosa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Hemiptera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Aphididae</w:t>
      </w:r>
      <w:proofErr w:type="spellEnd"/>
      <w:r>
        <w:rPr>
          <w:rFonts w:ascii="Times New Roman" w:hAnsi="Times New Roman" w:cs="Times New Roman"/>
          <w:sz w:val="20"/>
          <w:szCs w:val="20"/>
        </w:rPr>
        <w:t>) survival. New Zealand J. Crop. Hort. Sci. 35: 415-422.</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SAS. 2009. What’s New in SAS@ 9.2. SAS Institute Inc. Cary, North Carolina, USA. 384.</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gramStart"/>
      <w:r>
        <w:rPr>
          <w:rFonts w:ascii="Times New Roman" w:hAnsi="Times New Roman" w:cs="Times New Roman"/>
          <w:sz w:val="20"/>
          <w:szCs w:val="20"/>
        </w:rPr>
        <w:t>SRA(</w:t>
      </w:r>
      <w:proofErr w:type="gramEnd"/>
      <w:r>
        <w:rPr>
          <w:rFonts w:ascii="Times New Roman" w:hAnsi="Times New Roman" w:cs="Times New Roman"/>
          <w:sz w:val="20"/>
          <w:szCs w:val="20"/>
        </w:rPr>
        <w:t>Small Research Activity Report).2006. Assessment of mango diseases, pest and production problems in Pakistan. Department of primary industries and fisheries, Queensland. 29.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Swaminathan</w:t>
      </w:r>
      <w:proofErr w:type="spellEnd"/>
      <w:r>
        <w:rPr>
          <w:rFonts w:ascii="Times New Roman" w:hAnsi="Times New Roman" w:cs="Times New Roman"/>
          <w:sz w:val="20"/>
          <w:szCs w:val="20"/>
        </w:rPr>
        <w:t xml:space="preserve"> VR, </w:t>
      </w:r>
      <w:proofErr w:type="spellStart"/>
      <w:r>
        <w:rPr>
          <w:rFonts w:ascii="Times New Roman" w:hAnsi="Times New Roman" w:cs="Times New Roman"/>
          <w:sz w:val="20"/>
          <w:szCs w:val="20"/>
        </w:rPr>
        <w:t>Sanguttuvan</w:t>
      </w:r>
      <w:proofErr w:type="spellEnd"/>
      <w:r>
        <w:rPr>
          <w:rFonts w:ascii="Times New Roman" w:hAnsi="Times New Roman" w:cs="Times New Roman"/>
          <w:sz w:val="20"/>
          <w:szCs w:val="20"/>
        </w:rPr>
        <w:t xml:space="preserve"> T and </w:t>
      </w:r>
      <w:proofErr w:type="spellStart"/>
      <w:r>
        <w:rPr>
          <w:rFonts w:ascii="Times New Roman" w:hAnsi="Times New Roman" w:cs="Times New Roman"/>
          <w:sz w:val="20"/>
          <w:szCs w:val="20"/>
        </w:rPr>
        <w:t>Gajendran</w:t>
      </w:r>
      <w:proofErr w:type="spellEnd"/>
      <w:r>
        <w:rPr>
          <w:rFonts w:ascii="Times New Roman" w:hAnsi="Times New Roman" w:cs="Times New Roman"/>
          <w:sz w:val="20"/>
          <w:szCs w:val="20"/>
        </w:rPr>
        <w:t xml:space="preserve"> G. 2010. Combined efficacy of neem and insecticides against </w:t>
      </w:r>
      <w:proofErr w:type="spellStart"/>
      <w:r>
        <w:rPr>
          <w:rFonts w:ascii="Times New Roman" w:hAnsi="Times New Roman" w:cs="Times New Roman"/>
          <w:sz w:val="20"/>
          <w:szCs w:val="20"/>
        </w:rPr>
        <w:t>brinjal</w:t>
      </w:r>
      <w:proofErr w:type="spellEnd"/>
      <w:r>
        <w:rPr>
          <w:rFonts w:ascii="Times New Roman" w:hAnsi="Times New Roman" w:cs="Times New Roman"/>
          <w:sz w:val="20"/>
          <w:szCs w:val="20"/>
        </w:rPr>
        <w:t xml:space="preserve"> mealy bug, </w:t>
      </w:r>
      <w:proofErr w:type="spellStart"/>
      <w:r>
        <w:rPr>
          <w:rFonts w:ascii="Times New Roman" w:hAnsi="Times New Roman" w:cs="Times New Roman"/>
          <w:sz w:val="20"/>
          <w:szCs w:val="20"/>
        </w:rPr>
        <w:t>Coccidohystrix</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insolita</w:t>
      </w:r>
      <w:proofErr w:type="spellEnd"/>
      <w:r>
        <w:rPr>
          <w:rFonts w:ascii="Times New Roman" w:hAnsi="Times New Roman" w:cs="Times New Roman"/>
          <w:sz w:val="20"/>
          <w:szCs w:val="20"/>
        </w:rPr>
        <w:t xml:space="preserve"> (Green). Madras Agric. J. 97 (7): 273-274.</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Shi X, Jiang L, Wang H, </w:t>
      </w:r>
      <w:proofErr w:type="spellStart"/>
      <w:r>
        <w:rPr>
          <w:rFonts w:ascii="Times New Roman" w:hAnsi="Times New Roman" w:cs="Times New Roman"/>
          <w:sz w:val="20"/>
          <w:szCs w:val="20"/>
        </w:rPr>
        <w:t>Qiao</w:t>
      </w:r>
      <w:proofErr w:type="spellEnd"/>
      <w:r>
        <w:rPr>
          <w:rFonts w:ascii="Times New Roman" w:hAnsi="Times New Roman" w:cs="Times New Roman"/>
          <w:sz w:val="20"/>
          <w:szCs w:val="20"/>
        </w:rPr>
        <w:t xml:space="preserve"> K, Wang D, Wang </w:t>
      </w:r>
      <w:proofErr w:type="gramStart"/>
      <w:r>
        <w:rPr>
          <w:rFonts w:ascii="Times New Roman" w:hAnsi="Times New Roman" w:cs="Times New Roman"/>
          <w:sz w:val="20"/>
          <w:szCs w:val="20"/>
        </w:rPr>
        <w:t>K .</w:t>
      </w:r>
      <w:proofErr w:type="gramEnd"/>
      <w:r>
        <w:rPr>
          <w:rFonts w:ascii="Times New Roman" w:hAnsi="Times New Roman" w:cs="Times New Roman"/>
          <w:sz w:val="20"/>
          <w:szCs w:val="20"/>
        </w:rPr>
        <w:t xml:space="preserve"> 2011. Toxicities and </w:t>
      </w:r>
      <w:proofErr w:type="spellStart"/>
      <w:r>
        <w:rPr>
          <w:rFonts w:ascii="Times New Roman" w:hAnsi="Times New Roman" w:cs="Times New Roman"/>
          <w:sz w:val="20"/>
          <w:szCs w:val="20"/>
        </w:rPr>
        <w:t>sublethal</w:t>
      </w:r>
      <w:proofErr w:type="spellEnd"/>
      <w:r>
        <w:rPr>
          <w:rFonts w:ascii="Times New Roman" w:hAnsi="Times New Roman" w:cs="Times New Roman"/>
          <w:sz w:val="20"/>
          <w:szCs w:val="20"/>
        </w:rPr>
        <w:t xml:space="preserve"> effects of seven neonicotinoid insecticides on survival, growth and reproduction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xml:space="preserve">-resistant cotton aphid, Aphis </w:t>
      </w:r>
      <w:proofErr w:type="spellStart"/>
      <w:r>
        <w:rPr>
          <w:rFonts w:ascii="Times New Roman" w:hAnsi="Times New Roman" w:cs="Times New Roman"/>
          <w:sz w:val="20"/>
          <w:szCs w:val="20"/>
        </w:rPr>
        <w:t>gossypii</w:t>
      </w:r>
      <w:proofErr w:type="spellEnd"/>
      <w:r>
        <w:rPr>
          <w:rFonts w:ascii="Times New Roman" w:hAnsi="Times New Roman" w:cs="Times New Roman"/>
          <w:sz w:val="20"/>
          <w:szCs w:val="20"/>
        </w:rPr>
        <w:t xml:space="preserve">. Pest </w:t>
      </w:r>
      <w:proofErr w:type="spellStart"/>
      <w:r>
        <w:rPr>
          <w:rFonts w:ascii="Times New Roman" w:hAnsi="Times New Roman" w:cs="Times New Roman"/>
          <w:sz w:val="20"/>
          <w:szCs w:val="20"/>
        </w:rPr>
        <w:t>Manag</w:t>
      </w:r>
      <w:proofErr w:type="spellEnd"/>
      <w:r>
        <w:rPr>
          <w:rFonts w:ascii="Times New Roman" w:hAnsi="Times New Roman" w:cs="Times New Roman"/>
          <w:sz w:val="20"/>
          <w:szCs w:val="20"/>
        </w:rPr>
        <w:t>. Sci. 67: 1528-1533.</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 xml:space="preserve">Tiwari R and </w:t>
      </w:r>
      <w:proofErr w:type="spellStart"/>
      <w:r>
        <w:rPr>
          <w:rFonts w:ascii="Times New Roman" w:hAnsi="Times New Roman" w:cs="Times New Roman"/>
          <w:sz w:val="20"/>
          <w:szCs w:val="20"/>
        </w:rPr>
        <w:t>Baghel</w:t>
      </w:r>
      <w:proofErr w:type="spellEnd"/>
      <w:r>
        <w:rPr>
          <w:rFonts w:ascii="Times New Roman" w:hAnsi="Times New Roman" w:cs="Times New Roman"/>
          <w:sz w:val="20"/>
          <w:szCs w:val="20"/>
        </w:rPr>
        <w:t xml:space="preserve"> BS. 2014. Effect of intercropping on plant and soil of </w:t>
      </w:r>
      <w:proofErr w:type="spellStart"/>
      <w:r>
        <w:rPr>
          <w:rFonts w:ascii="Times New Roman" w:hAnsi="Times New Roman" w:cs="Times New Roman"/>
          <w:sz w:val="20"/>
          <w:szCs w:val="20"/>
        </w:rPr>
        <w:t>Dashehari</w:t>
      </w:r>
      <w:proofErr w:type="spellEnd"/>
      <w:r>
        <w:rPr>
          <w:rFonts w:ascii="Times New Roman" w:hAnsi="Times New Roman" w:cs="Times New Roman"/>
          <w:sz w:val="20"/>
          <w:szCs w:val="20"/>
        </w:rPr>
        <w:t xml:space="preserve"> mango orchard under low productive environments. Asian Journal of Horticulture 9(2):439-442.</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Ubwa</w:t>
      </w:r>
      <w:proofErr w:type="spellEnd"/>
      <w:r>
        <w:rPr>
          <w:rFonts w:ascii="Times New Roman" w:hAnsi="Times New Roman" w:cs="Times New Roman"/>
          <w:sz w:val="20"/>
          <w:szCs w:val="20"/>
        </w:rPr>
        <w:t xml:space="preserve"> ST, </w:t>
      </w:r>
      <w:proofErr w:type="spellStart"/>
      <w:r>
        <w:rPr>
          <w:rFonts w:ascii="Times New Roman" w:hAnsi="Times New Roman" w:cs="Times New Roman"/>
          <w:sz w:val="20"/>
          <w:szCs w:val="20"/>
        </w:rPr>
        <w:t>Ishu</w:t>
      </w:r>
      <w:proofErr w:type="spellEnd"/>
      <w:r>
        <w:rPr>
          <w:rFonts w:ascii="Times New Roman" w:hAnsi="Times New Roman" w:cs="Times New Roman"/>
          <w:sz w:val="20"/>
          <w:szCs w:val="20"/>
        </w:rPr>
        <w:t xml:space="preserve"> MO, </w:t>
      </w:r>
      <w:proofErr w:type="spellStart"/>
      <w:r>
        <w:rPr>
          <w:rFonts w:ascii="Times New Roman" w:hAnsi="Times New Roman" w:cs="Times New Roman"/>
          <w:sz w:val="20"/>
          <w:szCs w:val="20"/>
        </w:rPr>
        <w:t>Offem</w:t>
      </w:r>
      <w:proofErr w:type="spellEnd"/>
      <w:r>
        <w:rPr>
          <w:rFonts w:ascii="Times New Roman" w:hAnsi="Times New Roman" w:cs="Times New Roman"/>
          <w:sz w:val="20"/>
          <w:szCs w:val="20"/>
        </w:rPr>
        <w:t xml:space="preserve"> JO, </w:t>
      </w:r>
      <w:proofErr w:type="spellStart"/>
      <w:r>
        <w:rPr>
          <w:rFonts w:ascii="Times New Roman" w:hAnsi="Times New Roman" w:cs="Times New Roman"/>
          <w:sz w:val="20"/>
          <w:szCs w:val="20"/>
        </w:rPr>
        <w:t>Tyohemba</w:t>
      </w:r>
      <w:proofErr w:type="spellEnd"/>
      <w:r>
        <w:rPr>
          <w:rFonts w:ascii="Times New Roman" w:hAnsi="Times New Roman" w:cs="Times New Roman"/>
          <w:sz w:val="20"/>
          <w:szCs w:val="20"/>
        </w:rPr>
        <w:t xml:space="preserve"> RL. and </w:t>
      </w:r>
      <w:proofErr w:type="spellStart"/>
      <w:r>
        <w:rPr>
          <w:rFonts w:ascii="Times New Roman" w:hAnsi="Times New Roman" w:cs="Times New Roman"/>
          <w:sz w:val="20"/>
          <w:szCs w:val="20"/>
        </w:rPr>
        <w:t>Igbum</w:t>
      </w:r>
      <w:proofErr w:type="spellEnd"/>
      <w:r>
        <w:rPr>
          <w:rFonts w:ascii="Times New Roman" w:hAnsi="Times New Roman" w:cs="Times New Roman"/>
          <w:sz w:val="20"/>
          <w:szCs w:val="20"/>
        </w:rPr>
        <w:t xml:space="preserve"> GO. 2014. Proximate composition and some physical attribute of three mangos (</w:t>
      </w:r>
      <w:proofErr w:type="spellStart"/>
      <w:r>
        <w:rPr>
          <w:rFonts w:ascii="Times New Roman" w:hAnsi="Times New Roman" w:cs="Times New Roman"/>
          <w:sz w:val="20"/>
          <w:szCs w:val="20"/>
        </w:rPr>
        <w:t>Mangifera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indica</w:t>
      </w:r>
      <w:proofErr w:type="spellEnd"/>
      <w:r>
        <w:rPr>
          <w:rFonts w:ascii="Times New Roman" w:hAnsi="Times New Roman" w:cs="Times New Roman"/>
          <w:sz w:val="20"/>
          <w:szCs w:val="20"/>
        </w:rPr>
        <w:t xml:space="preserve"> L.) fruit varieties. International Journal of Agronomy and Agricultural Research. 4 (2): 21–29.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gramStart"/>
      <w:r>
        <w:rPr>
          <w:rFonts w:ascii="Times New Roman" w:hAnsi="Times New Roman" w:cs="Times New Roman"/>
          <w:sz w:val="20"/>
          <w:szCs w:val="20"/>
        </w:rPr>
        <w:t>USDA(</w:t>
      </w:r>
      <w:proofErr w:type="gramEnd"/>
      <w:r>
        <w:rPr>
          <w:rFonts w:ascii="Times New Roman" w:hAnsi="Times New Roman" w:cs="Times New Roman"/>
          <w:sz w:val="20"/>
          <w:szCs w:val="20"/>
        </w:rPr>
        <w:t xml:space="preserve">United States Department of Agriculture).2006. Importation of Fresh Mango </w:t>
      </w:r>
      <w:bookmarkStart w:id="0" w:name="_GoBack"/>
      <w:bookmarkEnd w:id="0"/>
      <w:r>
        <w:rPr>
          <w:rFonts w:ascii="Times New Roman" w:hAnsi="Times New Roman" w:cs="Times New Roman"/>
          <w:sz w:val="20"/>
          <w:szCs w:val="20"/>
        </w:rPr>
        <w:t>Fruit (</w:t>
      </w:r>
      <w:proofErr w:type="spellStart"/>
      <w:r>
        <w:rPr>
          <w:rFonts w:ascii="Times New Roman" w:hAnsi="Times New Roman" w:cs="Times New Roman"/>
          <w:sz w:val="20"/>
          <w:szCs w:val="20"/>
        </w:rPr>
        <w:t>Mangifera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indica</w:t>
      </w:r>
      <w:proofErr w:type="spellEnd"/>
      <w:r>
        <w:rPr>
          <w:rFonts w:ascii="Times New Roman" w:hAnsi="Times New Roman" w:cs="Times New Roman"/>
          <w:sz w:val="20"/>
          <w:szCs w:val="20"/>
        </w:rPr>
        <w:t xml:space="preserve"> L.) from India into the Continental United States: </w:t>
      </w: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Qualitative, Pathway-Initiated Pest Risk Assessment. United States Department of Agriculture Animal and Plant Health Inspection Service, Plant Protection and Quarantine, Raleigh, North Carolina, U.S.A. 90.</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gramStart"/>
      <w:r>
        <w:rPr>
          <w:rFonts w:ascii="Times New Roman" w:hAnsi="Times New Roman" w:cs="Times New Roman"/>
          <w:sz w:val="20"/>
          <w:szCs w:val="20"/>
        </w:rPr>
        <w:lastRenderedPageBreak/>
        <w:t>USDA(</w:t>
      </w:r>
      <w:proofErr w:type="gramEnd"/>
      <w:r>
        <w:rPr>
          <w:rFonts w:ascii="Times New Roman" w:hAnsi="Times New Roman" w:cs="Times New Roman"/>
          <w:sz w:val="20"/>
          <w:szCs w:val="20"/>
        </w:rPr>
        <w:t xml:space="preserve">United States Department of Agriculture).2007. Evidence-based, Pathway-Initiated Risk Assessment of the Importation of Fresh </w:t>
      </w:r>
      <w:proofErr w:type="spellStart"/>
      <w:r>
        <w:rPr>
          <w:rFonts w:ascii="Times New Roman" w:hAnsi="Times New Roman" w:cs="Times New Roman"/>
          <w:sz w:val="20"/>
          <w:szCs w:val="20"/>
        </w:rPr>
        <w:t>Longan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Dimocarpus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longan</w:t>
      </w:r>
      <w:proofErr w:type="spellEnd"/>
      <w:r>
        <w:rPr>
          <w:rFonts w:ascii="Times New Roman" w:hAnsi="Times New Roman" w:cs="Times New Roman"/>
          <w:sz w:val="20"/>
          <w:szCs w:val="20"/>
        </w:rPr>
        <w:t xml:space="preserve"> Lour. From Taiwan into the United States. United States Department of Agriculture Animal and Plant Health Inspection Service, Plant Protection and Quarantine, Raleigh, North Carolina, U.S.A. 113.</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Vayssières</w:t>
      </w:r>
      <w:proofErr w:type="spellEnd"/>
      <w:r>
        <w:rPr>
          <w:rFonts w:ascii="Times New Roman" w:hAnsi="Times New Roman" w:cs="Times New Roman"/>
          <w:sz w:val="20"/>
          <w:szCs w:val="20"/>
        </w:rPr>
        <w:t xml:space="preserve"> JF, </w:t>
      </w:r>
      <w:proofErr w:type="spellStart"/>
      <w:r>
        <w:rPr>
          <w:rFonts w:ascii="Times New Roman" w:hAnsi="Times New Roman" w:cs="Times New Roman"/>
          <w:sz w:val="20"/>
          <w:szCs w:val="20"/>
        </w:rPr>
        <w:t>Sinzogan</w:t>
      </w:r>
      <w:proofErr w:type="spellEnd"/>
      <w:r>
        <w:rPr>
          <w:rFonts w:ascii="Times New Roman" w:hAnsi="Times New Roman" w:cs="Times New Roman"/>
          <w:sz w:val="20"/>
          <w:szCs w:val="20"/>
        </w:rPr>
        <w:t xml:space="preserve"> AAC, </w:t>
      </w:r>
      <w:proofErr w:type="spellStart"/>
      <w:r>
        <w:rPr>
          <w:rFonts w:ascii="Times New Roman" w:hAnsi="Times New Roman" w:cs="Times New Roman"/>
          <w:sz w:val="20"/>
          <w:szCs w:val="20"/>
        </w:rPr>
        <w:t>Adandonon</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Coulibaly</w:t>
      </w:r>
      <w:proofErr w:type="spellEnd"/>
      <w:r>
        <w:rPr>
          <w:rFonts w:ascii="Times New Roman" w:hAnsi="Times New Roman" w:cs="Times New Roman"/>
          <w:sz w:val="20"/>
          <w:szCs w:val="20"/>
        </w:rPr>
        <w:t xml:space="preserve"> O, </w:t>
      </w:r>
      <w:proofErr w:type="spellStart"/>
      <w:r>
        <w:rPr>
          <w:rFonts w:ascii="Times New Roman" w:hAnsi="Times New Roman" w:cs="Times New Roman"/>
          <w:sz w:val="20"/>
          <w:szCs w:val="20"/>
        </w:rPr>
        <w:t>Bokonon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Ganta</w:t>
      </w:r>
      <w:proofErr w:type="spellEnd"/>
      <w:r>
        <w:rPr>
          <w:rFonts w:ascii="Times New Roman" w:hAnsi="Times New Roman" w:cs="Times New Roman"/>
          <w:sz w:val="20"/>
          <w:szCs w:val="20"/>
        </w:rPr>
        <w:t xml:space="preserve"> A. 2012. In: (Eds.) </w:t>
      </w:r>
      <w:proofErr w:type="spellStart"/>
      <w:r>
        <w:rPr>
          <w:rFonts w:ascii="Times New Roman" w:hAnsi="Times New Roman" w:cs="Times New Roman"/>
          <w:sz w:val="20"/>
          <w:szCs w:val="20"/>
        </w:rPr>
        <w:t>Sudha</w:t>
      </w:r>
      <w:proofErr w:type="spellEnd"/>
      <w:r>
        <w:rPr>
          <w:rFonts w:ascii="Times New Roman" w:hAnsi="Times New Roman" w:cs="Times New Roman"/>
          <w:sz w:val="20"/>
          <w:szCs w:val="20"/>
        </w:rPr>
        <w:t xml:space="preserve"> G </w:t>
      </w:r>
      <w:proofErr w:type="spellStart"/>
      <w:r>
        <w:rPr>
          <w:rFonts w:ascii="Times New Roman" w:hAnsi="Times New Roman" w:cs="Times New Roman"/>
          <w:sz w:val="20"/>
          <w:szCs w:val="20"/>
        </w:rPr>
        <w:t>Valavi</w:t>
      </w:r>
      <w:proofErr w:type="spellEnd"/>
      <w:r>
        <w:rPr>
          <w:rFonts w:ascii="Times New Roman" w:hAnsi="Times New Roman" w:cs="Times New Roman"/>
          <w:sz w:val="20"/>
          <w:szCs w:val="20"/>
        </w:rPr>
        <w:t xml:space="preserve">, K </w:t>
      </w:r>
      <w:proofErr w:type="spellStart"/>
      <w:r>
        <w:rPr>
          <w:rFonts w:ascii="Times New Roman" w:hAnsi="Times New Roman" w:cs="Times New Roman"/>
          <w:sz w:val="20"/>
          <w:szCs w:val="20"/>
        </w:rPr>
        <w:t>Rajmohan</w:t>
      </w:r>
      <w:proofErr w:type="spellEnd"/>
      <w:r>
        <w:rPr>
          <w:rFonts w:ascii="Times New Roman" w:hAnsi="Times New Roman" w:cs="Times New Roman"/>
          <w:sz w:val="20"/>
          <w:szCs w:val="20"/>
        </w:rPr>
        <w:t xml:space="preserve">, JN </w:t>
      </w:r>
      <w:proofErr w:type="spellStart"/>
      <w:r>
        <w:rPr>
          <w:rFonts w:ascii="Times New Roman" w:hAnsi="Times New Roman" w:cs="Times New Roman"/>
          <w:sz w:val="20"/>
          <w:szCs w:val="20"/>
        </w:rPr>
        <w:t>Govil</w:t>
      </w:r>
      <w:proofErr w:type="spellEnd"/>
      <w:r>
        <w:rPr>
          <w:rFonts w:ascii="Times New Roman" w:hAnsi="Times New Roman" w:cs="Times New Roman"/>
          <w:sz w:val="20"/>
          <w:szCs w:val="20"/>
        </w:rPr>
        <w:t xml:space="preserve">, KV Peter and George </w:t>
      </w:r>
      <w:proofErr w:type="spellStart"/>
      <w:r>
        <w:rPr>
          <w:rFonts w:ascii="Times New Roman" w:hAnsi="Times New Roman" w:cs="Times New Roman"/>
          <w:sz w:val="20"/>
          <w:szCs w:val="20"/>
        </w:rPr>
        <w:t>Thottappilly</w:t>
      </w:r>
      <w:proofErr w:type="spellEnd"/>
      <w:r>
        <w:rPr>
          <w:rFonts w:ascii="Times New Roman" w:hAnsi="Times New Roman" w:cs="Times New Roman"/>
          <w:sz w:val="20"/>
          <w:szCs w:val="20"/>
        </w:rPr>
        <w:t xml:space="preserve">. Mango vol. 2: cultivation in different countries. Houston: </w:t>
      </w:r>
      <w:proofErr w:type="spellStart"/>
      <w:r>
        <w:rPr>
          <w:rFonts w:ascii="Times New Roman" w:hAnsi="Times New Roman" w:cs="Times New Roman"/>
          <w:sz w:val="20"/>
          <w:szCs w:val="20"/>
        </w:rPr>
        <w:t>Studium</w:t>
      </w:r>
      <w:proofErr w:type="spellEnd"/>
      <w:r>
        <w:rPr>
          <w:rFonts w:ascii="Times New Roman" w:hAnsi="Times New Roman" w:cs="Times New Roman"/>
          <w:sz w:val="20"/>
          <w:szCs w:val="20"/>
        </w:rPr>
        <w:t xml:space="preserve"> Press LLC.260-279.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Verghese</w:t>
      </w:r>
      <w:proofErr w:type="spellEnd"/>
      <w:r>
        <w:rPr>
          <w:rFonts w:ascii="Times New Roman" w:hAnsi="Times New Roman" w:cs="Times New Roman"/>
          <w:sz w:val="20"/>
          <w:szCs w:val="20"/>
        </w:rPr>
        <w:t xml:space="preserve"> A. 2000. Effect of </w:t>
      </w:r>
      <w:proofErr w:type="spellStart"/>
      <w:r>
        <w:rPr>
          <w:rFonts w:ascii="Times New Roman" w:hAnsi="Times New Roman" w:cs="Times New Roman"/>
          <w:sz w:val="20"/>
          <w:szCs w:val="20"/>
        </w:rPr>
        <w:t>imidacloprid</w:t>
      </w:r>
      <w:proofErr w:type="spellEnd"/>
      <w:r>
        <w:rPr>
          <w:rFonts w:ascii="Times New Roman" w:hAnsi="Times New Roman" w:cs="Times New Roman"/>
          <w:sz w:val="20"/>
          <w:szCs w:val="20"/>
        </w:rPr>
        <w:t>, lambda-</w:t>
      </w:r>
      <w:proofErr w:type="spellStart"/>
      <w:r>
        <w:rPr>
          <w:rFonts w:ascii="Times New Roman" w:hAnsi="Times New Roman" w:cs="Times New Roman"/>
          <w:sz w:val="20"/>
          <w:szCs w:val="20"/>
        </w:rPr>
        <w:t>cyhalothrin</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azadirachtin</w:t>
      </w:r>
      <w:proofErr w:type="spellEnd"/>
      <w:r>
        <w:rPr>
          <w:rFonts w:ascii="Times New Roman" w:hAnsi="Times New Roman" w:cs="Times New Roman"/>
          <w:sz w:val="20"/>
          <w:szCs w:val="20"/>
        </w:rPr>
        <w:t xml:space="preserve"> on the mango hopper, </w:t>
      </w:r>
      <w:proofErr w:type="spellStart"/>
      <w:r>
        <w:rPr>
          <w:rFonts w:ascii="Times New Roman" w:hAnsi="Times New Roman" w:cs="Times New Roman"/>
          <w:sz w:val="20"/>
          <w:szCs w:val="20"/>
        </w:rPr>
        <w:t>Idioscopus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niveosparsus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Leth</w:t>
      </w:r>
      <w:proofErr w:type="spellEnd"/>
      <w:r>
        <w:rPr>
          <w:rFonts w:ascii="Times New Roman" w:hAnsi="Times New Roman" w:cs="Times New Roman"/>
          <w:sz w:val="20"/>
          <w:szCs w:val="20"/>
        </w:rPr>
        <w:t>. (</w:t>
      </w:r>
      <w:proofErr w:type="spellStart"/>
      <w:r>
        <w:rPr>
          <w:rFonts w:ascii="Times New Roman" w:hAnsi="Times New Roman" w:cs="Times New Roman"/>
          <w:sz w:val="20"/>
          <w:szCs w:val="20"/>
        </w:rPr>
        <w:t>Homoptera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Cicadellidae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Acta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Hort</w:t>
      </w:r>
      <w:proofErr w:type="spellEnd"/>
      <w:r>
        <w:rPr>
          <w:rFonts w:ascii="Times New Roman" w:hAnsi="Times New Roman" w:cs="Times New Roman"/>
          <w:sz w:val="20"/>
          <w:szCs w:val="20"/>
        </w:rPr>
        <w:t>, 509(2): 733-736.</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Williams B, Jocelyn E, Hernani G, Oscar S, Ernesto O, Elda B, Terry C, Les B. 2009. Integrated pest management and supply chain improvement for mangoes in the Philippines and Australia. 1-139.</w:t>
      </w:r>
    </w:p>
    <w:p w:rsidR="009C5B70" w:rsidRDefault="006605DA">
      <w:pPr>
        <w:numPr>
          <w:ilvl w:val="0"/>
          <w:numId w:val="2"/>
        </w:numPr>
        <w:snapToGrid w:val="0"/>
        <w:spacing w:after="0" w:line="240" w:lineRule="auto"/>
        <w:ind w:left="363" w:hanging="363"/>
        <w:jc w:val="both"/>
        <w:rPr>
          <w:rFonts w:ascii="Times New Roman" w:hAnsi="Times New Roman" w:cs="Times New Roman"/>
          <w:sz w:val="20"/>
          <w:szCs w:val="20"/>
        </w:rPr>
      </w:pPr>
      <w:proofErr w:type="spellStart"/>
      <w:r>
        <w:rPr>
          <w:rFonts w:ascii="Times New Roman" w:hAnsi="Times New Roman" w:cs="Times New Roman"/>
          <w:sz w:val="20"/>
          <w:szCs w:val="20"/>
        </w:rPr>
        <w:t>Varshney</w:t>
      </w:r>
      <w:proofErr w:type="spellEnd"/>
      <w:r>
        <w:rPr>
          <w:rFonts w:ascii="Times New Roman" w:hAnsi="Times New Roman" w:cs="Times New Roman"/>
          <w:sz w:val="20"/>
          <w:szCs w:val="20"/>
        </w:rPr>
        <w:t xml:space="preserve">, R.K., </w:t>
      </w:r>
      <w:proofErr w:type="spellStart"/>
      <w:r>
        <w:rPr>
          <w:rFonts w:ascii="Times New Roman" w:hAnsi="Times New Roman" w:cs="Times New Roman"/>
          <w:sz w:val="20"/>
          <w:szCs w:val="20"/>
        </w:rPr>
        <w:t>Jadhav</w:t>
      </w:r>
      <w:proofErr w:type="spellEnd"/>
      <w:r>
        <w:rPr>
          <w:rFonts w:ascii="Times New Roman" w:hAnsi="Times New Roman" w:cs="Times New Roman"/>
          <w:sz w:val="20"/>
          <w:szCs w:val="20"/>
        </w:rPr>
        <w:t>, M.J. and Sharma, R.M. 2002. Scale Insects and Mealy Bugs (</w:t>
      </w:r>
      <w:proofErr w:type="spellStart"/>
      <w:r>
        <w:rPr>
          <w:rFonts w:ascii="Times New Roman" w:hAnsi="Times New Roman" w:cs="Times New Roman"/>
          <w:sz w:val="20"/>
          <w:szCs w:val="20"/>
        </w:rPr>
        <w:t>Insecta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Homoptera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Coccoidea</w:t>
      </w:r>
      <w:proofErr w:type="spellEnd"/>
      <w:r>
        <w:rPr>
          <w:rFonts w:ascii="Times New Roman" w:hAnsi="Times New Roman" w:cs="Times New Roman"/>
          <w:sz w:val="20"/>
          <w:szCs w:val="20"/>
        </w:rPr>
        <w:t>). Zoological Survey of India, Pune.49.</w:t>
      </w:r>
    </w:p>
    <w:p w:rsidR="009C5B70" w:rsidRDefault="009C5B70">
      <w:pPr>
        <w:snapToGrid w:val="0"/>
        <w:spacing w:after="0" w:line="240" w:lineRule="auto"/>
        <w:ind w:left="1354" w:hanging="634"/>
        <w:jc w:val="both"/>
        <w:rPr>
          <w:rFonts w:ascii="Times New Roman" w:hAnsi="Times New Roman" w:cs="Times New Roman"/>
          <w:sz w:val="20"/>
          <w:szCs w:val="20"/>
        </w:rPr>
      </w:pPr>
    </w:p>
    <w:p w:rsidR="009C5B70" w:rsidRDefault="006605DA">
      <w:pPr>
        <w:snapToGrid w:val="0"/>
        <w:spacing w:after="0" w:line="240" w:lineRule="auto"/>
        <w:ind w:left="1354" w:hanging="634"/>
        <w:jc w:val="right"/>
        <w:rPr>
          <w:rFonts w:ascii="Times New Roman" w:hAnsi="Times New Roman" w:cs="Times New Roman"/>
          <w:sz w:val="20"/>
          <w:szCs w:val="20"/>
        </w:rPr>
      </w:pPr>
      <w:r>
        <w:rPr>
          <w:rFonts w:ascii="Times New Roman" w:hAnsi="Times New Roman" w:cs="Times New Roman"/>
          <w:sz w:val="20"/>
          <w:szCs w:val="20"/>
        </w:rPr>
        <w:t>8/22/2023</w:t>
      </w:r>
    </w:p>
    <w:sectPr w:rsidR="009C5B70">
      <w:type w:val="continuous"/>
      <w:pgSz w:w="12240" w:h="15839"/>
      <w:pgMar w:top="1440" w:right="1440" w:bottom="1440" w:left="1440" w:header="720" w:footer="720" w:gutter="0"/>
      <w:cols w:num="2" w:space="720" w:equalWidth="0">
        <w:col w:w="4467" w:space="425"/>
        <w:col w:w="4467"/>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36F" w:rsidRDefault="0091236F">
      <w:pPr>
        <w:spacing w:line="240" w:lineRule="auto"/>
      </w:pPr>
      <w:r>
        <w:separator/>
      </w:r>
    </w:p>
  </w:endnote>
  <w:endnote w:type="continuationSeparator" w:id="0">
    <w:p w:rsidR="0091236F" w:rsidRDefault="009123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B70" w:rsidRDefault="0091236F">
    <w:pPr>
      <w:pStyle w:val="Footer"/>
      <w:tabs>
        <w:tab w:val="clear" w:pos="4153"/>
        <w:tab w:val="clear" w:pos="8306"/>
        <w:tab w:val="center" w:pos="4513"/>
        <w:tab w:val="right" w:pos="9026"/>
      </w:tabs>
      <w:spacing w:after="0" w:line="240" w:lineRule="auto"/>
      <w:jc w:val="center"/>
      <w:rPr>
        <w:rFonts w:ascii="Times New Roman" w:hAnsi="Times New Roman" w:cs="Times New Roman"/>
        <w:sz w:val="20"/>
        <w:szCs w:val="20"/>
      </w:rPr>
    </w:pPr>
    <w:sdt>
      <w:sdtPr>
        <w:rPr>
          <w:rFonts w:ascii="Times New Roman" w:hAnsi="Times New Roman" w:cs="Times New Roman"/>
          <w:sz w:val="20"/>
          <w:szCs w:val="20"/>
        </w:rPr>
        <w:id w:val="1082262508"/>
      </w:sdtPr>
      <w:sdtEndPr/>
      <w:sdtContent>
        <w:hyperlink r:id="rId1" w:history="1">
          <w:r w:rsidR="006605DA">
            <w:rPr>
              <w:rStyle w:val="Hyperlink"/>
              <w:rFonts w:ascii="Times New Roman" w:hAnsi="Times New Roman" w:cs="Times New Roman"/>
              <w:sz w:val="20"/>
              <w:szCs w:val="20"/>
            </w:rPr>
            <w:t>http://www.sciencepub.net/researcher</w:t>
          </w:r>
        </w:hyperlink>
        <w:r w:rsidR="006605DA">
          <w:rPr>
            <w:rFonts w:ascii="Times New Roman" w:hAnsi="Times New Roman" w:cs="Times New Roman"/>
            <w:bCs/>
            <w:sz w:val="20"/>
            <w:szCs w:val="20"/>
          </w:rPr>
          <w:t xml:space="preserve">                          </w:t>
        </w:r>
        <w:r w:rsidR="006605DA">
          <w:rPr>
            <w:rFonts w:ascii="Times New Roman" w:hAnsi="Times New Roman" w:cs="Times New Roman"/>
            <w:bCs/>
            <w:sz w:val="20"/>
            <w:szCs w:val="20"/>
            <w:lang w:eastAsia="zh-CN"/>
          </w:rPr>
          <w:t xml:space="preserve">                  </w:t>
        </w:r>
        <w:r w:rsidR="006605DA">
          <w:rPr>
            <w:rFonts w:ascii="Times New Roman" w:hAnsi="Times New Roman" w:cs="Times New Roman"/>
            <w:bCs/>
            <w:sz w:val="20"/>
            <w:szCs w:val="20"/>
          </w:rPr>
          <w:t xml:space="preserve">                         </w:t>
        </w:r>
        <w:hyperlink r:id="rId2" w:history="1">
          <w:r w:rsidR="006605DA">
            <w:rPr>
              <w:rStyle w:val="Hyperlink"/>
              <w:rFonts w:ascii="Times New Roman" w:hAnsi="Times New Roman" w:cs="Times New Roman"/>
              <w:bCs/>
              <w:sz w:val="20"/>
              <w:szCs w:val="20"/>
            </w:rPr>
            <w:t>researcher135@gmail.com</w:t>
          </w:r>
        </w:hyperlink>
      </w:sdtContent>
    </w:sdt>
    <w:r w:rsidR="006605DA">
      <w:rPr>
        <w:rFonts w:ascii="Times New Roman" w:hAnsi="Times New Roman" w:cs="Times New Roman"/>
        <w:noProof/>
        <w:sz w:val="20"/>
        <w:szCs w:val="20"/>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C5B70" w:rsidRDefault="006605DA">
                          <w:pPr>
                            <w:pStyle w:val="Footer"/>
                            <w:tabs>
                              <w:tab w:val="clear" w:pos="4153"/>
                              <w:tab w:val="clear" w:pos="8306"/>
                              <w:tab w:val="center" w:pos="4513"/>
                              <w:tab w:val="right" w:pos="9026"/>
                            </w:tabs>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0C26CE">
                            <w:rPr>
                              <w:rFonts w:ascii="Times New Roman" w:hAnsi="Times New Roman" w:cs="Times New Roman"/>
                              <w:noProof/>
                              <w:sz w:val="20"/>
                              <w:szCs w:val="20"/>
                            </w:rPr>
                            <w:t>32</w:t>
                          </w:r>
                          <w:r>
                            <w:rPr>
                              <w:rFonts w:ascii="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HAIF7q0BAAA/AwAADgAAAAAAAAAAAAAAAAAuAgAAZHJzL2Uyb0RvYy54bWxQSwECLQAUAAYA&#10;CAAAACEADErw7tYAAAAFAQAADwAAAAAAAAAAAAAAAAAHBAAAZHJzL2Rvd25yZXYueG1sUEsFBgAA&#10;AAAEAAQA8wAAAAoFAAAAAA==&#10;" filled="f" stroked="f">
              <v:textbox style="mso-fit-shape-to-text:t" inset="0,0,0,0">
                <w:txbxContent>
                  <w:p w:rsidR="009C5B70" w:rsidRDefault="006605DA">
                    <w:pPr>
                      <w:pStyle w:val="Footer"/>
                      <w:tabs>
                        <w:tab w:val="clear" w:pos="4153"/>
                        <w:tab w:val="clear" w:pos="8306"/>
                        <w:tab w:val="center" w:pos="4513"/>
                        <w:tab w:val="right" w:pos="9026"/>
                      </w:tabs>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0C26CE">
                      <w:rPr>
                        <w:rFonts w:ascii="Times New Roman" w:hAnsi="Times New Roman" w:cs="Times New Roman"/>
                        <w:noProof/>
                        <w:sz w:val="20"/>
                        <w:szCs w:val="20"/>
                      </w:rPr>
                      <w:t>32</w:t>
                    </w:r>
                    <w:r>
                      <w:rPr>
                        <w:rFonts w:ascii="Times New Roman" w:hAnsi="Times New Roman" w:cs="Times New Roman"/>
                        <w:sz w:val="20"/>
                        <w:szCs w:val="20"/>
                      </w:rPr>
                      <w:fldChar w:fldCharType="end"/>
                    </w:r>
                  </w:p>
                </w:txbxContent>
              </v:textbox>
              <w10:wrap anchorx="margin"/>
            </v:shape>
          </w:pict>
        </mc:Fallback>
      </mc:AlternateContent>
    </w:r>
  </w:p>
  <w:p w:rsidR="009C5B70" w:rsidRDefault="009C5B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B70" w:rsidRDefault="0091236F">
    <w:pPr>
      <w:pStyle w:val="Footer"/>
      <w:tabs>
        <w:tab w:val="clear" w:pos="4153"/>
        <w:tab w:val="clear" w:pos="8306"/>
        <w:tab w:val="center" w:pos="4513"/>
        <w:tab w:val="right" w:pos="9026"/>
      </w:tabs>
      <w:spacing w:after="0" w:line="240" w:lineRule="auto"/>
      <w:jc w:val="center"/>
      <w:rPr>
        <w:rFonts w:ascii="Times New Roman" w:hAnsi="Times New Roman" w:cs="Times New Roman"/>
        <w:sz w:val="20"/>
        <w:szCs w:val="20"/>
      </w:rPr>
    </w:pPr>
    <w:sdt>
      <w:sdtPr>
        <w:rPr>
          <w:rFonts w:ascii="Times New Roman" w:hAnsi="Times New Roman" w:cs="Times New Roman"/>
          <w:sz w:val="20"/>
          <w:szCs w:val="20"/>
        </w:rPr>
        <w:id w:val="572758"/>
      </w:sdtPr>
      <w:sdtEndPr/>
      <w:sdtContent>
        <w:hyperlink r:id="rId1" w:history="1">
          <w:r w:rsidR="006605DA">
            <w:rPr>
              <w:rStyle w:val="Hyperlink"/>
              <w:rFonts w:ascii="Times New Roman" w:hAnsi="Times New Roman" w:cs="Times New Roman"/>
              <w:sz w:val="20"/>
              <w:szCs w:val="20"/>
            </w:rPr>
            <w:t>http://www.sciencepub.net/researcher</w:t>
          </w:r>
        </w:hyperlink>
        <w:r w:rsidR="006605DA">
          <w:rPr>
            <w:rFonts w:ascii="Times New Roman" w:hAnsi="Times New Roman" w:cs="Times New Roman"/>
            <w:bCs/>
            <w:sz w:val="20"/>
            <w:szCs w:val="20"/>
          </w:rPr>
          <w:t xml:space="preserve">                          </w:t>
        </w:r>
        <w:r w:rsidR="006605DA">
          <w:rPr>
            <w:rFonts w:ascii="Times New Roman" w:hAnsi="Times New Roman" w:cs="Times New Roman"/>
            <w:bCs/>
            <w:sz w:val="20"/>
            <w:szCs w:val="20"/>
            <w:lang w:eastAsia="zh-CN"/>
          </w:rPr>
          <w:t xml:space="preserve">                  </w:t>
        </w:r>
        <w:r w:rsidR="006605DA">
          <w:rPr>
            <w:rFonts w:ascii="Times New Roman" w:hAnsi="Times New Roman" w:cs="Times New Roman"/>
            <w:bCs/>
            <w:sz w:val="20"/>
            <w:szCs w:val="20"/>
          </w:rPr>
          <w:t xml:space="preserve">                         </w:t>
        </w:r>
        <w:hyperlink r:id="rId2" w:history="1">
          <w:r w:rsidR="006605DA">
            <w:rPr>
              <w:rStyle w:val="Hyperlink"/>
              <w:rFonts w:ascii="Times New Roman" w:hAnsi="Times New Roman" w:cs="Times New Roman"/>
              <w:bCs/>
              <w:sz w:val="20"/>
              <w:szCs w:val="20"/>
            </w:rPr>
            <w:t>researcher135@gmail.com</w:t>
          </w:r>
        </w:hyperlink>
      </w:sdtContent>
    </w:sdt>
    <w:r w:rsidR="006605DA">
      <w:rPr>
        <w:rFonts w:ascii="Times New Roman" w:hAnsi="Times New Roman" w:cs="Times New Roman"/>
        <w:noProof/>
        <w:sz w:val="20"/>
        <w:szCs w:val="20"/>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C5B70" w:rsidRDefault="006605DA">
                          <w:pPr>
                            <w:pStyle w:val="Footer"/>
                            <w:tabs>
                              <w:tab w:val="clear" w:pos="4153"/>
                              <w:tab w:val="clear" w:pos="8306"/>
                              <w:tab w:val="center" w:pos="4513"/>
                              <w:tab w:val="right" w:pos="9026"/>
                            </w:tabs>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0C26CE">
                            <w:rPr>
                              <w:rFonts w:ascii="Times New Roman" w:hAnsi="Times New Roman" w:cs="Times New Roman"/>
                              <w:noProof/>
                              <w:sz w:val="20"/>
                              <w:szCs w:val="20"/>
                            </w:rPr>
                            <w:t>20</w:t>
                          </w:r>
                          <w:r>
                            <w:rPr>
                              <w:rFonts w:ascii="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K8K0RiuAQAARgMAAA4AAAAAAAAAAAAAAAAALgIAAGRycy9lMm9Eb2MueG1sUEsBAi0AFAAG&#10;AAgAAAAhAAxK8O7WAAAABQEAAA8AAAAAAAAAAAAAAAAACAQAAGRycy9kb3ducmV2LnhtbFBLBQYA&#10;AAAABAAEAPMAAAALBQAAAAA=&#10;" filled="f" stroked="f">
              <v:textbox style="mso-fit-shape-to-text:t" inset="0,0,0,0">
                <w:txbxContent>
                  <w:p w:rsidR="009C5B70" w:rsidRDefault="006605DA">
                    <w:pPr>
                      <w:pStyle w:val="Footer"/>
                      <w:tabs>
                        <w:tab w:val="clear" w:pos="4153"/>
                        <w:tab w:val="clear" w:pos="8306"/>
                        <w:tab w:val="center" w:pos="4513"/>
                        <w:tab w:val="right" w:pos="9026"/>
                      </w:tabs>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0C26CE">
                      <w:rPr>
                        <w:rFonts w:ascii="Times New Roman" w:hAnsi="Times New Roman" w:cs="Times New Roman"/>
                        <w:noProof/>
                        <w:sz w:val="20"/>
                        <w:szCs w:val="20"/>
                      </w:rPr>
                      <w:t>20</w:t>
                    </w:r>
                    <w:r>
                      <w:rPr>
                        <w:rFonts w:ascii="Times New Roman" w:hAnsi="Times New Roman" w:cs="Times New Roman"/>
                        <w:sz w:val="20"/>
                        <w:szCs w:val="20"/>
                      </w:rPr>
                      <w:fldChar w:fldCharType="end"/>
                    </w:r>
                  </w:p>
                </w:txbxContent>
              </v:textbox>
              <w10:wrap anchorx="margin"/>
            </v:shape>
          </w:pict>
        </mc:Fallback>
      </mc:AlternateContent>
    </w:r>
  </w:p>
  <w:p w:rsidR="009C5B70" w:rsidRDefault="009C5B70">
    <w:pPr>
      <w:pStyle w:val="Footer"/>
      <w:tabs>
        <w:tab w:val="clear" w:pos="4153"/>
        <w:tab w:val="clear" w:pos="8306"/>
        <w:tab w:val="center" w:pos="4513"/>
        <w:tab w:val="right" w:pos="9026"/>
      </w:tabs>
      <w:spacing w:after="0" w:line="240" w:lineRule="auto"/>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36F" w:rsidRDefault="0091236F">
      <w:pPr>
        <w:spacing w:after="0"/>
      </w:pPr>
      <w:r>
        <w:separator/>
      </w:r>
    </w:p>
  </w:footnote>
  <w:footnote w:type="continuationSeparator" w:id="0">
    <w:p w:rsidR="0091236F" w:rsidRDefault="0091236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B70" w:rsidRDefault="006605DA">
    <w:pPr>
      <w:widowControl w:val="0"/>
      <w:pBdr>
        <w:bottom w:val="thinThickMediumGap" w:sz="12" w:space="1" w:color="auto"/>
      </w:pBdr>
      <w:autoSpaceDE w:val="0"/>
      <w:autoSpaceDN w:val="0"/>
      <w:snapToGrid w:val="0"/>
      <w:spacing w:after="0" w:line="240" w:lineRule="auto"/>
      <w:jc w:val="both"/>
    </w:pPr>
    <w:r>
      <w:rPr>
        <w:rFonts w:ascii="Times New Roman" w:eastAsia="SimSun" w:hAnsi="Times New Roman" w:cs="Times New Roman" w:hint="eastAsia"/>
        <w:iCs/>
        <w:color w:val="000000"/>
        <w:sz w:val="20"/>
        <w:szCs w:val="20"/>
        <w:lang w:val="en-US" w:eastAsia="zh-CN"/>
      </w:rPr>
      <w:t xml:space="preserve">           </w:t>
    </w:r>
    <w:r>
      <w:rPr>
        <w:rFonts w:ascii="Times New Roman" w:eastAsia="SimSun" w:hAnsi="Times New Roman" w:cs="Times New Roman"/>
        <w:iCs/>
        <w:color w:val="000000"/>
        <w:sz w:val="20"/>
        <w:szCs w:val="20"/>
        <w:lang w:val="en-US"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SimSun" w:hAnsi="Times New Roman" w:cs="Times New Roman" w:hint="eastAsia"/>
        <w:iCs/>
        <w:sz w:val="20"/>
        <w:szCs w:val="20"/>
        <w:lang w:val="en-US" w:eastAsia="zh-CN"/>
      </w:rPr>
      <w:t>3</w:t>
    </w:r>
    <w:r>
      <w:rPr>
        <w:rFonts w:ascii="Times New Roman" w:hAnsi="Times New Roman" w:cs="Times New Roman"/>
        <w:iCs/>
        <w:sz w:val="20"/>
        <w:szCs w:val="20"/>
      </w:rPr>
      <w:t>;</w:t>
    </w:r>
    <w:r>
      <w:rPr>
        <w:rFonts w:ascii="Times New Roman" w:hAnsi="Times New Roman" w:cs="Times New Roman"/>
        <w:iCs/>
        <w:sz w:val="20"/>
        <w:szCs w:val="20"/>
        <w:lang w:val="en-US" w:eastAsia="zh-CN"/>
      </w:rPr>
      <w:t>1</w:t>
    </w:r>
    <w:r>
      <w:rPr>
        <w:rFonts w:ascii="Times New Roman" w:hAnsi="Times New Roman" w:cs="Times New Roman" w:hint="eastAsia"/>
        <w:iCs/>
        <w:sz w:val="20"/>
        <w:szCs w:val="20"/>
        <w:lang w:val="en-US" w:eastAsia="zh-CN"/>
      </w:rPr>
      <w:t>5</w:t>
    </w:r>
    <w:r>
      <w:rPr>
        <w:rFonts w:ascii="Times New Roman" w:hAnsi="Times New Roman" w:cs="Times New Roman"/>
        <w:iCs/>
        <w:sz w:val="20"/>
        <w:szCs w:val="20"/>
      </w:rPr>
      <w:t>(</w:t>
    </w:r>
    <w:r>
      <w:rPr>
        <w:rFonts w:ascii="Times New Roman" w:hAnsi="Times New Roman" w:cs="Times New Roman" w:hint="eastAsia"/>
        <w:iCs/>
        <w:sz w:val="20"/>
        <w:szCs w:val="20"/>
        <w:lang w:val="en-US" w:eastAsia="zh-CN"/>
      </w:rPr>
      <w:t>9</w:t>
    </w:r>
    <w:r>
      <w:rPr>
        <w:rFonts w:ascii="Times New Roman" w:hAnsi="Times New Roman" w:cs="Times New Roman"/>
        <w:iCs/>
        <w:sz w:val="20"/>
        <w:szCs w:val="20"/>
      </w:rPr>
      <w:t xml:space="preserve">)       </w:t>
    </w:r>
    <w:r>
      <w:rPr>
        <w:rFonts w:ascii="Times New Roman" w:hAnsi="Times New Roman" w:cs="Times New Roman" w:hint="eastAsia"/>
        <w:iCs/>
        <w:sz w:val="20"/>
        <w:szCs w:val="20"/>
        <w:lang w:val="en-US" w:eastAsia="zh-CN"/>
      </w:rPr>
      <w:t xml:space="preserve">    </w:t>
    </w:r>
    <w:r>
      <w:rPr>
        <w:rFonts w:ascii="Times New Roman" w:hAnsi="Times New Roman" w:cs="Times New Roman"/>
        <w:iCs/>
        <w:sz w:val="20"/>
        <w:szCs w:val="20"/>
      </w:rPr>
      <w:t xml:space="preserve">  </w:t>
    </w:r>
    <w:r>
      <w:rPr>
        <w:rFonts w:ascii="Times New Roman" w:hAnsi="Times New Roman" w:cs="Times New Roman" w:hint="eastAsia"/>
        <w:iCs/>
        <w:sz w:val="20"/>
        <w:szCs w:val="20"/>
        <w:lang w:val="en-US" w:eastAsia="zh-CN"/>
      </w:rPr>
      <w:t xml:space="preserve">                                     </w:t>
    </w:r>
    <w:r>
      <w:rPr>
        <w:rFonts w:ascii="Times New Roman" w:hAnsi="Times New Roman" w:cs="Times New Roman"/>
        <w:iCs/>
        <w:sz w:val="20"/>
        <w:szCs w:val="20"/>
      </w:rPr>
      <w:t xml:space="preserve">  </w:t>
    </w:r>
    <w:r>
      <w:rPr>
        <w:rFonts w:eastAsia="SimSun" w:cs="Times New Roman" w:hint="eastAsia"/>
        <w:iCs/>
        <w:sz w:val="20"/>
        <w:szCs w:val="20"/>
        <w:lang w:val="en-US" w:eastAsia="zh-CN"/>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B70" w:rsidRDefault="006605DA">
    <w:pPr>
      <w:pStyle w:val="Header"/>
    </w:pPr>
    <w:r>
      <w:rPr>
        <w:rFonts w:ascii="Times New Roman" w:hAnsi="Times New Roman"/>
        <w:b/>
        <w:bCs/>
        <w:noProof/>
        <w:sz w:val="20"/>
        <w:szCs w:val="20"/>
        <w:lang w:val="en-US" w:eastAsia="zh-CN"/>
      </w:rPr>
      <w:drawing>
        <wp:inline distT="0" distB="0" distL="114300" distR="114300">
          <wp:extent cx="5970270" cy="787400"/>
          <wp:effectExtent l="0" t="0" r="1143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B70" w:rsidRDefault="006605DA">
    <w:pPr>
      <w:widowControl w:val="0"/>
      <w:pBdr>
        <w:bottom w:val="thinThickMediumGap" w:sz="12" w:space="1" w:color="auto"/>
      </w:pBdr>
      <w:autoSpaceDE w:val="0"/>
      <w:autoSpaceDN w:val="0"/>
      <w:snapToGrid w:val="0"/>
      <w:spacing w:after="0" w:line="240" w:lineRule="auto"/>
      <w:jc w:val="both"/>
    </w:pPr>
    <w:r>
      <w:rPr>
        <w:rFonts w:ascii="Times New Roman" w:eastAsia="SimSun" w:hAnsi="Times New Roman" w:cs="Times New Roman" w:hint="eastAsia"/>
        <w:iCs/>
        <w:color w:val="000000"/>
        <w:sz w:val="20"/>
        <w:szCs w:val="20"/>
        <w:lang w:val="en-US" w:eastAsia="zh-CN"/>
      </w:rPr>
      <w:t xml:space="preserve">           </w:t>
    </w:r>
    <w:r>
      <w:rPr>
        <w:rFonts w:ascii="Times New Roman" w:eastAsia="SimSun" w:hAnsi="Times New Roman" w:cs="Times New Roman"/>
        <w:iCs/>
        <w:color w:val="000000"/>
        <w:sz w:val="20"/>
        <w:szCs w:val="20"/>
        <w:lang w:val="en-US"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SimSun" w:hAnsi="Times New Roman" w:cs="Times New Roman" w:hint="eastAsia"/>
        <w:iCs/>
        <w:sz w:val="20"/>
        <w:szCs w:val="20"/>
        <w:lang w:val="en-US" w:eastAsia="zh-CN"/>
      </w:rPr>
      <w:t>3</w:t>
    </w:r>
    <w:r>
      <w:rPr>
        <w:rFonts w:ascii="Times New Roman" w:hAnsi="Times New Roman" w:cs="Times New Roman"/>
        <w:iCs/>
        <w:sz w:val="20"/>
        <w:szCs w:val="20"/>
      </w:rPr>
      <w:t>;</w:t>
    </w:r>
    <w:r>
      <w:rPr>
        <w:rFonts w:ascii="Times New Roman" w:hAnsi="Times New Roman" w:cs="Times New Roman"/>
        <w:iCs/>
        <w:sz w:val="20"/>
        <w:szCs w:val="20"/>
        <w:lang w:val="en-US" w:eastAsia="zh-CN"/>
      </w:rPr>
      <w:t>1</w:t>
    </w:r>
    <w:r>
      <w:rPr>
        <w:rFonts w:ascii="Times New Roman" w:hAnsi="Times New Roman" w:cs="Times New Roman" w:hint="eastAsia"/>
        <w:iCs/>
        <w:sz w:val="20"/>
        <w:szCs w:val="20"/>
        <w:lang w:val="en-US" w:eastAsia="zh-CN"/>
      </w:rPr>
      <w:t>5</w:t>
    </w:r>
    <w:r>
      <w:rPr>
        <w:rFonts w:ascii="Times New Roman" w:hAnsi="Times New Roman" w:cs="Times New Roman"/>
        <w:iCs/>
        <w:sz w:val="20"/>
        <w:szCs w:val="20"/>
      </w:rPr>
      <w:t>(</w:t>
    </w:r>
    <w:r>
      <w:rPr>
        <w:rFonts w:ascii="Times New Roman" w:hAnsi="Times New Roman" w:cs="Times New Roman" w:hint="eastAsia"/>
        <w:iCs/>
        <w:sz w:val="20"/>
        <w:szCs w:val="20"/>
        <w:lang w:val="en-US" w:eastAsia="zh-CN"/>
      </w:rPr>
      <w:t>9</w:t>
    </w:r>
    <w:r>
      <w:rPr>
        <w:rFonts w:ascii="Times New Roman" w:hAnsi="Times New Roman" w:cs="Times New Roman"/>
        <w:iCs/>
        <w:sz w:val="20"/>
        <w:szCs w:val="20"/>
      </w:rPr>
      <w:t xml:space="preserve">)       </w:t>
    </w:r>
    <w:r>
      <w:rPr>
        <w:rFonts w:ascii="Times New Roman" w:hAnsi="Times New Roman" w:cs="Times New Roman" w:hint="eastAsia"/>
        <w:iCs/>
        <w:sz w:val="20"/>
        <w:szCs w:val="20"/>
        <w:lang w:val="en-US" w:eastAsia="zh-CN"/>
      </w:rPr>
      <w:t xml:space="preserve">    </w:t>
    </w:r>
    <w:r>
      <w:rPr>
        <w:rFonts w:ascii="Times New Roman" w:hAnsi="Times New Roman" w:cs="Times New Roman"/>
        <w:iCs/>
        <w:sz w:val="20"/>
        <w:szCs w:val="20"/>
      </w:rPr>
      <w:t xml:space="preserve">  </w:t>
    </w:r>
    <w:r>
      <w:rPr>
        <w:rFonts w:ascii="Times New Roman" w:hAnsi="Times New Roman" w:cs="Times New Roman" w:hint="eastAsia"/>
        <w:iCs/>
        <w:sz w:val="20"/>
        <w:szCs w:val="20"/>
        <w:lang w:val="en-US" w:eastAsia="zh-CN"/>
      </w:rPr>
      <w:t xml:space="preserve">                                     </w:t>
    </w:r>
    <w:r>
      <w:rPr>
        <w:rFonts w:ascii="Times New Roman" w:hAnsi="Times New Roman" w:cs="Times New Roman"/>
        <w:iCs/>
        <w:sz w:val="20"/>
        <w:szCs w:val="20"/>
      </w:rPr>
      <w:t xml:space="preserve">  </w:t>
    </w:r>
    <w:r>
      <w:rPr>
        <w:rFonts w:eastAsia="SimSun" w:cs="Times New Roman" w:hint="eastAsia"/>
        <w:iCs/>
        <w:sz w:val="20"/>
        <w:szCs w:val="20"/>
        <w:lang w:val="en-US" w:eastAsia="zh-CN"/>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35BB4B"/>
    <w:multiLevelType w:val="multilevel"/>
    <w:tmpl w:val="3835BB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AE6C29"/>
    <w:multiLevelType w:val="multilevel"/>
    <w:tmpl w:val="50AE6C29"/>
    <w:lvl w:ilvl="0">
      <w:start w:val="1"/>
      <w:numFmt w:val="decimal"/>
      <w:lvlText w:val="%1"/>
      <w:lvlJc w:val="left"/>
      <w:pPr>
        <w:ind w:left="720" w:hanging="360"/>
      </w:pPr>
      <w:rPr>
        <w:rFonts w:ascii="Times New Roman" w:eastAsia="SimSun" w:hAnsi="Times New Roman" w:cs="Times New Roman" w:hint="default"/>
        <w:b/>
        <w:color w:val="auto"/>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0OWM2YjY2MGE3ODRjMzA4OWU2Njc3YmZjYmIwMDEifQ=="/>
  </w:docVars>
  <w:rsids>
    <w:rsidRoot w:val="00D5711C"/>
    <w:rsid w:val="00000F17"/>
    <w:rsid w:val="00011192"/>
    <w:rsid w:val="00021D2F"/>
    <w:rsid w:val="000249F2"/>
    <w:rsid w:val="00024CDA"/>
    <w:rsid w:val="00030D06"/>
    <w:rsid w:val="0004142B"/>
    <w:rsid w:val="000435DC"/>
    <w:rsid w:val="0005232C"/>
    <w:rsid w:val="000532BC"/>
    <w:rsid w:val="000A01DD"/>
    <w:rsid w:val="000B06FC"/>
    <w:rsid w:val="000C26CE"/>
    <w:rsid w:val="000E024C"/>
    <w:rsid w:val="000E19AA"/>
    <w:rsid w:val="000F5D75"/>
    <w:rsid w:val="00105755"/>
    <w:rsid w:val="00112BAD"/>
    <w:rsid w:val="00117F07"/>
    <w:rsid w:val="00122262"/>
    <w:rsid w:val="00133D53"/>
    <w:rsid w:val="001437A0"/>
    <w:rsid w:val="00147058"/>
    <w:rsid w:val="0015055C"/>
    <w:rsid w:val="00155FE0"/>
    <w:rsid w:val="001634CA"/>
    <w:rsid w:val="00172228"/>
    <w:rsid w:val="00174653"/>
    <w:rsid w:val="0019285A"/>
    <w:rsid w:val="001A1466"/>
    <w:rsid w:val="001A7298"/>
    <w:rsid w:val="001B032F"/>
    <w:rsid w:val="001B1F9B"/>
    <w:rsid w:val="001C234F"/>
    <w:rsid w:val="001F454F"/>
    <w:rsid w:val="00214F7E"/>
    <w:rsid w:val="002171B0"/>
    <w:rsid w:val="00223D05"/>
    <w:rsid w:val="00265CF0"/>
    <w:rsid w:val="00270D0B"/>
    <w:rsid w:val="002A016D"/>
    <w:rsid w:val="002A1752"/>
    <w:rsid w:val="002C2148"/>
    <w:rsid w:val="002C3D7C"/>
    <w:rsid w:val="003060FF"/>
    <w:rsid w:val="00310D82"/>
    <w:rsid w:val="00314C68"/>
    <w:rsid w:val="003415B6"/>
    <w:rsid w:val="00351E60"/>
    <w:rsid w:val="00353BE9"/>
    <w:rsid w:val="00373161"/>
    <w:rsid w:val="00394994"/>
    <w:rsid w:val="00395E8E"/>
    <w:rsid w:val="003B0EE0"/>
    <w:rsid w:val="003C5779"/>
    <w:rsid w:val="003F010B"/>
    <w:rsid w:val="003F55D5"/>
    <w:rsid w:val="004227B0"/>
    <w:rsid w:val="00436A39"/>
    <w:rsid w:val="00447D86"/>
    <w:rsid w:val="00481548"/>
    <w:rsid w:val="004A2606"/>
    <w:rsid w:val="004B339B"/>
    <w:rsid w:val="004B3E74"/>
    <w:rsid w:val="004C3A78"/>
    <w:rsid w:val="004D4A6B"/>
    <w:rsid w:val="004D5F34"/>
    <w:rsid w:val="00516C6A"/>
    <w:rsid w:val="00523820"/>
    <w:rsid w:val="00567192"/>
    <w:rsid w:val="00573E6F"/>
    <w:rsid w:val="00582F78"/>
    <w:rsid w:val="00596834"/>
    <w:rsid w:val="005A3194"/>
    <w:rsid w:val="005C1D36"/>
    <w:rsid w:val="005E4EB6"/>
    <w:rsid w:val="005F010F"/>
    <w:rsid w:val="005F5253"/>
    <w:rsid w:val="00602E25"/>
    <w:rsid w:val="00612818"/>
    <w:rsid w:val="006605DA"/>
    <w:rsid w:val="00661C96"/>
    <w:rsid w:val="00676F4C"/>
    <w:rsid w:val="0067783E"/>
    <w:rsid w:val="00684F3D"/>
    <w:rsid w:val="00691AF9"/>
    <w:rsid w:val="006A1A98"/>
    <w:rsid w:val="006A3973"/>
    <w:rsid w:val="006A4862"/>
    <w:rsid w:val="006A5070"/>
    <w:rsid w:val="006A5F9C"/>
    <w:rsid w:val="006B1B50"/>
    <w:rsid w:val="006B56B2"/>
    <w:rsid w:val="006C0265"/>
    <w:rsid w:val="006C495E"/>
    <w:rsid w:val="006E42C3"/>
    <w:rsid w:val="006E5AE8"/>
    <w:rsid w:val="00725274"/>
    <w:rsid w:val="00731A01"/>
    <w:rsid w:val="0075768D"/>
    <w:rsid w:val="00771A78"/>
    <w:rsid w:val="007A60B4"/>
    <w:rsid w:val="007B49EA"/>
    <w:rsid w:val="007B735A"/>
    <w:rsid w:val="007C4B19"/>
    <w:rsid w:val="008123BB"/>
    <w:rsid w:val="00825647"/>
    <w:rsid w:val="00835E43"/>
    <w:rsid w:val="008409F8"/>
    <w:rsid w:val="00887688"/>
    <w:rsid w:val="00892B32"/>
    <w:rsid w:val="00892D9A"/>
    <w:rsid w:val="008961C4"/>
    <w:rsid w:val="008A1ADC"/>
    <w:rsid w:val="008D1451"/>
    <w:rsid w:val="008D45AE"/>
    <w:rsid w:val="0091236F"/>
    <w:rsid w:val="00913CC9"/>
    <w:rsid w:val="009160A9"/>
    <w:rsid w:val="00927532"/>
    <w:rsid w:val="00943805"/>
    <w:rsid w:val="00967650"/>
    <w:rsid w:val="00993773"/>
    <w:rsid w:val="00997810"/>
    <w:rsid w:val="009B069C"/>
    <w:rsid w:val="009C5B70"/>
    <w:rsid w:val="009E797F"/>
    <w:rsid w:val="009E7BC1"/>
    <w:rsid w:val="00A007FF"/>
    <w:rsid w:val="00A06869"/>
    <w:rsid w:val="00A11CC4"/>
    <w:rsid w:val="00A178E4"/>
    <w:rsid w:val="00A17EBE"/>
    <w:rsid w:val="00A439C6"/>
    <w:rsid w:val="00A72E93"/>
    <w:rsid w:val="00A74E2E"/>
    <w:rsid w:val="00A76119"/>
    <w:rsid w:val="00A7616C"/>
    <w:rsid w:val="00A81014"/>
    <w:rsid w:val="00AA0E31"/>
    <w:rsid w:val="00AA58C8"/>
    <w:rsid w:val="00AA63CE"/>
    <w:rsid w:val="00AB4A09"/>
    <w:rsid w:val="00AC651A"/>
    <w:rsid w:val="00AF5307"/>
    <w:rsid w:val="00B02B8C"/>
    <w:rsid w:val="00B0477D"/>
    <w:rsid w:val="00B04881"/>
    <w:rsid w:val="00B1249C"/>
    <w:rsid w:val="00B63DDA"/>
    <w:rsid w:val="00B7074E"/>
    <w:rsid w:val="00B72541"/>
    <w:rsid w:val="00B74B89"/>
    <w:rsid w:val="00B759CF"/>
    <w:rsid w:val="00BB2B8A"/>
    <w:rsid w:val="00BC2E8E"/>
    <w:rsid w:val="00BC361A"/>
    <w:rsid w:val="00BE0505"/>
    <w:rsid w:val="00BE0C02"/>
    <w:rsid w:val="00BE25E5"/>
    <w:rsid w:val="00BE387E"/>
    <w:rsid w:val="00C040A8"/>
    <w:rsid w:val="00C07899"/>
    <w:rsid w:val="00C276F2"/>
    <w:rsid w:val="00C30C0E"/>
    <w:rsid w:val="00C36A0D"/>
    <w:rsid w:val="00C64195"/>
    <w:rsid w:val="00C660F9"/>
    <w:rsid w:val="00C73449"/>
    <w:rsid w:val="00C8019A"/>
    <w:rsid w:val="00CF26C1"/>
    <w:rsid w:val="00CF3067"/>
    <w:rsid w:val="00D2035B"/>
    <w:rsid w:val="00D215E8"/>
    <w:rsid w:val="00D47E1A"/>
    <w:rsid w:val="00D5711C"/>
    <w:rsid w:val="00D60979"/>
    <w:rsid w:val="00D7750E"/>
    <w:rsid w:val="00DB4620"/>
    <w:rsid w:val="00DF62B9"/>
    <w:rsid w:val="00E02BD8"/>
    <w:rsid w:val="00E17D46"/>
    <w:rsid w:val="00E2262C"/>
    <w:rsid w:val="00E34B12"/>
    <w:rsid w:val="00E375CA"/>
    <w:rsid w:val="00E50406"/>
    <w:rsid w:val="00E637D3"/>
    <w:rsid w:val="00E70E06"/>
    <w:rsid w:val="00E72021"/>
    <w:rsid w:val="00E80D5E"/>
    <w:rsid w:val="00EA409A"/>
    <w:rsid w:val="00EB0775"/>
    <w:rsid w:val="00EB0B9D"/>
    <w:rsid w:val="00EC2FAE"/>
    <w:rsid w:val="00EC4630"/>
    <w:rsid w:val="00EC6ACC"/>
    <w:rsid w:val="00EC76AB"/>
    <w:rsid w:val="00ED30B8"/>
    <w:rsid w:val="00EF08AD"/>
    <w:rsid w:val="00EF4A8B"/>
    <w:rsid w:val="00F122E9"/>
    <w:rsid w:val="00F13DED"/>
    <w:rsid w:val="00F1529F"/>
    <w:rsid w:val="00F31EFB"/>
    <w:rsid w:val="00F32367"/>
    <w:rsid w:val="00F3791E"/>
    <w:rsid w:val="00F41D55"/>
    <w:rsid w:val="00F86465"/>
    <w:rsid w:val="00F92824"/>
    <w:rsid w:val="00FB3D45"/>
    <w:rsid w:val="00FC47A1"/>
    <w:rsid w:val="00FC657A"/>
    <w:rsid w:val="00FD6939"/>
    <w:rsid w:val="00FD7F9A"/>
    <w:rsid w:val="00FE50F6"/>
    <w:rsid w:val="00FF2B39"/>
    <w:rsid w:val="0EB53D50"/>
    <w:rsid w:val="297A1C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B365727"/>
  <w15:docId w15:val="{2F2B0783-6E3E-4772-82AF-54858F0F4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rPr>
  </w:style>
  <w:style w:type="paragraph" w:styleId="Header">
    <w:name w:val="header"/>
    <w:basedOn w:val="Normal"/>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1"/>
    <w:uiPriority w:val="99"/>
    <w:unhideWhenUsed/>
    <w:qFormat/>
    <w:rPr>
      <w:color w:val="0000FF" w:themeColor="hyperlink"/>
      <w:u w:val="single"/>
    </w:rPr>
  </w:style>
  <w:style w:type="character" w:customStyle="1" w:styleId="DefaultParagraphFont1">
    <w:name w:val="Default Paragraph Font1"/>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texaserc.tamu.ed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era.daf.qld.gov.au/2208/6/005-ipm.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rsj150923.03"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www.sciencepub.net/researcher"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mailto:jbizuayehu@gmail.com" TargetMode="External"/><Relationship Id="rId14" Type="http://schemas.openxmlformats.org/officeDocument/2006/relationships/header" Target="header2.xml"/><Relationship Id="rId22" Type="http://schemas.openxmlformats.org/officeDocument/2006/relationships/hyperlink" Target="http://texaserc.tamu.ed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8B27AA-2FFB-4C34-88A1-8A8698011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10189</Words>
  <Characters>58079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PLANT HEALTH CLINIC</dc:creator>
  <cp:lastModifiedBy>admin</cp:lastModifiedBy>
  <cp:revision>6</cp:revision>
  <cp:lastPrinted>2023-10-02T01:38:00Z</cp:lastPrinted>
  <dcterms:created xsi:type="dcterms:W3CDTF">2023-10-01T22:19:00Z</dcterms:created>
  <dcterms:modified xsi:type="dcterms:W3CDTF">2023-10-02T01:39:00Z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54C9F04199534AF3A4B715BA2C059914_12</vt:lpwstr>
  </property>
</Properties>
</file>