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 xml:space="preserve">FACTORS AFFECTED THE RESPONSE OF COMMON MYNA </w:t>
      </w:r>
      <w:r>
        <w:rPr>
          <w:rFonts w:hint="default" w:ascii="Times New Roman" w:hAnsi="Times New Roman" w:cs="Times New Roman"/>
          <w:b/>
          <w:i/>
          <w:sz w:val="20"/>
          <w:szCs w:val="20"/>
          <w:u w:val="single"/>
        </w:rPr>
        <w:t>(Acridotheres tristis)</w:t>
      </w:r>
      <w:r>
        <w:rPr>
          <w:rFonts w:hint="default" w:ascii="Times New Roman" w:hAnsi="Times New Roman" w:cs="Times New Roman"/>
          <w:b/>
          <w:sz w:val="20"/>
          <w:szCs w:val="20"/>
          <w:u w:val="single"/>
        </w:rPr>
        <w:t xml:space="preserve"> TOWARDS ARTIFICIAL NESTS IN SELECTED SITES OF PESHAWAR CITY, KPK PAKISTAN.</w:t>
      </w:r>
    </w:p>
    <w:p>
      <w:pPr>
        <w:pageBreakBefore w:val="0"/>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u w:val="single"/>
        </w:rPr>
      </w:pPr>
    </w:p>
    <w:p>
      <w:pPr>
        <w:pageBreakBefore w:val="0"/>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u w:val="single"/>
        </w:rPr>
      </w:pPr>
      <w:r>
        <w:rPr>
          <w:rFonts w:hint="default" w:ascii="Times New Roman" w:hAnsi="Times New Roman" w:cs="Times New Roman"/>
          <w:b w:val="0"/>
          <w:bCs/>
          <w:sz w:val="20"/>
          <w:szCs w:val="20"/>
          <w:u w:val="single"/>
        </w:rPr>
        <w:t>Arz Muhammad Umrani, Dr.Mamoona Wali Muhammad, Ahmad Zamir, Aimal Khan, Talha Anwar, Sohaib Ahmad, Shabir Ahmad Jan, Danyal Khan.</w:t>
      </w:r>
    </w:p>
    <w:p>
      <w:pPr>
        <w:pageBreakBefore w:val="0"/>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u w:val="single"/>
        </w:rPr>
      </w:pPr>
    </w:p>
    <w:p>
      <w:pPr>
        <w:pageBreakBefore w:val="0"/>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u w:val="single"/>
        </w:rPr>
      </w:pPr>
      <w:r>
        <w:rPr>
          <w:rFonts w:hint="default" w:ascii="Times New Roman" w:hAnsi="Times New Roman" w:cs="Times New Roman"/>
          <w:b w:val="0"/>
          <w:bCs/>
          <w:sz w:val="20"/>
          <w:szCs w:val="20"/>
          <w:u w:val="single"/>
        </w:rPr>
        <w:t>1.Pakistan Forest Institute Peshawar</w:t>
      </w:r>
      <w:r>
        <w:rPr>
          <w:rFonts w:hint="default" w:ascii="Times New Roman" w:hAnsi="Times New Roman" w:cs="Times New Roman"/>
          <w:b/>
          <w:sz w:val="20"/>
          <w:szCs w:val="20"/>
          <w:u w:val="single"/>
        </w:rPr>
        <w:t>.</w:t>
      </w:r>
    </w:p>
    <w:p>
      <w:pPr>
        <w:pageBreakBefore w:val="0"/>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 xml:space="preserve">Corresponding author email : </w:t>
      </w:r>
      <w:r>
        <w:rPr>
          <w:rFonts w:hint="default" w:ascii="Times New Roman" w:hAnsi="Times New Roman" w:cs="Times New Roman"/>
          <w:b/>
          <w:sz w:val="20"/>
          <w:szCs w:val="20"/>
          <w:u w:val="single"/>
        </w:rPr>
        <w:fldChar w:fldCharType="begin"/>
      </w:r>
      <w:r>
        <w:rPr>
          <w:rFonts w:hint="default" w:ascii="Times New Roman" w:hAnsi="Times New Roman" w:cs="Times New Roman"/>
          <w:b/>
          <w:sz w:val="20"/>
          <w:szCs w:val="20"/>
          <w:u w:val="single"/>
        </w:rPr>
        <w:instrText xml:space="preserve"> HYPERLINK "mailto:arz.forest87@yahoo.com" </w:instrText>
      </w:r>
      <w:r>
        <w:rPr>
          <w:rFonts w:hint="default" w:ascii="Times New Roman" w:hAnsi="Times New Roman" w:cs="Times New Roman"/>
          <w:b/>
          <w:sz w:val="20"/>
          <w:szCs w:val="20"/>
          <w:u w:val="single"/>
        </w:rPr>
        <w:fldChar w:fldCharType="separate"/>
      </w:r>
      <w:r>
        <w:rPr>
          <w:rStyle w:val="8"/>
          <w:rFonts w:hint="default" w:ascii="Times New Roman" w:hAnsi="Times New Roman" w:cs="Times New Roman"/>
          <w:b/>
          <w:sz w:val="20"/>
          <w:szCs w:val="20"/>
        </w:rPr>
        <w:t>arz.forest87@yahoo.com</w:t>
      </w:r>
      <w:r>
        <w:rPr>
          <w:rFonts w:hint="default" w:ascii="Times New Roman" w:hAnsi="Times New Roman" w:cs="Times New Roman"/>
          <w:b/>
          <w:sz w:val="20"/>
          <w:szCs w:val="20"/>
          <w:u w:val="single"/>
        </w:rPr>
        <w:fldChar w:fldCharType="end"/>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ABSTRACT</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objective of this paper is to analyze the factors affecting the response of common myna towards artificial nest boxes placed at different sites in Peshawar city i.e.  University Town, Rahat Abad, Qadir Abad and Palosi Road Peshawar respectively. Total 28 artificial nests were installed in the breeding season of common myna. Therein 18 nest boxes were found attempted by common myna. 45 eggs were found in the attempted nest boxes. While rest of the 10 nest boxes were affected by the activities of pariah kite &amp; common crow, presence of common squirrels, Ants, mega bats and orientation of the installed nest boxes. </w:t>
      </w:r>
    </w:p>
    <w:p>
      <w:pPr>
        <w:keepNext w:val="0"/>
        <w:keepLines w:val="0"/>
        <w:pageBreakBefore w:val="0"/>
        <w:widowControl/>
        <w:kinsoku/>
        <w:wordWrap w:val="0"/>
        <w:overflowPunct/>
        <w:topLinePunct w:val="0"/>
        <w:autoSpaceDE/>
        <w:autoSpaceDN/>
        <w:bidi w:val="0"/>
        <w:adjustRightInd/>
        <w:snapToGrid w:val="0"/>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color w:val="000000"/>
          <w:sz w:val="20"/>
          <w:szCs w:val="20"/>
        </w:rPr>
        <w:t>[</w:t>
      </w:r>
      <w:r>
        <w:rPr>
          <w:rFonts w:hint="default" w:ascii="Times New Roman" w:hAnsi="Times New Roman" w:cs="Times New Roman"/>
          <w:b w:val="0"/>
          <w:bCs/>
          <w:sz w:val="20"/>
          <w:szCs w:val="20"/>
          <w:u w:val="single"/>
        </w:rPr>
        <w:t>Arz Muhammad Umrani, Dr.Mamoona Wali Muhammad, Ahmad Zamir, Aimal Khan, Talha Anwar, Sohaib Ahmad, Shabir Ahmad Jan, Danyal Khan.</w:t>
      </w:r>
      <w:r>
        <w:rPr>
          <w:rFonts w:hint="default" w:ascii="Times New Roman" w:hAnsi="Times New Roman" w:cs="Times New Roman"/>
          <w:sz w:val="20"/>
          <w:szCs w:val="20"/>
        </w:rPr>
        <w:t xml:space="preserve"> </w:t>
      </w:r>
      <w:r>
        <w:rPr>
          <w:rFonts w:hint="default" w:ascii="Times New Roman" w:hAnsi="Times New Roman" w:cs="Times New Roman"/>
          <w:b/>
          <w:sz w:val="20"/>
          <w:szCs w:val="20"/>
          <w:u w:val="single"/>
        </w:rPr>
        <w:t xml:space="preserve">FACTORS AFFECTED THE RESPONSE OF COMMON MYNA </w:t>
      </w:r>
      <w:r>
        <w:rPr>
          <w:rFonts w:hint="default" w:ascii="Times New Roman" w:hAnsi="Times New Roman" w:cs="Times New Roman"/>
          <w:b/>
          <w:i/>
          <w:sz w:val="20"/>
          <w:szCs w:val="20"/>
          <w:u w:val="single"/>
        </w:rPr>
        <w:t>(Acridotheres tristis)</w:t>
      </w:r>
      <w:r>
        <w:rPr>
          <w:rFonts w:hint="default" w:ascii="Times New Roman" w:hAnsi="Times New Roman" w:cs="Times New Roman"/>
          <w:b/>
          <w:sz w:val="20"/>
          <w:szCs w:val="20"/>
          <w:u w:val="single"/>
        </w:rPr>
        <w:t xml:space="preserve"> TOWARDS ARTIFICIAL NESTS IN SELECTED SITES OF PESHAWAR CITY, KPK PAKISTAN.</w:t>
      </w:r>
      <w:r>
        <w:rPr>
          <w:rFonts w:hint="default" w:ascii="Times New Roman" w:hAnsi="Times New Roman" w:cs="Times New Roman"/>
          <w:sz w:val="20"/>
          <w:szCs w:val="20"/>
        </w:rPr>
        <w:t>.</w:t>
      </w:r>
      <w:r>
        <w:rPr>
          <w:rFonts w:hint="default" w:ascii="Times New Roman" w:hAnsi="Times New Roman" w:cs="Times New Roman"/>
          <w:b w:val="0"/>
          <w:bCs w:val="0"/>
          <w:i/>
          <w:sz w:val="20"/>
          <w:szCs w:val="20"/>
        </w:rPr>
        <w:t>Researcher</w:t>
      </w:r>
      <w:r>
        <w:rPr>
          <w:rFonts w:hint="default" w:ascii="Times New Roman" w:hAnsi="Times New Roman" w:cs="Times New Roman"/>
          <w:b w:val="0"/>
          <w:bCs w:val="0"/>
          <w:sz w:val="20"/>
          <w:szCs w:val="20"/>
        </w:rPr>
        <w:t>202</w:t>
      </w:r>
      <w:r>
        <w:rPr>
          <w:rFonts w:hint="default" w:ascii="Times New Roman" w:hAnsi="Times New Roman" w:eastAsia="宋体" w:cs="Times New Roman"/>
          <w:b w:val="0"/>
          <w:bCs w:val="0"/>
          <w:sz w:val="20"/>
          <w:szCs w:val="20"/>
          <w:lang w:val="en-US" w:eastAsia="zh-CN"/>
        </w:rPr>
        <w:t>2</w:t>
      </w:r>
      <w:r>
        <w:rPr>
          <w:rFonts w:hint="default" w:ascii="Times New Roman" w:hAnsi="Times New Roman" w:cs="Times New Roman"/>
          <w:b w:val="0"/>
          <w:bCs w:val="0"/>
          <w:sz w:val="20"/>
          <w:szCs w:val="20"/>
        </w:rPr>
        <w:t>;1</w:t>
      </w:r>
      <w:r>
        <w:rPr>
          <w:rFonts w:hint="default" w:ascii="Times New Roman" w:hAnsi="Times New Roman" w:eastAsia="宋体" w:cs="Times New Roman"/>
          <w:b w:val="0"/>
          <w:bCs w:val="0"/>
          <w:sz w:val="20"/>
          <w:szCs w:val="20"/>
          <w:lang w:val="en-US" w:eastAsia="zh-CN"/>
        </w:rPr>
        <w:t>4</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7</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38</w:t>
      </w:r>
      <w:r>
        <w:rPr>
          <w:rFonts w:hint="default" w:ascii="Times New Roman" w:hAnsi="Times New Roman" w:cs="Times New Roman"/>
          <w:b w:val="0"/>
          <w:bCs w:val="0"/>
          <w:sz w:val="20"/>
          <w:szCs w:val="20"/>
        </w:rPr>
        <w:t>-</w:t>
      </w:r>
      <w:r>
        <w:rPr>
          <w:rFonts w:hint="eastAsia" w:ascii="Times New Roman" w:hAnsi="Times New Roman" w:cs="Times New Roman"/>
          <w:b w:val="0"/>
          <w:bCs w:val="0"/>
          <w:sz w:val="20"/>
          <w:szCs w:val="20"/>
          <w:lang w:val="en-US" w:eastAsia="zh-CN"/>
        </w:rPr>
        <w:t>40</w:t>
      </w:r>
      <w:r>
        <w:rPr>
          <w:rFonts w:hint="default" w:ascii="Times New Roman" w:hAnsi="Times New Roman" w:cs="Times New Roman"/>
          <w:b w:val="0"/>
          <w:bCs w:val="0"/>
          <w:sz w:val="20"/>
          <w:szCs w:val="20"/>
        </w:rPr>
        <w:t>]ISSN1553-9865(print);ISSN2163-8950(online)</w:t>
      </w:r>
    </w:p>
    <w:p>
      <w:pPr>
        <w:keepNext w:val="0"/>
        <w:keepLines w:val="0"/>
        <w:pageBreakBefore w:val="0"/>
        <w:widowControl/>
        <w:kinsoku/>
        <w:wordWrap w:val="0"/>
        <w:overflowPunct/>
        <w:topLinePunct w:val="0"/>
        <w:autoSpaceDE/>
        <w:autoSpaceDN/>
        <w:bidi w:val="0"/>
        <w:adjustRightInd/>
        <w:snapToGrid w:val="0"/>
        <w:spacing w:after="0" w:line="240" w:lineRule="auto"/>
        <w:jc w:val="both"/>
        <w:textAlignment w:val="auto"/>
        <w:rPr>
          <w:rFonts w:hint="default" w:ascii="Times New Roman" w:hAnsi="Times New Roman" w:cs="Times New Roman"/>
          <w:b/>
          <w:bCs/>
          <w:sz w:val="20"/>
          <w:szCs w:val="20"/>
          <w:lang w:val="en-US"/>
        </w:rPr>
      </w:pP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"http://www.sciencepub.net/researcher" </w:instrText>
      </w:r>
      <w:r>
        <w:rPr>
          <w:rFonts w:hint="default" w:ascii="Times New Roman" w:hAnsi="Times New Roman" w:cs="Times New Roman"/>
          <w:b w:val="0"/>
          <w:bCs w:val="0"/>
          <w:sz w:val="20"/>
          <w:szCs w:val="20"/>
        </w:rPr>
        <w:fldChar w:fldCharType="separate"/>
      </w:r>
      <w:r>
        <w:rPr>
          <w:rStyle w:val="8"/>
          <w:rFonts w:hint="default" w:ascii="Times New Roman" w:hAnsi="Times New Roman" w:cs="Times New Roman"/>
          <w:b w:val="0"/>
          <w:bCs w:val="0"/>
          <w:sz w:val="20"/>
          <w:szCs w:val="20"/>
        </w:rPr>
        <w:t>http://www.sciencepub.net/researcher</w:t>
      </w:r>
      <w:r>
        <w:rPr>
          <w:rFonts w:hint="default" w:ascii="Times New Roman" w:hAnsi="Times New Roman" w:cs="Times New Roman"/>
          <w:b w:val="0"/>
          <w:bCs w:val="0"/>
          <w:sz w:val="20"/>
          <w:szCs w:val="20"/>
        </w:rPr>
        <w:fldChar w:fldCharType="end"/>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 xml:space="preserve"> 0</w:t>
      </w:r>
      <w:r>
        <w:rPr>
          <w:rFonts w:hint="eastAsia" w:ascii="Times New Roman" w:hAnsi="Times New Roman" w:eastAsia="宋体" w:cs="Times New Roman"/>
          <w:b w:val="0"/>
          <w:bCs w:val="0"/>
          <w:sz w:val="20"/>
          <w:szCs w:val="20"/>
          <w:lang w:val="en-US" w:eastAsia="zh-CN"/>
        </w:rPr>
        <w:t>6</w:t>
      </w:r>
      <w:r>
        <w:rPr>
          <w:rFonts w:hint="default" w:ascii="Times New Roman" w:hAnsi="Times New Roman" w:eastAsia="宋体" w:cs="Times New Roman"/>
          <w:b w:val="0"/>
          <w:bCs w:val="0"/>
          <w:sz w:val="20"/>
          <w:szCs w:val="20"/>
          <w:lang w:val="en-US" w:eastAsia="zh-CN"/>
        </w:rPr>
        <w:t>.</w:t>
      </w:r>
      <w:r>
        <w:rPr>
          <w:rFonts w:hint="default" w:ascii="Times New Roman" w:hAnsi="Times New Roman" w:cs="Times New Roman"/>
          <w:b w:val="0"/>
          <w:bCs w:val="0"/>
          <w:sz w:val="20"/>
          <w:szCs w:val="20"/>
        </w:rPr>
        <w:t>doi:</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"http://www.dx.doi.org/10.7537/marsrsj140722.06" </w:instrText>
      </w:r>
      <w:r>
        <w:rPr>
          <w:rFonts w:hint="default" w:ascii="Times New Roman" w:hAnsi="Times New Roman" w:cs="Times New Roman"/>
          <w:b w:val="0"/>
          <w:bCs w:val="0"/>
          <w:sz w:val="20"/>
          <w:szCs w:val="20"/>
        </w:rPr>
        <w:fldChar w:fldCharType="separate"/>
      </w:r>
      <w:r>
        <w:rPr>
          <w:rStyle w:val="8"/>
          <w:rFonts w:hint="default" w:ascii="Times New Roman" w:hAnsi="Times New Roman" w:cs="Times New Roman"/>
          <w:b w:val="0"/>
          <w:bCs w:val="0"/>
          <w:sz w:val="20"/>
          <w:szCs w:val="20"/>
        </w:rPr>
        <w:t>10.7537/marsrsj14072</w:t>
      </w:r>
      <w:r>
        <w:rPr>
          <w:rFonts w:hint="default" w:ascii="Times New Roman" w:hAnsi="Times New Roman" w:cs="Times New Roman"/>
          <w:b w:val="0"/>
          <w:bCs w:val="0"/>
          <w:sz w:val="20"/>
          <w:szCs w:val="20"/>
        </w:rPr>
        <w:fldChar w:fldCharType="end"/>
      </w:r>
      <w:r>
        <w:rPr>
          <w:rStyle w:val="8"/>
          <w:rFonts w:hint="default" w:ascii="Times New Roman" w:hAnsi="Times New Roman" w:eastAsia="宋体" w:cs="Times New Roman"/>
          <w:b w:val="0"/>
          <w:bCs w:val="0"/>
          <w:sz w:val="20"/>
          <w:szCs w:val="20"/>
          <w:lang w:val="en-US" w:eastAsia="zh-CN"/>
        </w:rPr>
        <w:t>2</w:t>
      </w:r>
      <w:r>
        <w:rPr>
          <w:rStyle w:val="8"/>
          <w:rFonts w:hint="default" w:ascii="Times New Roman" w:hAnsi="Times New Roman" w:cs="Times New Roman"/>
          <w:b w:val="0"/>
          <w:bCs w:val="0"/>
          <w:sz w:val="20"/>
          <w:szCs w:val="20"/>
        </w:rPr>
        <w:t>.</w:t>
      </w:r>
      <w:r>
        <w:rPr>
          <w:rStyle w:val="8"/>
          <w:rFonts w:hint="default" w:ascii="Times New Roman" w:hAnsi="Times New Roman" w:cs="Times New Roman"/>
          <w:b w:val="0"/>
          <w:bCs w:val="0"/>
          <w:sz w:val="20"/>
          <w:szCs w:val="20"/>
          <w:lang w:val="en-US" w:eastAsia="zh-CN"/>
        </w:rPr>
        <w:t>0</w:t>
      </w:r>
      <w:r>
        <w:rPr>
          <w:rStyle w:val="8"/>
          <w:rFonts w:hint="eastAsia" w:ascii="Times New Roman" w:hAnsi="Times New Roman" w:cs="Times New Roman"/>
          <w:b w:val="0"/>
          <w:bCs w:val="0"/>
          <w:sz w:val="20"/>
          <w:szCs w:val="20"/>
          <w:lang w:val="en-US" w:eastAsia="zh-CN"/>
        </w:rPr>
        <w:t>6</w:t>
      </w:r>
      <w:r>
        <w:rPr>
          <w:rStyle w:val="8"/>
          <w:rFonts w:hint="default" w:ascii="Times New Roman" w:hAnsi="Times New Roman" w:cs="Times New Roman"/>
          <w:b w:val="0"/>
          <w:bCs w:val="0"/>
          <w:sz w:val="20"/>
          <w:szCs w:val="20"/>
        </w:rPr>
        <w:t>.</w:t>
      </w:r>
      <w:r>
        <w:rPr>
          <w:rFonts w:hint="default" w:ascii="Times New Roman" w:hAnsi="Times New Roman" w:cs="Times New Roman"/>
          <w:b/>
          <w:bCs/>
          <w:sz w:val="20"/>
          <w:szCs w:val="20"/>
          <w:lang w:val="en-US"/>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hint="default" w:ascii="Times New Roman" w:hAnsi="Times New Roman" w:cs="Times New Roman"/>
          <w:b/>
          <w:bCs/>
          <w:sz w:val="20"/>
          <w:szCs w:val="20"/>
          <w:lang w:val="en-US"/>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u w:val="single"/>
        </w:rPr>
        <w:t>KEY WORDS</w:t>
      </w:r>
      <w:r>
        <w:rPr>
          <w:rFonts w:hint="eastAsia" w:ascii="Times New Roman" w:hAnsi="Times New Roman" w:cs="Times New Roman"/>
          <w:b/>
          <w:sz w:val="20"/>
          <w:szCs w:val="20"/>
          <w:u w:val="single"/>
          <w:lang w:val="en-US" w:eastAsia="zh-CN"/>
        </w:rPr>
        <w:t>：</w:t>
      </w:r>
      <w:r>
        <w:rPr>
          <w:rFonts w:hint="default" w:ascii="Times New Roman" w:hAnsi="Times New Roman" w:cs="Times New Roman"/>
          <w:sz w:val="20"/>
          <w:szCs w:val="20"/>
        </w:rPr>
        <w:t xml:space="preserve">Artificial nests, common myna, orientation, breeding season.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38"/>
          <w:cols w:space="720" w:num="1"/>
          <w:titlePg/>
          <w:docGrid w:linePitch="360" w:charSpace="0"/>
        </w:sect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Introduction</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 order to overcome biological variety conservation concerns, cities may play an important role. The majority of research into the habitat requirements of various bird species has been on natural settings, with urban ecosystems being ignored. </w:t>
      </w:r>
      <w:r>
        <w:rPr>
          <w:rFonts w:hint="default" w:ascii="Times New Roman" w:hAnsi="Times New Roman" w:cs="Times New Roman"/>
          <w:sz w:val="20"/>
          <w:szCs w:val="20"/>
        </w:rPr>
        <w:fldChar w:fldCharType="begin" w:fldLock="1"/>
      </w:r>
      <w:r>
        <w:rPr>
          <w:rFonts w:hint="default" w:ascii="Times New Roman" w:hAnsi="Times New Roman" w:cs="Times New Roman"/>
          <w:sz w:val="20"/>
          <w:szCs w:val="20"/>
        </w:rPr>
        <w:instrText xml:space="preserve">ADDIN CSL_CITATION {"citationItems":[{"id":"ITEM-1","itemData":{"DOI":"10.1093/condor/102.4.838","ISSN":"00105422","abstract":"We studied nest predation pressure on birds along an urban gradient in urban parks in three Finnish towns. Artificial ground nests with Japanese Quail (Coturnix coturnix japonicus) eggs were depredated more in the urban area than in the adjacent forest area. Within each town, the nest predation rate was higher in the town center than in the less urbanized area of detached houses. Predation rates did not vary from year to year or between study towns. Abundances of generalist avian predators were higher in the town center than in the area of detached houses and in the surrounding forest area. Most of the nests in the town center were destroyed by avian predators. Predation rate of artificial nests in each of the town areas was higher in managed parks than in unmanaged parks, presumably due to the less dense vegetation in the managed than the unmanaged parks. A test involving covering nests revealed that artificial nests covered by adjacent vegetation survived better than nests with less cover. In our study, artificial nest loss reflected the distribution of avian nest predators. Ground nesters were present at lower abundances in areas where concealing vegetation was missing and avian nest predation was high. Apparently, nest predation is one of the several possible mechanism affecting urban bird assemblages.","author":[{"dropping-particle":"","family":"Jokimaki","given":"J.","non-dropping-particle":"","parse-names":false,"suffix":""},{"dropping-particle":"","family":"Huhta","given":"E.","non-dropping-particle":"","parse-names":false,"suffix":""}],"container-title":"Condor","id":"ITEM-1","issue":"4","issued":{"date-parts":[["2000"]]},"page":"838-847","title":"Artificial nest predation and abundance of birds along an urban gradient","type":"article-journal","volume":"102"},"uris":["http://www.mendeley.com/documents/?uuid=61bede79-380b-4876-b06d-f3b3622fc143"]}],"mendeley":{"formattedCitation":"(Jokimaki &amp; Huhta, 2000)","plainTextFormattedCitation":"(Jokimaki &amp; Huhta, 2000)","previouslyFormattedCitation":"(Jokimaki &amp; Huhta, 2000)"},"properties":{"noteIndex":0},"schema":"https://github.com/citation-style-language/schema/raw/master/csl-citation.json"}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(Jokimaki &amp; Huhta, 2000)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With the rapid expansion of urban and suburban development, as well as the resultant habitat alteration, it is evident that a better knowledge of the interactions between birds and urban ecosystems is essential. </w:t>
      </w:r>
      <w:r>
        <w:rPr>
          <w:rFonts w:hint="default" w:ascii="Times New Roman" w:hAnsi="Times New Roman" w:cs="Times New Roman"/>
          <w:sz w:val="20"/>
          <w:szCs w:val="20"/>
        </w:rPr>
        <w:fldChar w:fldCharType="begin" w:fldLock="1"/>
      </w:r>
      <w:r>
        <w:rPr>
          <w:rFonts w:hint="default" w:ascii="Times New Roman" w:hAnsi="Times New Roman" w:cs="Times New Roman"/>
          <w:sz w:val="20"/>
          <w:szCs w:val="20"/>
        </w:rPr>
        <w:instrText xml:space="preserve">ADDIN CSL_CITATION {"citationItems":[{"id":"ITEM-1","itemData":{"DOI":"10.1023/A:1008817325994","ISSN":"09603115","abstract":"Urban areas harbour diverse nature ranging from semi-natural habitats to wastelands, parks and other highly human-influenced biotopes with their associated species assemblages. Maintenance of this urban biodiversity for the residents and for its intrinsic value in the face of increasing population and expanding cities requires that ecological knowledge should be better integrated into urban planning. To achieve this goal understanding of ecological patterns and processes in urban ecosystems is needed. The first step in the necessary urban ecological research is to find out what kind of nature exists in cities. Second, knowledge about ecological processes important in urban nature is required. Although ecological processes in cities are the same as in rural areas, some of them, such as invasion by alien species, are more prevalent in urban than in rural conditions. Third, based on ecological knowledge, management schemes maintaining the diversity of urban nature should be designed. These procedures should also include protection of urban nature, e.g. in urban national parks. Finally, as ecology alone cannot provide the complex information about human influence on urban ecosystems, interdisciplinary research involving natural and social sciences is imperative for a holistic approach to integrating ecology into the process of urban planning.","author":[{"dropping-particle":"","family":"Niemelä","given":"Jari","non-dropping-particle":"","parse-names":false,"suffix":""}],"container-title":"Biodiversity and Conservation","id":"ITEM-1","issue":"1","issued":{"date-parts":[["1999"]]},"page":"119-131","title":"Ecology and urban planning","type":"article-journal","volume":"8"},"uris":["http://www.mendeley.com/documents/?uuid=8a05722b-a281-48c5-952a-0396e596cd64"]}],"mendeley":{"formattedCitation":"(Niemelä, 1999)","plainTextFormattedCitation":"(Niemelä, 1999)","previouslyFormattedCitation":"(Niemelä, 1999)"},"properties":{"noteIndex":0},"schema":"https://github.com/citation-style-language/schema/raw/master/csl-citation.json"}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(Niemelä, 1999)</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Artificial nests are frequently used to explore factors that influence the reproductive success of woodland birds. Artificial nests have the effect of allowing the researcher to count and distribute the number of nests in the study. Building artificial nests also takes less time than finding natural nests. The underlying assumption of utilizing artificial nests is that they can be a good alternative for real bird nests, and some researchers have found that disturbance rates on artificial nests are equal to disturbance rates on real nests (Wilson et al., 1998).</w:t>
      </w:r>
      <w:r>
        <w:rPr>
          <w:rFonts w:hint="default" w:ascii="Times New Roman" w:hAnsi="Times New Roman" w:cs="Times New Roman"/>
          <w:sz w:val="20"/>
          <w:szCs w:val="20"/>
        </w:rPr>
        <w:t xml:space="preserve"> </w:t>
      </w:r>
      <w:r>
        <w:rPr>
          <w:rFonts w:hint="default" w:ascii="Times New Roman" w:hAnsi="Times New Roman" w:cs="Times New Roman"/>
          <w:sz w:val="20"/>
          <w:szCs w:val="20"/>
        </w:rPr>
        <w:t>For artificial nests to be a useful tool for natural nest predation, researchers need a better understanding of how rates of predation on artificial nests compare to rates of predation on natural nests (Major, 1991).</w:t>
      </w:r>
      <w:r>
        <w:rPr>
          <w:rFonts w:hint="default" w:ascii="Times New Roman" w:hAnsi="Times New Roman" w:cs="Times New Roman"/>
          <w:sz w:val="20"/>
          <w:szCs w:val="20"/>
        </w:rPr>
        <w:t xml:space="preserve"> </w:t>
      </w:r>
      <w:r>
        <w:rPr>
          <w:rFonts w:hint="default" w:ascii="Times New Roman" w:hAnsi="Times New Roman" w:cs="Times New Roman"/>
          <w:sz w:val="20"/>
          <w:szCs w:val="20"/>
        </w:rPr>
        <w:t xml:space="preserve">Artificial nests differ from natural nests in a number of critical ways that may influence predation rates. If there is no incubating adult associated with built nests, a predator's ability to discover nests may be impeded. Predation rates on artificial nests may be higher if adults can either conceal or actively protect the natural nest from predators. If the behavior of adults attracts predators to natural nests, the absence of adults may result in lower rates of predation on constructed nests. (1987, Martin).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Mynas are abundant in all climate zones where they can survive. Mynas are members of the Sturnidae family and the Passeriformes order. (1983, Ali et al.).</w:t>
      </w:r>
      <w:r>
        <w:rPr>
          <w:rFonts w:hint="default" w:ascii="Times New Roman" w:hAnsi="Times New Roman" w:cs="Times New Roman"/>
          <w:sz w:val="20"/>
          <w:szCs w:val="20"/>
        </w:rPr>
        <w:t xml:space="preserve"> </w:t>
      </w:r>
      <w:r>
        <w:rPr>
          <w:rFonts w:hint="default" w:ascii="Times New Roman" w:hAnsi="Times New Roman" w:cs="Times New Roman"/>
          <w:sz w:val="20"/>
          <w:szCs w:val="20"/>
        </w:rPr>
        <w:t>The common myna is a small Asian bird that has spread throughout the world as a result of human introductions, whether accidental or planned. Common myna were found in areas with greater human population numbers and land transformation values more frequently than expected by chance (Peacock et al., 2007)</w:t>
      </w:r>
    </w:p>
    <w:p>
      <w:pPr>
        <w:keepNext/>
        <w:keepLines/>
        <w:pageBreakBefore w:val="0"/>
        <w:kinsoku/>
        <w:wordWrap/>
        <w:overflowPunct/>
        <w:topLinePunct w:val="0"/>
        <w:bidi w:val="0"/>
        <w:snapToGrid w:val="0"/>
        <w:spacing w:after="0" w:line="240" w:lineRule="auto"/>
        <w:jc w:val="both"/>
        <w:textAlignment w:val="auto"/>
        <w:outlineLvl w:val="0"/>
        <w:rPr>
          <w:rFonts w:hint="default" w:ascii="Times New Roman" w:hAnsi="Times New Roman" w:eastAsia="Times New Roman" w:cs="Times New Roman"/>
          <w:b/>
          <w:bCs/>
          <w:sz w:val="20"/>
          <w:szCs w:val="20"/>
          <w:u w:val="single"/>
        </w:rPr>
      </w:pPr>
      <w:r>
        <w:rPr>
          <w:rFonts w:hint="default" w:ascii="Times New Roman" w:hAnsi="Times New Roman" w:eastAsia="Times New Roman" w:cs="Times New Roman"/>
          <w:b/>
          <w:bCs/>
          <w:sz w:val="20"/>
          <w:szCs w:val="20"/>
          <w:u w:val="single"/>
        </w:rPr>
        <w:t>METHOD, METHODOLOGY AND STUDY AREA:</w:t>
      </w:r>
    </w:p>
    <w:p>
      <w:pPr>
        <w:keepNext/>
        <w:keepLines/>
        <w:pageBreakBefore w:val="0"/>
        <w:kinsoku/>
        <w:wordWrap/>
        <w:overflowPunct/>
        <w:topLinePunct w:val="0"/>
        <w:bidi w:val="0"/>
        <w:snapToGrid w:val="0"/>
        <w:spacing w:after="0" w:line="240" w:lineRule="auto"/>
        <w:jc w:val="both"/>
        <w:textAlignment w:val="auto"/>
        <w:outlineLvl w:val="0"/>
        <w:rPr>
          <w:rFonts w:hint="default" w:ascii="Times New Roman" w:hAnsi="Times New Roman" w:eastAsia="Times New Roman" w:cs="Times New Roman"/>
          <w:b/>
          <w:bCs/>
          <w:sz w:val="20"/>
          <w:szCs w:val="20"/>
          <w:u w:val="single"/>
        </w:rPr>
      </w:pPr>
      <w:r>
        <w:rPr>
          <w:rFonts w:hint="default" w:ascii="Times New Roman" w:hAnsi="Times New Roman" w:eastAsia="Times New Roman" w:cs="Times New Roman"/>
          <w:bCs/>
          <w:sz w:val="20"/>
          <w:szCs w:val="20"/>
        </w:rPr>
        <w:t>Factors were observed</w:t>
      </w:r>
      <w:r>
        <w:rPr>
          <w:rFonts w:hint="default" w:ascii="Times New Roman" w:hAnsi="Times New Roman" w:eastAsia="Calibri" w:cs="Times New Roman"/>
          <w:sz w:val="20"/>
          <w:szCs w:val="20"/>
        </w:rPr>
        <w:t xml:space="preserve"> in breeding season (March, 2022 to September, 2022). T</w:t>
      </w:r>
      <w:r>
        <w:rPr>
          <w:rFonts w:hint="default" w:ascii="Times New Roman" w:hAnsi="Times New Roman" w:eastAsia="Times New Roman" w:cs="Times New Roman"/>
          <w:bCs/>
          <w:sz w:val="20"/>
          <w:szCs w:val="20"/>
        </w:rPr>
        <w:t>wice a week by foot through transit line method, predators</w:t>
      </w:r>
      <w:r>
        <w:rPr>
          <w:rFonts w:hint="default" w:ascii="Times New Roman" w:hAnsi="Times New Roman" w:eastAsia="Calibri" w:cs="Times New Roman"/>
          <w:sz w:val="20"/>
          <w:szCs w:val="20"/>
        </w:rPr>
        <w:t xml:space="preserve"> were recorded and damage done was assessed at each site (site-A (University town), site-B (Rahat Abad), site-C (Qadir Abad) and site-D (Pelosi road).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STUDY AREA</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research work was carried out in Peshawar city, located in the wide valley, surrounded by four districts; Kohat, Charsadda, Khyber Agency and Nowshera. The total area of Peshawar city is 125 Km.sq and is positioned at (Latitude 34 °0150 ° N Longitude 71 °5805 ° E). It features a warm semi-arid weather, long summers and short, cool Winters. The winter season starts from mid-November to the end of March and summer starts from May to September. The mean temperature in summer ranges from 25 °c to over 40 °c.</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sectPr>
          <w:type w:val="continuous"/>
          <w:pgSz w:w="12240" w:h="15840"/>
          <w:pgMar w:top="1440" w:right="1440" w:bottom="1440" w:left="1440" w:header="720" w:footer="720" w:gutter="0"/>
          <w:pgNumType w:fmt="decimal"/>
          <w:cols w:equalWidth="0" w:num="2">
            <w:col w:w="4467" w:space="425"/>
            <w:col w:w="4467"/>
          </w:cols>
          <w:titlePg/>
          <w:docGrid w:linePitch="360" w:charSpace="0"/>
        </w:sectPr>
      </w:pPr>
      <w:r>
        <w:rPr>
          <w:rFonts w:hint="default" w:ascii="Times New Roman" w:hAnsi="Times New Roman" w:cs="Times New Roman"/>
          <w:b/>
          <w:sz w:val="20"/>
          <w:szCs w:val="20"/>
          <w:u w:val="single"/>
        </w:rPr>
        <w:t>RESULTS AND DISCUSSION</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lang w:eastAsia="zh-CN"/>
        </w:rPr>
        <w:drawing>
          <wp:inline distT="0" distB="0" distL="0" distR="0">
            <wp:extent cx="5962015" cy="4525010"/>
            <wp:effectExtent l="4445" t="4445" r="1524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napToGrid w:val="0"/>
        <w:spacing w:after="0" w:line="240" w:lineRule="auto"/>
        <w:textAlignment w:val="auto"/>
        <w:rPr>
          <w:rFonts w:hint="default" w:ascii="Times New Roman" w:hAnsi="Times New Roman" w:cs="Times New Roman"/>
          <w:b/>
          <w:sz w:val="20"/>
          <w:szCs w:val="20"/>
          <w:u w:val="single"/>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sectPr>
          <w:type w:val="continuous"/>
          <w:pgSz w:w="12240" w:h="15840"/>
          <w:pgMar w:top="1440" w:right="1440" w:bottom="1440" w:left="1440" w:header="720" w:footer="720" w:gutter="0"/>
          <w:pgNumType w:fmt="decimal"/>
          <w:cols w:space="425" w:num="1"/>
          <w:titlePg/>
          <w:docGrid w:linePitch="360" w:charSpace="0"/>
        </w:sect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Out of the total 28 artificial nests installed during breeding season of common myna at four different sites. All the Artificial nests installed at road side were left unattempt due to anthropogenic disturbances therein 02 nests boxes at site-A University town and at site-B Rahat Abad. Predation by pariah kite and common crow was observed over 02 nest boxes at site-D Palosi Road. Presence of common squirrels around 02 of the nest boxes at site-C, Qadir Abad, may be a possible reason for the nests to be left un attempted. Predation by Bats was observed at one of the nest boxes at site-A. 03 of the nest boxes were left un attempted at site-B, Rahat Abad due to installation of the nest boxes above the prescribed height for common myna.</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sectPr>
          <w:type w:val="continuous"/>
          <w:pgSz w:w="12240" w:h="15840"/>
          <w:pgMar w:top="1440" w:right="1440" w:bottom="1440" w:left="1440" w:header="720" w:footer="720" w:gutter="0"/>
          <w:pgNumType w:fmt="decimal"/>
          <w:cols w:equalWidth="0" w:num="2">
            <w:col w:w="4467" w:space="425"/>
            <w:col w:w="4467"/>
          </w:cols>
          <w:titlePg/>
          <w:docGrid w:linePitch="360" w:charSpace="0"/>
        </w:sect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STATISTICAL ANALYSIS</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Table 5 : Contingency Table</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1974"/>
        <w:gridCol w:w="1974"/>
        <w:gridCol w:w="1974"/>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NO OF NEST BOXES</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NO OF EGGS</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NO OF HATCHED EGGS</w:t>
            </w:r>
          </w:p>
        </w:tc>
        <w:tc>
          <w:tcPr>
            <w:tcW w:w="1123"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SITE-A</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    (9.24)</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15     (14.9)</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13  (11.9)</w:t>
            </w:r>
          </w:p>
        </w:tc>
        <w:tc>
          <w:tcPr>
            <w:tcW w:w="1123"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SITE-B</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    (6.42)</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10    (10.32) </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7    (8.25)</w:t>
            </w:r>
          </w:p>
        </w:tc>
        <w:tc>
          <w:tcPr>
            <w:tcW w:w="1123"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SITE-C</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    (5.13)</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      (8.25)</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    (6.60)</w:t>
            </w:r>
          </w:p>
        </w:tc>
        <w:tc>
          <w:tcPr>
            <w:tcW w:w="1123"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SITE-D</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    (7.19)</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12    (11.55)</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  (9.24)</w:t>
            </w:r>
          </w:p>
        </w:tc>
        <w:tc>
          <w:tcPr>
            <w:tcW w:w="1123"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TOTAL</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28</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45</w:t>
            </w:r>
          </w:p>
        </w:tc>
        <w:tc>
          <w:tcPr>
            <w:tcW w:w="1974"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36</w:t>
            </w:r>
          </w:p>
        </w:tc>
        <w:tc>
          <w:tcPr>
            <w:tcW w:w="1123"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109</w:t>
            </w:r>
          </w:p>
        </w:tc>
      </w:tr>
    </w:tbl>
    <w:p>
      <w:pPr>
        <w:pageBreakBefore w:val="0"/>
        <w:kinsoku/>
        <w:wordWrap/>
        <w:overflowPunct/>
        <w:topLinePunct w:val="0"/>
        <w:bidi w:val="0"/>
        <w:snapToGrid w:val="0"/>
        <w:spacing w:after="0" w:line="240" w:lineRule="auto"/>
        <w:ind w:left="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χ² cal = 1.3425;    χ² table = 12.59  at   df = 6, LS = 0.05</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TABLE 6 : Multiple Regression Model</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039"/>
        <w:gridCol w:w="1039"/>
        <w:gridCol w:w="1228"/>
        <w:gridCol w:w="1039"/>
        <w:gridCol w:w="1039"/>
        <w:gridCol w:w="1039"/>
        <w:gridCol w:w="103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038"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NO OF NEST BOXES          Y </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NO OF EGGS</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 xml:space="preserve">  X</w:t>
            </w:r>
            <w:r>
              <w:rPr>
                <w:rFonts w:hint="default" w:ascii="Times New Roman" w:hAnsi="Times New Roman" w:cs="Times New Roman"/>
                <w:b/>
                <w:sz w:val="20"/>
                <w:szCs w:val="20"/>
                <w:vertAlign w:val="subscript"/>
              </w:rPr>
              <w:t>1</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NO OF HATCHED EGGS</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  X</w:t>
            </w:r>
            <w:r>
              <w:rPr>
                <w:rFonts w:hint="default" w:ascii="Times New Roman" w:hAnsi="Times New Roman" w:cs="Times New Roman"/>
                <w:b/>
                <w:sz w:val="20"/>
                <w:szCs w:val="20"/>
                <w:vertAlign w:val="subscript"/>
              </w:rPr>
              <w:t>2</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 X</w:t>
            </w:r>
            <w:r>
              <w:rPr>
                <w:rFonts w:hint="default" w:ascii="Times New Roman" w:hAnsi="Times New Roman" w:cs="Times New Roman"/>
                <w:b/>
                <w:sz w:val="20"/>
                <w:szCs w:val="20"/>
                <w:vertAlign w:val="subscript"/>
              </w:rPr>
              <w:t>1</w:t>
            </w:r>
            <w:r>
              <w:rPr>
                <w:rFonts w:hint="default" w:ascii="Times New Roman" w:hAnsi="Times New Roman" w:cs="Times New Roman"/>
                <w:b/>
                <w:sz w:val="20"/>
                <w:szCs w:val="20"/>
              </w:rPr>
              <w:t>Y</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X</w:t>
            </w:r>
            <w:r>
              <w:rPr>
                <w:rFonts w:hint="default" w:ascii="Times New Roman" w:hAnsi="Times New Roman" w:cs="Times New Roman"/>
                <w:b/>
                <w:sz w:val="20"/>
                <w:szCs w:val="20"/>
                <w:vertAlign w:val="subscript"/>
              </w:rPr>
              <w:t>2</w:t>
            </w:r>
            <w:r>
              <w:rPr>
                <w:rFonts w:hint="default" w:ascii="Times New Roman" w:hAnsi="Times New Roman" w:cs="Times New Roman"/>
                <w:b/>
                <w:sz w:val="20"/>
                <w:szCs w:val="20"/>
              </w:rPr>
              <w:t>Y</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vertAlign w:val="subscript"/>
              </w:rPr>
            </w:pPr>
            <w:r>
              <w:rPr>
                <w:rFonts w:hint="default" w:ascii="Times New Roman" w:hAnsi="Times New Roman" w:cs="Times New Roman"/>
                <w:b/>
                <w:sz w:val="20"/>
                <w:szCs w:val="20"/>
              </w:rPr>
              <w:t>X</w:t>
            </w:r>
            <w:r>
              <w:rPr>
                <w:rFonts w:hint="default" w:ascii="Times New Roman" w:hAnsi="Times New Roman" w:cs="Times New Roman"/>
                <w:b/>
                <w:sz w:val="20"/>
                <w:szCs w:val="20"/>
                <w:vertAlign w:val="subscript"/>
              </w:rPr>
              <w:t>1</w:t>
            </w:r>
            <w:r>
              <w:rPr>
                <w:rFonts w:hint="default" w:ascii="Times New Roman" w:hAnsi="Times New Roman" w:cs="Times New Roman"/>
                <w:b/>
                <w:sz w:val="20"/>
                <w:szCs w:val="20"/>
              </w:rPr>
              <w:t>X</w:t>
            </w:r>
            <w:r>
              <w:rPr>
                <w:rFonts w:hint="default" w:ascii="Times New Roman" w:hAnsi="Times New Roman" w:cs="Times New Roman"/>
                <w:b/>
                <w:sz w:val="20"/>
                <w:szCs w:val="20"/>
                <w:vertAlign w:val="subscript"/>
              </w:rPr>
              <w:t>2</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vertAlign w:val="superscript"/>
              </w:rPr>
            </w:pPr>
            <w:r>
              <w:rPr>
                <w:rFonts w:hint="default" w:ascii="Times New Roman" w:hAnsi="Times New Roman" w:cs="Times New Roman"/>
                <w:b/>
                <w:sz w:val="20"/>
                <w:szCs w:val="20"/>
              </w:rPr>
              <w:t>X</w:t>
            </w:r>
            <w:r>
              <w:rPr>
                <w:rFonts w:hint="default" w:ascii="Times New Roman" w:hAnsi="Times New Roman" w:cs="Times New Roman"/>
                <w:b/>
                <w:sz w:val="20"/>
                <w:szCs w:val="20"/>
                <w:vertAlign w:val="subscript"/>
              </w:rPr>
              <w:t>1</w:t>
            </w:r>
            <w:r>
              <w:rPr>
                <w:rFonts w:hint="default" w:ascii="Times New Roman" w:hAnsi="Times New Roman" w:cs="Times New Roman"/>
                <w:b/>
                <w:sz w:val="20"/>
                <w:szCs w:val="20"/>
                <w:vertAlign w:val="superscript"/>
              </w:rPr>
              <w:t>2</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vertAlign w:val="superscript"/>
              </w:rPr>
            </w:pPr>
            <w:r>
              <w:rPr>
                <w:rFonts w:hint="default" w:ascii="Times New Roman" w:hAnsi="Times New Roman" w:cs="Times New Roman"/>
                <w:b/>
                <w:sz w:val="20"/>
                <w:szCs w:val="20"/>
              </w:rPr>
              <w:t>X</w:t>
            </w:r>
            <w:r>
              <w:rPr>
                <w:rFonts w:hint="default" w:ascii="Times New Roman" w:hAnsi="Times New Roman" w:cs="Times New Roman"/>
                <w:b/>
                <w:sz w:val="20"/>
                <w:szCs w:val="20"/>
                <w:vertAlign w:val="subscript"/>
              </w:rPr>
              <w:t>2</w:t>
            </w:r>
            <w:r>
              <w:rPr>
                <w:rFonts w:hint="default" w:ascii="Times New Roman" w:hAnsi="Times New Roman" w:cs="Times New Roman"/>
                <w:b/>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SITE-A</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15</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13</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104</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195</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225</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SITE-B</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7</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56</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70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SITE-C</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48</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36</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48</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64</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SITE-D</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12</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72</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38"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Y</m:t>
                  </m:r>
                  <m:ctrlPr>
                    <w:rPr>
                      <w:rFonts w:hint="default" w:ascii="Cambria Math" w:hAnsi="Cambria Math" w:cs="Times New Roman"/>
                      <w:i/>
                      <w:sz w:val="20"/>
                      <w:szCs w:val="20"/>
                    </w:rPr>
                  </m:ctrlPr>
                </m:e>
              </m:acc>
              <m:r>
                <m:rPr/>
                <w:rPr>
                  <w:rFonts w:hint="default" w:ascii="Cambria Math" w:hAnsi="Cambria Math" w:cs="Times New Roman"/>
                  <w:sz w:val="20"/>
                  <w:szCs w:val="20"/>
                </w:rPr>
                <m:t>=7</m:t>
              </m:r>
            </m:oMath>
            <w:r>
              <w:rPr>
                <w:rFonts w:hint="default" w:ascii="Times New Roman" w:hAnsi="Times New Roman" w:cs="Times New Roman"/>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X</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 xml:space="preserve">1 </m:t>
                  </m:r>
                  <m:ctrlPr>
                    <w:rPr>
                      <w:rFonts w:hint="default" w:ascii="Cambria Math" w:hAnsi="Cambria Math" w:cs="Times New Roman"/>
                      <w:i/>
                      <w:sz w:val="20"/>
                      <w:szCs w:val="20"/>
                    </w:rPr>
                  </m:ctrlPr>
                </m:sub>
              </m:sSub>
              <m:r>
                <m:rPr/>
                <w:rPr>
                  <w:rFonts w:hint="default" w:ascii="Cambria Math" w:hAnsi="Cambria Math" w:cs="Times New Roman"/>
                  <w:sz w:val="20"/>
                  <w:szCs w:val="20"/>
                </w:rPr>
                <m:t>=11.25</m:t>
              </m:r>
            </m:oMath>
            <w:r>
              <w:rPr>
                <w:rFonts w:hint="default" w:ascii="Times New Roman" w:hAnsi="Times New Roman" w:cs="Times New Roman"/>
                <w:sz w:val="20"/>
                <w:szCs w:val="20"/>
              </w:rPr>
              <w:t xml:space="preserve">                  </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X</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 xml:space="preserve">2 </m:t>
                  </m:r>
                  <m:ctrlPr>
                    <w:rPr>
                      <w:rFonts w:hint="default" w:ascii="Cambria Math" w:hAnsi="Cambria Math" w:cs="Times New Roman"/>
                      <w:i/>
                      <w:sz w:val="20"/>
                      <w:szCs w:val="20"/>
                    </w:rPr>
                  </m:ctrlPr>
                </m:sub>
              </m:sSub>
              <m:r>
                <m:rPr/>
                <w:rPr>
                  <w:rFonts w:hint="default" w:ascii="Cambria Math" w:hAnsi="Cambria Math" w:cs="Times New Roman"/>
                  <w:sz w:val="20"/>
                  <w:szCs w:val="20"/>
                </w:rPr>
                <m:t>=9</m:t>
              </m:r>
            </m:oMath>
            <w:r>
              <w:rPr>
                <w:rFonts w:hint="default" w:ascii="Times New Roman" w:hAnsi="Times New Roman" w:cs="Times New Roman"/>
                <w:sz w:val="20"/>
                <w:szCs w:val="20"/>
              </w:rPr>
              <w:tab/>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320</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256</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433</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533</w:t>
            </w:r>
          </w:p>
        </w:tc>
        <w:tc>
          <w:tcPr>
            <w:tcW w:w="1039" w:type="dxa"/>
          </w:tcPr>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354</w:t>
            </w:r>
          </w:p>
        </w:tc>
      </w:tr>
    </w:tbl>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acc>
              <m:accPr>
                <m:ctrlPr>
                  <w:rPr>
                    <w:rFonts w:hint="default" w:ascii="Cambria Math" w:hAnsi="Cambria Math" w:cs="Times New Roman"/>
                    <w:i/>
                    <w:sz w:val="20"/>
                    <w:szCs w:val="20"/>
                  </w:rPr>
                </m:ctrlPr>
              </m:accPr>
              <m:e>
                <m:r>
                  <m:rPr/>
                  <w:rPr>
                    <w:rFonts w:hint="default" w:ascii="Cambria Math" w:hAnsi="Cambria Math" w:cs="Times New Roman"/>
                    <w:sz w:val="20"/>
                    <w:szCs w:val="20"/>
                  </w:rPr>
                  <m:t>β</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1</m:t>
            </m:r>
            <m:ctrlPr>
              <w:rPr>
                <w:rFonts w:hint="default" w:ascii="Cambria Math" w:hAnsi="Cambria Math" w:cs="Times New Roman"/>
                <w:i/>
                <w:sz w:val="20"/>
                <w:szCs w:val="20"/>
              </w:rPr>
            </m:ctrlPr>
          </m:sub>
        </m:sSub>
        <m:r>
          <m:rPr/>
          <w:rPr>
            <w:rFonts w:hint="default" w:ascii="Cambria Math" w:hAnsi="Cambria Math" w:cs="Times New Roman"/>
            <w:sz w:val="20"/>
            <w:szCs w:val="20"/>
          </w:rPr>
          <m:t>=2.039</m:t>
        </m:r>
      </m:oMath>
      <w:r>
        <w:rPr>
          <w:rFonts w:hint="default" w:ascii="Times New Roman" w:hAnsi="Times New Roman" w:cs="Times New Roman"/>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acc>
              <m:accPr>
                <m:ctrlPr>
                  <w:rPr>
                    <w:rFonts w:hint="default" w:ascii="Cambria Math" w:hAnsi="Cambria Math" w:cs="Times New Roman"/>
                    <w:i/>
                    <w:sz w:val="20"/>
                    <w:szCs w:val="20"/>
                  </w:rPr>
                </m:ctrlPr>
              </m:accPr>
              <m:e>
                <m:r>
                  <m:rPr/>
                  <w:rPr>
                    <w:rFonts w:hint="default" w:ascii="Cambria Math" w:hAnsi="Cambria Math" w:cs="Times New Roman"/>
                    <w:sz w:val="20"/>
                    <w:szCs w:val="20"/>
                  </w:rPr>
                  <m:t>β</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2</m:t>
            </m:r>
            <m:ctrlPr>
              <w:rPr>
                <w:rFonts w:hint="default" w:ascii="Cambria Math" w:hAnsi="Cambria Math" w:cs="Times New Roman"/>
                <w:i/>
                <w:sz w:val="20"/>
                <w:szCs w:val="20"/>
              </w:rPr>
            </m:ctrlPr>
          </m:sub>
        </m:sSub>
        <m:r>
          <m:rPr/>
          <w:rPr>
            <w:rFonts w:hint="default" w:ascii="Cambria Math" w:hAnsi="Cambria Math" w:cs="Times New Roman"/>
            <w:sz w:val="20"/>
            <w:szCs w:val="20"/>
          </w:rPr>
          <m:t>=−177.03</m:t>
        </m:r>
      </m:oMath>
      <w:r>
        <w:rPr>
          <w:rFonts w:hint="default" w:ascii="Times New Roman" w:hAnsi="Times New Roman" w:cs="Times New Roman"/>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acc>
              <m:accPr>
                <m:ctrlPr>
                  <w:rPr>
                    <w:rFonts w:hint="default" w:ascii="Cambria Math" w:hAnsi="Cambria Math" w:cs="Times New Roman"/>
                    <w:i/>
                    <w:sz w:val="20"/>
                    <w:szCs w:val="20"/>
                  </w:rPr>
                </m:ctrlPr>
              </m:accPr>
              <m:e>
                <m:r>
                  <m:rPr/>
                  <w:rPr>
                    <w:rFonts w:hint="default" w:ascii="Cambria Math" w:hAnsi="Cambria Math" w:cs="Times New Roman"/>
                    <w:sz w:val="20"/>
                    <w:szCs w:val="20"/>
                  </w:rPr>
                  <m:t>β</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=0.006</m:t>
        </m:r>
      </m:oMath>
      <w:r>
        <w:rPr>
          <w:rFonts w:hint="default" w:ascii="Times New Roman" w:hAnsi="Times New Roman" w:cs="Times New Roman"/>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r>
          <m:rPr/>
          <w:rPr>
            <w:rFonts w:hint="default" w:ascii="Cambria Math" w:hAnsi="Cambria Math" w:cs="Times New Roman"/>
            <w:sz w:val="20"/>
            <w:szCs w:val="20"/>
          </w:rPr>
          <m:t xml:space="preserve">Y= </m:t>
        </m:r>
        <m:sSub>
          <m:sSubPr>
            <m:ctrlPr>
              <w:rPr>
                <w:rFonts w:hint="default" w:ascii="Cambria Math" w:hAnsi="Cambria Math" w:cs="Times New Roman"/>
                <w:i/>
                <w:sz w:val="20"/>
                <w:szCs w:val="20"/>
              </w:rPr>
            </m:ctrlPr>
          </m:sSubPr>
          <m:e>
            <m:acc>
              <m:accPr>
                <m:ctrlPr>
                  <w:rPr>
                    <w:rFonts w:hint="default" w:ascii="Cambria Math" w:hAnsi="Cambria Math" w:cs="Times New Roman"/>
                    <w:i/>
                    <w:sz w:val="20"/>
                    <w:szCs w:val="20"/>
                  </w:rPr>
                </m:ctrlPr>
              </m:accPr>
              <m:e>
                <m:r>
                  <m:rPr/>
                  <w:rPr>
                    <w:rFonts w:hint="default" w:ascii="Cambria Math" w:hAnsi="Cambria Math" w:cs="Times New Roman"/>
                    <w:sz w:val="20"/>
                    <w:szCs w:val="20"/>
                  </w:rPr>
                  <m:t>β</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 xml:space="preserve">+ </m:t>
        </m:r>
        <m:sSub>
          <m:sSubPr>
            <m:ctrlPr>
              <w:rPr>
                <w:rFonts w:hint="default" w:ascii="Cambria Math" w:hAnsi="Cambria Math" w:cs="Times New Roman"/>
                <w:i/>
                <w:sz w:val="20"/>
                <w:szCs w:val="20"/>
              </w:rPr>
            </m:ctrlPr>
          </m:sSubPr>
          <m:e>
            <m:acc>
              <m:accPr>
                <m:ctrlPr>
                  <w:rPr>
                    <w:rFonts w:hint="default" w:ascii="Cambria Math" w:hAnsi="Cambria Math" w:cs="Times New Roman"/>
                    <w:i/>
                    <w:sz w:val="20"/>
                    <w:szCs w:val="20"/>
                  </w:rPr>
                </m:ctrlPr>
              </m:accPr>
              <m:e>
                <m:r>
                  <m:rPr/>
                  <w:rPr>
                    <w:rFonts w:hint="default" w:ascii="Cambria Math" w:hAnsi="Cambria Math" w:cs="Times New Roman"/>
                    <w:sz w:val="20"/>
                    <w:szCs w:val="20"/>
                  </w:rPr>
                  <m:t>β</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1</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m:rPr/>
              <w:rPr>
                <w:rFonts w:hint="default" w:ascii="Cambria Math" w:hAnsi="Cambria Math" w:cs="Times New Roman"/>
                <w:sz w:val="20"/>
                <w:szCs w:val="20"/>
              </w:rPr>
              <m:t>X</m:t>
            </m:r>
            <m:ctrlPr>
              <w:rPr>
                <w:rFonts w:hint="default" w:ascii="Cambria Math" w:hAnsi="Cambria Math" w:cs="Times New Roman"/>
                <w:i/>
                <w:sz w:val="20"/>
                <w:szCs w:val="20"/>
              </w:rPr>
            </m:ctrlPr>
          </m:e>
          <m:sub>
            <m:r>
              <m:rPr/>
              <w:rPr>
                <w:rFonts w:hint="default" w:ascii="Cambria Math" w:hAnsi="Cambria Math" w:cs="Times New Roman"/>
                <w:sz w:val="20"/>
                <w:szCs w:val="20"/>
              </w:rPr>
              <m:t>1</m:t>
            </m:r>
            <m:ctrlPr>
              <w:rPr>
                <w:rFonts w:hint="default" w:ascii="Cambria Math" w:hAnsi="Cambria Math" w:cs="Times New Roman"/>
                <w:i/>
                <w:sz w:val="20"/>
                <w:szCs w:val="20"/>
              </w:rPr>
            </m:ctrlPr>
          </m:sub>
        </m:sSub>
        <m:r>
          <m:rPr/>
          <w:rPr>
            <w:rFonts w:hint="default" w:ascii="Cambria Math" w:hAnsi="Cambria Math" w:cs="Times New Roman"/>
            <w:sz w:val="20"/>
            <w:szCs w:val="20"/>
          </w:rPr>
          <m:t xml:space="preserve">+ </m:t>
        </m:r>
        <m:sSub>
          <m:sSubPr>
            <m:ctrlPr>
              <w:rPr>
                <w:rFonts w:hint="default" w:ascii="Cambria Math" w:hAnsi="Cambria Math" w:cs="Times New Roman"/>
                <w:i/>
                <w:sz w:val="20"/>
                <w:szCs w:val="20"/>
              </w:rPr>
            </m:ctrlPr>
          </m:sSubPr>
          <m:e>
            <m:acc>
              <m:accPr>
                <m:ctrlPr>
                  <w:rPr>
                    <w:rFonts w:hint="default" w:ascii="Cambria Math" w:hAnsi="Cambria Math" w:cs="Times New Roman"/>
                    <w:i/>
                    <w:sz w:val="20"/>
                    <w:szCs w:val="20"/>
                  </w:rPr>
                </m:ctrlPr>
              </m:accPr>
              <m:e>
                <m:r>
                  <m:rPr/>
                  <w:rPr>
                    <w:rFonts w:hint="default" w:ascii="Cambria Math" w:hAnsi="Cambria Math" w:cs="Times New Roman"/>
                    <w:sz w:val="20"/>
                    <w:szCs w:val="20"/>
                  </w:rPr>
                  <m:t>β</m:t>
                </m:r>
                <m:ctrlPr>
                  <w:rPr>
                    <w:rFonts w:hint="default" w:ascii="Cambria Math" w:hAnsi="Cambria Math" w:cs="Times New Roman"/>
                    <w:i/>
                    <w:sz w:val="20"/>
                    <w:szCs w:val="20"/>
                  </w:rPr>
                </m:ctrlPr>
              </m:e>
            </m:acc>
            <m:ctrlPr>
              <w:rPr>
                <w:rFonts w:hint="default" w:ascii="Cambria Math" w:hAnsi="Cambria Math" w:cs="Times New Roman"/>
                <w:i/>
                <w:sz w:val="20"/>
                <w:szCs w:val="20"/>
              </w:rPr>
            </m:ctrlPr>
          </m:e>
          <m:sub>
            <m:r>
              <m:rPr/>
              <w:rPr>
                <w:rFonts w:hint="default" w:ascii="Cambria Math" w:hAnsi="Cambria Math" w:cs="Times New Roman"/>
                <w:sz w:val="20"/>
                <w:szCs w:val="20"/>
              </w:rPr>
              <m:t>2</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m:rPr/>
              <w:rPr>
                <w:rFonts w:hint="default" w:ascii="Cambria Math" w:hAnsi="Cambria Math" w:cs="Times New Roman"/>
                <w:sz w:val="20"/>
                <w:szCs w:val="20"/>
              </w:rPr>
              <m:t>X</m:t>
            </m:r>
            <m:ctrlPr>
              <w:rPr>
                <w:rFonts w:hint="default" w:ascii="Cambria Math" w:hAnsi="Cambria Math" w:cs="Times New Roman"/>
                <w:i/>
                <w:sz w:val="20"/>
                <w:szCs w:val="20"/>
              </w:rPr>
            </m:ctrlPr>
          </m:e>
          <m:sub>
            <m:r>
              <m:rPr/>
              <w:rPr>
                <w:rFonts w:hint="default" w:ascii="Cambria Math" w:hAnsi="Cambria Math" w:cs="Times New Roman"/>
                <w:sz w:val="20"/>
                <w:szCs w:val="20"/>
              </w:rPr>
              <m:t>2</m:t>
            </m:r>
            <m:ctrlPr>
              <w:rPr>
                <w:rFonts w:hint="default" w:ascii="Cambria Math" w:hAnsi="Cambria Math" w:cs="Times New Roman"/>
                <w:i/>
                <w:sz w:val="20"/>
                <w:szCs w:val="20"/>
              </w:rPr>
            </m:ctrlPr>
          </m:sub>
        </m:sSub>
      </m:oMath>
      <w:r>
        <w:rPr>
          <w:rFonts w:hint="default" w:ascii="Times New Roman" w:hAnsi="Times New Roman" w:cs="Times New Roman"/>
          <w:sz w:val="20"/>
          <w:szCs w:val="20"/>
        </w:rPr>
        <w:t xml:space="preserve"> </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
        <m:r>
          <m:rPr/>
          <w:rPr>
            <w:rFonts w:hint="default" w:ascii="Cambria Math" w:hAnsi="Cambria Math" w:cs="Times New Roman"/>
            <w:sz w:val="20"/>
            <w:szCs w:val="20"/>
          </w:rPr>
          <m:t xml:space="preserve">Y=0.006+2.039 </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X</m:t>
            </m:r>
            <m:ctrlPr>
              <w:rPr>
                <w:rFonts w:hint="default" w:ascii="Cambria Math" w:hAnsi="Cambria Math" w:cs="Times New Roman"/>
                <w:i/>
                <w:sz w:val="20"/>
                <w:szCs w:val="20"/>
              </w:rPr>
            </m:ctrlPr>
          </m:e>
          <m:sub>
            <m:r>
              <m:rPr/>
              <w:rPr>
                <w:rFonts w:hint="default" w:ascii="Cambria Math" w:hAnsi="Cambria Math" w:cs="Times New Roman"/>
                <w:sz w:val="20"/>
                <w:szCs w:val="20"/>
              </w:rPr>
              <m:t>1</m:t>
            </m:r>
            <m:ctrlPr>
              <w:rPr>
                <w:rFonts w:hint="default" w:ascii="Cambria Math" w:hAnsi="Cambria Math" w:cs="Times New Roman"/>
                <w:i/>
                <w:sz w:val="20"/>
                <w:szCs w:val="20"/>
              </w:rPr>
            </m:ctrlPr>
          </m:sub>
        </m:sSub>
        <m:r>
          <m:rPr/>
          <w:rPr>
            <w:rFonts w:hint="default" w:ascii="Cambria Math" w:hAnsi="Cambria Math" w:cs="Times New Roman"/>
            <w:sz w:val="20"/>
            <w:szCs w:val="20"/>
          </w:rPr>
          <m:t xml:space="preserve">− 177.03 </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X</m:t>
            </m:r>
            <m:ctrlPr>
              <w:rPr>
                <w:rFonts w:hint="default" w:ascii="Cambria Math" w:hAnsi="Cambria Math" w:cs="Times New Roman"/>
                <w:i/>
                <w:sz w:val="20"/>
                <w:szCs w:val="20"/>
              </w:rPr>
            </m:ctrlPr>
          </m:e>
          <m:sub>
            <m:r>
              <m:rPr/>
              <w:rPr>
                <w:rFonts w:hint="default" w:ascii="Cambria Math" w:hAnsi="Cambria Math" w:cs="Times New Roman"/>
                <w:sz w:val="20"/>
                <w:szCs w:val="20"/>
              </w:rPr>
              <m:t>2</m:t>
            </m:r>
            <m:ctrlPr>
              <w:rPr>
                <w:rFonts w:hint="default" w:ascii="Cambria Math" w:hAnsi="Cambria Math" w:cs="Times New Roman"/>
                <w:i/>
                <w:sz w:val="20"/>
                <w:szCs w:val="20"/>
              </w:rPr>
            </m:ctrlPr>
          </m:sub>
        </m:sSub>
      </m:oMath>
      <w:r>
        <w:rPr>
          <w:rFonts w:hint="default" w:ascii="Times New Roman" w:hAnsi="Times New Roman" w:cs="Times New Roman"/>
          <w:sz w:val="20"/>
          <w:szCs w:val="20"/>
        </w:rPr>
        <w:t xml:space="preserve">                                             </w:t>
      </w:r>
      <w:r>
        <w:rPr>
          <w:rFonts w:hint="default" w:ascii="Times New Roman" w:hAnsi="Times New Roman" w:cs="Times New Roman"/>
          <w:sz w:val="20"/>
          <w:szCs w:val="20"/>
        </w:rPr>
        <w:br w:type="textWrapping"/>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sectPr>
          <w:type w:val="continuous"/>
          <w:pgSz w:w="12240" w:h="15840"/>
          <w:pgMar w:top="1440" w:right="1440" w:bottom="1440" w:left="1440" w:header="720" w:footer="720" w:gutter="0"/>
          <w:pgNumType w:fmt="decimal"/>
          <w:cols w:space="425" w:num="1"/>
          <w:titlePg/>
          <w:docGrid w:linePitch="360" w:charSpace="0"/>
        </w:sectPr>
      </w:pP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ACKNOWLEDGEMENT</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authors are highly grateful to </w:t>
      </w:r>
      <w:r>
        <w:rPr>
          <w:rFonts w:hint="default" w:ascii="Times New Roman" w:hAnsi="Times New Roman" w:cs="Times New Roman"/>
          <w:b/>
          <w:sz w:val="20"/>
          <w:szCs w:val="20"/>
        </w:rPr>
        <w:t>Mr. Safdar Ali Shah</w:t>
      </w:r>
      <w:r>
        <w:rPr>
          <w:rFonts w:hint="default" w:ascii="Times New Roman" w:hAnsi="Times New Roman" w:cs="Times New Roman"/>
          <w:sz w:val="20"/>
          <w:szCs w:val="20"/>
        </w:rPr>
        <w:t xml:space="preserve"> Additional Director General, PFI, </w:t>
      </w:r>
      <w:r>
        <w:rPr>
          <w:rFonts w:hint="default" w:ascii="Times New Roman" w:hAnsi="Times New Roman" w:cs="Times New Roman"/>
          <w:b/>
          <w:sz w:val="20"/>
          <w:szCs w:val="20"/>
        </w:rPr>
        <w:t>Dr. Sajjad Saeed</w:t>
      </w:r>
      <w:r>
        <w:rPr>
          <w:rFonts w:hint="default" w:ascii="Times New Roman" w:hAnsi="Times New Roman" w:cs="Times New Roman"/>
          <w:sz w:val="20"/>
          <w:szCs w:val="20"/>
        </w:rPr>
        <w:t xml:space="preserve"> Assistant Professor of Forestry, PFI, for their technical Guidance. We could not have managed this research work without their due support.</w:t>
      </w:r>
    </w:p>
    <w:p>
      <w:pPr>
        <w:pageBreakBefore w:val="0"/>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p>
    <w:p>
      <w:pPr>
        <w:pageBreakBefore w:val="0"/>
        <w:kinsoku/>
        <w:wordWrap/>
        <w:overflowPunct/>
        <w:topLinePunct w:val="0"/>
        <w:bidi w:val="0"/>
        <w:snapToGrid w:val="0"/>
        <w:spacing w:after="0" w:line="240" w:lineRule="auto"/>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References</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fldLock="1"/>
      </w:r>
      <w:r>
        <w:rPr>
          <w:rFonts w:hint="default" w:ascii="Times New Roman" w:hAnsi="Times New Roman" w:cs="Times New Roman"/>
          <w:sz w:val="20"/>
          <w:szCs w:val="20"/>
        </w:rPr>
        <w:instrText xml:space="preserve">ADDIN Mendeley Bibliography CSL_BIBLIOGRAPHY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 xml:space="preserve">Ali, S., Ripley, S. D., &amp; Delhi, N. (1983). </w:t>
      </w:r>
      <w:r>
        <w:rPr>
          <w:rFonts w:hint="default" w:ascii="Times New Roman" w:hAnsi="Times New Roman" w:cs="Times New Roman"/>
          <w:i/>
          <w:iCs/>
          <w:sz w:val="20"/>
          <w:szCs w:val="20"/>
        </w:rPr>
        <w:t>Handbook of Birds of India and Pakistan</w:t>
      </w:r>
      <w:r>
        <w:rPr>
          <w:rFonts w:hint="default" w:ascii="Times New Roman" w:hAnsi="Times New Roman" w:cs="Times New Roman"/>
          <w:sz w:val="20"/>
          <w:szCs w:val="20"/>
        </w:rPr>
        <w:t>. 67–68.</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Jokimaki, J., &amp; Huhta, E. (2000). Artificial nest predation and abundance of birds along an urban gradient. </w:t>
      </w:r>
      <w:r>
        <w:rPr>
          <w:rFonts w:hint="default" w:ascii="Times New Roman" w:hAnsi="Times New Roman" w:cs="Times New Roman"/>
          <w:i/>
          <w:iCs/>
          <w:sz w:val="20"/>
          <w:szCs w:val="20"/>
        </w:rPr>
        <w:t>Condor</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102</w:t>
      </w:r>
      <w:r>
        <w:rPr>
          <w:rFonts w:hint="default" w:ascii="Times New Roman" w:hAnsi="Times New Roman" w:cs="Times New Roman"/>
          <w:sz w:val="20"/>
          <w:szCs w:val="20"/>
        </w:rPr>
        <w:t>(4), 838–847. https://doi.org/10.1093/condor/102.4.838</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Major, R. E. (1991). Identification of nest predators by photography, dummy eggs, and adhesive tape. </w:t>
      </w:r>
      <w:r>
        <w:rPr>
          <w:rFonts w:hint="default" w:ascii="Times New Roman" w:hAnsi="Times New Roman" w:cs="Times New Roman"/>
          <w:i/>
          <w:iCs/>
          <w:sz w:val="20"/>
          <w:szCs w:val="20"/>
        </w:rPr>
        <w:t>Auk</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108</w:t>
      </w:r>
      <w:r>
        <w:rPr>
          <w:rFonts w:hint="default" w:ascii="Times New Roman" w:hAnsi="Times New Roman" w:cs="Times New Roman"/>
          <w:sz w:val="20"/>
          <w:szCs w:val="20"/>
        </w:rPr>
        <w:t>, 190–195.</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Martin, T. E. (1987). Artificial Nest Experiments: Effects of Nest Appearance and Type of Predator. </w:t>
      </w:r>
      <w:r>
        <w:rPr>
          <w:rFonts w:hint="default" w:ascii="Times New Roman" w:hAnsi="Times New Roman" w:cs="Times New Roman"/>
          <w:i/>
          <w:iCs/>
          <w:sz w:val="20"/>
          <w:szCs w:val="20"/>
        </w:rPr>
        <w:t>The Condor</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89</w:t>
      </w:r>
      <w:r>
        <w:rPr>
          <w:rFonts w:hint="default" w:ascii="Times New Roman" w:hAnsi="Times New Roman" w:cs="Times New Roman"/>
          <w:sz w:val="20"/>
          <w:szCs w:val="20"/>
        </w:rPr>
        <w:t>(4), 925. https://doi.org/10.2307/1368547</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Niemelä, J. (1999). Ecology and urban planning. </w:t>
      </w:r>
      <w:r>
        <w:rPr>
          <w:rFonts w:hint="default" w:ascii="Times New Roman" w:hAnsi="Times New Roman" w:cs="Times New Roman"/>
          <w:i/>
          <w:iCs/>
          <w:sz w:val="20"/>
          <w:szCs w:val="20"/>
        </w:rPr>
        <w:t>Biodiversity and Conservation</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8</w:t>
      </w:r>
      <w:r>
        <w:rPr>
          <w:rFonts w:hint="default" w:ascii="Times New Roman" w:hAnsi="Times New Roman" w:cs="Times New Roman"/>
          <w:sz w:val="20"/>
          <w:szCs w:val="20"/>
        </w:rPr>
        <w:t>(1), 119–131. https://doi.org/10.1023/A:1008817325994</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Peacock, D. S., Van Rensburg, B. J., &amp; Robertson, M. P. (2007). The distribution and spread of the invasive alien common myna, Acridotheres tristis L. (Aves: Sturnidae), in southern Africa. </w:t>
      </w:r>
      <w:r>
        <w:rPr>
          <w:rFonts w:hint="default" w:ascii="Times New Roman" w:hAnsi="Times New Roman" w:cs="Times New Roman"/>
          <w:i/>
          <w:iCs/>
          <w:sz w:val="20"/>
          <w:szCs w:val="20"/>
        </w:rPr>
        <w:t>South African Journal of Science</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103</w:t>
      </w:r>
      <w:r>
        <w:rPr>
          <w:rFonts w:hint="default" w:ascii="Times New Roman" w:hAnsi="Times New Roman" w:cs="Times New Roman"/>
          <w:sz w:val="20"/>
          <w:szCs w:val="20"/>
        </w:rPr>
        <w:t>(11–12), 465–473.</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hint="default" w:ascii="Times New Roman" w:hAnsi="Times New Roman" w:cs="Times New Roman"/>
          <w:sz w:val="20"/>
          <w:szCs w:val="20"/>
          <w:lang w:eastAsia="zh-CN"/>
        </w:rPr>
      </w:pPr>
      <w:r>
        <w:rPr>
          <w:rFonts w:hint="default" w:ascii="Times New Roman" w:hAnsi="Times New Roman" w:cs="Times New Roman"/>
          <w:sz w:val="20"/>
          <w:szCs w:val="20"/>
        </w:rPr>
        <w:t xml:space="preserve">Wilson, G. R., Brittingham, M. C., &amp; Goodrich, L. J. (1998). How well do artificial nests estimate success of real nests. </w:t>
      </w:r>
      <w:r>
        <w:rPr>
          <w:rFonts w:hint="default" w:ascii="Times New Roman" w:hAnsi="Times New Roman" w:cs="Times New Roman"/>
          <w:i/>
          <w:iCs/>
          <w:sz w:val="20"/>
          <w:szCs w:val="20"/>
        </w:rPr>
        <w:t>Condor</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100</w:t>
      </w:r>
      <w:r>
        <w:rPr>
          <w:rFonts w:hint="default" w:ascii="Times New Roman" w:hAnsi="Times New Roman" w:cs="Times New Roman"/>
          <w:sz w:val="20"/>
          <w:szCs w:val="20"/>
        </w:rPr>
        <w:t>(2), 357–364. https://doi.org/10.2307/1370277</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begin" w:fldLock="1"/>
      </w:r>
      <w:r>
        <w:rPr>
          <w:rFonts w:hint="default" w:ascii="Times New Roman" w:hAnsi="Times New Roman" w:cs="Times New Roman"/>
          <w:sz w:val="20"/>
          <w:szCs w:val="20"/>
        </w:rPr>
        <w:instrText xml:space="preserve">ADDIN CSL_CITATION {"citationItems":[{"id":"ITEM-1","itemData":{"DOI":"10.2307/1368547","ISSN":"00105422","abstract":"- effect of nest type on predn rate - nest type affected predn rate (artificial vs exreal bird nests)","author":[{"dropping-particle":"","family":"Martin","given":"Thomas E.","non-dropping-particle":"","parse-names":false,"suffix":""}],"container-title":"The Condor","id":"ITEM-1","issue":"4","issued":{"date-parts":[["1987"]]},"page":"925","title":"Artificial Nest Experiments: Effects of Nest Appearance and Type of Predator","type":"article-journal","volume":"89"},"uris":["http://www.mendeley.com/documents/?uuid=72183c11-ca3b-44ba-b92e-c22dd0d7ef10"]}],"mendeley":{"formattedCitation":"(Martin, 1987)","plainTextFormattedCitation":"(Martin, 1987)","previouslyFormattedCitation":"(Martin, 1987)"},"properties":{"noteIndex":0},"schema":"https://github.com/citation-style-language/schema/raw/master/csl-citation.json"}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(Martin, 1987)</w:t>
      </w:r>
      <w:r>
        <w:rPr>
          <w:rFonts w:hint="default" w:ascii="Times New Roman" w:hAnsi="Times New Roman" w:cs="Times New Roman"/>
          <w:sz w:val="20"/>
          <w:szCs w:val="20"/>
        </w:rPr>
        <w:fldChar w:fldCharType="end"/>
      </w:r>
    </w:p>
    <w:p>
      <w:pPr>
        <w:pageBreakBefore w:val="0"/>
        <w:widowControl w:val="0"/>
        <w:kinsoku/>
        <w:wordWrap/>
        <w:overflowPunct/>
        <w:topLinePunct w:val="0"/>
        <w:autoSpaceDE w:val="0"/>
        <w:autoSpaceDN w:val="0"/>
        <w:bidi w:val="0"/>
        <w:adjustRightInd w:val="0"/>
        <w:snapToGrid w:val="0"/>
        <w:spacing w:after="0" w:line="240" w:lineRule="auto"/>
        <w:ind w:left="480" w:hanging="480"/>
        <w:jc w:val="right"/>
        <w:textAlignment w:val="auto"/>
        <w:rPr>
          <w:rFonts w:hint="default" w:ascii="Times New Roman" w:hAnsi="Times New Roman" w:cs="Times New Roman"/>
          <w:sz w:val="20"/>
          <w:szCs w:val="20"/>
          <w:lang w:eastAsia="zh-CN"/>
        </w:rPr>
      </w:pPr>
      <w:bookmarkStart w:id="0" w:name="_GoBack"/>
      <w:bookmarkEnd w:id="0"/>
      <w:r>
        <w:rPr>
          <w:rFonts w:hint="default" w:ascii="Times New Roman" w:hAnsi="Times New Roman" w:cs="Times New Roman"/>
          <w:sz w:val="20"/>
          <w:szCs w:val="20"/>
          <w:lang w:eastAsia="zh-CN"/>
        </w:rPr>
        <w:t>7/22/2022</w:t>
      </w:r>
    </w:p>
    <w:sectPr>
      <w:type w:val="continuous"/>
      <w:pgSz w:w="12240" w:h="15840"/>
      <w:pgMar w:top="1440" w:right="1440" w:bottom="1440" w:left="1440" w:header="720" w:footer="720" w:gutter="0"/>
      <w:pgNumType w:fmt="decimal"/>
      <w:cols w:equalWidth="0" w:num="2">
        <w:col w:w="4467" w:space="425"/>
        <w:col w:w="4467"/>
      </w:cols>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left:230.5pt;margin-top:11.2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left:226.75pt;margin-top:12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default" w:ascii="Times New Roman" w:hAnsi="Times New Roman" w:eastAsia="宋体" w:cs="Times New Roman"/>
        <w:iCs/>
        <w:sz w:val="20"/>
        <w:szCs w:val="20"/>
        <w:lang w:val="en-US" w:eastAsia="zh-CN"/>
      </w:rPr>
      <w:t>2</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14</w:t>
    </w:r>
    <w:r>
      <w:rPr>
        <w:rFonts w:hint="default" w:ascii="Times New Roman" w:hAnsi="Times New Roman" w:cs="Times New Roman"/>
        <w:iCs/>
        <w:sz w:val="20"/>
        <w:szCs w:val="20"/>
      </w:rPr>
      <w:t>(</w:t>
    </w:r>
    <w:r>
      <w:rPr>
        <w:rFonts w:hint="eastAsia" w:ascii="Times New Roman" w:hAnsi="Times New Roman" w:cs="Times New Roman"/>
        <w:iCs/>
        <w:sz w:val="20"/>
        <w:szCs w:val="20"/>
        <w:lang w:val="en-US" w:eastAsia="zh-CN"/>
      </w:rPr>
      <w:t>7</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eastAsia="宋体"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ascii="Times New Roman" w:hAnsi="Times New Roman"/>
        <w:b/>
        <w:bCs/>
        <w:sz w:val="20"/>
        <w:szCs w:val="20"/>
        <w:lang w:val="en-US"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3032C"/>
    <w:multiLevelType w:val="multilevel"/>
    <w:tmpl w:val="6013032C"/>
    <w:lvl w:ilvl="0" w:tentative="0">
      <w:start w:val="1"/>
      <w:numFmt w:val="decimal"/>
      <w:lvlText w:val="[%1]."/>
      <w:lvlJc w:val="left"/>
      <w:pPr>
        <w:ind w:left="720" w:hanging="360"/>
      </w:pPr>
      <w:rPr>
        <w:rFonts w:hint="default"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95C80"/>
    <w:rsid w:val="00021354"/>
    <w:rsid w:val="000A788F"/>
    <w:rsid w:val="001326F3"/>
    <w:rsid w:val="00136439"/>
    <w:rsid w:val="00182EAB"/>
    <w:rsid w:val="001A553E"/>
    <w:rsid w:val="00244E4F"/>
    <w:rsid w:val="00305AFD"/>
    <w:rsid w:val="003A1270"/>
    <w:rsid w:val="00430E3A"/>
    <w:rsid w:val="00437A94"/>
    <w:rsid w:val="00555828"/>
    <w:rsid w:val="005A6FF4"/>
    <w:rsid w:val="00666DC2"/>
    <w:rsid w:val="00680D1F"/>
    <w:rsid w:val="006D0CB8"/>
    <w:rsid w:val="00787454"/>
    <w:rsid w:val="0085528D"/>
    <w:rsid w:val="00865417"/>
    <w:rsid w:val="008B6DAD"/>
    <w:rsid w:val="008C12C2"/>
    <w:rsid w:val="008D60F0"/>
    <w:rsid w:val="00941FAB"/>
    <w:rsid w:val="00965173"/>
    <w:rsid w:val="009825AC"/>
    <w:rsid w:val="009C34CE"/>
    <w:rsid w:val="00A6062A"/>
    <w:rsid w:val="00A8736A"/>
    <w:rsid w:val="00AA2F8B"/>
    <w:rsid w:val="00AC2393"/>
    <w:rsid w:val="00AE7168"/>
    <w:rsid w:val="00AF2FBC"/>
    <w:rsid w:val="00AF6C44"/>
    <w:rsid w:val="00B6349A"/>
    <w:rsid w:val="00C1686F"/>
    <w:rsid w:val="00C842A2"/>
    <w:rsid w:val="00D316A4"/>
    <w:rsid w:val="00D95C80"/>
    <w:rsid w:val="00EE2371"/>
    <w:rsid w:val="55716D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Balloon Text Char"/>
    <w:basedOn w:val="7"/>
    <w:link w:val="2"/>
    <w:semiHidden/>
    <w:uiPriority w:val="99"/>
    <w:rPr>
      <w:rFonts w:ascii="Tahoma" w:hAnsi="Tahoma" w:cs="Tahoma"/>
      <w:sz w:val="16"/>
      <w:szCs w:val="16"/>
    </w:rPr>
  </w:style>
  <w:style w:type="table" w:customStyle="1" w:styleId="10">
    <w:name w:val="Table Grid1"/>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Factors Responsible for the Unattempted Nests</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fld id="{387e83ae-7f5a-49c3-8a6f-a321fbe9481f}" type="CATEGORYNAME">
                      <a:t>[CATEGORY NAME]</a:t>
                    </a:fld>
                    <a:r>
                      <a:t>,</a:t>
                    </a:r>
                    <a:fld id="{58de3c50-1601-43bc-9a9f-5b6e74dbbdbb}" type="VALUE">
                      <a:t>[VALUE]</a:t>
                    </a:fld>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fld id="{254095df-f47c-47b3-bbb2-100338cf2ae5}" type="CATEGORYNAME">
                      <a:t>[CATEGORY NAME]</a:t>
                    </a:fld>
                    <a:r>
                      <a:t>,</a:t>
                    </a:r>
                    <a:fld id="{4cc23a78-6cb3-4641-9739-116f39417ec6}" type="VALUE">
                      <a:t>[VALUE]</a:t>
                    </a:fld>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fld id="{e21dffb4-9c83-40eb-8bd0-13c616ebd4df}" type="CATEGORYNAME">
                      <a:t>[CATEGORY NAME]</a:t>
                    </a:fld>
                    <a:r>
                      <a:t>,</a:t>
                    </a:r>
                    <a:fld id="{a1a889ff-88a6-46a8-bbfd-d9cba404af75}" type="VALUE">
                      <a:t>[VALUE]</a:t>
                    </a:fld>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spAutoFit/>
                  </a:bodyPr>
                  <a:lstStyle/>
                  <a:p>
                    <a:fld id="{b2e5be9e-9e45-478f-8106-40ced78f5c64}" type="CATEGORYNAME">
                      <a:t>[CATEGORY NAME]</a:t>
                    </a:fld>
                    <a:r>
                      <a:t>,</a:t>
                    </a:r>
                    <a:fld id="{7eef0c6a-9614-4423-9490-15d7703a152f}" type="VALUE">
                      <a:t>[VALUE]</a:t>
                    </a:fld>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spAutoFit/>
                  </a:bodyPr>
                  <a:lstStyle/>
                  <a:p>
                    <a:fld id="{c315b3fa-ff21-4136-be73-013997ba0d3e}" type="CATEGORYNAME">
                      <a:t>[CATEGORY NAME]</a:t>
                    </a:fld>
                    <a:r>
                      <a:t>,</a:t>
                    </a:r>
                    <a:fld id="{13a16e8d-23ff-4400-94f0-346731e21b19}" type="VALUE">
                      <a:t>[VALUE]</a:t>
                    </a:fld>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Installation above prescribed height</c:v>
                </c:pt>
                <c:pt idx="1">
                  <c:v>Presence of common squirrels</c:v>
                </c:pt>
                <c:pt idx="2">
                  <c:v>Predation by Pariah kite &amp; common crow</c:v>
                </c:pt>
                <c:pt idx="3">
                  <c:v>Anthropogenic Disturbance</c:v>
                </c:pt>
                <c:pt idx="4">
                  <c:v>Predation by Bats</c:v>
                </c:pt>
              </c:strCache>
            </c:strRef>
          </c:cat>
          <c:val>
            <c:numRef>
              <c:f>Sheet1!$B$2:$B$6</c:f>
              <c:numCache>
                <c:formatCode>0%</c:formatCode>
                <c:ptCount val="5"/>
                <c:pt idx="0">
                  <c:v>0.3</c:v>
                </c:pt>
                <c:pt idx="1">
                  <c:v>0.2</c:v>
                </c:pt>
                <c:pt idx="2">
                  <c:v>0.2</c:v>
                </c:pt>
                <c:pt idx="3">
                  <c:v>0.2</c:v>
                </c:pt>
                <c:pt idx="4">
                  <c:v>0.1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38888-3C01-45F0-BDAB-C87CBC3B2E55}">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1903</Words>
  <Characters>10851</Characters>
  <Lines>90</Lines>
  <Paragraphs>25</Paragraphs>
  <TotalTime>1</TotalTime>
  <ScaleCrop>false</ScaleCrop>
  <LinksUpToDate>false</LinksUpToDate>
  <CharactersWithSpaces>12729</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2022-07-15T23:24:00Z</dcterms:created>
  <dc:creator>shah</dc:creator>
  <cp:lastModifiedBy>A</cp:lastModifiedBy>
  <dcterms:modified xsi:type="dcterms:W3CDTF">2022-08-02T03:42:20Z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9729d1f2-d11c-301f-ba77-617332e4abc6</vt:lpwstr>
  </property>
  <property fmtid="{D5CDD505-2E9C-101B-9397-08002B2CF9AE}" pid="24" name="Mendeley Citation Style_1">
    <vt:lpwstr>http://www.zotero.org/styles/apa</vt:lpwstr>
  </property>
  <property fmtid="{D5CDD505-2E9C-101B-9397-08002B2CF9AE}" pid="25" name="KSOProductBuildVer">
    <vt:lpwstr>2052-11.1.0.11551</vt:lpwstr>
  </property>
  <property fmtid="{D5CDD505-2E9C-101B-9397-08002B2CF9AE}" pid="26" name="ICV">
    <vt:lpwstr>5E000000FBBF40FCB18662A929D96463</vt:lpwstr>
  </property>
</Properties>
</file>