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88" w:rsidRDefault="00700588">
      <w:pPr>
        <w:snapToGrid w:val="0"/>
        <w:spacing w:after="0" w:line="240" w:lineRule="auto"/>
        <w:ind w:left="0" w:firstLine="0"/>
        <w:jc w:val="center"/>
        <w:rPr>
          <w:rFonts w:ascii="Times New Roman" w:hAnsi="Times New Roman" w:cs="Times New Roman"/>
          <w:b/>
          <w:bCs/>
          <w:sz w:val="20"/>
          <w:szCs w:val="20"/>
        </w:rPr>
      </w:pPr>
    </w:p>
    <w:p w:rsidR="00700588" w:rsidRDefault="00021E93">
      <w:pPr>
        <w:snapToGrid w:val="0"/>
        <w:spacing w:after="0" w:line="240" w:lineRule="auto"/>
        <w:ind w:left="0" w:firstLine="0"/>
        <w:jc w:val="center"/>
        <w:rPr>
          <w:rFonts w:ascii="Times New Roman" w:hAnsi="Times New Roman" w:cs="Times New Roman"/>
          <w:b/>
          <w:bCs/>
          <w:iCs/>
          <w:sz w:val="20"/>
          <w:szCs w:val="20"/>
        </w:rPr>
      </w:pPr>
      <w:r>
        <w:rPr>
          <w:rFonts w:ascii="Times New Roman" w:hAnsi="Times New Roman" w:cs="Times New Roman"/>
          <w:b/>
          <w:bCs/>
          <w:sz w:val="20"/>
          <w:szCs w:val="20"/>
        </w:rPr>
        <w:t xml:space="preserve">The Impact of Long-lasting Insecticides Nets on the Entomological     Inoculation Rate of </w:t>
      </w:r>
      <w:r>
        <w:rPr>
          <w:rFonts w:ascii="Times New Roman" w:hAnsi="Times New Roman" w:cs="Times New Roman"/>
          <w:b/>
          <w:bCs/>
          <w:i/>
          <w:iCs/>
          <w:sz w:val="20"/>
          <w:szCs w:val="20"/>
        </w:rPr>
        <w:t xml:space="preserve">Anopheles </w:t>
      </w:r>
      <w:proofErr w:type="spellStart"/>
      <w:r>
        <w:rPr>
          <w:rFonts w:ascii="Times New Roman" w:hAnsi="Times New Roman" w:cs="Times New Roman"/>
          <w:b/>
          <w:bCs/>
          <w:i/>
          <w:iCs/>
          <w:sz w:val="20"/>
          <w:szCs w:val="20"/>
        </w:rPr>
        <w:t>gambiae</w:t>
      </w:r>
      <w:proofErr w:type="spellEnd"/>
      <w:r>
        <w:rPr>
          <w:rFonts w:ascii="Times New Roman" w:hAnsi="Times New Roman" w:cs="Times New Roman"/>
          <w:b/>
          <w:bCs/>
          <w:iCs/>
          <w:sz w:val="20"/>
          <w:szCs w:val="20"/>
        </w:rPr>
        <w:t xml:space="preserve"> in some Rural Communities of the FCT Abuja Nigeria.</w:t>
      </w:r>
    </w:p>
    <w:p w:rsidR="00700588" w:rsidRDefault="00700588">
      <w:pPr>
        <w:snapToGrid w:val="0"/>
        <w:spacing w:after="0" w:line="240" w:lineRule="auto"/>
        <w:ind w:left="0" w:firstLine="0"/>
        <w:jc w:val="center"/>
        <w:rPr>
          <w:rFonts w:ascii="Times New Roman" w:hAnsi="Times New Roman" w:cs="Times New Roman"/>
          <w:b/>
          <w:bCs/>
          <w:iCs/>
          <w:sz w:val="20"/>
          <w:szCs w:val="20"/>
        </w:rPr>
      </w:pPr>
    </w:p>
    <w:p w:rsidR="00700588" w:rsidRDefault="00021E93" w:rsidP="00A2054F">
      <w:pPr>
        <w:snapToGrid w:val="0"/>
        <w:spacing w:after="0" w:line="240" w:lineRule="auto"/>
        <w:ind w:left="0" w:firstLine="0"/>
        <w:jc w:val="center"/>
        <w:rPr>
          <w:rFonts w:ascii="Times New Roman" w:hAnsi="Times New Roman" w:cs="Times New Roman"/>
          <w:iCs/>
          <w:sz w:val="20"/>
          <w:szCs w:val="20"/>
        </w:rPr>
      </w:pPr>
      <w:r>
        <w:rPr>
          <w:rFonts w:ascii="Times New Roman" w:hAnsi="Times New Roman" w:cs="Times New Roman"/>
          <w:sz w:val="20"/>
          <w:szCs w:val="20"/>
        </w:rPr>
        <w:t xml:space="preserve">J.A </w:t>
      </w:r>
      <w:proofErr w:type="spellStart"/>
      <w:r>
        <w:rPr>
          <w:rFonts w:ascii="Times New Roman" w:hAnsi="Times New Roman" w:cs="Times New Roman"/>
          <w:sz w:val="20"/>
          <w:szCs w:val="20"/>
        </w:rPr>
        <w:t>Ayeni</w:t>
      </w:r>
      <w:proofErr w:type="spellEnd"/>
      <w:r>
        <w:rPr>
          <w:rFonts w:ascii="Times New Roman" w:hAnsi="Times New Roman" w:cs="Times New Roman"/>
          <w:sz w:val="20"/>
          <w:szCs w:val="20"/>
        </w:rPr>
        <w:t xml:space="preserve">, Y.D </w:t>
      </w:r>
      <w:proofErr w:type="spellStart"/>
      <w:r>
        <w:rPr>
          <w:rFonts w:ascii="Times New Roman" w:hAnsi="Times New Roman" w:cs="Times New Roman"/>
          <w:sz w:val="20"/>
          <w:szCs w:val="20"/>
        </w:rPr>
        <w:t>Malann</w:t>
      </w:r>
      <w:proofErr w:type="spellEnd"/>
      <w:r>
        <w:rPr>
          <w:rFonts w:ascii="Times New Roman" w:hAnsi="Times New Roman" w:cs="Times New Roman"/>
          <w:sz w:val="20"/>
          <w:szCs w:val="20"/>
        </w:rPr>
        <w:t xml:space="preserve">, C.A </w:t>
      </w:r>
      <w:proofErr w:type="spellStart"/>
      <w:r>
        <w:rPr>
          <w:rFonts w:ascii="Times New Roman" w:hAnsi="Times New Roman" w:cs="Times New Roman"/>
          <w:sz w:val="20"/>
          <w:szCs w:val="20"/>
        </w:rPr>
        <w:t>Olanrewaju</w:t>
      </w:r>
      <w:proofErr w:type="spellEnd"/>
      <w:r>
        <w:rPr>
          <w:rFonts w:ascii="Times New Roman" w:hAnsi="Times New Roman" w:cs="Times New Roman"/>
          <w:sz w:val="20"/>
          <w:szCs w:val="20"/>
        </w:rPr>
        <w:t xml:space="preserve">, H.U </w:t>
      </w:r>
      <w:proofErr w:type="spellStart"/>
      <w:r>
        <w:rPr>
          <w:rFonts w:ascii="Times New Roman" w:hAnsi="Times New Roman" w:cs="Times New Roman"/>
          <w:sz w:val="20"/>
          <w:szCs w:val="20"/>
        </w:rPr>
        <w:t>Wintola</w:t>
      </w:r>
      <w:proofErr w:type="spellEnd"/>
    </w:p>
    <w:p w:rsidR="00700588" w:rsidRDefault="00700588">
      <w:pPr>
        <w:snapToGrid w:val="0"/>
        <w:spacing w:after="0" w:line="240" w:lineRule="auto"/>
        <w:ind w:left="0" w:firstLine="0"/>
        <w:jc w:val="center"/>
        <w:rPr>
          <w:rFonts w:ascii="Times New Roman" w:hAnsi="Times New Roman" w:cs="Times New Roman"/>
          <w:sz w:val="20"/>
          <w:szCs w:val="20"/>
        </w:rPr>
      </w:pPr>
    </w:p>
    <w:p w:rsidR="00700588" w:rsidRDefault="00021E93">
      <w:pPr>
        <w:snapToGrid w:val="0"/>
        <w:spacing w:after="0"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Department of Biological Sciences, University of Abuja, PMB 119 Abuja Nigeria</w:t>
      </w:r>
    </w:p>
    <w:p w:rsidR="00700588" w:rsidRDefault="00021E93">
      <w:pPr>
        <w:snapToGrid w:val="0"/>
        <w:spacing w:after="0"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Department of Biological Sciences, University of Abuja, PMB 119 Abuja Nigeria</w:t>
      </w:r>
    </w:p>
    <w:p w:rsidR="00700588" w:rsidRDefault="00021E93">
      <w:pPr>
        <w:snapToGrid w:val="0"/>
        <w:spacing w:after="0"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Department of Biological Sciences, University of Abuja, PMB 119 Abuja Nigeria</w:t>
      </w:r>
    </w:p>
    <w:p w:rsidR="00700588" w:rsidRDefault="00021E93">
      <w:pPr>
        <w:snapToGrid w:val="0"/>
        <w:spacing w:after="0"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Department of Biological Sciences, University of Abuja, PMB 119 Abuja Nigeria</w:t>
      </w:r>
    </w:p>
    <w:p w:rsidR="00700588" w:rsidRDefault="00700588">
      <w:pPr>
        <w:snapToGrid w:val="0"/>
        <w:spacing w:after="0" w:line="240" w:lineRule="auto"/>
        <w:ind w:left="0" w:firstLine="0"/>
        <w:rPr>
          <w:rFonts w:ascii="Times New Roman" w:hAnsi="Times New Roman" w:cs="Times New Roman"/>
          <w:sz w:val="20"/>
          <w:szCs w:val="20"/>
        </w:rPr>
      </w:pPr>
    </w:p>
    <w:p w:rsidR="00700588" w:rsidRDefault="00021E93">
      <w:p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hAnsi="Times New Roman" w:cs="Times New Roman"/>
          <w:sz w:val="20"/>
          <w:szCs w:val="20"/>
        </w:rPr>
        <w:t xml:space="preserve"> The study on the Impact of Long-lasting Insecticides Net on the Entomological Inoculation Rate of </w:t>
      </w:r>
      <w:r>
        <w:rPr>
          <w:rFonts w:ascii="Times New Roman" w:hAnsi="Times New Roman" w:cs="Times New Roman"/>
          <w:i/>
          <w:iCs/>
          <w:sz w:val="20"/>
          <w:szCs w:val="20"/>
        </w:rPr>
        <w:t xml:space="preserve">Anopheles </w:t>
      </w:r>
      <w:proofErr w:type="spellStart"/>
      <w:r>
        <w:rPr>
          <w:rFonts w:ascii="Times New Roman" w:hAnsi="Times New Roman" w:cs="Times New Roman"/>
          <w:i/>
          <w:iCs/>
          <w:sz w:val="20"/>
          <w:szCs w:val="20"/>
        </w:rPr>
        <w:t>gambiae</w:t>
      </w:r>
      <w:proofErr w:type="spellEnd"/>
      <w:r>
        <w:rPr>
          <w:rFonts w:ascii="Times New Roman" w:hAnsi="Times New Roman" w:cs="Times New Roman"/>
          <w:sz w:val="20"/>
          <w:szCs w:val="20"/>
        </w:rPr>
        <w:t xml:space="preserve"> in some communities of the FCT was carried out from April 2019 to March 2020 to access the influence of Long-lasting insecticides treated net on the level of malaria transmission. Pyrethrum spray catches and CDC light trapping methods were used to collect </w:t>
      </w:r>
      <w:proofErr w:type="spellStart"/>
      <w:r>
        <w:rPr>
          <w:rFonts w:ascii="Times New Roman" w:hAnsi="Times New Roman" w:cs="Times New Roman"/>
          <w:sz w:val="20"/>
          <w:szCs w:val="20"/>
        </w:rPr>
        <w:t>mosquitos</w:t>
      </w:r>
      <w:proofErr w:type="spellEnd"/>
      <w:r>
        <w:rPr>
          <w:rFonts w:ascii="Times New Roman" w:hAnsi="Times New Roman" w:cs="Times New Roman"/>
          <w:sz w:val="20"/>
          <w:szCs w:val="20"/>
        </w:rPr>
        <w:t xml:space="preserve"> three times in a month in households with net and without net. The collected </w:t>
      </w:r>
      <w:proofErr w:type="spellStart"/>
      <w:r>
        <w:rPr>
          <w:rFonts w:ascii="Times New Roman" w:hAnsi="Times New Roman" w:cs="Times New Roman"/>
          <w:sz w:val="20"/>
          <w:szCs w:val="20"/>
        </w:rPr>
        <w:t>mosquitos</w:t>
      </w:r>
      <w:proofErr w:type="spellEnd"/>
      <w:r>
        <w:rPr>
          <w:rFonts w:ascii="Times New Roman" w:hAnsi="Times New Roman" w:cs="Times New Roman"/>
          <w:sz w:val="20"/>
          <w:szCs w:val="20"/>
        </w:rPr>
        <w:t xml:space="preserve"> were sorted out into genera, with </w:t>
      </w:r>
      <w:r>
        <w:rPr>
          <w:rFonts w:ascii="Times New Roman" w:hAnsi="Times New Roman" w:cs="Times New Roman"/>
          <w:i/>
          <w:iCs/>
          <w:sz w:val="20"/>
          <w:szCs w:val="20"/>
        </w:rPr>
        <w:t>Anopheles</w:t>
      </w:r>
      <w:r>
        <w:rPr>
          <w:rFonts w:ascii="Times New Roman" w:hAnsi="Times New Roman" w:cs="Times New Roman"/>
          <w:sz w:val="20"/>
          <w:szCs w:val="20"/>
        </w:rPr>
        <w:t xml:space="preserve"> further identified to species level, The relative abundance of mosquito genera in </w:t>
      </w:r>
      <w:proofErr w:type="spellStart"/>
      <w:r>
        <w:rPr>
          <w:rFonts w:ascii="Times New Roman" w:hAnsi="Times New Roman" w:cs="Times New Roman"/>
          <w:sz w:val="20"/>
          <w:szCs w:val="20"/>
        </w:rPr>
        <w:t>Paiko</w:t>
      </w:r>
      <w:proofErr w:type="spellEnd"/>
      <w:r>
        <w:rPr>
          <w:rFonts w:ascii="Times New Roman" w:hAnsi="Times New Roman" w:cs="Times New Roman"/>
          <w:sz w:val="20"/>
          <w:szCs w:val="20"/>
        </w:rPr>
        <w:t xml:space="preserve"> was 76.28% </w:t>
      </w:r>
      <w:proofErr w:type="spellStart"/>
      <w:r>
        <w:rPr>
          <w:rFonts w:ascii="Times New Roman" w:hAnsi="Times New Roman" w:cs="Times New Roman"/>
          <w:i/>
          <w:iCs/>
          <w:sz w:val="20"/>
          <w:szCs w:val="20"/>
        </w:rPr>
        <w:t>Culex</w:t>
      </w:r>
      <w:proofErr w:type="spellEnd"/>
      <w:r>
        <w:rPr>
          <w:rFonts w:ascii="Times New Roman" w:hAnsi="Times New Roman" w:cs="Times New Roman"/>
          <w:sz w:val="20"/>
          <w:szCs w:val="20"/>
        </w:rPr>
        <w:t xml:space="preserve">, 21.76% </w:t>
      </w:r>
      <w:r>
        <w:rPr>
          <w:rFonts w:ascii="Times New Roman" w:hAnsi="Times New Roman" w:cs="Times New Roman"/>
          <w:i/>
          <w:iCs/>
          <w:sz w:val="20"/>
          <w:szCs w:val="20"/>
        </w:rPr>
        <w:t>Anopheles,</w:t>
      </w:r>
      <w:r>
        <w:rPr>
          <w:rFonts w:ascii="Times New Roman" w:hAnsi="Times New Roman" w:cs="Times New Roman"/>
          <w:sz w:val="20"/>
          <w:szCs w:val="20"/>
        </w:rPr>
        <w:t xml:space="preserve">1.96% </w:t>
      </w:r>
      <w:proofErr w:type="spellStart"/>
      <w:r>
        <w:rPr>
          <w:rFonts w:ascii="Times New Roman" w:hAnsi="Times New Roman" w:cs="Times New Roman"/>
          <w:i/>
          <w:iCs/>
          <w:sz w:val="20"/>
          <w:szCs w:val="20"/>
        </w:rPr>
        <w:t>Aedes</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in </w:t>
      </w:r>
      <w:proofErr w:type="spellStart"/>
      <w:r>
        <w:rPr>
          <w:rFonts w:ascii="Times New Roman" w:hAnsi="Times New Roman" w:cs="Times New Roman"/>
          <w:sz w:val="20"/>
          <w:szCs w:val="20"/>
        </w:rPr>
        <w:t>Dukpa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Culex</w:t>
      </w:r>
      <w:proofErr w:type="spellEnd"/>
      <w:r>
        <w:rPr>
          <w:rFonts w:ascii="Times New Roman" w:hAnsi="Times New Roman" w:cs="Times New Roman"/>
          <w:sz w:val="20"/>
          <w:szCs w:val="20"/>
        </w:rPr>
        <w:t xml:space="preserve"> constitute 73.79%, </w:t>
      </w:r>
      <w:r>
        <w:rPr>
          <w:rFonts w:ascii="Times New Roman" w:hAnsi="Times New Roman" w:cs="Times New Roman"/>
          <w:i/>
          <w:iCs/>
          <w:sz w:val="20"/>
          <w:szCs w:val="20"/>
        </w:rPr>
        <w:t>Anopheles</w:t>
      </w:r>
      <w:r>
        <w:rPr>
          <w:rFonts w:ascii="Times New Roman" w:hAnsi="Times New Roman" w:cs="Times New Roman"/>
          <w:sz w:val="20"/>
          <w:szCs w:val="20"/>
        </w:rPr>
        <w:t xml:space="preserve"> 23.26%, </w:t>
      </w:r>
      <w:proofErr w:type="spellStart"/>
      <w:r>
        <w:rPr>
          <w:rFonts w:ascii="Times New Roman" w:hAnsi="Times New Roman" w:cs="Times New Roman"/>
          <w:i/>
          <w:iCs/>
          <w:sz w:val="20"/>
          <w:szCs w:val="20"/>
        </w:rPr>
        <w:t>Aedes</w:t>
      </w:r>
      <w:proofErr w:type="spellEnd"/>
      <w:r>
        <w:rPr>
          <w:rFonts w:ascii="Times New Roman" w:hAnsi="Times New Roman" w:cs="Times New Roman"/>
          <w:sz w:val="20"/>
          <w:szCs w:val="20"/>
        </w:rPr>
        <w:t xml:space="preserve"> 2.96% respectively. The mean man biting rate estimated in both sentinel sites were numerically lower in netted households than non-netted households with a statistical significance difference of P=0.0317 (&lt;0.05) in </w:t>
      </w:r>
      <w:proofErr w:type="spellStart"/>
      <w:r>
        <w:rPr>
          <w:rFonts w:ascii="Times New Roman" w:hAnsi="Times New Roman" w:cs="Times New Roman"/>
          <w:sz w:val="20"/>
          <w:szCs w:val="20"/>
        </w:rPr>
        <w:t>Paiko</w:t>
      </w:r>
      <w:proofErr w:type="spellEnd"/>
      <w:r>
        <w:rPr>
          <w:rFonts w:ascii="Times New Roman" w:hAnsi="Times New Roman" w:cs="Times New Roman"/>
          <w:sz w:val="20"/>
          <w:szCs w:val="20"/>
        </w:rPr>
        <w:t xml:space="preserve"> and P=0.0374 (&lt;0.05) in </w:t>
      </w:r>
      <w:proofErr w:type="spellStart"/>
      <w:r>
        <w:rPr>
          <w:rFonts w:ascii="Times New Roman" w:hAnsi="Times New Roman" w:cs="Times New Roman"/>
          <w:sz w:val="20"/>
          <w:szCs w:val="20"/>
        </w:rPr>
        <w:t>Dukpa</w:t>
      </w:r>
      <w:proofErr w:type="spellEnd"/>
      <w:r>
        <w:rPr>
          <w:rFonts w:ascii="Times New Roman" w:hAnsi="Times New Roman" w:cs="Times New Roman"/>
          <w:sz w:val="20"/>
          <w:szCs w:val="20"/>
        </w:rPr>
        <w:t xml:space="preserve">. The mean </w:t>
      </w:r>
      <w:proofErr w:type="spellStart"/>
      <w:r>
        <w:rPr>
          <w:rFonts w:ascii="Times New Roman" w:hAnsi="Times New Roman" w:cs="Times New Roman"/>
          <w:sz w:val="20"/>
          <w:szCs w:val="20"/>
        </w:rPr>
        <w:t>sporozoite</w:t>
      </w:r>
      <w:proofErr w:type="spellEnd"/>
      <w:r>
        <w:rPr>
          <w:rFonts w:ascii="Times New Roman" w:hAnsi="Times New Roman" w:cs="Times New Roman"/>
          <w:sz w:val="20"/>
          <w:szCs w:val="20"/>
        </w:rPr>
        <w:t xml:space="preserve"> rate were also numerically higher in netted households than non-netted households in both sentinel site with no statistically significant difference of P=0.559 (&gt;0.05) in </w:t>
      </w:r>
      <w:proofErr w:type="spellStart"/>
      <w:r>
        <w:rPr>
          <w:rFonts w:ascii="Times New Roman" w:hAnsi="Times New Roman" w:cs="Times New Roman"/>
          <w:sz w:val="20"/>
          <w:szCs w:val="20"/>
        </w:rPr>
        <w:t>Paiko</w:t>
      </w:r>
      <w:proofErr w:type="spellEnd"/>
      <w:r>
        <w:rPr>
          <w:rFonts w:ascii="Times New Roman" w:hAnsi="Times New Roman" w:cs="Times New Roman"/>
          <w:sz w:val="20"/>
          <w:szCs w:val="20"/>
        </w:rPr>
        <w:t xml:space="preserve"> and P=0.702 (&gt;0.05) in </w:t>
      </w:r>
      <w:proofErr w:type="spellStart"/>
      <w:r>
        <w:rPr>
          <w:rFonts w:ascii="Times New Roman" w:hAnsi="Times New Roman" w:cs="Times New Roman"/>
          <w:sz w:val="20"/>
          <w:szCs w:val="20"/>
        </w:rPr>
        <w:t>Dukpa</w:t>
      </w:r>
      <w:proofErr w:type="spellEnd"/>
      <w:r>
        <w:rPr>
          <w:rFonts w:ascii="Times New Roman" w:hAnsi="Times New Roman" w:cs="Times New Roman"/>
          <w:sz w:val="20"/>
          <w:szCs w:val="20"/>
        </w:rPr>
        <w:t xml:space="preserve">. The annual entomological inoculation rate in netted households and non-netted households in </w:t>
      </w:r>
      <w:proofErr w:type="spellStart"/>
      <w:r>
        <w:rPr>
          <w:rFonts w:ascii="Times New Roman" w:hAnsi="Times New Roman" w:cs="Times New Roman"/>
          <w:sz w:val="20"/>
          <w:szCs w:val="20"/>
        </w:rPr>
        <w:t>Paiko</w:t>
      </w:r>
      <w:proofErr w:type="spellEnd"/>
      <w:r>
        <w:rPr>
          <w:rFonts w:ascii="Times New Roman" w:hAnsi="Times New Roman" w:cs="Times New Roman"/>
          <w:sz w:val="20"/>
          <w:szCs w:val="20"/>
        </w:rPr>
        <w:t xml:space="preserve"> were 1.78, 10.52 and in </w:t>
      </w:r>
      <w:proofErr w:type="spellStart"/>
      <w:r>
        <w:rPr>
          <w:rFonts w:ascii="Times New Roman" w:hAnsi="Times New Roman" w:cs="Times New Roman"/>
          <w:sz w:val="20"/>
          <w:szCs w:val="20"/>
        </w:rPr>
        <w:t>Dukpa</w:t>
      </w:r>
      <w:proofErr w:type="spellEnd"/>
      <w:r>
        <w:rPr>
          <w:rFonts w:ascii="Times New Roman" w:hAnsi="Times New Roman" w:cs="Times New Roman"/>
          <w:sz w:val="20"/>
          <w:szCs w:val="20"/>
        </w:rPr>
        <w:t>, 8.09 and 27.47 infective bite per person per year respectively indicating a stable malaria transmission.</w:t>
      </w:r>
    </w:p>
    <w:p w:rsidR="00700588" w:rsidRDefault="00021E93">
      <w:pPr>
        <w:snapToGrid w:val="0"/>
        <w:spacing w:after="0" w:line="240" w:lineRule="auto"/>
        <w:ind w:left="0" w:firstLine="0"/>
        <w:jc w:val="both"/>
        <w:rPr>
          <w:rFonts w:ascii="Times New Roman" w:hAnsi="Times New Roman" w:cs="Times New Roman"/>
          <w:b/>
          <w:bCs/>
          <w:iCs/>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Joshua </w:t>
      </w:r>
      <w:proofErr w:type="spellStart"/>
      <w:r>
        <w:rPr>
          <w:rFonts w:ascii="Times New Roman" w:hAnsi="Times New Roman" w:cs="Times New Roman"/>
          <w:sz w:val="20"/>
          <w:szCs w:val="20"/>
        </w:rPr>
        <w:t>Ayokunle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Ayeni</w:t>
      </w:r>
      <w:proofErr w:type="spellEnd"/>
      <w:r>
        <w:rPr>
          <w:rFonts w:ascii="Times New Roman" w:hAnsi="Times New Roman" w:cs="Times New Roman"/>
          <w:sz w:val="20"/>
          <w:szCs w:val="20"/>
        </w:rPr>
        <w:t xml:space="preserve">, David </w:t>
      </w:r>
      <w:proofErr w:type="spellStart"/>
      <w:r>
        <w:rPr>
          <w:rFonts w:ascii="Times New Roman" w:hAnsi="Times New Roman" w:cs="Times New Roman"/>
          <w:sz w:val="20"/>
          <w:szCs w:val="20"/>
        </w:rPr>
        <w:t>Yoila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Malann</w:t>
      </w:r>
      <w:proofErr w:type="spellEnd"/>
      <w:r>
        <w:rPr>
          <w:rFonts w:ascii="Times New Roman" w:hAnsi="Times New Roman" w:cs="Times New Roman"/>
          <w:sz w:val="20"/>
          <w:szCs w:val="20"/>
        </w:rPr>
        <w:t xml:space="preserve">, Comfort </w:t>
      </w:r>
      <w:proofErr w:type="spellStart"/>
      <w:r>
        <w:rPr>
          <w:rFonts w:ascii="Times New Roman" w:hAnsi="Times New Roman" w:cs="Times New Roman"/>
          <w:sz w:val="20"/>
          <w:szCs w:val="20"/>
        </w:rPr>
        <w:t>Adetutu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Olanrewaju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Haulatu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Umaru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Wintola</w:t>
      </w:r>
      <w:proofErr w:type="spellEnd"/>
      <w:r>
        <w:rPr>
          <w:rFonts w:ascii="Times New Roman" w:hAnsi="Times New Roman" w:cs="Times New Roman"/>
          <w:b/>
          <w:bCs/>
          <w:sz w:val="20"/>
          <w:szCs w:val="20"/>
        </w:rPr>
        <w:t xml:space="preserve">. The Impact of Long-lasting Insecticides Nets on the Entomological Inoculation Rate of </w:t>
      </w:r>
      <w:r>
        <w:rPr>
          <w:rFonts w:ascii="Times New Roman" w:hAnsi="Times New Roman" w:cs="Times New Roman"/>
          <w:b/>
          <w:bCs/>
          <w:i/>
          <w:iCs/>
          <w:sz w:val="20"/>
          <w:szCs w:val="20"/>
        </w:rPr>
        <w:t xml:space="preserve">Anopheles </w:t>
      </w:r>
      <w:proofErr w:type="spellStart"/>
      <w:r>
        <w:rPr>
          <w:rFonts w:ascii="Times New Roman" w:hAnsi="Times New Roman" w:cs="Times New Roman"/>
          <w:b/>
          <w:bCs/>
          <w:i/>
          <w:iCs/>
          <w:sz w:val="20"/>
          <w:szCs w:val="20"/>
        </w:rPr>
        <w:t>gambiae</w:t>
      </w:r>
      <w:proofErr w:type="spellEnd"/>
      <w:r>
        <w:rPr>
          <w:rFonts w:ascii="Times New Roman" w:hAnsi="Times New Roman" w:cs="Times New Roman"/>
          <w:b/>
          <w:bCs/>
          <w:iCs/>
          <w:sz w:val="20"/>
          <w:szCs w:val="20"/>
        </w:rPr>
        <w:t xml:space="preserve"> in some rural communities of the FCT Abuja Nigeria.</w:t>
      </w:r>
      <w:r w:rsidR="00F534EC">
        <w:rPr>
          <w:rFonts w:ascii="Times New Roman" w:eastAsiaTheme="minorEastAsia" w:hAnsi="Times New Roman" w:cs="Times New Roman" w:hint="eastAsia"/>
          <w:b/>
          <w:bCs/>
          <w:iCs/>
          <w:sz w:val="20"/>
          <w:szCs w:val="20"/>
          <w:lang w:eastAsia="zh-CN"/>
        </w:rPr>
        <w:t xml:space="preserve"> </w:t>
      </w:r>
      <w:r>
        <w:rPr>
          <w:rFonts w:ascii="Times New Roman" w:hAnsi="Times New Roman" w:cs="Times New Roman"/>
          <w:bCs/>
          <w:i/>
          <w:sz w:val="20"/>
          <w:szCs w:val="20"/>
        </w:rPr>
        <w:t>Researcher</w:t>
      </w:r>
      <w:r w:rsidR="00F534EC">
        <w:rPr>
          <w:rFonts w:ascii="Times New Roman" w:eastAsiaTheme="minorEastAsia" w:hAnsi="Times New Roman" w:cs="Times New Roman" w:hint="eastAsia"/>
          <w:bCs/>
          <w:i/>
          <w:sz w:val="20"/>
          <w:szCs w:val="20"/>
          <w:lang w:eastAsia="zh-CN"/>
        </w:rPr>
        <w:t xml:space="preserve"> </w:t>
      </w:r>
      <w:r>
        <w:rPr>
          <w:rFonts w:ascii="Times New Roman" w:hAnsi="Times New Roman" w:cs="Times New Roman"/>
          <w:bCs/>
          <w:sz w:val="20"/>
          <w:szCs w:val="20"/>
        </w:rPr>
        <w:t>2021;13(</w:t>
      </w:r>
      <w:r>
        <w:rPr>
          <w:rFonts w:ascii="Times New Roman" w:hAnsi="Times New Roman" w:cs="Times New Roman"/>
          <w:bCs/>
          <w:sz w:val="20"/>
          <w:szCs w:val="20"/>
          <w:lang w:eastAsia="zh-CN"/>
        </w:rPr>
        <w:t>1</w:t>
      </w:r>
      <w:r>
        <w:rPr>
          <w:rFonts w:ascii="Times New Roman" w:hAnsi="Times New Roman" w:cs="Times New Roman" w:hint="eastAsia"/>
          <w:bCs/>
          <w:sz w:val="20"/>
          <w:szCs w:val="20"/>
          <w:lang w:eastAsia="zh-CN"/>
        </w:rPr>
        <w:t>2</w:t>
      </w:r>
      <w:r>
        <w:rPr>
          <w:rFonts w:ascii="Times New Roman" w:hAnsi="Times New Roman" w:cs="Times New Roman"/>
          <w:bCs/>
          <w:sz w:val="20"/>
          <w:szCs w:val="20"/>
        </w:rPr>
        <w:t>):</w:t>
      </w:r>
      <w:r>
        <w:rPr>
          <w:rFonts w:ascii="Times New Roman" w:hAnsi="Times New Roman" w:cs="Times New Roman" w:hint="eastAsia"/>
          <w:bCs/>
          <w:sz w:val="20"/>
          <w:szCs w:val="20"/>
          <w:lang w:eastAsia="zh-CN"/>
        </w:rPr>
        <w:t>78</w:t>
      </w:r>
      <w:r>
        <w:rPr>
          <w:rFonts w:ascii="Times New Roman" w:hAnsi="Times New Roman" w:cs="Times New Roman"/>
          <w:bCs/>
          <w:sz w:val="20"/>
          <w:szCs w:val="20"/>
        </w:rPr>
        <w:t>-</w:t>
      </w:r>
      <w:r>
        <w:rPr>
          <w:rFonts w:ascii="Times New Roman" w:hAnsi="Times New Roman" w:cs="Times New Roman" w:hint="eastAsia"/>
          <w:bCs/>
          <w:sz w:val="20"/>
          <w:szCs w:val="20"/>
          <w:lang w:eastAsia="zh-CN"/>
        </w:rPr>
        <w:t>83</w:t>
      </w:r>
      <w:bookmarkStart w:id="0" w:name="_GoBack"/>
      <w:bookmarkEnd w:id="0"/>
      <w:r>
        <w:rPr>
          <w:rFonts w:ascii="Times New Roman" w:hAnsi="Times New Roman" w:cs="Times New Roman"/>
          <w:bCs/>
          <w:sz w:val="20"/>
          <w:szCs w:val="20"/>
        </w:rPr>
        <w:t>]</w:t>
      </w:r>
      <w:r w:rsidR="00F534EC">
        <w:rPr>
          <w:rFonts w:ascii="Times New Roman" w:eastAsiaTheme="minorEastAsia" w:hAnsi="Times New Roman" w:cs="Times New Roman" w:hint="eastAsia"/>
          <w:bCs/>
          <w:sz w:val="20"/>
          <w:szCs w:val="20"/>
          <w:lang w:eastAsia="zh-CN"/>
        </w:rPr>
        <w:t xml:space="preserve"> </w:t>
      </w:r>
      <w:r>
        <w:rPr>
          <w:rFonts w:ascii="Times New Roman" w:hAnsi="Times New Roman" w:cs="Times New Roman"/>
          <w:sz w:val="20"/>
          <w:szCs w:val="20"/>
        </w:rPr>
        <w:t>ISSN</w:t>
      </w:r>
      <w:r w:rsidR="00F534E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1553-9865</w:t>
      </w:r>
      <w:r w:rsidR="00F534E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(print);</w:t>
      </w:r>
      <w:r w:rsidR="00F534E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F534E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2163-8950</w:t>
      </w:r>
      <w:r w:rsidR="00F534EC">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(online).</w:t>
      </w:r>
      <w:r w:rsidR="00F534EC">
        <w:rPr>
          <w:rFonts w:ascii="Times New Roman" w:eastAsiaTheme="minorEastAsia" w:hAnsi="Times New Roman" w:cs="Times New Roman" w:hint="eastAsia"/>
          <w:sz w:val="20"/>
          <w:szCs w:val="20"/>
          <w:lang w:eastAsia="zh-CN"/>
        </w:rPr>
        <w:t xml:space="preserv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eastAsia="宋体" w:hAnsi="Times New Roman" w:cs="Times New Roman"/>
          <w:bCs/>
          <w:sz w:val="20"/>
          <w:szCs w:val="20"/>
          <w:lang w:eastAsia="zh-CN"/>
        </w:rPr>
        <w:t xml:space="preserve"> </w:t>
      </w:r>
      <w:r>
        <w:rPr>
          <w:rFonts w:ascii="Times New Roman" w:hAnsi="Times New Roman" w:cs="Times New Roman" w:hint="eastAsia"/>
          <w:bCs/>
          <w:sz w:val="20"/>
          <w:szCs w:val="20"/>
          <w:lang w:eastAsia="zh-CN"/>
        </w:rPr>
        <w:t>8</w:t>
      </w:r>
      <w:r>
        <w:rPr>
          <w:rFonts w:ascii="Times New Roman" w:hAnsi="Times New Roman" w:cs="Times New Roman"/>
          <w:bCs/>
          <w:sz w:val="20"/>
          <w:szCs w:val="20"/>
          <w:lang w:eastAsia="zh-CN"/>
        </w:rPr>
        <w:t>.</w:t>
      </w:r>
      <w:r w:rsidR="00F534EC">
        <w:rPr>
          <w:rFonts w:ascii="Times New Roman" w:eastAsiaTheme="minorEastAsia" w:hAnsi="Times New Roman" w:cs="Times New Roman" w:hint="eastAsia"/>
          <w:bCs/>
          <w:sz w:val="20"/>
          <w:szCs w:val="20"/>
          <w:lang w:eastAsia="zh-CN"/>
        </w:rPr>
        <w:t xml:space="preserve"> </w:t>
      </w:r>
      <w:r>
        <w:rPr>
          <w:rFonts w:ascii="Times New Roman" w:hAnsi="Times New Roman" w:cs="Times New Roman"/>
          <w:bCs/>
          <w:sz w:val="20"/>
          <w:szCs w:val="20"/>
        </w:rPr>
        <w:t>doi:</w:t>
      </w:r>
      <w:hyperlink r:id="rId9" w:history="1">
        <w:r>
          <w:rPr>
            <w:rStyle w:val="Hyperlink"/>
            <w:rFonts w:ascii="Times New Roman" w:hAnsi="Times New Roman" w:cs="Times New Roman"/>
            <w:bCs/>
            <w:sz w:val="20"/>
            <w:szCs w:val="20"/>
          </w:rPr>
          <w:t>10.7537/marsrsj13122</w:t>
        </w:r>
      </w:hyperlink>
      <w:r>
        <w:rPr>
          <w:rStyle w:val="Hyperlink"/>
          <w:rFonts w:ascii="Times New Roman" w:hAnsi="Times New Roman" w:cs="Times New Roman"/>
          <w:sz w:val="20"/>
          <w:szCs w:val="20"/>
        </w:rPr>
        <w:t>1.</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8</w:t>
      </w:r>
      <w:r>
        <w:rPr>
          <w:rStyle w:val="Hyperlink"/>
          <w:rFonts w:ascii="Times New Roman" w:hAnsi="Times New Roman" w:cs="Times New Roman"/>
          <w:sz w:val="20"/>
          <w:szCs w:val="20"/>
        </w:rPr>
        <w:t>.</w:t>
      </w:r>
    </w:p>
    <w:p w:rsidR="00700588" w:rsidRDefault="00700588">
      <w:pPr>
        <w:snapToGrid w:val="0"/>
        <w:spacing w:after="0" w:line="240" w:lineRule="auto"/>
        <w:ind w:left="0" w:firstLine="0"/>
        <w:jc w:val="both"/>
        <w:rPr>
          <w:rFonts w:ascii="Times New Roman" w:hAnsi="Times New Roman" w:cs="Times New Roman"/>
          <w:b/>
          <w:sz w:val="20"/>
          <w:szCs w:val="20"/>
          <w:highlight w:val="red"/>
        </w:rPr>
      </w:pPr>
    </w:p>
    <w:p w:rsidR="00700588" w:rsidRPr="00D91E45" w:rsidRDefault="00021E93">
      <w:pPr>
        <w:snapToGrid w:val="0"/>
        <w:spacing w:after="0" w:line="240" w:lineRule="auto"/>
        <w:ind w:left="0" w:firstLine="0"/>
        <w:jc w:val="both"/>
        <w:rPr>
          <w:rFonts w:ascii="Times New Roman" w:hAnsi="Times New Roman" w:cs="Times New Roman"/>
          <w:i/>
          <w:iCs/>
          <w:sz w:val="20"/>
          <w:szCs w:val="20"/>
        </w:rPr>
      </w:pPr>
      <w:r>
        <w:rPr>
          <w:rFonts w:ascii="Times New Roman" w:hAnsi="Times New Roman" w:cs="Times New Roman"/>
          <w:b/>
          <w:sz w:val="20"/>
          <w:szCs w:val="20"/>
          <w:highlight w:val="red"/>
        </w:rPr>
        <w:t xml:space="preserve">key </w:t>
      </w:r>
      <w:r>
        <w:rPr>
          <w:rFonts w:ascii="Times New Roman" w:hAnsi="Times New Roman" w:cs="Times New Roman"/>
          <w:b/>
          <w:color w:val="auto"/>
          <w:sz w:val="20"/>
          <w:szCs w:val="20"/>
          <w:highlight w:val="red"/>
        </w:rPr>
        <w:t>words</w:t>
      </w:r>
      <w:r w:rsidR="00D91E45">
        <w:rPr>
          <w:rFonts w:ascii="Times New Roman" w:eastAsiaTheme="minorEastAsia" w:hAnsi="Times New Roman" w:cs="Times New Roman" w:hint="eastAsia"/>
          <w:b/>
          <w:sz w:val="20"/>
          <w:szCs w:val="20"/>
          <w:lang w:eastAsia="zh-CN"/>
        </w:rPr>
        <w:t>:</w:t>
      </w:r>
      <w:r w:rsidR="00D91E45" w:rsidRPr="00D91E45">
        <w:rPr>
          <w:rFonts w:ascii="Times New Roman" w:eastAsiaTheme="minorEastAsia" w:hAnsi="Times New Roman" w:cs="Times New Roman" w:hint="eastAsia"/>
          <w:sz w:val="20"/>
          <w:szCs w:val="20"/>
          <w:lang w:eastAsia="zh-CN"/>
        </w:rPr>
        <w:t xml:space="preserve"> </w:t>
      </w:r>
      <w:r w:rsidRPr="00D91E45">
        <w:rPr>
          <w:rFonts w:ascii="Times New Roman" w:hAnsi="Times New Roman" w:cs="Times New Roman"/>
          <w:sz w:val="20"/>
          <w:szCs w:val="20"/>
        </w:rPr>
        <w:t xml:space="preserve">Long lasting insecticide net, Entomological inoculation rate, </w:t>
      </w:r>
      <w:r w:rsidRPr="00D91E45">
        <w:rPr>
          <w:rFonts w:ascii="Times New Roman" w:hAnsi="Times New Roman" w:cs="Times New Roman"/>
          <w:i/>
          <w:iCs/>
          <w:sz w:val="20"/>
          <w:szCs w:val="20"/>
        </w:rPr>
        <w:t xml:space="preserve">Anopheles </w:t>
      </w:r>
      <w:proofErr w:type="spellStart"/>
      <w:r w:rsidRPr="00D91E45">
        <w:rPr>
          <w:rFonts w:ascii="Times New Roman" w:hAnsi="Times New Roman" w:cs="Times New Roman"/>
          <w:i/>
          <w:iCs/>
          <w:sz w:val="20"/>
          <w:szCs w:val="20"/>
        </w:rPr>
        <w:t>gambiae</w:t>
      </w:r>
      <w:proofErr w:type="spellEnd"/>
    </w:p>
    <w:p w:rsidR="00700588" w:rsidRDefault="00700588">
      <w:pPr>
        <w:snapToGrid w:val="0"/>
        <w:spacing w:after="0" w:line="240" w:lineRule="auto"/>
        <w:ind w:left="0" w:firstLine="0"/>
        <w:jc w:val="both"/>
        <w:rPr>
          <w:rFonts w:ascii="Times New Roman" w:eastAsiaTheme="minorEastAsia" w:hAnsi="Times New Roman" w:cs="Times New Roman"/>
          <w:bCs/>
          <w:sz w:val="20"/>
          <w:szCs w:val="20"/>
          <w:lang w:eastAsia="zh-CN"/>
        </w:rPr>
      </w:pPr>
    </w:p>
    <w:p w:rsidR="00D91E45" w:rsidRPr="00D91E45" w:rsidRDefault="00D91E45">
      <w:pPr>
        <w:snapToGrid w:val="0"/>
        <w:spacing w:after="0" w:line="240" w:lineRule="auto"/>
        <w:ind w:left="0" w:firstLine="0"/>
        <w:jc w:val="both"/>
        <w:rPr>
          <w:rFonts w:ascii="Times New Roman" w:eastAsiaTheme="minorEastAsia" w:hAnsi="Times New Roman" w:cs="Times New Roman"/>
          <w:bCs/>
          <w:sz w:val="20"/>
          <w:szCs w:val="20"/>
          <w:lang w:eastAsia="zh-CN"/>
        </w:rPr>
      </w:pPr>
    </w:p>
    <w:p w:rsidR="00700588" w:rsidRDefault="00700588">
      <w:pPr>
        <w:snapToGrid w:val="0"/>
        <w:spacing w:after="0" w:line="240" w:lineRule="auto"/>
        <w:ind w:left="0" w:firstLine="0"/>
        <w:jc w:val="both"/>
        <w:rPr>
          <w:rFonts w:ascii="Times New Roman" w:hAnsi="Times New Roman" w:cs="Times New Roman"/>
          <w:bCs/>
          <w:sz w:val="20"/>
          <w:szCs w:val="20"/>
        </w:rPr>
        <w:sectPr w:rsidR="00700588">
          <w:headerReference w:type="default" r:id="rId10"/>
          <w:footerReference w:type="default" r:id="rId11"/>
          <w:headerReference w:type="first" r:id="rId12"/>
          <w:footerReference w:type="first" r:id="rId13"/>
          <w:pgSz w:w="12240" w:h="15840"/>
          <w:pgMar w:top="1440" w:right="1440" w:bottom="1440" w:left="1440" w:header="720" w:footer="720" w:gutter="0"/>
          <w:pgNumType w:start="78"/>
          <w:cols w:space="720"/>
          <w:titlePg/>
          <w:docGrid w:linePitch="360"/>
        </w:sectPr>
      </w:pPr>
    </w:p>
    <w:p w:rsidR="00700588" w:rsidRDefault="00021E93">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700588" w:rsidRDefault="00021E93" w:rsidP="00AC73C8">
      <w:pPr>
        <w:snapToGrid w:val="0"/>
        <w:spacing w:after="0" w:line="240" w:lineRule="auto"/>
        <w:ind w:left="0" w:firstLine="720"/>
        <w:jc w:val="both"/>
        <w:rPr>
          <w:rFonts w:ascii="Times New Roman" w:hAnsi="Times New Roman" w:cs="Times New Roman"/>
          <w:bCs/>
          <w:sz w:val="20"/>
          <w:szCs w:val="20"/>
        </w:rPr>
      </w:pPr>
      <w:r>
        <w:rPr>
          <w:rFonts w:ascii="Times New Roman" w:hAnsi="Times New Roman" w:cs="Times New Roman"/>
          <w:bCs/>
          <w:sz w:val="20"/>
          <w:szCs w:val="20"/>
        </w:rPr>
        <w:t>The female Anopheles mosquito is long known to transmit malaria which has been the major cause morbidity and mortality in Sub Saharan Africa particularly Nigeria (</w:t>
      </w:r>
      <w:proofErr w:type="spellStart"/>
      <w:r>
        <w:rPr>
          <w:rFonts w:ascii="Times New Roman" w:hAnsi="Times New Roman" w:cs="Times New Roman"/>
          <w:bCs/>
          <w:sz w:val="20"/>
          <w:szCs w:val="20"/>
        </w:rPr>
        <w:t>Mangiun</w:t>
      </w:r>
      <w:proofErr w:type="spellEnd"/>
      <w:r>
        <w:rPr>
          <w:rFonts w:ascii="Times New Roman" w:hAnsi="Times New Roman" w:cs="Times New Roman"/>
          <w:bCs/>
          <w:sz w:val="20"/>
          <w:szCs w:val="20"/>
        </w:rPr>
        <w:t xml:space="preserve"> </w:t>
      </w:r>
      <w:r>
        <w:rPr>
          <w:rFonts w:ascii="Times New Roman" w:hAnsi="Times New Roman" w:cs="Times New Roman"/>
          <w:bCs/>
          <w:i/>
          <w:iCs/>
          <w:sz w:val="20"/>
          <w:szCs w:val="20"/>
        </w:rPr>
        <w:t>et al</w:t>
      </w:r>
      <w:r>
        <w:rPr>
          <w:rFonts w:ascii="Times New Roman" w:hAnsi="Times New Roman" w:cs="Times New Roman"/>
          <w:bCs/>
          <w:sz w:val="20"/>
          <w:szCs w:val="20"/>
        </w:rPr>
        <w:t xml:space="preserve">., 2015). Long lasting insecticides treated net has been deployed to control and prevent malaria transmission for decades, and act in three ways to reduce human-vector contact first by providing a physical barrier to </w:t>
      </w:r>
      <w:proofErr w:type="spellStart"/>
      <w:r>
        <w:rPr>
          <w:rFonts w:ascii="Times New Roman" w:hAnsi="Times New Roman" w:cs="Times New Roman"/>
          <w:bCs/>
          <w:sz w:val="20"/>
          <w:szCs w:val="20"/>
        </w:rPr>
        <w:t>mosquitos</w:t>
      </w:r>
      <w:proofErr w:type="spellEnd"/>
      <w:r>
        <w:rPr>
          <w:rFonts w:ascii="Times New Roman" w:hAnsi="Times New Roman" w:cs="Times New Roman"/>
          <w:bCs/>
          <w:sz w:val="20"/>
          <w:szCs w:val="20"/>
        </w:rPr>
        <w:t xml:space="preserve">, exerting toxic effect on mosquito that attempt to feed and thirdly exhibiting </w:t>
      </w:r>
      <w:proofErr w:type="spellStart"/>
      <w:r>
        <w:rPr>
          <w:rFonts w:ascii="Times New Roman" w:hAnsi="Times New Roman" w:cs="Times New Roman"/>
          <w:bCs/>
          <w:sz w:val="20"/>
          <w:szCs w:val="20"/>
        </w:rPr>
        <w:t>exito</w:t>
      </w:r>
      <w:proofErr w:type="spellEnd"/>
      <w:r>
        <w:rPr>
          <w:rFonts w:ascii="Times New Roman" w:hAnsi="Times New Roman" w:cs="Times New Roman"/>
          <w:bCs/>
          <w:sz w:val="20"/>
          <w:szCs w:val="20"/>
        </w:rPr>
        <w:t>-repellent properties that affect the behavior of mosquito by reducing the rate of entry and increasing the rate of exit from the house (</w:t>
      </w:r>
      <w:proofErr w:type="spellStart"/>
      <w:r>
        <w:rPr>
          <w:rFonts w:ascii="Times New Roman" w:hAnsi="Times New Roman" w:cs="Times New Roman"/>
          <w:bCs/>
          <w:sz w:val="20"/>
          <w:szCs w:val="20"/>
        </w:rPr>
        <w:t>Atieli</w:t>
      </w:r>
      <w:proofErr w:type="spellEnd"/>
      <w:r>
        <w:rPr>
          <w:rFonts w:ascii="Times New Roman" w:hAnsi="Times New Roman" w:cs="Times New Roman"/>
          <w:bCs/>
          <w:sz w:val="20"/>
          <w:szCs w:val="20"/>
        </w:rPr>
        <w:t xml:space="preserve"> </w:t>
      </w:r>
      <w:r>
        <w:rPr>
          <w:rFonts w:ascii="Times New Roman" w:hAnsi="Times New Roman" w:cs="Times New Roman"/>
          <w:bCs/>
          <w:i/>
          <w:iCs/>
          <w:sz w:val="20"/>
          <w:szCs w:val="20"/>
        </w:rPr>
        <w:t>et al</w:t>
      </w:r>
      <w:r>
        <w:rPr>
          <w:rFonts w:ascii="Times New Roman" w:hAnsi="Times New Roman" w:cs="Times New Roman"/>
          <w:bCs/>
          <w:sz w:val="20"/>
          <w:szCs w:val="20"/>
        </w:rPr>
        <w:t xml:space="preserve">., 2011) these modes of action influences some entomological indices such as the entomological inoculation rate which estimate the level of exposure to plasmodium </w:t>
      </w:r>
      <w:proofErr w:type="spellStart"/>
      <w:r>
        <w:rPr>
          <w:rFonts w:ascii="Times New Roman" w:hAnsi="Times New Roman" w:cs="Times New Roman"/>
          <w:bCs/>
          <w:sz w:val="20"/>
          <w:szCs w:val="20"/>
        </w:rPr>
        <w:t>falciparum</w:t>
      </w:r>
      <w:proofErr w:type="spellEnd"/>
      <w:r>
        <w:rPr>
          <w:rFonts w:ascii="Times New Roman" w:hAnsi="Times New Roman" w:cs="Times New Roman"/>
          <w:bCs/>
          <w:sz w:val="20"/>
          <w:szCs w:val="20"/>
        </w:rPr>
        <w:t xml:space="preserve"> infected mosquitoes and is the most favored measure for assessing malaria </w:t>
      </w:r>
      <w:proofErr w:type="spellStart"/>
      <w:r>
        <w:rPr>
          <w:rFonts w:ascii="Times New Roman" w:hAnsi="Times New Roman" w:cs="Times New Roman"/>
          <w:bCs/>
          <w:sz w:val="20"/>
          <w:szCs w:val="20"/>
        </w:rPr>
        <w:t>endemicity</w:t>
      </w:r>
      <w:proofErr w:type="spellEnd"/>
      <w:r>
        <w:rPr>
          <w:rFonts w:ascii="Times New Roman" w:hAnsi="Times New Roman" w:cs="Times New Roman"/>
          <w:bCs/>
          <w:sz w:val="20"/>
          <w:szCs w:val="20"/>
        </w:rPr>
        <w:t xml:space="preserve"> and transmission intensity (</w:t>
      </w:r>
      <w:proofErr w:type="spellStart"/>
      <w:r>
        <w:rPr>
          <w:rFonts w:ascii="Times New Roman" w:hAnsi="Times New Roman" w:cs="Times New Roman"/>
          <w:bCs/>
          <w:sz w:val="20"/>
          <w:szCs w:val="20"/>
        </w:rPr>
        <w:t>Burkot</w:t>
      </w:r>
      <w:proofErr w:type="spellEnd"/>
      <w:r>
        <w:rPr>
          <w:rFonts w:ascii="Times New Roman" w:hAnsi="Times New Roman" w:cs="Times New Roman"/>
          <w:bCs/>
          <w:sz w:val="20"/>
          <w:szCs w:val="20"/>
        </w:rPr>
        <w:t xml:space="preserve"> and Grave 1995) EIR assessments may be useful when estimating the effect of effort to reduce human vector contact. However there has been substantial gab </w:t>
      </w:r>
      <w:r w:rsidR="00AC73C8">
        <w:rPr>
          <w:rFonts w:ascii="Times New Roman" w:hAnsi="Times New Roman" w:cs="Times New Roman"/>
          <w:bCs/>
          <w:sz w:val="20"/>
          <w:szCs w:val="20"/>
        </w:rPr>
        <w:t xml:space="preserve">in the EIR data </w:t>
      </w:r>
      <w:r w:rsidR="00AC73C8">
        <w:rPr>
          <w:rFonts w:ascii="Times New Roman" w:hAnsi="Times New Roman" w:cs="Times New Roman"/>
          <w:bCs/>
          <w:sz w:val="20"/>
          <w:szCs w:val="20"/>
        </w:rPr>
        <w:lastRenderedPageBreak/>
        <w:t>across Africa (</w:t>
      </w:r>
      <w:r>
        <w:rPr>
          <w:rFonts w:ascii="Times New Roman" w:hAnsi="Times New Roman" w:cs="Times New Roman"/>
          <w:bCs/>
          <w:sz w:val="20"/>
          <w:szCs w:val="20"/>
        </w:rPr>
        <w:t xml:space="preserve">Kelly-Hope and </w:t>
      </w:r>
      <w:proofErr w:type="spellStart"/>
      <w:r>
        <w:rPr>
          <w:rFonts w:ascii="Times New Roman" w:hAnsi="Times New Roman" w:cs="Times New Roman"/>
          <w:bCs/>
          <w:sz w:val="20"/>
          <w:szCs w:val="20"/>
        </w:rPr>
        <w:t>Mckenzie</w:t>
      </w:r>
      <w:proofErr w:type="spellEnd"/>
      <w:r>
        <w:rPr>
          <w:rFonts w:ascii="Times New Roman" w:hAnsi="Times New Roman" w:cs="Times New Roman"/>
          <w:bCs/>
          <w:sz w:val="20"/>
          <w:szCs w:val="20"/>
        </w:rPr>
        <w:t xml:space="preserve"> F.C. 2009) Thus, this research is aimed at evaluating the impact of LLINS on the entomological inoculation rate in some rural communities of the federal capital territory of Nigeria.</w:t>
      </w:r>
    </w:p>
    <w:p w:rsidR="00700588" w:rsidRDefault="00700588">
      <w:pPr>
        <w:snapToGrid w:val="0"/>
        <w:spacing w:after="0" w:line="240" w:lineRule="auto"/>
        <w:ind w:left="0" w:firstLine="0"/>
        <w:jc w:val="both"/>
        <w:rPr>
          <w:rFonts w:ascii="Times New Roman" w:eastAsiaTheme="minorEastAsia" w:hAnsi="Times New Roman" w:cs="Times New Roman"/>
          <w:b/>
          <w:sz w:val="20"/>
          <w:szCs w:val="20"/>
          <w:lang w:eastAsia="zh-CN"/>
        </w:rPr>
      </w:pPr>
    </w:p>
    <w:p w:rsidR="00700588" w:rsidRDefault="00021E93">
      <w:pPr>
        <w:pStyle w:val="ListParagraph"/>
        <w:numPr>
          <w:ilvl w:val="0"/>
          <w:numId w:val="1"/>
        </w:numPr>
        <w:snapToGrid w:val="0"/>
        <w:spacing w:after="0" w:line="240" w:lineRule="auto"/>
        <w:ind w:left="0" w:firstLine="0"/>
        <w:jc w:val="both"/>
        <w:rPr>
          <w:rFonts w:ascii="Times New Roman" w:hAnsi="Times New Roman" w:cs="Times New Roman"/>
          <w:b/>
          <w:sz w:val="20"/>
          <w:szCs w:val="20"/>
        </w:rPr>
      </w:pPr>
      <w:r>
        <w:rPr>
          <w:rFonts w:ascii="Times New Roman" w:hAnsi="Times New Roman" w:cs="Times New Roman"/>
          <w:b/>
          <w:sz w:val="20"/>
          <w:szCs w:val="20"/>
        </w:rPr>
        <w:t>Material and Methods</w:t>
      </w:r>
    </w:p>
    <w:p w:rsidR="00700588" w:rsidRPr="00AC73C8" w:rsidRDefault="00021E93" w:rsidP="00AC73C8">
      <w:pPr>
        <w:snapToGrid w:val="0"/>
        <w:spacing w:after="0" w:line="240" w:lineRule="auto"/>
        <w:ind w:left="0" w:firstLine="720"/>
        <w:jc w:val="both"/>
        <w:rPr>
          <w:rFonts w:ascii="Times New Roman" w:eastAsiaTheme="minorEastAsia" w:hAnsi="Times New Roman" w:cs="Times New Roman"/>
          <w:sz w:val="20"/>
          <w:szCs w:val="20"/>
          <w:lang w:eastAsia="zh-CN"/>
        </w:rPr>
      </w:pPr>
      <w:r>
        <w:rPr>
          <w:rFonts w:ascii="Times New Roman" w:hAnsi="Times New Roman" w:cs="Times New Roman"/>
          <w:sz w:val="20"/>
          <w:szCs w:val="20"/>
        </w:rPr>
        <w:t xml:space="preserve">The study was conducted in </w:t>
      </w:r>
      <w:proofErr w:type="spellStart"/>
      <w:r>
        <w:rPr>
          <w:rFonts w:ascii="Times New Roman" w:hAnsi="Times New Roman" w:cs="Times New Roman"/>
          <w:sz w:val="20"/>
          <w:szCs w:val="20"/>
        </w:rPr>
        <w:t>Paiko</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Dukpa</w:t>
      </w:r>
      <w:proofErr w:type="spellEnd"/>
      <w:r>
        <w:rPr>
          <w:rFonts w:ascii="Times New Roman" w:hAnsi="Times New Roman" w:cs="Times New Roman"/>
          <w:sz w:val="20"/>
          <w:szCs w:val="20"/>
        </w:rPr>
        <w:t xml:space="preserve">, two rural agrarian communities in </w:t>
      </w:r>
      <w:proofErr w:type="spellStart"/>
      <w:r>
        <w:rPr>
          <w:rFonts w:ascii="Times New Roman" w:hAnsi="Times New Roman" w:cs="Times New Roman"/>
          <w:sz w:val="20"/>
          <w:szCs w:val="20"/>
        </w:rPr>
        <w:t>Gwagwalada</w:t>
      </w:r>
      <w:proofErr w:type="spellEnd"/>
      <w:r>
        <w:rPr>
          <w:rFonts w:ascii="Times New Roman" w:hAnsi="Times New Roman" w:cs="Times New Roman"/>
          <w:sz w:val="20"/>
          <w:szCs w:val="20"/>
        </w:rPr>
        <w:t xml:space="preserve"> Area Council of the Federal Capital Territory Abuja.  Abuja lies between longitude 8</w:t>
      </w:r>
      <w:r>
        <w:rPr>
          <w:rFonts w:ascii="Times New Roman" w:hAnsi="Times New Roman" w:cs="Times New Roman"/>
          <w:sz w:val="20"/>
          <w:szCs w:val="20"/>
          <w:vertAlign w:val="superscript"/>
        </w:rPr>
        <w:t>0</w:t>
      </w:r>
      <w:r>
        <w:rPr>
          <w:rFonts w:ascii="Times New Roman" w:hAnsi="Times New Roman" w:cs="Times New Roman"/>
          <w:sz w:val="20"/>
          <w:szCs w:val="20"/>
        </w:rPr>
        <w:t xml:space="preserve"> and 8</w:t>
      </w:r>
      <w:r>
        <w:rPr>
          <w:rFonts w:ascii="Times New Roman" w:hAnsi="Times New Roman" w:cs="Times New Roman"/>
          <w:sz w:val="20"/>
          <w:szCs w:val="20"/>
          <w:vertAlign w:val="superscript"/>
        </w:rPr>
        <w:t>0</w:t>
      </w:r>
      <w:r>
        <w:rPr>
          <w:rFonts w:ascii="Times New Roman" w:hAnsi="Times New Roman" w:cs="Times New Roman"/>
          <w:sz w:val="20"/>
          <w:szCs w:val="20"/>
        </w:rPr>
        <w:t>56</w:t>
      </w:r>
      <w:r>
        <w:rPr>
          <w:rFonts w:ascii="Times New Roman" w:hAnsi="Times New Roman" w:cs="Times New Roman"/>
          <w:sz w:val="20"/>
          <w:szCs w:val="20"/>
          <w:vertAlign w:val="superscript"/>
        </w:rPr>
        <w:t>1</w:t>
      </w:r>
      <w:r>
        <w:rPr>
          <w:rFonts w:ascii="Times New Roman" w:hAnsi="Times New Roman" w:cs="Times New Roman"/>
          <w:sz w:val="20"/>
          <w:szCs w:val="20"/>
        </w:rPr>
        <w:t xml:space="preserve"> east and latitude 7</w:t>
      </w:r>
      <w:r>
        <w:rPr>
          <w:rFonts w:ascii="Times New Roman" w:hAnsi="Times New Roman" w:cs="Times New Roman"/>
          <w:sz w:val="20"/>
          <w:szCs w:val="20"/>
          <w:vertAlign w:val="superscript"/>
        </w:rPr>
        <w:t>0</w:t>
      </w:r>
      <w:r>
        <w:rPr>
          <w:rFonts w:ascii="Times New Roman" w:hAnsi="Times New Roman" w:cs="Times New Roman"/>
          <w:sz w:val="20"/>
          <w:szCs w:val="20"/>
        </w:rPr>
        <w:t xml:space="preserve"> 58</w:t>
      </w:r>
      <w:r>
        <w:rPr>
          <w:rFonts w:ascii="Times New Roman" w:hAnsi="Times New Roman" w:cs="Times New Roman"/>
          <w:sz w:val="20"/>
          <w:szCs w:val="20"/>
          <w:vertAlign w:val="superscript"/>
        </w:rPr>
        <w:t>1</w:t>
      </w:r>
      <w:r>
        <w:rPr>
          <w:rFonts w:ascii="Times New Roman" w:hAnsi="Times New Roman" w:cs="Times New Roman"/>
          <w:sz w:val="20"/>
          <w:szCs w:val="20"/>
        </w:rPr>
        <w:t xml:space="preserve"> and 7</w:t>
      </w:r>
      <w:r>
        <w:rPr>
          <w:rFonts w:ascii="Times New Roman" w:hAnsi="Times New Roman" w:cs="Times New Roman"/>
          <w:sz w:val="20"/>
          <w:szCs w:val="20"/>
          <w:vertAlign w:val="superscript"/>
        </w:rPr>
        <w:t>0</w:t>
      </w:r>
      <w:r>
        <w:rPr>
          <w:rFonts w:ascii="Times New Roman" w:hAnsi="Times New Roman" w:cs="Times New Roman"/>
          <w:sz w:val="20"/>
          <w:szCs w:val="20"/>
        </w:rPr>
        <w:t xml:space="preserve"> 05</w:t>
      </w:r>
      <w:r>
        <w:rPr>
          <w:rFonts w:ascii="Times New Roman" w:hAnsi="Times New Roman" w:cs="Times New Roman"/>
          <w:sz w:val="20"/>
          <w:szCs w:val="20"/>
          <w:vertAlign w:val="superscript"/>
        </w:rPr>
        <w:t>1</w:t>
      </w:r>
      <w:r>
        <w:rPr>
          <w:rFonts w:ascii="Times New Roman" w:hAnsi="Times New Roman" w:cs="Times New Roman"/>
          <w:sz w:val="20"/>
          <w:szCs w:val="20"/>
        </w:rPr>
        <w:t xml:space="preserve"> North. The climate of Abuja is tropical, the summer have a good deal of rainfall, the average annual temperature is 25.7 degree Celsius about 1389mm of precipitation falls annually, the climatic condition of the FCT supports the breeding of mosquitoes and malaria transmission. </w:t>
      </w:r>
      <w:proofErr w:type="spellStart"/>
      <w:r>
        <w:rPr>
          <w:rFonts w:ascii="Times New Roman" w:hAnsi="Times New Roman" w:cs="Times New Roman"/>
          <w:bCs/>
          <w:sz w:val="20"/>
          <w:szCs w:val="20"/>
        </w:rPr>
        <w:t>Gwagwalada</w:t>
      </w:r>
      <w:proofErr w:type="spellEnd"/>
      <w:r>
        <w:rPr>
          <w:rFonts w:ascii="Times New Roman" w:hAnsi="Times New Roman" w:cs="Times New Roman"/>
          <w:sz w:val="20"/>
          <w:szCs w:val="20"/>
        </w:rPr>
        <w:t xml:space="preserve"> has an area of 1,043 km2 and an official population of 157,770</w:t>
      </w:r>
      <w:r w:rsidR="00AC73C8">
        <w:rPr>
          <w:rFonts w:ascii="Times New Roman" w:eastAsiaTheme="minorEastAsia" w:hAnsi="Times New Roman" w:cs="Times New Roman" w:hint="eastAsia"/>
          <w:sz w:val="20"/>
          <w:szCs w:val="20"/>
          <w:lang w:eastAsia="zh-CN"/>
        </w:rPr>
        <w:t>.</w:t>
      </w:r>
    </w:p>
    <w:p w:rsidR="00700588" w:rsidRDefault="00021E93" w:rsidP="00AC73C8">
      <w:pPr>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 xml:space="preserve">Mosquito resting indoor were collected using pyrethrum spray catches from April 2019 to March 2020 in rooms of randomly selected 20 houses per </w:t>
      </w:r>
      <w:r>
        <w:rPr>
          <w:rFonts w:ascii="Times New Roman" w:hAnsi="Times New Roman" w:cs="Times New Roman"/>
          <w:sz w:val="20"/>
          <w:szCs w:val="20"/>
        </w:rPr>
        <w:lastRenderedPageBreak/>
        <w:t xml:space="preserve">community 10 of the households were netted and 10 household were devoid of LLINS, collection were made in 5 houses per day for 4 days per sentinel site for 12 months. The </w:t>
      </w:r>
      <w:proofErr w:type="spellStart"/>
      <w:r>
        <w:rPr>
          <w:rFonts w:ascii="Times New Roman" w:hAnsi="Times New Roman" w:cs="Times New Roman"/>
          <w:sz w:val="20"/>
          <w:szCs w:val="20"/>
        </w:rPr>
        <w:t>mosquitoe</w:t>
      </w:r>
      <w:proofErr w:type="spellEnd"/>
      <w:r>
        <w:rPr>
          <w:rFonts w:ascii="Times New Roman" w:hAnsi="Times New Roman" w:cs="Times New Roman"/>
          <w:sz w:val="20"/>
          <w:szCs w:val="20"/>
        </w:rPr>
        <w:t xml:space="preserve"> were sorted out into genera, and Anopheles were further sorted out into species. </w:t>
      </w:r>
    </w:p>
    <w:p w:rsidR="00700588" w:rsidRDefault="00021E93" w:rsidP="00AC73C8">
      <w:pPr>
        <w:snapToGrid w:val="0"/>
        <w:spacing w:after="0" w:line="240" w:lineRule="auto"/>
        <w:ind w:left="0" w:firstLine="720"/>
        <w:jc w:val="both"/>
        <w:rPr>
          <w:rFonts w:ascii="Times New Roman" w:eastAsiaTheme="minorEastAsia" w:hAnsi="Times New Roman" w:cs="Times New Roman"/>
          <w:sz w:val="20"/>
          <w:szCs w:val="20"/>
        </w:rPr>
      </w:pPr>
      <w:r>
        <w:rPr>
          <w:rFonts w:ascii="Times New Roman" w:hAnsi="Times New Roman" w:cs="Times New Roman"/>
          <w:sz w:val="20"/>
          <w:szCs w:val="20"/>
        </w:rPr>
        <w:t xml:space="preserve">The human biting rate was estimated by dividing the total number of blood fed Anopheles species by the number of occupant(w)who spent the night in the room </w:t>
      </w:r>
      <w:r>
        <w:rPr>
          <w:rFonts w:ascii="Times New Roman" w:eastAsiaTheme="minorEastAsia" w:hAnsi="Times New Roman" w:cs="Times New Roman"/>
          <w:sz w:val="20"/>
          <w:szCs w:val="20"/>
        </w:rPr>
        <w:t xml:space="preserve">Ma = </w:t>
      </w:r>
      <m:oMath>
        <m:f>
          <m:fPr>
            <m:ctrlPr>
              <w:rPr>
                <w:rFonts w:ascii="Cambria Math" w:hAnsi="Cambria Math" w:cs="Times New Roman"/>
                <w:sz w:val="20"/>
                <w:szCs w:val="20"/>
              </w:rPr>
            </m:ctrlPr>
          </m:fPr>
          <m:num>
            <m:r>
              <m:rPr>
                <m:sty m:val="p"/>
              </m:rPr>
              <w:rPr>
                <w:rFonts w:ascii="Cambria Math" w:hAnsi="Cambria Math" w:cs="Times New Roman"/>
                <w:sz w:val="20"/>
                <w:szCs w:val="20"/>
              </w:rPr>
              <m:t>F</m:t>
            </m:r>
          </m:num>
          <m:den>
            <m:r>
              <m:rPr>
                <m:sty m:val="p"/>
              </m:rPr>
              <w:rPr>
                <w:rFonts w:ascii="Cambria Math" w:hAnsi="Cambria Math" w:cs="Times New Roman"/>
                <w:sz w:val="20"/>
                <w:szCs w:val="20"/>
              </w:rPr>
              <m:t xml:space="preserve">w </m:t>
            </m:r>
          </m:den>
        </m:f>
      </m:oMath>
    </w:p>
    <w:p w:rsidR="00AC73C8" w:rsidRDefault="00AC73C8" w:rsidP="00AC73C8">
      <w:pPr>
        <w:snapToGrid w:val="0"/>
        <w:spacing w:after="0" w:line="240" w:lineRule="auto"/>
        <w:ind w:left="0" w:firstLine="720"/>
        <w:jc w:val="both"/>
        <w:rPr>
          <w:rFonts w:ascii="Times New Roman" w:eastAsiaTheme="minorEastAsia" w:hAnsi="Times New Roman" w:cs="Times New Roman"/>
          <w:sz w:val="20"/>
          <w:szCs w:val="20"/>
          <w:lang w:eastAsia="zh-CN"/>
        </w:rPr>
      </w:pPr>
    </w:p>
    <w:p w:rsidR="00700588" w:rsidRDefault="00021E93" w:rsidP="00AC73C8">
      <w:pPr>
        <w:snapToGrid w:val="0"/>
        <w:spacing w:after="0" w:line="240" w:lineRule="auto"/>
        <w:ind w:left="0" w:firstLine="720"/>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rPr>
        <w:t xml:space="preserve">The </w:t>
      </w:r>
      <w:proofErr w:type="spellStart"/>
      <w:r>
        <w:rPr>
          <w:rFonts w:ascii="Times New Roman" w:eastAsiaTheme="minorEastAsia" w:hAnsi="Times New Roman" w:cs="Times New Roman"/>
          <w:sz w:val="20"/>
          <w:szCs w:val="20"/>
        </w:rPr>
        <w:t>sporozoite</w:t>
      </w:r>
      <w:proofErr w:type="spellEnd"/>
      <w:r>
        <w:rPr>
          <w:rFonts w:ascii="Times New Roman" w:eastAsiaTheme="minorEastAsia" w:hAnsi="Times New Roman" w:cs="Times New Roman"/>
          <w:sz w:val="20"/>
          <w:szCs w:val="20"/>
        </w:rPr>
        <w:t xml:space="preserve"> rate was determined using nested PCR assay, in the first amplification plasmodium-specific primers were used based on </w:t>
      </w:r>
      <w:proofErr w:type="spellStart"/>
      <w:r>
        <w:rPr>
          <w:rFonts w:ascii="Times New Roman" w:eastAsiaTheme="minorEastAsia" w:hAnsi="Times New Roman" w:cs="Times New Roman"/>
          <w:sz w:val="20"/>
          <w:szCs w:val="20"/>
        </w:rPr>
        <w:t>oligonucleotides</w:t>
      </w:r>
      <w:proofErr w:type="spellEnd"/>
      <w:r>
        <w:rPr>
          <w:rFonts w:ascii="Times New Roman" w:eastAsiaTheme="minorEastAsia" w:hAnsi="Times New Roman" w:cs="Times New Roman"/>
          <w:sz w:val="20"/>
          <w:szCs w:val="20"/>
        </w:rPr>
        <w:t xml:space="preserve"> on the Plasmodium small subunit ribosomal RNA gene, the product of this nest served as a template for the second amplification with primers specific for </w:t>
      </w:r>
      <w:proofErr w:type="spellStart"/>
      <w:r>
        <w:rPr>
          <w:rFonts w:ascii="Times New Roman" w:eastAsiaTheme="minorEastAsia" w:hAnsi="Times New Roman" w:cs="Times New Roman"/>
          <w:sz w:val="20"/>
          <w:szCs w:val="20"/>
        </w:rPr>
        <w:t>Falciparum</w:t>
      </w:r>
      <w:proofErr w:type="spellEnd"/>
      <w:r>
        <w:rPr>
          <w:rFonts w:ascii="Times New Roman" w:eastAsiaTheme="minorEastAsia" w:hAnsi="Times New Roman" w:cs="Times New Roman"/>
          <w:sz w:val="20"/>
          <w:szCs w:val="20"/>
        </w:rPr>
        <w:t xml:space="preserve"> (rFAL1 and rFAL2). The positive samples were divided by the examined samples. </w:t>
      </w:r>
    </w:p>
    <w:p w:rsidR="00D91E45" w:rsidRDefault="00D91E45" w:rsidP="00AC73C8">
      <w:pPr>
        <w:snapToGrid w:val="0"/>
        <w:spacing w:after="0" w:line="240" w:lineRule="auto"/>
        <w:ind w:left="0" w:firstLine="720"/>
        <w:jc w:val="both"/>
        <w:rPr>
          <w:rFonts w:ascii="Times New Roman" w:eastAsiaTheme="minorEastAsia" w:hAnsi="Times New Roman" w:cs="Times New Roman"/>
          <w:sz w:val="20"/>
          <w:szCs w:val="20"/>
          <w:lang w:eastAsia="zh-CN"/>
        </w:rPr>
      </w:pPr>
    </w:p>
    <w:p w:rsidR="00700588" w:rsidRDefault="00021E93">
      <w:pPr>
        <w:snapToGrid w:val="0"/>
        <w:spacing w:after="0" w:line="240" w:lineRule="auto"/>
        <w:ind w:left="0" w:firstLine="0"/>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Sporozoite</w:t>
      </w:r>
      <w:proofErr w:type="spellEnd"/>
      <w:r>
        <w:rPr>
          <w:rFonts w:ascii="Times New Roman" w:eastAsiaTheme="minorEastAsia" w:hAnsi="Times New Roman" w:cs="Times New Roman"/>
          <w:sz w:val="20"/>
          <w:szCs w:val="20"/>
        </w:rPr>
        <w:t xml:space="preserve"> rate (s) - </w:t>
      </w:r>
      <m:oMath>
        <m:f>
          <m:fPr>
            <m:ctrlPr>
              <w:rPr>
                <w:rFonts w:ascii="Cambria Math" w:hAnsi="Cambria Math" w:cs="Times New Roman"/>
                <w:sz w:val="20"/>
                <w:szCs w:val="20"/>
              </w:rPr>
            </m:ctrlPr>
          </m:fPr>
          <m:num>
            <m:r>
              <m:rPr>
                <m:sty m:val="p"/>
              </m:rPr>
              <w:rPr>
                <w:rFonts w:ascii="Cambria Math" w:hAnsi="Cambria Math" w:cs="Times New Roman"/>
                <w:sz w:val="20"/>
                <w:szCs w:val="20"/>
              </w:rPr>
              <m:t>number of positive mosquitoes</m:t>
            </m:r>
          </m:num>
          <m:den>
            <m:r>
              <m:rPr>
                <m:sty m:val="p"/>
              </m:rPr>
              <w:rPr>
                <w:rFonts w:ascii="Cambria Math" w:hAnsi="Cambria Math" w:cs="Times New Roman"/>
                <w:sz w:val="20"/>
                <w:szCs w:val="20"/>
              </w:rPr>
              <m:t>number of analzyed mosquitoes</m:t>
            </m:r>
          </m:den>
        </m:f>
      </m:oMath>
    </w:p>
    <w:p w:rsidR="00AC73C8" w:rsidRDefault="00AC73C8" w:rsidP="00AC73C8">
      <w:pPr>
        <w:snapToGrid w:val="0"/>
        <w:spacing w:after="0" w:line="240" w:lineRule="auto"/>
        <w:ind w:left="0" w:firstLine="720"/>
        <w:jc w:val="both"/>
        <w:rPr>
          <w:rFonts w:ascii="Times New Roman" w:eastAsiaTheme="minorEastAsia" w:hAnsi="Times New Roman" w:cs="Times New Roman"/>
          <w:sz w:val="20"/>
          <w:szCs w:val="20"/>
          <w:lang w:eastAsia="zh-CN"/>
        </w:rPr>
      </w:pPr>
    </w:p>
    <w:p w:rsidR="00700588" w:rsidRDefault="00021E93" w:rsidP="00AC73C8">
      <w:pPr>
        <w:snapToGrid w:val="0"/>
        <w:spacing w:after="0" w:line="240" w:lineRule="auto"/>
        <w:ind w:left="0" w:firstLine="720"/>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rPr>
        <w:t xml:space="preserve">The EIR was determined as the product of the Human biting rate and </w:t>
      </w:r>
      <w:proofErr w:type="spellStart"/>
      <w:r>
        <w:rPr>
          <w:rFonts w:ascii="Times New Roman" w:eastAsiaTheme="minorEastAsia" w:hAnsi="Times New Roman" w:cs="Times New Roman"/>
          <w:sz w:val="20"/>
          <w:szCs w:val="20"/>
        </w:rPr>
        <w:t>Sporozoite</w:t>
      </w:r>
      <w:proofErr w:type="spellEnd"/>
      <w:r>
        <w:rPr>
          <w:rFonts w:ascii="Times New Roman" w:eastAsiaTheme="minorEastAsia" w:hAnsi="Times New Roman" w:cs="Times New Roman"/>
          <w:sz w:val="20"/>
          <w:szCs w:val="20"/>
        </w:rPr>
        <w:t xml:space="preserve"> rate. (</w:t>
      </w:r>
      <w:proofErr w:type="spellStart"/>
      <w:r>
        <w:rPr>
          <w:rFonts w:ascii="Times New Roman" w:eastAsiaTheme="minorEastAsia" w:hAnsi="Times New Roman" w:cs="Times New Roman"/>
          <w:sz w:val="20"/>
          <w:szCs w:val="20"/>
        </w:rPr>
        <w:t>MaS</w:t>
      </w:r>
      <w:proofErr w:type="spellEnd"/>
      <w:r>
        <w:rPr>
          <w:rFonts w:ascii="Times New Roman" w:eastAsiaTheme="minorEastAsia" w:hAnsi="Times New Roman" w:cs="Times New Roman"/>
          <w:sz w:val="20"/>
          <w:szCs w:val="20"/>
        </w:rPr>
        <w:t>)</w:t>
      </w:r>
    </w:p>
    <w:p w:rsidR="00B8243A" w:rsidRDefault="00B8243A">
      <w:pPr>
        <w:snapToGrid w:val="0"/>
        <w:spacing w:after="0" w:line="240" w:lineRule="auto"/>
        <w:ind w:left="0" w:firstLine="0"/>
        <w:jc w:val="both"/>
        <w:rPr>
          <w:rFonts w:ascii="Times New Roman" w:eastAsiaTheme="minorEastAsia" w:hAnsi="Times New Roman" w:cs="Times New Roman"/>
          <w:sz w:val="20"/>
          <w:szCs w:val="20"/>
          <w:lang w:eastAsia="zh-CN"/>
        </w:rPr>
      </w:pPr>
    </w:p>
    <w:p w:rsidR="00700588" w:rsidRDefault="00021E93">
      <w:pPr>
        <w:pStyle w:val="ListParagraph"/>
        <w:numPr>
          <w:ilvl w:val="0"/>
          <w:numId w:val="1"/>
        </w:numPr>
        <w:snapToGrid w:val="0"/>
        <w:spacing w:after="0" w:line="240" w:lineRule="auto"/>
        <w:ind w:left="0" w:firstLine="0"/>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Results</w:t>
      </w:r>
    </w:p>
    <w:p w:rsidR="00700588" w:rsidRDefault="00021E93" w:rsidP="00AC73C8">
      <w:pPr>
        <w:snapToGrid w:val="0"/>
        <w:spacing w:after="0" w:line="240" w:lineRule="auto"/>
        <w:ind w:left="0" w:firstLine="720"/>
        <w:jc w:val="both"/>
        <w:rPr>
          <w:rFonts w:ascii="Times New Roman" w:eastAsiaTheme="minorEastAsia" w:hAnsi="Times New Roman" w:cs="Times New Roman"/>
          <w:b/>
          <w:bCs/>
          <w:sz w:val="20"/>
          <w:szCs w:val="20"/>
        </w:rPr>
      </w:pPr>
      <w:r>
        <w:rPr>
          <w:rFonts w:ascii="Times New Roman" w:eastAsiaTheme="minorEastAsia" w:hAnsi="Times New Roman" w:cs="Times New Roman"/>
          <w:b/>
          <w:sz w:val="20"/>
          <w:szCs w:val="20"/>
        </w:rPr>
        <w:t>Fi</w:t>
      </w:r>
      <w:r>
        <w:rPr>
          <w:rFonts w:ascii="Times New Roman" w:eastAsiaTheme="minorEastAsia" w:hAnsi="Times New Roman" w:cs="Times New Roman"/>
          <w:sz w:val="20"/>
          <w:szCs w:val="20"/>
        </w:rPr>
        <w:t xml:space="preserve">gure 1 shows the relative abundance of mosquito’s genera in </w:t>
      </w:r>
      <w:proofErr w:type="spellStart"/>
      <w:r>
        <w:rPr>
          <w:rFonts w:ascii="Times New Roman" w:eastAsiaTheme="minorEastAsia" w:hAnsi="Times New Roman" w:cs="Times New Roman"/>
          <w:sz w:val="20"/>
          <w:szCs w:val="20"/>
        </w:rPr>
        <w:t>Paiko</w:t>
      </w:r>
      <w:proofErr w:type="spellEnd"/>
      <w:r>
        <w:rPr>
          <w:rFonts w:ascii="Times New Roman" w:eastAsiaTheme="minorEastAsia" w:hAnsi="Times New Roman" w:cs="Times New Roman"/>
          <w:sz w:val="20"/>
          <w:szCs w:val="20"/>
        </w:rPr>
        <w:t xml:space="preserve"> and </w:t>
      </w:r>
      <w:proofErr w:type="spellStart"/>
      <w:r>
        <w:rPr>
          <w:rFonts w:ascii="Times New Roman" w:eastAsiaTheme="minorEastAsia" w:hAnsi="Times New Roman" w:cs="Times New Roman"/>
          <w:sz w:val="20"/>
          <w:szCs w:val="20"/>
        </w:rPr>
        <w:t>Dukpa</w:t>
      </w:r>
      <w:proofErr w:type="spellEnd"/>
      <w:r>
        <w:rPr>
          <w:rFonts w:ascii="Times New Roman" w:eastAsiaTheme="minorEastAsia" w:hAnsi="Times New Roman" w:cs="Times New Roman"/>
          <w:sz w:val="20"/>
          <w:szCs w:val="20"/>
        </w:rPr>
        <w:t xml:space="preserve"> from April 2020 to March 2021. The 3 common genera found in these communities were </w:t>
      </w:r>
      <w:proofErr w:type="spellStart"/>
      <w:r>
        <w:rPr>
          <w:rFonts w:ascii="Times New Roman" w:eastAsiaTheme="minorEastAsia" w:hAnsi="Times New Roman" w:cs="Times New Roman"/>
          <w:i/>
          <w:sz w:val="20"/>
          <w:szCs w:val="20"/>
        </w:rPr>
        <w:t>Culex</w:t>
      </w:r>
      <w:proofErr w:type="spellEnd"/>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Anopheles,</w:t>
      </w:r>
      <w:r>
        <w:rPr>
          <w:rFonts w:ascii="Times New Roman" w:eastAsiaTheme="minorEastAsia" w:hAnsi="Times New Roman" w:cs="Times New Roman"/>
          <w:sz w:val="20"/>
          <w:szCs w:val="20"/>
        </w:rPr>
        <w:t xml:space="preserve"> and </w:t>
      </w:r>
      <w:proofErr w:type="spellStart"/>
      <w:r>
        <w:rPr>
          <w:rFonts w:ascii="Times New Roman" w:eastAsiaTheme="minorEastAsia" w:hAnsi="Times New Roman" w:cs="Times New Roman"/>
          <w:i/>
          <w:sz w:val="20"/>
          <w:szCs w:val="20"/>
        </w:rPr>
        <w:t>Aedes</w:t>
      </w:r>
      <w:proofErr w:type="spellEnd"/>
      <w:r>
        <w:rPr>
          <w:rFonts w:ascii="Times New Roman" w:eastAsiaTheme="minorEastAsia" w:hAnsi="Times New Roman" w:cs="Times New Roman"/>
          <w:sz w:val="20"/>
          <w:szCs w:val="20"/>
        </w:rPr>
        <w:t xml:space="preserve">, in </w:t>
      </w:r>
      <w:proofErr w:type="spellStart"/>
      <w:r>
        <w:rPr>
          <w:rFonts w:ascii="Times New Roman" w:eastAsiaTheme="minorEastAsia" w:hAnsi="Times New Roman" w:cs="Times New Roman"/>
          <w:sz w:val="20"/>
          <w:szCs w:val="20"/>
        </w:rPr>
        <w:t>Paiko</w:t>
      </w:r>
      <w:proofErr w:type="spellEnd"/>
      <w:r>
        <w:rPr>
          <w:rFonts w:ascii="Times New Roman" w:eastAsiaTheme="minorEastAsia" w:hAnsi="Times New Roman" w:cs="Times New Roman"/>
          <w:sz w:val="20"/>
          <w:szCs w:val="20"/>
        </w:rPr>
        <w:t xml:space="preserve">, of the 1939 mosquito collected 76.28% (n=1479) were </w:t>
      </w:r>
      <w:proofErr w:type="spellStart"/>
      <w:r>
        <w:rPr>
          <w:rFonts w:ascii="Times New Roman" w:eastAsiaTheme="minorEastAsia" w:hAnsi="Times New Roman" w:cs="Times New Roman"/>
          <w:i/>
          <w:sz w:val="20"/>
          <w:szCs w:val="20"/>
        </w:rPr>
        <w:t>Culex</w:t>
      </w:r>
      <w:proofErr w:type="spellEnd"/>
      <w:r>
        <w:rPr>
          <w:rFonts w:ascii="Times New Roman" w:eastAsiaTheme="minorEastAsia" w:hAnsi="Times New Roman" w:cs="Times New Roman"/>
          <w:i/>
          <w:sz w:val="20"/>
          <w:szCs w:val="20"/>
        </w:rPr>
        <w:t xml:space="preserve">, </w:t>
      </w:r>
      <w:r>
        <w:rPr>
          <w:rFonts w:ascii="Times New Roman" w:eastAsiaTheme="minorEastAsia" w:hAnsi="Times New Roman" w:cs="Times New Roman"/>
          <w:iCs/>
          <w:sz w:val="20"/>
          <w:szCs w:val="20"/>
        </w:rPr>
        <w:t xml:space="preserve">21.76% (n=422) were </w:t>
      </w:r>
      <w:r>
        <w:rPr>
          <w:rFonts w:ascii="Times New Roman" w:eastAsiaTheme="minorEastAsia" w:hAnsi="Times New Roman" w:cs="Times New Roman"/>
          <w:i/>
          <w:sz w:val="20"/>
          <w:szCs w:val="20"/>
        </w:rPr>
        <w:t>Anopheles</w:t>
      </w:r>
      <w:r>
        <w:rPr>
          <w:rFonts w:ascii="Times New Roman" w:eastAsiaTheme="minorEastAsia" w:hAnsi="Times New Roman" w:cs="Times New Roman"/>
          <w:iCs/>
          <w:sz w:val="20"/>
          <w:szCs w:val="20"/>
        </w:rPr>
        <w:t xml:space="preserve"> and 1.96%</w:t>
      </w:r>
      <w:r w:rsidR="00AC73C8">
        <w:rPr>
          <w:rFonts w:ascii="Times New Roman" w:eastAsiaTheme="minorEastAsia" w:hAnsi="Times New Roman" w:cs="Times New Roman" w:hint="eastAsia"/>
          <w:iCs/>
          <w:sz w:val="20"/>
          <w:szCs w:val="20"/>
          <w:lang w:eastAsia="zh-CN"/>
        </w:rPr>
        <w:t xml:space="preserve"> </w:t>
      </w:r>
      <w:r>
        <w:rPr>
          <w:rFonts w:ascii="Times New Roman" w:eastAsiaTheme="minorEastAsia" w:hAnsi="Times New Roman" w:cs="Times New Roman"/>
          <w:iCs/>
          <w:sz w:val="20"/>
          <w:szCs w:val="20"/>
        </w:rPr>
        <w:t xml:space="preserve">(n=38) constitute </w:t>
      </w:r>
      <w:proofErr w:type="spellStart"/>
      <w:r>
        <w:rPr>
          <w:rFonts w:ascii="Times New Roman" w:eastAsiaTheme="minorEastAsia" w:hAnsi="Times New Roman" w:cs="Times New Roman"/>
          <w:i/>
          <w:sz w:val="20"/>
          <w:szCs w:val="20"/>
        </w:rPr>
        <w:t>Aedes</w:t>
      </w:r>
      <w:proofErr w:type="spellEnd"/>
      <w:r>
        <w:rPr>
          <w:rFonts w:ascii="Times New Roman" w:eastAsiaTheme="minorEastAsia" w:hAnsi="Times New Roman" w:cs="Times New Roman"/>
          <w:iCs/>
          <w:sz w:val="20"/>
          <w:szCs w:val="20"/>
        </w:rPr>
        <w:t>.</w:t>
      </w:r>
      <w:r>
        <w:rPr>
          <w:rFonts w:ascii="Times New Roman" w:eastAsiaTheme="minorEastAsia" w:hAnsi="Times New Roman" w:cs="Times New Roman"/>
          <w:sz w:val="20"/>
          <w:szCs w:val="20"/>
        </w:rPr>
        <w:t xml:space="preserve"> In </w:t>
      </w:r>
      <w:proofErr w:type="spellStart"/>
      <w:r>
        <w:rPr>
          <w:rFonts w:ascii="Times New Roman" w:eastAsiaTheme="minorEastAsia" w:hAnsi="Times New Roman" w:cs="Times New Roman"/>
          <w:sz w:val="20"/>
          <w:szCs w:val="20"/>
        </w:rPr>
        <w:t>Dukpa</w:t>
      </w:r>
      <w:proofErr w:type="spellEnd"/>
      <w:r>
        <w:rPr>
          <w:rFonts w:ascii="Times New Roman" w:eastAsiaTheme="minorEastAsia" w:hAnsi="Times New Roman" w:cs="Times New Roman"/>
          <w:sz w:val="20"/>
          <w:szCs w:val="20"/>
        </w:rPr>
        <w:t xml:space="preserve"> of the 1793 mosquito collected 73.79% (n=1323) consist of </w:t>
      </w:r>
      <w:proofErr w:type="spellStart"/>
      <w:r>
        <w:rPr>
          <w:rFonts w:ascii="Times New Roman" w:eastAsiaTheme="minorEastAsia" w:hAnsi="Times New Roman" w:cs="Times New Roman"/>
          <w:sz w:val="20"/>
          <w:szCs w:val="20"/>
        </w:rPr>
        <w:t>Culex</w:t>
      </w:r>
      <w:proofErr w:type="spellEnd"/>
      <w:r>
        <w:rPr>
          <w:rFonts w:ascii="Times New Roman" w:eastAsiaTheme="minorEastAsia" w:hAnsi="Times New Roman" w:cs="Times New Roman"/>
          <w:sz w:val="20"/>
          <w:szCs w:val="20"/>
        </w:rPr>
        <w:t xml:space="preserve">, 23,26% (n=417) were Anopheles, while </w:t>
      </w:r>
      <w:proofErr w:type="spellStart"/>
      <w:r>
        <w:rPr>
          <w:rFonts w:ascii="Times New Roman" w:eastAsiaTheme="minorEastAsia" w:hAnsi="Times New Roman" w:cs="Times New Roman"/>
          <w:sz w:val="20"/>
          <w:szCs w:val="20"/>
        </w:rPr>
        <w:t>Aedes</w:t>
      </w:r>
      <w:proofErr w:type="spellEnd"/>
      <w:r>
        <w:rPr>
          <w:rFonts w:ascii="Times New Roman" w:eastAsiaTheme="minorEastAsia" w:hAnsi="Times New Roman" w:cs="Times New Roman"/>
          <w:sz w:val="20"/>
          <w:szCs w:val="20"/>
        </w:rPr>
        <w:t xml:space="preserve"> made up 2.96% (n=53)</w:t>
      </w:r>
      <w:r w:rsidR="00B8243A">
        <w:rPr>
          <w:rFonts w:ascii="Times New Roman" w:eastAsiaTheme="minorEastAsia" w:hAnsi="Times New Roman" w:cs="Times New Roman" w:hint="eastAsia"/>
          <w:sz w:val="20"/>
          <w:szCs w:val="20"/>
          <w:lang w:eastAsia="zh-CN"/>
        </w:rPr>
        <w:t>.</w:t>
      </w:r>
    </w:p>
    <w:p w:rsidR="00700588" w:rsidRDefault="00700588">
      <w:pPr>
        <w:snapToGrid w:val="0"/>
        <w:spacing w:after="0" w:line="240" w:lineRule="auto"/>
        <w:ind w:left="0" w:firstLine="0"/>
        <w:jc w:val="both"/>
        <w:rPr>
          <w:rFonts w:ascii="Times New Roman" w:eastAsiaTheme="minorEastAsia" w:hAnsi="Times New Roman" w:cs="Times New Roman"/>
          <w:b/>
          <w:bCs/>
          <w:sz w:val="20"/>
          <w:szCs w:val="20"/>
        </w:rPr>
        <w:sectPr w:rsidR="00700588">
          <w:type w:val="continuous"/>
          <w:pgSz w:w="12240" w:h="15840"/>
          <w:pgMar w:top="1440" w:right="1440" w:bottom="1440" w:left="1440" w:header="720" w:footer="720" w:gutter="0"/>
          <w:cols w:num="2" w:space="720" w:equalWidth="0">
            <w:col w:w="4467" w:space="425"/>
            <w:col w:w="4467"/>
          </w:cols>
          <w:docGrid w:linePitch="360"/>
        </w:sectPr>
      </w:pPr>
    </w:p>
    <w:p w:rsidR="00AC73C8" w:rsidRDefault="00AC73C8">
      <w:pPr>
        <w:snapToGrid w:val="0"/>
        <w:spacing w:after="0" w:line="240" w:lineRule="auto"/>
        <w:ind w:left="0" w:firstLine="0"/>
        <w:jc w:val="center"/>
        <w:rPr>
          <w:rFonts w:ascii="Times New Roman" w:eastAsiaTheme="minorEastAsia" w:hAnsi="Times New Roman" w:cs="Times New Roman"/>
          <w:b/>
          <w:sz w:val="20"/>
          <w:szCs w:val="20"/>
          <w:lang w:eastAsia="zh-CN"/>
        </w:rPr>
      </w:pPr>
    </w:p>
    <w:p w:rsidR="00AC73C8" w:rsidRDefault="00AC73C8">
      <w:pPr>
        <w:snapToGrid w:val="0"/>
        <w:spacing w:after="0" w:line="240" w:lineRule="auto"/>
        <w:ind w:left="0" w:firstLine="0"/>
        <w:jc w:val="center"/>
        <w:rPr>
          <w:rFonts w:ascii="Times New Roman" w:eastAsiaTheme="minorEastAsia" w:hAnsi="Times New Roman" w:cs="Times New Roman"/>
          <w:b/>
          <w:sz w:val="20"/>
          <w:szCs w:val="20"/>
          <w:lang w:eastAsia="zh-CN"/>
        </w:rPr>
      </w:pPr>
    </w:p>
    <w:p w:rsidR="00700588" w:rsidRDefault="00021E93">
      <w:pPr>
        <w:snapToGrid w:val="0"/>
        <w:spacing w:after="0" w:line="240" w:lineRule="auto"/>
        <w:ind w:left="0" w:firstLine="0"/>
        <w:jc w:val="center"/>
        <w:rPr>
          <w:rFonts w:ascii="Times New Roman" w:eastAsiaTheme="minorEastAsia" w:hAnsi="Times New Roman" w:cs="Times New Roman"/>
          <w:b/>
          <w:sz w:val="20"/>
          <w:szCs w:val="20"/>
          <w:lang w:eastAsia="zh-CN"/>
        </w:rPr>
      </w:pPr>
      <w:r>
        <w:rPr>
          <w:rFonts w:ascii="Times New Roman" w:eastAsiaTheme="minorEastAsia" w:hAnsi="Times New Roman" w:cs="Times New Roman"/>
          <w:b/>
          <w:noProof/>
          <w:sz w:val="20"/>
          <w:szCs w:val="20"/>
          <w:lang w:eastAsia="zh-CN"/>
        </w:rPr>
        <w:drawing>
          <wp:inline distT="0" distB="0" distL="0" distR="0">
            <wp:extent cx="2990215" cy="2447290"/>
            <wp:effectExtent l="4445" t="4445" r="15240" b="57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eastAsiaTheme="minorEastAsia" w:hAnsi="Times New Roman" w:cs="Times New Roman"/>
          <w:b/>
          <w:noProof/>
          <w:sz w:val="20"/>
          <w:szCs w:val="20"/>
          <w:lang w:eastAsia="zh-CN"/>
        </w:rPr>
        <w:drawing>
          <wp:inline distT="0" distB="0" distL="0" distR="0">
            <wp:extent cx="2885440" cy="2437130"/>
            <wp:effectExtent l="5080" t="4445" r="5080"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0588" w:rsidRDefault="00700588">
      <w:pPr>
        <w:snapToGrid w:val="0"/>
        <w:spacing w:after="0" w:line="240" w:lineRule="auto"/>
        <w:ind w:left="0" w:firstLine="0"/>
        <w:jc w:val="center"/>
        <w:rPr>
          <w:rFonts w:ascii="Times New Roman" w:eastAsiaTheme="minorEastAsia" w:hAnsi="Times New Roman" w:cs="Times New Roman"/>
          <w:b/>
          <w:sz w:val="20"/>
          <w:szCs w:val="20"/>
          <w:lang w:eastAsia="zh-CN"/>
        </w:rPr>
      </w:pPr>
    </w:p>
    <w:p w:rsidR="00700588" w:rsidRDefault="00021E93">
      <w:pPr>
        <w:snapToGrid w:val="0"/>
        <w:spacing w:after="0" w:line="240" w:lineRule="auto"/>
        <w:ind w:left="0" w:firstLine="0"/>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Figure 1: Showing Relative Abundance of Mosquitoes Genera in </w:t>
      </w:r>
      <w:proofErr w:type="spellStart"/>
      <w:r>
        <w:rPr>
          <w:rFonts w:ascii="Times New Roman" w:eastAsiaTheme="minorEastAsia" w:hAnsi="Times New Roman" w:cs="Times New Roman"/>
          <w:b/>
          <w:sz w:val="20"/>
          <w:szCs w:val="20"/>
        </w:rPr>
        <w:t>Paiko</w:t>
      </w:r>
      <w:proofErr w:type="spellEnd"/>
      <w:r>
        <w:rPr>
          <w:rFonts w:ascii="Times New Roman" w:eastAsiaTheme="minorEastAsia" w:hAnsi="Times New Roman" w:cs="Times New Roman"/>
          <w:b/>
          <w:sz w:val="20"/>
          <w:szCs w:val="20"/>
        </w:rPr>
        <w:t xml:space="preserve"> and </w:t>
      </w:r>
      <w:proofErr w:type="spellStart"/>
      <w:r>
        <w:rPr>
          <w:rFonts w:ascii="Times New Roman" w:eastAsiaTheme="minorEastAsia" w:hAnsi="Times New Roman" w:cs="Times New Roman"/>
          <w:b/>
          <w:sz w:val="20"/>
          <w:szCs w:val="20"/>
        </w:rPr>
        <w:t>Dukpa</w:t>
      </w:r>
      <w:proofErr w:type="spellEnd"/>
      <w:r>
        <w:rPr>
          <w:rFonts w:ascii="Times New Roman" w:eastAsiaTheme="minorEastAsia" w:hAnsi="Times New Roman" w:cs="Times New Roman"/>
          <w:b/>
          <w:sz w:val="20"/>
          <w:szCs w:val="20"/>
        </w:rPr>
        <w:t xml:space="preserve"> from April 2019 to March 2020</w:t>
      </w:r>
    </w:p>
    <w:p w:rsidR="00700588" w:rsidRDefault="00700588">
      <w:pPr>
        <w:snapToGrid w:val="0"/>
        <w:spacing w:after="0" w:line="240" w:lineRule="auto"/>
        <w:ind w:left="0" w:firstLine="0"/>
        <w:jc w:val="both"/>
        <w:rPr>
          <w:rFonts w:ascii="Times New Roman" w:eastAsiaTheme="minorEastAsia" w:hAnsi="Times New Roman" w:cs="Times New Roman"/>
          <w:sz w:val="20"/>
          <w:szCs w:val="20"/>
          <w:lang w:eastAsia="zh-CN"/>
        </w:rPr>
      </w:pPr>
    </w:p>
    <w:p w:rsidR="00AC73C8" w:rsidRDefault="00AC73C8">
      <w:pPr>
        <w:snapToGrid w:val="0"/>
        <w:spacing w:after="0" w:line="240" w:lineRule="auto"/>
        <w:ind w:left="0" w:firstLine="0"/>
        <w:jc w:val="both"/>
        <w:rPr>
          <w:rFonts w:ascii="Times New Roman" w:eastAsiaTheme="minorEastAsia" w:hAnsi="Times New Roman" w:cs="Times New Roman"/>
          <w:sz w:val="20"/>
          <w:szCs w:val="20"/>
          <w:lang w:eastAsia="zh-CN"/>
        </w:rPr>
      </w:pPr>
    </w:p>
    <w:p w:rsidR="00700588" w:rsidRDefault="00700588">
      <w:pPr>
        <w:snapToGrid w:val="0"/>
        <w:spacing w:after="0" w:line="240" w:lineRule="auto"/>
        <w:ind w:left="0" w:firstLine="0"/>
        <w:jc w:val="both"/>
        <w:rPr>
          <w:rFonts w:ascii="Times New Roman" w:eastAsiaTheme="minorEastAsia" w:hAnsi="Times New Roman" w:cs="Times New Roman"/>
          <w:sz w:val="20"/>
          <w:szCs w:val="20"/>
        </w:rPr>
        <w:sectPr w:rsidR="00700588">
          <w:type w:val="continuous"/>
          <w:pgSz w:w="12240" w:h="15840"/>
          <w:pgMar w:top="1440" w:right="1440" w:bottom="1440" w:left="1440" w:header="720" w:footer="720" w:gutter="0"/>
          <w:cols w:space="425"/>
          <w:docGrid w:linePitch="360"/>
        </w:sectPr>
      </w:pPr>
    </w:p>
    <w:p w:rsidR="00700588" w:rsidRDefault="00021E93" w:rsidP="00AC73C8">
      <w:pPr>
        <w:snapToGrid w:val="0"/>
        <w:spacing w:after="0" w:line="240" w:lineRule="auto"/>
        <w:ind w:left="0" w:firstLine="720"/>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rPr>
        <w:lastRenderedPageBreak/>
        <w:t xml:space="preserve">Figure 2 shows the mean man biting rate of </w:t>
      </w:r>
      <w:r>
        <w:rPr>
          <w:rFonts w:ascii="Times New Roman" w:eastAsiaTheme="minorEastAsia" w:hAnsi="Times New Roman" w:cs="Times New Roman"/>
          <w:i/>
          <w:iCs/>
          <w:sz w:val="20"/>
          <w:szCs w:val="20"/>
        </w:rPr>
        <w:t xml:space="preserve">Anopheles </w:t>
      </w:r>
      <w:proofErr w:type="spellStart"/>
      <w:r>
        <w:rPr>
          <w:rFonts w:ascii="Times New Roman" w:eastAsiaTheme="minorEastAsia" w:hAnsi="Times New Roman" w:cs="Times New Roman"/>
          <w:i/>
          <w:iCs/>
          <w:sz w:val="20"/>
          <w:szCs w:val="20"/>
        </w:rPr>
        <w:t>gambiae</w:t>
      </w:r>
      <w:proofErr w:type="spellEnd"/>
      <w:r>
        <w:rPr>
          <w:rFonts w:ascii="Times New Roman" w:eastAsiaTheme="minorEastAsia" w:hAnsi="Times New Roman" w:cs="Times New Roman"/>
          <w:sz w:val="20"/>
          <w:szCs w:val="20"/>
        </w:rPr>
        <w:t xml:space="preserve"> in the two-sentinel site in both netted and non-netted households, the mean man biting rate of </w:t>
      </w:r>
      <w:r>
        <w:rPr>
          <w:rFonts w:ascii="Times New Roman" w:eastAsiaTheme="minorEastAsia" w:hAnsi="Times New Roman" w:cs="Times New Roman"/>
          <w:i/>
          <w:iCs/>
          <w:sz w:val="20"/>
          <w:szCs w:val="20"/>
        </w:rPr>
        <w:t xml:space="preserve">Anopheles </w:t>
      </w:r>
      <w:proofErr w:type="spellStart"/>
      <w:r>
        <w:rPr>
          <w:rFonts w:ascii="Times New Roman" w:eastAsiaTheme="minorEastAsia" w:hAnsi="Times New Roman" w:cs="Times New Roman"/>
          <w:i/>
          <w:iCs/>
          <w:sz w:val="20"/>
          <w:szCs w:val="20"/>
        </w:rPr>
        <w:t>gambiae</w:t>
      </w:r>
      <w:proofErr w:type="spellEnd"/>
      <w:r>
        <w:rPr>
          <w:rFonts w:ascii="Times New Roman" w:eastAsiaTheme="minorEastAsia" w:hAnsi="Times New Roman" w:cs="Times New Roman"/>
          <w:sz w:val="20"/>
          <w:szCs w:val="20"/>
        </w:rPr>
        <w:t xml:space="preserve"> in netted households was 0.093±0.023</w:t>
      </w:r>
      <w:r w:rsidR="00B8243A">
        <w:rPr>
          <w:rFonts w:ascii="Times New Roman" w:eastAsiaTheme="minorEastAsia" w:hAnsi="Times New Roman" w:cs="Times New Roman" w:hint="eastAsia"/>
          <w:sz w:val="20"/>
          <w:szCs w:val="20"/>
          <w:lang w:eastAsia="zh-CN"/>
        </w:rPr>
        <w:t xml:space="preserve"> </w:t>
      </w:r>
      <w:r>
        <w:rPr>
          <w:rFonts w:ascii="Times New Roman" w:eastAsiaTheme="minorEastAsia" w:hAnsi="Times New Roman" w:cs="Times New Roman"/>
          <w:sz w:val="20"/>
          <w:szCs w:val="20"/>
        </w:rPr>
        <w:t xml:space="preserve">bite/person/night and 0.166±0.045 bite/person/night while in non-netted household it was 0.223±0.034 bite/person/night and 0.404±0.098 </w:t>
      </w:r>
      <w:r>
        <w:rPr>
          <w:rFonts w:ascii="Times New Roman" w:eastAsiaTheme="minorEastAsia" w:hAnsi="Times New Roman" w:cs="Times New Roman"/>
          <w:sz w:val="20"/>
          <w:szCs w:val="20"/>
        </w:rPr>
        <w:lastRenderedPageBreak/>
        <w:t xml:space="preserve">bite/person/night in </w:t>
      </w:r>
      <w:proofErr w:type="spellStart"/>
      <w:r>
        <w:rPr>
          <w:rFonts w:ascii="Times New Roman" w:eastAsiaTheme="minorEastAsia" w:hAnsi="Times New Roman" w:cs="Times New Roman"/>
          <w:sz w:val="20"/>
          <w:szCs w:val="20"/>
        </w:rPr>
        <w:t>Paiko</w:t>
      </w:r>
      <w:proofErr w:type="spellEnd"/>
      <w:r>
        <w:rPr>
          <w:rFonts w:ascii="Times New Roman" w:eastAsiaTheme="minorEastAsia" w:hAnsi="Times New Roman" w:cs="Times New Roman"/>
          <w:sz w:val="20"/>
          <w:szCs w:val="20"/>
        </w:rPr>
        <w:t xml:space="preserve"> and </w:t>
      </w:r>
      <w:proofErr w:type="spellStart"/>
      <w:r>
        <w:rPr>
          <w:rFonts w:ascii="Times New Roman" w:eastAsiaTheme="minorEastAsia" w:hAnsi="Times New Roman" w:cs="Times New Roman"/>
          <w:sz w:val="20"/>
          <w:szCs w:val="20"/>
        </w:rPr>
        <w:t>Dukpa</w:t>
      </w:r>
      <w:proofErr w:type="spellEnd"/>
      <w:r>
        <w:rPr>
          <w:rFonts w:ascii="Times New Roman" w:eastAsiaTheme="minorEastAsia" w:hAnsi="Times New Roman" w:cs="Times New Roman"/>
          <w:sz w:val="20"/>
          <w:szCs w:val="20"/>
        </w:rPr>
        <w:t xml:space="preserve"> with a significant difference between netted and non-netted households P value= 0.006</w:t>
      </w:r>
      <w:r w:rsidR="00AC73C8">
        <w:rPr>
          <w:rFonts w:ascii="Times New Roman" w:eastAsiaTheme="minorEastAsia" w:hAnsi="Times New Roman" w:cs="Times New Roman" w:hint="eastAsia"/>
          <w:sz w:val="20"/>
          <w:szCs w:val="20"/>
          <w:lang w:eastAsia="zh-CN"/>
        </w:rPr>
        <w:t xml:space="preserve"> </w:t>
      </w:r>
      <w:r>
        <w:rPr>
          <w:rFonts w:ascii="Times New Roman" w:eastAsiaTheme="minorEastAsia" w:hAnsi="Times New Roman" w:cs="Times New Roman"/>
          <w:sz w:val="20"/>
          <w:szCs w:val="20"/>
        </w:rPr>
        <w:t>(&lt;0.05) and 0.001</w:t>
      </w:r>
      <w:r w:rsidR="00AC73C8">
        <w:rPr>
          <w:rFonts w:ascii="Times New Roman" w:eastAsiaTheme="minorEastAsia" w:hAnsi="Times New Roman" w:cs="Times New Roman" w:hint="eastAsia"/>
          <w:sz w:val="20"/>
          <w:szCs w:val="20"/>
          <w:lang w:eastAsia="zh-CN"/>
        </w:rPr>
        <w:t xml:space="preserve"> </w:t>
      </w:r>
      <w:r>
        <w:rPr>
          <w:rFonts w:ascii="Times New Roman" w:eastAsiaTheme="minorEastAsia" w:hAnsi="Times New Roman" w:cs="Times New Roman"/>
          <w:sz w:val="20"/>
          <w:szCs w:val="20"/>
        </w:rPr>
        <w:t xml:space="preserve">(&lt;0.05) respectively. The overall man biting rate was 0.336±0.068 bite/person/night in </w:t>
      </w:r>
      <w:proofErr w:type="spellStart"/>
      <w:r>
        <w:rPr>
          <w:rFonts w:ascii="Times New Roman" w:eastAsiaTheme="minorEastAsia" w:hAnsi="Times New Roman" w:cs="Times New Roman"/>
          <w:sz w:val="20"/>
          <w:szCs w:val="20"/>
        </w:rPr>
        <w:t>Dukpa</w:t>
      </w:r>
      <w:proofErr w:type="spellEnd"/>
      <w:r>
        <w:rPr>
          <w:rFonts w:ascii="Times New Roman" w:eastAsiaTheme="minorEastAsia" w:hAnsi="Times New Roman" w:cs="Times New Roman"/>
          <w:sz w:val="20"/>
          <w:szCs w:val="20"/>
        </w:rPr>
        <w:t xml:space="preserve"> and 0.569±0.143</w:t>
      </w:r>
      <w:r w:rsidR="00B8243A">
        <w:rPr>
          <w:rFonts w:ascii="Times New Roman" w:eastAsiaTheme="minorEastAsia" w:hAnsi="Times New Roman" w:cs="Times New Roman" w:hint="eastAsia"/>
          <w:sz w:val="20"/>
          <w:szCs w:val="20"/>
          <w:lang w:eastAsia="zh-CN"/>
        </w:rPr>
        <w:t xml:space="preserve"> </w:t>
      </w:r>
      <w:r>
        <w:rPr>
          <w:rFonts w:ascii="Times New Roman" w:eastAsiaTheme="minorEastAsia" w:hAnsi="Times New Roman" w:cs="Times New Roman"/>
          <w:sz w:val="20"/>
          <w:szCs w:val="20"/>
        </w:rPr>
        <w:t>bite/person/night</w:t>
      </w:r>
      <w:r w:rsidR="00AC73C8">
        <w:rPr>
          <w:rFonts w:ascii="Times New Roman" w:eastAsiaTheme="minorEastAsia" w:hAnsi="Times New Roman" w:cs="Times New Roman" w:hint="eastAsia"/>
          <w:sz w:val="20"/>
          <w:szCs w:val="20"/>
          <w:lang w:eastAsia="zh-CN"/>
        </w:rPr>
        <w:t xml:space="preserve"> </w:t>
      </w:r>
      <w:r w:rsidR="00AC73C8">
        <w:rPr>
          <w:rFonts w:ascii="Times New Roman" w:eastAsiaTheme="minorEastAsia" w:hAnsi="Times New Roman" w:cs="Times New Roman"/>
          <w:sz w:val="20"/>
          <w:szCs w:val="20"/>
        </w:rPr>
        <w:t xml:space="preserve">in </w:t>
      </w:r>
      <w:proofErr w:type="spellStart"/>
      <w:r w:rsidR="00AC73C8">
        <w:rPr>
          <w:rFonts w:ascii="Times New Roman" w:eastAsiaTheme="minorEastAsia" w:hAnsi="Times New Roman" w:cs="Times New Roman"/>
          <w:sz w:val="20"/>
          <w:szCs w:val="20"/>
        </w:rPr>
        <w:t>Paiko</w:t>
      </w:r>
      <w:proofErr w:type="spellEnd"/>
      <w:r w:rsidR="00AC73C8">
        <w:rPr>
          <w:rFonts w:ascii="Times New Roman" w:eastAsiaTheme="minorEastAsia" w:hAnsi="Times New Roman" w:cs="Times New Roman"/>
          <w:sz w:val="20"/>
          <w:szCs w:val="20"/>
        </w:rPr>
        <w:t xml:space="preserve"> respectively.</w:t>
      </w:r>
      <w:r>
        <w:rPr>
          <w:rFonts w:ascii="Times New Roman" w:eastAsiaTheme="minorEastAsia" w:hAnsi="Times New Roman" w:cs="Times New Roman"/>
          <w:sz w:val="20"/>
          <w:szCs w:val="20"/>
        </w:rPr>
        <w:t xml:space="preserve"> </w:t>
      </w:r>
    </w:p>
    <w:p w:rsidR="00B8243A" w:rsidRDefault="00B8243A">
      <w:pPr>
        <w:snapToGrid w:val="0"/>
        <w:spacing w:after="0" w:line="240" w:lineRule="auto"/>
        <w:ind w:left="0" w:firstLine="0"/>
        <w:jc w:val="both"/>
        <w:rPr>
          <w:rFonts w:ascii="Times New Roman" w:eastAsiaTheme="minorEastAsia" w:hAnsi="Times New Roman" w:cs="Times New Roman"/>
          <w:sz w:val="20"/>
          <w:szCs w:val="20"/>
          <w:lang w:eastAsia="zh-CN"/>
        </w:rPr>
        <w:sectPr w:rsidR="00B8243A">
          <w:type w:val="continuous"/>
          <w:pgSz w:w="12240" w:h="15840"/>
          <w:pgMar w:top="1440" w:right="1440" w:bottom="1440" w:left="1440" w:header="720" w:footer="720" w:gutter="0"/>
          <w:cols w:num="2" w:space="720" w:equalWidth="0">
            <w:col w:w="4467" w:space="425"/>
            <w:col w:w="4467"/>
          </w:cols>
          <w:docGrid w:linePitch="360"/>
        </w:sectPr>
      </w:pPr>
    </w:p>
    <w:p w:rsidR="00700588" w:rsidRDefault="00700588">
      <w:pPr>
        <w:snapToGrid w:val="0"/>
        <w:spacing w:after="0" w:line="240" w:lineRule="auto"/>
        <w:ind w:left="0" w:firstLine="0"/>
        <w:jc w:val="both"/>
        <w:rPr>
          <w:rFonts w:ascii="Times New Roman" w:eastAsiaTheme="minorEastAsia" w:hAnsi="Times New Roman" w:cs="Times New Roman"/>
          <w:sz w:val="20"/>
          <w:szCs w:val="20"/>
          <w:lang w:eastAsia="zh-CN"/>
        </w:rPr>
      </w:pPr>
    </w:p>
    <w:p w:rsidR="00AC73C8" w:rsidRDefault="00AC73C8">
      <w:pPr>
        <w:snapToGrid w:val="0"/>
        <w:spacing w:after="0" w:line="240" w:lineRule="auto"/>
        <w:ind w:left="0" w:firstLine="0"/>
        <w:jc w:val="both"/>
        <w:rPr>
          <w:rFonts w:ascii="Times New Roman" w:eastAsiaTheme="minorEastAsia" w:hAnsi="Times New Roman" w:cs="Times New Roman"/>
          <w:sz w:val="20"/>
          <w:szCs w:val="20"/>
          <w:lang w:eastAsia="zh-CN"/>
        </w:rPr>
      </w:pPr>
    </w:p>
    <w:p w:rsidR="00AC73C8" w:rsidRDefault="00AC73C8">
      <w:pPr>
        <w:snapToGrid w:val="0"/>
        <w:spacing w:after="0" w:line="240" w:lineRule="auto"/>
        <w:ind w:left="0" w:firstLine="0"/>
        <w:jc w:val="both"/>
        <w:rPr>
          <w:rFonts w:ascii="Times New Roman" w:eastAsiaTheme="minorEastAsia" w:hAnsi="Times New Roman" w:cs="Times New Roman"/>
          <w:sz w:val="20"/>
          <w:szCs w:val="20"/>
          <w:lang w:eastAsia="zh-CN"/>
        </w:rPr>
      </w:pPr>
    </w:p>
    <w:p w:rsidR="00D91E45" w:rsidRDefault="00D91E45">
      <w:pPr>
        <w:snapToGrid w:val="0"/>
        <w:spacing w:after="0" w:line="240" w:lineRule="auto"/>
        <w:ind w:left="0" w:firstLine="0"/>
        <w:jc w:val="both"/>
        <w:rPr>
          <w:rFonts w:ascii="Times New Roman" w:eastAsiaTheme="minorEastAsia" w:hAnsi="Times New Roman" w:cs="Times New Roman"/>
          <w:sz w:val="20"/>
          <w:szCs w:val="20"/>
          <w:lang w:eastAsia="zh-CN"/>
        </w:rPr>
      </w:pPr>
    </w:p>
    <w:p w:rsidR="00D91E45" w:rsidRDefault="00D91E45">
      <w:pPr>
        <w:snapToGrid w:val="0"/>
        <w:spacing w:after="0" w:line="240" w:lineRule="auto"/>
        <w:ind w:left="0" w:firstLine="0"/>
        <w:jc w:val="both"/>
        <w:rPr>
          <w:rFonts w:ascii="Times New Roman" w:eastAsiaTheme="minorEastAsia" w:hAnsi="Times New Roman" w:cs="Times New Roman"/>
          <w:sz w:val="20"/>
          <w:szCs w:val="20"/>
          <w:lang w:eastAsia="zh-CN"/>
        </w:rPr>
      </w:pPr>
    </w:p>
    <w:p w:rsidR="00D91E45" w:rsidRDefault="00D91E45">
      <w:pPr>
        <w:snapToGrid w:val="0"/>
        <w:spacing w:after="0" w:line="240" w:lineRule="auto"/>
        <w:ind w:left="0" w:firstLine="0"/>
        <w:jc w:val="both"/>
        <w:rPr>
          <w:rFonts w:ascii="Times New Roman" w:eastAsiaTheme="minorEastAsia" w:hAnsi="Times New Roman" w:cs="Times New Roman"/>
          <w:sz w:val="20"/>
          <w:szCs w:val="20"/>
          <w:lang w:eastAsia="zh-CN"/>
        </w:rPr>
      </w:pPr>
    </w:p>
    <w:p w:rsidR="00D91E45" w:rsidRDefault="00D91E45">
      <w:pPr>
        <w:snapToGrid w:val="0"/>
        <w:spacing w:after="0" w:line="240" w:lineRule="auto"/>
        <w:ind w:left="0" w:firstLine="0"/>
        <w:jc w:val="both"/>
        <w:rPr>
          <w:rFonts w:ascii="Times New Roman" w:eastAsiaTheme="minorEastAsia" w:hAnsi="Times New Roman" w:cs="Times New Roman"/>
          <w:sz w:val="20"/>
          <w:szCs w:val="20"/>
          <w:lang w:eastAsia="zh-CN"/>
        </w:rPr>
      </w:pPr>
    </w:p>
    <w:p w:rsidR="00D91E45" w:rsidRDefault="00D91E45">
      <w:pPr>
        <w:snapToGrid w:val="0"/>
        <w:spacing w:after="0" w:line="240" w:lineRule="auto"/>
        <w:ind w:left="0" w:firstLine="0"/>
        <w:jc w:val="both"/>
        <w:rPr>
          <w:rFonts w:ascii="Times New Roman" w:eastAsiaTheme="minorEastAsia" w:hAnsi="Times New Roman" w:cs="Times New Roman"/>
          <w:sz w:val="20"/>
          <w:szCs w:val="20"/>
          <w:lang w:eastAsia="zh-CN"/>
        </w:rPr>
      </w:pPr>
    </w:p>
    <w:p w:rsidR="00700588" w:rsidRDefault="00021E93">
      <w:pPr>
        <w:snapToGrid w:val="0"/>
        <w:spacing w:after="0" w:line="240" w:lineRule="auto"/>
        <w:ind w:left="0" w:firstLine="0"/>
        <w:jc w:val="center"/>
        <w:rPr>
          <w:rFonts w:ascii="Times New Roman" w:eastAsiaTheme="minorEastAsia" w:hAnsi="Times New Roman" w:cs="Times New Roman"/>
          <w:b/>
          <w:bCs/>
          <w:sz w:val="20"/>
          <w:szCs w:val="20"/>
        </w:rPr>
      </w:pPr>
      <w:r>
        <w:rPr>
          <w:rFonts w:ascii="Times New Roman" w:hAnsi="Times New Roman" w:cs="Times New Roman"/>
          <w:b/>
          <w:noProof/>
          <w:sz w:val="20"/>
          <w:szCs w:val="20"/>
          <w:lang w:eastAsia="zh-CN"/>
        </w:rPr>
        <w:drawing>
          <wp:inline distT="0" distB="0" distL="0" distR="0">
            <wp:extent cx="5329555" cy="2795905"/>
            <wp:effectExtent l="19050" t="0" r="23495"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0588" w:rsidRDefault="00021E93">
      <w:pPr>
        <w:snapToGrid w:val="0"/>
        <w:spacing w:after="0"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Figure 2: Mean man biting rate of </w:t>
      </w:r>
      <w:r>
        <w:rPr>
          <w:rFonts w:ascii="Times New Roman" w:hAnsi="Times New Roman" w:cs="Times New Roman"/>
          <w:b/>
          <w:i/>
          <w:iCs/>
          <w:sz w:val="20"/>
          <w:szCs w:val="20"/>
        </w:rPr>
        <w:t xml:space="preserve">Anopheles </w:t>
      </w:r>
      <w:proofErr w:type="spellStart"/>
      <w:r>
        <w:rPr>
          <w:rFonts w:ascii="Times New Roman" w:hAnsi="Times New Roman" w:cs="Times New Roman"/>
          <w:b/>
          <w:i/>
          <w:iCs/>
          <w:sz w:val="20"/>
          <w:szCs w:val="20"/>
        </w:rPr>
        <w:t>gambiae</w:t>
      </w:r>
      <w:proofErr w:type="spellEnd"/>
      <w:r>
        <w:rPr>
          <w:rFonts w:ascii="Times New Roman" w:hAnsi="Times New Roman" w:cs="Times New Roman"/>
          <w:b/>
          <w:sz w:val="20"/>
          <w:szCs w:val="20"/>
        </w:rPr>
        <w:t xml:space="preserve"> in the sentinel site</w:t>
      </w:r>
    </w:p>
    <w:p w:rsidR="00700588" w:rsidRDefault="00700588">
      <w:pPr>
        <w:snapToGrid w:val="0"/>
        <w:spacing w:after="0" w:line="240" w:lineRule="auto"/>
        <w:ind w:left="0" w:firstLine="0"/>
        <w:jc w:val="both"/>
        <w:rPr>
          <w:rFonts w:ascii="Times New Roman" w:eastAsiaTheme="minorEastAsia" w:hAnsi="Times New Roman" w:cs="Times New Roman"/>
          <w:sz w:val="20"/>
          <w:szCs w:val="20"/>
        </w:rPr>
      </w:pPr>
    </w:p>
    <w:p w:rsidR="00700588" w:rsidRDefault="00700588">
      <w:pPr>
        <w:snapToGrid w:val="0"/>
        <w:spacing w:after="0" w:line="240" w:lineRule="auto"/>
        <w:ind w:left="0" w:firstLine="0"/>
        <w:jc w:val="both"/>
        <w:rPr>
          <w:rFonts w:ascii="Times New Roman" w:eastAsiaTheme="minorEastAsia" w:hAnsi="Times New Roman" w:cs="Times New Roman"/>
          <w:sz w:val="20"/>
          <w:szCs w:val="20"/>
        </w:rPr>
        <w:sectPr w:rsidR="00700588">
          <w:type w:val="continuous"/>
          <w:pgSz w:w="12240" w:h="15840"/>
          <w:pgMar w:top="1440" w:right="1440" w:bottom="1440" w:left="1440" w:header="720" w:footer="720" w:gutter="0"/>
          <w:cols w:space="425"/>
          <w:docGrid w:linePitch="360"/>
        </w:sectPr>
      </w:pPr>
    </w:p>
    <w:p w:rsidR="00700588" w:rsidRDefault="00021E93" w:rsidP="00D91E45">
      <w:pPr>
        <w:snapToGrid w:val="0"/>
        <w:spacing w:after="0" w:line="240" w:lineRule="auto"/>
        <w:ind w:left="0" w:firstLine="720"/>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rPr>
        <w:lastRenderedPageBreak/>
        <w:t xml:space="preserve">Figure 3 show the mean </w:t>
      </w:r>
      <w:proofErr w:type="spellStart"/>
      <w:r>
        <w:rPr>
          <w:rFonts w:ascii="Times New Roman" w:eastAsiaTheme="minorEastAsia" w:hAnsi="Times New Roman" w:cs="Times New Roman"/>
          <w:sz w:val="20"/>
          <w:szCs w:val="20"/>
        </w:rPr>
        <w:t>sporozoite</w:t>
      </w:r>
      <w:proofErr w:type="spellEnd"/>
      <w:r>
        <w:rPr>
          <w:rFonts w:ascii="Times New Roman" w:eastAsiaTheme="minorEastAsia" w:hAnsi="Times New Roman" w:cs="Times New Roman"/>
          <w:sz w:val="20"/>
          <w:szCs w:val="20"/>
        </w:rPr>
        <w:t xml:space="preserve"> rate of </w:t>
      </w:r>
      <w:r>
        <w:rPr>
          <w:rFonts w:ascii="Times New Roman" w:eastAsiaTheme="minorEastAsia" w:hAnsi="Times New Roman" w:cs="Times New Roman"/>
          <w:i/>
          <w:iCs/>
          <w:sz w:val="20"/>
          <w:szCs w:val="20"/>
        </w:rPr>
        <w:t xml:space="preserve">An. </w:t>
      </w:r>
      <w:proofErr w:type="spellStart"/>
      <w:r>
        <w:rPr>
          <w:rFonts w:ascii="Times New Roman" w:eastAsiaTheme="minorEastAsia" w:hAnsi="Times New Roman" w:cs="Times New Roman"/>
          <w:i/>
          <w:iCs/>
          <w:sz w:val="20"/>
          <w:szCs w:val="20"/>
        </w:rPr>
        <w:t>gambiae</w:t>
      </w:r>
      <w:proofErr w:type="spellEnd"/>
      <w:r>
        <w:rPr>
          <w:rFonts w:ascii="Times New Roman" w:eastAsiaTheme="minorEastAsia" w:hAnsi="Times New Roman" w:cs="Times New Roman"/>
          <w:sz w:val="20"/>
          <w:szCs w:val="20"/>
        </w:rPr>
        <w:t xml:space="preserve"> in </w:t>
      </w:r>
      <w:proofErr w:type="spellStart"/>
      <w:r>
        <w:rPr>
          <w:rFonts w:ascii="Times New Roman" w:eastAsiaTheme="minorEastAsia" w:hAnsi="Times New Roman" w:cs="Times New Roman"/>
          <w:sz w:val="20"/>
          <w:szCs w:val="20"/>
        </w:rPr>
        <w:t>Paiko</w:t>
      </w:r>
      <w:proofErr w:type="spellEnd"/>
      <w:r>
        <w:rPr>
          <w:rFonts w:ascii="Times New Roman" w:eastAsiaTheme="minorEastAsia" w:hAnsi="Times New Roman" w:cs="Times New Roman"/>
          <w:sz w:val="20"/>
          <w:szCs w:val="20"/>
        </w:rPr>
        <w:t xml:space="preserve"> and </w:t>
      </w:r>
      <w:proofErr w:type="spellStart"/>
      <w:r>
        <w:rPr>
          <w:rFonts w:ascii="Times New Roman" w:eastAsiaTheme="minorEastAsia" w:hAnsi="Times New Roman" w:cs="Times New Roman"/>
          <w:sz w:val="20"/>
          <w:szCs w:val="20"/>
        </w:rPr>
        <w:t>Dukpa</w:t>
      </w:r>
      <w:proofErr w:type="spellEnd"/>
      <w:r>
        <w:rPr>
          <w:rFonts w:ascii="Times New Roman" w:eastAsiaTheme="minorEastAsia" w:hAnsi="Times New Roman" w:cs="Times New Roman"/>
          <w:sz w:val="20"/>
          <w:szCs w:val="20"/>
        </w:rPr>
        <w:t xml:space="preserve"> in netted and non-netted households respectively. In netted households the mean </w:t>
      </w:r>
      <w:proofErr w:type="spellStart"/>
      <w:r>
        <w:rPr>
          <w:rFonts w:ascii="Times New Roman" w:eastAsiaTheme="minorEastAsia" w:hAnsi="Times New Roman" w:cs="Times New Roman"/>
          <w:sz w:val="20"/>
          <w:szCs w:val="20"/>
        </w:rPr>
        <w:t>sporozoite</w:t>
      </w:r>
      <w:proofErr w:type="spellEnd"/>
      <w:r>
        <w:rPr>
          <w:rFonts w:ascii="Times New Roman" w:eastAsiaTheme="minorEastAsia" w:hAnsi="Times New Roman" w:cs="Times New Roman"/>
          <w:sz w:val="20"/>
          <w:szCs w:val="20"/>
        </w:rPr>
        <w:t xml:space="preserve"> rate was 0.926%±0.334 and 2.23%±0.540 in </w:t>
      </w:r>
      <w:proofErr w:type="spellStart"/>
      <w:r>
        <w:rPr>
          <w:rFonts w:ascii="Times New Roman" w:eastAsiaTheme="minorEastAsia" w:hAnsi="Times New Roman" w:cs="Times New Roman"/>
          <w:sz w:val="20"/>
          <w:szCs w:val="20"/>
        </w:rPr>
        <w:t>Paiko</w:t>
      </w:r>
      <w:proofErr w:type="spellEnd"/>
      <w:r>
        <w:rPr>
          <w:rFonts w:ascii="Times New Roman" w:eastAsiaTheme="minorEastAsia" w:hAnsi="Times New Roman" w:cs="Times New Roman"/>
          <w:sz w:val="20"/>
          <w:szCs w:val="20"/>
        </w:rPr>
        <w:t xml:space="preserve"> and </w:t>
      </w:r>
      <w:proofErr w:type="spellStart"/>
      <w:r>
        <w:rPr>
          <w:rFonts w:ascii="Times New Roman" w:eastAsiaTheme="minorEastAsia" w:hAnsi="Times New Roman" w:cs="Times New Roman"/>
          <w:sz w:val="20"/>
          <w:szCs w:val="20"/>
        </w:rPr>
        <w:t>Dukpa</w:t>
      </w:r>
      <w:proofErr w:type="spellEnd"/>
      <w:r>
        <w:rPr>
          <w:rFonts w:ascii="Times New Roman" w:eastAsiaTheme="minorEastAsia" w:hAnsi="Times New Roman" w:cs="Times New Roman"/>
          <w:sz w:val="20"/>
          <w:szCs w:val="20"/>
        </w:rPr>
        <w:t xml:space="preserve"> respectively. comparatively, in non-netted households it was 1.95%± 0.52 and 3.11%±0.61 </w:t>
      </w:r>
      <w:r>
        <w:rPr>
          <w:rFonts w:ascii="Times New Roman" w:eastAsiaTheme="minorEastAsia" w:hAnsi="Times New Roman" w:cs="Times New Roman"/>
          <w:sz w:val="20"/>
          <w:szCs w:val="20"/>
        </w:rPr>
        <w:lastRenderedPageBreak/>
        <w:t xml:space="preserve">in </w:t>
      </w:r>
      <w:proofErr w:type="spellStart"/>
      <w:r>
        <w:rPr>
          <w:rFonts w:ascii="Times New Roman" w:eastAsiaTheme="minorEastAsia" w:hAnsi="Times New Roman" w:cs="Times New Roman"/>
          <w:sz w:val="20"/>
          <w:szCs w:val="20"/>
        </w:rPr>
        <w:t>Paiko</w:t>
      </w:r>
      <w:proofErr w:type="spellEnd"/>
      <w:r>
        <w:rPr>
          <w:rFonts w:ascii="Times New Roman" w:eastAsiaTheme="minorEastAsia" w:hAnsi="Times New Roman" w:cs="Times New Roman"/>
          <w:sz w:val="20"/>
          <w:szCs w:val="20"/>
        </w:rPr>
        <w:t xml:space="preserve"> and </w:t>
      </w:r>
      <w:proofErr w:type="spellStart"/>
      <w:r>
        <w:rPr>
          <w:rFonts w:ascii="Times New Roman" w:eastAsiaTheme="minorEastAsia" w:hAnsi="Times New Roman" w:cs="Times New Roman"/>
          <w:sz w:val="20"/>
          <w:szCs w:val="20"/>
        </w:rPr>
        <w:t>Dukpa</w:t>
      </w:r>
      <w:proofErr w:type="spellEnd"/>
      <w:r>
        <w:rPr>
          <w:rFonts w:ascii="Times New Roman" w:eastAsiaTheme="minorEastAsia" w:hAnsi="Times New Roman" w:cs="Times New Roman"/>
          <w:sz w:val="20"/>
          <w:szCs w:val="20"/>
        </w:rPr>
        <w:t xml:space="preserve">, with no significant difference between netted and non-netted households P value= 0.559(&gt;0.05) and 0.343(&gt;0.05) respectively, with an overall </w:t>
      </w:r>
      <w:proofErr w:type="spellStart"/>
      <w:r>
        <w:rPr>
          <w:rFonts w:ascii="Times New Roman" w:eastAsiaTheme="minorEastAsia" w:hAnsi="Times New Roman" w:cs="Times New Roman"/>
          <w:sz w:val="20"/>
          <w:szCs w:val="20"/>
        </w:rPr>
        <w:t>sporozoite</w:t>
      </w:r>
      <w:proofErr w:type="spellEnd"/>
      <w:r>
        <w:rPr>
          <w:rFonts w:ascii="Times New Roman" w:eastAsiaTheme="minorEastAsia" w:hAnsi="Times New Roman" w:cs="Times New Roman"/>
          <w:sz w:val="20"/>
          <w:szCs w:val="20"/>
        </w:rPr>
        <w:t xml:space="preserve"> rate of 0.11% and 0.22% in </w:t>
      </w:r>
      <w:proofErr w:type="spellStart"/>
      <w:r>
        <w:rPr>
          <w:rFonts w:ascii="Times New Roman" w:eastAsiaTheme="minorEastAsia" w:hAnsi="Times New Roman" w:cs="Times New Roman"/>
          <w:sz w:val="20"/>
          <w:szCs w:val="20"/>
        </w:rPr>
        <w:t>Paiko</w:t>
      </w:r>
      <w:proofErr w:type="spellEnd"/>
      <w:r>
        <w:rPr>
          <w:rFonts w:ascii="Times New Roman" w:eastAsiaTheme="minorEastAsia" w:hAnsi="Times New Roman" w:cs="Times New Roman"/>
          <w:sz w:val="20"/>
          <w:szCs w:val="20"/>
        </w:rPr>
        <w:t xml:space="preserve"> and </w:t>
      </w:r>
      <w:proofErr w:type="spellStart"/>
      <w:r>
        <w:rPr>
          <w:rFonts w:ascii="Times New Roman" w:eastAsiaTheme="minorEastAsia" w:hAnsi="Times New Roman" w:cs="Times New Roman"/>
          <w:sz w:val="20"/>
          <w:szCs w:val="20"/>
        </w:rPr>
        <w:t>Dukpa</w:t>
      </w:r>
      <w:proofErr w:type="spellEnd"/>
      <w:r>
        <w:rPr>
          <w:rFonts w:ascii="Times New Roman" w:eastAsiaTheme="minorEastAsia" w:hAnsi="Times New Roman" w:cs="Times New Roman"/>
          <w:sz w:val="20"/>
          <w:szCs w:val="20"/>
        </w:rPr>
        <w:t xml:space="preserve"> respectively</w:t>
      </w:r>
      <w:r w:rsidR="00D91E45">
        <w:rPr>
          <w:rFonts w:ascii="Times New Roman" w:eastAsiaTheme="minorEastAsia" w:hAnsi="Times New Roman" w:cs="Times New Roman" w:hint="eastAsia"/>
          <w:sz w:val="20"/>
          <w:szCs w:val="20"/>
          <w:lang w:eastAsia="zh-CN"/>
        </w:rPr>
        <w:t>.</w:t>
      </w:r>
    </w:p>
    <w:p w:rsidR="00AC73C8" w:rsidRDefault="00AC73C8">
      <w:pPr>
        <w:snapToGrid w:val="0"/>
        <w:spacing w:after="0" w:line="240" w:lineRule="auto"/>
        <w:ind w:left="0" w:firstLine="0"/>
        <w:jc w:val="both"/>
        <w:rPr>
          <w:rFonts w:ascii="Times New Roman" w:hAnsi="Times New Roman" w:cs="Times New Roman"/>
          <w:b/>
          <w:sz w:val="20"/>
          <w:szCs w:val="20"/>
          <w:lang w:eastAsia="zh-CN"/>
        </w:rPr>
        <w:sectPr w:rsidR="00AC73C8">
          <w:type w:val="continuous"/>
          <w:pgSz w:w="12240" w:h="15840"/>
          <w:pgMar w:top="1440" w:right="1440" w:bottom="1440" w:left="1440" w:header="720" w:footer="720" w:gutter="0"/>
          <w:cols w:num="2" w:space="720" w:equalWidth="0">
            <w:col w:w="4467" w:space="425"/>
            <w:col w:w="4467"/>
          </w:cols>
          <w:docGrid w:linePitch="360"/>
        </w:sectPr>
      </w:pPr>
    </w:p>
    <w:p w:rsidR="00700588" w:rsidRDefault="00700588">
      <w:pPr>
        <w:snapToGrid w:val="0"/>
        <w:spacing w:after="0" w:line="240" w:lineRule="auto"/>
        <w:ind w:left="0" w:firstLine="0"/>
        <w:jc w:val="both"/>
        <w:rPr>
          <w:rFonts w:ascii="Times New Roman" w:eastAsiaTheme="minorEastAsia" w:hAnsi="Times New Roman" w:cs="Times New Roman"/>
          <w:sz w:val="20"/>
          <w:szCs w:val="20"/>
          <w:lang w:eastAsia="zh-CN"/>
        </w:rPr>
      </w:pPr>
    </w:p>
    <w:p w:rsidR="00700588" w:rsidRDefault="00700588">
      <w:pPr>
        <w:snapToGrid w:val="0"/>
        <w:spacing w:after="0" w:line="240" w:lineRule="auto"/>
        <w:ind w:left="0" w:firstLine="0"/>
        <w:jc w:val="both"/>
        <w:rPr>
          <w:rFonts w:ascii="Times New Roman" w:eastAsiaTheme="minorEastAsia" w:hAnsi="Times New Roman" w:cs="Times New Roman"/>
          <w:sz w:val="20"/>
          <w:szCs w:val="20"/>
        </w:rPr>
      </w:pPr>
    </w:p>
    <w:p w:rsidR="00700588" w:rsidRDefault="00021E93">
      <w:pPr>
        <w:snapToGrid w:val="0"/>
        <w:spacing w:after="0" w:line="240" w:lineRule="auto"/>
        <w:ind w:left="0" w:firstLine="0"/>
        <w:jc w:val="center"/>
        <w:rPr>
          <w:rFonts w:ascii="Times New Roman" w:hAnsi="Times New Roman" w:cs="Times New Roman"/>
          <w:sz w:val="20"/>
          <w:szCs w:val="20"/>
        </w:rPr>
      </w:pPr>
      <w:r>
        <w:rPr>
          <w:rFonts w:ascii="Times New Roman" w:hAnsi="Times New Roman" w:cs="Times New Roman"/>
          <w:b/>
          <w:noProof/>
          <w:sz w:val="20"/>
          <w:szCs w:val="20"/>
          <w:lang w:eastAsia="zh-CN"/>
        </w:rPr>
        <w:drawing>
          <wp:inline distT="0" distB="0" distL="0" distR="0">
            <wp:extent cx="5238750" cy="23336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0588" w:rsidRDefault="00021E93">
      <w:pPr>
        <w:snapToGrid w:val="0"/>
        <w:spacing w:after="0"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Figure 2: Mean </w:t>
      </w:r>
      <w:proofErr w:type="spellStart"/>
      <w:r>
        <w:rPr>
          <w:rFonts w:ascii="Times New Roman" w:hAnsi="Times New Roman" w:cs="Times New Roman"/>
          <w:b/>
          <w:sz w:val="20"/>
          <w:szCs w:val="20"/>
        </w:rPr>
        <w:t>sporozoite</w:t>
      </w:r>
      <w:proofErr w:type="spellEnd"/>
      <w:r>
        <w:rPr>
          <w:rFonts w:ascii="Times New Roman" w:hAnsi="Times New Roman" w:cs="Times New Roman"/>
          <w:b/>
          <w:sz w:val="20"/>
          <w:szCs w:val="20"/>
        </w:rPr>
        <w:t xml:space="preserve"> rate of </w:t>
      </w:r>
      <w:r>
        <w:rPr>
          <w:rFonts w:ascii="Times New Roman" w:hAnsi="Times New Roman" w:cs="Times New Roman"/>
          <w:b/>
          <w:i/>
          <w:iCs/>
          <w:sz w:val="20"/>
          <w:szCs w:val="20"/>
        </w:rPr>
        <w:t xml:space="preserve">Anopheles </w:t>
      </w:r>
      <w:proofErr w:type="spellStart"/>
      <w:r>
        <w:rPr>
          <w:rFonts w:ascii="Times New Roman" w:hAnsi="Times New Roman" w:cs="Times New Roman"/>
          <w:b/>
          <w:i/>
          <w:iCs/>
          <w:sz w:val="20"/>
          <w:szCs w:val="20"/>
        </w:rPr>
        <w:t>gambiae</w:t>
      </w:r>
      <w:proofErr w:type="spellEnd"/>
      <w:r>
        <w:rPr>
          <w:rFonts w:ascii="Times New Roman" w:hAnsi="Times New Roman" w:cs="Times New Roman"/>
          <w:b/>
          <w:sz w:val="20"/>
          <w:szCs w:val="20"/>
        </w:rPr>
        <w:t xml:space="preserve"> in the sentinel site</w:t>
      </w:r>
    </w:p>
    <w:p w:rsidR="00700588" w:rsidRDefault="00700588" w:rsidP="00D91E45">
      <w:pPr>
        <w:snapToGrid w:val="0"/>
        <w:spacing w:after="0" w:line="240" w:lineRule="auto"/>
        <w:ind w:left="0" w:firstLine="0"/>
        <w:rPr>
          <w:rFonts w:ascii="Times New Roman" w:eastAsiaTheme="minorEastAsia" w:hAnsi="Times New Roman" w:cs="Times New Roman"/>
          <w:sz w:val="20"/>
          <w:szCs w:val="20"/>
          <w:lang w:eastAsia="zh-CN"/>
        </w:rPr>
      </w:pPr>
    </w:p>
    <w:p w:rsidR="00700588" w:rsidRDefault="00700588">
      <w:pPr>
        <w:snapToGrid w:val="0"/>
        <w:spacing w:after="0" w:line="240" w:lineRule="auto"/>
        <w:ind w:left="0" w:firstLine="0"/>
        <w:jc w:val="center"/>
        <w:rPr>
          <w:rFonts w:ascii="Times New Roman" w:eastAsiaTheme="minorEastAsia" w:hAnsi="Times New Roman" w:cs="Times New Roman"/>
          <w:sz w:val="20"/>
          <w:szCs w:val="20"/>
        </w:rPr>
        <w:sectPr w:rsidR="00700588">
          <w:type w:val="continuous"/>
          <w:pgSz w:w="12240" w:h="15840"/>
          <w:pgMar w:top="1440" w:right="1440" w:bottom="1440" w:left="1440" w:header="720" w:footer="720" w:gutter="0"/>
          <w:cols w:space="425"/>
          <w:docGrid w:linePitch="360"/>
        </w:sectPr>
      </w:pPr>
    </w:p>
    <w:p w:rsidR="00700588" w:rsidRDefault="00021E93" w:rsidP="00D91E45">
      <w:pPr>
        <w:snapToGrid w:val="0"/>
        <w:spacing w:after="0" w:line="240" w:lineRule="auto"/>
        <w:ind w:left="0" w:firstLine="72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Table 1 shows the entomological inoculation rate of </w:t>
      </w:r>
      <w:r>
        <w:rPr>
          <w:rFonts w:ascii="Times New Roman" w:eastAsiaTheme="minorEastAsia" w:hAnsi="Times New Roman" w:cs="Times New Roman"/>
          <w:i/>
          <w:iCs/>
          <w:sz w:val="20"/>
          <w:szCs w:val="20"/>
        </w:rPr>
        <w:t xml:space="preserve">An. </w:t>
      </w:r>
      <w:proofErr w:type="spellStart"/>
      <w:r>
        <w:rPr>
          <w:rFonts w:ascii="Times New Roman" w:eastAsiaTheme="minorEastAsia" w:hAnsi="Times New Roman" w:cs="Times New Roman"/>
          <w:i/>
          <w:iCs/>
          <w:sz w:val="20"/>
          <w:szCs w:val="20"/>
        </w:rPr>
        <w:t>gambiae</w:t>
      </w:r>
      <w:proofErr w:type="spellEnd"/>
      <w:r>
        <w:rPr>
          <w:rFonts w:ascii="Times New Roman" w:eastAsiaTheme="minorEastAsia" w:hAnsi="Times New Roman" w:cs="Times New Roman"/>
          <w:sz w:val="20"/>
          <w:szCs w:val="20"/>
        </w:rPr>
        <w:t xml:space="preserve">   in the two sentinel sites. The annual EIR of </w:t>
      </w:r>
      <w:r>
        <w:rPr>
          <w:rFonts w:ascii="Times New Roman" w:eastAsiaTheme="minorEastAsia" w:hAnsi="Times New Roman" w:cs="Times New Roman"/>
          <w:i/>
          <w:iCs/>
          <w:sz w:val="20"/>
          <w:szCs w:val="20"/>
        </w:rPr>
        <w:t xml:space="preserve">An. </w:t>
      </w:r>
      <w:proofErr w:type="spellStart"/>
      <w:r>
        <w:rPr>
          <w:rFonts w:ascii="Times New Roman" w:eastAsiaTheme="minorEastAsia" w:hAnsi="Times New Roman" w:cs="Times New Roman"/>
          <w:i/>
          <w:iCs/>
          <w:sz w:val="20"/>
          <w:szCs w:val="20"/>
        </w:rPr>
        <w:t>gambiae</w:t>
      </w:r>
      <w:proofErr w:type="spellEnd"/>
      <w:r>
        <w:rPr>
          <w:rFonts w:ascii="Times New Roman" w:eastAsiaTheme="minorEastAsia" w:hAnsi="Times New Roman" w:cs="Times New Roman"/>
          <w:sz w:val="20"/>
          <w:szCs w:val="20"/>
        </w:rPr>
        <w:t xml:space="preserve"> in netted households had the highest value of 8.09 infective bite/person/year and </w:t>
      </w:r>
      <w:r>
        <w:rPr>
          <w:rFonts w:ascii="Times New Roman" w:eastAsiaTheme="minorEastAsia" w:hAnsi="Times New Roman" w:cs="Times New Roman"/>
          <w:sz w:val="20"/>
          <w:szCs w:val="20"/>
        </w:rPr>
        <w:lastRenderedPageBreak/>
        <w:t>the lowest of 1.78 infective bite/person/year. comparatively, it ranged from 27.47-10.52 infective bite /person /year in non-netted households the two sentinel sites.</w:t>
      </w:r>
    </w:p>
    <w:p w:rsidR="00700588" w:rsidRDefault="00700588">
      <w:pPr>
        <w:snapToGrid w:val="0"/>
        <w:spacing w:after="0" w:line="240" w:lineRule="auto"/>
        <w:ind w:left="0" w:firstLine="0"/>
        <w:jc w:val="both"/>
        <w:rPr>
          <w:rFonts w:ascii="Times New Roman" w:eastAsiaTheme="minorEastAsia" w:hAnsi="Times New Roman" w:cs="Times New Roman"/>
          <w:b/>
          <w:bCs/>
          <w:sz w:val="20"/>
          <w:szCs w:val="20"/>
        </w:rPr>
        <w:sectPr w:rsidR="00700588">
          <w:type w:val="continuous"/>
          <w:pgSz w:w="12240" w:h="15840"/>
          <w:pgMar w:top="1440" w:right="1440" w:bottom="1440" w:left="1440" w:header="720" w:footer="720" w:gutter="0"/>
          <w:cols w:num="2" w:space="720" w:equalWidth="0">
            <w:col w:w="4467" w:space="425"/>
            <w:col w:w="4467"/>
          </w:cols>
          <w:docGrid w:linePitch="360"/>
        </w:sectPr>
      </w:pPr>
    </w:p>
    <w:p w:rsidR="00700588" w:rsidRDefault="00700588">
      <w:pPr>
        <w:snapToGrid w:val="0"/>
        <w:spacing w:after="0" w:line="240" w:lineRule="auto"/>
        <w:ind w:left="0" w:firstLine="0"/>
        <w:jc w:val="both"/>
        <w:rPr>
          <w:rFonts w:ascii="Times New Roman" w:eastAsiaTheme="minorEastAsia" w:hAnsi="Times New Roman" w:cs="Times New Roman"/>
          <w:b/>
          <w:bCs/>
          <w:sz w:val="20"/>
          <w:szCs w:val="20"/>
        </w:rPr>
      </w:pPr>
    </w:p>
    <w:p w:rsidR="00700588" w:rsidRDefault="00700588">
      <w:pPr>
        <w:snapToGrid w:val="0"/>
        <w:spacing w:after="0" w:line="240" w:lineRule="auto"/>
        <w:ind w:left="0" w:firstLine="0"/>
        <w:jc w:val="both"/>
        <w:rPr>
          <w:rFonts w:ascii="Times New Roman" w:eastAsiaTheme="minorEastAsia" w:hAnsi="Times New Roman" w:cs="Times New Roman"/>
          <w:b/>
          <w:bCs/>
          <w:sz w:val="20"/>
          <w:szCs w:val="20"/>
        </w:rPr>
      </w:pPr>
    </w:p>
    <w:p w:rsidR="00700588" w:rsidRDefault="00700588">
      <w:pPr>
        <w:snapToGrid w:val="0"/>
        <w:spacing w:after="0" w:line="240" w:lineRule="auto"/>
        <w:ind w:left="0" w:firstLine="0"/>
        <w:jc w:val="both"/>
        <w:rPr>
          <w:rFonts w:ascii="Times New Roman" w:eastAsiaTheme="minorEastAsia" w:hAnsi="Times New Roman" w:cs="Times New Roman"/>
          <w:b/>
          <w:bCs/>
          <w:sz w:val="20"/>
          <w:szCs w:val="20"/>
        </w:rPr>
      </w:pPr>
    </w:p>
    <w:p w:rsidR="00700588" w:rsidRDefault="00700588">
      <w:pPr>
        <w:snapToGrid w:val="0"/>
        <w:spacing w:after="0" w:line="240" w:lineRule="auto"/>
        <w:ind w:left="0" w:firstLine="0"/>
        <w:jc w:val="both"/>
        <w:rPr>
          <w:rFonts w:ascii="Times New Roman" w:eastAsiaTheme="minorEastAsia" w:hAnsi="Times New Roman" w:cs="Times New Roman"/>
          <w:b/>
          <w:bCs/>
          <w:sz w:val="20"/>
          <w:szCs w:val="20"/>
        </w:rPr>
      </w:pPr>
    </w:p>
    <w:p w:rsidR="00700588" w:rsidRDefault="00700588">
      <w:pPr>
        <w:snapToGrid w:val="0"/>
        <w:spacing w:after="0" w:line="240" w:lineRule="auto"/>
        <w:ind w:left="0" w:firstLine="0"/>
        <w:jc w:val="both"/>
        <w:rPr>
          <w:rFonts w:ascii="Times New Roman" w:eastAsiaTheme="minorEastAsia" w:hAnsi="Times New Roman" w:cs="Times New Roman"/>
          <w:b/>
          <w:bCs/>
          <w:sz w:val="20"/>
          <w:szCs w:val="20"/>
        </w:rPr>
      </w:pPr>
    </w:p>
    <w:p w:rsidR="00700588" w:rsidRDefault="00021E93">
      <w:pPr>
        <w:snapToGrid w:val="0"/>
        <w:spacing w:after="0" w:line="240" w:lineRule="auto"/>
        <w:ind w:left="0" w:firstLine="0"/>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Table 1</w:t>
      </w:r>
      <w:r>
        <w:rPr>
          <w:rFonts w:ascii="Times New Roman" w:eastAsiaTheme="minorEastAsia" w:hAnsi="Times New Roman" w:cs="Times New Roman"/>
          <w:sz w:val="20"/>
          <w:szCs w:val="20"/>
        </w:rPr>
        <w:t xml:space="preserve">: </w:t>
      </w:r>
      <w:r>
        <w:rPr>
          <w:rFonts w:ascii="Times New Roman" w:eastAsiaTheme="minorEastAsia" w:hAnsi="Times New Roman" w:cs="Times New Roman"/>
          <w:b/>
          <w:bCs/>
          <w:sz w:val="20"/>
          <w:szCs w:val="20"/>
        </w:rPr>
        <w:t xml:space="preserve">Entomological inoculation rate of Anopheles </w:t>
      </w:r>
      <w:proofErr w:type="spellStart"/>
      <w:r>
        <w:rPr>
          <w:rFonts w:ascii="Times New Roman" w:eastAsiaTheme="minorEastAsia" w:hAnsi="Times New Roman" w:cs="Times New Roman"/>
          <w:b/>
          <w:bCs/>
          <w:sz w:val="20"/>
          <w:szCs w:val="20"/>
        </w:rPr>
        <w:t>gambiae</w:t>
      </w:r>
      <w:proofErr w:type="spellEnd"/>
      <w:r>
        <w:rPr>
          <w:rFonts w:ascii="Times New Roman" w:eastAsiaTheme="minorEastAsia" w:hAnsi="Times New Roman" w:cs="Times New Roman"/>
          <w:b/>
          <w:bCs/>
          <w:sz w:val="20"/>
          <w:szCs w:val="20"/>
        </w:rPr>
        <w:t xml:space="preserve"> in the </w:t>
      </w:r>
      <w:proofErr w:type="spellStart"/>
      <w:r>
        <w:rPr>
          <w:rFonts w:ascii="Times New Roman" w:eastAsiaTheme="minorEastAsia" w:hAnsi="Times New Roman" w:cs="Times New Roman"/>
          <w:b/>
          <w:bCs/>
          <w:sz w:val="20"/>
          <w:szCs w:val="20"/>
        </w:rPr>
        <w:t>Paiko</w:t>
      </w:r>
      <w:proofErr w:type="spellEnd"/>
      <w:r>
        <w:rPr>
          <w:rFonts w:ascii="Times New Roman" w:eastAsiaTheme="minorEastAsia" w:hAnsi="Times New Roman" w:cs="Times New Roman"/>
          <w:b/>
          <w:bCs/>
          <w:sz w:val="20"/>
          <w:szCs w:val="20"/>
        </w:rPr>
        <w:t xml:space="preserve"> and </w:t>
      </w:r>
      <w:proofErr w:type="spellStart"/>
      <w:r>
        <w:rPr>
          <w:rFonts w:ascii="Times New Roman" w:eastAsiaTheme="minorEastAsia" w:hAnsi="Times New Roman" w:cs="Times New Roman"/>
          <w:b/>
          <w:bCs/>
          <w:sz w:val="20"/>
          <w:szCs w:val="20"/>
        </w:rPr>
        <w:t>Dukpa</w:t>
      </w:r>
      <w:proofErr w:type="spellEnd"/>
    </w:p>
    <w:p w:rsidR="00700588" w:rsidRDefault="00021E93">
      <w:pPr>
        <w:snapToGrid w:val="0"/>
        <w:spacing w:after="0" w:line="240" w:lineRule="auto"/>
        <w:ind w:left="0" w:firstLine="0"/>
        <w:jc w:val="both"/>
        <w:rPr>
          <w:rFonts w:ascii="Times New Roman" w:eastAsiaTheme="minorEastAsia" w:hAnsi="Times New Roman" w:cs="Times New Roman"/>
          <w:sz w:val="20"/>
          <w:szCs w:val="20"/>
          <w:lang w:eastAsia="zh-CN"/>
        </w:rPr>
      </w:pPr>
      <w:r>
        <w:rPr>
          <w:rFonts w:ascii="Times New Roman" w:hAnsi="Times New Roman" w:cs="Times New Roman"/>
          <w:noProof/>
          <w:sz w:val="20"/>
          <w:szCs w:val="20"/>
          <w:lang w:eastAsia="zh-CN"/>
        </w:rPr>
        <w:drawing>
          <wp:inline distT="0" distB="0" distL="0" distR="0">
            <wp:extent cx="5943600" cy="284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43600" cy="2847975"/>
                    </a:xfrm>
                    <a:prstGeom prst="rect">
                      <a:avLst/>
                    </a:prstGeom>
                    <a:noFill/>
                    <a:ln>
                      <a:noFill/>
                    </a:ln>
                  </pic:spPr>
                </pic:pic>
              </a:graphicData>
            </a:graphic>
          </wp:inline>
        </w:drawing>
      </w:r>
    </w:p>
    <w:p w:rsidR="00D91E45" w:rsidRDefault="00D91E45">
      <w:pPr>
        <w:snapToGrid w:val="0"/>
        <w:spacing w:after="0" w:line="240" w:lineRule="auto"/>
        <w:ind w:left="0" w:firstLine="0"/>
        <w:jc w:val="both"/>
        <w:rPr>
          <w:rFonts w:ascii="Times New Roman" w:eastAsiaTheme="minorEastAsia" w:hAnsi="Times New Roman" w:cs="Times New Roman"/>
          <w:sz w:val="20"/>
          <w:szCs w:val="20"/>
          <w:lang w:eastAsia="zh-CN"/>
        </w:rPr>
      </w:pPr>
    </w:p>
    <w:p w:rsidR="00D91E45" w:rsidRPr="00D91E45" w:rsidRDefault="00D91E45">
      <w:pPr>
        <w:snapToGrid w:val="0"/>
        <w:spacing w:after="0" w:line="240" w:lineRule="auto"/>
        <w:ind w:left="0" w:firstLine="0"/>
        <w:jc w:val="both"/>
        <w:rPr>
          <w:rFonts w:ascii="Times New Roman" w:eastAsiaTheme="minorEastAsia" w:hAnsi="Times New Roman" w:cs="Times New Roman"/>
          <w:sz w:val="20"/>
          <w:szCs w:val="20"/>
          <w:lang w:eastAsia="zh-CN"/>
        </w:rPr>
        <w:sectPr w:rsidR="00D91E45" w:rsidRPr="00D91E45">
          <w:type w:val="continuous"/>
          <w:pgSz w:w="12240" w:h="15840"/>
          <w:pgMar w:top="1440" w:right="1440" w:bottom="1440" w:left="1440" w:header="720" w:footer="720" w:gutter="0"/>
          <w:cols w:space="425"/>
          <w:docGrid w:linePitch="360"/>
        </w:sectPr>
      </w:pPr>
    </w:p>
    <w:p w:rsidR="00700588" w:rsidRDefault="00021E93">
      <w:pPr>
        <w:pStyle w:val="ListParagraph"/>
        <w:numPr>
          <w:ilvl w:val="0"/>
          <w:numId w:val="1"/>
        </w:numPr>
        <w:snapToGrid w:val="0"/>
        <w:spacing w:after="0" w:line="240" w:lineRule="auto"/>
        <w:ind w:left="0" w:firstLine="0"/>
        <w:rPr>
          <w:rFonts w:ascii="Times New Roman" w:eastAsiaTheme="minorHAnsi" w:hAnsi="Times New Roman" w:cs="Times New Roman"/>
          <w:b/>
          <w:color w:val="auto"/>
          <w:sz w:val="20"/>
          <w:szCs w:val="20"/>
        </w:rPr>
      </w:pPr>
      <w:r>
        <w:rPr>
          <w:rFonts w:ascii="Times New Roman" w:eastAsiaTheme="minorEastAsia" w:hAnsi="Times New Roman" w:cs="Times New Roman"/>
          <w:b/>
          <w:bCs/>
          <w:sz w:val="20"/>
          <w:szCs w:val="20"/>
        </w:rPr>
        <w:lastRenderedPageBreak/>
        <w:t xml:space="preserve"> Discussion </w:t>
      </w:r>
    </w:p>
    <w:p w:rsidR="00700588" w:rsidRDefault="00021E93" w:rsidP="00D91E45">
      <w:pPr>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 xml:space="preserve">The study on the impact of long-lasting insecticides treated net on the entomological inoculation rate of </w:t>
      </w:r>
      <w:r>
        <w:rPr>
          <w:rFonts w:ascii="Times New Roman" w:hAnsi="Times New Roman" w:cs="Times New Roman"/>
          <w:i/>
          <w:sz w:val="20"/>
          <w:szCs w:val="20"/>
        </w:rPr>
        <w:t xml:space="preserve">Anopheles </w:t>
      </w:r>
      <w:proofErr w:type="spellStart"/>
      <w:r>
        <w:rPr>
          <w:rFonts w:ascii="Times New Roman" w:hAnsi="Times New Roman" w:cs="Times New Roman"/>
          <w:i/>
          <w:sz w:val="20"/>
          <w:szCs w:val="20"/>
        </w:rPr>
        <w:t>gambiae</w:t>
      </w:r>
      <w:proofErr w:type="spellEnd"/>
      <w:r>
        <w:rPr>
          <w:rFonts w:ascii="Times New Roman" w:hAnsi="Times New Roman" w:cs="Times New Roman"/>
          <w:sz w:val="20"/>
          <w:szCs w:val="20"/>
        </w:rPr>
        <w:t xml:space="preserve"> in malaria transmission in some local communities of the Federal Capital Territory was aimed at determining the impart which long lasting insecticide net as an intervention in the control and prevention of malaria exert on transmission indices particularly, the entomological inoculation rate.</w:t>
      </w:r>
    </w:p>
    <w:p w:rsidR="00700588" w:rsidRDefault="00021E93" w:rsidP="00D91E45">
      <w:pPr>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 xml:space="preserve">From this findings </w:t>
      </w:r>
      <w:proofErr w:type="spellStart"/>
      <w:r>
        <w:rPr>
          <w:rFonts w:ascii="Times New Roman" w:hAnsi="Times New Roman" w:cs="Times New Roman"/>
          <w:sz w:val="20"/>
          <w:szCs w:val="20"/>
        </w:rPr>
        <w:t>Culex</w:t>
      </w:r>
      <w:proofErr w:type="spellEnd"/>
      <w:r>
        <w:rPr>
          <w:rFonts w:ascii="Times New Roman" w:hAnsi="Times New Roman" w:cs="Times New Roman"/>
          <w:sz w:val="20"/>
          <w:szCs w:val="20"/>
        </w:rPr>
        <w:t xml:space="preserve"> occurs as the most predominant mosquito followed by Anopheles while </w:t>
      </w:r>
      <w:proofErr w:type="spellStart"/>
      <w:r>
        <w:rPr>
          <w:rFonts w:ascii="Times New Roman" w:hAnsi="Times New Roman" w:cs="Times New Roman"/>
          <w:sz w:val="20"/>
          <w:szCs w:val="20"/>
        </w:rPr>
        <w:t>Aedes</w:t>
      </w:r>
      <w:proofErr w:type="spellEnd"/>
      <w:r>
        <w:rPr>
          <w:rFonts w:ascii="Times New Roman" w:hAnsi="Times New Roman" w:cs="Times New Roman"/>
          <w:sz w:val="20"/>
          <w:szCs w:val="20"/>
        </w:rPr>
        <w:t xml:space="preserve"> occurs as the least mosquito genera. The results of this research correspond with the report of other findings Patricia </w:t>
      </w:r>
      <w:r>
        <w:rPr>
          <w:rFonts w:ascii="Times New Roman" w:hAnsi="Times New Roman" w:cs="Times New Roman"/>
          <w:i/>
          <w:iCs/>
          <w:sz w:val="20"/>
          <w:szCs w:val="20"/>
        </w:rPr>
        <w:t>et al</w:t>
      </w:r>
      <w:r>
        <w:rPr>
          <w:rFonts w:ascii="Times New Roman" w:hAnsi="Times New Roman" w:cs="Times New Roman"/>
          <w:sz w:val="20"/>
          <w:szCs w:val="20"/>
        </w:rPr>
        <w:t xml:space="preserve">. (2014), </w:t>
      </w:r>
      <w:proofErr w:type="spellStart"/>
      <w:r>
        <w:rPr>
          <w:rFonts w:ascii="Times New Roman" w:hAnsi="Times New Roman" w:cs="Times New Roman"/>
          <w:sz w:val="20"/>
          <w:szCs w:val="20"/>
        </w:rPr>
        <w:t>Olajide</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xml:space="preserve">. (2019), </w:t>
      </w:r>
      <w:proofErr w:type="spellStart"/>
      <w:r>
        <w:rPr>
          <w:rFonts w:ascii="Times New Roman" w:hAnsi="Times New Roman" w:cs="Times New Roman"/>
          <w:sz w:val="20"/>
          <w:szCs w:val="20"/>
        </w:rPr>
        <w:t>Abdulrashed</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xml:space="preserve">. (2016), </w:t>
      </w:r>
      <w:proofErr w:type="spellStart"/>
      <w:r>
        <w:rPr>
          <w:rFonts w:ascii="Times New Roman" w:hAnsi="Times New Roman" w:cs="Times New Roman"/>
          <w:sz w:val="20"/>
          <w:szCs w:val="20"/>
        </w:rPr>
        <w:t>Onyekachi</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xml:space="preserve">. (2018), and </w:t>
      </w:r>
      <w:proofErr w:type="spellStart"/>
      <w:r>
        <w:rPr>
          <w:rFonts w:ascii="Times New Roman" w:hAnsi="Times New Roman" w:cs="Times New Roman"/>
          <w:sz w:val="20"/>
          <w:szCs w:val="20"/>
        </w:rPr>
        <w:t>Afolabi</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xml:space="preserve">. (2013). Conversely a report by </w:t>
      </w:r>
      <w:proofErr w:type="spellStart"/>
      <w:r>
        <w:rPr>
          <w:rFonts w:ascii="Times New Roman" w:hAnsi="Times New Roman" w:cs="Times New Roman"/>
          <w:sz w:val="20"/>
          <w:szCs w:val="20"/>
        </w:rPr>
        <w:t>Bunza</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xml:space="preserve">. (2010) indicated Anopheles as the most abundance followed by </w:t>
      </w:r>
      <w:proofErr w:type="spellStart"/>
      <w:r>
        <w:rPr>
          <w:rFonts w:ascii="Times New Roman" w:hAnsi="Times New Roman" w:cs="Times New Roman"/>
          <w:sz w:val="20"/>
          <w:szCs w:val="20"/>
        </w:rPr>
        <w:t>Culex</w:t>
      </w:r>
      <w:proofErr w:type="spellEnd"/>
      <w:r>
        <w:rPr>
          <w:rFonts w:ascii="Times New Roman" w:hAnsi="Times New Roman" w:cs="Times New Roman"/>
          <w:sz w:val="20"/>
          <w:szCs w:val="20"/>
        </w:rPr>
        <w:t xml:space="preserve">. The relative high proportion of </w:t>
      </w:r>
      <w:proofErr w:type="spellStart"/>
      <w:r>
        <w:rPr>
          <w:rFonts w:ascii="Times New Roman" w:hAnsi="Times New Roman" w:cs="Times New Roman"/>
          <w:i/>
          <w:sz w:val="20"/>
          <w:szCs w:val="20"/>
        </w:rPr>
        <w:t>Culex</w:t>
      </w:r>
      <w:proofErr w:type="spellEnd"/>
      <w:r>
        <w:rPr>
          <w:rFonts w:ascii="Times New Roman" w:hAnsi="Times New Roman" w:cs="Times New Roman"/>
          <w:sz w:val="20"/>
          <w:szCs w:val="20"/>
        </w:rPr>
        <w:t xml:space="preserve"> observed is alluded to much available habitat favoring the breeding of </w:t>
      </w:r>
      <w:proofErr w:type="spellStart"/>
      <w:r>
        <w:rPr>
          <w:rFonts w:ascii="Times New Roman" w:hAnsi="Times New Roman" w:cs="Times New Roman"/>
          <w:i/>
          <w:sz w:val="20"/>
          <w:szCs w:val="20"/>
        </w:rPr>
        <w:t>Culex</w:t>
      </w:r>
      <w:proofErr w:type="spellEnd"/>
      <w:r>
        <w:rPr>
          <w:rFonts w:ascii="Times New Roman" w:hAnsi="Times New Roman" w:cs="Times New Roman"/>
          <w:sz w:val="20"/>
          <w:szCs w:val="20"/>
        </w:rPr>
        <w:t xml:space="preserve">. The environments of the two communities are invariably characterized by one to two flowing water bodies mostly </w:t>
      </w:r>
      <w:proofErr w:type="spellStart"/>
      <w:r>
        <w:rPr>
          <w:rFonts w:ascii="Times New Roman" w:hAnsi="Times New Roman" w:cs="Times New Roman"/>
          <w:sz w:val="20"/>
          <w:szCs w:val="20"/>
        </w:rPr>
        <w:t>lithered</w:t>
      </w:r>
      <w:proofErr w:type="spellEnd"/>
      <w:r>
        <w:rPr>
          <w:rFonts w:ascii="Times New Roman" w:hAnsi="Times New Roman" w:cs="Times New Roman"/>
          <w:sz w:val="20"/>
          <w:szCs w:val="20"/>
        </w:rPr>
        <w:t xml:space="preserve"> with refuses serving as dumping site with vegetation, sewer water runs on open grounds with poor constructed drainage facilities. This environmental condition account for the high proliferation of </w:t>
      </w:r>
      <w:proofErr w:type="spellStart"/>
      <w:r>
        <w:rPr>
          <w:rFonts w:ascii="Times New Roman" w:hAnsi="Times New Roman" w:cs="Times New Roman"/>
          <w:i/>
          <w:sz w:val="20"/>
          <w:szCs w:val="20"/>
        </w:rPr>
        <w:t>culex</w:t>
      </w:r>
      <w:proofErr w:type="spellEnd"/>
      <w:r>
        <w:rPr>
          <w:rFonts w:ascii="Times New Roman" w:hAnsi="Times New Roman" w:cs="Times New Roman"/>
          <w:sz w:val="20"/>
          <w:szCs w:val="20"/>
        </w:rPr>
        <w:t xml:space="preserve"> almost throughout the year as these environmental conditions also persists all year round. The breeding habitat of </w:t>
      </w:r>
      <w:r>
        <w:rPr>
          <w:rFonts w:ascii="Times New Roman" w:hAnsi="Times New Roman" w:cs="Times New Roman"/>
          <w:i/>
          <w:sz w:val="20"/>
          <w:szCs w:val="20"/>
        </w:rPr>
        <w:t>Anopheles</w:t>
      </w:r>
      <w:r>
        <w:rPr>
          <w:rFonts w:ascii="Times New Roman" w:hAnsi="Times New Roman" w:cs="Times New Roman"/>
          <w:sz w:val="20"/>
          <w:szCs w:val="20"/>
        </w:rPr>
        <w:t xml:space="preserve"> abounds mostly in the raining season, the temporary nature of their larval habitat does not encourage the proliferation of </w:t>
      </w:r>
      <w:r>
        <w:rPr>
          <w:rFonts w:ascii="Times New Roman" w:hAnsi="Times New Roman" w:cs="Times New Roman"/>
          <w:i/>
          <w:sz w:val="20"/>
          <w:szCs w:val="20"/>
        </w:rPr>
        <w:t>Anopheles</w:t>
      </w:r>
      <w:r>
        <w:rPr>
          <w:rFonts w:ascii="Times New Roman" w:hAnsi="Times New Roman" w:cs="Times New Roman"/>
          <w:sz w:val="20"/>
          <w:szCs w:val="20"/>
        </w:rPr>
        <w:t xml:space="preserve"> in the drying </w:t>
      </w:r>
      <w:r>
        <w:rPr>
          <w:rFonts w:ascii="Times New Roman" w:hAnsi="Times New Roman" w:cs="Times New Roman"/>
          <w:sz w:val="20"/>
          <w:szCs w:val="20"/>
        </w:rPr>
        <w:lastRenderedPageBreak/>
        <w:t xml:space="preserve">season. Habitat of </w:t>
      </w:r>
      <w:r>
        <w:rPr>
          <w:rFonts w:ascii="Times New Roman" w:hAnsi="Times New Roman" w:cs="Times New Roman"/>
          <w:i/>
          <w:sz w:val="20"/>
          <w:szCs w:val="20"/>
        </w:rPr>
        <w:t>Anopheles</w:t>
      </w:r>
      <w:r>
        <w:rPr>
          <w:rFonts w:ascii="Times New Roman" w:hAnsi="Times New Roman" w:cs="Times New Roman"/>
          <w:sz w:val="20"/>
          <w:szCs w:val="20"/>
        </w:rPr>
        <w:t xml:space="preserve"> found in these sentinel sites included rice field, marshes, puddles, ditches, drains, tree holes, containers and empty tins, and these breeding site, rarely strive to sustain breeding in the drying season.</w:t>
      </w:r>
    </w:p>
    <w:p w:rsidR="00700588" w:rsidRDefault="00021E93" w:rsidP="00D91E45">
      <w:pPr>
        <w:snapToGrid w:val="0"/>
        <w:spacing w:after="0" w:line="240" w:lineRule="auto"/>
        <w:ind w:left="0" w:firstLine="720"/>
        <w:jc w:val="both"/>
        <w:rPr>
          <w:rFonts w:ascii="Times New Roman" w:hAnsi="Times New Roman" w:cs="Times New Roman"/>
          <w:sz w:val="20"/>
          <w:szCs w:val="20"/>
        </w:rPr>
      </w:pPr>
      <w:r>
        <w:rPr>
          <w:rFonts w:ascii="Times New Roman" w:eastAsiaTheme="minorEastAsia" w:hAnsi="Times New Roman" w:cs="Times New Roman"/>
          <w:sz w:val="20"/>
          <w:szCs w:val="20"/>
        </w:rPr>
        <w:t xml:space="preserve">The man biting rate of </w:t>
      </w:r>
      <w:r>
        <w:rPr>
          <w:rFonts w:ascii="Times New Roman" w:eastAsiaTheme="minorEastAsia" w:hAnsi="Times New Roman" w:cs="Times New Roman"/>
          <w:i/>
          <w:sz w:val="20"/>
          <w:szCs w:val="20"/>
        </w:rPr>
        <w:t xml:space="preserve">Anopheles </w:t>
      </w:r>
      <w:proofErr w:type="spellStart"/>
      <w:r>
        <w:rPr>
          <w:rFonts w:ascii="Times New Roman" w:eastAsiaTheme="minorEastAsia" w:hAnsi="Times New Roman" w:cs="Times New Roman"/>
          <w:i/>
          <w:sz w:val="20"/>
          <w:szCs w:val="20"/>
        </w:rPr>
        <w:t>gambiae</w:t>
      </w:r>
      <w:proofErr w:type="spellEnd"/>
      <w:r>
        <w:rPr>
          <w:rFonts w:ascii="Times New Roman" w:eastAsiaTheme="minorEastAsia" w:hAnsi="Times New Roman" w:cs="Times New Roman"/>
          <w:sz w:val="20"/>
          <w:szCs w:val="20"/>
        </w:rPr>
        <w:t xml:space="preserve"> is defined as the number of bites per person per night</w:t>
      </w:r>
      <w:r>
        <w:rPr>
          <w:rFonts w:ascii="Times New Roman" w:hAnsi="Times New Roman" w:cs="Times New Roman"/>
          <w:sz w:val="20"/>
          <w:szCs w:val="20"/>
        </w:rPr>
        <w:t xml:space="preserve">. The results revealed that the man biting rate of </w:t>
      </w:r>
      <w:r>
        <w:rPr>
          <w:rFonts w:ascii="Times New Roman" w:hAnsi="Times New Roman" w:cs="Times New Roman"/>
          <w:i/>
          <w:sz w:val="20"/>
          <w:szCs w:val="20"/>
        </w:rPr>
        <w:t xml:space="preserve">Anopheles </w:t>
      </w:r>
      <w:proofErr w:type="spellStart"/>
      <w:r>
        <w:rPr>
          <w:rFonts w:ascii="Times New Roman" w:hAnsi="Times New Roman" w:cs="Times New Roman"/>
          <w:i/>
          <w:sz w:val="20"/>
          <w:szCs w:val="20"/>
        </w:rPr>
        <w:t>gambiae</w:t>
      </w:r>
      <w:proofErr w:type="spellEnd"/>
      <w:r>
        <w:rPr>
          <w:rFonts w:ascii="Times New Roman" w:hAnsi="Times New Roman" w:cs="Times New Roman"/>
          <w:sz w:val="20"/>
          <w:szCs w:val="20"/>
        </w:rPr>
        <w:t xml:space="preserve"> in non-netted households was comparatively higher than netted households. The observations from this investigation on the man biting rate is in line with that obtained by </w:t>
      </w:r>
      <w:proofErr w:type="spellStart"/>
      <w:r>
        <w:rPr>
          <w:rFonts w:ascii="Times New Roman" w:hAnsi="Times New Roman" w:cs="Times New Roman"/>
          <w:sz w:val="20"/>
          <w:szCs w:val="20"/>
        </w:rPr>
        <w:t>Lamidi</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(2018), </w:t>
      </w:r>
      <w:proofErr w:type="spellStart"/>
      <w:r>
        <w:rPr>
          <w:rFonts w:ascii="Times New Roman" w:hAnsi="Times New Roman" w:cs="Times New Roman"/>
          <w:sz w:val="20"/>
          <w:szCs w:val="20"/>
        </w:rPr>
        <w:t>Afolabi</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(2006), however, Ebenezer </w:t>
      </w:r>
      <w:r>
        <w:rPr>
          <w:rFonts w:ascii="Times New Roman" w:hAnsi="Times New Roman" w:cs="Times New Roman"/>
          <w:i/>
          <w:sz w:val="20"/>
          <w:szCs w:val="20"/>
        </w:rPr>
        <w:t>et al</w:t>
      </w:r>
      <w:r>
        <w:rPr>
          <w:rFonts w:ascii="Times New Roman" w:hAnsi="Times New Roman" w:cs="Times New Roman"/>
          <w:sz w:val="20"/>
          <w:szCs w:val="20"/>
        </w:rPr>
        <w:t>. (2016) reported a relatively higher mean Man biting rate of 6.88 bites/person/night with the highest of 16.9 and lowest value of 11.3 bite/person/night.</w:t>
      </w:r>
    </w:p>
    <w:p w:rsidR="00700588" w:rsidRDefault="00021E93" w:rsidP="00D91E45">
      <w:pPr>
        <w:snapToGrid w:val="0"/>
        <w:spacing w:after="0" w:line="240" w:lineRule="auto"/>
        <w:ind w:left="0" w:firstLine="720"/>
        <w:jc w:val="both"/>
        <w:rPr>
          <w:rFonts w:ascii="Times New Roman" w:eastAsiaTheme="minorEastAsia" w:hAnsi="Times New Roman" w:cs="Times New Roman"/>
          <w:color w:val="auto"/>
          <w:sz w:val="20"/>
          <w:szCs w:val="20"/>
        </w:rPr>
      </w:pPr>
      <w:r>
        <w:rPr>
          <w:rFonts w:ascii="Times New Roman" w:hAnsi="Times New Roman" w:cs="Times New Roman"/>
          <w:sz w:val="20"/>
          <w:szCs w:val="20"/>
        </w:rPr>
        <w:t xml:space="preserve">The proportion of Anopheles mosquitoes found to be carrying </w:t>
      </w:r>
      <w:r>
        <w:rPr>
          <w:rFonts w:ascii="Times New Roman" w:hAnsi="Times New Roman" w:cs="Times New Roman"/>
          <w:i/>
          <w:iCs/>
          <w:sz w:val="20"/>
          <w:szCs w:val="20"/>
        </w:rPr>
        <w:t>Plasmodium</w:t>
      </w:r>
      <w:r>
        <w:rPr>
          <w:rFonts w:ascii="Times New Roman" w:hAnsi="Times New Roman" w:cs="Times New Roman"/>
          <w:sz w:val="20"/>
          <w:szCs w:val="20"/>
        </w:rPr>
        <w:t xml:space="preserve"> </w:t>
      </w:r>
      <w:proofErr w:type="spellStart"/>
      <w:r>
        <w:rPr>
          <w:rFonts w:ascii="Times New Roman" w:hAnsi="Times New Roman" w:cs="Times New Roman"/>
          <w:sz w:val="20"/>
          <w:szCs w:val="20"/>
        </w:rPr>
        <w:t>sporozoites</w:t>
      </w:r>
      <w:proofErr w:type="spellEnd"/>
      <w:r>
        <w:rPr>
          <w:rFonts w:ascii="Times New Roman" w:hAnsi="Times New Roman" w:cs="Times New Roman"/>
          <w:sz w:val="20"/>
          <w:szCs w:val="20"/>
        </w:rPr>
        <w:t xml:space="preserve">, usually called the 'malarial </w:t>
      </w:r>
      <w:proofErr w:type="spellStart"/>
      <w:r>
        <w:rPr>
          <w:rFonts w:ascii="Times New Roman" w:hAnsi="Times New Roman" w:cs="Times New Roman"/>
          <w:sz w:val="20"/>
          <w:szCs w:val="20"/>
        </w:rPr>
        <w:t>sporozoite</w:t>
      </w:r>
      <w:proofErr w:type="spellEnd"/>
      <w:r>
        <w:rPr>
          <w:rFonts w:ascii="Times New Roman" w:hAnsi="Times New Roman" w:cs="Times New Roman"/>
          <w:sz w:val="20"/>
          <w:szCs w:val="20"/>
        </w:rPr>
        <w:t xml:space="preserve"> rate', has often been used as a measure of mosquito infectivity (</w:t>
      </w:r>
      <w:proofErr w:type="spellStart"/>
      <w:r>
        <w:rPr>
          <w:rFonts w:ascii="Times New Roman" w:hAnsi="Times New Roman" w:cs="Times New Roman"/>
          <w:sz w:val="20"/>
          <w:szCs w:val="20"/>
        </w:rPr>
        <w:t>Mboera</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Magesa</w:t>
      </w:r>
      <w:proofErr w:type="spellEnd"/>
      <w:r>
        <w:rPr>
          <w:rFonts w:ascii="Times New Roman" w:hAnsi="Times New Roman" w:cs="Times New Roman"/>
          <w:sz w:val="20"/>
          <w:szCs w:val="20"/>
        </w:rPr>
        <w:t xml:space="preserve">, 2001; Bass </w:t>
      </w:r>
      <w:r>
        <w:rPr>
          <w:rFonts w:ascii="Times New Roman" w:hAnsi="Times New Roman" w:cs="Times New Roman"/>
          <w:i/>
          <w:iCs/>
          <w:sz w:val="20"/>
          <w:szCs w:val="20"/>
        </w:rPr>
        <w:t xml:space="preserve">et al., </w:t>
      </w:r>
      <w:r>
        <w:rPr>
          <w:rFonts w:ascii="Times New Roman" w:hAnsi="Times New Roman" w:cs="Times New Roman"/>
          <w:sz w:val="20"/>
          <w:szCs w:val="20"/>
        </w:rPr>
        <w:t xml:space="preserve">2008). The </w:t>
      </w:r>
      <w:proofErr w:type="spellStart"/>
      <w:r>
        <w:rPr>
          <w:rFonts w:ascii="Times New Roman" w:hAnsi="Times New Roman" w:cs="Times New Roman"/>
          <w:sz w:val="20"/>
          <w:szCs w:val="20"/>
        </w:rPr>
        <w:t>sporozoite</w:t>
      </w:r>
      <w:proofErr w:type="spellEnd"/>
      <w:r>
        <w:rPr>
          <w:rFonts w:ascii="Times New Roman" w:hAnsi="Times New Roman" w:cs="Times New Roman"/>
          <w:sz w:val="20"/>
          <w:szCs w:val="20"/>
        </w:rPr>
        <w:t xml:space="preserve"> rate shows the infection status of a mosquito and therefore giving the indication of the intensity of malaria transmission in a given locality (Bass </w:t>
      </w:r>
      <w:r>
        <w:rPr>
          <w:rFonts w:ascii="Times New Roman" w:hAnsi="Times New Roman" w:cs="Times New Roman"/>
          <w:i/>
          <w:iCs/>
          <w:sz w:val="20"/>
          <w:szCs w:val="20"/>
        </w:rPr>
        <w:t xml:space="preserve">et al., </w:t>
      </w:r>
      <w:r>
        <w:rPr>
          <w:rFonts w:ascii="Times New Roman" w:hAnsi="Times New Roman" w:cs="Times New Roman"/>
          <w:sz w:val="20"/>
          <w:szCs w:val="20"/>
        </w:rPr>
        <w:t xml:space="preserve">2008) the report of this research with regards to the </w:t>
      </w:r>
      <w:proofErr w:type="spellStart"/>
      <w:r>
        <w:rPr>
          <w:rFonts w:ascii="Times New Roman" w:hAnsi="Times New Roman" w:cs="Times New Roman"/>
          <w:sz w:val="20"/>
          <w:szCs w:val="20"/>
        </w:rPr>
        <w:t>sporozoite</w:t>
      </w:r>
      <w:proofErr w:type="spellEnd"/>
      <w:r>
        <w:rPr>
          <w:rFonts w:ascii="Times New Roman" w:hAnsi="Times New Roman" w:cs="Times New Roman"/>
          <w:sz w:val="20"/>
          <w:szCs w:val="20"/>
        </w:rPr>
        <w:t xml:space="preserve"> rate of </w:t>
      </w:r>
      <w:r>
        <w:rPr>
          <w:rFonts w:ascii="Times New Roman" w:hAnsi="Times New Roman" w:cs="Times New Roman"/>
          <w:i/>
          <w:iCs/>
          <w:sz w:val="20"/>
          <w:szCs w:val="20"/>
        </w:rPr>
        <w:t>Anopheles</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gambiae</w:t>
      </w:r>
      <w:proofErr w:type="spellEnd"/>
      <w:r>
        <w:rPr>
          <w:rFonts w:ascii="Times New Roman" w:hAnsi="Times New Roman" w:cs="Times New Roman"/>
          <w:sz w:val="20"/>
          <w:szCs w:val="20"/>
        </w:rPr>
        <w:t xml:space="preserve"> is in line with research report of </w:t>
      </w:r>
      <w:proofErr w:type="spellStart"/>
      <w:r>
        <w:rPr>
          <w:rFonts w:ascii="Times New Roman" w:hAnsi="Times New Roman" w:cs="Times New Roman"/>
          <w:sz w:val="20"/>
          <w:szCs w:val="20"/>
        </w:rPr>
        <w:t>Mboera</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Magesa</w:t>
      </w:r>
      <w:proofErr w:type="spellEnd"/>
      <w:r>
        <w:rPr>
          <w:rFonts w:ascii="Times New Roman" w:hAnsi="Times New Roman" w:cs="Times New Roman"/>
          <w:sz w:val="20"/>
          <w:szCs w:val="20"/>
        </w:rPr>
        <w:t xml:space="preserve">, (2001); Bass </w:t>
      </w:r>
      <w:r>
        <w:rPr>
          <w:rFonts w:ascii="Times New Roman" w:hAnsi="Times New Roman" w:cs="Times New Roman"/>
          <w:i/>
          <w:iCs/>
          <w:sz w:val="20"/>
          <w:szCs w:val="20"/>
        </w:rPr>
        <w:t xml:space="preserve">et al. </w:t>
      </w:r>
      <w:r>
        <w:rPr>
          <w:rFonts w:ascii="Times New Roman" w:hAnsi="Times New Roman" w:cs="Times New Roman"/>
          <w:sz w:val="20"/>
          <w:szCs w:val="20"/>
        </w:rPr>
        <w:t xml:space="preserve">(2008); </w:t>
      </w:r>
      <w:proofErr w:type="spellStart"/>
      <w:r>
        <w:rPr>
          <w:rFonts w:ascii="Times New Roman" w:hAnsi="Times New Roman" w:cs="Times New Roman"/>
          <w:sz w:val="20"/>
          <w:szCs w:val="20"/>
        </w:rPr>
        <w:t>Amawalu</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(2016); </w:t>
      </w:r>
      <w:proofErr w:type="spellStart"/>
      <w:r>
        <w:rPr>
          <w:rFonts w:ascii="Times New Roman" w:hAnsi="Times New Roman" w:cs="Times New Roman"/>
          <w:sz w:val="20"/>
          <w:szCs w:val="20"/>
        </w:rPr>
        <w:t>okwu</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(2009); </w:t>
      </w:r>
      <w:proofErr w:type="spellStart"/>
      <w:r>
        <w:rPr>
          <w:rFonts w:ascii="Times New Roman" w:hAnsi="Times New Roman" w:cs="Times New Roman"/>
          <w:sz w:val="20"/>
          <w:szCs w:val="20"/>
        </w:rPr>
        <w:t>Ezeigwe</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(2015); Celina </w:t>
      </w:r>
      <w:r>
        <w:rPr>
          <w:rFonts w:ascii="Times New Roman" w:hAnsi="Times New Roman" w:cs="Times New Roman"/>
          <w:i/>
          <w:sz w:val="20"/>
          <w:szCs w:val="20"/>
        </w:rPr>
        <w:t>et al</w:t>
      </w:r>
      <w:r>
        <w:rPr>
          <w:rFonts w:ascii="Times New Roman" w:hAnsi="Times New Roman" w:cs="Times New Roman"/>
          <w:sz w:val="20"/>
          <w:szCs w:val="20"/>
        </w:rPr>
        <w:t xml:space="preserve">. (2016); </w:t>
      </w:r>
      <w:proofErr w:type="spellStart"/>
      <w:r>
        <w:rPr>
          <w:rFonts w:ascii="Times New Roman" w:hAnsi="Times New Roman" w:cs="Times New Roman"/>
          <w:sz w:val="20"/>
          <w:szCs w:val="20"/>
        </w:rPr>
        <w:t>Manyi</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(2016)</w:t>
      </w:r>
    </w:p>
    <w:p w:rsidR="00700588" w:rsidRPr="00D91E45" w:rsidRDefault="00021E93" w:rsidP="00D91E45">
      <w:pPr>
        <w:snapToGrid w:val="0"/>
        <w:spacing w:after="0" w:line="240" w:lineRule="auto"/>
        <w:ind w:left="0" w:firstLine="720"/>
        <w:jc w:val="both"/>
        <w:rPr>
          <w:rFonts w:ascii="Times New Roman" w:eastAsiaTheme="minorEastAsia" w:hAnsi="Times New Roman" w:cs="Times New Roman"/>
          <w:sz w:val="20"/>
          <w:szCs w:val="20"/>
          <w:lang w:eastAsia="zh-CN"/>
        </w:rPr>
      </w:pPr>
      <w:r>
        <w:rPr>
          <w:rFonts w:ascii="Times New Roman" w:hAnsi="Times New Roman" w:cs="Times New Roman"/>
          <w:sz w:val="20"/>
          <w:szCs w:val="20"/>
        </w:rPr>
        <w:t xml:space="preserve">Malaria transmission can be measured using several indices such as the parasite rate (PR), Annual parasite index (API), and spleen rate. However, EIR </w:t>
      </w:r>
      <w:r>
        <w:rPr>
          <w:rFonts w:ascii="Times New Roman" w:hAnsi="Times New Roman" w:cs="Times New Roman"/>
          <w:sz w:val="20"/>
          <w:szCs w:val="20"/>
        </w:rPr>
        <w:lastRenderedPageBreak/>
        <w:t>remains the most direct measurement of assessing the effect of an anti-vector action because it quantifies the parasite infected mosquito pool and it propensity to transmit infectious parasite to the human population (</w:t>
      </w:r>
      <w:proofErr w:type="spellStart"/>
      <w:r>
        <w:rPr>
          <w:rFonts w:ascii="Times New Roman" w:hAnsi="Times New Roman" w:cs="Times New Roman"/>
          <w:sz w:val="20"/>
          <w:szCs w:val="20"/>
        </w:rPr>
        <w:t>Shankat</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et a</w:t>
      </w:r>
      <w:r>
        <w:rPr>
          <w:rFonts w:ascii="Times New Roman" w:hAnsi="Times New Roman" w:cs="Times New Roman"/>
          <w:sz w:val="20"/>
          <w:szCs w:val="20"/>
        </w:rPr>
        <w:t>l.,</w:t>
      </w:r>
      <w:r w:rsidR="00D91E45">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2010)</w:t>
      </w:r>
      <w:r w:rsidR="00D91E45">
        <w:rPr>
          <w:rFonts w:ascii="Times New Roman" w:eastAsiaTheme="minorEastAsia" w:hAnsi="Times New Roman" w:cs="Times New Roman" w:hint="eastAsia"/>
          <w:sz w:val="20"/>
          <w:szCs w:val="20"/>
          <w:lang w:eastAsia="zh-CN"/>
        </w:rPr>
        <w:t>.</w:t>
      </w:r>
    </w:p>
    <w:p w:rsidR="00700588" w:rsidRPr="00D91E45" w:rsidRDefault="00021E93" w:rsidP="00D91E45">
      <w:pPr>
        <w:snapToGrid w:val="0"/>
        <w:spacing w:after="0" w:line="240" w:lineRule="auto"/>
        <w:ind w:left="0" w:firstLine="720"/>
        <w:jc w:val="both"/>
        <w:rPr>
          <w:rFonts w:ascii="Times New Roman" w:eastAsiaTheme="minorEastAsia" w:hAnsi="Times New Roman" w:cs="Times New Roman"/>
          <w:sz w:val="20"/>
          <w:szCs w:val="20"/>
          <w:lang w:eastAsia="zh-CN"/>
        </w:rPr>
      </w:pPr>
      <w:r>
        <w:rPr>
          <w:rFonts w:ascii="Times New Roman" w:hAnsi="Times New Roman" w:cs="Times New Roman"/>
          <w:sz w:val="20"/>
          <w:szCs w:val="20"/>
        </w:rPr>
        <w:t xml:space="preserve">There can be huge variation in the EIR at the same geographical location from village to country scale even when seasonality of transmission is taken into account (Kelly-Hope and </w:t>
      </w:r>
      <w:proofErr w:type="spellStart"/>
      <w:r>
        <w:rPr>
          <w:rFonts w:ascii="Times New Roman" w:hAnsi="Times New Roman" w:cs="Times New Roman"/>
          <w:sz w:val="20"/>
          <w:szCs w:val="20"/>
        </w:rPr>
        <w:t>Mckenzie</w:t>
      </w:r>
      <w:proofErr w:type="spellEnd"/>
      <w:r>
        <w:rPr>
          <w:rFonts w:ascii="Times New Roman" w:hAnsi="Times New Roman" w:cs="Times New Roman"/>
          <w:sz w:val="20"/>
          <w:szCs w:val="20"/>
        </w:rPr>
        <w:t xml:space="preserve"> F.C. 2009). With respect to this research EIR of the six communities ranged from 8.09-1.78 infective bite/person/year in netted households and 27.47-10.52 infective bite/person/year in non-netted households showing a significant variation among the communities which seemingly lies in same geographical area. These variations resulted from the variation in the prevailing environmental factors in each community as numerous factors such as temperature, altitude, rainfall, and urbanization has been shown to influence the EIR. (</w:t>
      </w:r>
      <w:proofErr w:type="spellStart"/>
      <w:r>
        <w:rPr>
          <w:rFonts w:ascii="Times New Roman" w:hAnsi="Times New Roman" w:cs="Times New Roman"/>
          <w:sz w:val="20"/>
          <w:szCs w:val="20"/>
        </w:rPr>
        <w:t>Warrel</w:t>
      </w:r>
      <w:proofErr w:type="spellEnd"/>
      <w:r>
        <w:rPr>
          <w:rFonts w:ascii="Times New Roman" w:hAnsi="Times New Roman" w:cs="Times New Roman"/>
          <w:sz w:val="20"/>
          <w:szCs w:val="20"/>
        </w:rPr>
        <w:t xml:space="preserve"> D.A 2002). The EIR is directly proportional to temperature because heat accelerate the </w:t>
      </w:r>
      <w:proofErr w:type="spellStart"/>
      <w:r>
        <w:rPr>
          <w:rFonts w:ascii="Times New Roman" w:hAnsi="Times New Roman" w:cs="Times New Roman"/>
          <w:sz w:val="20"/>
          <w:szCs w:val="20"/>
        </w:rPr>
        <w:t>sporogonic</w:t>
      </w:r>
      <w:proofErr w:type="spellEnd"/>
      <w:r>
        <w:rPr>
          <w:rFonts w:ascii="Times New Roman" w:hAnsi="Times New Roman" w:cs="Times New Roman"/>
          <w:sz w:val="20"/>
          <w:szCs w:val="20"/>
        </w:rPr>
        <w:t xml:space="preserve"> cycle, thus, the optimum temperature for malaria transmission is 25-27℃ and an average humidity above 60% (</w:t>
      </w:r>
      <w:proofErr w:type="spellStart"/>
      <w:r>
        <w:rPr>
          <w:rFonts w:ascii="Times New Roman" w:hAnsi="Times New Roman" w:cs="Times New Roman"/>
          <w:sz w:val="20"/>
          <w:szCs w:val="20"/>
        </w:rPr>
        <w:t>Pampana</w:t>
      </w:r>
      <w:proofErr w:type="spellEnd"/>
      <w:r>
        <w:rPr>
          <w:rFonts w:ascii="Times New Roman" w:hAnsi="Times New Roman" w:cs="Times New Roman"/>
          <w:sz w:val="20"/>
          <w:szCs w:val="20"/>
        </w:rPr>
        <w:t xml:space="preserve"> E. 1969)</w:t>
      </w:r>
      <w:r w:rsidR="00D91E45">
        <w:rPr>
          <w:rFonts w:ascii="Times New Roman" w:eastAsiaTheme="minorEastAsia" w:hAnsi="Times New Roman" w:cs="Times New Roman" w:hint="eastAsia"/>
          <w:sz w:val="20"/>
          <w:szCs w:val="20"/>
          <w:lang w:eastAsia="zh-CN"/>
        </w:rPr>
        <w:t>.</w:t>
      </w:r>
    </w:p>
    <w:p w:rsidR="00700588" w:rsidRDefault="00021E93" w:rsidP="00D91E45">
      <w:pPr>
        <w:snapToGrid w:val="0"/>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EIRs</w:t>
      </w:r>
      <w:proofErr w:type="spellEnd"/>
      <w:r>
        <w:rPr>
          <w:rFonts w:ascii="Times New Roman" w:hAnsi="Times New Roman" w:cs="Times New Roman"/>
          <w:sz w:val="20"/>
          <w:szCs w:val="20"/>
        </w:rPr>
        <w:t xml:space="preserve"> calculated in this study can be compared to the report by </w:t>
      </w:r>
      <w:proofErr w:type="spellStart"/>
      <w:r>
        <w:rPr>
          <w:rFonts w:ascii="Times New Roman" w:hAnsi="Times New Roman" w:cs="Times New Roman"/>
          <w:sz w:val="20"/>
          <w:szCs w:val="20"/>
        </w:rPr>
        <w:t>Beier</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xml:space="preserve">, (1999) though it was related to the parasite rate, </w:t>
      </w:r>
      <w:proofErr w:type="spellStart"/>
      <w:r>
        <w:rPr>
          <w:rFonts w:ascii="Times New Roman" w:hAnsi="Times New Roman" w:cs="Times New Roman"/>
          <w:sz w:val="20"/>
          <w:szCs w:val="20"/>
        </w:rPr>
        <w:t>Beier</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xml:space="preserve"> reported that only annual </w:t>
      </w:r>
      <w:proofErr w:type="spellStart"/>
      <w:r>
        <w:rPr>
          <w:rFonts w:ascii="Times New Roman" w:hAnsi="Times New Roman" w:cs="Times New Roman"/>
          <w:sz w:val="20"/>
          <w:szCs w:val="20"/>
        </w:rPr>
        <w:t>EIRs</w:t>
      </w:r>
      <w:proofErr w:type="spellEnd"/>
      <w:r>
        <w:rPr>
          <w:rFonts w:ascii="Times New Roman" w:hAnsi="Times New Roman" w:cs="Times New Roman"/>
          <w:sz w:val="20"/>
          <w:szCs w:val="20"/>
        </w:rPr>
        <w:t xml:space="preserve"> less than one could reduce parasite rate to levels that could interrupt malaria transmission thus the reports from this study indicate that the use of </w:t>
      </w:r>
      <w:proofErr w:type="spellStart"/>
      <w:r>
        <w:rPr>
          <w:rFonts w:ascii="Times New Roman" w:hAnsi="Times New Roman" w:cs="Times New Roman"/>
          <w:sz w:val="20"/>
          <w:szCs w:val="20"/>
        </w:rPr>
        <w:t>LLINs</w:t>
      </w:r>
      <w:proofErr w:type="spellEnd"/>
      <w:r>
        <w:rPr>
          <w:rFonts w:ascii="Times New Roman" w:hAnsi="Times New Roman" w:cs="Times New Roman"/>
          <w:sz w:val="20"/>
          <w:szCs w:val="20"/>
        </w:rPr>
        <w:t xml:space="preserve"> as not yet influence the EIRS to such a level that malaria transmission is interrupted in these communities.</w:t>
      </w:r>
    </w:p>
    <w:p w:rsidR="00700588" w:rsidRDefault="00700588">
      <w:pPr>
        <w:snapToGrid w:val="0"/>
        <w:spacing w:after="0" w:line="240" w:lineRule="auto"/>
        <w:ind w:left="0" w:firstLine="0"/>
        <w:rPr>
          <w:rFonts w:ascii="Times New Roman" w:hAnsi="Times New Roman" w:cs="Times New Roman"/>
          <w:sz w:val="20"/>
          <w:szCs w:val="20"/>
        </w:rPr>
      </w:pPr>
    </w:p>
    <w:p w:rsidR="00700588" w:rsidRDefault="00021E93">
      <w:pPr>
        <w:snapToGrid w:val="0"/>
        <w:spacing w:after="0" w:line="240" w:lineRule="auto"/>
        <w:ind w:left="0" w:firstLine="0"/>
        <w:rPr>
          <w:rFonts w:ascii="Times New Roman" w:hAnsi="Times New Roman" w:cs="Times New Roman"/>
          <w:sz w:val="20"/>
          <w:szCs w:val="20"/>
        </w:rPr>
      </w:pPr>
      <w:r>
        <w:rPr>
          <w:rFonts w:ascii="Times New Roman" w:hAnsi="Times New Roman" w:cs="Times New Roman"/>
          <w:sz w:val="20"/>
          <w:szCs w:val="20"/>
        </w:rPr>
        <w:t>REFERENCES</w:t>
      </w:r>
    </w:p>
    <w:p w:rsidR="00700588" w:rsidRDefault="00021E93" w:rsidP="00AC73C8">
      <w:pPr>
        <w:snapToGrid w:val="0"/>
        <w:spacing w:after="0" w:line="240" w:lineRule="auto"/>
        <w:ind w:left="424" w:hangingChars="212" w:hanging="424"/>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Manguin</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Garros</w:t>
      </w:r>
      <w:proofErr w:type="spellEnd"/>
      <w:r>
        <w:rPr>
          <w:rFonts w:ascii="Times New Roman" w:hAnsi="Times New Roman" w:cs="Times New Roman"/>
          <w:sz w:val="20"/>
          <w:szCs w:val="20"/>
        </w:rPr>
        <w:t xml:space="preserve">, C., </w:t>
      </w:r>
      <w:proofErr w:type="spellStart"/>
      <w:r>
        <w:rPr>
          <w:rFonts w:ascii="Times New Roman" w:hAnsi="Times New Roman" w:cs="Times New Roman"/>
          <w:sz w:val="20"/>
          <w:szCs w:val="20"/>
        </w:rPr>
        <w:t>Dusfour</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Harbach</w:t>
      </w:r>
      <w:proofErr w:type="spellEnd"/>
      <w:r>
        <w:rPr>
          <w:rFonts w:ascii="Times New Roman" w:hAnsi="Times New Roman" w:cs="Times New Roman"/>
          <w:sz w:val="20"/>
          <w:szCs w:val="20"/>
        </w:rPr>
        <w:t xml:space="preserve">, R.E., and </w:t>
      </w:r>
      <w:proofErr w:type="spellStart"/>
      <w:r>
        <w:rPr>
          <w:rFonts w:ascii="Times New Roman" w:hAnsi="Times New Roman" w:cs="Times New Roman"/>
          <w:sz w:val="20"/>
          <w:szCs w:val="20"/>
        </w:rPr>
        <w:t>Coosemans</w:t>
      </w:r>
      <w:proofErr w:type="spellEnd"/>
      <w:r>
        <w:rPr>
          <w:rFonts w:ascii="Times New Roman" w:hAnsi="Times New Roman" w:cs="Times New Roman"/>
          <w:sz w:val="20"/>
          <w:szCs w:val="20"/>
        </w:rPr>
        <w:t xml:space="preserve">, M. (2008). Bionomics, taxonomy, and distribution of the major malaria vector </w:t>
      </w:r>
      <w:proofErr w:type="spellStart"/>
      <w:r>
        <w:rPr>
          <w:rFonts w:ascii="Times New Roman" w:hAnsi="Times New Roman" w:cs="Times New Roman"/>
          <w:sz w:val="20"/>
          <w:szCs w:val="20"/>
        </w:rPr>
        <w:t>taxa</w:t>
      </w:r>
      <w:proofErr w:type="spellEnd"/>
      <w:r>
        <w:rPr>
          <w:rFonts w:ascii="Times New Roman" w:hAnsi="Times New Roman" w:cs="Times New Roman"/>
          <w:sz w:val="20"/>
          <w:szCs w:val="20"/>
        </w:rPr>
        <w:t xml:space="preserve"> of </w:t>
      </w:r>
      <w:r>
        <w:rPr>
          <w:rFonts w:ascii="Times New Roman" w:hAnsi="Times New Roman" w:cs="Times New Roman"/>
          <w:i/>
          <w:sz w:val="20"/>
          <w:szCs w:val="20"/>
        </w:rPr>
        <w:t>Anopheles</w:t>
      </w:r>
      <w:r>
        <w:rPr>
          <w:rFonts w:ascii="Times New Roman" w:hAnsi="Times New Roman" w:cs="Times New Roman"/>
          <w:sz w:val="20"/>
          <w:szCs w:val="20"/>
        </w:rPr>
        <w:t xml:space="preserve"> subgenus </w:t>
      </w:r>
      <w:proofErr w:type="spellStart"/>
      <w:r>
        <w:rPr>
          <w:rFonts w:ascii="Times New Roman" w:hAnsi="Times New Roman" w:cs="Times New Roman"/>
          <w:i/>
          <w:sz w:val="20"/>
          <w:szCs w:val="20"/>
        </w:rPr>
        <w:t>Cellia</w:t>
      </w:r>
      <w:proofErr w:type="spellEnd"/>
      <w:r>
        <w:rPr>
          <w:rFonts w:ascii="Times New Roman" w:hAnsi="Times New Roman" w:cs="Times New Roman"/>
          <w:sz w:val="20"/>
          <w:szCs w:val="20"/>
        </w:rPr>
        <w:t xml:space="preserve"> in Southeast Asia: an updated review. </w:t>
      </w:r>
      <w:r>
        <w:rPr>
          <w:rFonts w:ascii="Times New Roman" w:hAnsi="Times New Roman" w:cs="Times New Roman"/>
          <w:i/>
          <w:sz w:val="20"/>
          <w:szCs w:val="20"/>
        </w:rPr>
        <w:t>Infection, Genetics and Evolution</w:t>
      </w:r>
      <w:r>
        <w:rPr>
          <w:rFonts w:ascii="Times New Roman" w:hAnsi="Times New Roman" w:cs="Times New Roman"/>
          <w:sz w:val="20"/>
          <w:szCs w:val="20"/>
        </w:rPr>
        <w:t xml:space="preserve"> 8: 489-503. </w:t>
      </w:r>
    </w:p>
    <w:p w:rsidR="00700588" w:rsidRDefault="00021E93" w:rsidP="00AC73C8">
      <w:pPr>
        <w:snapToGrid w:val="0"/>
        <w:spacing w:after="0" w:line="240" w:lineRule="auto"/>
        <w:ind w:left="424" w:hangingChars="212" w:hanging="424"/>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Atieli</w:t>
      </w:r>
      <w:proofErr w:type="spellEnd"/>
      <w:r>
        <w:rPr>
          <w:rFonts w:ascii="Times New Roman" w:hAnsi="Times New Roman" w:cs="Times New Roman"/>
          <w:sz w:val="20"/>
          <w:szCs w:val="20"/>
        </w:rPr>
        <w:t xml:space="preserve">, H., Zhou, G., </w:t>
      </w:r>
      <w:proofErr w:type="spellStart"/>
      <w:r>
        <w:rPr>
          <w:rFonts w:ascii="Times New Roman" w:hAnsi="Times New Roman" w:cs="Times New Roman"/>
          <w:sz w:val="20"/>
          <w:szCs w:val="20"/>
        </w:rPr>
        <w:t>Afrane</w:t>
      </w:r>
      <w:proofErr w:type="spellEnd"/>
      <w:r>
        <w:rPr>
          <w:rFonts w:ascii="Times New Roman" w:hAnsi="Times New Roman" w:cs="Times New Roman"/>
          <w:sz w:val="20"/>
          <w:szCs w:val="20"/>
        </w:rPr>
        <w:t xml:space="preserve">, Y., Lee, M., </w:t>
      </w:r>
      <w:proofErr w:type="spellStart"/>
      <w:r>
        <w:rPr>
          <w:rFonts w:ascii="Times New Roman" w:hAnsi="Times New Roman" w:cs="Times New Roman"/>
          <w:sz w:val="20"/>
          <w:szCs w:val="20"/>
        </w:rPr>
        <w:t>Mwazo</w:t>
      </w:r>
      <w:proofErr w:type="spellEnd"/>
      <w:r>
        <w:rPr>
          <w:rFonts w:ascii="Times New Roman" w:hAnsi="Times New Roman" w:cs="Times New Roman"/>
          <w:sz w:val="20"/>
          <w:szCs w:val="20"/>
        </w:rPr>
        <w:t xml:space="preserve">, I. and </w:t>
      </w:r>
      <w:proofErr w:type="spellStart"/>
      <w:r>
        <w:rPr>
          <w:rFonts w:ascii="Times New Roman" w:hAnsi="Times New Roman" w:cs="Times New Roman"/>
          <w:sz w:val="20"/>
          <w:szCs w:val="20"/>
        </w:rPr>
        <w:t>Githeko</w:t>
      </w:r>
      <w:proofErr w:type="spellEnd"/>
      <w:r>
        <w:rPr>
          <w:rFonts w:ascii="Times New Roman" w:hAnsi="Times New Roman" w:cs="Times New Roman"/>
          <w:sz w:val="20"/>
          <w:szCs w:val="20"/>
        </w:rPr>
        <w:t xml:space="preserve">, A. (2011). Insecticide-treated net (ITN) ownership, usage, and malaria transmission in the highlands of western Kenya. </w:t>
      </w:r>
      <w:r>
        <w:rPr>
          <w:rFonts w:ascii="Times New Roman" w:hAnsi="Times New Roman" w:cs="Times New Roman"/>
          <w:i/>
          <w:sz w:val="20"/>
          <w:szCs w:val="20"/>
        </w:rPr>
        <w:t>Parasite Vectors,</w:t>
      </w:r>
      <w:r>
        <w:rPr>
          <w:rFonts w:ascii="Times New Roman" w:hAnsi="Times New Roman" w:cs="Times New Roman"/>
          <w:sz w:val="20"/>
          <w:szCs w:val="20"/>
        </w:rPr>
        <w:t>1(7):81.</w:t>
      </w:r>
    </w:p>
    <w:p w:rsidR="00700588" w:rsidRDefault="00021E93" w:rsidP="00AC73C8">
      <w:pPr>
        <w:snapToGrid w:val="0"/>
        <w:spacing w:after="0" w:line="240" w:lineRule="auto"/>
        <w:ind w:left="424" w:hangingChars="212" w:hanging="424"/>
        <w:jc w:val="both"/>
        <w:rPr>
          <w:rFonts w:ascii="Times New Roman" w:hAnsi="Times New Roman" w:cs="Times New Roman"/>
          <w:sz w:val="20"/>
          <w:szCs w:val="20"/>
        </w:rPr>
      </w:pPr>
      <w:r>
        <w:rPr>
          <w:rFonts w:ascii="Times New Roman" w:hAnsi="Times New Roman" w:cs="Times New Roman"/>
          <w:sz w:val="20"/>
          <w:szCs w:val="20"/>
        </w:rPr>
        <w:t>3.Burkot T.R., Grave P.M.(1995) The value of vector based estimates of malaria transmission. America journal of tropical medical hygiene 43(4):321-7.</w:t>
      </w:r>
    </w:p>
    <w:p w:rsidR="00700588" w:rsidRDefault="00021E93" w:rsidP="00AC73C8">
      <w:pPr>
        <w:snapToGrid w:val="0"/>
        <w:spacing w:after="0" w:line="240" w:lineRule="auto"/>
        <w:ind w:left="424" w:hangingChars="212" w:hanging="424"/>
        <w:jc w:val="both"/>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4. Kelly-Hope LA, </w:t>
      </w:r>
      <w:proofErr w:type="spellStart"/>
      <w:r>
        <w:rPr>
          <w:rFonts w:ascii="Times New Roman" w:eastAsiaTheme="minorEastAsia" w:hAnsi="Times New Roman" w:cs="Times New Roman"/>
          <w:color w:val="auto"/>
          <w:sz w:val="20"/>
          <w:szCs w:val="20"/>
        </w:rPr>
        <w:t>Mckenzie</w:t>
      </w:r>
      <w:proofErr w:type="spellEnd"/>
      <w:r>
        <w:rPr>
          <w:rFonts w:ascii="Times New Roman" w:eastAsiaTheme="minorEastAsia" w:hAnsi="Times New Roman" w:cs="Times New Roman"/>
          <w:color w:val="auto"/>
          <w:sz w:val="20"/>
          <w:szCs w:val="20"/>
        </w:rPr>
        <w:t xml:space="preserve"> FE. (2009). The multiplicity of malaria transmission: A review of entomological inoculation rate measurements and methods across sub-</w:t>
      </w:r>
      <w:proofErr w:type="spellStart"/>
      <w:r>
        <w:rPr>
          <w:rFonts w:ascii="Times New Roman" w:eastAsiaTheme="minorEastAsia" w:hAnsi="Times New Roman" w:cs="Times New Roman"/>
          <w:color w:val="auto"/>
          <w:sz w:val="20"/>
          <w:szCs w:val="20"/>
        </w:rPr>
        <w:t>saharan</w:t>
      </w:r>
      <w:proofErr w:type="spellEnd"/>
      <w:r>
        <w:rPr>
          <w:rFonts w:ascii="Times New Roman" w:eastAsiaTheme="minorEastAsia" w:hAnsi="Times New Roman" w:cs="Times New Roman"/>
          <w:color w:val="auto"/>
          <w:sz w:val="20"/>
          <w:szCs w:val="20"/>
        </w:rPr>
        <w:t xml:space="preserve"> Africa. </w:t>
      </w:r>
      <w:r>
        <w:rPr>
          <w:rFonts w:ascii="Times New Roman" w:eastAsiaTheme="minorEastAsia" w:hAnsi="Times New Roman" w:cs="Times New Roman"/>
          <w:i/>
          <w:iCs/>
          <w:color w:val="auto"/>
          <w:sz w:val="20"/>
          <w:szCs w:val="20"/>
        </w:rPr>
        <w:t>Malaria Journal</w:t>
      </w:r>
      <w:r>
        <w:rPr>
          <w:rFonts w:ascii="Times New Roman" w:eastAsiaTheme="minorEastAsia" w:hAnsi="Times New Roman" w:cs="Times New Roman"/>
          <w:color w:val="auto"/>
          <w:sz w:val="20"/>
          <w:szCs w:val="20"/>
        </w:rPr>
        <w:t xml:space="preserve"> 8:19</w:t>
      </w:r>
    </w:p>
    <w:p w:rsidR="00700588" w:rsidRDefault="00021E93" w:rsidP="00AC73C8">
      <w:pPr>
        <w:snapToGrid w:val="0"/>
        <w:spacing w:after="0" w:line="240" w:lineRule="auto"/>
        <w:ind w:left="424" w:hangingChars="212" w:hanging="424"/>
        <w:jc w:val="both"/>
        <w:rPr>
          <w:rFonts w:ascii="Times New Roman" w:hAnsi="Times New Roman" w:cs="Times New Roman"/>
          <w:sz w:val="20"/>
          <w:szCs w:val="20"/>
        </w:rPr>
      </w:pPr>
      <w:r>
        <w:rPr>
          <w:rFonts w:ascii="Times New Roman" w:hAnsi="Times New Roman" w:cs="Times New Roman"/>
          <w:sz w:val="20"/>
          <w:szCs w:val="20"/>
        </w:rPr>
        <w:t xml:space="preserve">5. Patricia, N., </w:t>
      </w:r>
      <w:proofErr w:type="spellStart"/>
      <w:r>
        <w:rPr>
          <w:rFonts w:ascii="Times New Roman" w:hAnsi="Times New Roman" w:cs="Times New Roman"/>
          <w:sz w:val="20"/>
          <w:szCs w:val="20"/>
        </w:rPr>
        <w:t>Popoola</w:t>
      </w:r>
      <w:proofErr w:type="spellEnd"/>
      <w:r>
        <w:rPr>
          <w:rFonts w:ascii="Times New Roman" w:hAnsi="Times New Roman" w:cs="Times New Roman"/>
          <w:sz w:val="20"/>
          <w:szCs w:val="20"/>
        </w:rPr>
        <w:t xml:space="preserve">, K. O., </w:t>
      </w:r>
      <w:proofErr w:type="spellStart"/>
      <w:r>
        <w:rPr>
          <w:rFonts w:ascii="Times New Roman" w:hAnsi="Times New Roman" w:cs="Times New Roman"/>
          <w:sz w:val="20"/>
          <w:szCs w:val="20"/>
        </w:rPr>
        <w:t>Olayemi</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Kolade</w:t>
      </w:r>
      <w:proofErr w:type="spellEnd"/>
      <w:r>
        <w:rPr>
          <w:rFonts w:ascii="Times New Roman" w:hAnsi="Times New Roman" w:cs="Times New Roman"/>
          <w:sz w:val="20"/>
          <w:szCs w:val="20"/>
        </w:rPr>
        <w:t xml:space="preserve">, T. and George, O. (2014). Species composition and </w:t>
      </w:r>
      <w:r>
        <w:rPr>
          <w:rFonts w:ascii="Times New Roman" w:hAnsi="Times New Roman" w:cs="Times New Roman"/>
          <w:sz w:val="20"/>
          <w:szCs w:val="20"/>
        </w:rPr>
        <w:lastRenderedPageBreak/>
        <w:t xml:space="preserve">general distribution of mosquitoes population in Ibadan, Southwest Nigeria. </w:t>
      </w:r>
      <w:r>
        <w:rPr>
          <w:rFonts w:ascii="Times New Roman" w:hAnsi="Times New Roman" w:cs="Times New Roman"/>
          <w:i/>
          <w:sz w:val="20"/>
          <w:szCs w:val="20"/>
        </w:rPr>
        <w:t xml:space="preserve">Journal of Entomology Zoology Study, </w:t>
      </w:r>
      <w:r>
        <w:rPr>
          <w:rFonts w:ascii="Times New Roman" w:hAnsi="Times New Roman" w:cs="Times New Roman"/>
          <w:sz w:val="20"/>
          <w:szCs w:val="20"/>
        </w:rPr>
        <w:t>2(4): 164 – 169</w:t>
      </w:r>
    </w:p>
    <w:p w:rsidR="00700588" w:rsidRDefault="00021E93" w:rsidP="00AC73C8">
      <w:pPr>
        <w:snapToGrid w:val="0"/>
        <w:spacing w:after="0" w:line="240" w:lineRule="auto"/>
        <w:ind w:left="424" w:hangingChars="212" w:hanging="424"/>
        <w:jc w:val="both"/>
        <w:rPr>
          <w:rFonts w:ascii="Times New Roman" w:eastAsiaTheme="minorEastAsia" w:hAnsi="Times New Roman" w:cs="Times New Roman"/>
          <w:i/>
          <w:color w:val="auto"/>
          <w:sz w:val="20"/>
          <w:szCs w:val="20"/>
        </w:rPr>
      </w:pPr>
      <w:r>
        <w:rPr>
          <w:rFonts w:ascii="Times New Roman" w:hAnsi="Times New Roman" w:cs="Times New Roman"/>
          <w:sz w:val="20"/>
          <w:szCs w:val="20"/>
        </w:rPr>
        <w:t xml:space="preserve">6. </w:t>
      </w:r>
      <w:proofErr w:type="spellStart"/>
      <w:r>
        <w:rPr>
          <w:rFonts w:ascii="Times New Roman" w:hAnsi="Times New Roman" w:cs="Times New Roman"/>
          <w:sz w:val="20"/>
          <w:szCs w:val="20"/>
        </w:rPr>
        <w:t>Olajide</w:t>
      </w:r>
      <w:proofErr w:type="spellEnd"/>
      <w:r>
        <w:rPr>
          <w:rFonts w:ascii="Times New Roman" w:hAnsi="Times New Roman" w:cs="Times New Roman"/>
          <w:sz w:val="20"/>
          <w:szCs w:val="20"/>
        </w:rPr>
        <w:t xml:space="preserve">, J., Joseph, O. A. and </w:t>
      </w:r>
      <w:proofErr w:type="spellStart"/>
      <w:r>
        <w:rPr>
          <w:rFonts w:ascii="Times New Roman" w:hAnsi="Times New Roman" w:cs="Times New Roman"/>
          <w:sz w:val="20"/>
          <w:szCs w:val="20"/>
        </w:rPr>
        <w:t>Aminat</w:t>
      </w:r>
      <w:proofErr w:type="spellEnd"/>
      <w:r>
        <w:rPr>
          <w:rFonts w:ascii="Times New Roman" w:hAnsi="Times New Roman" w:cs="Times New Roman"/>
          <w:sz w:val="20"/>
          <w:szCs w:val="20"/>
        </w:rPr>
        <w:t xml:space="preserve">, M. A. (2012). </w:t>
      </w:r>
      <w:r>
        <w:rPr>
          <w:rFonts w:ascii="Times New Roman" w:hAnsi="Times New Roman" w:cs="Times New Roman"/>
          <w:iCs/>
          <w:sz w:val="20"/>
          <w:szCs w:val="20"/>
        </w:rPr>
        <w:t xml:space="preserve">Identification, Abundance and Diversity of Mosquitoes in </w:t>
      </w:r>
      <w:proofErr w:type="spellStart"/>
      <w:r>
        <w:rPr>
          <w:rFonts w:ascii="Times New Roman" w:hAnsi="Times New Roman" w:cs="Times New Roman"/>
          <w:iCs/>
          <w:sz w:val="20"/>
          <w:szCs w:val="20"/>
        </w:rPr>
        <w:t>Akure</w:t>
      </w:r>
      <w:proofErr w:type="spellEnd"/>
      <w:r>
        <w:rPr>
          <w:rFonts w:ascii="Times New Roman" w:hAnsi="Times New Roman" w:cs="Times New Roman"/>
          <w:iCs/>
          <w:sz w:val="20"/>
          <w:szCs w:val="20"/>
        </w:rPr>
        <w:t xml:space="preserve"> South Local Government Area, </w:t>
      </w:r>
      <w:proofErr w:type="spellStart"/>
      <w:r>
        <w:rPr>
          <w:rFonts w:ascii="Times New Roman" w:hAnsi="Times New Roman" w:cs="Times New Roman"/>
          <w:iCs/>
          <w:sz w:val="20"/>
          <w:szCs w:val="20"/>
        </w:rPr>
        <w:t>Ondo</w:t>
      </w:r>
      <w:proofErr w:type="spellEnd"/>
      <w:r>
        <w:rPr>
          <w:rFonts w:ascii="Times New Roman" w:hAnsi="Times New Roman" w:cs="Times New Roman"/>
          <w:iCs/>
          <w:sz w:val="20"/>
          <w:szCs w:val="20"/>
        </w:rPr>
        <w:t xml:space="preserve"> State, Nigeria</w:t>
      </w:r>
      <w:r>
        <w:rPr>
          <w:rFonts w:ascii="Times New Roman" w:hAnsi="Times New Roman" w:cs="Times New Roman"/>
          <w:i/>
          <w:sz w:val="20"/>
          <w:szCs w:val="20"/>
        </w:rPr>
        <w:t>. Journal of Entomology and Zoology Studies</w:t>
      </w:r>
      <w:r>
        <w:rPr>
          <w:rFonts w:ascii="Times New Roman" w:hAnsi="Times New Roman" w:cs="Times New Roman"/>
          <w:sz w:val="20"/>
          <w:szCs w:val="20"/>
        </w:rPr>
        <w:t>; 3(4), 364-369</w:t>
      </w:r>
    </w:p>
    <w:p w:rsidR="00700588" w:rsidRDefault="00021E93" w:rsidP="00AC73C8">
      <w:pPr>
        <w:snapToGrid w:val="0"/>
        <w:spacing w:after="0" w:line="240" w:lineRule="auto"/>
        <w:ind w:left="424" w:hangingChars="212" w:hanging="424"/>
        <w:jc w:val="both"/>
        <w:rPr>
          <w:rFonts w:ascii="Times New Roman" w:hAnsi="Times New Roman" w:cs="Times New Roman"/>
          <w:sz w:val="20"/>
          <w:szCs w:val="20"/>
        </w:rPr>
      </w:pPr>
      <w:r>
        <w:rPr>
          <w:rFonts w:ascii="Times New Roman" w:hAnsi="Times New Roman" w:cs="Times New Roman"/>
          <w:sz w:val="20"/>
          <w:szCs w:val="20"/>
        </w:rPr>
        <w:t xml:space="preserve">7. </w:t>
      </w:r>
      <w:proofErr w:type="spellStart"/>
      <w:r>
        <w:rPr>
          <w:rFonts w:ascii="Times New Roman" w:hAnsi="Times New Roman" w:cs="Times New Roman"/>
          <w:sz w:val="20"/>
          <w:szCs w:val="20"/>
        </w:rPr>
        <w:t>Abdulrasheed</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Aliyu</w:t>
      </w:r>
      <w:proofErr w:type="spellEnd"/>
      <w:r>
        <w:rPr>
          <w:rFonts w:ascii="Times New Roman" w:hAnsi="Times New Roman" w:cs="Times New Roman"/>
          <w:sz w:val="20"/>
          <w:szCs w:val="20"/>
        </w:rPr>
        <w:t xml:space="preserve">, A.O. and </w:t>
      </w:r>
      <w:proofErr w:type="spellStart"/>
      <w:r>
        <w:rPr>
          <w:rFonts w:ascii="Times New Roman" w:hAnsi="Times New Roman" w:cs="Times New Roman"/>
          <w:sz w:val="20"/>
          <w:szCs w:val="20"/>
        </w:rPr>
        <w:t>Hafsa</w:t>
      </w:r>
      <w:proofErr w:type="spellEnd"/>
      <w:r>
        <w:rPr>
          <w:rFonts w:ascii="Times New Roman" w:hAnsi="Times New Roman" w:cs="Times New Roman"/>
          <w:sz w:val="20"/>
          <w:szCs w:val="20"/>
        </w:rPr>
        <w:t xml:space="preserve">, B. (2016). Surveillance of </w:t>
      </w:r>
      <w:proofErr w:type="spellStart"/>
      <w:r>
        <w:rPr>
          <w:rFonts w:ascii="Times New Roman" w:hAnsi="Times New Roman" w:cs="Times New Roman"/>
          <w:sz w:val="20"/>
          <w:szCs w:val="20"/>
        </w:rPr>
        <w:t>mosquitos</w:t>
      </w:r>
      <w:proofErr w:type="spellEnd"/>
      <w:r>
        <w:rPr>
          <w:rFonts w:ascii="Times New Roman" w:hAnsi="Times New Roman" w:cs="Times New Roman"/>
          <w:sz w:val="20"/>
          <w:szCs w:val="20"/>
        </w:rPr>
        <w:t xml:space="preserve">’ species abundance and composition in </w:t>
      </w:r>
      <w:proofErr w:type="spellStart"/>
      <w:r>
        <w:rPr>
          <w:rFonts w:ascii="Times New Roman" w:hAnsi="Times New Roman" w:cs="Times New Roman"/>
          <w:sz w:val="20"/>
          <w:szCs w:val="20"/>
        </w:rPr>
        <w:t>Azare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katagum</w:t>
      </w:r>
      <w:proofErr w:type="spellEnd"/>
      <w:r>
        <w:rPr>
          <w:rFonts w:ascii="Times New Roman" w:hAnsi="Times New Roman" w:cs="Times New Roman"/>
          <w:sz w:val="20"/>
          <w:szCs w:val="20"/>
        </w:rPr>
        <w:t xml:space="preserve"> Local Government of </w:t>
      </w:r>
      <w:proofErr w:type="spellStart"/>
      <w:r>
        <w:rPr>
          <w:rFonts w:ascii="Times New Roman" w:hAnsi="Times New Roman" w:cs="Times New Roman"/>
          <w:sz w:val="20"/>
          <w:szCs w:val="20"/>
        </w:rPr>
        <w:t>Bauchi</w:t>
      </w:r>
      <w:proofErr w:type="spellEnd"/>
      <w:r>
        <w:rPr>
          <w:rFonts w:ascii="Times New Roman" w:hAnsi="Times New Roman" w:cs="Times New Roman"/>
          <w:sz w:val="20"/>
          <w:szCs w:val="20"/>
        </w:rPr>
        <w:t xml:space="preserve"> State. </w:t>
      </w:r>
      <w:r>
        <w:rPr>
          <w:rFonts w:ascii="Times New Roman" w:hAnsi="Times New Roman" w:cs="Times New Roman"/>
          <w:i/>
          <w:sz w:val="20"/>
          <w:szCs w:val="20"/>
        </w:rPr>
        <w:t xml:space="preserve">Journal of Pharmacy and Biological Sciences, </w:t>
      </w:r>
      <w:r>
        <w:rPr>
          <w:rFonts w:ascii="Times New Roman" w:hAnsi="Times New Roman" w:cs="Times New Roman"/>
          <w:sz w:val="20"/>
          <w:szCs w:val="20"/>
        </w:rPr>
        <w:t>11(6): 2319 – 7676.</w:t>
      </w:r>
    </w:p>
    <w:p w:rsidR="00700588" w:rsidRDefault="00021E93" w:rsidP="00AC73C8">
      <w:pPr>
        <w:snapToGrid w:val="0"/>
        <w:spacing w:after="0" w:line="240" w:lineRule="auto"/>
        <w:ind w:left="424" w:hangingChars="212" w:hanging="424"/>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8. </w:t>
      </w:r>
      <w:proofErr w:type="spellStart"/>
      <w:r>
        <w:rPr>
          <w:rFonts w:ascii="Times New Roman" w:hAnsi="Times New Roman" w:cs="Times New Roman"/>
          <w:sz w:val="20"/>
          <w:szCs w:val="20"/>
        </w:rPr>
        <w:t>Onyekachi</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Ebube</w:t>
      </w:r>
      <w:proofErr w:type="spellEnd"/>
      <w:r>
        <w:rPr>
          <w:rFonts w:ascii="Times New Roman" w:hAnsi="Times New Roman" w:cs="Times New Roman"/>
          <w:sz w:val="20"/>
          <w:szCs w:val="20"/>
        </w:rPr>
        <w:t xml:space="preserve">, C.A., Collins, C. and Carmelita, C.O. (2018). Distribution and abundance of mosquitoes larvae in </w:t>
      </w:r>
      <w:proofErr w:type="spellStart"/>
      <w:r>
        <w:rPr>
          <w:rFonts w:ascii="Times New Roman" w:hAnsi="Times New Roman" w:cs="Times New Roman"/>
          <w:sz w:val="20"/>
          <w:szCs w:val="20"/>
        </w:rPr>
        <w:t>Ohafia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Abia</w:t>
      </w:r>
      <w:proofErr w:type="spellEnd"/>
      <w:r>
        <w:rPr>
          <w:rFonts w:ascii="Times New Roman" w:hAnsi="Times New Roman" w:cs="Times New Roman"/>
          <w:sz w:val="20"/>
          <w:szCs w:val="20"/>
        </w:rPr>
        <w:t xml:space="preserve"> State. </w:t>
      </w:r>
      <w:r>
        <w:rPr>
          <w:rFonts w:ascii="Times New Roman" w:hAnsi="Times New Roman" w:cs="Times New Roman"/>
          <w:i/>
          <w:sz w:val="20"/>
          <w:szCs w:val="20"/>
        </w:rPr>
        <w:t xml:space="preserve">Nigerian UMED Research Journal, </w:t>
      </w:r>
      <w:r>
        <w:rPr>
          <w:rFonts w:ascii="Times New Roman" w:hAnsi="Times New Roman" w:cs="Times New Roman"/>
          <w:sz w:val="20"/>
          <w:szCs w:val="20"/>
        </w:rPr>
        <w:t>10(2): 379 – 385.</w:t>
      </w:r>
    </w:p>
    <w:p w:rsidR="00700588" w:rsidRDefault="00021E93" w:rsidP="00AC73C8">
      <w:pPr>
        <w:snapToGrid w:val="0"/>
        <w:spacing w:after="0" w:line="240" w:lineRule="auto"/>
        <w:ind w:left="424" w:hangingChars="212" w:hanging="424"/>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9. </w:t>
      </w:r>
      <w:proofErr w:type="spellStart"/>
      <w:r>
        <w:rPr>
          <w:rFonts w:ascii="Times New Roman" w:hAnsi="Times New Roman" w:cs="Times New Roman"/>
          <w:sz w:val="20"/>
          <w:szCs w:val="20"/>
        </w:rPr>
        <w:t>Afolabi</w:t>
      </w:r>
      <w:proofErr w:type="spellEnd"/>
      <w:r>
        <w:rPr>
          <w:rFonts w:ascii="Times New Roman" w:hAnsi="Times New Roman" w:cs="Times New Roman"/>
          <w:sz w:val="20"/>
          <w:szCs w:val="20"/>
        </w:rPr>
        <w:t>, O., Joseph, O., Simon-</w:t>
      </w:r>
      <w:proofErr w:type="spellStart"/>
      <w:r>
        <w:rPr>
          <w:rFonts w:ascii="Times New Roman" w:hAnsi="Times New Roman" w:cs="Times New Roman"/>
          <w:sz w:val="20"/>
          <w:szCs w:val="20"/>
        </w:rPr>
        <w:t>Oke</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Adepeju</w:t>
      </w:r>
      <w:proofErr w:type="spellEnd"/>
      <w:r>
        <w:rPr>
          <w:rFonts w:ascii="Times New Roman" w:hAnsi="Times New Roman" w:cs="Times New Roman"/>
          <w:sz w:val="20"/>
          <w:szCs w:val="20"/>
        </w:rPr>
        <w:t xml:space="preserve">, A., and </w:t>
      </w:r>
      <w:proofErr w:type="spellStart"/>
      <w:r>
        <w:rPr>
          <w:rFonts w:ascii="Times New Roman" w:hAnsi="Times New Roman" w:cs="Times New Roman"/>
          <w:sz w:val="20"/>
          <w:szCs w:val="20"/>
        </w:rPr>
        <w:t>Ofomo</w:t>
      </w:r>
      <w:proofErr w:type="spellEnd"/>
      <w:r>
        <w:rPr>
          <w:rFonts w:ascii="Times New Roman" w:hAnsi="Times New Roman" w:cs="Times New Roman"/>
          <w:sz w:val="20"/>
          <w:szCs w:val="20"/>
        </w:rPr>
        <w:t xml:space="preserve">, B. (2013). Distribution, abundance and diversity of mosquitoes in </w:t>
      </w:r>
      <w:proofErr w:type="spellStart"/>
      <w:r>
        <w:rPr>
          <w:rFonts w:ascii="Times New Roman" w:hAnsi="Times New Roman" w:cs="Times New Roman"/>
          <w:sz w:val="20"/>
          <w:szCs w:val="20"/>
        </w:rPr>
        <w:t>Akure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Ondo</w:t>
      </w:r>
      <w:proofErr w:type="spellEnd"/>
      <w:r>
        <w:rPr>
          <w:rFonts w:ascii="Times New Roman" w:hAnsi="Times New Roman" w:cs="Times New Roman"/>
          <w:sz w:val="20"/>
          <w:szCs w:val="20"/>
        </w:rPr>
        <w:t xml:space="preserve"> State, Nigeria. </w:t>
      </w:r>
      <w:r>
        <w:rPr>
          <w:rFonts w:ascii="Times New Roman" w:hAnsi="Times New Roman" w:cs="Times New Roman"/>
          <w:i/>
          <w:sz w:val="20"/>
          <w:szCs w:val="20"/>
        </w:rPr>
        <w:t xml:space="preserve">Journal of </w:t>
      </w:r>
      <w:proofErr w:type="spellStart"/>
      <w:r>
        <w:rPr>
          <w:rFonts w:ascii="Times New Roman" w:hAnsi="Times New Roman" w:cs="Times New Roman"/>
          <w:i/>
          <w:sz w:val="20"/>
          <w:szCs w:val="20"/>
        </w:rPr>
        <w:t>Parasitology</w:t>
      </w:r>
      <w:proofErr w:type="spellEnd"/>
      <w:r>
        <w:rPr>
          <w:rFonts w:ascii="Times New Roman" w:hAnsi="Times New Roman" w:cs="Times New Roman"/>
          <w:i/>
          <w:sz w:val="20"/>
          <w:szCs w:val="20"/>
        </w:rPr>
        <w:t xml:space="preserve"> and Vector Biology, </w:t>
      </w:r>
      <w:r>
        <w:rPr>
          <w:rFonts w:ascii="Times New Roman" w:hAnsi="Times New Roman" w:cs="Times New Roman"/>
          <w:sz w:val="20"/>
          <w:szCs w:val="20"/>
        </w:rPr>
        <w:t>5(10): 132 – 136.</w:t>
      </w:r>
    </w:p>
    <w:p w:rsidR="00700588" w:rsidRDefault="00021E93" w:rsidP="00AC73C8">
      <w:pPr>
        <w:autoSpaceDE w:val="0"/>
        <w:autoSpaceDN w:val="0"/>
        <w:adjustRightInd w:val="0"/>
        <w:snapToGrid w:val="0"/>
        <w:spacing w:after="0" w:line="240" w:lineRule="auto"/>
        <w:ind w:left="424" w:hangingChars="212" w:hanging="424"/>
        <w:jc w:val="both"/>
        <w:rPr>
          <w:rFonts w:ascii="Times New Roman" w:eastAsiaTheme="minorHAnsi" w:hAnsi="Times New Roman" w:cs="Times New Roman"/>
          <w:sz w:val="20"/>
          <w:szCs w:val="20"/>
        </w:rPr>
      </w:pPr>
      <w:r>
        <w:rPr>
          <w:rFonts w:ascii="Times New Roman" w:hAnsi="Times New Roman" w:cs="Times New Roman"/>
          <w:sz w:val="20"/>
          <w:szCs w:val="20"/>
        </w:rPr>
        <w:t xml:space="preserve">10. </w:t>
      </w:r>
      <w:proofErr w:type="spellStart"/>
      <w:r>
        <w:rPr>
          <w:rFonts w:ascii="Times New Roman" w:hAnsi="Times New Roman" w:cs="Times New Roman"/>
          <w:sz w:val="20"/>
          <w:szCs w:val="20"/>
        </w:rPr>
        <w:t>Bunza</w:t>
      </w:r>
      <w:proofErr w:type="spellEnd"/>
      <w:r>
        <w:rPr>
          <w:rFonts w:ascii="Times New Roman" w:hAnsi="Times New Roman" w:cs="Times New Roman"/>
          <w:sz w:val="20"/>
          <w:szCs w:val="20"/>
        </w:rPr>
        <w:t xml:space="preserve">, M. D., Suleiman, A. A., Yusuf, A. M. and </w:t>
      </w:r>
      <w:proofErr w:type="spellStart"/>
      <w:r>
        <w:rPr>
          <w:rFonts w:ascii="Times New Roman" w:hAnsi="Times New Roman" w:cs="Times New Roman"/>
          <w:sz w:val="20"/>
          <w:szCs w:val="20"/>
        </w:rPr>
        <w:t>Bala</w:t>
      </w:r>
      <w:proofErr w:type="spellEnd"/>
      <w:r>
        <w:rPr>
          <w:rFonts w:ascii="Times New Roman" w:hAnsi="Times New Roman" w:cs="Times New Roman"/>
          <w:sz w:val="20"/>
          <w:szCs w:val="20"/>
        </w:rPr>
        <w:t xml:space="preserve">, A. Y. (2010). Relative abundance of mosquito species in </w:t>
      </w:r>
      <w:proofErr w:type="spellStart"/>
      <w:r>
        <w:rPr>
          <w:rFonts w:ascii="Times New Roman" w:hAnsi="Times New Roman" w:cs="Times New Roman"/>
          <w:sz w:val="20"/>
          <w:szCs w:val="20"/>
        </w:rPr>
        <w:t>Katsina</w:t>
      </w:r>
      <w:proofErr w:type="spellEnd"/>
      <w:r>
        <w:rPr>
          <w:rFonts w:ascii="Times New Roman" w:hAnsi="Times New Roman" w:cs="Times New Roman"/>
          <w:sz w:val="20"/>
          <w:szCs w:val="20"/>
        </w:rPr>
        <w:t xml:space="preserve"> Metropolis, </w:t>
      </w:r>
      <w:proofErr w:type="spellStart"/>
      <w:r>
        <w:rPr>
          <w:rFonts w:ascii="Times New Roman" w:hAnsi="Times New Roman" w:cs="Times New Roman"/>
          <w:sz w:val="20"/>
          <w:szCs w:val="20"/>
        </w:rPr>
        <w:t>Katsina</w:t>
      </w:r>
      <w:proofErr w:type="spellEnd"/>
      <w:r>
        <w:rPr>
          <w:rFonts w:ascii="Times New Roman" w:hAnsi="Times New Roman" w:cs="Times New Roman"/>
          <w:sz w:val="20"/>
          <w:szCs w:val="20"/>
        </w:rPr>
        <w:t xml:space="preserve">, Nigeria. </w:t>
      </w:r>
      <w:r>
        <w:rPr>
          <w:rFonts w:ascii="Times New Roman" w:hAnsi="Times New Roman" w:cs="Times New Roman"/>
          <w:i/>
          <w:sz w:val="20"/>
          <w:szCs w:val="20"/>
        </w:rPr>
        <w:t xml:space="preserve">Nigerian Journal of </w:t>
      </w:r>
      <w:proofErr w:type="spellStart"/>
      <w:r>
        <w:rPr>
          <w:rFonts w:ascii="Times New Roman" w:hAnsi="Times New Roman" w:cs="Times New Roman"/>
          <w:i/>
          <w:sz w:val="20"/>
          <w:szCs w:val="20"/>
        </w:rPr>
        <w:t>Parasitology</w:t>
      </w:r>
      <w:proofErr w:type="spellEnd"/>
      <w:r>
        <w:rPr>
          <w:rFonts w:ascii="Times New Roman" w:hAnsi="Times New Roman" w:cs="Times New Roman"/>
          <w:i/>
          <w:sz w:val="20"/>
          <w:szCs w:val="20"/>
        </w:rPr>
        <w:t xml:space="preserve">, </w:t>
      </w:r>
      <w:r>
        <w:rPr>
          <w:rFonts w:ascii="Times New Roman" w:hAnsi="Times New Roman" w:cs="Times New Roman"/>
          <w:sz w:val="20"/>
          <w:szCs w:val="20"/>
        </w:rPr>
        <w:t>31(2):223-241</w:t>
      </w:r>
    </w:p>
    <w:p w:rsidR="00700588" w:rsidRDefault="00021E93" w:rsidP="00AC73C8">
      <w:pPr>
        <w:snapToGrid w:val="0"/>
        <w:spacing w:after="0" w:line="240" w:lineRule="auto"/>
        <w:ind w:left="424" w:hangingChars="212" w:hanging="424"/>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11. </w:t>
      </w:r>
      <w:proofErr w:type="spellStart"/>
      <w:r>
        <w:rPr>
          <w:rFonts w:ascii="Times New Roman" w:hAnsi="Times New Roman" w:cs="Times New Roman"/>
          <w:sz w:val="20"/>
          <w:szCs w:val="20"/>
        </w:rPr>
        <w:t>Lamidi</w:t>
      </w:r>
      <w:proofErr w:type="spellEnd"/>
      <w:r>
        <w:rPr>
          <w:rFonts w:ascii="Times New Roman" w:hAnsi="Times New Roman" w:cs="Times New Roman"/>
          <w:sz w:val="20"/>
          <w:szCs w:val="20"/>
        </w:rPr>
        <w:t xml:space="preserve">, B.T., Naphtali, R.S., </w:t>
      </w:r>
      <w:proofErr w:type="spellStart"/>
      <w:r>
        <w:rPr>
          <w:rFonts w:ascii="Times New Roman" w:hAnsi="Times New Roman" w:cs="Times New Roman"/>
          <w:sz w:val="20"/>
          <w:szCs w:val="20"/>
        </w:rPr>
        <w:t>Alo</w:t>
      </w:r>
      <w:proofErr w:type="spellEnd"/>
      <w:r>
        <w:rPr>
          <w:rFonts w:ascii="Times New Roman" w:hAnsi="Times New Roman" w:cs="Times New Roman"/>
          <w:sz w:val="20"/>
          <w:szCs w:val="20"/>
        </w:rPr>
        <w:t xml:space="preserve">, E.B. and </w:t>
      </w:r>
      <w:proofErr w:type="spellStart"/>
      <w:r>
        <w:rPr>
          <w:rFonts w:ascii="Times New Roman" w:hAnsi="Times New Roman" w:cs="Times New Roman"/>
          <w:sz w:val="20"/>
          <w:szCs w:val="20"/>
        </w:rPr>
        <w:t>Oyeniyi</w:t>
      </w:r>
      <w:proofErr w:type="spellEnd"/>
      <w:r>
        <w:rPr>
          <w:rFonts w:ascii="Times New Roman" w:hAnsi="Times New Roman" w:cs="Times New Roman"/>
          <w:sz w:val="20"/>
          <w:szCs w:val="20"/>
        </w:rPr>
        <w:t xml:space="preserve">, A.T. (2018). Malaria vector population density and man-biting rate in three selected area of </w:t>
      </w:r>
      <w:proofErr w:type="spellStart"/>
      <w:r>
        <w:rPr>
          <w:rFonts w:ascii="Times New Roman" w:hAnsi="Times New Roman" w:cs="Times New Roman"/>
          <w:sz w:val="20"/>
          <w:szCs w:val="20"/>
        </w:rPr>
        <w:t>Taraba</w:t>
      </w:r>
      <w:proofErr w:type="spellEnd"/>
      <w:r>
        <w:rPr>
          <w:rFonts w:ascii="Times New Roman" w:hAnsi="Times New Roman" w:cs="Times New Roman"/>
          <w:sz w:val="20"/>
          <w:szCs w:val="20"/>
        </w:rPr>
        <w:t xml:space="preserve"> state, North east Nigeria. </w:t>
      </w:r>
      <w:r>
        <w:rPr>
          <w:rFonts w:ascii="Times New Roman" w:hAnsi="Times New Roman" w:cs="Times New Roman"/>
          <w:i/>
          <w:sz w:val="20"/>
          <w:szCs w:val="20"/>
        </w:rPr>
        <w:t xml:space="preserve">Nigeria journal of </w:t>
      </w:r>
      <w:proofErr w:type="spellStart"/>
      <w:r>
        <w:rPr>
          <w:rFonts w:ascii="Times New Roman" w:hAnsi="Times New Roman" w:cs="Times New Roman"/>
          <w:i/>
          <w:sz w:val="20"/>
          <w:szCs w:val="20"/>
        </w:rPr>
        <w:t>Parasitology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Vol</w:t>
      </w:r>
      <w:proofErr w:type="spellEnd"/>
      <w:r>
        <w:rPr>
          <w:rFonts w:ascii="Times New Roman" w:hAnsi="Times New Roman" w:cs="Times New Roman"/>
          <w:sz w:val="20"/>
          <w:szCs w:val="20"/>
        </w:rPr>
        <w:t xml:space="preserve"> 39.</w:t>
      </w:r>
    </w:p>
    <w:p w:rsidR="00700588" w:rsidRDefault="00021E93" w:rsidP="00AC73C8">
      <w:pPr>
        <w:snapToGrid w:val="0"/>
        <w:spacing w:after="0" w:line="240" w:lineRule="auto"/>
        <w:ind w:left="424" w:hangingChars="212" w:hanging="424"/>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12. </w:t>
      </w:r>
      <w:proofErr w:type="spellStart"/>
      <w:r>
        <w:rPr>
          <w:rFonts w:ascii="Times New Roman" w:hAnsi="Times New Roman" w:cs="Times New Roman"/>
          <w:sz w:val="20"/>
          <w:szCs w:val="20"/>
        </w:rPr>
        <w:t>Afolabi</w:t>
      </w:r>
      <w:proofErr w:type="spellEnd"/>
      <w:r>
        <w:rPr>
          <w:rFonts w:ascii="Times New Roman" w:hAnsi="Times New Roman" w:cs="Times New Roman"/>
          <w:sz w:val="20"/>
          <w:szCs w:val="20"/>
        </w:rPr>
        <w:t xml:space="preserve">, B.M., </w:t>
      </w:r>
      <w:proofErr w:type="spellStart"/>
      <w:r>
        <w:rPr>
          <w:rFonts w:ascii="Times New Roman" w:hAnsi="Times New Roman" w:cs="Times New Roman"/>
          <w:sz w:val="20"/>
          <w:szCs w:val="20"/>
        </w:rPr>
        <w:t>Amojoh</w:t>
      </w:r>
      <w:proofErr w:type="spellEnd"/>
      <w:r>
        <w:rPr>
          <w:rFonts w:ascii="Times New Roman" w:hAnsi="Times New Roman" w:cs="Times New Roman"/>
          <w:sz w:val="20"/>
          <w:szCs w:val="20"/>
        </w:rPr>
        <w:t xml:space="preserve">, C.N., </w:t>
      </w:r>
      <w:proofErr w:type="spellStart"/>
      <w:r>
        <w:rPr>
          <w:rFonts w:ascii="Times New Roman" w:hAnsi="Times New Roman" w:cs="Times New Roman"/>
          <w:sz w:val="20"/>
          <w:szCs w:val="20"/>
        </w:rPr>
        <w:t>Adewole</w:t>
      </w:r>
      <w:proofErr w:type="spellEnd"/>
      <w:r>
        <w:rPr>
          <w:rFonts w:ascii="Times New Roman" w:hAnsi="Times New Roman" w:cs="Times New Roman"/>
          <w:sz w:val="20"/>
          <w:szCs w:val="20"/>
        </w:rPr>
        <w:t xml:space="preserve">, T.A, and </w:t>
      </w:r>
      <w:proofErr w:type="spellStart"/>
      <w:r>
        <w:rPr>
          <w:rFonts w:ascii="Times New Roman" w:hAnsi="Times New Roman" w:cs="Times New Roman"/>
          <w:sz w:val="20"/>
          <w:szCs w:val="20"/>
        </w:rPr>
        <w:t>Salako</w:t>
      </w:r>
      <w:proofErr w:type="spellEnd"/>
      <w:r>
        <w:rPr>
          <w:rFonts w:ascii="Times New Roman" w:hAnsi="Times New Roman" w:cs="Times New Roman"/>
          <w:sz w:val="20"/>
          <w:szCs w:val="20"/>
        </w:rPr>
        <w:t xml:space="preserve">, L.A. (2006). Seasonal and temporal variation in the population and biting habit of mosquitoes on the Atlantic coast of Lagos, Nigeria. </w:t>
      </w:r>
      <w:r>
        <w:rPr>
          <w:rFonts w:ascii="Times New Roman" w:hAnsi="Times New Roman" w:cs="Times New Roman"/>
          <w:i/>
          <w:sz w:val="20"/>
          <w:szCs w:val="20"/>
        </w:rPr>
        <w:t xml:space="preserve">Medical </w:t>
      </w:r>
      <w:proofErr w:type="spellStart"/>
      <w:r>
        <w:rPr>
          <w:rFonts w:ascii="Times New Roman" w:hAnsi="Times New Roman" w:cs="Times New Roman"/>
          <w:i/>
          <w:sz w:val="20"/>
          <w:szCs w:val="20"/>
        </w:rPr>
        <w:t>Princ</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Vol</w:t>
      </w:r>
      <w:proofErr w:type="spellEnd"/>
      <w:r>
        <w:rPr>
          <w:rFonts w:ascii="Times New Roman" w:hAnsi="Times New Roman" w:cs="Times New Roman"/>
          <w:sz w:val="20"/>
          <w:szCs w:val="20"/>
        </w:rPr>
        <w:t xml:space="preserve"> 15: 200-208.</w:t>
      </w:r>
    </w:p>
    <w:p w:rsidR="00700588" w:rsidRDefault="00021E93" w:rsidP="00AC73C8">
      <w:pPr>
        <w:snapToGrid w:val="0"/>
        <w:spacing w:after="0" w:line="240" w:lineRule="auto"/>
        <w:ind w:left="424" w:hangingChars="212" w:hanging="424"/>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13. Ebenezer, A., </w:t>
      </w:r>
      <w:proofErr w:type="spellStart"/>
      <w:r>
        <w:rPr>
          <w:rFonts w:ascii="Times New Roman" w:hAnsi="Times New Roman" w:cs="Times New Roman"/>
          <w:sz w:val="20"/>
          <w:szCs w:val="20"/>
        </w:rPr>
        <w:t>Aline</w:t>
      </w:r>
      <w:proofErr w:type="spellEnd"/>
      <w:r>
        <w:rPr>
          <w:rFonts w:ascii="Times New Roman" w:hAnsi="Times New Roman" w:cs="Times New Roman"/>
          <w:sz w:val="20"/>
          <w:szCs w:val="20"/>
        </w:rPr>
        <w:t xml:space="preserve">, E.M, and Samuel, N.O. (2016). Relationship of annual entomological inoculation rates of malaria transmission indices, </w:t>
      </w:r>
      <w:proofErr w:type="spellStart"/>
      <w:r>
        <w:rPr>
          <w:rFonts w:ascii="Times New Roman" w:hAnsi="Times New Roman" w:cs="Times New Roman"/>
          <w:sz w:val="20"/>
          <w:szCs w:val="20"/>
        </w:rPr>
        <w:t>Bayelsa</w:t>
      </w:r>
      <w:proofErr w:type="spellEnd"/>
      <w:r>
        <w:rPr>
          <w:rFonts w:ascii="Times New Roman" w:hAnsi="Times New Roman" w:cs="Times New Roman"/>
          <w:sz w:val="20"/>
          <w:szCs w:val="20"/>
        </w:rPr>
        <w:t xml:space="preserve"> State, Nigeria. </w:t>
      </w:r>
      <w:r>
        <w:rPr>
          <w:rFonts w:ascii="Times New Roman" w:hAnsi="Times New Roman" w:cs="Times New Roman"/>
          <w:i/>
          <w:sz w:val="20"/>
          <w:szCs w:val="20"/>
        </w:rPr>
        <w:t>Research Article</w:t>
      </w:r>
      <w:r>
        <w:rPr>
          <w:rFonts w:ascii="Times New Roman" w:hAnsi="Times New Roman" w:cs="Times New Roman"/>
          <w:sz w:val="20"/>
          <w:szCs w:val="20"/>
        </w:rPr>
        <w:t xml:space="preserve">, </w:t>
      </w:r>
      <w:proofErr w:type="spellStart"/>
      <w:r>
        <w:rPr>
          <w:rFonts w:ascii="Times New Roman" w:hAnsi="Times New Roman" w:cs="Times New Roman"/>
          <w:sz w:val="20"/>
          <w:szCs w:val="20"/>
        </w:rPr>
        <w:t>Vol</w:t>
      </w:r>
      <w:proofErr w:type="spellEnd"/>
      <w:r>
        <w:rPr>
          <w:rFonts w:ascii="Times New Roman" w:hAnsi="Times New Roman" w:cs="Times New Roman"/>
          <w:sz w:val="20"/>
          <w:szCs w:val="20"/>
        </w:rPr>
        <w:t xml:space="preserve"> 53; 46-53.</w:t>
      </w:r>
    </w:p>
    <w:p w:rsidR="00700588" w:rsidRDefault="00021E93" w:rsidP="00AC73C8">
      <w:pPr>
        <w:autoSpaceDE w:val="0"/>
        <w:autoSpaceDN w:val="0"/>
        <w:adjustRightInd w:val="0"/>
        <w:snapToGrid w:val="0"/>
        <w:spacing w:after="0" w:line="240" w:lineRule="auto"/>
        <w:ind w:left="424" w:hangingChars="212" w:hanging="424"/>
        <w:jc w:val="both"/>
        <w:rPr>
          <w:rFonts w:ascii="Times New Roman" w:eastAsiaTheme="minorHAnsi" w:hAnsi="Times New Roman" w:cs="Times New Roman"/>
          <w:i/>
          <w:iCs/>
          <w:sz w:val="20"/>
          <w:szCs w:val="20"/>
        </w:rPr>
      </w:pPr>
      <w:r>
        <w:rPr>
          <w:rFonts w:ascii="Times New Roman" w:hAnsi="Times New Roman" w:cs="Times New Roman"/>
          <w:sz w:val="20"/>
          <w:szCs w:val="20"/>
        </w:rPr>
        <w:t xml:space="preserve">14. </w:t>
      </w:r>
      <w:proofErr w:type="spellStart"/>
      <w:r>
        <w:rPr>
          <w:rFonts w:ascii="Times New Roman" w:hAnsi="Times New Roman" w:cs="Times New Roman"/>
          <w:sz w:val="20"/>
          <w:szCs w:val="20"/>
        </w:rPr>
        <w:t>Mboera</w:t>
      </w:r>
      <w:proofErr w:type="spellEnd"/>
      <w:r>
        <w:rPr>
          <w:rFonts w:ascii="Times New Roman" w:hAnsi="Times New Roman" w:cs="Times New Roman"/>
          <w:sz w:val="20"/>
          <w:szCs w:val="20"/>
        </w:rPr>
        <w:t xml:space="preserve">, L., and </w:t>
      </w:r>
      <w:proofErr w:type="spellStart"/>
      <w:r>
        <w:rPr>
          <w:rFonts w:ascii="Times New Roman" w:hAnsi="Times New Roman" w:cs="Times New Roman"/>
          <w:sz w:val="20"/>
          <w:szCs w:val="20"/>
        </w:rPr>
        <w:t>Magesa</w:t>
      </w:r>
      <w:proofErr w:type="spellEnd"/>
      <w:r>
        <w:rPr>
          <w:rFonts w:ascii="Times New Roman" w:hAnsi="Times New Roman" w:cs="Times New Roman"/>
          <w:sz w:val="20"/>
          <w:szCs w:val="20"/>
        </w:rPr>
        <w:t xml:space="preserve">, S. M. (2002) The rise and fall of malarial </w:t>
      </w:r>
      <w:proofErr w:type="spellStart"/>
      <w:r>
        <w:rPr>
          <w:rFonts w:ascii="Times New Roman" w:hAnsi="Times New Roman" w:cs="Times New Roman"/>
          <w:sz w:val="20"/>
          <w:szCs w:val="20"/>
        </w:rPr>
        <w:t>sporozoite</w:t>
      </w:r>
      <w:proofErr w:type="spellEnd"/>
      <w:r>
        <w:rPr>
          <w:rFonts w:ascii="Times New Roman" w:hAnsi="Times New Roman" w:cs="Times New Roman"/>
          <w:sz w:val="20"/>
          <w:szCs w:val="20"/>
        </w:rPr>
        <w:t xml:space="preserve"> rates in </w:t>
      </w:r>
      <w:r>
        <w:rPr>
          <w:rFonts w:ascii="Times New Roman" w:hAnsi="Times New Roman" w:cs="Times New Roman"/>
          <w:i/>
          <w:iCs/>
          <w:sz w:val="20"/>
          <w:szCs w:val="20"/>
        </w:rPr>
        <w:t xml:space="preserve">Anopheles </w:t>
      </w:r>
      <w:proofErr w:type="spellStart"/>
      <w:r>
        <w:rPr>
          <w:rFonts w:ascii="Times New Roman" w:hAnsi="Times New Roman" w:cs="Times New Roman"/>
          <w:i/>
          <w:iCs/>
          <w:sz w:val="20"/>
          <w:szCs w:val="20"/>
        </w:rPr>
        <w:t>gambiae</w:t>
      </w:r>
      <w:proofErr w:type="spellEnd"/>
      <w:r>
        <w:rPr>
          <w:rFonts w:ascii="Times New Roman" w:hAnsi="Times New Roman" w:cs="Times New Roman"/>
          <w:i/>
          <w:iCs/>
          <w:sz w:val="20"/>
          <w:szCs w:val="20"/>
        </w:rPr>
        <w:t xml:space="preserve"> </w:t>
      </w:r>
      <w:proofErr w:type="spellStart"/>
      <w:r>
        <w:rPr>
          <w:rFonts w:ascii="Times New Roman" w:hAnsi="Times New Roman" w:cs="Times New Roman"/>
          <w:sz w:val="20"/>
          <w:szCs w:val="20"/>
        </w:rPr>
        <w:t>s.l</w:t>
      </w:r>
      <w:proofErr w:type="spellEnd"/>
      <w:r>
        <w:rPr>
          <w:rFonts w:ascii="Times New Roman" w:hAnsi="Times New Roman" w:cs="Times New Roman"/>
          <w:sz w:val="20"/>
          <w:szCs w:val="20"/>
        </w:rPr>
        <w:t xml:space="preserve">. and </w:t>
      </w:r>
      <w:r>
        <w:rPr>
          <w:rFonts w:ascii="Times New Roman" w:hAnsi="Times New Roman" w:cs="Times New Roman"/>
          <w:i/>
          <w:iCs/>
          <w:sz w:val="20"/>
          <w:szCs w:val="20"/>
        </w:rPr>
        <w:t xml:space="preserve">Anopheles </w:t>
      </w:r>
      <w:proofErr w:type="spellStart"/>
      <w:r>
        <w:rPr>
          <w:rFonts w:ascii="Times New Roman" w:hAnsi="Times New Roman" w:cs="Times New Roman"/>
          <w:i/>
          <w:iCs/>
          <w:sz w:val="20"/>
          <w:szCs w:val="20"/>
        </w:rPr>
        <w:t>funestus</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in north-eastern Tanzania, between 1934 and 1999. </w:t>
      </w:r>
      <w:r>
        <w:rPr>
          <w:rFonts w:ascii="Times New Roman" w:hAnsi="Times New Roman" w:cs="Times New Roman"/>
          <w:i/>
          <w:iCs/>
          <w:sz w:val="20"/>
          <w:szCs w:val="20"/>
        </w:rPr>
        <w:t xml:space="preserve">Annals of Tropical Medicine &amp; </w:t>
      </w:r>
      <w:proofErr w:type="spellStart"/>
      <w:r>
        <w:rPr>
          <w:rFonts w:ascii="Times New Roman" w:hAnsi="Times New Roman" w:cs="Times New Roman"/>
          <w:i/>
          <w:iCs/>
          <w:sz w:val="20"/>
          <w:szCs w:val="20"/>
        </w:rPr>
        <w:t>Parasitology</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95, 325-330</w:t>
      </w:r>
    </w:p>
    <w:p w:rsidR="00700588" w:rsidRDefault="00021E93" w:rsidP="00AC73C8">
      <w:pPr>
        <w:snapToGrid w:val="0"/>
        <w:spacing w:after="0" w:line="240" w:lineRule="auto"/>
        <w:ind w:left="424" w:hangingChars="212" w:hanging="424"/>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15. Bass, C., </w:t>
      </w:r>
      <w:proofErr w:type="spellStart"/>
      <w:r>
        <w:rPr>
          <w:rFonts w:ascii="Times New Roman" w:hAnsi="Times New Roman" w:cs="Times New Roman"/>
          <w:sz w:val="20"/>
          <w:szCs w:val="20"/>
        </w:rPr>
        <w:t>Nikou</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Blagborough</w:t>
      </w:r>
      <w:proofErr w:type="spellEnd"/>
      <w:r>
        <w:rPr>
          <w:rFonts w:ascii="Times New Roman" w:hAnsi="Times New Roman" w:cs="Times New Roman"/>
          <w:sz w:val="20"/>
          <w:szCs w:val="20"/>
        </w:rPr>
        <w:t xml:space="preserve">, A. M., </w:t>
      </w:r>
      <w:proofErr w:type="spellStart"/>
      <w:r>
        <w:rPr>
          <w:rFonts w:ascii="Times New Roman" w:hAnsi="Times New Roman" w:cs="Times New Roman"/>
          <w:sz w:val="20"/>
          <w:szCs w:val="20"/>
        </w:rPr>
        <w:t>Vontas</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Sinden</w:t>
      </w:r>
      <w:proofErr w:type="spellEnd"/>
      <w:r>
        <w:rPr>
          <w:rFonts w:ascii="Times New Roman" w:hAnsi="Times New Roman" w:cs="Times New Roman"/>
          <w:sz w:val="20"/>
          <w:szCs w:val="20"/>
        </w:rPr>
        <w:t xml:space="preserve">, R. E., Williamson, M.S., and Field, L.M. (2008). PCR based detection of </w:t>
      </w:r>
      <w:r>
        <w:rPr>
          <w:rFonts w:ascii="Times New Roman" w:hAnsi="Times New Roman" w:cs="Times New Roman"/>
          <w:i/>
          <w:iCs/>
          <w:sz w:val="20"/>
          <w:szCs w:val="20"/>
        </w:rPr>
        <w:t xml:space="preserve">Plasmodium </w:t>
      </w:r>
      <w:r>
        <w:rPr>
          <w:rFonts w:ascii="Times New Roman" w:hAnsi="Times New Roman" w:cs="Times New Roman"/>
          <w:sz w:val="20"/>
          <w:szCs w:val="20"/>
        </w:rPr>
        <w:t xml:space="preserve">in </w:t>
      </w:r>
      <w:r>
        <w:rPr>
          <w:rFonts w:ascii="Times New Roman" w:hAnsi="Times New Roman" w:cs="Times New Roman"/>
          <w:i/>
          <w:iCs/>
          <w:sz w:val="20"/>
          <w:szCs w:val="20"/>
        </w:rPr>
        <w:t xml:space="preserve">Anopheles </w:t>
      </w:r>
      <w:r>
        <w:rPr>
          <w:rFonts w:ascii="Times New Roman" w:hAnsi="Times New Roman" w:cs="Times New Roman"/>
          <w:sz w:val="20"/>
          <w:szCs w:val="20"/>
        </w:rPr>
        <w:t>mosquitoes: a comparison of a new high-throughput.</w:t>
      </w:r>
      <w:r>
        <w:rPr>
          <w:rFonts w:ascii="Times New Roman" w:hAnsi="Times New Roman" w:cs="Times New Roman"/>
          <w:i/>
          <w:sz w:val="20"/>
          <w:szCs w:val="20"/>
        </w:rPr>
        <w:t xml:space="preserve"> Journal of communicable diseases</w:t>
      </w:r>
      <w:r>
        <w:rPr>
          <w:rFonts w:ascii="Times New Roman" w:hAnsi="Times New Roman" w:cs="Times New Roman"/>
          <w:sz w:val="20"/>
          <w:szCs w:val="20"/>
        </w:rPr>
        <w:t>; 43:130-142.</w:t>
      </w:r>
    </w:p>
    <w:p w:rsidR="00700588" w:rsidRDefault="00021E93" w:rsidP="00AC73C8">
      <w:pPr>
        <w:snapToGrid w:val="0"/>
        <w:spacing w:after="0" w:line="240" w:lineRule="auto"/>
        <w:ind w:left="424" w:hangingChars="212" w:hanging="424"/>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16. </w:t>
      </w:r>
      <w:proofErr w:type="spellStart"/>
      <w:r>
        <w:rPr>
          <w:rFonts w:ascii="Times New Roman" w:eastAsiaTheme="minorEastAsia" w:hAnsi="Times New Roman" w:cs="Times New Roman"/>
          <w:sz w:val="20"/>
          <w:szCs w:val="20"/>
        </w:rPr>
        <w:t>Amawalu</w:t>
      </w:r>
      <w:proofErr w:type="spellEnd"/>
      <w:r>
        <w:rPr>
          <w:rFonts w:ascii="Times New Roman" w:eastAsiaTheme="minorEastAsia" w:hAnsi="Times New Roman" w:cs="Times New Roman"/>
          <w:sz w:val="20"/>
          <w:szCs w:val="20"/>
        </w:rPr>
        <w:t xml:space="preserve">, E., </w:t>
      </w:r>
      <w:proofErr w:type="spellStart"/>
      <w:r>
        <w:rPr>
          <w:rFonts w:ascii="Times New Roman" w:eastAsiaTheme="minorEastAsia" w:hAnsi="Times New Roman" w:cs="Times New Roman"/>
          <w:sz w:val="20"/>
          <w:szCs w:val="20"/>
        </w:rPr>
        <w:t>Aline</w:t>
      </w:r>
      <w:proofErr w:type="spellEnd"/>
      <w:r>
        <w:rPr>
          <w:rFonts w:ascii="Times New Roman" w:eastAsiaTheme="minorEastAsia" w:hAnsi="Times New Roman" w:cs="Times New Roman"/>
          <w:sz w:val="20"/>
          <w:szCs w:val="20"/>
        </w:rPr>
        <w:t xml:space="preserve">, E., </w:t>
      </w:r>
      <w:proofErr w:type="spellStart"/>
      <w:r>
        <w:rPr>
          <w:rFonts w:ascii="Times New Roman" w:eastAsiaTheme="minorEastAsia" w:hAnsi="Times New Roman" w:cs="Times New Roman"/>
          <w:sz w:val="20"/>
          <w:szCs w:val="20"/>
        </w:rPr>
        <w:t>Noutcha</w:t>
      </w:r>
      <w:proofErr w:type="spellEnd"/>
      <w:r>
        <w:rPr>
          <w:rFonts w:ascii="Times New Roman" w:eastAsiaTheme="minorEastAsia" w:hAnsi="Times New Roman" w:cs="Times New Roman"/>
          <w:sz w:val="20"/>
          <w:szCs w:val="20"/>
        </w:rPr>
        <w:t xml:space="preserve"> M., and Samuel, N.O. (2016). Relationships of annual </w:t>
      </w:r>
      <w:proofErr w:type="spellStart"/>
      <w:r>
        <w:rPr>
          <w:rFonts w:ascii="Times New Roman" w:eastAsiaTheme="minorEastAsia" w:hAnsi="Times New Roman" w:cs="Times New Roman"/>
          <w:sz w:val="20"/>
          <w:szCs w:val="20"/>
        </w:rPr>
        <w:t>Entomolgical</w:t>
      </w:r>
      <w:proofErr w:type="spellEnd"/>
      <w:r>
        <w:rPr>
          <w:rFonts w:ascii="Times New Roman" w:eastAsiaTheme="minorEastAsia" w:hAnsi="Times New Roman" w:cs="Times New Roman"/>
          <w:sz w:val="20"/>
          <w:szCs w:val="20"/>
        </w:rPr>
        <w:t xml:space="preserve"> inoculation rate in malaria Transmission Indices, </w:t>
      </w:r>
      <w:proofErr w:type="spellStart"/>
      <w:r>
        <w:rPr>
          <w:rFonts w:ascii="Times New Roman" w:eastAsiaTheme="minorEastAsia" w:hAnsi="Times New Roman" w:cs="Times New Roman"/>
          <w:sz w:val="20"/>
          <w:szCs w:val="20"/>
        </w:rPr>
        <w:t>Balyelsa</w:t>
      </w:r>
      <w:proofErr w:type="spellEnd"/>
      <w:r>
        <w:rPr>
          <w:rFonts w:ascii="Times New Roman" w:eastAsiaTheme="minorEastAsia" w:hAnsi="Times New Roman" w:cs="Times New Roman"/>
          <w:sz w:val="20"/>
          <w:szCs w:val="20"/>
        </w:rPr>
        <w:t xml:space="preserve"> State, Nigeria. </w:t>
      </w:r>
      <w:r>
        <w:rPr>
          <w:rFonts w:ascii="Times New Roman" w:eastAsiaTheme="minorEastAsia" w:hAnsi="Times New Roman" w:cs="Times New Roman"/>
          <w:i/>
          <w:sz w:val="20"/>
          <w:szCs w:val="20"/>
        </w:rPr>
        <w:t>Journal of vector Borne Diseases</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Mar,</w:t>
      </w:r>
      <w:r>
        <w:rPr>
          <w:rFonts w:ascii="Times New Roman" w:eastAsiaTheme="minorEastAsia" w:hAnsi="Times New Roman" w:cs="Times New Roman"/>
          <w:iCs/>
          <w:sz w:val="20"/>
          <w:szCs w:val="20"/>
        </w:rPr>
        <w:t>53(1):46-53</w:t>
      </w:r>
      <w:r>
        <w:rPr>
          <w:rFonts w:ascii="Times New Roman" w:eastAsiaTheme="minorEastAsia" w:hAnsi="Times New Roman" w:cs="Times New Roman"/>
          <w:sz w:val="20"/>
          <w:szCs w:val="20"/>
        </w:rPr>
        <w:t>.</w:t>
      </w:r>
    </w:p>
    <w:p w:rsidR="00700588" w:rsidRDefault="00021E93" w:rsidP="00AC73C8">
      <w:pPr>
        <w:snapToGrid w:val="0"/>
        <w:spacing w:after="0" w:line="240" w:lineRule="auto"/>
        <w:ind w:left="424" w:hangingChars="212" w:hanging="424"/>
        <w:jc w:val="both"/>
        <w:rPr>
          <w:rFonts w:ascii="Times New Roman" w:eastAsiaTheme="minorEastAsia" w:hAnsi="Times New Roman" w:cs="Times New Roman"/>
          <w:i/>
          <w:color w:val="auto"/>
          <w:sz w:val="20"/>
          <w:szCs w:val="20"/>
        </w:rPr>
      </w:pPr>
      <w:r>
        <w:rPr>
          <w:rFonts w:ascii="Times New Roman" w:eastAsiaTheme="minorEastAsia" w:hAnsi="Times New Roman" w:cs="Times New Roman"/>
          <w:sz w:val="20"/>
          <w:szCs w:val="20"/>
        </w:rPr>
        <w:t xml:space="preserve">17. </w:t>
      </w:r>
      <w:proofErr w:type="spellStart"/>
      <w:r>
        <w:rPr>
          <w:rFonts w:ascii="Times New Roman" w:eastAsiaTheme="minorEastAsia" w:hAnsi="Times New Roman" w:cs="Times New Roman"/>
          <w:sz w:val="20"/>
          <w:szCs w:val="20"/>
        </w:rPr>
        <w:t>Okwu</w:t>
      </w:r>
      <w:proofErr w:type="spellEnd"/>
      <w:r>
        <w:rPr>
          <w:rFonts w:ascii="Times New Roman" w:eastAsiaTheme="minorEastAsia" w:hAnsi="Times New Roman" w:cs="Times New Roman"/>
          <w:sz w:val="20"/>
          <w:szCs w:val="20"/>
        </w:rPr>
        <w:t xml:space="preserve">, O.O, </w:t>
      </w:r>
      <w:proofErr w:type="spellStart"/>
      <w:r>
        <w:rPr>
          <w:rFonts w:ascii="Times New Roman" w:eastAsiaTheme="minorEastAsia" w:hAnsi="Times New Roman" w:cs="Times New Roman"/>
          <w:sz w:val="20"/>
          <w:szCs w:val="20"/>
        </w:rPr>
        <w:t>Akinmolayan</w:t>
      </w:r>
      <w:proofErr w:type="spellEnd"/>
      <w:r>
        <w:rPr>
          <w:rFonts w:ascii="Times New Roman" w:eastAsiaTheme="minorEastAsia" w:hAnsi="Times New Roman" w:cs="Times New Roman"/>
          <w:sz w:val="20"/>
          <w:szCs w:val="20"/>
        </w:rPr>
        <w:t xml:space="preserve">, F. I, Carter, V., and </w:t>
      </w:r>
      <w:proofErr w:type="spellStart"/>
      <w:r>
        <w:rPr>
          <w:rFonts w:ascii="Times New Roman" w:eastAsiaTheme="minorEastAsia" w:hAnsi="Times New Roman" w:cs="Times New Roman"/>
          <w:sz w:val="20"/>
          <w:szCs w:val="20"/>
        </w:rPr>
        <w:t>Hurd</w:t>
      </w:r>
      <w:proofErr w:type="spellEnd"/>
      <w:r>
        <w:rPr>
          <w:rFonts w:ascii="Times New Roman" w:eastAsiaTheme="minorEastAsia" w:hAnsi="Times New Roman" w:cs="Times New Roman"/>
          <w:sz w:val="20"/>
          <w:szCs w:val="20"/>
        </w:rPr>
        <w:t xml:space="preserve">, H. (2009). Transmission Dynamics of malaria in Four Selected Ecological Zones of Nigeria in The Rainy Season. </w:t>
      </w:r>
      <w:r>
        <w:rPr>
          <w:rFonts w:ascii="Times New Roman" w:eastAsiaTheme="minorEastAsia" w:hAnsi="Times New Roman" w:cs="Times New Roman"/>
          <w:i/>
          <w:sz w:val="20"/>
          <w:szCs w:val="20"/>
        </w:rPr>
        <w:t xml:space="preserve">Annals of African medicine </w:t>
      </w:r>
      <w:r>
        <w:rPr>
          <w:rFonts w:ascii="Times New Roman" w:eastAsiaTheme="minorEastAsia" w:hAnsi="Times New Roman" w:cs="Times New Roman"/>
          <w:iCs/>
          <w:sz w:val="20"/>
          <w:szCs w:val="20"/>
        </w:rPr>
        <w:t>8;19</w:t>
      </w:r>
    </w:p>
    <w:p w:rsidR="00700588" w:rsidRDefault="00021E93" w:rsidP="00AC73C8">
      <w:pPr>
        <w:snapToGrid w:val="0"/>
        <w:spacing w:after="0" w:line="240" w:lineRule="auto"/>
        <w:ind w:left="424" w:hangingChars="212" w:hanging="424"/>
        <w:jc w:val="both"/>
        <w:rPr>
          <w:rFonts w:ascii="Times New Roman" w:eastAsiaTheme="minorEastAsia" w:hAnsi="Times New Roman" w:cs="Times New Roman"/>
          <w:color w:val="auto"/>
          <w:sz w:val="20"/>
          <w:szCs w:val="20"/>
        </w:rPr>
      </w:pPr>
      <w:r>
        <w:rPr>
          <w:rFonts w:ascii="Times New Roman" w:eastAsiaTheme="minorEastAsia" w:hAnsi="Times New Roman" w:cs="Times New Roman"/>
          <w:sz w:val="20"/>
          <w:szCs w:val="20"/>
        </w:rPr>
        <w:t xml:space="preserve">18. </w:t>
      </w:r>
      <w:proofErr w:type="spellStart"/>
      <w:r>
        <w:rPr>
          <w:rFonts w:ascii="Times New Roman" w:eastAsiaTheme="minorEastAsia" w:hAnsi="Times New Roman" w:cs="Times New Roman"/>
          <w:sz w:val="20"/>
          <w:szCs w:val="20"/>
        </w:rPr>
        <w:t>Ezeigwe</w:t>
      </w:r>
      <w:proofErr w:type="spellEnd"/>
      <w:r>
        <w:rPr>
          <w:rFonts w:ascii="Times New Roman" w:eastAsiaTheme="minorEastAsia" w:hAnsi="Times New Roman" w:cs="Times New Roman"/>
          <w:sz w:val="20"/>
          <w:szCs w:val="20"/>
        </w:rPr>
        <w:t xml:space="preserve">, N., </w:t>
      </w:r>
      <w:proofErr w:type="spellStart"/>
      <w:r>
        <w:rPr>
          <w:rFonts w:ascii="Times New Roman" w:eastAsiaTheme="minorEastAsia" w:hAnsi="Times New Roman" w:cs="Times New Roman"/>
          <w:sz w:val="20"/>
          <w:szCs w:val="20"/>
        </w:rPr>
        <w:t>Inyama</w:t>
      </w:r>
      <w:proofErr w:type="spellEnd"/>
      <w:r>
        <w:rPr>
          <w:rFonts w:ascii="Times New Roman" w:eastAsiaTheme="minorEastAsia" w:hAnsi="Times New Roman" w:cs="Times New Roman"/>
          <w:sz w:val="20"/>
          <w:szCs w:val="20"/>
        </w:rPr>
        <w:t xml:space="preserve">, P.U., </w:t>
      </w:r>
      <w:proofErr w:type="spellStart"/>
      <w:r>
        <w:rPr>
          <w:rFonts w:ascii="Times New Roman" w:eastAsiaTheme="minorEastAsia" w:hAnsi="Times New Roman" w:cs="Times New Roman"/>
          <w:sz w:val="20"/>
          <w:szCs w:val="20"/>
        </w:rPr>
        <w:t>Samdi</w:t>
      </w:r>
      <w:proofErr w:type="spellEnd"/>
      <w:r>
        <w:rPr>
          <w:rFonts w:ascii="Times New Roman" w:eastAsiaTheme="minorEastAsia" w:hAnsi="Times New Roman" w:cs="Times New Roman"/>
          <w:sz w:val="20"/>
          <w:szCs w:val="20"/>
        </w:rPr>
        <w:t xml:space="preserve">, L.M., </w:t>
      </w:r>
      <w:proofErr w:type="spellStart"/>
      <w:r>
        <w:rPr>
          <w:rFonts w:ascii="Times New Roman" w:eastAsiaTheme="minorEastAsia" w:hAnsi="Times New Roman" w:cs="Times New Roman"/>
          <w:sz w:val="20"/>
          <w:szCs w:val="20"/>
        </w:rPr>
        <w:t>Akila</w:t>
      </w:r>
      <w:proofErr w:type="spellEnd"/>
      <w:r>
        <w:rPr>
          <w:rFonts w:ascii="Times New Roman" w:eastAsiaTheme="minorEastAsia" w:hAnsi="Times New Roman" w:cs="Times New Roman"/>
          <w:sz w:val="20"/>
          <w:szCs w:val="20"/>
        </w:rPr>
        <w:t xml:space="preserve">, J.D., </w:t>
      </w:r>
      <w:proofErr w:type="spellStart"/>
      <w:r>
        <w:rPr>
          <w:rFonts w:ascii="Times New Roman" w:eastAsiaTheme="minorEastAsia" w:hAnsi="Times New Roman" w:cs="Times New Roman"/>
          <w:sz w:val="20"/>
          <w:szCs w:val="20"/>
        </w:rPr>
        <w:t>Awolola</w:t>
      </w:r>
      <w:proofErr w:type="spellEnd"/>
      <w:r>
        <w:rPr>
          <w:rFonts w:ascii="Times New Roman" w:eastAsiaTheme="minorEastAsia" w:hAnsi="Times New Roman" w:cs="Times New Roman"/>
          <w:sz w:val="20"/>
          <w:szCs w:val="20"/>
        </w:rPr>
        <w:t xml:space="preserve">, T.S., </w:t>
      </w:r>
      <w:proofErr w:type="spellStart"/>
      <w:r>
        <w:rPr>
          <w:rFonts w:ascii="Times New Roman" w:eastAsiaTheme="minorEastAsia" w:hAnsi="Times New Roman" w:cs="Times New Roman"/>
          <w:sz w:val="20"/>
          <w:szCs w:val="20"/>
        </w:rPr>
        <w:t>Mwansat</w:t>
      </w:r>
      <w:proofErr w:type="spellEnd"/>
      <w:r>
        <w:rPr>
          <w:rFonts w:ascii="Times New Roman" w:eastAsiaTheme="minorEastAsia" w:hAnsi="Times New Roman" w:cs="Times New Roman"/>
          <w:sz w:val="20"/>
          <w:szCs w:val="20"/>
        </w:rPr>
        <w:t xml:space="preserve">, G.S., </w:t>
      </w:r>
      <w:proofErr w:type="spellStart"/>
      <w:r>
        <w:rPr>
          <w:rFonts w:ascii="Times New Roman" w:eastAsiaTheme="minorEastAsia" w:hAnsi="Times New Roman" w:cs="Times New Roman"/>
          <w:sz w:val="20"/>
          <w:szCs w:val="20"/>
        </w:rPr>
        <w:t>Anyan</w:t>
      </w:r>
      <w:proofErr w:type="spellEnd"/>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W.g</w:t>
      </w:r>
      <w:proofErr w:type="spellEnd"/>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Kolyade</w:t>
      </w:r>
      <w:proofErr w:type="spellEnd"/>
      <w:r>
        <w:rPr>
          <w:rFonts w:ascii="Times New Roman" w:eastAsiaTheme="minorEastAsia" w:hAnsi="Times New Roman" w:cs="Times New Roman"/>
          <w:sz w:val="20"/>
          <w:szCs w:val="20"/>
        </w:rPr>
        <w:t xml:space="preserve">, L., </w:t>
      </w:r>
      <w:proofErr w:type="spellStart"/>
      <w:r>
        <w:rPr>
          <w:rFonts w:ascii="Times New Roman" w:eastAsiaTheme="minorEastAsia" w:hAnsi="Times New Roman" w:cs="Times New Roman"/>
          <w:sz w:val="20"/>
          <w:szCs w:val="20"/>
        </w:rPr>
        <w:t>Fornadal</w:t>
      </w:r>
      <w:proofErr w:type="spellEnd"/>
      <w:r>
        <w:rPr>
          <w:rFonts w:ascii="Times New Roman" w:eastAsiaTheme="minorEastAsia" w:hAnsi="Times New Roman" w:cs="Times New Roman"/>
          <w:sz w:val="20"/>
          <w:szCs w:val="20"/>
        </w:rPr>
        <w:t xml:space="preserve">, C., (2015). Anopheles species Diversity, </w:t>
      </w:r>
      <w:proofErr w:type="spellStart"/>
      <w:r>
        <w:rPr>
          <w:rFonts w:ascii="Times New Roman" w:eastAsiaTheme="minorEastAsia" w:hAnsi="Times New Roman" w:cs="Times New Roman"/>
          <w:sz w:val="20"/>
          <w:szCs w:val="20"/>
        </w:rPr>
        <w:t>Behaviour</w:t>
      </w:r>
      <w:proofErr w:type="spellEnd"/>
      <w:r>
        <w:rPr>
          <w:rFonts w:ascii="Times New Roman" w:eastAsiaTheme="minorEastAsia" w:hAnsi="Times New Roman" w:cs="Times New Roman"/>
          <w:sz w:val="20"/>
          <w:szCs w:val="20"/>
        </w:rPr>
        <w:t xml:space="preserve">, and </w:t>
      </w:r>
      <w:proofErr w:type="spellStart"/>
      <w:r>
        <w:rPr>
          <w:rFonts w:ascii="Times New Roman" w:eastAsiaTheme="minorEastAsia" w:hAnsi="Times New Roman" w:cs="Times New Roman"/>
          <w:sz w:val="20"/>
          <w:szCs w:val="20"/>
        </w:rPr>
        <w:t>Sporozoite</w:t>
      </w:r>
      <w:proofErr w:type="spellEnd"/>
      <w:r>
        <w:rPr>
          <w:rFonts w:ascii="Times New Roman" w:eastAsiaTheme="minorEastAsia" w:hAnsi="Times New Roman" w:cs="Times New Roman"/>
          <w:sz w:val="20"/>
          <w:szCs w:val="20"/>
        </w:rPr>
        <w:t xml:space="preserve"> Rate in Six State of Nigeria </w:t>
      </w:r>
      <w:r>
        <w:rPr>
          <w:rFonts w:ascii="Times New Roman" w:eastAsiaTheme="minorEastAsia" w:hAnsi="Times New Roman" w:cs="Times New Roman"/>
          <w:i/>
          <w:sz w:val="20"/>
          <w:szCs w:val="20"/>
        </w:rPr>
        <w:t>President Malaria Initiative.</w:t>
      </w:r>
    </w:p>
    <w:p w:rsidR="00700588" w:rsidRDefault="00021E93" w:rsidP="00AC73C8">
      <w:pPr>
        <w:snapToGrid w:val="0"/>
        <w:spacing w:after="0" w:line="240" w:lineRule="auto"/>
        <w:ind w:left="424" w:hangingChars="212" w:hanging="424"/>
        <w:jc w:val="both"/>
        <w:rPr>
          <w:rFonts w:ascii="Times New Roman" w:eastAsiaTheme="minorEastAsia" w:hAnsi="Times New Roman" w:cs="Times New Roman"/>
          <w:color w:val="auto"/>
          <w:sz w:val="20"/>
          <w:szCs w:val="20"/>
        </w:rPr>
      </w:pPr>
      <w:r>
        <w:rPr>
          <w:rFonts w:ascii="Times New Roman" w:eastAsiaTheme="minorEastAsia" w:hAnsi="Times New Roman" w:cs="Times New Roman"/>
          <w:sz w:val="20"/>
          <w:szCs w:val="20"/>
        </w:rPr>
        <w:t xml:space="preserve">19. Celina, O., </w:t>
      </w:r>
      <w:proofErr w:type="spellStart"/>
      <w:r>
        <w:rPr>
          <w:rFonts w:ascii="Times New Roman" w:eastAsiaTheme="minorEastAsia" w:hAnsi="Times New Roman" w:cs="Times New Roman"/>
          <w:sz w:val="20"/>
          <w:szCs w:val="20"/>
        </w:rPr>
        <w:t>Aju</w:t>
      </w:r>
      <w:proofErr w:type="spellEnd"/>
      <w:r>
        <w:rPr>
          <w:rFonts w:ascii="Times New Roman" w:eastAsiaTheme="minorEastAsia" w:hAnsi="Times New Roman" w:cs="Times New Roman"/>
          <w:sz w:val="20"/>
          <w:szCs w:val="20"/>
        </w:rPr>
        <w:t xml:space="preserve">, A., Samson, T.A., </w:t>
      </w:r>
      <w:proofErr w:type="spellStart"/>
      <w:r>
        <w:rPr>
          <w:rFonts w:ascii="Times New Roman" w:eastAsiaTheme="minorEastAsia" w:hAnsi="Times New Roman" w:cs="Times New Roman"/>
          <w:sz w:val="20"/>
          <w:szCs w:val="20"/>
        </w:rPr>
        <w:t>Mwansat</w:t>
      </w:r>
      <w:proofErr w:type="spellEnd"/>
      <w:r>
        <w:rPr>
          <w:rFonts w:ascii="Times New Roman" w:eastAsiaTheme="minorEastAsia" w:hAnsi="Times New Roman" w:cs="Times New Roman"/>
          <w:sz w:val="20"/>
          <w:szCs w:val="20"/>
        </w:rPr>
        <w:t xml:space="preserve">, G.S. and Hayward, B.M., (2016). Malaria transmission Indices of Two Dominant </w:t>
      </w:r>
      <w:r>
        <w:rPr>
          <w:rFonts w:ascii="Times New Roman" w:eastAsiaTheme="minorEastAsia" w:hAnsi="Times New Roman" w:cs="Times New Roman"/>
          <w:i/>
          <w:iCs/>
          <w:sz w:val="20"/>
          <w:szCs w:val="20"/>
        </w:rPr>
        <w:t>Anopheles</w:t>
      </w:r>
      <w:r>
        <w:rPr>
          <w:rFonts w:ascii="Times New Roman" w:eastAsiaTheme="minorEastAsia" w:hAnsi="Times New Roman" w:cs="Times New Roman"/>
          <w:sz w:val="20"/>
          <w:szCs w:val="20"/>
        </w:rPr>
        <w:t xml:space="preserve"> Species in Selected Rural and Urban Communities in Benue </w:t>
      </w:r>
      <w:r>
        <w:rPr>
          <w:rFonts w:ascii="Times New Roman" w:eastAsiaTheme="minorEastAsia" w:hAnsi="Times New Roman" w:cs="Times New Roman"/>
          <w:sz w:val="20"/>
          <w:szCs w:val="20"/>
        </w:rPr>
        <w:lastRenderedPageBreak/>
        <w:t xml:space="preserve">State, North Central Nigeria. </w:t>
      </w:r>
      <w:r>
        <w:rPr>
          <w:rFonts w:ascii="Times New Roman" w:eastAsiaTheme="minorEastAsia" w:hAnsi="Times New Roman" w:cs="Times New Roman"/>
          <w:i/>
          <w:sz w:val="20"/>
          <w:szCs w:val="20"/>
        </w:rPr>
        <w:t>International journal of medical research;</w:t>
      </w:r>
      <w:r>
        <w:rPr>
          <w:rFonts w:ascii="Times New Roman" w:eastAsiaTheme="minorEastAsia" w:hAnsi="Times New Roman" w:cs="Times New Roman"/>
          <w:iCs/>
          <w:sz w:val="20"/>
          <w:szCs w:val="20"/>
        </w:rPr>
        <w:t>3(5):31-35</w:t>
      </w:r>
    </w:p>
    <w:p w:rsidR="00700588" w:rsidRDefault="00021E93" w:rsidP="00AC73C8">
      <w:pPr>
        <w:snapToGrid w:val="0"/>
        <w:spacing w:after="0" w:line="240" w:lineRule="auto"/>
        <w:ind w:left="424" w:hangingChars="212" w:hanging="424"/>
        <w:jc w:val="both"/>
        <w:rPr>
          <w:rFonts w:ascii="Times New Roman" w:eastAsiaTheme="minorEastAsia" w:hAnsi="Times New Roman" w:cs="Times New Roman"/>
          <w:iCs/>
          <w:sz w:val="20"/>
          <w:szCs w:val="20"/>
        </w:rPr>
      </w:pPr>
      <w:r>
        <w:rPr>
          <w:rFonts w:ascii="Times New Roman" w:eastAsiaTheme="minorEastAsia" w:hAnsi="Times New Roman" w:cs="Times New Roman"/>
          <w:sz w:val="20"/>
          <w:szCs w:val="20"/>
        </w:rPr>
        <w:t xml:space="preserve">20. </w:t>
      </w:r>
      <w:proofErr w:type="spellStart"/>
      <w:r>
        <w:rPr>
          <w:rFonts w:ascii="Times New Roman" w:eastAsiaTheme="minorEastAsia" w:hAnsi="Times New Roman" w:cs="Times New Roman"/>
          <w:sz w:val="20"/>
          <w:szCs w:val="20"/>
        </w:rPr>
        <w:t>Manyi</w:t>
      </w:r>
      <w:proofErr w:type="spellEnd"/>
      <w:r>
        <w:rPr>
          <w:rFonts w:ascii="Times New Roman" w:eastAsiaTheme="minorEastAsia" w:hAnsi="Times New Roman" w:cs="Times New Roman"/>
          <w:sz w:val="20"/>
          <w:szCs w:val="20"/>
        </w:rPr>
        <w:t xml:space="preserve">, M., </w:t>
      </w:r>
      <w:proofErr w:type="spellStart"/>
      <w:r>
        <w:rPr>
          <w:rFonts w:ascii="Times New Roman" w:eastAsiaTheme="minorEastAsia" w:hAnsi="Times New Roman" w:cs="Times New Roman"/>
          <w:sz w:val="20"/>
          <w:szCs w:val="20"/>
        </w:rPr>
        <w:t>Vajime</w:t>
      </w:r>
      <w:proofErr w:type="spellEnd"/>
      <w:r>
        <w:rPr>
          <w:rFonts w:ascii="Times New Roman" w:eastAsiaTheme="minorEastAsia" w:hAnsi="Times New Roman" w:cs="Times New Roman"/>
          <w:sz w:val="20"/>
          <w:szCs w:val="20"/>
        </w:rPr>
        <w:t xml:space="preserve">, C.M., </w:t>
      </w:r>
      <w:proofErr w:type="spellStart"/>
      <w:r>
        <w:rPr>
          <w:rFonts w:ascii="Times New Roman" w:eastAsiaTheme="minorEastAsia" w:hAnsi="Times New Roman" w:cs="Times New Roman"/>
          <w:sz w:val="20"/>
          <w:szCs w:val="20"/>
        </w:rPr>
        <w:t>Imandeh</w:t>
      </w:r>
      <w:proofErr w:type="spellEnd"/>
      <w:r>
        <w:rPr>
          <w:rFonts w:ascii="Times New Roman" w:eastAsiaTheme="minorEastAsia" w:hAnsi="Times New Roman" w:cs="Times New Roman"/>
          <w:sz w:val="20"/>
          <w:szCs w:val="20"/>
        </w:rPr>
        <w:t xml:space="preserve">, G. (2016) </w:t>
      </w:r>
      <w:proofErr w:type="spellStart"/>
      <w:r>
        <w:rPr>
          <w:rFonts w:ascii="Times New Roman" w:eastAsiaTheme="minorEastAsia" w:hAnsi="Times New Roman" w:cs="Times New Roman"/>
          <w:sz w:val="20"/>
          <w:szCs w:val="20"/>
        </w:rPr>
        <w:t>Sporozoite</w:t>
      </w:r>
      <w:proofErr w:type="spellEnd"/>
      <w:r>
        <w:rPr>
          <w:rFonts w:ascii="Times New Roman" w:eastAsiaTheme="minorEastAsia" w:hAnsi="Times New Roman" w:cs="Times New Roman"/>
          <w:sz w:val="20"/>
          <w:szCs w:val="20"/>
        </w:rPr>
        <w:t xml:space="preserve"> Infection Rate of Female Anopheles Mosquitoes in </w:t>
      </w:r>
      <w:proofErr w:type="spellStart"/>
      <w:r>
        <w:rPr>
          <w:rFonts w:ascii="Times New Roman" w:eastAsiaTheme="minorEastAsia" w:hAnsi="Times New Roman" w:cs="Times New Roman"/>
          <w:sz w:val="20"/>
          <w:szCs w:val="20"/>
        </w:rPr>
        <w:t>Makurdi</w:t>
      </w:r>
      <w:proofErr w:type="spellEnd"/>
      <w:r>
        <w:rPr>
          <w:rFonts w:ascii="Times New Roman" w:eastAsiaTheme="minorEastAsia" w:hAnsi="Times New Roman" w:cs="Times New Roman"/>
          <w:sz w:val="20"/>
          <w:szCs w:val="20"/>
        </w:rPr>
        <w:t xml:space="preserve"> an </w:t>
      </w:r>
      <w:proofErr w:type="spellStart"/>
      <w:r>
        <w:rPr>
          <w:rFonts w:ascii="Times New Roman" w:eastAsiaTheme="minorEastAsia" w:hAnsi="Times New Roman" w:cs="Times New Roman"/>
          <w:sz w:val="20"/>
          <w:szCs w:val="20"/>
        </w:rPr>
        <w:t>Endimic</w:t>
      </w:r>
      <w:proofErr w:type="spellEnd"/>
      <w:r>
        <w:rPr>
          <w:rFonts w:ascii="Times New Roman" w:eastAsiaTheme="minorEastAsia" w:hAnsi="Times New Roman" w:cs="Times New Roman"/>
          <w:sz w:val="20"/>
          <w:szCs w:val="20"/>
        </w:rPr>
        <w:t xml:space="preserve"> Area for malaria in Central Nigeria,</w:t>
      </w:r>
      <w:r>
        <w:rPr>
          <w:rFonts w:ascii="Times New Roman" w:eastAsiaTheme="minorEastAsia" w:hAnsi="Times New Roman" w:cs="Times New Roman"/>
          <w:i/>
          <w:sz w:val="20"/>
          <w:szCs w:val="20"/>
        </w:rPr>
        <w:t xml:space="preserve"> Journal of  vector Borne Disease</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March,</w:t>
      </w:r>
      <w:r>
        <w:rPr>
          <w:rFonts w:ascii="Times New Roman" w:eastAsiaTheme="minorEastAsia" w:hAnsi="Times New Roman" w:cs="Times New Roman"/>
          <w:iCs/>
          <w:sz w:val="20"/>
          <w:szCs w:val="20"/>
        </w:rPr>
        <w:t>53(1):46-53.</w:t>
      </w:r>
    </w:p>
    <w:p w:rsidR="00700588" w:rsidRDefault="00021E93" w:rsidP="00AC73C8">
      <w:pPr>
        <w:snapToGrid w:val="0"/>
        <w:spacing w:after="0" w:line="240" w:lineRule="auto"/>
        <w:ind w:left="424" w:hangingChars="212" w:hanging="424"/>
        <w:jc w:val="both"/>
        <w:rPr>
          <w:rFonts w:ascii="Times New Roman" w:hAnsi="Times New Roman" w:cs="Times New Roman"/>
          <w:sz w:val="20"/>
          <w:szCs w:val="20"/>
        </w:rPr>
      </w:pPr>
      <w:r>
        <w:rPr>
          <w:rFonts w:ascii="Times New Roman" w:hAnsi="Times New Roman" w:cs="Times New Roman"/>
          <w:sz w:val="20"/>
          <w:szCs w:val="20"/>
        </w:rPr>
        <w:t xml:space="preserve">21. </w:t>
      </w:r>
      <w:proofErr w:type="spellStart"/>
      <w:r>
        <w:rPr>
          <w:rFonts w:ascii="Times New Roman" w:hAnsi="Times New Roman" w:cs="Times New Roman"/>
          <w:sz w:val="20"/>
          <w:szCs w:val="20"/>
        </w:rPr>
        <w:t>Shaukat</w:t>
      </w:r>
      <w:proofErr w:type="spellEnd"/>
      <w:r>
        <w:rPr>
          <w:rFonts w:ascii="Times New Roman" w:hAnsi="Times New Roman" w:cs="Times New Roman"/>
          <w:sz w:val="20"/>
          <w:szCs w:val="20"/>
        </w:rPr>
        <w:t xml:space="preserve"> M.A., Joel G.B., and Ellis F. (2010) Using the entomological inoculation rate to access the impact of vector control on malaria parasite transmission and elimination malaria journal 9-122</w:t>
      </w:r>
    </w:p>
    <w:p w:rsidR="00700588" w:rsidRDefault="00021E93" w:rsidP="00AC73C8">
      <w:pPr>
        <w:snapToGrid w:val="0"/>
        <w:spacing w:after="0" w:line="240" w:lineRule="auto"/>
        <w:ind w:left="424" w:hangingChars="212" w:hanging="424"/>
        <w:jc w:val="both"/>
        <w:rPr>
          <w:rFonts w:ascii="Times New Roman" w:hAnsi="Times New Roman" w:cs="Times New Roman"/>
          <w:sz w:val="20"/>
          <w:szCs w:val="20"/>
        </w:rPr>
      </w:pPr>
      <w:r>
        <w:rPr>
          <w:rFonts w:ascii="Times New Roman" w:hAnsi="Times New Roman" w:cs="Times New Roman"/>
          <w:sz w:val="20"/>
          <w:szCs w:val="20"/>
        </w:rPr>
        <w:t xml:space="preserve">22. </w:t>
      </w:r>
      <w:proofErr w:type="spellStart"/>
      <w:r>
        <w:rPr>
          <w:rFonts w:ascii="Times New Roman" w:hAnsi="Times New Roman" w:cs="Times New Roman"/>
          <w:sz w:val="20"/>
          <w:szCs w:val="20"/>
        </w:rPr>
        <w:t>Beier</w:t>
      </w:r>
      <w:proofErr w:type="spellEnd"/>
      <w:r>
        <w:rPr>
          <w:rFonts w:ascii="Times New Roman" w:hAnsi="Times New Roman" w:cs="Times New Roman"/>
          <w:sz w:val="20"/>
          <w:szCs w:val="20"/>
        </w:rPr>
        <w:t xml:space="preserve"> J.C., Killeen G.F and </w:t>
      </w:r>
      <w:proofErr w:type="spellStart"/>
      <w:r>
        <w:rPr>
          <w:rFonts w:ascii="Times New Roman" w:hAnsi="Times New Roman" w:cs="Times New Roman"/>
          <w:sz w:val="20"/>
          <w:szCs w:val="20"/>
        </w:rPr>
        <w:t>Githure</w:t>
      </w:r>
      <w:proofErr w:type="spellEnd"/>
      <w:r>
        <w:rPr>
          <w:rFonts w:ascii="Times New Roman" w:hAnsi="Times New Roman" w:cs="Times New Roman"/>
          <w:sz w:val="20"/>
          <w:szCs w:val="20"/>
        </w:rPr>
        <w:t xml:space="preserve"> J.I. (1999) Entomological inoculation rate and    plasmodium </w:t>
      </w:r>
      <w:proofErr w:type="spellStart"/>
      <w:r>
        <w:rPr>
          <w:rFonts w:ascii="Times New Roman" w:hAnsi="Times New Roman" w:cs="Times New Roman"/>
          <w:sz w:val="20"/>
          <w:szCs w:val="20"/>
        </w:rPr>
        <w:t>falciparum</w:t>
      </w:r>
      <w:proofErr w:type="spellEnd"/>
      <w:r>
        <w:rPr>
          <w:rFonts w:ascii="Times New Roman" w:hAnsi="Times New Roman" w:cs="Times New Roman"/>
          <w:sz w:val="20"/>
          <w:szCs w:val="20"/>
        </w:rPr>
        <w:t xml:space="preserve"> in malaria prevalence in Africa. America journal of tropical medical hygiene 61(109-113).</w:t>
      </w:r>
    </w:p>
    <w:p w:rsidR="00700588" w:rsidRDefault="00021E93" w:rsidP="00AC73C8">
      <w:pPr>
        <w:snapToGrid w:val="0"/>
        <w:spacing w:after="0" w:line="240" w:lineRule="auto"/>
        <w:ind w:left="424" w:hangingChars="212" w:hanging="424"/>
        <w:jc w:val="both"/>
        <w:rPr>
          <w:rFonts w:ascii="Times New Roman" w:hAnsi="Times New Roman" w:cs="Times New Roman"/>
          <w:sz w:val="20"/>
          <w:szCs w:val="20"/>
        </w:rPr>
      </w:pPr>
      <w:r>
        <w:rPr>
          <w:rFonts w:ascii="Times New Roman" w:hAnsi="Times New Roman" w:cs="Times New Roman"/>
          <w:sz w:val="20"/>
          <w:szCs w:val="20"/>
        </w:rPr>
        <w:t xml:space="preserve">22. </w:t>
      </w:r>
      <w:proofErr w:type="spellStart"/>
      <w:r>
        <w:rPr>
          <w:rFonts w:ascii="Times New Roman" w:hAnsi="Times New Roman" w:cs="Times New Roman"/>
          <w:sz w:val="20"/>
          <w:szCs w:val="20"/>
        </w:rPr>
        <w:t>Warrel</w:t>
      </w:r>
      <w:proofErr w:type="spellEnd"/>
      <w:r>
        <w:rPr>
          <w:rFonts w:ascii="Times New Roman" w:hAnsi="Times New Roman" w:cs="Times New Roman"/>
          <w:sz w:val="20"/>
          <w:szCs w:val="20"/>
        </w:rPr>
        <w:t xml:space="preserve"> DA, Gilles HM. (2002) Essential </w:t>
      </w:r>
      <w:proofErr w:type="spellStart"/>
      <w:r>
        <w:rPr>
          <w:rFonts w:ascii="Times New Roman" w:hAnsi="Times New Roman" w:cs="Times New Roman"/>
          <w:sz w:val="20"/>
          <w:szCs w:val="20"/>
        </w:rPr>
        <w:t>malariology</w:t>
      </w:r>
      <w:proofErr w:type="spellEnd"/>
      <w:r>
        <w:rPr>
          <w:rFonts w:ascii="Times New Roman" w:hAnsi="Times New Roman" w:cs="Times New Roman"/>
          <w:sz w:val="20"/>
          <w:szCs w:val="20"/>
        </w:rPr>
        <w:t xml:space="preserve"> New York Arnold fourth Edition.</w:t>
      </w:r>
    </w:p>
    <w:p w:rsidR="00700588" w:rsidRPr="00B8243A" w:rsidRDefault="00021E93" w:rsidP="00AC73C8">
      <w:pPr>
        <w:snapToGrid w:val="0"/>
        <w:spacing w:after="0" w:line="240" w:lineRule="auto"/>
        <w:ind w:left="424" w:hangingChars="212" w:hanging="424"/>
        <w:jc w:val="both"/>
        <w:rPr>
          <w:rFonts w:ascii="Times New Roman" w:eastAsiaTheme="minorEastAsia" w:hAnsi="Times New Roman" w:cs="Times New Roman"/>
          <w:sz w:val="20"/>
          <w:szCs w:val="20"/>
          <w:lang w:eastAsia="zh-CN"/>
        </w:rPr>
      </w:pPr>
      <w:r>
        <w:rPr>
          <w:rFonts w:ascii="Times New Roman" w:hAnsi="Times New Roman" w:cs="Times New Roman"/>
          <w:sz w:val="20"/>
          <w:szCs w:val="20"/>
        </w:rPr>
        <w:t xml:space="preserve">23. </w:t>
      </w:r>
      <w:proofErr w:type="spellStart"/>
      <w:r>
        <w:rPr>
          <w:rFonts w:ascii="Times New Roman" w:hAnsi="Times New Roman" w:cs="Times New Roman"/>
          <w:sz w:val="20"/>
          <w:szCs w:val="20"/>
        </w:rPr>
        <w:t>Pampana</w:t>
      </w:r>
      <w:proofErr w:type="spellEnd"/>
      <w:r>
        <w:rPr>
          <w:rFonts w:ascii="Times New Roman" w:hAnsi="Times New Roman" w:cs="Times New Roman"/>
          <w:sz w:val="20"/>
          <w:szCs w:val="20"/>
        </w:rPr>
        <w:t xml:space="preserve"> E. 1968: A textbook of malaria eradication, London: Oxford University Press</w:t>
      </w:r>
      <w:r w:rsidR="00B8243A">
        <w:rPr>
          <w:rFonts w:ascii="Times New Roman" w:eastAsiaTheme="minorEastAsia" w:hAnsi="Times New Roman" w:cs="Times New Roman" w:hint="eastAsia"/>
          <w:sz w:val="20"/>
          <w:szCs w:val="20"/>
          <w:lang w:eastAsia="zh-CN"/>
        </w:rPr>
        <w:t>.</w:t>
      </w:r>
    </w:p>
    <w:p w:rsidR="00700588" w:rsidRDefault="00700588">
      <w:pPr>
        <w:snapToGrid w:val="0"/>
        <w:spacing w:after="0" w:line="240" w:lineRule="auto"/>
        <w:ind w:left="0" w:firstLine="0"/>
        <w:jc w:val="both"/>
        <w:rPr>
          <w:rFonts w:ascii="Times New Roman" w:hAnsi="Times New Roman" w:cs="Times New Roman"/>
          <w:sz w:val="20"/>
          <w:szCs w:val="20"/>
        </w:rPr>
        <w:sectPr w:rsidR="00700588">
          <w:type w:val="continuous"/>
          <w:pgSz w:w="12240" w:h="15840"/>
          <w:pgMar w:top="1440" w:right="1440" w:bottom="1440" w:left="1440" w:header="720" w:footer="720" w:gutter="0"/>
          <w:cols w:num="2" w:space="720" w:equalWidth="0">
            <w:col w:w="4467" w:space="425"/>
            <w:col w:w="4467"/>
          </w:cols>
          <w:docGrid w:linePitch="360"/>
        </w:sectPr>
      </w:pPr>
    </w:p>
    <w:p w:rsidR="00700588" w:rsidRDefault="00021E93">
      <w:pPr>
        <w:snapToGri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700588" w:rsidRDefault="00700588">
      <w:pPr>
        <w:snapToGrid w:val="0"/>
        <w:spacing w:after="0" w:line="240" w:lineRule="auto"/>
        <w:ind w:left="0" w:firstLine="0"/>
        <w:jc w:val="both"/>
        <w:rPr>
          <w:rFonts w:ascii="Times New Roman" w:eastAsiaTheme="minorHAnsi" w:hAnsi="Times New Roman" w:cs="Times New Roman"/>
          <w:color w:val="auto"/>
          <w:sz w:val="20"/>
          <w:szCs w:val="20"/>
        </w:rPr>
      </w:pPr>
    </w:p>
    <w:p w:rsidR="00700588" w:rsidRDefault="00700588">
      <w:pPr>
        <w:snapToGrid w:val="0"/>
        <w:spacing w:after="0" w:line="240" w:lineRule="auto"/>
        <w:ind w:left="0" w:firstLine="0"/>
        <w:rPr>
          <w:rFonts w:ascii="Times New Roman" w:hAnsi="Times New Roman" w:cs="Times New Roman"/>
          <w:sz w:val="20"/>
          <w:szCs w:val="20"/>
        </w:rPr>
      </w:pPr>
    </w:p>
    <w:p w:rsidR="00700588" w:rsidRDefault="00700588">
      <w:pPr>
        <w:snapToGrid w:val="0"/>
        <w:spacing w:after="0" w:line="240" w:lineRule="auto"/>
        <w:ind w:left="0" w:firstLine="0"/>
        <w:rPr>
          <w:rFonts w:ascii="Times New Roman" w:hAnsi="Times New Roman" w:cs="Times New Roman"/>
          <w:sz w:val="20"/>
          <w:szCs w:val="20"/>
        </w:rPr>
      </w:pPr>
    </w:p>
    <w:p w:rsidR="00700588" w:rsidRDefault="00700588">
      <w:pPr>
        <w:snapToGrid w:val="0"/>
        <w:spacing w:after="0" w:line="240" w:lineRule="auto"/>
        <w:ind w:left="0" w:firstLine="0"/>
        <w:rPr>
          <w:rFonts w:ascii="Times New Roman" w:hAnsi="Times New Roman" w:cs="Times New Roman"/>
          <w:sz w:val="20"/>
          <w:szCs w:val="20"/>
        </w:rPr>
      </w:pPr>
    </w:p>
    <w:p w:rsidR="00700588" w:rsidRDefault="00700588">
      <w:pPr>
        <w:snapToGrid w:val="0"/>
        <w:spacing w:after="0" w:line="240" w:lineRule="auto"/>
        <w:ind w:left="0" w:firstLine="0"/>
        <w:rPr>
          <w:rFonts w:ascii="Times New Roman" w:hAnsi="Times New Roman" w:cs="Times New Roman"/>
          <w:sz w:val="20"/>
          <w:szCs w:val="20"/>
        </w:rPr>
      </w:pPr>
    </w:p>
    <w:p w:rsidR="00700588" w:rsidRDefault="00700588">
      <w:pPr>
        <w:snapToGrid w:val="0"/>
        <w:spacing w:after="0" w:line="240" w:lineRule="auto"/>
        <w:ind w:left="0" w:firstLine="0"/>
        <w:rPr>
          <w:rFonts w:ascii="Times New Roman" w:hAnsi="Times New Roman" w:cs="Times New Roman"/>
          <w:sz w:val="20"/>
          <w:szCs w:val="20"/>
        </w:rPr>
      </w:pPr>
    </w:p>
    <w:p w:rsidR="00700588" w:rsidRDefault="00700588">
      <w:pPr>
        <w:snapToGrid w:val="0"/>
        <w:spacing w:after="0" w:line="240" w:lineRule="auto"/>
        <w:ind w:left="0" w:firstLine="0"/>
        <w:rPr>
          <w:rFonts w:ascii="Times New Roman" w:hAnsi="Times New Roman" w:cs="Times New Roman"/>
          <w:sz w:val="20"/>
          <w:szCs w:val="20"/>
        </w:rPr>
      </w:pPr>
    </w:p>
    <w:p w:rsidR="00700588" w:rsidRDefault="00700588">
      <w:pPr>
        <w:snapToGrid w:val="0"/>
        <w:spacing w:after="0" w:line="240" w:lineRule="auto"/>
        <w:ind w:left="0" w:firstLine="0"/>
        <w:rPr>
          <w:rFonts w:ascii="Times New Roman" w:hAnsi="Times New Roman" w:cs="Times New Roman"/>
          <w:sz w:val="20"/>
          <w:szCs w:val="20"/>
        </w:rPr>
      </w:pPr>
    </w:p>
    <w:p w:rsidR="00700588" w:rsidRPr="00B86A7E" w:rsidRDefault="00B86A7E">
      <w:pPr>
        <w:snapToGrid w:val="0"/>
        <w:spacing w:after="0" w:line="240" w:lineRule="auto"/>
        <w:ind w:left="0" w:firstLine="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11/22/2021</w:t>
      </w:r>
    </w:p>
    <w:p w:rsidR="00700588" w:rsidRDefault="00700588">
      <w:pPr>
        <w:snapToGrid w:val="0"/>
        <w:spacing w:after="0" w:line="240" w:lineRule="auto"/>
        <w:ind w:left="0" w:firstLine="0"/>
        <w:rPr>
          <w:rFonts w:ascii="Times New Roman" w:hAnsi="Times New Roman" w:cs="Times New Roman"/>
          <w:sz w:val="20"/>
          <w:szCs w:val="20"/>
        </w:rPr>
      </w:pPr>
    </w:p>
    <w:p w:rsidR="00700588" w:rsidRDefault="00700588">
      <w:pPr>
        <w:snapToGrid w:val="0"/>
        <w:spacing w:after="0" w:line="240" w:lineRule="auto"/>
        <w:ind w:left="0" w:firstLine="0"/>
        <w:rPr>
          <w:rFonts w:ascii="Times New Roman" w:hAnsi="Times New Roman" w:cs="Times New Roman"/>
          <w:sz w:val="20"/>
          <w:szCs w:val="20"/>
        </w:rPr>
      </w:pPr>
    </w:p>
    <w:p w:rsidR="00700588" w:rsidRDefault="00700588">
      <w:pPr>
        <w:snapToGrid w:val="0"/>
        <w:spacing w:after="0" w:line="240" w:lineRule="auto"/>
        <w:ind w:left="0" w:firstLine="0"/>
        <w:rPr>
          <w:rFonts w:ascii="Times New Roman" w:hAnsi="Times New Roman" w:cs="Times New Roman"/>
          <w:sz w:val="20"/>
          <w:szCs w:val="20"/>
        </w:rPr>
      </w:pPr>
    </w:p>
    <w:sectPr w:rsidR="00700588" w:rsidSect="0070058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0CD" w:rsidRDefault="00AB30CD">
      <w:pPr>
        <w:spacing w:line="240" w:lineRule="auto"/>
      </w:pPr>
      <w:r>
        <w:separator/>
      </w:r>
    </w:p>
  </w:endnote>
  <w:endnote w:type="continuationSeparator" w:id="0">
    <w:p w:rsidR="00AB30CD" w:rsidRDefault="00AB30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roman"/>
    <w:pitch w:val="default"/>
    <w:sig w:usb0="00000000" w:usb1="38CF7CFA" w:usb2="00000016" w:usb3="00000000" w:csb0="0004000F" w:csb1="00000000"/>
  </w:font>
  <w:font w:name="Gill Sans MT">
    <w:altName w:val="Segoe UI"/>
    <w:charset w:val="00"/>
    <w:family w:val="swiss"/>
    <w:pitch w:val="default"/>
    <w:sig w:usb0="00000000"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88" w:rsidRDefault="00B14AD4">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700588" w:rsidRDefault="00B14AD4">
                <w:pPr>
                  <w:pStyle w:val="Footer"/>
                </w:pPr>
                <w:r>
                  <w:rPr>
                    <w:rFonts w:ascii="Times New Roman" w:hAnsi="Times New Roman" w:cs="Times New Roman"/>
                    <w:sz w:val="20"/>
                    <w:szCs w:val="20"/>
                  </w:rPr>
                  <w:fldChar w:fldCharType="begin"/>
                </w:r>
                <w:r w:rsidR="00021E93">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534EC">
                  <w:rPr>
                    <w:rFonts w:ascii="Times New Roman" w:hAnsi="Times New Roman" w:cs="Times New Roman"/>
                    <w:noProof/>
                    <w:sz w:val="20"/>
                    <w:szCs w:val="20"/>
                  </w:rPr>
                  <w:t>79</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88" w:rsidRDefault="00B14AD4">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700588" w:rsidRDefault="00B14AD4">
                <w:pPr>
                  <w:pStyle w:val="Footer"/>
                </w:pPr>
                <w:r>
                  <w:rPr>
                    <w:rFonts w:ascii="Times New Roman" w:hAnsi="Times New Roman" w:cs="Times New Roman"/>
                    <w:sz w:val="20"/>
                    <w:szCs w:val="20"/>
                  </w:rPr>
                  <w:fldChar w:fldCharType="begin"/>
                </w:r>
                <w:r w:rsidR="00021E93">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534EC">
                  <w:rPr>
                    <w:rFonts w:ascii="Times New Roman" w:hAnsi="Times New Roman" w:cs="Times New Roman"/>
                    <w:noProof/>
                    <w:sz w:val="20"/>
                    <w:szCs w:val="20"/>
                  </w:rPr>
                  <w:t>78</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0CD" w:rsidRDefault="00AB30CD">
      <w:pPr>
        <w:spacing w:after="0"/>
      </w:pPr>
      <w:r>
        <w:separator/>
      </w:r>
    </w:p>
  </w:footnote>
  <w:footnote w:type="continuationSeparator" w:id="0">
    <w:p w:rsidR="00AB30CD" w:rsidRDefault="00AB30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88" w:rsidRDefault="00021E93">
    <w:pPr>
      <w:widowControl w:val="0"/>
      <w:pBdr>
        <w:bottom w:val="thinThickMediumGap" w:sz="12" w:space="1" w:color="auto"/>
      </w:pBdr>
      <w:autoSpaceDE w:val="0"/>
      <w:autoSpaceDN w:val="0"/>
      <w:snapToGrid w:val="0"/>
      <w:spacing w:after="0" w:line="240" w:lineRule="auto"/>
      <w:ind w:left="0" w:firstLine="0"/>
      <w:jc w:val="both"/>
      <w:rPr>
        <w:rFonts w:ascii="Times New Roman" w:hAnsi="Times New Roman" w:cs="Times New Roman"/>
        <w:szCs w:val="24"/>
      </w:rPr>
    </w:pP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Researcher2021;</w:t>
    </w:r>
    <w:r>
      <w:rPr>
        <w:rFonts w:ascii="Times New Roman" w:hAnsi="Times New Roman" w:cs="Times New Roman"/>
        <w:iCs/>
        <w:sz w:val="20"/>
        <w:szCs w:val="20"/>
        <w:lang w:eastAsia="zh-CN"/>
      </w:rPr>
      <w:t>13</w:t>
    </w:r>
    <w:r>
      <w:rPr>
        <w:rFonts w:ascii="Times New Roman" w:hAnsi="Times New Roman" w:cs="Times New Roman"/>
        <w:iCs/>
        <w:sz w:val="20"/>
        <w:szCs w:val="20"/>
      </w:rPr>
      <w:t>(</w:t>
    </w:r>
    <w:r>
      <w:rPr>
        <w:rFonts w:ascii="Times New Roman" w:hAnsi="Times New Roman" w:cs="Times New Roman" w:hint="eastAsia"/>
        <w:iCs/>
        <w:sz w:val="20"/>
        <w:szCs w:val="20"/>
        <w:lang w:eastAsia="zh-CN"/>
      </w:rPr>
      <w:t>12</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700588" w:rsidRDefault="007005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88" w:rsidRDefault="00021E93">
    <w:pPr>
      <w:pStyle w:val="Header"/>
      <w:ind w:left="0" w:firstLine="0"/>
    </w:pPr>
    <w:r>
      <w:rPr>
        <w:iCs/>
        <w:noProof/>
        <w:sz w:val="20"/>
        <w:szCs w:val="20"/>
        <w:lang w:eastAsia="zh-CN"/>
      </w:rPr>
      <w:drawing>
        <wp:inline distT="0" distB="0" distL="114300" distR="114300">
          <wp:extent cx="5967730" cy="790575"/>
          <wp:effectExtent l="0" t="0" r="13970" b="9525"/>
          <wp:docPr id="4"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20F61"/>
    <w:multiLevelType w:val="multilevel"/>
    <w:tmpl w:val="64D20F61"/>
    <w:lvl w:ilvl="0">
      <w:start w:val="1"/>
      <w:numFmt w:val="decimal"/>
      <w:lvlText w:val="%1."/>
      <w:lvlJc w:val="left"/>
      <w:pPr>
        <w:ind w:left="967" w:hanging="360"/>
      </w:pPr>
      <w:rPr>
        <w:rFonts w:hint="default"/>
      </w:rPr>
    </w:lvl>
    <w:lvl w:ilvl="1">
      <w:start w:val="1"/>
      <w:numFmt w:val="lowerLetter"/>
      <w:lvlText w:val="%2."/>
      <w:lvlJc w:val="left"/>
      <w:pPr>
        <w:ind w:left="1687" w:hanging="360"/>
      </w:pPr>
    </w:lvl>
    <w:lvl w:ilvl="2">
      <w:start w:val="1"/>
      <w:numFmt w:val="lowerRoman"/>
      <w:lvlText w:val="%3."/>
      <w:lvlJc w:val="right"/>
      <w:pPr>
        <w:ind w:left="2407" w:hanging="180"/>
      </w:pPr>
    </w:lvl>
    <w:lvl w:ilvl="3">
      <w:start w:val="1"/>
      <w:numFmt w:val="decimal"/>
      <w:lvlText w:val="%4."/>
      <w:lvlJc w:val="left"/>
      <w:pPr>
        <w:ind w:left="3127" w:hanging="360"/>
      </w:pPr>
    </w:lvl>
    <w:lvl w:ilvl="4">
      <w:start w:val="1"/>
      <w:numFmt w:val="lowerLetter"/>
      <w:lvlText w:val="%5."/>
      <w:lvlJc w:val="left"/>
      <w:pPr>
        <w:ind w:left="3847" w:hanging="360"/>
      </w:pPr>
    </w:lvl>
    <w:lvl w:ilvl="5">
      <w:start w:val="1"/>
      <w:numFmt w:val="lowerRoman"/>
      <w:lvlText w:val="%6."/>
      <w:lvlJc w:val="right"/>
      <w:pPr>
        <w:ind w:left="4567" w:hanging="180"/>
      </w:pPr>
    </w:lvl>
    <w:lvl w:ilvl="6">
      <w:start w:val="1"/>
      <w:numFmt w:val="decimal"/>
      <w:lvlText w:val="%7."/>
      <w:lvlJc w:val="left"/>
      <w:pPr>
        <w:ind w:left="5287" w:hanging="360"/>
      </w:pPr>
    </w:lvl>
    <w:lvl w:ilvl="7">
      <w:start w:val="1"/>
      <w:numFmt w:val="lowerLetter"/>
      <w:lvlText w:val="%8."/>
      <w:lvlJc w:val="left"/>
      <w:pPr>
        <w:ind w:left="6007" w:hanging="360"/>
      </w:pPr>
    </w:lvl>
    <w:lvl w:ilvl="8">
      <w:start w:val="1"/>
      <w:numFmt w:val="lowerRoman"/>
      <w:lvlText w:val="%9."/>
      <w:lvlJc w:val="right"/>
      <w:pPr>
        <w:ind w:left="672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144AD0"/>
    <w:rsid w:val="00001C03"/>
    <w:rsid w:val="00011D49"/>
    <w:rsid w:val="00021E93"/>
    <w:rsid w:val="000265C0"/>
    <w:rsid w:val="00032C69"/>
    <w:rsid w:val="000424A0"/>
    <w:rsid w:val="000600C5"/>
    <w:rsid w:val="00064A9A"/>
    <w:rsid w:val="0007342B"/>
    <w:rsid w:val="000815AF"/>
    <w:rsid w:val="000B6942"/>
    <w:rsid w:val="000C1ABB"/>
    <w:rsid w:val="000C72EC"/>
    <w:rsid w:val="000D1629"/>
    <w:rsid w:val="000D4533"/>
    <w:rsid w:val="000E3B4C"/>
    <w:rsid w:val="000E697D"/>
    <w:rsid w:val="00107502"/>
    <w:rsid w:val="00115356"/>
    <w:rsid w:val="001227D8"/>
    <w:rsid w:val="001378B8"/>
    <w:rsid w:val="00142DF1"/>
    <w:rsid w:val="00144AD0"/>
    <w:rsid w:val="00183931"/>
    <w:rsid w:val="00192E38"/>
    <w:rsid w:val="001B6A2A"/>
    <w:rsid w:val="001D7921"/>
    <w:rsid w:val="001E0150"/>
    <w:rsid w:val="001E0CBA"/>
    <w:rsid w:val="001E3B71"/>
    <w:rsid w:val="001F2796"/>
    <w:rsid w:val="001F3CB1"/>
    <w:rsid w:val="001F4048"/>
    <w:rsid w:val="001F43B4"/>
    <w:rsid w:val="0020343D"/>
    <w:rsid w:val="0022064F"/>
    <w:rsid w:val="00226151"/>
    <w:rsid w:val="00260CF3"/>
    <w:rsid w:val="0027553B"/>
    <w:rsid w:val="002A59A6"/>
    <w:rsid w:val="002B2AD7"/>
    <w:rsid w:val="002C2B1B"/>
    <w:rsid w:val="002D6FC2"/>
    <w:rsid w:val="002E01DE"/>
    <w:rsid w:val="0031050A"/>
    <w:rsid w:val="00341600"/>
    <w:rsid w:val="00345C15"/>
    <w:rsid w:val="0035188F"/>
    <w:rsid w:val="00356F17"/>
    <w:rsid w:val="003578AA"/>
    <w:rsid w:val="003704B5"/>
    <w:rsid w:val="00373A7C"/>
    <w:rsid w:val="003750E0"/>
    <w:rsid w:val="00397DB4"/>
    <w:rsid w:val="003D4A59"/>
    <w:rsid w:val="003D6D45"/>
    <w:rsid w:val="003F5F9D"/>
    <w:rsid w:val="004206B4"/>
    <w:rsid w:val="0045044E"/>
    <w:rsid w:val="0046470F"/>
    <w:rsid w:val="0047186A"/>
    <w:rsid w:val="00475278"/>
    <w:rsid w:val="00477379"/>
    <w:rsid w:val="00485B53"/>
    <w:rsid w:val="004A00F9"/>
    <w:rsid w:val="004B3ADD"/>
    <w:rsid w:val="004B649B"/>
    <w:rsid w:val="004F18D1"/>
    <w:rsid w:val="005200EE"/>
    <w:rsid w:val="0055527F"/>
    <w:rsid w:val="00566253"/>
    <w:rsid w:val="00571CA2"/>
    <w:rsid w:val="00591119"/>
    <w:rsid w:val="005931F7"/>
    <w:rsid w:val="005C595D"/>
    <w:rsid w:val="0061764C"/>
    <w:rsid w:val="006259A7"/>
    <w:rsid w:val="00640FFA"/>
    <w:rsid w:val="006467A2"/>
    <w:rsid w:val="00691452"/>
    <w:rsid w:val="006A48C3"/>
    <w:rsid w:val="006B64D7"/>
    <w:rsid w:val="00700588"/>
    <w:rsid w:val="007033E0"/>
    <w:rsid w:val="00776383"/>
    <w:rsid w:val="0077665A"/>
    <w:rsid w:val="0079747A"/>
    <w:rsid w:val="007A530A"/>
    <w:rsid w:val="007D6D51"/>
    <w:rsid w:val="00802608"/>
    <w:rsid w:val="00867BF6"/>
    <w:rsid w:val="00874737"/>
    <w:rsid w:val="00877AB0"/>
    <w:rsid w:val="00883193"/>
    <w:rsid w:val="00886774"/>
    <w:rsid w:val="008F7D8F"/>
    <w:rsid w:val="009135BE"/>
    <w:rsid w:val="009147BB"/>
    <w:rsid w:val="00933306"/>
    <w:rsid w:val="00937787"/>
    <w:rsid w:val="00942ACB"/>
    <w:rsid w:val="00957090"/>
    <w:rsid w:val="00965D54"/>
    <w:rsid w:val="00966F5C"/>
    <w:rsid w:val="0098599A"/>
    <w:rsid w:val="00993070"/>
    <w:rsid w:val="009937C7"/>
    <w:rsid w:val="009939C4"/>
    <w:rsid w:val="009B598D"/>
    <w:rsid w:val="009C2032"/>
    <w:rsid w:val="009D4ABA"/>
    <w:rsid w:val="009E3754"/>
    <w:rsid w:val="009F1794"/>
    <w:rsid w:val="009F39CD"/>
    <w:rsid w:val="009F7A1F"/>
    <w:rsid w:val="009F7F76"/>
    <w:rsid w:val="00A16EAB"/>
    <w:rsid w:val="00A2054F"/>
    <w:rsid w:val="00A64523"/>
    <w:rsid w:val="00A64B87"/>
    <w:rsid w:val="00A71938"/>
    <w:rsid w:val="00AA1EC1"/>
    <w:rsid w:val="00AB30CD"/>
    <w:rsid w:val="00AB7CB3"/>
    <w:rsid w:val="00AC5584"/>
    <w:rsid w:val="00AC73C8"/>
    <w:rsid w:val="00AD3D8C"/>
    <w:rsid w:val="00AE05E1"/>
    <w:rsid w:val="00B03D6C"/>
    <w:rsid w:val="00B14AD4"/>
    <w:rsid w:val="00B23387"/>
    <w:rsid w:val="00B45296"/>
    <w:rsid w:val="00B76092"/>
    <w:rsid w:val="00B8243A"/>
    <w:rsid w:val="00B86A7E"/>
    <w:rsid w:val="00BB68A4"/>
    <w:rsid w:val="00BE7718"/>
    <w:rsid w:val="00C55348"/>
    <w:rsid w:val="00C628C5"/>
    <w:rsid w:val="00CC5248"/>
    <w:rsid w:val="00CE19ED"/>
    <w:rsid w:val="00CF39DA"/>
    <w:rsid w:val="00D10773"/>
    <w:rsid w:val="00D15F36"/>
    <w:rsid w:val="00D25461"/>
    <w:rsid w:val="00D54592"/>
    <w:rsid w:val="00D57AA1"/>
    <w:rsid w:val="00D631D6"/>
    <w:rsid w:val="00D831F9"/>
    <w:rsid w:val="00D84D26"/>
    <w:rsid w:val="00D91E45"/>
    <w:rsid w:val="00DA1D02"/>
    <w:rsid w:val="00DB37CD"/>
    <w:rsid w:val="00DC21A7"/>
    <w:rsid w:val="00DD29E1"/>
    <w:rsid w:val="00DE7307"/>
    <w:rsid w:val="00DF3D79"/>
    <w:rsid w:val="00E10A96"/>
    <w:rsid w:val="00E16735"/>
    <w:rsid w:val="00E23363"/>
    <w:rsid w:val="00E647FA"/>
    <w:rsid w:val="00EC26A7"/>
    <w:rsid w:val="00ED4386"/>
    <w:rsid w:val="00EE0AD7"/>
    <w:rsid w:val="00EE4133"/>
    <w:rsid w:val="00F03400"/>
    <w:rsid w:val="00F11674"/>
    <w:rsid w:val="00F25790"/>
    <w:rsid w:val="00F534EC"/>
    <w:rsid w:val="00F9383F"/>
    <w:rsid w:val="00F95739"/>
    <w:rsid w:val="00FA5FDF"/>
    <w:rsid w:val="00FB61DD"/>
    <w:rsid w:val="00FD79F4"/>
    <w:rsid w:val="00FE4781"/>
    <w:rsid w:val="032D2415"/>
    <w:rsid w:val="3E053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88"/>
    <w:pPr>
      <w:spacing w:after="115" w:line="263" w:lineRule="auto"/>
      <w:ind w:left="617" w:hanging="10"/>
    </w:pPr>
    <w:rPr>
      <w:rFonts w:ascii="Gill Sans MT" w:eastAsia="Gill Sans MT" w:hAnsi="Gill Sans MT" w:cs="Gill Sans MT"/>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00588"/>
    <w:pPr>
      <w:spacing w:line="240" w:lineRule="auto"/>
    </w:pPr>
    <w:rPr>
      <w:sz w:val="20"/>
      <w:szCs w:val="20"/>
    </w:rPr>
  </w:style>
  <w:style w:type="paragraph" w:styleId="BalloonText">
    <w:name w:val="Balloon Text"/>
    <w:basedOn w:val="Normal"/>
    <w:link w:val="BalloonTextChar"/>
    <w:uiPriority w:val="99"/>
    <w:semiHidden/>
    <w:unhideWhenUsed/>
    <w:rsid w:val="00700588"/>
    <w:pPr>
      <w:spacing w:after="0" w:line="240" w:lineRule="auto"/>
    </w:pPr>
    <w:rPr>
      <w:rFonts w:ascii="Tahoma" w:hAnsi="Tahoma" w:cs="Tahoma"/>
      <w:sz w:val="16"/>
      <w:szCs w:val="16"/>
    </w:rPr>
  </w:style>
  <w:style w:type="paragraph" w:styleId="Footer">
    <w:name w:val="footer"/>
    <w:basedOn w:val="Normal"/>
    <w:link w:val="FooterChar"/>
    <w:uiPriority w:val="99"/>
    <w:unhideWhenUsed/>
    <w:rsid w:val="00700588"/>
    <w:pPr>
      <w:tabs>
        <w:tab w:val="center" w:pos="4680"/>
        <w:tab w:val="right" w:pos="9360"/>
      </w:tabs>
      <w:spacing w:after="0" w:line="240" w:lineRule="auto"/>
    </w:pPr>
  </w:style>
  <w:style w:type="paragraph" w:styleId="Header">
    <w:name w:val="header"/>
    <w:basedOn w:val="Normal"/>
    <w:link w:val="HeaderChar"/>
    <w:uiPriority w:val="99"/>
    <w:unhideWhenUsed/>
    <w:rsid w:val="00700588"/>
    <w:pPr>
      <w:tabs>
        <w:tab w:val="center" w:pos="4680"/>
        <w:tab w:val="right" w:pos="9360"/>
      </w:tabs>
      <w:spacing w:after="0" w:line="240" w:lineRule="auto"/>
    </w:pPr>
  </w:style>
  <w:style w:type="character" w:styleId="Hyperlink">
    <w:name w:val="Hyperlink"/>
    <w:uiPriority w:val="99"/>
    <w:unhideWhenUsed/>
    <w:qFormat/>
    <w:rsid w:val="00700588"/>
    <w:rPr>
      <w:color w:val="0000FF"/>
      <w:u w:val="single"/>
    </w:rPr>
  </w:style>
  <w:style w:type="character" w:styleId="CommentReference">
    <w:name w:val="annotation reference"/>
    <w:basedOn w:val="DefaultParagraphFont"/>
    <w:uiPriority w:val="99"/>
    <w:semiHidden/>
    <w:unhideWhenUsed/>
    <w:rsid w:val="00700588"/>
    <w:rPr>
      <w:sz w:val="16"/>
      <w:szCs w:val="16"/>
    </w:rPr>
  </w:style>
  <w:style w:type="character" w:customStyle="1" w:styleId="CommentTextChar">
    <w:name w:val="Comment Text Char"/>
    <w:basedOn w:val="DefaultParagraphFont"/>
    <w:link w:val="CommentText"/>
    <w:uiPriority w:val="99"/>
    <w:semiHidden/>
    <w:rsid w:val="00700588"/>
    <w:rPr>
      <w:rFonts w:ascii="Gill Sans MT" w:eastAsia="Gill Sans MT" w:hAnsi="Gill Sans MT" w:cs="Gill Sans MT"/>
      <w:color w:val="000000"/>
      <w:sz w:val="20"/>
      <w:szCs w:val="20"/>
    </w:rPr>
  </w:style>
  <w:style w:type="table" w:customStyle="1" w:styleId="ListTable6Colorful">
    <w:name w:val="List Table 6 Colorful"/>
    <w:basedOn w:val="TableNormal"/>
    <w:uiPriority w:val="51"/>
    <w:rsid w:val="00700588"/>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00588"/>
    <w:pPr>
      <w:ind w:left="720"/>
      <w:contextualSpacing/>
    </w:pPr>
  </w:style>
  <w:style w:type="character" w:customStyle="1" w:styleId="HeaderChar">
    <w:name w:val="Header Char"/>
    <w:basedOn w:val="DefaultParagraphFont"/>
    <w:link w:val="Header"/>
    <w:uiPriority w:val="99"/>
    <w:rsid w:val="00700588"/>
    <w:rPr>
      <w:rFonts w:ascii="Gill Sans MT" w:eastAsia="Gill Sans MT" w:hAnsi="Gill Sans MT" w:cs="Gill Sans MT"/>
      <w:color w:val="000000"/>
      <w:sz w:val="24"/>
    </w:rPr>
  </w:style>
  <w:style w:type="character" w:customStyle="1" w:styleId="FooterChar">
    <w:name w:val="Footer Char"/>
    <w:basedOn w:val="DefaultParagraphFont"/>
    <w:link w:val="Footer"/>
    <w:uiPriority w:val="99"/>
    <w:rsid w:val="00700588"/>
    <w:rPr>
      <w:rFonts w:ascii="Gill Sans MT" w:eastAsia="Gill Sans MT" w:hAnsi="Gill Sans MT" w:cs="Gill Sans MT"/>
      <w:color w:val="000000"/>
      <w:sz w:val="24"/>
    </w:rPr>
  </w:style>
  <w:style w:type="character" w:customStyle="1" w:styleId="BalloonTextChar">
    <w:name w:val="Balloon Text Char"/>
    <w:basedOn w:val="DefaultParagraphFont"/>
    <w:link w:val="BalloonText"/>
    <w:uiPriority w:val="99"/>
    <w:semiHidden/>
    <w:rsid w:val="00700588"/>
    <w:rPr>
      <w:rFonts w:ascii="Tahoma" w:eastAsia="Gill Sans MT"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x.doi.org/10.7537/marsrsj131221.08"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14141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Column2</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dLbl>
              <c:idx val="0"/>
              <c:tx>
                <c:rich>
                  <a:bodyPr/>
                  <a:lstStyle/>
                  <a:p>
                    <a:r>
                      <a:rPr lang="en-US"/>
                      <a:t>76.28%</a:t>
                    </a:r>
                  </a:p>
                </c:rich>
              </c:tx>
              <c:dLblPos val="ctr"/>
              <c:showPercent val="1"/>
              <c:extLst>
                <c:ext xmlns:c15="http://schemas.microsoft.com/office/drawing/2012/chart" uri="{CE6537A1-D6FC-4f65-9D91-7224C49458BB}"/>
              </c:extLst>
            </c:dLbl>
            <c:dLbl>
              <c:idx val="1"/>
              <c:tx>
                <c:rich>
                  <a:bodyPr/>
                  <a:lstStyle/>
                  <a:p>
                    <a:r>
                      <a:rPr lang="en-US"/>
                      <a:t>21.76%</a:t>
                    </a:r>
                  </a:p>
                </c:rich>
              </c:tx>
              <c:dLblPos val="ctr"/>
              <c:showPercent val="1"/>
              <c:extLst>
                <c:ext xmlns:c15="http://schemas.microsoft.com/office/drawing/2012/chart" uri="{CE6537A1-D6FC-4f65-9D91-7224C49458BB}"/>
              </c:extLst>
            </c:dLbl>
            <c:dLbl>
              <c:idx val="2"/>
              <c:layout>
                <c:manualLayout>
                  <c:x val="7.5706459511353089E-2"/>
                  <c:y val="0.22565670241446109"/>
                </c:manualLayout>
              </c:layout>
              <c:tx>
                <c:rich>
                  <a:bodyPr/>
                  <a:lstStyle/>
                  <a:p>
                    <a:r>
                      <a:rPr lang="en-US"/>
                      <a:t>1.96%</a:t>
                    </a:r>
                  </a:p>
                </c:rich>
              </c:tx>
              <c:dLblPos val="bestFit"/>
              <c:showPercent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en-US"/>
              </a:p>
            </c:txPr>
            <c:dLblPos val="ctr"/>
            <c:showPercent val="1"/>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Sheet1!$A$2:$A$5</c:f>
              <c:strCache>
                <c:ptCount val="3"/>
                <c:pt idx="0">
                  <c:v>CULEX(PAIKO)</c:v>
                </c:pt>
                <c:pt idx="1">
                  <c:v>ANOPHELES(PAIKO)</c:v>
                </c:pt>
                <c:pt idx="2">
                  <c:v>AEDES(PAIKO)</c:v>
                </c:pt>
              </c:strCache>
            </c:strRef>
          </c:cat>
          <c:val>
            <c:numRef>
              <c:f>Sheet1!$B$2:$B$5</c:f>
              <c:numCache>
                <c:formatCode>General</c:formatCode>
                <c:ptCount val="4"/>
                <c:pt idx="0">
                  <c:v>76.669999999999987</c:v>
                </c:pt>
                <c:pt idx="1">
                  <c:v>21.759999999999987</c:v>
                </c:pt>
                <c:pt idx="2">
                  <c:v>1.9600000000000006</c:v>
                </c:pt>
              </c:numCache>
            </c:numRef>
          </c:val>
        </c:ser>
        <c:dLbls>
          <c:showPercent val="1"/>
        </c:dLbls>
        <c:firstSliceAng val="0"/>
      </c:pieChart>
      <c:spPr>
        <a:noFill/>
        <a:ln>
          <a:noFill/>
        </a:ln>
        <a:effectLst/>
      </c:spPr>
    </c:plotArea>
    <c:legend>
      <c:legendPos val="r"/>
      <c:legendEntry>
        <c:idx val="3"/>
        <c:delete val="1"/>
      </c:legendEntry>
      <c:spPr>
        <a:solidFill>
          <a:schemeClr val="lt1">
            <a:lumMod val="95000"/>
            <a:alpha val="39000"/>
          </a:schemeClr>
        </a:solidFill>
        <a:ln>
          <a:noFill/>
        </a:ln>
        <a:effectLst/>
      </c:spPr>
      <c:txPr>
        <a:bodyPr rot="0" spcFirstLastPara="1" vertOverflow="ellipsis" vert="horz" wrap="square" anchor="ctr" anchorCtr="1"/>
        <a:lstStyle/>
        <a:p>
          <a:pPr>
            <a:defRPr lang="zh-CN" sz="8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dLbl>
              <c:idx val="0"/>
              <c:tx>
                <c:rich>
                  <a:bodyPr/>
                  <a:lstStyle/>
                  <a:p>
                    <a:r>
                      <a:rPr lang="en-US"/>
                      <a:t>73.79%</a:t>
                    </a:r>
                  </a:p>
                </c:rich>
              </c:tx>
              <c:dLblPos val="ctr"/>
              <c:showPercent val="1"/>
              <c:extLst>
                <c:ext xmlns:c15="http://schemas.microsoft.com/office/drawing/2012/chart" uri="{CE6537A1-D6FC-4f65-9D91-7224C49458BB}"/>
              </c:extLst>
            </c:dLbl>
            <c:dLbl>
              <c:idx val="1"/>
              <c:tx>
                <c:rich>
                  <a:bodyPr/>
                  <a:lstStyle/>
                  <a:p>
                    <a:r>
                      <a:rPr lang="en-US"/>
                      <a:t>23.26%</a:t>
                    </a:r>
                  </a:p>
                </c:rich>
              </c:tx>
              <c:dLblPos val="ctr"/>
              <c:showPercent val="1"/>
              <c:extLst>
                <c:ext xmlns:c15="http://schemas.microsoft.com/office/drawing/2012/chart" uri="{CE6537A1-D6FC-4f65-9D91-7224C49458BB}"/>
              </c:extLst>
            </c:dLbl>
            <c:dLbl>
              <c:idx val="2"/>
              <c:layout>
                <c:manualLayout>
                  <c:x val="6.3242886006155699E-2"/>
                  <c:y val="0.13173456057718816"/>
                </c:manualLayout>
              </c:layout>
              <c:tx>
                <c:rich>
                  <a:bodyPr/>
                  <a:lstStyle/>
                  <a:p>
                    <a:r>
                      <a:rPr lang="en-US"/>
                      <a:t>2.96%</a:t>
                    </a:r>
                  </a:p>
                </c:rich>
              </c:tx>
              <c:dLblPos val="bestFit"/>
              <c:showPercent val="1"/>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en-US"/>
              </a:p>
            </c:txPr>
            <c:dLblPos val="ctr"/>
            <c:showPercent val="1"/>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Sheet1!$A$2:$A$5</c:f>
              <c:strCache>
                <c:ptCount val="3"/>
                <c:pt idx="0">
                  <c:v>CULEX(DUKPA)</c:v>
                </c:pt>
                <c:pt idx="1">
                  <c:v>ANOPHELES(DUKPA)</c:v>
                </c:pt>
                <c:pt idx="2">
                  <c:v>AEDES(DUKPA)</c:v>
                </c:pt>
              </c:strCache>
            </c:strRef>
          </c:cat>
          <c:val>
            <c:numRef>
              <c:f>Sheet1!$B$2:$B$5</c:f>
              <c:numCache>
                <c:formatCode>General</c:formatCode>
                <c:ptCount val="4"/>
                <c:pt idx="0">
                  <c:v>73.78</c:v>
                </c:pt>
                <c:pt idx="1">
                  <c:v>23.25</c:v>
                </c:pt>
                <c:pt idx="2">
                  <c:v>2.9499999999999997</c:v>
                </c:pt>
              </c:numCache>
            </c:numRef>
          </c:val>
        </c:ser>
        <c:dLbls>
          <c:showPercent val="1"/>
        </c:dLbls>
        <c:firstSliceAng val="0"/>
      </c:pieChart>
      <c:spPr>
        <a:noFill/>
        <a:ln>
          <a:noFill/>
        </a:ln>
        <a:effectLst/>
      </c:spPr>
    </c:plotArea>
    <c:legend>
      <c:legendPos val="r"/>
      <c:legendEntry>
        <c:idx val="3"/>
        <c:delete val="1"/>
      </c:legendEntry>
      <c:layout>
        <c:manualLayout>
          <c:xMode val="edge"/>
          <c:yMode val="edge"/>
          <c:x val="0.5803357314148675"/>
          <c:y val="0.31727273816800333"/>
          <c:w val="0.41966426858513201"/>
          <c:h val="0.2983314756888274"/>
        </c:manualLayout>
      </c:layout>
      <c:spPr>
        <a:solidFill>
          <a:schemeClr val="lt1">
            <a:lumMod val="95000"/>
            <a:alpha val="39000"/>
          </a:schemeClr>
        </a:solidFill>
        <a:ln>
          <a:noFill/>
        </a:ln>
        <a:effectLst/>
      </c:spPr>
      <c:txPr>
        <a:bodyPr rot="0" spcFirstLastPara="1" vertOverflow="ellipsis" vert="horz" wrap="square" anchor="ctr" anchorCtr="1"/>
        <a:lstStyle/>
        <a:p>
          <a:pPr>
            <a:defRPr lang="zh-CN" sz="8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NETTED</c:v>
                </c:pt>
              </c:strCache>
            </c:strRef>
          </c:tx>
          <c:spPr>
            <a:solidFill>
              <a:schemeClr val="accent1"/>
            </a:solidFill>
            <a:ln>
              <a:noFill/>
            </a:ln>
            <a:effectLst/>
          </c:spPr>
          <c:errBars>
            <c:errBarType val="both"/>
            <c:errValType val="cust"/>
            <c:plus>
              <c:numRef>
                <c:f>Sheet1!$D$2:$D$3</c:f>
                <c:numCache>
                  <c:formatCode>General</c:formatCode>
                  <c:ptCount val="2"/>
                  <c:pt idx="0">
                    <c:v>2.300000000000001E-2</c:v>
                  </c:pt>
                  <c:pt idx="1">
                    <c:v>4.5000000000000012E-2</c:v>
                  </c:pt>
                </c:numCache>
              </c:numRef>
            </c:plus>
            <c:minus>
              <c:numRef>
                <c:f>Sheet1!$D$2:$D$3</c:f>
                <c:numCache>
                  <c:formatCode>General</c:formatCode>
                  <c:ptCount val="2"/>
                  <c:pt idx="0">
                    <c:v>2.300000000000001E-2</c:v>
                  </c:pt>
                  <c:pt idx="1">
                    <c:v>4.5000000000000012E-2</c:v>
                  </c:pt>
                </c:numCache>
              </c:numRef>
            </c:minus>
            <c:spPr>
              <a:noFill/>
              <a:ln w="9525" cap="flat" cmpd="sng" algn="ctr">
                <a:solidFill>
                  <a:schemeClr val="dk1">
                    <a:lumMod val="50000"/>
                    <a:lumOff val="50000"/>
                  </a:schemeClr>
                </a:solidFill>
                <a:prstDash val="solid"/>
                <a:round/>
              </a:ln>
              <a:effectLst/>
            </c:spPr>
          </c:errBars>
          <c:cat>
            <c:strRef>
              <c:f>Sheet1!$A$2:$A$3</c:f>
              <c:strCache>
                <c:ptCount val="2"/>
                <c:pt idx="0">
                  <c:v>PAIKO</c:v>
                </c:pt>
                <c:pt idx="1">
                  <c:v>DUKPA</c:v>
                </c:pt>
              </c:strCache>
            </c:strRef>
          </c:cat>
          <c:val>
            <c:numRef>
              <c:f>Sheet1!$B$2:$B$3</c:f>
              <c:numCache>
                <c:formatCode>General</c:formatCode>
                <c:ptCount val="2"/>
                <c:pt idx="0">
                  <c:v>9.3000000000000208E-2</c:v>
                </c:pt>
                <c:pt idx="1">
                  <c:v>0.17</c:v>
                </c:pt>
              </c:numCache>
            </c:numRef>
          </c:val>
        </c:ser>
        <c:ser>
          <c:idx val="1"/>
          <c:order val="1"/>
          <c:tx>
            <c:strRef>
              <c:f>Sheet1!$C$1</c:f>
              <c:strCache>
                <c:ptCount val="1"/>
                <c:pt idx="0">
                  <c:v>NON NETTED</c:v>
                </c:pt>
              </c:strCache>
            </c:strRef>
          </c:tx>
          <c:spPr>
            <a:solidFill>
              <a:schemeClr val="accent2"/>
            </a:solidFill>
            <a:ln>
              <a:noFill/>
            </a:ln>
            <a:effectLst/>
          </c:spPr>
          <c:errBars>
            <c:errBarType val="both"/>
            <c:errValType val="cust"/>
            <c:plus>
              <c:numRef>
                <c:f>Sheet1!$E$2:$E$3</c:f>
                <c:numCache>
                  <c:formatCode>General</c:formatCode>
                  <c:ptCount val="2"/>
                  <c:pt idx="0">
                    <c:v>3.4000000000000002E-2</c:v>
                  </c:pt>
                  <c:pt idx="1">
                    <c:v>9.8000000000000129E-2</c:v>
                  </c:pt>
                </c:numCache>
              </c:numRef>
            </c:plus>
            <c:minus>
              <c:numRef>
                <c:f>Sheet1!$E$2:$E$3</c:f>
                <c:numCache>
                  <c:formatCode>General</c:formatCode>
                  <c:ptCount val="2"/>
                  <c:pt idx="0">
                    <c:v>3.4000000000000002E-2</c:v>
                  </c:pt>
                  <c:pt idx="1">
                    <c:v>9.8000000000000129E-2</c:v>
                  </c:pt>
                </c:numCache>
              </c:numRef>
            </c:minus>
            <c:spPr>
              <a:noFill/>
              <a:ln w="9525" cap="flat" cmpd="sng" algn="ctr">
                <a:solidFill>
                  <a:schemeClr val="dk1">
                    <a:lumMod val="50000"/>
                    <a:lumOff val="50000"/>
                  </a:schemeClr>
                </a:solidFill>
                <a:prstDash val="solid"/>
                <a:round/>
              </a:ln>
              <a:effectLst/>
            </c:spPr>
          </c:errBars>
          <c:cat>
            <c:strRef>
              <c:f>Sheet1!$A$2:$A$3</c:f>
              <c:strCache>
                <c:ptCount val="2"/>
                <c:pt idx="0">
                  <c:v>PAIKO</c:v>
                </c:pt>
                <c:pt idx="1">
                  <c:v>DUKPA</c:v>
                </c:pt>
              </c:strCache>
            </c:strRef>
          </c:cat>
          <c:val>
            <c:numRef>
              <c:f>Sheet1!$C$2:$C$3</c:f>
              <c:numCache>
                <c:formatCode>General</c:formatCode>
                <c:ptCount val="2"/>
                <c:pt idx="0">
                  <c:v>0.22</c:v>
                </c:pt>
                <c:pt idx="1">
                  <c:v>0.4</c:v>
                </c:pt>
              </c:numCache>
            </c:numRef>
          </c:val>
        </c:ser>
        <c:gapWidth val="267"/>
        <c:overlap val="-43"/>
        <c:axId val="88270720"/>
        <c:axId val="88272896"/>
      </c:barChart>
      <c:catAx>
        <c:axId val="88270720"/>
        <c:scaling>
          <c:orientation val="minMax"/>
        </c:scaling>
        <c:axPos val="b"/>
        <c:majorGridlines>
          <c:spPr>
            <a:ln w="9525" cap="flat" cmpd="sng" algn="ctr">
              <a:solidFill>
                <a:schemeClr val="dk1">
                  <a:lumMod val="15000"/>
                  <a:lumOff val="85000"/>
                </a:schemeClr>
              </a:solidFill>
              <a:prstDash val="solid"/>
              <a:round/>
            </a:ln>
            <a:effectLst/>
          </c:spPr>
        </c:majorGridlines>
        <c:title>
          <c:tx>
            <c:rich>
              <a:bodyPr rot="0" spcFirstLastPara="1"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en-US"/>
                  <a:t>Communities</a:t>
                </a:r>
              </a:p>
            </c:rich>
          </c:tx>
          <c:spPr>
            <a:noFill/>
            <a:ln>
              <a:noFill/>
            </a:ln>
            <a:effectLst/>
          </c:spPr>
        </c:title>
        <c:numFmt formatCode="General" sourceLinked="1"/>
        <c:maj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endParaRPr lang="en-US"/>
          </a:p>
        </c:txPr>
        <c:crossAx val="88272896"/>
        <c:crosses val="autoZero"/>
        <c:auto val="1"/>
        <c:lblAlgn val="ctr"/>
        <c:lblOffset val="100"/>
      </c:catAx>
      <c:valAx>
        <c:axId val="88272896"/>
        <c:scaling>
          <c:orientation val="minMax"/>
        </c:scaling>
        <c:axPos val="l"/>
        <c:majorGridlines>
          <c:spPr>
            <a:ln w="9525" cap="flat" cmpd="sng" algn="ctr">
              <a:solidFill>
                <a:schemeClr val="dk1">
                  <a:lumMod val="15000"/>
                  <a:lumOff val="85000"/>
                </a:schemeClr>
              </a:solidFill>
              <a:prstDash val="solid"/>
              <a:round/>
            </a:ln>
            <a:effectLst/>
          </c:spPr>
        </c:majorGridlines>
        <c:title>
          <c:tx>
            <c:rich>
              <a:bodyPr rot="-5400000" spcFirstLastPara="1"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en-US"/>
                  <a:t>Mean Man Bitting Rate</a:t>
                </a:r>
              </a:p>
            </c:rich>
          </c:tx>
          <c:spPr>
            <a:noFill/>
            <a:ln>
              <a:noFill/>
            </a:ln>
            <a:effectLst/>
          </c:spPr>
        </c:title>
        <c:numFmt formatCode="General" sourceLinked="1"/>
        <c:maj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en-US"/>
          </a:p>
        </c:txPr>
        <c:crossAx val="88270720"/>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dk1">
          <a:lumMod val="15000"/>
          <a:lumOff val="85000"/>
        </a:schemeClr>
      </a:solidFill>
      <a:prstDash val="solid"/>
      <a:round/>
    </a:ln>
    <a:effectLst/>
  </c:spPr>
  <c:txPr>
    <a:bodyPr/>
    <a:lstStyle/>
    <a:p>
      <a:pPr>
        <a:defRPr lang="zh-CN"/>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NET</c:v>
                </c:pt>
              </c:strCache>
            </c:strRef>
          </c:tx>
          <c:spPr>
            <a:ln w="22225" cap="rnd" cmpd="sng" algn="ctr">
              <a:solidFill>
                <a:schemeClr val="accent1"/>
              </a:solidFill>
              <a:prstDash val="solid"/>
              <a:round/>
            </a:ln>
            <a:effectLst/>
          </c:spPr>
          <c:marker>
            <c:symbol val="none"/>
          </c:marker>
          <c:errBars>
            <c:errDir val="y"/>
            <c:errBarType val="both"/>
            <c:errValType val="cust"/>
            <c:plus>
              <c:numRef>
                <c:f>Sheet1!$F$2:$F$3</c:f>
                <c:numCache>
                  <c:formatCode>General</c:formatCode>
                  <c:ptCount val="2"/>
                  <c:pt idx="0">
                    <c:v>0.52200000000000002</c:v>
                  </c:pt>
                  <c:pt idx="1">
                    <c:v>0.61800000000000066</c:v>
                  </c:pt>
                </c:numCache>
              </c:numRef>
            </c:plus>
            <c:minus>
              <c:numRef>
                <c:f>Sheet1!$F$2:$F$3</c:f>
                <c:numCache>
                  <c:formatCode>General</c:formatCode>
                  <c:ptCount val="2"/>
                  <c:pt idx="0">
                    <c:v>0.52200000000000002</c:v>
                  </c:pt>
                  <c:pt idx="1">
                    <c:v>0.61800000000000066</c:v>
                  </c:pt>
                </c:numCache>
              </c:numRef>
            </c:minus>
            <c:spPr>
              <a:noFill/>
              <a:ln w="9525" cap="flat" cmpd="sng" algn="ctr">
                <a:solidFill>
                  <a:schemeClr val="dk1">
                    <a:lumMod val="50000"/>
                    <a:lumOff val="50000"/>
                  </a:schemeClr>
                </a:solidFill>
                <a:prstDash val="solid"/>
                <a:round/>
              </a:ln>
              <a:effectLst/>
            </c:spPr>
          </c:errBars>
          <c:cat>
            <c:strRef>
              <c:f>Sheet1!$A$2:$A$3</c:f>
              <c:strCache>
                <c:ptCount val="2"/>
                <c:pt idx="0">
                  <c:v>PAIKO</c:v>
                </c:pt>
                <c:pt idx="1">
                  <c:v>DUKPA</c:v>
                </c:pt>
              </c:strCache>
            </c:strRef>
          </c:cat>
          <c:val>
            <c:numRef>
              <c:f>Sheet1!$B$2:$B$3</c:f>
              <c:numCache>
                <c:formatCode>General</c:formatCode>
                <c:ptCount val="2"/>
                <c:pt idx="0">
                  <c:v>0.92600000000000005</c:v>
                </c:pt>
                <c:pt idx="1">
                  <c:v>2.23</c:v>
                </c:pt>
              </c:numCache>
            </c:numRef>
          </c:val>
        </c:ser>
        <c:ser>
          <c:idx val="1"/>
          <c:order val="1"/>
          <c:tx>
            <c:strRef>
              <c:f>Sheet1!$C$1</c:f>
              <c:strCache>
                <c:ptCount val="1"/>
                <c:pt idx="0">
                  <c:v>NON NET</c:v>
                </c:pt>
              </c:strCache>
            </c:strRef>
          </c:tx>
          <c:spPr>
            <a:ln w="22225" cap="rnd" cmpd="sng" algn="ctr">
              <a:solidFill>
                <a:schemeClr val="accent2"/>
              </a:solidFill>
              <a:prstDash val="solid"/>
              <a:round/>
            </a:ln>
            <a:effectLst/>
          </c:spPr>
          <c:marker>
            <c:symbol val="none"/>
          </c:marker>
          <c:errBars>
            <c:errDir val="y"/>
            <c:errBarType val="both"/>
            <c:errValType val="cust"/>
            <c:plus>
              <c:numRef>
                <c:f>Sheet1!$F$2:$F$3</c:f>
                <c:numCache>
                  <c:formatCode>General</c:formatCode>
                  <c:ptCount val="2"/>
                  <c:pt idx="0">
                    <c:v>0.52200000000000002</c:v>
                  </c:pt>
                  <c:pt idx="1">
                    <c:v>0.61800000000000066</c:v>
                  </c:pt>
                </c:numCache>
              </c:numRef>
            </c:plus>
            <c:minus>
              <c:numRef>
                <c:f>Sheet1!$F$2:$F$3</c:f>
                <c:numCache>
                  <c:formatCode>General</c:formatCode>
                  <c:ptCount val="2"/>
                  <c:pt idx="0">
                    <c:v>0.52200000000000002</c:v>
                  </c:pt>
                  <c:pt idx="1">
                    <c:v>0.61800000000000066</c:v>
                  </c:pt>
                </c:numCache>
              </c:numRef>
            </c:minus>
            <c:spPr>
              <a:noFill/>
              <a:ln w="9525" cap="flat" cmpd="sng" algn="ctr">
                <a:solidFill>
                  <a:schemeClr val="dk1">
                    <a:lumMod val="50000"/>
                    <a:lumOff val="50000"/>
                  </a:schemeClr>
                </a:solidFill>
                <a:prstDash val="solid"/>
                <a:round/>
              </a:ln>
              <a:effectLst/>
            </c:spPr>
          </c:errBars>
          <c:cat>
            <c:strRef>
              <c:f>Sheet1!$A$2:$A$3</c:f>
              <c:strCache>
                <c:ptCount val="2"/>
                <c:pt idx="0">
                  <c:v>PAIKO</c:v>
                </c:pt>
                <c:pt idx="1">
                  <c:v>DUKPA</c:v>
                </c:pt>
              </c:strCache>
            </c:strRef>
          </c:cat>
          <c:val>
            <c:numRef>
              <c:f>Sheet1!$C$2:$C$3</c:f>
              <c:numCache>
                <c:formatCode>General</c:formatCode>
                <c:ptCount val="2"/>
                <c:pt idx="0">
                  <c:v>1.9500000000000013</c:v>
                </c:pt>
                <c:pt idx="1">
                  <c:v>3.11</c:v>
                </c:pt>
              </c:numCache>
            </c:numRef>
          </c:val>
        </c:ser>
        <c:ser>
          <c:idx val="2"/>
          <c:order val="2"/>
          <c:tx>
            <c:strRef>
              <c:f>Sheet1!$D$1</c:f>
              <c:strCache>
                <c:ptCount val="1"/>
                <c:pt idx="0">
                  <c:v>OVER ALL SPR</c:v>
                </c:pt>
              </c:strCache>
            </c:strRef>
          </c:tx>
          <c:spPr>
            <a:ln w="22225" cap="rnd" cmpd="sng" algn="ctr">
              <a:solidFill>
                <a:schemeClr val="accent3"/>
              </a:solidFill>
              <a:prstDash val="solid"/>
              <a:round/>
            </a:ln>
            <a:effectLst/>
          </c:spPr>
          <c:marker>
            <c:symbol val="none"/>
          </c:marker>
          <c:cat>
            <c:strRef>
              <c:f>Sheet1!$A$2:$A$3</c:f>
              <c:strCache>
                <c:ptCount val="2"/>
                <c:pt idx="0">
                  <c:v>PAIKO</c:v>
                </c:pt>
                <c:pt idx="1">
                  <c:v>DUKPA</c:v>
                </c:pt>
              </c:strCache>
            </c:strRef>
          </c:cat>
          <c:val>
            <c:numRef>
              <c:f>Sheet1!$D$2:$D$3</c:f>
              <c:numCache>
                <c:formatCode>General</c:formatCode>
                <c:ptCount val="2"/>
                <c:pt idx="0">
                  <c:v>0.11</c:v>
                </c:pt>
                <c:pt idx="1">
                  <c:v>0.2</c:v>
                </c:pt>
              </c:numCache>
            </c:numRef>
          </c:val>
        </c:ser>
        <c:marker val="1"/>
        <c:axId val="88344832"/>
        <c:axId val="88359296"/>
      </c:lineChart>
      <c:catAx>
        <c:axId val="88344832"/>
        <c:scaling>
          <c:orientation val="minMax"/>
        </c:scaling>
        <c:axPos val="b"/>
        <c:majorGridlines>
          <c:spPr>
            <a:ln w="9525" cap="flat" cmpd="sng" algn="ctr">
              <a:solidFill>
                <a:schemeClr val="dk1">
                  <a:lumMod val="15000"/>
                  <a:lumOff val="85000"/>
                </a:schemeClr>
              </a:solidFill>
              <a:prstDash val="solid"/>
              <a:round/>
            </a:ln>
            <a:effectLst/>
          </c:spPr>
        </c:majorGridlines>
        <c:title>
          <c:tx>
            <c:rich>
              <a:bodyPr rot="0" spcFirstLastPara="1" vertOverflow="ellipsis" vert="horz" wrap="square" anchor="ctr" anchorCtr="1"/>
              <a:lstStyle/>
              <a:p>
                <a:pPr>
                  <a:defRPr lang="zh-CN" sz="1200" b="1" i="0" u="none" strike="noStrike" kern="1200" baseline="0">
                    <a:solidFill>
                      <a:schemeClr val="dk1">
                        <a:lumMod val="65000"/>
                        <a:lumOff val="35000"/>
                      </a:schemeClr>
                    </a:solidFill>
                    <a:latin typeface="+mn-lt"/>
                    <a:ea typeface="+mn-ea"/>
                    <a:cs typeface="+mn-cs"/>
                  </a:defRPr>
                </a:pPr>
                <a:r>
                  <a:rPr lang="en-US" sz="1000"/>
                  <a:t>Communitie</a:t>
                </a:r>
                <a:r>
                  <a:rPr lang="en-US" sz="1200"/>
                  <a:t>s</a:t>
                </a:r>
              </a:p>
            </c:rich>
          </c:tx>
          <c:layout>
            <c:manualLayout>
              <c:xMode val="edge"/>
              <c:yMode val="edge"/>
              <c:x val="0.45533228346456733"/>
              <c:y val="0.7250333708286455"/>
            </c:manualLayout>
          </c:layout>
          <c:spPr>
            <a:noFill/>
            <a:ln>
              <a:noFill/>
            </a:ln>
            <a:effectLst/>
          </c:spPr>
        </c:title>
        <c:numFmt formatCode="General" sourceLinked="1"/>
        <c:maj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endParaRPr lang="en-US"/>
          </a:p>
        </c:txPr>
        <c:crossAx val="88359296"/>
        <c:crosses val="autoZero"/>
        <c:auto val="1"/>
        <c:lblAlgn val="ctr"/>
        <c:lblOffset val="100"/>
      </c:catAx>
      <c:valAx>
        <c:axId val="88359296"/>
        <c:scaling>
          <c:orientation val="minMax"/>
        </c:scaling>
        <c:axPos val="l"/>
        <c:majorGridlines>
          <c:spPr>
            <a:ln w="9525" cap="flat" cmpd="sng" algn="ctr">
              <a:solidFill>
                <a:schemeClr val="dk1">
                  <a:lumMod val="15000"/>
                  <a:lumOff val="85000"/>
                </a:schemeClr>
              </a:solidFill>
              <a:prstDash val="solid"/>
              <a:round/>
            </a:ln>
            <a:effectLst/>
          </c:spPr>
        </c:majorGridlines>
        <c:title>
          <c:tx>
            <c:rich>
              <a:bodyPr rot="-5400000" spcFirstLastPara="1" vertOverflow="ellipsis" vert="horz" wrap="square" anchor="ctr" anchorCtr="1"/>
              <a:lstStyle/>
              <a:p>
                <a:pPr>
                  <a:defRPr lang="zh-CN" sz="1200" b="1" i="0" u="none" strike="noStrike" kern="1200" baseline="0">
                    <a:solidFill>
                      <a:schemeClr val="dk1">
                        <a:lumMod val="65000"/>
                        <a:lumOff val="35000"/>
                      </a:schemeClr>
                    </a:solidFill>
                    <a:latin typeface="+mn-lt"/>
                    <a:ea typeface="+mn-ea"/>
                    <a:cs typeface="+mn-cs"/>
                  </a:defRPr>
                </a:pPr>
                <a:r>
                  <a:rPr lang="en-US" sz="900"/>
                  <a:t>Mean</a:t>
                </a:r>
                <a:r>
                  <a:rPr lang="en-US" sz="900" b="1"/>
                  <a:t> Sporozoite</a:t>
                </a:r>
                <a:r>
                  <a:rPr lang="en-US" sz="900"/>
                  <a:t> Rate</a:t>
                </a:r>
              </a:p>
            </c:rich>
          </c:tx>
          <c:spPr>
            <a:noFill/>
            <a:ln>
              <a:noFill/>
            </a:ln>
            <a:effectLst/>
          </c:spPr>
        </c:title>
        <c:numFmt formatCode="General" sourceLinked="1"/>
        <c:maj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en-US"/>
          </a:p>
        </c:txPr>
        <c:crossAx val="88344832"/>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dk1">
          <a:lumMod val="15000"/>
          <a:lumOff val="85000"/>
        </a:schemeClr>
      </a:solidFill>
      <a:prstDash val="solid"/>
      <a:round/>
    </a:ln>
    <a:effectLst/>
  </c:spPr>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2021-12-13T01:00:00Z</dcterms:created>
  <dcterms:modified xsi:type="dcterms:W3CDTF">2021-12-25T01:13:00Z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F09D7E0B85F748A4B49BDF7EF66704C7</vt:lpwstr>
  </property>
</Properties>
</file>