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C06" w:rsidRDefault="00AE7C06" w:rsidP="00530E88">
      <w:pPr>
        <w:adjustRightInd w:val="0"/>
        <w:snapToGrid w:val="0"/>
        <w:spacing w:after="0" w:line="240" w:lineRule="auto"/>
        <w:jc w:val="center"/>
        <w:rPr>
          <w:rFonts w:ascii="Times New Roman" w:hAnsi="Times New Roman" w:cs="Times New Roman"/>
          <w:b/>
          <w:bCs/>
          <w:sz w:val="20"/>
          <w:szCs w:val="20"/>
        </w:rPr>
      </w:pPr>
    </w:p>
    <w:p w:rsidR="00AE7C06" w:rsidRDefault="004215A4" w:rsidP="00530E88">
      <w:pPr>
        <w:adjustRightInd w:val="0"/>
        <w:snapToGrid w:val="0"/>
        <w:spacing w:after="0" w:line="240" w:lineRule="auto"/>
        <w:jc w:val="center"/>
        <w:rPr>
          <w:rFonts w:ascii="Times New Roman" w:hAnsi="Times New Roman" w:cs="Times New Roman"/>
          <w:b/>
          <w:bCs/>
          <w:sz w:val="20"/>
          <w:szCs w:val="20"/>
          <w:lang w:eastAsia="zh-CN"/>
        </w:rPr>
      </w:pPr>
      <w:r>
        <w:rPr>
          <w:rFonts w:ascii="Times New Roman" w:hAnsi="Times New Roman" w:cs="Times New Roman"/>
          <w:b/>
          <w:bCs/>
          <w:sz w:val="20"/>
          <w:szCs w:val="20"/>
        </w:rPr>
        <w:t>Impact of climate change on water resources of Haryana</w:t>
      </w:r>
    </w:p>
    <w:p w:rsidR="00AE7C06" w:rsidRDefault="00AE7C06" w:rsidP="00530E88">
      <w:pPr>
        <w:adjustRightInd w:val="0"/>
        <w:snapToGrid w:val="0"/>
        <w:spacing w:after="0" w:line="240" w:lineRule="auto"/>
        <w:jc w:val="center"/>
        <w:rPr>
          <w:rFonts w:ascii="Times New Roman" w:hAnsi="Times New Roman" w:cs="Times New Roman"/>
          <w:b/>
          <w:bCs/>
          <w:sz w:val="20"/>
          <w:szCs w:val="20"/>
          <w:lang w:eastAsia="zh-CN"/>
        </w:rPr>
      </w:pPr>
    </w:p>
    <w:p w:rsidR="00AE7C06" w:rsidRDefault="004215A4" w:rsidP="00530E88">
      <w:pPr>
        <w:adjustRightInd w:val="0"/>
        <w:snapToGrid w:val="0"/>
        <w:spacing w:after="0" w:line="240" w:lineRule="auto"/>
        <w:jc w:val="center"/>
        <w:rPr>
          <w:rFonts w:ascii="Times New Roman" w:hAnsi="Times New Roman" w:cs="Times New Roman" w:hint="eastAsia"/>
          <w:bCs/>
          <w:sz w:val="20"/>
          <w:szCs w:val="20"/>
          <w:lang w:eastAsia="zh-CN"/>
        </w:rPr>
      </w:pPr>
      <w:proofErr w:type="spellStart"/>
      <w:r w:rsidRPr="004C4F28">
        <w:rPr>
          <w:rFonts w:ascii="Times New Roman" w:hAnsi="Times New Roman" w:cs="Times New Roman"/>
          <w:bCs/>
          <w:sz w:val="20"/>
          <w:szCs w:val="20"/>
        </w:rPr>
        <w:t>Manju</w:t>
      </w:r>
      <w:proofErr w:type="spellEnd"/>
      <w:r w:rsidRPr="004C4F28">
        <w:rPr>
          <w:rFonts w:ascii="Times New Roman" w:hAnsi="Times New Roman" w:cs="Times New Roman"/>
          <w:bCs/>
          <w:sz w:val="20"/>
          <w:szCs w:val="20"/>
        </w:rPr>
        <w:t xml:space="preserve"> </w:t>
      </w:r>
      <w:proofErr w:type="spellStart"/>
      <w:r w:rsidRPr="004C4F28">
        <w:rPr>
          <w:rFonts w:ascii="Times New Roman" w:hAnsi="Times New Roman" w:cs="Times New Roman"/>
          <w:bCs/>
          <w:sz w:val="20"/>
          <w:szCs w:val="20"/>
        </w:rPr>
        <w:t>Bala</w:t>
      </w:r>
      <w:proofErr w:type="spellEnd"/>
    </w:p>
    <w:p w:rsidR="004C4F28" w:rsidRPr="004C4F28" w:rsidRDefault="004C4F28" w:rsidP="00530E88">
      <w:pPr>
        <w:adjustRightInd w:val="0"/>
        <w:snapToGrid w:val="0"/>
        <w:spacing w:after="0" w:line="240" w:lineRule="auto"/>
        <w:jc w:val="center"/>
        <w:rPr>
          <w:rFonts w:ascii="Times New Roman" w:hAnsi="Times New Roman" w:cs="Times New Roman" w:hint="eastAsia"/>
          <w:bCs/>
          <w:sz w:val="20"/>
          <w:szCs w:val="20"/>
          <w:lang w:eastAsia="zh-CN"/>
        </w:rPr>
      </w:pPr>
    </w:p>
    <w:p w:rsidR="00AE7C06" w:rsidRDefault="004215A4" w:rsidP="00530E88">
      <w:pPr>
        <w:autoSpaceDE w:val="0"/>
        <w:autoSpaceDN w:val="0"/>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 xml:space="preserve">Former Master Degree Student, Department of Geography, </w:t>
      </w:r>
      <w:proofErr w:type="spellStart"/>
      <w:r>
        <w:rPr>
          <w:rFonts w:ascii="Times New Roman" w:hAnsi="Times New Roman" w:cs="Times New Roman"/>
          <w:iCs/>
          <w:sz w:val="20"/>
          <w:szCs w:val="20"/>
        </w:rPr>
        <w:t>Kurukshetra</w:t>
      </w:r>
      <w:proofErr w:type="spellEnd"/>
      <w:r>
        <w:rPr>
          <w:rFonts w:ascii="Times New Roman" w:hAnsi="Times New Roman" w:cs="Times New Roman"/>
          <w:iCs/>
          <w:sz w:val="20"/>
          <w:szCs w:val="20"/>
        </w:rPr>
        <w:t xml:space="preserve"> University, </w:t>
      </w:r>
      <w:proofErr w:type="spellStart"/>
      <w:r>
        <w:rPr>
          <w:rFonts w:ascii="Times New Roman" w:hAnsi="Times New Roman" w:cs="Times New Roman"/>
          <w:iCs/>
          <w:sz w:val="20"/>
          <w:szCs w:val="20"/>
        </w:rPr>
        <w:t>Kurukshetra</w:t>
      </w:r>
      <w:proofErr w:type="spellEnd"/>
      <w:r>
        <w:rPr>
          <w:rFonts w:ascii="Times New Roman" w:hAnsi="Times New Roman" w:cs="Times New Roman"/>
          <w:iCs/>
          <w:sz w:val="20"/>
          <w:szCs w:val="20"/>
        </w:rPr>
        <w:t xml:space="preserve"> -136119, Haryana (India)</w:t>
      </w:r>
    </w:p>
    <w:p w:rsidR="00AE7C06" w:rsidRDefault="004215A4" w:rsidP="00530E88">
      <w:pPr>
        <w:adjustRightInd w:val="0"/>
        <w:snapToGrid w:val="0"/>
        <w:spacing w:after="0" w:line="240" w:lineRule="auto"/>
        <w:jc w:val="center"/>
        <w:rPr>
          <w:rFonts w:ascii="Times New Roman" w:hAnsi="Times New Roman" w:cs="Times New Roman"/>
          <w:iCs/>
          <w:sz w:val="20"/>
          <w:szCs w:val="20"/>
          <w:lang w:eastAsia="zh-CN"/>
        </w:rPr>
      </w:pPr>
      <w:r>
        <w:rPr>
          <w:rFonts w:ascii="Times New Roman" w:hAnsi="Times New Roman" w:cs="Times New Roman"/>
          <w:iCs/>
          <w:sz w:val="20"/>
          <w:szCs w:val="20"/>
        </w:rPr>
        <w:t>e-mail</w:t>
      </w:r>
      <w:r>
        <w:rPr>
          <w:rFonts w:ascii="Times New Roman" w:hAnsi="Times New Roman" w:cs="Times New Roman"/>
          <w:iCs/>
          <w:sz w:val="20"/>
          <w:szCs w:val="20"/>
          <w:lang w:eastAsia="zh-CN"/>
        </w:rPr>
        <w:t>：</w:t>
      </w:r>
      <w:r>
        <w:rPr>
          <w:rFonts w:ascii="Times New Roman" w:hAnsi="Times New Roman" w:cs="Times New Roman"/>
          <w:iCs/>
          <w:sz w:val="20"/>
          <w:szCs w:val="20"/>
          <w:lang w:eastAsia="zh-CN"/>
        </w:rPr>
        <w:t xml:space="preserve"> </w:t>
      </w:r>
      <w:hyperlink r:id="rId8" w:history="1">
        <w:r>
          <w:rPr>
            <w:rStyle w:val="Hyperlink"/>
            <w:rFonts w:ascii="Times New Roman" w:hAnsi="Times New Roman" w:cs="Times New Roman"/>
            <w:iCs/>
            <w:sz w:val="20"/>
            <w:szCs w:val="20"/>
          </w:rPr>
          <w:t>manju.arya002@gmail.com</w:t>
        </w:r>
      </w:hyperlink>
    </w:p>
    <w:p w:rsidR="00AE7C06" w:rsidRDefault="00AE7C06" w:rsidP="00530E88">
      <w:pPr>
        <w:adjustRightInd w:val="0"/>
        <w:snapToGrid w:val="0"/>
        <w:spacing w:after="0" w:line="240" w:lineRule="auto"/>
        <w:jc w:val="center"/>
        <w:rPr>
          <w:rFonts w:ascii="Times New Roman" w:hAnsi="Times New Roman" w:cs="Times New Roman"/>
          <w:iCs/>
          <w:sz w:val="20"/>
          <w:szCs w:val="20"/>
          <w:lang w:eastAsia="zh-CN"/>
        </w:rPr>
      </w:pPr>
    </w:p>
    <w:p w:rsidR="00AE7C06" w:rsidRDefault="004215A4" w:rsidP="00530E88">
      <w:pPr>
        <w:pStyle w:val="Default"/>
        <w:snapToGrid w:val="0"/>
        <w:jc w:val="both"/>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Abstract: The potential changes was assessed assuming existence of forest in different districts of Haryana, based on simulated forests under current as well as projected A1B scenario climatology. This analysis helps to assess the potential impacts of climate change for any future </w:t>
      </w:r>
      <w:proofErr w:type="spellStart"/>
      <w:r>
        <w:rPr>
          <w:rFonts w:ascii="Times New Roman" w:eastAsia="Times New Roman" w:hAnsi="Times New Roman" w:cs="Times New Roman"/>
          <w:color w:val="auto"/>
          <w:sz w:val="20"/>
          <w:szCs w:val="20"/>
          <w:lang w:bidi="ar-SA"/>
        </w:rPr>
        <w:t>afforestation</w:t>
      </w:r>
      <w:proofErr w:type="spellEnd"/>
      <w:r>
        <w:rPr>
          <w:rFonts w:ascii="Times New Roman" w:eastAsia="Times New Roman" w:hAnsi="Times New Roman" w:cs="Times New Roman"/>
          <w:color w:val="auto"/>
          <w:sz w:val="20"/>
          <w:szCs w:val="20"/>
          <w:lang w:bidi="ar-SA"/>
        </w:rPr>
        <w:t xml:space="preserve">/reforestation </w:t>
      </w:r>
      <w:proofErr w:type="spellStart"/>
      <w:r>
        <w:rPr>
          <w:rFonts w:ascii="Times New Roman" w:eastAsia="Times New Roman" w:hAnsi="Times New Roman" w:cs="Times New Roman"/>
          <w:color w:val="auto"/>
          <w:sz w:val="20"/>
          <w:szCs w:val="20"/>
          <w:lang w:bidi="ar-SA"/>
        </w:rPr>
        <w:t>programmes</w:t>
      </w:r>
      <w:proofErr w:type="spellEnd"/>
      <w:r>
        <w:rPr>
          <w:rFonts w:ascii="Times New Roman" w:eastAsia="Times New Roman" w:hAnsi="Times New Roman" w:cs="Times New Roman"/>
          <w:color w:val="auto"/>
          <w:sz w:val="20"/>
          <w:szCs w:val="20"/>
          <w:lang w:bidi="ar-SA"/>
        </w:rPr>
        <w:t xml:space="preserve">. It can be observed from Figure 38 that any </w:t>
      </w:r>
      <w:proofErr w:type="spellStart"/>
      <w:r>
        <w:rPr>
          <w:rFonts w:ascii="Times New Roman" w:eastAsia="Times New Roman" w:hAnsi="Times New Roman" w:cs="Times New Roman"/>
          <w:color w:val="auto"/>
          <w:sz w:val="20"/>
          <w:szCs w:val="20"/>
          <w:lang w:bidi="ar-SA"/>
        </w:rPr>
        <w:t>afforestation</w:t>
      </w:r>
      <w:proofErr w:type="spellEnd"/>
      <w:r>
        <w:rPr>
          <w:rFonts w:ascii="Times New Roman" w:eastAsia="Times New Roman" w:hAnsi="Times New Roman" w:cs="Times New Roman"/>
          <w:color w:val="auto"/>
          <w:sz w:val="20"/>
          <w:szCs w:val="20"/>
          <w:lang w:bidi="ar-SA"/>
        </w:rPr>
        <w:t xml:space="preserve"> </w:t>
      </w:r>
      <w:proofErr w:type="spellStart"/>
      <w:r>
        <w:rPr>
          <w:rFonts w:ascii="Times New Roman" w:eastAsia="Times New Roman" w:hAnsi="Times New Roman" w:cs="Times New Roman"/>
          <w:color w:val="auto"/>
          <w:sz w:val="20"/>
          <w:szCs w:val="20"/>
          <w:lang w:bidi="ar-SA"/>
        </w:rPr>
        <w:t>programme</w:t>
      </w:r>
      <w:proofErr w:type="spellEnd"/>
      <w:r>
        <w:rPr>
          <w:rFonts w:ascii="Times New Roman" w:eastAsia="Times New Roman" w:hAnsi="Times New Roman" w:cs="Times New Roman"/>
          <w:color w:val="auto"/>
          <w:sz w:val="20"/>
          <w:szCs w:val="20"/>
          <w:lang w:bidi="ar-SA"/>
        </w:rPr>
        <w:t xml:space="preserve"> undertaken in future, in the districts of </w:t>
      </w:r>
      <w:proofErr w:type="spellStart"/>
      <w:r>
        <w:rPr>
          <w:rFonts w:ascii="Times New Roman" w:eastAsia="Times New Roman" w:hAnsi="Times New Roman" w:cs="Times New Roman"/>
          <w:color w:val="auto"/>
          <w:sz w:val="20"/>
          <w:szCs w:val="20"/>
          <w:lang w:bidi="ar-SA"/>
        </w:rPr>
        <w:t>Karnal</w:t>
      </w:r>
      <w:proofErr w:type="spellEnd"/>
      <w:r>
        <w:rPr>
          <w:rFonts w:ascii="Times New Roman" w:eastAsia="Times New Roman" w:hAnsi="Times New Roman" w:cs="Times New Roman"/>
          <w:color w:val="auto"/>
          <w:sz w:val="20"/>
          <w:szCs w:val="20"/>
          <w:lang w:bidi="ar-SA"/>
        </w:rPr>
        <w:t xml:space="preserve">, </w:t>
      </w:r>
      <w:proofErr w:type="spellStart"/>
      <w:r>
        <w:rPr>
          <w:rFonts w:ascii="Times New Roman" w:eastAsia="Times New Roman" w:hAnsi="Times New Roman" w:cs="Times New Roman"/>
          <w:color w:val="auto"/>
          <w:sz w:val="20"/>
          <w:szCs w:val="20"/>
          <w:lang w:bidi="ar-SA"/>
        </w:rPr>
        <w:t>Panipat</w:t>
      </w:r>
      <w:proofErr w:type="spellEnd"/>
      <w:r>
        <w:rPr>
          <w:rFonts w:ascii="Times New Roman" w:eastAsia="Times New Roman" w:hAnsi="Times New Roman" w:cs="Times New Roman"/>
          <w:color w:val="auto"/>
          <w:sz w:val="20"/>
          <w:szCs w:val="20"/>
          <w:lang w:bidi="ar-SA"/>
        </w:rPr>
        <w:t xml:space="preserve">, </w:t>
      </w:r>
      <w:proofErr w:type="spellStart"/>
      <w:r>
        <w:rPr>
          <w:rFonts w:ascii="Times New Roman" w:eastAsia="Times New Roman" w:hAnsi="Times New Roman" w:cs="Times New Roman"/>
          <w:color w:val="auto"/>
          <w:sz w:val="20"/>
          <w:szCs w:val="20"/>
          <w:lang w:bidi="ar-SA"/>
        </w:rPr>
        <w:t>Jind</w:t>
      </w:r>
      <w:proofErr w:type="spellEnd"/>
      <w:r>
        <w:rPr>
          <w:rFonts w:ascii="Times New Roman" w:eastAsia="Times New Roman" w:hAnsi="Times New Roman" w:cs="Times New Roman"/>
          <w:color w:val="auto"/>
          <w:sz w:val="20"/>
          <w:szCs w:val="20"/>
          <w:lang w:bidi="ar-SA"/>
        </w:rPr>
        <w:t xml:space="preserve">, </w:t>
      </w:r>
      <w:proofErr w:type="spellStart"/>
      <w:r>
        <w:rPr>
          <w:rFonts w:ascii="Times New Roman" w:eastAsia="Times New Roman" w:hAnsi="Times New Roman" w:cs="Times New Roman"/>
          <w:color w:val="auto"/>
          <w:sz w:val="20"/>
          <w:szCs w:val="20"/>
          <w:lang w:bidi="ar-SA"/>
        </w:rPr>
        <w:t>Bhiwari</w:t>
      </w:r>
      <w:proofErr w:type="spellEnd"/>
      <w:r>
        <w:rPr>
          <w:rFonts w:ascii="Times New Roman" w:eastAsia="Times New Roman" w:hAnsi="Times New Roman" w:cs="Times New Roman"/>
          <w:color w:val="auto"/>
          <w:sz w:val="20"/>
          <w:szCs w:val="20"/>
          <w:lang w:bidi="ar-SA"/>
        </w:rPr>
        <w:t xml:space="preserve">, </w:t>
      </w:r>
      <w:proofErr w:type="spellStart"/>
      <w:r>
        <w:rPr>
          <w:rFonts w:ascii="Times New Roman" w:eastAsia="Times New Roman" w:hAnsi="Times New Roman" w:cs="Times New Roman"/>
          <w:color w:val="auto"/>
          <w:sz w:val="20"/>
          <w:szCs w:val="20"/>
          <w:lang w:bidi="ar-SA"/>
        </w:rPr>
        <w:t>Sonepat</w:t>
      </w:r>
      <w:proofErr w:type="spellEnd"/>
      <w:r>
        <w:rPr>
          <w:rFonts w:ascii="Times New Roman" w:eastAsia="Times New Roman" w:hAnsi="Times New Roman" w:cs="Times New Roman"/>
          <w:color w:val="auto"/>
          <w:sz w:val="20"/>
          <w:szCs w:val="20"/>
          <w:lang w:bidi="ar-SA"/>
        </w:rPr>
        <w:t xml:space="preserve">, </w:t>
      </w:r>
      <w:proofErr w:type="spellStart"/>
      <w:r>
        <w:rPr>
          <w:rFonts w:ascii="Times New Roman" w:eastAsia="Times New Roman" w:hAnsi="Times New Roman" w:cs="Times New Roman"/>
          <w:color w:val="auto"/>
          <w:sz w:val="20"/>
          <w:szCs w:val="20"/>
          <w:lang w:bidi="ar-SA"/>
        </w:rPr>
        <w:t>Gurgaon</w:t>
      </w:r>
      <w:proofErr w:type="spellEnd"/>
      <w:r>
        <w:rPr>
          <w:rFonts w:ascii="Times New Roman" w:eastAsia="Times New Roman" w:hAnsi="Times New Roman" w:cs="Times New Roman"/>
          <w:color w:val="auto"/>
          <w:sz w:val="20"/>
          <w:szCs w:val="20"/>
          <w:lang w:bidi="ar-SA"/>
        </w:rPr>
        <w:t xml:space="preserve">, etc., could be vulnerable to future climate impacts. The environmental conditions that induce heat stress on dairy animals can be calculated using temperature humidity index (THI). The heat stress begins to occur in dairy cattle wherein the THI is more than 72(&lt;72 no stress, 72 -79 mild, 80 -89 moderate, 90-98 severe and above 98 danger). The decreases in milk production can range from 10 to 25%. It has been estimated that with a temperature rise of 1.0 or 1.2°C with minor change in precipitation during May to August, milk productivity is likely to be marginally affected and during other months productivity will remain relatively unaffected. The negative impact of temperature rise on total milk production for India has been estimated about 1.6 million </w:t>
      </w:r>
      <w:proofErr w:type="spellStart"/>
      <w:r>
        <w:rPr>
          <w:rFonts w:ascii="Times New Roman" w:eastAsia="Times New Roman" w:hAnsi="Times New Roman" w:cs="Times New Roman"/>
          <w:color w:val="auto"/>
          <w:sz w:val="20"/>
          <w:szCs w:val="20"/>
          <w:lang w:bidi="ar-SA"/>
        </w:rPr>
        <w:t>tonnes</w:t>
      </w:r>
      <w:proofErr w:type="spellEnd"/>
      <w:r>
        <w:rPr>
          <w:rFonts w:ascii="Times New Roman" w:eastAsia="Times New Roman" w:hAnsi="Times New Roman" w:cs="Times New Roman"/>
          <w:color w:val="auto"/>
          <w:sz w:val="20"/>
          <w:szCs w:val="20"/>
          <w:lang w:bidi="ar-SA"/>
        </w:rPr>
        <w:t xml:space="preserve"> in 2020 and more than 15 million </w:t>
      </w:r>
      <w:proofErr w:type="spellStart"/>
      <w:r>
        <w:rPr>
          <w:rFonts w:ascii="Times New Roman" w:eastAsia="Times New Roman" w:hAnsi="Times New Roman" w:cs="Times New Roman"/>
          <w:color w:val="auto"/>
          <w:sz w:val="20"/>
          <w:szCs w:val="20"/>
          <w:lang w:bidi="ar-SA"/>
        </w:rPr>
        <w:t>tonnes</w:t>
      </w:r>
      <w:proofErr w:type="spellEnd"/>
      <w:r>
        <w:rPr>
          <w:rFonts w:ascii="Times New Roman" w:eastAsia="Times New Roman" w:hAnsi="Times New Roman" w:cs="Times New Roman"/>
          <w:color w:val="auto"/>
          <w:sz w:val="20"/>
          <w:szCs w:val="20"/>
          <w:lang w:bidi="ar-SA"/>
        </w:rPr>
        <w:t xml:space="preserve"> in 2050. An average adult cow or buffalo producing 10-15 lit milk per day requires about 40-45 lit/day as drinking water on hot days and about 40-60 lit for other related work thus requiring a minimum of 100 lit/ day/ animal. An organized animal farm following standard management practices and disposal of animal wastes requires additional water about 50-100 lit/day/animal. Any deficiency in water availability will certainly lead to decline in milk productivity.</w:t>
      </w:r>
    </w:p>
    <w:p w:rsidR="00AE7C06" w:rsidRDefault="004215A4" w:rsidP="00530E88">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color w:val="000000"/>
          <w:sz w:val="20"/>
          <w:szCs w:val="20"/>
        </w:rPr>
        <w:t>[</w:t>
      </w:r>
      <w:proofErr w:type="spellStart"/>
      <w:r>
        <w:rPr>
          <w:rFonts w:ascii="Times New Roman" w:hAnsi="Times New Roman" w:cs="Times New Roman"/>
          <w:sz w:val="20"/>
          <w:szCs w:val="20"/>
        </w:rPr>
        <w:t>Bala</w:t>
      </w:r>
      <w:proofErr w:type="spellEnd"/>
      <w:r>
        <w:rPr>
          <w:rFonts w:ascii="Times New Roman" w:hAnsi="Times New Roman" w:cs="Times New Roman"/>
          <w:sz w:val="20"/>
          <w:szCs w:val="20"/>
        </w:rPr>
        <w:t xml:space="preserve">, M. </w:t>
      </w:r>
      <w:r>
        <w:rPr>
          <w:rFonts w:ascii="Times New Roman" w:hAnsi="Times New Roman" w:cs="Times New Roman"/>
          <w:b/>
          <w:bCs/>
          <w:sz w:val="20"/>
          <w:szCs w:val="20"/>
        </w:rPr>
        <w:t>Impact of climate change on water resources of Haryana</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bCs/>
          <w:i/>
          <w:sz w:val="20"/>
          <w:szCs w:val="20"/>
        </w:rPr>
        <w:t>Researcher</w:t>
      </w:r>
      <w:r w:rsidR="00530E88">
        <w:rPr>
          <w:rFonts w:ascii="Times New Roman" w:hAnsi="Times New Roman" w:cs="Times New Roman" w:hint="eastAsia"/>
          <w:bCs/>
          <w:i/>
          <w:sz w:val="20"/>
          <w:szCs w:val="20"/>
          <w:lang w:eastAsia="zh-CN"/>
        </w:rPr>
        <w:t xml:space="preserve"> </w:t>
      </w:r>
      <w:r>
        <w:rPr>
          <w:rFonts w:ascii="Times New Roman" w:hAnsi="Times New Roman" w:cs="Times New Roman"/>
          <w:bCs/>
          <w:sz w:val="20"/>
          <w:szCs w:val="20"/>
        </w:rPr>
        <w:t>2021;13(</w:t>
      </w:r>
      <w:r>
        <w:rPr>
          <w:rFonts w:ascii="Times New Roman" w:hAnsi="Times New Roman" w:cs="Times New Roman"/>
          <w:bCs/>
          <w:sz w:val="20"/>
          <w:szCs w:val="20"/>
          <w:lang w:eastAsia="zh-CN"/>
        </w:rPr>
        <w:t>10</w:t>
      </w:r>
      <w:r>
        <w:rPr>
          <w:rFonts w:ascii="Times New Roman" w:hAnsi="Times New Roman" w:cs="Times New Roman"/>
          <w:bCs/>
          <w:sz w:val="20"/>
          <w:szCs w:val="20"/>
        </w:rPr>
        <w:t>):</w:t>
      </w:r>
      <w:r>
        <w:rPr>
          <w:rFonts w:ascii="Times New Roman" w:hAnsi="Times New Roman" w:cs="Times New Roman" w:hint="eastAsia"/>
          <w:bCs/>
          <w:sz w:val="20"/>
          <w:szCs w:val="20"/>
          <w:lang w:eastAsia="zh-CN"/>
        </w:rPr>
        <w:t>44</w:t>
      </w:r>
      <w:r>
        <w:rPr>
          <w:rFonts w:ascii="Times New Roman" w:hAnsi="Times New Roman" w:cs="Times New Roman"/>
          <w:bCs/>
          <w:sz w:val="20"/>
          <w:szCs w:val="20"/>
        </w:rPr>
        <w:t>-</w:t>
      </w:r>
      <w:r>
        <w:rPr>
          <w:rFonts w:ascii="Times New Roman" w:hAnsi="Times New Roman" w:cs="Times New Roman" w:hint="eastAsia"/>
          <w:bCs/>
          <w:sz w:val="20"/>
          <w:szCs w:val="20"/>
          <w:lang w:eastAsia="zh-CN"/>
        </w:rPr>
        <w:t>50</w:t>
      </w:r>
      <w:r>
        <w:rPr>
          <w:rFonts w:ascii="Times New Roman" w:hAnsi="Times New Roman" w:cs="Times New Roman"/>
          <w:bCs/>
          <w:sz w:val="20"/>
          <w:szCs w:val="20"/>
        </w:rPr>
        <w:t>]</w:t>
      </w:r>
      <w:r w:rsidR="00530E88">
        <w:rPr>
          <w:rFonts w:ascii="Times New Roman" w:hAnsi="Times New Roman" w:cs="Times New Roman" w:hint="eastAsia"/>
          <w:bCs/>
          <w:sz w:val="20"/>
          <w:szCs w:val="20"/>
          <w:lang w:eastAsia="zh-CN"/>
        </w:rPr>
        <w:t xml:space="preserve"> </w:t>
      </w:r>
      <w:r>
        <w:rPr>
          <w:rFonts w:ascii="Times New Roman" w:hAnsi="Times New Roman" w:cs="Times New Roman"/>
          <w:sz w:val="20"/>
          <w:szCs w:val="20"/>
        </w:rPr>
        <w:t>ISSN</w:t>
      </w:r>
      <w:r w:rsidR="00530E88">
        <w:rPr>
          <w:rFonts w:ascii="Times New Roman" w:hAnsi="Times New Roman" w:cs="Times New Roman" w:hint="eastAsia"/>
          <w:sz w:val="20"/>
          <w:szCs w:val="20"/>
          <w:lang w:eastAsia="zh-CN"/>
        </w:rPr>
        <w:t xml:space="preserve"> </w:t>
      </w:r>
      <w:r>
        <w:rPr>
          <w:rFonts w:ascii="Times New Roman" w:hAnsi="Times New Roman" w:cs="Times New Roman"/>
          <w:sz w:val="20"/>
          <w:szCs w:val="20"/>
        </w:rPr>
        <w:t>1553-9865(print);</w:t>
      </w:r>
      <w:r w:rsidR="00530E88">
        <w:rPr>
          <w:rFonts w:ascii="Times New Roman" w:hAnsi="Times New Roman" w:cs="Times New Roman" w:hint="eastAsia"/>
          <w:sz w:val="20"/>
          <w:szCs w:val="20"/>
          <w:lang w:eastAsia="zh-CN"/>
        </w:rPr>
        <w:t xml:space="preserve"> </w:t>
      </w:r>
      <w:r>
        <w:rPr>
          <w:rFonts w:ascii="Times New Roman" w:hAnsi="Times New Roman" w:cs="Times New Roman"/>
          <w:sz w:val="20"/>
          <w:szCs w:val="20"/>
        </w:rPr>
        <w:t>ISSN</w:t>
      </w:r>
      <w:r w:rsidR="00530E88">
        <w:rPr>
          <w:rFonts w:ascii="Times New Roman" w:hAnsi="Times New Roman" w:cs="Times New Roman" w:hint="eastAsia"/>
          <w:sz w:val="20"/>
          <w:szCs w:val="20"/>
          <w:lang w:eastAsia="zh-CN"/>
        </w:rPr>
        <w:t xml:space="preserve"> </w:t>
      </w:r>
      <w:r>
        <w:rPr>
          <w:rFonts w:ascii="Times New Roman" w:hAnsi="Times New Roman" w:cs="Times New Roman"/>
          <w:sz w:val="20"/>
          <w:szCs w:val="20"/>
        </w:rPr>
        <w:t>2163-8950</w:t>
      </w:r>
      <w:r w:rsidR="00530E88">
        <w:rPr>
          <w:rFonts w:ascii="Times New Roman" w:hAnsi="Times New Roman" w:cs="Times New Roman" w:hint="eastAsia"/>
          <w:sz w:val="20"/>
          <w:szCs w:val="20"/>
          <w:lang w:eastAsia="zh-CN"/>
        </w:rPr>
        <w:t xml:space="preserve"> </w:t>
      </w:r>
      <w:r>
        <w:rPr>
          <w:rFonts w:ascii="Times New Roman" w:hAnsi="Times New Roman" w:cs="Times New Roman"/>
          <w:sz w:val="20"/>
          <w:szCs w:val="20"/>
        </w:rPr>
        <w:t>(online).</w:t>
      </w:r>
      <w:r w:rsidR="00530E88">
        <w:rPr>
          <w:rFonts w:ascii="Times New Roman" w:hAnsi="Times New Roman" w:cs="Times New Roman" w:hint="eastAsia"/>
          <w:sz w:val="20"/>
          <w:szCs w:val="20"/>
          <w:lang w:eastAsia="zh-CN"/>
        </w:rPr>
        <w:t xml:space="preserve"> </w:t>
      </w:r>
      <w:hyperlink r:id="rId9"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w:t>
      </w:r>
      <w:r>
        <w:rPr>
          <w:rFonts w:ascii="Times New Roman" w:eastAsia="宋体" w:hAnsi="Times New Roman" w:cs="Times New Roman"/>
          <w:bCs/>
          <w:sz w:val="20"/>
          <w:szCs w:val="20"/>
          <w:lang w:eastAsia="zh-CN"/>
        </w:rPr>
        <w:t xml:space="preserve"> </w:t>
      </w:r>
      <w:r>
        <w:rPr>
          <w:rFonts w:ascii="Times New Roman" w:hAnsi="Times New Roman" w:cs="Times New Roman" w:hint="eastAsia"/>
          <w:bCs/>
          <w:sz w:val="20"/>
          <w:szCs w:val="20"/>
          <w:lang w:eastAsia="zh-CN"/>
        </w:rPr>
        <w:t>6</w:t>
      </w:r>
      <w:r>
        <w:rPr>
          <w:rFonts w:ascii="Times New Roman" w:hAnsi="Times New Roman" w:cs="Times New Roman"/>
          <w:bCs/>
          <w:sz w:val="20"/>
          <w:szCs w:val="20"/>
          <w:lang w:eastAsia="zh-CN"/>
        </w:rPr>
        <w:t>.</w:t>
      </w:r>
      <w:r w:rsidR="00530E88">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doi:</w:t>
      </w:r>
      <w:hyperlink r:id="rId10" w:history="1">
        <w:r>
          <w:rPr>
            <w:rStyle w:val="Hyperlink"/>
            <w:rFonts w:ascii="Times New Roman" w:hAnsi="Times New Roman" w:cs="Times New Roman"/>
            <w:bCs/>
            <w:sz w:val="20"/>
            <w:szCs w:val="20"/>
          </w:rPr>
          <w:t>10.7537/marsrsj13102</w:t>
        </w:r>
      </w:hyperlink>
      <w:r>
        <w:rPr>
          <w:rStyle w:val="Hyperlink"/>
          <w:rFonts w:ascii="Times New Roman" w:hAnsi="Times New Roman" w:cs="Times New Roman"/>
          <w:sz w:val="20"/>
          <w:szCs w:val="20"/>
        </w:rPr>
        <w:t>1.</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6</w:t>
      </w:r>
      <w:r>
        <w:rPr>
          <w:rStyle w:val="Hyperlink"/>
          <w:rFonts w:ascii="Times New Roman" w:hAnsi="Times New Roman" w:cs="Times New Roman"/>
          <w:sz w:val="20"/>
          <w:szCs w:val="20"/>
        </w:rPr>
        <w:t>.</w:t>
      </w:r>
    </w:p>
    <w:p w:rsidR="00AE7C06" w:rsidRDefault="00AE7C06" w:rsidP="00530E88">
      <w:pPr>
        <w:adjustRightInd w:val="0"/>
        <w:snapToGrid w:val="0"/>
        <w:spacing w:after="0" w:line="240" w:lineRule="auto"/>
        <w:jc w:val="both"/>
        <w:rPr>
          <w:rFonts w:ascii="Times New Roman" w:hAnsi="Times New Roman" w:cs="Times New Roman"/>
          <w:b/>
          <w:bCs/>
          <w:sz w:val="20"/>
          <w:szCs w:val="20"/>
          <w:lang w:eastAsia="zh-CN"/>
        </w:rPr>
      </w:pPr>
    </w:p>
    <w:p w:rsidR="00AE7C06" w:rsidRDefault="004215A4" w:rsidP="00530E88">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Keywords:</w:t>
      </w:r>
      <w:r>
        <w:rPr>
          <w:rFonts w:ascii="Times New Roman" w:eastAsia="Times New Roman" w:hAnsi="Times New Roman" w:cs="Times New Roman"/>
          <w:sz w:val="20"/>
          <w:szCs w:val="20"/>
        </w:rPr>
        <w:t xml:space="preserve"> Water, </w:t>
      </w:r>
      <w:proofErr w:type="spellStart"/>
      <w:r>
        <w:rPr>
          <w:rFonts w:ascii="Times New Roman" w:eastAsia="Times New Roman" w:hAnsi="Times New Roman" w:cs="Times New Roman"/>
          <w:sz w:val="20"/>
          <w:szCs w:val="20"/>
        </w:rPr>
        <w:t>Cimate</w:t>
      </w:r>
      <w:proofErr w:type="spellEnd"/>
      <w:r>
        <w:rPr>
          <w:rFonts w:ascii="Times New Roman" w:eastAsia="Times New Roman" w:hAnsi="Times New Roman" w:cs="Times New Roman"/>
          <w:sz w:val="20"/>
          <w:szCs w:val="20"/>
        </w:rPr>
        <w:t xml:space="preserve"> Change, Impact, Haryana</w:t>
      </w:r>
    </w:p>
    <w:p w:rsidR="00AE7C06" w:rsidRDefault="00AE7C06" w:rsidP="00530E88">
      <w:pPr>
        <w:pStyle w:val="Default"/>
        <w:snapToGrid w:val="0"/>
        <w:jc w:val="both"/>
        <w:rPr>
          <w:rFonts w:ascii="Times New Roman" w:eastAsiaTheme="minorEastAsia" w:hAnsi="Times New Roman" w:cs="Times New Roman"/>
          <w:b/>
          <w:bCs/>
          <w:color w:val="auto"/>
          <w:sz w:val="20"/>
          <w:szCs w:val="20"/>
          <w:lang w:eastAsia="zh-CN"/>
        </w:rPr>
      </w:pPr>
    </w:p>
    <w:p w:rsidR="00AE7C06" w:rsidRDefault="00AE7C06" w:rsidP="00530E88">
      <w:pPr>
        <w:pStyle w:val="Default"/>
        <w:snapToGrid w:val="0"/>
        <w:jc w:val="both"/>
        <w:rPr>
          <w:rFonts w:ascii="Times New Roman" w:eastAsiaTheme="minorEastAsia" w:hAnsi="Times New Roman" w:cs="Times New Roman"/>
          <w:b/>
          <w:bCs/>
          <w:color w:val="auto"/>
          <w:sz w:val="20"/>
          <w:szCs w:val="20"/>
          <w:lang w:eastAsia="zh-CN"/>
        </w:rPr>
        <w:sectPr w:rsidR="00AE7C06">
          <w:headerReference w:type="default" r:id="rId11"/>
          <w:footerReference w:type="default" r:id="rId12"/>
          <w:headerReference w:type="first" r:id="rId13"/>
          <w:footerReference w:type="first" r:id="rId14"/>
          <w:pgSz w:w="12240" w:h="15840"/>
          <w:pgMar w:top="1440" w:right="1440" w:bottom="1440" w:left="1440" w:header="720" w:footer="720" w:gutter="0"/>
          <w:pgNumType w:start="44"/>
          <w:cols w:space="720"/>
          <w:titlePg/>
          <w:docGrid w:linePitch="360"/>
        </w:sectPr>
      </w:pPr>
    </w:p>
    <w:p w:rsidR="00530E88" w:rsidRDefault="004215A4" w:rsidP="00530E88">
      <w:pPr>
        <w:pStyle w:val="Default"/>
        <w:snapToGrid w:val="0"/>
        <w:jc w:val="both"/>
        <w:rPr>
          <w:rFonts w:ascii="Times New Roman" w:eastAsiaTheme="minorEastAsia" w:hAnsi="Times New Roman" w:cs="Times New Roman"/>
          <w:color w:val="auto"/>
          <w:sz w:val="20"/>
          <w:szCs w:val="20"/>
          <w:lang w:eastAsia="zh-CN"/>
        </w:rPr>
      </w:pPr>
      <w:r>
        <w:rPr>
          <w:rFonts w:ascii="Times New Roman" w:hAnsi="Times New Roman" w:cs="Times New Roman"/>
          <w:b/>
          <w:bCs/>
          <w:color w:val="auto"/>
          <w:sz w:val="20"/>
          <w:szCs w:val="20"/>
        </w:rPr>
        <w:lastRenderedPageBreak/>
        <w:t>Introduction:</w:t>
      </w:r>
      <w:r>
        <w:rPr>
          <w:rFonts w:ascii="Times New Roman" w:hAnsi="Times New Roman" w:cs="Times New Roman"/>
          <w:color w:val="auto"/>
          <w:sz w:val="20"/>
          <w:szCs w:val="20"/>
        </w:rPr>
        <w:t xml:space="preserve"> </w:t>
      </w:r>
    </w:p>
    <w:p w:rsidR="00AE7C06" w:rsidRDefault="00530E88" w:rsidP="00530E88">
      <w:pPr>
        <w:pStyle w:val="Default"/>
        <w:snapToGrid w:val="0"/>
        <w:ind w:firstLine="720"/>
        <w:jc w:val="both"/>
        <w:rPr>
          <w:rFonts w:ascii="Times New Roman" w:hAnsi="Times New Roman" w:cs="Times New Roman"/>
          <w:color w:val="auto"/>
          <w:sz w:val="20"/>
          <w:szCs w:val="20"/>
        </w:rPr>
      </w:pPr>
      <w:proofErr w:type="spellStart"/>
      <w:r>
        <w:rPr>
          <w:rFonts w:ascii="Times New Roman" w:eastAsiaTheme="minorEastAsia" w:hAnsi="Times New Roman" w:cs="Times New Roman" w:hint="eastAsia"/>
          <w:color w:val="auto"/>
          <w:sz w:val="20"/>
          <w:szCs w:val="20"/>
          <w:lang w:eastAsia="zh-CN"/>
        </w:rPr>
        <w:t>L</w:t>
      </w:r>
      <w:r w:rsidR="004215A4">
        <w:rPr>
          <w:rFonts w:ascii="Times New Roman" w:hAnsi="Times New Roman" w:cs="Times New Roman"/>
          <w:color w:val="auto"/>
          <w:sz w:val="20"/>
          <w:szCs w:val="20"/>
        </w:rPr>
        <w:t>imate</w:t>
      </w:r>
      <w:proofErr w:type="spellEnd"/>
      <w:r w:rsidR="004215A4">
        <w:rPr>
          <w:rFonts w:ascii="Times New Roman" w:hAnsi="Times New Roman" w:cs="Times New Roman"/>
          <w:color w:val="auto"/>
          <w:sz w:val="20"/>
          <w:szCs w:val="20"/>
        </w:rPr>
        <w:t xml:space="preserve"> change may also markedly change the seasonal variation in river-flow. Higher temperatures will push the snow limit upwards in northern Europe and in mountainous regions. This, in conjunction with less </w:t>
      </w:r>
      <w:hyperlink r:id="rId15" w:tooltip="see glossary definition" w:history="1">
        <w:r w:rsidR="004215A4">
          <w:rPr>
            <w:rStyle w:val="Hyperlink"/>
            <w:rFonts w:ascii="Times New Roman" w:hAnsi="Times New Roman" w:cs="Times New Roman"/>
            <w:color w:val="auto"/>
            <w:sz w:val="20"/>
            <w:szCs w:val="20"/>
            <w:u w:val="none"/>
          </w:rPr>
          <w:t>precipitation</w:t>
        </w:r>
      </w:hyperlink>
      <w:r w:rsidR="004215A4">
        <w:rPr>
          <w:rFonts w:ascii="Times New Roman" w:hAnsi="Times New Roman" w:cs="Times New Roman"/>
          <w:color w:val="auto"/>
          <w:sz w:val="20"/>
          <w:szCs w:val="20"/>
        </w:rPr>
        <w:t> falling as snow, will result in a higher winter run-off in northern European and mountain-fed rivers, such as the Rhine, the Rhône, the Po, and the Danube. Moreover, earlier spring melts will lead to a shift in peak flow levels. As a result of the declining snow reservoir and decreasing glaciers, there will be less water to compensate for the low flow rates in summer.</w:t>
      </w:r>
      <w:r w:rsidR="004215A4">
        <w:rPr>
          <w:rFonts w:ascii="Times New Roman" w:hAnsi="Times New Roman" w:cs="Times New Roman"/>
          <w:color w:val="auto"/>
          <w:sz w:val="20"/>
          <w:szCs w:val="20"/>
          <w:vertAlign w:val="superscript"/>
        </w:rPr>
        <w:t>1</w:t>
      </w:r>
    </w:p>
    <w:p w:rsidR="00AE7C06" w:rsidRDefault="004215A4" w:rsidP="00530E88">
      <w:pPr>
        <w:pStyle w:val="NormalWeb"/>
        <w:adjustRightInd w:val="0"/>
        <w:snapToGrid w:val="0"/>
        <w:spacing w:before="0" w:beforeAutospacing="0" w:after="0" w:afterAutospacing="0"/>
        <w:ind w:firstLineChars="354" w:firstLine="708"/>
        <w:jc w:val="both"/>
        <w:rPr>
          <w:sz w:val="20"/>
          <w:szCs w:val="20"/>
        </w:rPr>
      </w:pPr>
      <w:r>
        <w:rPr>
          <w:sz w:val="20"/>
          <w:szCs w:val="20"/>
        </w:rPr>
        <w:t>Climate change tends to increase the frequency and intensity of rainfall; there may be an increase in the occurrence of flooding due to heavy rainfall events. Groundwater recharge may also be affected with a reduction in the availability of groundwater for drinking water in some regions.</w:t>
      </w:r>
    </w:p>
    <w:p w:rsidR="00AE7C06" w:rsidRDefault="004215A4" w:rsidP="00530E88">
      <w:pPr>
        <w:pStyle w:val="NormalWeb"/>
        <w:adjustRightInd w:val="0"/>
        <w:snapToGrid w:val="0"/>
        <w:spacing w:before="0" w:beforeAutospacing="0" w:after="0" w:afterAutospacing="0"/>
        <w:ind w:firstLineChars="354" w:firstLine="708"/>
        <w:jc w:val="both"/>
        <w:rPr>
          <w:sz w:val="20"/>
          <w:szCs w:val="20"/>
        </w:rPr>
      </w:pPr>
      <w:r>
        <w:rPr>
          <w:sz w:val="20"/>
          <w:szCs w:val="20"/>
        </w:rPr>
        <w:t xml:space="preserve">Changes in average water availability in most European river basins are estimated to be relatively small for the next 30 years. However, in the long-term most climate change scenarios predict that </w:t>
      </w:r>
      <w:r>
        <w:rPr>
          <w:sz w:val="20"/>
          <w:szCs w:val="20"/>
        </w:rPr>
        <w:lastRenderedPageBreak/>
        <w:t>northern and eastern Europe will see an increase in annual average river flow and water availability. In contrast, average run-off in southern European rivers is projected to decrease. In particular, some river basins in the Mediterranean region, which already face </w:t>
      </w:r>
      <w:hyperlink r:id="rId16" w:tooltip="see glossary definition" w:history="1">
        <w:r>
          <w:rPr>
            <w:rStyle w:val="Hyperlink"/>
            <w:rFonts w:eastAsia="Calibri"/>
            <w:color w:val="auto"/>
            <w:sz w:val="20"/>
            <w:szCs w:val="20"/>
            <w:u w:val="none"/>
          </w:rPr>
          <w:t>water stress</w:t>
        </w:r>
      </w:hyperlink>
      <w:r>
        <w:rPr>
          <w:sz w:val="20"/>
          <w:szCs w:val="20"/>
        </w:rPr>
        <w:t>, may see marked decreases of water availability.</w:t>
      </w:r>
      <w:r>
        <w:rPr>
          <w:sz w:val="20"/>
          <w:szCs w:val="20"/>
          <w:vertAlign w:val="superscript"/>
        </w:rPr>
        <w:t xml:space="preserve"> 2</w:t>
      </w:r>
    </w:p>
    <w:p w:rsidR="00AE7C06" w:rsidRDefault="004215A4" w:rsidP="00530E88">
      <w:pPr>
        <w:pStyle w:val="NormalWeb"/>
        <w:shd w:val="clear" w:color="auto" w:fill="FFFFFF"/>
        <w:adjustRightInd w:val="0"/>
        <w:snapToGrid w:val="0"/>
        <w:spacing w:before="0" w:beforeAutospacing="0" w:after="0" w:afterAutospacing="0"/>
        <w:ind w:firstLineChars="354" w:firstLine="708"/>
        <w:jc w:val="both"/>
        <w:rPr>
          <w:sz w:val="20"/>
          <w:szCs w:val="20"/>
        </w:rPr>
      </w:pPr>
      <w:r>
        <w:rPr>
          <w:sz w:val="20"/>
          <w:szCs w:val="20"/>
        </w:rPr>
        <w:t>While climate change repercussions are predicted to be varied and ubiquitous, it is the fate of water that deserves highest consideration, as the prosperity of communities —and countries — hangs in the balance.</w:t>
      </w:r>
    </w:p>
    <w:p w:rsidR="00AE7C06" w:rsidRDefault="004215A4" w:rsidP="00530E88">
      <w:pPr>
        <w:pStyle w:val="NormalWeb"/>
        <w:shd w:val="clear" w:color="auto" w:fill="FFFFFF"/>
        <w:adjustRightInd w:val="0"/>
        <w:snapToGrid w:val="0"/>
        <w:spacing w:before="0" w:beforeAutospacing="0" w:after="0" w:afterAutospacing="0"/>
        <w:ind w:firstLineChars="354" w:firstLine="708"/>
        <w:jc w:val="both"/>
        <w:rPr>
          <w:sz w:val="20"/>
          <w:szCs w:val="20"/>
        </w:rPr>
      </w:pPr>
      <w:r>
        <w:rPr>
          <w:sz w:val="20"/>
          <w:szCs w:val="20"/>
        </w:rPr>
        <w:t>Today, the forecasted and observed long-term climate change is becoming the most critical international problem of the 21st century. According to NASA’s research, the last five years have been considered the hottest in the history of observations</w:t>
      </w:r>
      <w:r>
        <w:rPr>
          <w:sz w:val="20"/>
          <w:szCs w:val="20"/>
          <w:vertAlign w:val="superscript"/>
        </w:rPr>
        <w:t>1</w:t>
      </w:r>
      <w:r>
        <w:rPr>
          <w:sz w:val="20"/>
          <w:szCs w:val="20"/>
        </w:rPr>
        <w:t>. Among the inevitable consequences of climate change, the most important is its impact on water resources — the basis of environmental well-being, economic growth, and global security</w:t>
      </w:r>
      <w:r>
        <w:rPr>
          <w:sz w:val="20"/>
          <w:szCs w:val="20"/>
          <w:vertAlign w:val="superscript"/>
        </w:rPr>
        <w:t>2</w:t>
      </w:r>
      <w:r>
        <w:rPr>
          <w:sz w:val="20"/>
          <w:szCs w:val="20"/>
        </w:rPr>
        <w:t>.</w:t>
      </w:r>
    </w:p>
    <w:p w:rsidR="00AE7C06" w:rsidRDefault="004215A4" w:rsidP="00530E88">
      <w:pPr>
        <w:pStyle w:val="NormalWeb"/>
        <w:shd w:val="clear" w:color="auto" w:fill="FFFFFF"/>
        <w:adjustRightInd w:val="0"/>
        <w:snapToGrid w:val="0"/>
        <w:spacing w:before="0" w:beforeAutospacing="0" w:after="0" w:afterAutospacing="0"/>
        <w:ind w:firstLineChars="354" w:firstLine="708"/>
        <w:jc w:val="both"/>
        <w:rPr>
          <w:sz w:val="20"/>
          <w:szCs w:val="20"/>
        </w:rPr>
      </w:pPr>
      <w:r>
        <w:rPr>
          <w:sz w:val="20"/>
          <w:szCs w:val="20"/>
        </w:rPr>
        <w:t xml:space="preserve">The main effect of climate change on the water resources of the entire planet is the disruption </w:t>
      </w:r>
      <w:r>
        <w:rPr>
          <w:sz w:val="20"/>
          <w:szCs w:val="20"/>
        </w:rPr>
        <w:lastRenderedPageBreak/>
        <w:t>of the hydrological cycle. Thus, the rise in temperature leads to an increase of the water vapor content in the atmosphere, a change in the regime and intensity of precipitation, an increase in evaporation from the earth’s surface, a decrease in snow cover, and melting of glaciers. The impacts of climate change on water resources, in turn, affect all major sectors of the economy.</w:t>
      </w:r>
    </w:p>
    <w:p w:rsidR="00AE7C06" w:rsidRDefault="004215A4" w:rsidP="00530E88">
      <w:pPr>
        <w:pStyle w:val="NormalWeb"/>
        <w:shd w:val="clear" w:color="auto" w:fill="FFFFFF"/>
        <w:adjustRightInd w:val="0"/>
        <w:snapToGrid w:val="0"/>
        <w:spacing w:before="0" w:beforeAutospacing="0" w:after="0" w:afterAutospacing="0"/>
        <w:ind w:firstLineChars="354" w:firstLine="708"/>
        <w:jc w:val="both"/>
        <w:rPr>
          <w:sz w:val="20"/>
          <w:szCs w:val="20"/>
        </w:rPr>
      </w:pPr>
      <w:r>
        <w:rPr>
          <w:sz w:val="20"/>
          <w:szCs w:val="20"/>
        </w:rPr>
        <w:t xml:space="preserve">Melting of glaciers and snow cover as a result of rising temperatures leads to a decrease in water supplies, thereby reducing water availability during warm and dry periods in regions supplied with </w:t>
      </w:r>
      <w:proofErr w:type="spellStart"/>
      <w:r>
        <w:rPr>
          <w:sz w:val="20"/>
          <w:szCs w:val="20"/>
        </w:rPr>
        <w:t>meltwater</w:t>
      </w:r>
      <w:proofErr w:type="spellEnd"/>
      <w:r>
        <w:rPr>
          <w:sz w:val="20"/>
          <w:szCs w:val="20"/>
        </w:rPr>
        <w:t xml:space="preserve"> from mountain ranges. Over the past decade, the volume of the Himalayan glaciers has decreased by two-thirds, while the glaciers in the Andes have almost disappeared</w:t>
      </w:r>
      <w:r>
        <w:rPr>
          <w:sz w:val="20"/>
          <w:szCs w:val="20"/>
          <w:vertAlign w:val="superscript"/>
        </w:rPr>
        <w:t>4</w:t>
      </w:r>
      <w:r>
        <w:rPr>
          <w:sz w:val="20"/>
          <w:szCs w:val="20"/>
        </w:rPr>
        <w:t>. Thawing of permafrost leads to an increase in landslides and thereby poses a threat to infrastructure in permafrost regions.</w:t>
      </w:r>
    </w:p>
    <w:p w:rsidR="00AE7C06" w:rsidRDefault="004215A4" w:rsidP="00530E88">
      <w:pPr>
        <w:pStyle w:val="NormalWeb"/>
        <w:shd w:val="clear" w:color="auto" w:fill="FFFFFF"/>
        <w:adjustRightInd w:val="0"/>
        <w:snapToGrid w:val="0"/>
        <w:spacing w:before="0" w:beforeAutospacing="0" w:after="0" w:afterAutospacing="0"/>
        <w:ind w:firstLineChars="354" w:firstLine="708"/>
        <w:jc w:val="both"/>
        <w:rPr>
          <w:sz w:val="20"/>
          <w:szCs w:val="20"/>
        </w:rPr>
      </w:pPr>
      <w:r>
        <w:rPr>
          <w:sz w:val="20"/>
          <w:szCs w:val="20"/>
        </w:rPr>
        <w:t>Changes in precipitation patterns due to climatic factors also affect soil moisture. Insufficient replenishment and increased evaporation in the long-term absence of precipitation cause the prolonged droughts that threaten water and food security. By mid-century, rising temperatures and the associated decrease in soil moisture in the Eastern Amazon are expected to gradually replace the rainforest, which plays an important water-regulating role with savanna</w:t>
      </w:r>
      <w:r>
        <w:rPr>
          <w:sz w:val="20"/>
          <w:szCs w:val="20"/>
          <w:vertAlign w:val="superscript"/>
        </w:rPr>
        <w:t>3</w:t>
      </w:r>
      <w:r>
        <w:rPr>
          <w:sz w:val="20"/>
          <w:szCs w:val="20"/>
        </w:rPr>
        <w:t>.</w:t>
      </w:r>
    </w:p>
    <w:p w:rsidR="00AE7C06" w:rsidRDefault="004215A4" w:rsidP="00530E88">
      <w:pPr>
        <w:pStyle w:val="NormalWeb"/>
        <w:shd w:val="clear" w:color="auto" w:fill="FFFFFF"/>
        <w:adjustRightInd w:val="0"/>
        <w:snapToGrid w:val="0"/>
        <w:spacing w:before="0" w:beforeAutospacing="0" w:after="0" w:afterAutospacing="0"/>
        <w:ind w:firstLineChars="354" w:firstLine="708"/>
        <w:jc w:val="both"/>
        <w:rPr>
          <w:sz w:val="20"/>
          <w:szCs w:val="20"/>
        </w:rPr>
      </w:pPr>
      <w:r>
        <w:rPr>
          <w:sz w:val="20"/>
          <w:szCs w:val="20"/>
        </w:rPr>
        <w:t>According to forecasts, as a result of climate change by 2050, annual average river runoff and water availability will increase at high latitudes and in wet tropical regions. In mid-latitudes and dry tropical regions, on the contrary, these indicators will decrease, causing a reduction in the amount of available water resources.</w:t>
      </w:r>
    </w:p>
    <w:p w:rsidR="00DB1678" w:rsidRDefault="00DB1678" w:rsidP="00DB1678">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AE7C06" w:rsidRDefault="004215A4" w:rsidP="00DB1678">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Methods and Models: </w:t>
      </w:r>
    </w:p>
    <w:p w:rsidR="00AE7C06" w:rsidRDefault="004215A4" w:rsidP="00530E88">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An assessment of the impact of projected climate change on water resources in Haryana is made using the hydrologic model SWAT</w:t>
      </w:r>
      <w:r>
        <w:rPr>
          <w:rFonts w:ascii="Times New Roman" w:hAnsi="Times New Roman" w:cs="Times New Roman"/>
          <w:position w:val="10"/>
          <w:sz w:val="20"/>
          <w:szCs w:val="20"/>
          <w:vertAlign w:val="superscript"/>
        </w:rPr>
        <w:t xml:space="preserve"> </w:t>
      </w:r>
      <w:r>
        <w:rPr>
          <w:rFonts w:ascii="Times New Roman" w:hAnsi="Times New Roman" w:cs="Times New Roman"/>
          <w:sz w:val="20"/>
          <w:szCs w:val="20"/>
        </w:rPr>
        <w:t xml:space="preserve">(Soil and Water Assessment Tool). The model requires information on terrain, soil profile and </w:t>
      </w:r>
      <w:r w:rsidR="00324105">
        <w:rPr>
          <w:rFonts w:ascii="Times New Roman" w:hAnsi="Times New Roman" w:cs="Times New Roman"/>
          <w:sz w:val="20"/>
          <w:szCs w:val="20"/>
        </w:rPr>
        <w:t>land use</w:t>
      </w:r>
      <w:r>
        <w:rPr>
          <w:rFonts w:ascii="Times New Roman" w:hAnsi="Times New Roman" w:cs="Times New Roman"/>
          <w:sz w:val="20"/>
          <w:szCs w:val="20"/>
        </w:rPr>
        <w:t xml:space="preserve"> of the area as input which have been obtained from the global sources. These three entities are assumed to be static for future as well. </w:t>
      </w:r>
    </w:p>
    <w:p w:rsidR="00AE7C06" w:rsidRDefault="004215A4" w:rsidP="00530E88">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The Yamuna river and Indus river basin which have their tributaries in Haryana has been </w:t>
      </w:r>
      <w:proofErr w:type="spellStart"/>
      <w:r>
        <w:rPr>
          <w:rFonts w:ascii="Times New Roman" w:hAnsi="Times New Roman" w:cs="Times New Roman"/>
          <w:sz w:val="20"/>
          <w:szCs w:val="20"/>
        </w:rPr>
        <w:t>modelled</w:t>
      </w:r>
      <w:proofErr w:type="spellEnd"/>
      <w:r>
        <w:rPr>
          <w:rFonts w:ascii="Times New Roman" w:hAnsi="Times New Roman" w:cs="Times New Roman"/>
          <w:sz w:val="20"/>
          <w:szCs w:val="20"/>
        </w:rPr>
        <w:t xml:space="preserve"> using the following: </w:t>
      </w:r>
    </w:p>
    <w:p w:rsidR="00AE7C06" w:rsidRDefault="004215A4" w:rsidP="00530E88">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lastRenderedPageBreak/>
        <w:t xml:space="preserve">Spatial data and the source of data used for the study areas include: </w:t>
      </w:r>
    </w:p>
    <w:p w:rsidR="00AE7C06" w:rsidRDefault="004215A4" w:rsidP="00530E88">
      <w:pPr>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Digital Elevation Model: SRTM, of 90 m resolution</w:t>
      </w:r>
      <w:r>
        <w:rPr>
          <w:rFonts w:ascii="Times New Roman" w:hAnsi="Times New Roman" w:cs="Times New Roman"/>
          <w:position w:val="10"/>
          <w:sz w:val="20"/>
          <w:szCs w:val="20"/>
          <w:vertAlign w:val="superscript"/>
        </w:rPr>
        <w:t>5</w:t>
      </w:r>
    </w:p>
    <w:p w:rsidR="00AE7C06" w:rsidRDefault="004215A4" w:rsidP="00530E88">
      <w:pPr>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Drainage Network – </w:t>
      </w:r>
      <w:proofErr w:type="spellStart"/>
      <w:r>
        <w:rPr>
          <w:rFonts w:ascii="Times New Roman" w:hAnsi="Times New Roman" w:cs="Times New Roman"/>
          <w:sz w:val="20"/>
          <w:szCs w:val="20"/>
        </w:rPr>
        <w:t>Hydroshed</w:t>
      </w:r>
      <w:proofErr w:type="spellEnd"/>
      <w:r>
        <w:rPr>
          <w:rFonts w:ascii="Times New Roman" w:hAnsi="Times New Roman" w:cs="Times New Roman"/>
          <w:position w:val="10"/>
          <w:sz w:val="20"/>
          <w:szCs w:val="20"/>
          <w:vertAlign w:val="superscript"/>
        </w:rPr>
        <w:t xml:space="preserve">5 </w:t>
      </w:r>
    </w:p>
    <w:p w:rsidR="00AE7C06" w:rsidRDefault="004215A4" w:rsidP="00530E88">
      <w:pPr>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Soil maps and associated soil characteristics (source: FAO Global soil)</w:t>
      </w:r>
      <w:r>
        <w:rPr>
          <w:rFonts w:ascii="Times New Roman" w:hAnsi="Times New Roman" w:cs="Times New Roman"/>
          <w:position w:val="10"/>
          <w:sz w:val="20"/>
          <w:szCs w:val="20"/>
          <w:vertAlign w:val="superscript"/>
        </w:rPr>
        <w:t xml:space="preserve">6 </w:t>
      </w:r>
    </w:p>
    <w:p w:rsidR="00AE7C06" w:rsidRDefault="004215A4" w:rsidP="00530E88">
      <w:pPr>
        <w:numPr>
          <w:ilvl w:val="0"/>
          <w:numId w:val="1"/>
        </w:num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Land use (source: Global </w:t>
      </w:r>
      <w:proofErr w:type="spellStart"/>
      <w:r>
        <w:rPr>
          <w:rFonts w:ascii="Times New Roman" w:hAnsi="Times New Roman" w:cs="Times New Roman"/>
          <w:sz w:val="20"/>
          <w:szCs w:val="20"/>
        </w:rPr>
        <w:t>landuse</w:t>
      </w:r>
      <w:proofErr w:type="spellEnd"/>
      <w:r>
        <w:rPr>
          <w:rFonts w:ascii="Times New Roman" w:hAnsi="Times New Roman" w:cs="Times New Roman"/>
          <w:sz w:val="20"/>
          <w:szCs w:val="20"/>
        </w:rPr>
        <w:t>)</w:t>
      </w:r>
      <w:r>
        <w:rPr>
          <w:rFonts w:ascii="Times New Roman" w:hAnsi="Times New Roman" w:cs="Times New Roman"/>
          <w:position w:val="10"/>
          <w:sz w:val="20"/>
          <w:szCs w:val="20"/>
          <w:vertAlign w:val="superscript"/>
        </w:rPr>
        <w:t xml:space="preserve">7 </w:t>
      </w:r>
    </w:p>
    <w:p w:rsidR="00AE7C06" w:rsidRDefault="00AE7C06" w:rsidP="00530E88">
      <w:pPr>
        <w:autoSpaceDE w:val="0"/>
        <w:autoSpaceDN w:val="0"/>
        <w:adjustRightInd w:val="0"/>
        <w:snapToGrid w:val="0"/>
        <w:spacing w:after="0" w:line="240" w:lineRule="auto"/>
        <w:jc w:val="both"/>
        <w:rPr>
          <w:rFonts w:ascii="Times New Roman" w:hAnsi="Times New Roman" w:cs="Times New Roman"/>
          <w:sz w:val="20"/>
          <w:szCs w:val="20"/>
        </w:rPr>
      </w:pPr>
    </w:p>
    <w:p w:rsidR="00AE7C06" w:rsidRDefault="004215A4" w:rsidP="00530E88">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Hydro-Meteorological data pertaining to the river basin required for </w:t>
      </w:r>
      <w:proofErr w:type="spellStart"/>
      <w:r>
        <w:rPr>
          <w:rFonts w:ascii="Times New Roman" w:hAnsi="Times New Roman" w:cs="Times New Roman"/>
          <w:sz w:val="20"/>
          <w:szCs w:val="20"/>
        </w:rPr>
        <w:t>modelling</w:t>
      </w:r>
      <w:proofErr w:type="spellEnd"/>
      <w:r>
        <w:rPr>
          <w:rFonts w:ascii="Times New Roman" w:hAnsi="Times New Roman" w:cs="Times New Roman"/>
          <w:sz w:val="20"/>
          <w:szCs w:val="20"/>
        </w:rPr>
        <w:t xml:space="preserve">, includes daily rainfall, maximum and minimum temperature, solar radiation, relative humidity and wind speed. Climate Change PRECIS Regional Climate Model outputs for Baseline (1961–1990, BL), near term (2021-2050, MC) and long term or end-century (2071-2100, EC) for A1B IPCC SRES scenario (Q14 QUMP ensemble) has been used. </w:t>
      </w:r>
    </w:p>
    <w:p w:rsidR="00AE7C06" w:rsidRDefault="00AE7C06" w:rsidP="00530E88">
      <w:pPr>
        <w:autoSpaceDE w:val="0"/>
        <w:autoSpaceDN w:val="0"/>
        <w:adjustRightInd w:val="0"/>
        <w:snapToGrid w:val="0"/>
        <w:spacing w:after="0" w:line="240" w:lineRule="auto"/>
        <w:jc w:val="both"/>
        <w:rPr>
          <w:rFonts w:ascii="Times New Roman" w:hAnsi="Times New Roman" w:cs="Times New Roman"/>
          <w:sz w:val="20"/>
          <w:szCs w:val="20"/>
        </w:rPr>
      </w:pPr>
    </w:p>
    <w:p w:rsidR="00AE7C06" w:rsidRDefault="004215A4" w:rsidP="00530E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Impacts of Climate Change on Water Resources </w:t>
      </w:r>
    </w:p>
    <w:p w:rsidR="00AE7C06" w:rsidRDefault="004215A4" w:rsidP="00DB1678">
      <w:pPr>
        <w:pStyle w:val="Default"/>
        <w:snapToGrid w:val="0"/>
        <w:ind w:firstLineChars="283" w:firstLine="566"/>
        <w:jc w:val="both"/>
        <w:rPr>
          <w:rFonts w:ascii="Times New Roman" w:hAnsi="Times New Roman" w:cs="Times New Roman"/>
          <w:color w:val="auto"/>
          <w:sz w:val="20"/>
          <w:szCs w:val="20"/>
        </w:rPr>
      </w:pPr>
      <w:r>
        <w:rPr>
          <w:rFonts w:ascii="Times New Roman" w:hAnsi="Times New Roman" w:cs="Times New Roman"/>
          <w:color w:val="auto"/>
          <w:sz w:val="20"/>
          <w:szCs w:val="20"/>
        </w:rPr>
        <w:t>The climate change impact assessment on water resources of Haryana has been taken from the recent study conducted (</w:t>
      </w:r>
      <w:proofErr w:type="spellStart"/>
      <w:r>
        <w:rPr>
          <w:rFonts w:ascii="Times New Roman" w:hAnsi="Times New Roman" w:cs="Times New Roman"/>
          <w:color w:val="auto"/>
          <w:sz w:val="20"/>
          <w:szCs w:val="20"/>
        </w:rPr>
        <w:t>Gosain</w:t>
      </w:r>
      <w:proofErr w:type="spellEnd"/>
      <w:r>
        <w:rPr>
          <w:rFonts w:ascii="Times New Roman" w:hAnsi="Times New Roman" w:cs="Times New Roman"/>
          <w:color w:val="auto"/>
          <w:sz w:val="20"/>
          <w:szCs w:val="20"/>
        </w:rPr>
        <w:t xml:space="preserve"> et al, 2011</w:t>
      </w:r>
      <w:r>
        <w:rPr>
          <w:rFonts w:ascii="Times New Roman" w:hAnsi="Times New Roman" w:cs="Times New Roman"/>
          <w:color w:val="auto"/>
          <w:position w:val="10"/>
          <w:sz w:val="20"/>
          <w:szCs w:val="20"/>
          <w:vertAlign w:val="superscript"/>
        </w:rPr>
        <w:t>8</w:t>
      </w:r>
      <w:r>
        <w:rPr>
          <w:rFonts w:ascii="Times New Roman" w:hAnsi="Times New Roman" w:cs="Times New Roman"/>
          <w:color w:val="auto"/>
          <w:sz w:val="20"/>
          <w:szCs w:val="20"/>
        </w:rPr>
        <w:t xml:space="preserve">) as part of the NATCOM Phase II study of </w:t>
      </w:r>
      <w:proofErr w:type="spellStart"/>
      <w:r>
        <w:rPr>
          <w:rFonts w:ascii="Times New Roman" w:hAnsi="Times New Roman" w:cs="Times New Roman"/>
          <w:color w:val="auto"/>
          <w:sz w:val="20"/>
          <w:szCs w:val="20"/>
        </w:rPr>
        <w:t>MoEF</w:t>
      </w:r>
      <w:proofErr w:type="spellEnd"/>
      <w:r>
        <w:rPr>
          <w:rFonts w:ascii="Times New Roman" w:hAnsi="Times New Roman" w:cs="Times New Roman"/>
          <w:color w:val="auto"/>
          <w:sz w:val="20"/>
          <w:szCs w:val="20"/>
        </w:rPr>
        <w:t xml:space="preserve">. For the present, analysis pertains to the modeling of River Yamuna and Indus using the hydrologic model SWAT has been used. Discussions on the impact assessment is provided below. </w:t>
      </w:r>
    </w:p>
    <w:p w:rsidR="00AE7C06" w:rsidRDefault="004215A4" w:rsidP="00DB1678">
      <w:pPr>
        <w:adjustRightInd w:val="0"/>
        <w:snapToGrid w:val="0"/>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 xml:space="preserve">For the Yamuna and Indus basins lying within Haryana, analysis projects an increase in annual precipitation of about 9% (72 mm) by mid century, this results in 46% (33 mm) increase in runoff to the stream flow and 7% (5 mm) increase in </w:t>
      </w:r>
      <w:proofErr w:type="spellStart"/>
      <w:r>
        <w:rPr>
          <w:rFonts w:ascii="Times New Roman" w:hAnsi="Times New Roman" w:cs="Times New Roman"/>
          <w:sz w:val="20"/>
          <w:szCs w:val="20"/>
        </w:rPr>
        <w:t>baseflow</w:t>
      </w:r>
      <w:proofErr w:type="spellEnd"/>
      <w:r>
        <w:rPr>
          <w:rFonts w:ascii="Times New Roman" w:hAnsi="Times New Roman" w:cs="Times New Roman"/>
          <w:sz w:val="20"/>
          <w:szCs w:val="20"/>
        </w:rPr>
        <w:t xml:space="preserve">, negligible decrease to the ground water recharge is projected. </w:t>
      </w:r>
      <w:proofErr w:type="spellStart"/>
      <w:r>
        <w:rPr>
          <w:rFonts w:ascii="Times New Roman" w:hAnsi="Times New Roman" w:cs="Times New Roman"/>
          <w:sz w:val="20"/>
          <w:szCs w:val="20"/>
        </w:rPr>
        <w:t>Evapotranspiration</w:t>
      </w:r>
      <w:proofErr w:type="spellEnd"/>
      <w:r>
        <w:rPr>
          <w:rFonts w:ascii="Times New Roman" w:hAnsi="Times New Roman" w:cs="Times New Roman"/>
          <w:sz w:val="20"/>
          <w:szCs w:val="20"/>
        </w:rPr>
        <w:t xml:space="preserve"> is projected to increase by 39% (28 mm). During the monsoon months (JJAS) increase in precipitation is projected to be about 10% (64 mm) and increase in </w:t>
      </w:r>
      <w:proofErr w:type="spellStart"/>
      <w:r>
        <w:rPr>
          <w:rFonts w:ascii="Times New Roman" w:hAnsi="Times New Roman" w:cs="Times New Roman"/>
          <w:sz w:val="20"/>
          <w:szCs w:val="20"/>
        </w:rPr>
        <w:t>evapotranspiration</w:t>
      </w:r>
      <w:proofErr w:type="spellEnd"/>
      <w:r>
        <w:rPr>
          <w:rFonts w:ascii="Times New Roman" w:hAnsi="Times New Roman" w:cs="Times New Roman"/>
          <w:sz w:val="20"/>
          <w:szCs w:val="20"/>
        </w:rPr>
        <w:t xml:space="preserve"> by 11% (17 mm). The indication is that in parts of the basin surface runoff would be increased under the A1B mid century scenario (Figure 1). Similarly during the Rabi season (OND), precipitation is projected to increase by 23% (17 mm) resulting in increase in runoff by 48% (8 mm) and negligible change in ground water recharge. </w:t>
      </w:r>
      <w:proofErr w:type="spellStart"/>
      <w:r>
        <w:rPr>
          <w:rFonts w:ascii="Times New Roman" w:hAnsi="Times New Roman" w:cs="Times New Roman"/>
          <w:sz w:val="20"/>
          <w:szCs w:val="20"/>
        </w:rPr>
        <w:t>Evapotranspoitartion</w:t>
      </w:r>
      <w:proofErr w:type="spellEnd"/>
      <w:r>
        <w:rPr>
          <w:rFonts w:ascii="Times New Roman" w:hAnsi="Times New Roman" w:cs="Times New Roman"/>
          <w:sz w:val="20"/>
          <w:szCs w:val="20"/>
        </w:rPr>
        <w:t xml:space="preserve"> is projected to increase by 25% (4 mm) and </w:t>
      </w:r>
      <w:proofErr w:type="spellStart"/>
      <w:r>
        <w:rPr>
          <w:rFonts w:ascii="Times New Roman" w:hAnsi="Times New Roman" w:cs="Times New Roman"/>
          <w:sz w:val="20"/>
          <w:szCs w:val="20"/>
        </w:rPr>
        <w:t>baseflow</w:t>
      </w:r>
      <w:proofErr w:type="spellEnd"/>
      <w:r>
        <w:rPr>
          <w:rFonts w:ascii="Times New Roman" w:hAnsi="Times New Roman" w:cs="Times New Roman"/>
          <w:sz w:val="20"/>
          <w:szCs w:val="20"/>
        </w:rPr>
        <w:t xml:space="preserve"> is projected to increase by 17% (3 mm).</w:t>
      </w:r>
    </w:p>
    <w:p w:rsidR="00AE7C06" w:rsidRDefault="00AE7C06" w:rsidP="00530E88">
      <w:pPr>
        <w:adjustRightInd w:val="0"/>
        <w:snapToGrid w:val="0"/>
        <w:spacing w:after="0" w:line="240" w:lineRule="auto"/>
        <w:jc w:val="both"/>
        <w:rPr>
          <w:rFonts w:ascii="Times New Roman" w:hAnsi="Times New Roman" w:cs="Times New Roman"/>
          <w:b/>
          <w:bCs/>
          <w:sz w:val="20"/>
          <w:szCs w:val="20"/>
        </w:rPr>
        <w:sectPr w:rsidR="00AE7C06">
          <w:type w:val="continuous"/>
          <w:pgSz w:w="12240" w:h="15840"/>
          <w:pgMar w:top="1440" w:right="1440" w:bottom="1440" w:left="1440" w:header="720" w:footer="720" w:gutter="0"/>
          <w:cols w:num="2" w:space="720"/>
          <w:docGrid w:linePitch="360"/>
        </w:sectPr>
      </w:pPr>
    </w:p>
    <w:p w:rsidR="00DB1678" w:rsidRDefault="00DB1678" w:rsidP="00530E88">
      <w:pPr>
        <w:adjustRightInd w:val="0"/>
        <w:snapToGrid w:val="0"/>
        <w:spacing w:after="0" w:line="240" w:lineRule="auto"/>
        <w:jc w:val="center"/>
        <w:rPr>
          <w:rFonts w:ascii="Times New Roman" w:hAnsi="Times New Roman" w:cs="Times New Roman"/>
          <w:b/>
          <w:bCs/>
          <w:sz w:val="20"/>
          <w:szCs w:val="20"/>
          <w:lang w:eastAsia="zh-CN"/>
        </w:rPr>
      </w:pPr>
    </w:p>
    <w:p w:rsidR="00DB1678" w:rsidRDefault="00DB1678" w:rsidP="00530E88">
      <w:pPr>
        <w:adjustRightInd w:val="0"/>
        <w:snapToGrid w:val="0"/>
        <w:spacing w:after="0" w:line="240" w:lineRule="auto"/>
        <w:jc w:val="center"/>
        <w:rPr>
          <w:rFonts w:ascii="Times New Roman" w:hAnsi="Times New Roman" w:cs="Times New Roman"/>
          <w:b/>
          <w:bCs/>
          <w:sz w:val="20"/>
          <w:szCs w:val="20"/>
          <w:lang w:eastAsia="zh-CN"/>
        </w:rPr>
      </w:pPr>
    </w:p>
    <w:p w:rsidR="00DB1678" w:rsidRDefault="00DB1678" w:rsidP="00530E88">
      <w:pPr>
        <w:adjustRightInd w:val="0"/>
        <w:snapToGrid w:val="0"/>
        <w:spacing w:after="0" w:line="240" w:lineRule="auto"/>
        <w:jc w:val="center"/>
        <w:rPr>
          <w:rFonts w:ascii="Times New Roman" w:hAnsi="Times New Roman" w:cs="Times New Roman"/>
          <w:b/>
          <w:bCs/>
          <w:sz w:val="20"/>
          <w:szCs w:val="20"/>
          <w:lang w:eastAsia="zh-CN"/>
        </w:rPr>
      </w:pPr>
    </w:p>
    <w:p w:rsidR="00AE7C06" w:rsidRDefault="004215A4" w:rsidP="00530E88">
      <w:pPr>
        <w:adjustRightInd w:val="0"/>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noProof/>
          <w:sz w:val="20"/>
          <w:szCs w:val="20"/>
          <w:lang w:eastAsia="zh-CN"/>
        </w:rPr>
        <w:lastRenderedPageBreak/>
        <w:drawing>
          <wp:inline distT="0" distB="0" distL="0" distR="0">
            <wp:extent cx="5962650" cy="4634865"/>
            <wp:effectExtent l="0" t="0" r="0" b="133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7" cstate="print"/>
                    <a:srcRect/>
                    <a:stretch>
                      <a:fillRect/>
                    </a:stretch>
                  </pic:blipFill>
                  <pic:spPr>
                    <a:xfrm>
                      <a:off x="0" y="0"/>
                      <a:ext cx="5962650" cy="4634865"/>
                    </a:xfrm>
                    <a:prstGeom prst="rect">
                      <a:avLst/>
                    </a:prstGeom>
                    <a:noFill/>
                    <a:ln w="9525">
                      <a:noFill/>
                      <a:miter lim="800000"/>
                      <a:headEnd/>
                      <a:tailEnd/>
                    </a:ln>
                  </pic:spPr>
                </pic:pic>
              </a:graphicData>
            </a:graphic>
          </wp:inline>
        </w:drawing>
      </w:r>
      <w:r>
        <w:rPr>
          <w:rFonts w:ascii="Times New Roman" w:hAnsi="Times New Roman" w:cs="Times New Roman"/>
          <w:b/>
          <w:bCs/>
          <w:sz w:val="20"/>
          <w:szCs w:val="20"/>
        </w:rPr>
        <w:t xml:space="preserve"> Fig. 1 Change in water availability towards 2030s with respect to 1970s (IPCC SRES A1B scenario) in Haryana.</w:t>
      </w:r>
    </w:p>
    <w:p w:rsidR="00AE7C06" w:rsidRDefault="00AE7C06" w:rsidP="00530E88">
      <w:pPr>
        <w:autoSpaceDE w:val="0"/>
        <w:autoSpaceDN w:val="0"/>
        <w:adjustRightInd w:val="0"/>
        <w:snapToGrid w:val="0"/>
        <w:spacing w:after="0" w:line="240" w:lineRule="auto"/>
        <w:jc w:val="both"/>
        <w:rPr>
          <w:rFonts w:ascii="Times New Roman" w:hAnsi="Times New Roman" w:cs="Times New Roman"/>
          <w:sz w:val="20"/>
          <w:szCs w:val="20"/>
        </w:rPr>
      </w:pPr>
    </w:p>
    <w:p w:rsidR="00AE7C06" w:rsidRDefault="00AE7C06" w:rsidP="00530E88">
      <w:pPr>
        <w:pStyle w:val="Default"/>
        <w:snapToGrid w:val="0"/>
        <w:jc w:val="both"/>
        <w:rPr>
          <w:rFonts w:ascii="Times New Roman" w:hAnsi="Times New Roman" w:cs="Times New Roman"/>
          <w:color w:val="auto"/>
          <w:sz w:val="20"/>
          <w:szCs w:val="20"/>
        </w:rPr>
        <w:sectPr w:rsidR="00AE7C06">
          <w:type w:val="continuous"/>
          <w:pgSz w:w="12240" w:h="15840"/>
          <w:pgMar w:top="1440" w:right="1440" w:bottom="1440" w:left="1440" w:header="720" w:footer="720" w:gutter="0"/>
          <w:cols w:space="720"/>
          <w:docGrid w:linePitch="360"/>
        </w:sectPr>
      </w:pPr>
    </w:p>
    <w:p w:rsidR="00AE7C06" w:rsidRPr="00DB1678" w:rsidRDefault="004215A4" w:rsidP="00DB1678">
      <w:pPr>
        <w:pStyle w:val="Default"/>
        <w:snapToGrid w:val="0"/>
        <w:ind w:firstLine="720"/>
        <w:jc w:val="both"/>
        <w:rPr>
          <w:rFonts w:ascii="Times New Roman" w:eastAsiaTheme="minorEastAsia" w:hAnsi="Times New Roman" w:cs="Times New Roman"/>
          <w:color w:val="auto"/>
          <w:sz w:val="20"/>
          <w:szCs w:val="20"/>
          <w:lang w:eastAsia="zh-CN"/>
        </w:rPr>
      </w:pPr>
      <w:r>
        <w:rPr>
          <w:rFonts w:ascii="Times New Roman" w:hAnsi="Times New Roman" w:cs="Times New Roman"/>
          <w:color w:val="auto"/>
          <w:sz w:val="20"/>
          <w:szCs w:val="20"/>
        </w:rPr>
        <w:lastRenderedPageBreak/>
        <w:t xml:space="preserve">Increase in annual precipitation of about 23% (186 mm) by end century is projected, resulting in increase in runoff by 58% (108 mm) and about 6% (11 mm) returns to stream as </w:t>
      </w:r>
      <w:proofErr w:type="spellStart"/>
      <w:r>
        <w:rPr>
          <w:rFonts w:ascii="Times New Roman" w:hAnsi="Times New Roman" w:cs="Times New Roman"/>
          <w:color w:val="auto"/>
          <w:sz w:val="20"/>
          <w:szCs w:val="20"/>
        </w:rPr>
        <w:t>baseflow</w:t>
      </w:r>
      <w:proofErr w:type="spellEnd"/>
      <w:r>
        <w:rPr>
          <w:rFonts w:ascii="Times New Roman" w:hAnsi="Times New Roman" w:cs="Times New Roman"/>
          <w:color w:val="auto"/>
          <w:sz w:val="20"/>
          <w:szCs w:val="20"/>
        </w:rPr>
        <w:t xml:space="preserve">. </w:t>
      </w:r>
      <w:proofErr w:type="spellStart"/>
      <w:r>
        <w:rPr>
          <w:rFonts w:ascii="Times New Roman" w:hAnsi="Times New Roman" w:cs="Times New Roman"/>
          <w:color w:val="auto"/>
          <w:sz w:val="20"/>
          <w:szCs w:val="20"/>
        </w:rPr>
        <w:t>Evapotranspiration</w:t>
      </w:r>
      <w:proofErr w:type="spellEnd"/>
      <w:r>
        <w:rPr>
          <w:rFonts w:ascii="Times New Roman" w:hAnsi="Times New Roman" w:cs="Times New Roman"/>
          <w:color w:val="auto"/>
          <w:sz w:val="20"/>
          <w:szCs w:val="20"/>
        </w:rPr>
        <w:t xml:space="preserve"> is projected to increase by 25% (46 mm). Negligible changes in ground water recharge is projected. During the monsoon months (JJAS) increase in precipitation is projected by about 27% (178 mm), most of this results in runoff (57%, 102 mm) and </w:t>
      </w:r>
      <w:proofErr w:type="spellStart"/>
      <w:r>
        <w:rPr>
          <w:rFonts w:ascii="Times New Roman" w:hAnsi="Times New Roman" w:cs="Times New Roman"/>
          <w:color w:val="auto"/>
          <w:sz w:val="20"/>
          <w:szCs w:val="20"/>
        </w:rPr>
        <w:t>baseflow</w:t>
      </w:r>
      <w:proofErr w:type="spellEnd"/>
      <w:r>
        <w:rPr>
          <w:rFonts w:ascii="Times New Roman" w:hAnsi="Times New Roman" w:cs="Times New Roman"/>
          <w:color w:val="auto"/>
          <w:sz w:val="20"/>
          <w:szCs w:val="20"/>
        </w:rPr>
        <w:t xml:space="preserve"> (4%, 7 mm) contributing to the stream flow. About 2% (4 mm) of this increase in precipitation is contributed to the ground water </w:t>
      </w:r>
      <w:r>
        <w:rPr>
          <w:rFonts w:ascii="Times New Roman" w:hAnsi="Times New Roman" w:cs="Times New Roman"/>
          <w:color w:val="auto"/>
          <w:sz w:val="20"/>
          <w:szCs w:val="20"/>
        </w:rPr>
        <w:lastRenderedPageBreak/>
        <w:t xml:space="preserve">recharge. Increase in </w:t>
      </w:r>
      <w:proofErr w:type="spellStart"/>
      <w:r>
        <w:rPr>
          <w:rFonts w:ascii="Times New Roman" w:hAnsi="Times New Roman" w:cs="Times New Roman"/>
          <w:color w:val="auto"/>
          <w:sz w:val="20"/>
          <w:szCs w:val="20"/>
        </w:rPr>
        <w:t>evapotranspiration</w:t>
      </w:r>
      <w:proofErr w:type="spellEnd"/>
      <w:r>
        <w:rPr>
          <w:rFonts w:ascii="Times New Roman" w:hAnsi="Times New Roman" w:cs="Times New Roman"/>
          <w:color w:val="auto"/>
          <w:sz w:val="20"/>
          <w:szCs w:val="20"/>
        </w:rPr>
        <w:t xml:space="preserve"> is projected by 34% (19 mm). The indication is that in parts of the basin surface runoff would be increased under the A1B end century scenario and would offer opportunities for increased water harvesting and groundwater recharge (Figure 2). Similarly during the Rabi season (OND), precipitation is projected to increase by 9% (7 mm) resulting increase in </w:t>
      </w:r>
      <w:proofErr w:type="spellStart"/>
      <w:r>
        <w:rPr>
          <w:rFonts w:ascii="Times New Roman" w:hAnsi="Times New Roman" w:cs="Times New Roman"/>
          <w:color w:val="auto"/>
          <w:sz w:val="20"/>
          <w:szCs w:val="20"/>
        </w:rPr>
        <w:t>baseflow</w:t>
      </w:r>
      <w:proofErr w:type="spellEnd"/>
      <w:r>
        <w:rPr>
          <w:rFonts w:ascii="Times New Roman" w:hAnsi="Times New Roman" w:cs="Times New Roman"/>
          <w:color w:val="auto"/>
          <w:sz w:val="20"/>
          <w:szCs w:val="20"/>
        </w:rPr>
        <w:t xml:space="preserve"> contribution to the stream flow. Reduction in ground water recharge and substantial increase in </w:t>
      </w:r>
      <w:proofErr w:type="spellStart"/>
      <w:r>
        <w:rPr>
          <w:rFonts w:ascii="Times New Roman" w:hAnsi="Times New Roman" w:cs="Times New Roman"/>
          <w:color w:val="auto"/>
          <w:sz w:val="20"/>
          <w:szCs w:val="20"/>
        </w:rPr>
        <w:t>evapotranspoitartion</w:t>
      </w:r>
      <w:proofErr w:type="spellEnd"/>
      <w:r>
        <w:rPr>
          <w:rFonts w:ascii="Times New Roman" w:hAnsi="Times New Roman" w:cs="Times New Roman"/>
          <w:color w:val="auto"/>
          <w:sz w:val="20"/>
          <w:szCs w:val="20"/>
        </w:rPr>
        <w:t xml:space="preserve"> is projected</w:t>
      </w:r>
      <w:r w:rsidR="00DB1678">
        <w:rPr>
          <w:rFonts w:ascii="Times New Roman" w:eastAsiaTheme="minorEastAsia" w:hAnsi="Times New Roman" w:cs="Times New Roman" w:hint="eastAsia"/>
          <w:color w:val="auto"/>
          <w:sz w:val="20"/>
          <w:szCs w:val="20"/>
          <w:lang w:eastAsia="zh-CN"/>
        </w:rPr>
        <w:t>.</w:t>
      </w:r>
    </w:p>
    <w:p w:rsidR="00AE7C06" w:rsidRDefault="00AE7C06" w:rsidP="00530E88">
      <w:pPr>
        <w:autoSpaceDE w:val="0"/>
        <w:autoSpaceDN w:val="0"/>
        <w:adjustRightInd w:val="0"/>
        <w:snapToGrid w:val="0"/>
        <w:spacing w:after="0" w:line="240" w:lineRule="auto"/>
        <w:jc w:val="both"/>
        <w:rPr>
          <w:rFonts w:ascii="Times New Roman" w:hAnsi="Times New Roman" w:cs="Times New Roman"/>
          <w:b/>
          <w:bCs/>
          <w:sz w:val="20"/>
          <w:szCs w:val="20"/>
        </w:rPr>
        <w:sectPr w:rsidR="00AE7C06">
          <w:type w:val="continuous"/>
          <w:pgSz w:w="12240" w:h="15840"/>
          <w:pgMar w:top="1440" w:right="1440" w:bottom="1440" w:left="1440" w:header="720" w:footer="720" w:gutter="0"/>
          <w:cols w:num="2" w:space="720"/>
          <w:docGrid w:linePitch="360"/>
        </w:sectPr>
      </w:pPr>
    </w:p>
    <w:p w:rsidR="00DB1678" w:rsidRDefault="00DB1678" w:rsidP="00530E88">
      <w:pPr>
        <w:autoSpaceDE w:val="0"/>
        <w:autoSpaceDN w:val="0"/>
        <w:adjustRightInd w:val="0"/>
        <w:snapToGrid w:val="0"/>
        <w:spacing w:after="0" w:line="240" w:lineRule="auto"/>
        <w:jc w:val="both"/>
        <w:rPr>
          <w:rFonts w:ascii="Times New Roman" w:hAnsi="Times New Roman" w:cs="Times New Roman"/>
          <w:b/>
          <w:bCs/>
          <w:sz w:val="20"/>
          <w:szCs w:val="20"/>
          <w:lang w:eastAsia="zh-CN"/>
        </w:rPr>
      </w:pPr>
      <w:bookmarkStart w:id="0" w:name="_GoBack"/>
    </w:p>
    <w:p w:rsidR="00DB1678" w:rsidRDefault="00DB1678" w:rsidP="00530E88">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DB1678" w:rsidRDefault="00DB1678" w:rsidP="00530E88">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AE7C06" w:rsidRDefault="004215A4" w:rsidP="00530E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noProof/>
          <w:sz w:val="20"/>
          <w:szCs w:val="20"/>
          <w:lang w:eastAsia="zh-CN"/>
        </w:rPr>
        <w:lastRenderedPageBreak/>
        <w:drawing>
          <wp:inline distT="0" distB="0" distL="0" distR="0">
            <wp:extent cx="5950585" cy="4560570"/>
            <wp:effectExtent l="0" t="0" r="12065" b="1143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8" cstate="print"/>
                    <a:srcRect/>
                    <a:stretch>
                      <a:fillRect/>
                    </a:stretch>
                  </pic:blipFill>
                  <pic:spPr>
                    <a:xfrm>
                      <a:off x="0" y="0"/>
                      <a:ext cx="5950585" cy="4560570"/>
                    </a:xfrm>
                    <a:prstGeom prst="rect">
                      <a:avLst/>
                    </a:prstGeom>
                    <a:noFill/>
                    <a:ln w="9525">
                      <a:noFill/>
                      <a:miter lim="800000"/>
                      <a:headEnd/>
                      <a:tailEnd/>
                    </a:ln>
                  </pic:spPr>
                </pic:pic>
              </a:graphicData>
            </a:graphic>
          </wp:inline>
        </w:drawing>
      </w:r>
      <w:bookmarkEnd w:id="0"/>
      <w:r>
        <w:rPr>
          <w:rFonts w:ascii="Times New Roman" w:hAnsi="Times New Roman" w:cs="Times New Roman"/>
          <w:b/>
          <w:bCs/>
          <w:sz w:val="20"/>
          <w:szCs w:val="20"/>
        </w:rPr>
        <w:t xml:space="preserve"> Figure 2: Change in water availability towards 2080s with respect to 1970s (IPCC SRES A1B scenario) in Haryana.</w:t>
      </w:r>
    </w:p>
    <w:p w:rsidR="00AE7C06" w:rsidRDefault="00AE7C06" w:rsidP="00530E88">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DB1678" w:rsidRDefault="00DB1678" w:rsidP="00530E88">
      <w:pPr>
        <w:autoSpaceDE w:val="0"/>
        <w:autoSpaceDN w:val="0"/>
        <w:adjustRightInd w:val="0"/>
        <w:snapToGrid w:val="0"/>
        <w:spacing w:after="0" w:line="240" w:lineRule="auto"/>
        <w:jc w:val="both"/>
        <w:rPr>
          <w:rFonts w:ascii="Times New Roman" w:hAnsi="Times New Roman" w:cs="Times New Roman"/>
          <w:b/>
          <w:bCs/>
          <w:sz w:val="20"/>
          <w:szCs w:val="20"/>
          <w:lang w:eastAsia="zh-CN"/>
        </w:rPr>
        <w:sectPr w:rsidR="00DB1678">
          <w:type w:val="continuous"/>
          <w:pgSz w:w="12240" w:h="15840"/>
          <w:pgMar w:top="1440" w:right="1440" w:bottom="1440" w:left="1440" w:header="720" w:footer="720" w:gutter="0"/>
          <w:cols w:space="720"/>
          <w:docGrid w:linePitch="360"/>
        </w:sectPr>
      </w:pPr>
    </w:p>
    <w:p w:rsidR="00AE7C06" w:rsidRDefault="004215A4" w:rsidP="00530E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 xml:space="preserve">Agricultural water stress indicator </w:t>
      </w:r>
    </w:p>
    <w:p w:rsidR="00AE7C06" w:rsidRDefault="004215A4" w:rsidP="00DB1678">
      <w:pPr>
        <w:pStyle w:val="Default"/>
        <w:snapToGrid w:val="0"/>
        <w:ind w:firstLine="720"/>
        <w:jc w:val="both"/>
        <w:rPr>
          <w:rFonts w:ascii="Times New Roman" w:hAnsi="Times New Roman" w:cs="Times New Roman"/>
          <w:sz w:val="20"/>
          <w:szCs w:val="20"/>
        </w:rPr>
      </w:pPr>
      <w:r>
        <w:rPr>
          <w:rFonts w:ascii="Times New Roman" w:hAnsi="Times New Roman" w:cs="Times New Roman"/>
          <w:color w:val="auto"/>
          <w:sz w:val="20"/>
          <w:szCs w:val="20"/>
        </w:rPr>
        <w:t xml:space="preserve">Agriculture faces water stress if the water requirements of crops are not met. To detect the severity and spatial occurrence of water stress in the basin, the relative </w:t>
      </w:r>
      <w:proofErr w:type="spellStart"/>
      <w:r>
        <w:rPr>
          <w:rFonts w:ascii="Times New Roman" w:hAnsi="Times New Roman" w:cs="Times New Roman"/>
          <w:color w:val="auto"/>
          <w:sz w:val="20"/>
          <w:szCs w:val="20"/>
        </w:rPr>
        <w:t>evapotranspiration</w:t>
      </w:r>
      <w:proofErr w:type="spellEnd"/>
      <w:r>
        <w:rPr>
          <w:rFonts w:ascii="Times New Roman" w:hAnsi="Times New Roman" w:cs="Times New Roman"/>
          <w:color w:val="auto"/>
          <w:sz w:val="20"/>
          <w:szCs w:val="20"/>
        </w:rPr>
        <w:t xml:space="preserve"> (</w:t>
      </w:r>
      <w:proofErr w:type="spellStart"/>
      <w:r>
        <w:rPr>
          <w:rFonts w:ascii="Times New Roman" w:hAnsi="Times New Roman" w:cs="Times New Roman"/>
          <w:color w:val="auto"/>
          <w:sz w:val="20"/>
          <w:szCs w:val="20"/>
        </w:rPr>
        <w:t>ETrel</w:t>
      </w:r>
      <w:proofErr w:type="spellEnd"/>
      <w:r>
        <w:rPr>
          <w:rFonts w:ascii="Times New Roman" w:hAnsi="Times New Roman" w:cs="Times New Roman"/>
          <w:color w:val="auto"/>
          <w:sz w:val="20"/>
          <w:szCs w:val="20"/>
        </w:rPr>
        <w:t xml:space="preserve">) expressed as the ratio of actual </w:t>
      </w:r>
      <w:proofErr w:type="spellStart"/>
      <w:r>
        <w:rPr>
          <w:rFonts w:ascii="Times New Roman" w:hAnsi="Times New Roman" w:cs="Times New Roman"/>
          <w:color w:val="auto"/>
          <w:sz w:val="20"/>
          <w:szCs w:val="20"/>
        </w:rPr>
        <w:t>evapotranspiration</w:t>
      </w:r>
      <w:proofErr w:type="spellEnd"/>
      <w:r>
        <w:rPr>
          <w:rFonts w:ascii="Times New Roman" w:hAnsi="Times New Roman" w:cs="Times New Roman"/>
          <w:color w:val="auto"/>
          <w:sz w:val="20"/>
          <w:szCs w:val="20"/>
        </w:rPr>
        <w:t xml:space="preserve"> (</w:t>
      </w:r>
      <w:proofErr w:type="spellStart"/>
      <w:r>
        <w:rPr>
          <w:rFonts w:ascii="Times New Roman" w:hAnsi="Times New Roman" w:cs="Times New Roman"/>
          <w:color w:val="auto"/>
          <w:sz w:val="20"/>
          <w:szCs w:val="20"/>
        </w:rPr>
        <w:t>ETa</w:t>
      </w:r>
      <w:proofErr w:type="spellEnd"/>
      <w:r>
        <w:rPr>
          <w:rFonts w:ascii="Times New Roman" w:hAnsi="Times New Roman" w:cs="Times New Roman"/>
          <w:color w:val="auto"/>
          <w:sz w:val="20"/>
          <w:szCs w:val="20"/>
        </w:rPr>
        <w:t xml:space="preserve">) over potential </w:t>
      </w:r>
      <w:proofErr w:type="spellStart"/>
      <w:r>
        <w:rPr>
          <w:rFonts w:ascii="Times New Roman" w:hAnsi="Times New Roman" w:cs="Times New Roman"/>
          <w:color w:val="auto"/>
          <w:sz w:val="20"/>
          <w:szCs w:val="20"/>
        </w:rPr>
        <w:t>evapotranspiration</w:t>
      </w:r>
      <w:proofErr w:type="spellEnd"/>
      <w:r>
        <w:rPr>
          <w:rFonts w:ascii="Times New Roman" w:hAnsi="Times New Roman" w:cs="Times New Roman"/>
          <w:color w:val="auto"/>
          <w:sz w:val="20"/>
          <w:szCs w:val="20"/>
        </w:rPr>
        <w:t xml:space="preserve"> (</w:t>
      </w:r>
      <w:proofErr w:type="spellStart"/>
      <w:r>
        <w:rPr>
          <w:rFonts w:ascii="Times New Roman" w:hAnsi="Times New Roman" w:cs="Times New Roman"/>
          <w:color w:val="auto"/>
          <w:sz w:val="20"/>
          <w:szCs w:val="20"/>
        </w:rPr>
        <w:t>ETp</w:t>
      </w:r>
      <w:proofErr w:type="spellEnd"/>
      <w:r>
        <w:rPr>
          <w:rFonts w:ascii="Times New Roman" w:hAnsi="Times New Roman" w:cs="Times New Roman"/>
          <w:color w:val="auto"/>
          <w:sz w:val="20"/>
          <w:szCs w:val="20"/>
        </w:rPr>
        <w:t xml:space="preserve">) has been used. For relative </w:t>
      </w:r>
      <w:proofErr w:type="spellStart"/>
      <w:r>
        <w:rPr>
          <w:rFonts w:ascii="Times New Roman" w:hAnsi="Times New Roman" w:cs="Times New Roman"/>
          <w:color w:val="auto"/>
          <w:sz w:val="20"/>
          <w:szCs w:val="20"/>
        </w:rPr>
        <w:t>evapotranspiration</w:t>
      </w:r>
      <w:proofErr w:type="spellEnd"/>
      <w:r>
        <w:rPr>
          <w:rFonts w:ascii="Times New Roman" w:hAnsi="Times New Roman" w:cs="Times New Roman"/>
          <w:color w:val="auto"/>
          <w:sz w:val="20"/>
          <w:szCs w:val="20"/>
        </w:rPr>
        <w:t>, it is generally recommended that this ratio does not drop below 0.70 throughout the year (</w:t>
      </w:r>
      <w:proofErr w:type="spellStart"/>
      <w:r>
        <w:rPr>
          <w:rFonts w:ascii="Times New Roman" w:hAnsi="Times New Roman" w:cs="Times New Roman"/>
          <w:color w:val="auto"/>
          <w:sz w:val="20"/>
          <w:szCs w:val="20"/>
        </w:rPr>
        <w:t>Bos</w:t>
      </w:r>
      <w:proofErr w:type="spellEnd"/>
      <w:r>
        <w:rPr>
          <w:rFonts w:ascii="Times New Roman" w:hAnsi="Times New Roman" w:cs="Times New Roman"/>
          <w:color w:val="auto"/>
          <w:sz w:val="20"/>
          <w:szCs w:val="20"/>
        </w:rPr>
        <w:t xml:space="preserve"> et al., 2005)</w:t>
      </w:r>
      <w:r>
        <w:rPr>
          <w:rFonts w:ascii="Times New Roman" w:hAnsi="Times New Roman" w:cs="Times New Roman"/>
          <w:color w:val="auto"/>
          <w:position w:val="10"/>
          <w:sz w:val="20"/>
          <w:szCs w:val="20"/>
          <w:vertAlign w:val="superscript"/>
        </w:rPr>
        <w:t>9</w:t>
      </w:r>
      <w:r>
        <w:rPr>
          <w:rFonts w:ascii="Times New Roman" w:hAnsi="Times New Roman" w:cs="Times New Roman"/>
          <w:color w:val="auto"/>
          <w:sz w:val="20"/>
          <w:szCs w:val="20"/>
        </w:rPr>
        <w:t xml:space="preserve">. </w:t>
      </w:r>
      <w:proofErr w:type="spellStart"/>
      <w:r>
        <w:rPr>
          <w:rFonts w:ascii="Times New Roman" w:hAnsi="Times New Roman" w:cs="Times New Roman"/>
          <w:color w:val="auto"/>
          <w:sz w:val="20"/>
          <w:szCs w:val="20"/>
        </w:rPr>
        <w:t>Bastiaanssen</w:t>
      </w:r>
      <w:proofErr w:type="spellEnd"/>
      <w:r>
        <w:rPr>
          <w:rFonts w:ascii="Times New Roman" w:hAnsi="Times New Roman" w:cs="Times New Roman"/>
          <w:color w:val="auto"/>
          <w:sz w:val="20"/>
          <w:szCs w:val="20"/>
        </w:rPr>
        <w:t xml:space="preserve"> et al., (2001)</w:t>
      </w:r>
      <w:r>
        <w:rPr>
          <w:rFonts w:ascii="Times New Roman" w:hAnsi="Times New Roman" w:cs="Times New Roman"/>
          <w:color w:val="auto"/>
          <w:position w:val="10"/>
          <w:sz w:val="20"/>
          <w:szCs w:val="20"/>
          <w:vertAlign w:val="superscript"/>
        </w:rPr>
        <w:t xml:space="preserve">10 </w:t>
      </w:r>
      <w:r>
        <w:rPr>
          <w:rFonts w:ascii="Times New Roman" w:hAnsi="Times New Roman" w:cs="Times New Roman"/>
          <w:color w:val="auto"/>
          <w:sz w:val="20"/>
          <w:szCs w:val="20"/>
        </w:rPr>
        <w:t xml:space="preserve">used an ‘operational range’ and an ‘acceptable range’ for this indicator. If the indicator remains within the operational range, crop yield will deviate less than 10% from the target </w:t>
      </w:r>
      <w:r>
        <w:rPr>
          <w:rFonts w:ascii="Times New Roman" w:hAnsi="Times New Roman" w:cs="Times New Roman"/>
          <w:color w:val="auto"/>
          <w:sz w:val="20"/>
          <w:szCs w:val="20"/>
        </w:rPr>
        <w:lastRenderedPageBreak/>
        <w:t xml:space="preserve">value. If the indicator moves </w:t>
      </w:r>
      <w:r>
        <w:rPr>
          <w:rFonts w:ascii="Times New Roman" w:hAnsi="Times New Roman" w:cs="Times New Roman"/>
          <w:sz w:val="20"/>
          <w:szCs w:val="20"/>
        </w:rPr>
        <w:t xml:space="preserve">out of the acceptable range yield reductions of over 20% occur. For </w:t>
      </w:r>
      <w:proofErr w:type="spellStart"/>
      <w:r>
        <w:rPr>
          <w:rFonts w:ascii="Times New Roman" w:hAnsi="Times New Roman" w:cs="Times New Roman"/>
          <w:sz w:val="20"/>
          <w:szCs w:val="20"/>
        </w:rPr>
        <w:t>ETrel</w:t>
      </w:r>
      <w:proofErr w:type="spellEnd"/>
      <w:r>
        <w:rPr>
          <w:rFonts w:ascii="Times New Roman" w:hAnsi="Times New Roman" w:cs="Times New Roman"/>
          <w:sz w:val="20"/>
          <w:szCs w:val="20"/>
        </w:rPr>
        <w:t xml:space="preserve">, the operation range was set at 0.8-1, and the acceptable range at 0.7-1. The relative </w:t>
      </w:r>
      <w:proofErr w:type="spellStart"/>
      <w:r>
        <w:rPr>
          <w:rFonts w:ascii="Times New Roman" w:hAnsi="Times New Roman" w:cs="Times New Roman"/>
          <w:sz w:val="20"/>
          <w:szCs w:val="20"/>
        </w:rPr>
        <w:t>evapotranspiration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ETrel</w:t>
      </w:r>
      <w:proofErr w:type="spellEnd"/>
      <w:r>
        <w:rPr>
          <w:rFonts w:ascii="Times New Roman" w:hAnsi="Times New Roman" w:cs="Times New Roman"/>
          <w:sz w:val="20"/>
          <w:szCs w:val="20"/>
        </w:rPr>
        <w:t>) is calculated for the basins of Yamuna and Indus lying within Haryana on seasonal basis. The results of seasonal agricultural water stress are presented in Figure 36. The figure shows that water stress is higher in winter and season. It is higher in the western part of Haryana with less average annual precipitation (maroon tones) when compared to the eastern part (orange to yellow tones). The agriculture water stress is going to exacerbate towards end century.</w:t>
      </w:r>
    </w:p>
    <w:p w:rsidR="00AE7C06" w:rsidRDefault="00AE7C06" w:rsidP="00530E88">
      <w:pPr>
        <w:autoSpaceDE w:val="0"/>
        <w:autoSpaceDN w:val="0"/>
        <w:adjustRightInd w:val="0"/>
        <w:snapToGrid w:val="0"/>
        <w:spacing w:after="0" w:line="240" w:lineRule="auto"/>
        <w:jc w:val="both"/>
        <w:rPr>
          <w:rFonts w:ascii="Times New Roman" w:hAnsi="Times New Roman" w:cs="Times New Roman"/>
          <w:sz w:val="20"/>
          <w:szCs w:val="20"/>
        </w:rPr>
        <w:sectPr w:rsidR="00AE7C06">
          <w:type w:val="continuous"/>
          <w:pgSz w:w="12240" w:h="15840"/>
          <w:pgMar w:top="1440" w:right="1440" w:bottom="1440" w:left="1440" w:header="720" w:footer="720" w:gutter="0"/>
          <w:cols w:num="2" w:space="720"/>
          <w:docGrid w:linePitch="360"/>
        </w:sectPr>
      </w:pPr>
    </w:p>
    <w:p w:rsidR="00DB1678" w:rsidRDefault="00DB1678" w:rsidP="00530E88">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DB1678" w:rsidRDefault="00DB1678" w:rsidP="00530E88">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DB1678" w:rsidRDefault="00DB1678" w:rsidP="00530E88">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AE7C06" w:rsidRDefault="004215A4" w:rsidP="00530E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zh-CN"/>
        </w:rPr>
        <w:lastRenderedPageBreak/>
        <w:drawing>
          <wp:inline distT="0" distB="0" distL="0" distR="0">
            <wp:extent cx="5943600" cy="444373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9" cstate="print"/>
                    <a:srcRect/>
                    <a:stretch>
                      <a:fillRect/>
                    </a:stretch>
                  </pic:blipFill>
                  <pic:spPr>
                    <a:xfrm>
                      <a:off x="0" y="0"/>
                      <a:ext cx="5943600" cy="4443753"/>
                    </a:xfrm>
                    <a:prstGeom prst="rect">
                      <a:avLst/>
                    </a:prstGeom>
                    <a:noFill/>
                    <a:ln w="9525">
                      <a:noFill/>
                      <a:miter lim="800000"/>
                      <a:headEnd/>
                      <a:tailEnd/>
                    </a:ln>
                  </pic:spPr>
                </pic:pic>
              </a:graphicData>
            </a:graphic>
          </wp:inline>
        </w:drawing>
      </w:r>
    </w:p>
    <w:p w:rsidR="00AE7C06" w:rsidRDefault="004215A4" w:rsidP="00530E88">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Figure 3 : Change in Agriculture Water Stress for baseline, mid century and end century scenarios (IPCC SRES A1B scenario) in Haryana.</w:t>
      </w:r>
    </w:p>
    <w:p w:rsidR="00AE7C06" w:rsidRDefault="00AE7C06" w:rsidP="00530E88">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DB1678" w:rsidRDefault="00DB1678" w:rsidP="00530E88">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DB1678" w:rsidRDefault="00DB1678" w:rsidP="00530E88">
      <w:pPr>
        <w:autoSpaceDE w:val="0"/>
        <w:autoSpaceDN w:val="0"/>
        <w:adjustRightInd w:val="0"/>
        <w:snapToGrid w:val="0"/>
        <w:spacing w:after="0" w:line="240" w:lineRule="auto"/>
        <w:jc w:val="both"/>
        <w:rPr>
          <w:rFonts w:ascii="Times New Roman" w:hAnsi="Times New Roman" w:cs="Times New Roman"/>
          <w:b/>
          <w:bCs/>
          <w:sz w:val="20"/>
          <w:szCs w:val="20"/>
          <w:lang w:eastAsia="zh-CN"/>
        </w:rPr>
        <w:sectPr w:rsidR="00DB1678">
          <w:type w:val="continuous"/>
          <w:pgSz w:w="12240" w:h="15840"/>
          <w:pgMar w:top="1440" w:right="1440" w:bottom="1440" w:left="1440" w:header="720" w:footer="720" w:gutter="0"/>
          <w:cols w:space="720"/>
          <w:docGrid w:linePitch="360"/>
        </w:sectPr>
      </w:pPr>
    </w:p>
    <w:p w:rsidR="00AE7C06" w:rsidRDefault="004215A4" w:rsidP="00530E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 xml:space="preserve">Impact of climate change on forests of Haryana </w:t>
      </w:r>
    </w:p>
    <w:p w:rsidR="00AE7C06" w:rsidRDefault="004215A4" w:rsidP="00DB1678">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Observed climate change and implications for forestry: The forest resource in Haryana is vulnerable not only to climate change resulting in increased mean annual temperature but also due to lower and irregular rainfall in the whole of Haryana. The south-western region receives very less and irregular rain fall resulting in the reduced survival of plantation and change in vegetation type. The scanty rainfall has also led to less ground water recharge. This lowering of water table may lead to change in species and growth of trees and biomass production. The fodder production from trees is a very important source of food for the cattle in south and west part of the state. The new variety of species need to be identified zone wise suitable for the new soil and moisture conditions to increase the tree cover to achieve the National and Haryana State Forest policy of 20% tree cover at the earliest in a phased manner.</w:t>
      </w:r>
    </w:p>
    <w:p w:rsidR="00AE7C06" w:rsidRDefault="004215A4" w:rsidP="00530E88">
      <w:pPr>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Higher mean annual temperatures </w:t>
      </w:r>
    </w:p>
    <w:p w:rsidR="00AE7C06" w:rsidRDefault="004215A4" w:rsidP="00530E88">
      <w:pPr>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Erratic and reduced rainfall and other precipitations </w:t>
      </w:r>
    </w:p>
    <w:p w:rsidR="00AE7C06" w:rsidRDefault="004215A4" w:rsidP="00530E88">
      <w:pPr>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Extreme events such as floods, droughts and cyclones. </w:t>
      </w:r>
    </w:p>
    <w:p w:rsidR="00AE7C06" w:rsidRDefault="004215A4" w:rsidP="00DB1678">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These observed adverse conditions could potentially affect the native vegetation and also the </w:t>
      </w:r>
      <w:proofErr w:type="spellStart"/>
      <w:r>
        <w:rPr>
          <w:rFonts w:ascii="Times New Roman" w:hAnsi="Times New Roman" w:cs="Times New Roman"/>
          <w:sz w:val="20"/>
          <w:szCs w:val="20"/>
        </w:rPr>
        <w:t>afforestation</w:t>
      </w:r>
      <w:proofErr w:type="spellEnd"/>
      <w:r>
        <w:rPr>
          <w:rFonts w:ascii="Times New Roman" w:hAnsi="Times New Roman" w:cs="Times New Roman"/>
          <w:sz w:val="20"/>
          <w:szCs w:val="20"/>
        </w:rPr>
        <w:t xml:space="preserve"> efforts of the Forest Department and associated livelihoods of the people in the state. The productivity of forests (biomass/ha/year) and trees can reduce due to change in optimum condition. The rising mean temperature and reduced precipitation and reduced rainy day has forced the farmers to draw more and more ground water resulting in the lowering of water table. This has significant impact on the growth of trees on adjoining forest strip land and farm lands. The number of dead trees has increased many folds in last 10 years forcing the Haryana Forest Department to restrict the extraction of dead trees only which surpasses the working plan prescription for annual harvesting of trees from forests. The felling of green trees has virtually </w:t>
      </w:r>
      <w:r>
        <w:rPr>
          <w:rFonts w:ascii="Times New Roman" w:hAnsi="Times New Roman" w:cs="Times New Roman"/>
          <w:sz w:val="20"/>
          <w:szCs w:val="20"/>
        </w:rPr>
        <w:lastRenderedPageBreak/>
        <w:t xml:space="preserve">stopped except for emergency felling for development projects such as widening of roads. The long spell of dry season has caused delay in start of plantation activities which usually coincided with monsoon in June end during 1980s. The plantations are normally raised during August – September, which results in reduction of the growing period before the onset of winter in November. The extreme winter frost takes heavy toll of the frost sensitive species and large scale casualty occurs and the survival of young saplings drops considerably. </w:t>
      </w:r>
    </w:p>
    <w:p w:rsidR="00AE7C06" w:rsidRDefault="004215A4" w:rsidP="00530E88">
      <w:pPr>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 xml:space="preserve">The reduced productivity of crop has led to increase in sown area on the common land, which were hitherto were under tree plantations and preserved as ‘Village Forests’ have been diverted for cultivation to meet the food grain requirement. The plantations raised by HFD have decreased in last 15 years due to non availability of community land for plantation due to competing land use in favor of food crop. However, schemes have been revised to associate other stakeholders to plant trees and HFD provides around 3.0 </w:t>
      </w:r>
      <w:proofErr w:type="spellStart"/>
      <w:r>
        <w:rPr>
          <w:rFonts w:ascii="Times New Roman" w:hAnsi="Times New Roman" w:cs="Times New Roman"/>
          <w:sz w:val="20"/>
          <w:szCs w:val="20"/>
        </w:rPr>
        <w:t>crore</w:t>
      </w:r>
      <w:proofErr w:type="spellEnd"/>
      <w:r>
        <w:rPr>
          <w:rFonts w:ascii="Times New Roman" w:hAnsi="Times New Roman" w:cs="Times New Roman"/>
          <w:sz w:val="20"/>
          <w:szCs w:val="20"/>
        </w:rPr>
        <w:t xml:space="preserve"> seedlings free every year. The reduced growing period has led to change in species choice and drought and frost resistant species are preferred. This has led to changes in the composition of species in the state. </w:t>
      </w:r>
      <w:proofErr w:type="spellStart"/>
      <w:r>
        <w:rPr>
          <w:rFonts w:ascii="Times New Roman" w:hAnsi="Times New Roman" w:cs="Times New Roman"/>
          <w:sz w:val="20"/>
          <w:szCs w:val="20"/>
        </w:rPr>
        <w:t>Shisham</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kikar</w:t>
      </w:r>
      <w:proofErr w:type="spellEnd"/>
      <w:r>
        <w:rPr>
          <w:rFonts w:ascii="Times New Roman" w:hAnsi="Times New Roman" w:cs="Times New Roman"/>
          <w:sz w:val="20"/>
          <w:szCs w:val="20"/>
        </w:rPr>
        <w:t xml:space="preserve"> trees are drying in the state. This is indicated by the fact that the proportion of dead trees harvested by Production Circle in total wood harvested has increased in last ten years.</w:t>
      </w:r>
    </w:p>
    <w:p w:rsidR="00DB1678" w:rsidRDefault="00DB1678" w:rsidP="00530E88">
      <w:pPr>
        <w:adjustRightInd w:val="0"/>
        <w:snapToGrid w:val="0"/>
        <w:spacing w:after="0" w:line="240" w:lineRule="auto"/>
        <w:jc w:val="both"/>
        <w:rPr>
          <w:rFonts w:ascii="Times New Roman" w:hAnsi="Times New Roman" w:cs="Times New Roman"/>
          <w:sz w:val="20"/>
          <w:szCs w:val="20"/>
          <w:lang w:eastAsia="zh-CN"/>
        </w:rPr>
      </w:pPr>
    </w:p>
    <w:p w:rsidR="00AE7C06" w:rsidRDefault="004215A4" w:rsidP="00530E8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Likely Impacts of Climate Change on Agriculture </w:t>
      </w:r>
    </w:p>
    <w:p w:rsidR="00AE7C06" w:rsidRDefault="004215A4" w:rsidP="00530E88">
      <w:pPr>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short periods of exposure of wheat crops to temperatures of 28 ºC to 32ºC result in significant decrease in yield by 20% or more. North-Western parts of India where sowing of wheat is often delayed due to late harvest of rice and cotton in wheat-rice-cotton cropping system and range of 28 ºC to 32ºC temperatures are commonly encountered in the later part of the growing season. As a result, significant losses in yield occur due to heat stress during grain filling period. In view of global warming and increased total demand for wheat in India during next 12 years, development of heat-tolerant cultivars is of major concern in wheat breeding programs. </w:t>
      </w:r>
    </w:p>
    <w:p w:rsidR="00AE7C06" w:rsidRDefault="004215A4" w:rsidP="00530E88">
      <w:pPr>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traditional way of irrigated rice production, rice consumes more than 50% of the water used for irrigation in Asia. Rice requires 2-3 times more water per unit grain produced than crops such as wheat and maize. Traditional rice irrigation faces threat with projected less water availability in future. </w:t>
      </w:r>
    </w:p>
    <w:p w:rsidR="00AE7C06" w:rsidRDefault="004215A4" w:rsidP="00530E88">
      <w:pPr>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Indian mustard cultivation is adversely affected by drought and salinity stress causing production losses as seedlings and mature plants show stress related symptoms including delayed </w:t>
      </w:r>
      <w:r>
        <w:rPr>
          <w:rFonts w:ascii="Times New Roman" w:hAnsi="Times New Roman" w:cs="Times New Roman"/>
          <w:sz w:val="20"/>
          <w:szCs w:val="20"/>
        </w:rPr>
        <w:lastRenderedPageBreak/>
        <w:t xml:space="preserve">germination, poor growth and poor flowering. With projected increase in drought frequency, erratic rainfall in future mustard yield may be severely affected. </w:t>
      </w:r>
    </w:p>
    <w:p w:rsidR="00AE7C06" w:rsidRDefault="004215A4" w:rsidP="00530E88">
      <w:pPr>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unpredictable moisture deficits during crop growth are a major constraint to productivity, adaptation and stability of chick pea performance throughout the world. Due to this single factor the annual yield losses are globally very high, ranging from 30-40 %. Deficit soil moisture conditions are projected to increase in future. </w:t>
      </w:r>
    </w:p>
    <w:p w:rsidR="00530E88" w:rsidRDefault="00530E88" w:rsidP="00530E88">
      <w:pPr>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
    <w:p w:rsidR="00AE7C06" w:rsidRDefault="004215A4" w:rsidP="00530E88">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Corresponding author:</w:t>
      </w:r>
    </w:p>
    <w:p w:rsidR="00AE7C06" w:rsidRDefault="004215A4" w:rsidP="00530E88">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ab/>
      </w:r>
      <w:proofErr w:type="spellStart"/>
      <w:r>
        <w:rPr>
          <w:rFonts w:ascii="Times New Roman" w:hAnsi="Times New Roman" w:cs="Times New Roman"/>
          <w:sz w:val="20"/>
          <w:szCs w:val="20"/>
        </w:rPr>
        <w:t>Manju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Bala</w:t>
      </w:r>
      <w:proofErr w:type="spellEnd"/>
    </w:p>
    <w:p w:rsidR="00AE7C06" w:rsidRDefault="004215A4" w:rsidP="00530E88">
      <w:pPr>
        <w:autoSpaceDE w:val="0"/>
        <w:autoSpaceDN w:val="0"/>
        <w:adjustRightInd w:val="0"/>
        <w:snapToGrid w:val="0"/>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ab/>
        <w:t xml:space="preserve">Former Master Degree Student, </w:t>
      </w:r>
    </w:p>
    <w:p w:rsidR="00AE7C06" w:rsidRDefault="004215A4" w:rsidP="00530E88">
      <w:pPr>
        <w:autoSpaceDE w:val="0"/>
        <w:autoSpaceDN w:val="0"/>
        <w:adjustRightInd w:val="0"/>
        <w:snapToGrid w:val="0"/>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ab/>
        <w:t xml:space="preserve">Department of Geography, </w:t>
      </w:r>
    </w:p>
    <w:p w:rsidR="00AE7C06" w:rsidRDefault="004215A4" w:rsidP="00530E88">
      <w:pPr>
        <w:autoSpaceDE w:val="0"/>
        <w:autoSpaceDN w:val="0"/>
        <w:adjustRightInd w:val="0"/>
        <w:snapToGrid w:val="0"/>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ab/>
      </w:r>
      <w:proofErr w:type="spellStart"/>
      <w:r>
        <w:rPr>
          <w:rFonts w:ascii="Times New Roman" w:hAnsi="Times New Roman" w:cs="Times New Roman"/>
          <w:iCs/>
          <w:sz w:val="20"/>
          <w:szCs w:val="20"/>
        </w:rPr>
        <w:t>Kurukshetra</w:t>
      </w:r>
      <w:proofErr w:type="spellEnd"/>
      <w:r>
        <w:rPr>
          <w:rFonts w:ascii="Times New Roman" w:hAnsi="Times New Roman" w:cs="Times New Roman"/>
          <w:iCs/>
          <w:sz w:val="20"/>
          <w:szCs w:val="20"/>
        </w:rPr>
        <w:t xml:space="preserve"> University, </w:t>
      </w:r>
      <w:proofErr w:type="spellStart"/>
      <w:r>
        <w:rPr>
          <w:rFonts w:ascii="Times New Roman" w:hAnsi="Times New Roman" w:cs="Times New Roman"/>
          <w:iCs/>
          <w:sz w:val="20"/>
          <w:szCs w:val="20"/>
        </w:rPr>
        <w:t>Kurukshetra</w:t>
      </w:r>
      <w:proofErr w:type="spellEnd"/>
      <w:r>
        <w:rPr>
          <w:rFonts w:ascii="Times New Roman" w:hAnsi="Times New Roman" w:cs="Times New Roman"/>
          <w:iCs/>
          <w:sz w:val="20"/>
          <w:szCs w:val="20"/>
        </w:rPr>
        <w:t xml:space="preserve"> -136119, Haryana (India) </w:t>
      </w:r>
    </w:p>
    <w:p w:rsidR="00AE7C06" w:rsidRDefault="00DB1678" w:rsidP="00530E88">
      <w:pPr>
        <w:adjustRightInd w:val="0"/>
        <w:snapToGrid w:val="0"/>
        <w:spacing w:after="0" w:line="240" w:lineRule="auto"/>
        <w:jc w:val="both"/>
        <w:rPr>
          <w:rFonts w:ascii="Times New Roman" w:hAnsi="Times New Roman" w:cs="Times New Roman"/>
          <w:iCs/>
          <w:sz w:val="20"/>
          <w:szCs w:val="20"/>
          <w:lang w:eastAsia="zh-CN"/>
        </w:rPr>
      </w:pPr>
      <w:r>
        <w:rPr>
          <w:rFonts w:ascii="Times New Roman" w:hAnsi="Times New Roman" w:cs="Times New Roman"/>
          <w:iCs/>
          <w:sz w:val="20"/>
          <w:szCs w:val="20"/>
        </w:rPr>
        <w:tab/>
        <w:t>e-mail</w:t>
      </w:r>
      <w:r>
        <w:rPr>
          <w:rFonts w:ascii="Times New Roman" w:hAnsi="Times New Roman" w:cs="Times New Roman" w:hint="eastAsia"/>
          <w:iCs/>
          <w:sz w:val="20"/>
          <w:szCs w:val="20"/>
          <w:lang w:eastAsia="zh-CN"/>
        </w:rPr>
        <w:t xml:space="preserve">: </w:t>
      </w:r>
      <w:hyperlink r:id="rId20" w:history="1">
        <w:r w:rsidRPr="006D2CC3">
          <w:rPr>
            <w:rStyle w:val="Hyperlink"/>
            <w:rFonts w:ascii="Times New Roman" w:hAnsi="Times New Roman" w:cs="Times New Roman"/>
            <w:iCs/>
            <w:sz w:val="20"/>
            <w:szCs w:val="20"/>
          </w:rPr>
          <w:t>manju.arya002@gmail.com</w:t>
        </w:r>
      </w:hyperlink>
      <w:r>
        <w:rPr>
          <w:rFonts w:ascii="Times New Roman" w:hAnsi="Times New Roman" w:cs="Times New Roman"/>
          <w:iCs/>
          <w:sz w:val="20"/>
          <w:szCs w:val="20"/>
        </w:rPr>
        <w:t xml:space="preserve"> </w:t>
      </w:r>
    </w:p>
    <w:p w:rsidR="00AE7C06" w:rsidRDefault="004215A4" w:rsidP="00530E88">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iCs/>
          <w:sz w:val="20"/>
          <w:szCs w:val="20"/>
        </w:rPr>
        <w:tab/>
        <w:t>Contact No. +91-9468154805</w:t>
      </w:r>
    </w:p>
    <w:p w:rsidR="00530E88" w:rsidRDefault="00530E88" w:rsidP="00530E88">
      <w:pPr>
        <w:autoSpaceDE w:val="0"/>
        <w:autoSpaceDN w:val="0"/>
        <w:adjustRightInd w:val="0"/>
        <w:snapToGrid w:val="0"/>
        <w:spacing w:after="0" w:line="240" w:lineRule="auto"/>
        <w:jc w:val="both"/>
        <w:rPr>
          <w:rFonts w:ascii="Times New Roman" w:hAnsi="Times New Roman" w:cs="Times New Roman"/>
          <w:b/>
          <w:bCs/>
          <w:sz w:val="20"/>
          <w:szCs w:val="20"/>
          <w:lang w:eastAsia="zh-CN" w:bidi="ml-IN"/>
        </w:rPr>
      </w:pPr>
    </w:p>
    <w:p w:rsidR="00AE7C06" w:rsidRDefault="004215A4" w:rsidP="00530E88">
      <w:pPr>
        <w:autoSpaceDE w:val="0"/>
        <w:autoSpaceDN w:val="0"/>
        <w:adjustRightInd w:val="0"/>
        <w:snapToGrid w:val="0"/>
        <w:spacing w:after="0" w:line="240" w:lineRule="auto"/>
        <w:jc w:val="both"/>
        <w:rPr>
          <w:rFonts w:ascii="Times New Roman" w:hAnsi="Times New Roman" w:cs="Times New Roman"/>
          <w:b/>
          <w:bCs/>
          <w:sz w:val="20"/>
          <w:szCs w:val="20"/>
          <w:lang w:bidi="ml-IN"/>
        </w:rPr>
      </w:pPr>
      <w:r>
        <w:rPr>
          <w:rFonts w:ascii="Times New Roman" w:hAnsi="Times New Roman" w:cs="Times New Roman"/>
          <w:b/>
          <w:bCs/>
          <w:sz w:val="20"/>
          <w:szCs w:val="20"/>
          <w:lang w:bidi="ml-IN"/>
        </w:rPr>
        <w:t>References:</w:t>
      </w:r>
    </w:p>
    <w:p w:rsidR="00AE7C06" w:rsidRDefault="004215A4" w:rsidP="00530E88">
      <w:pPr>
        <w:numPr>
          <w:ilvl w:val="0"/>
          <w:numId w:val="4"/>
        </w:numPr>
        <w:adjustRightInd w:val="0"/>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1. European Union (2000) EU water framework directive: Directive 2000/60/EC of the European Parliament and of the Council establishing a framework for the Community action in the field of water policy. </w:t>
      </w:r>
      <w:proofErr w:type="spellStart"/>
      <w:r>
        <w:rPr>
          <w:rFonts w:ascii="Times New Roman" w:hAnsi="Times New Roman" w:cs="Times New Roman"/>
          <w:sz w:val="20"/>
          <w:szCs w:val="20"/>
        </w:rPr>
        <w:t>EUOfficial</w:t>
      </w:r>
      <w:proofErr w:type="spellEnd"/>
      <w:r>
        <w:rPr>
          <w:rFonts w:ascii="Times New Roman" w:hAnsi="Times New Roman" w:cs="Times New Roman"/>
          <w:sz w:val="20"/>
          <w:szCs w:val="20"/>
        </w:rPr>
        <w:t xml:space="preserve"> Journal (OJ L 327, 22 December 2000) </w:t>
      </w:r>
    </w:p>
    <w:p w:rsidR="00AE7C06" w:rsidRDefault="004215A4" w:rsidP="00530E88">
      <w:pPr>
        <w:numPr>
          <w:ilvl w:val="0"/>
          <w:numId w:val="4"/>
        </w:numPr>
        <w:adjustRightInd w:val="0"/>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2. United Nations (2006) World water development report 2: water, a shared responsibility. UNESCO, Paris, 601 pp </w:t>
      </w:r>
    </w:p>
    <w:p w:rsidR="00AE7C06" w:rsidRDefault="004215A4" w:rsidP="00530E88">
      <w:pPr>
        <w:numPr>
          <w:ilvl w:val="0"/>
          <w:numId w:val="4"/>
        </w:numPr>
        <w:adjustRightInd w:val="0"/>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3. Bruinsma J (2003) World agriculture: towards 2015/2030. An FAO perspective. </w:t>
      </w:r>
      <w:proofErr w:type="spellStart"/>
      <w:r>
        <w:rPr>
          <w:rFonts w:ascii="Times New Roman" w:hAnsi="Times New Roman" w:cs="Times New Roman"/>
          <w:sz w:val="20"/>
          <w:szCs w:val="20"/>
        </w:rPr>
        <w:t>Earthscan</w:t>
      </w:r>
      <w:proofErr w:type="spellEnd"/>
      <w:r>
        <w:rPr>
          <w:rFonts w:ascii="Times New Roman" w:hAnsi="Times New Roman" w:cs="Times New Roman"/>
          <w:sz w:val="20"/>
          <w:szCs w:val="20"/>
        </w:rPr>
        <w:t xml:space="preserve">, London, 444 pp </w:t>
      </w:r>
    </w:p>
    <w:p w:rsidR="00AE7C06" w:rsidRDefault="004215A4" w:rsidP="00530E88">
      <w:pPr>
        <w:numPr>
          <w:ilvl w:val="0"/>
          <w:numId w:val="4"/>
        </w:numPr>
        <w:adjustRightInd w:val="0"/>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4. Alcamo J, </w:t>
      </w:r>
      <w:proofErr w:type="spellStart"/>
      <w:r>
        <w:rPr>
          <w:rFonts w:ascii="Times New Roman" w:hAnsi="Times New Roman" w:cs="Times New Roman"/>
          <w:sz w:val="20"/>
          <w:szCs w:val="20"/>
        </w:rPr>
        <w:t>Do¨ll</w:t>
      </w:r>
      <w:proofErr w:type="spellEnd"/>
      <w:r>
        <w:rPr>
          <w:rFonts w:ascii="Times New Roman" w:hAnsi="Times New Roman" w:cs="Times New Roman"/>
          <w:sz w:val="20"/>
          <w:szCs w:val="20"/>
        </w:rPr>
        <w:t xml:space="preserve"> P, </w:t>
      </w:r>
      <w:proofErr w:type="spellStart"/>
      <w:r>
        <w:rPr>
          <w:rFonts w:ascii="Times New Roman" w:hAnsi="Times New Roman" w:cs="Times New Roman"/>
          <w:sz w:val="20"/>
          <w:szCs w:val="20"/>
        </w:rPr>
        <w:t>Henrichs</w:t>
      </w:r>
      <w:proofErr w:type="spellEnd"/>
      <w:r>
        <w:rPr>
          <w:rFonts w:ascii="Times New Roman" w:hAnsi="Times New Roman" w:cs="Times New Roman"/>
          <w:sz w:val="20"/>
          <w:szCs w:val="20"/>
        </w:rPr>
        <w:t xml:space="preserve"> T, </w:t>
      </w:r>
      <w:proofErr w:type="spellStart"/>
      <w:r>
        <w:rPr>
          <w:rFonts w:ascii="Times New Roman" w:hAnsi="Times New Roman" w:cs="Times New Roman"/>
          <w:sz w:val="20"/>
          <w:szCs w:val="20"/>
        </w:rPr>
        <w:t>Kaspar</w:t>
      </w:r>
      <w:proofErr w:type="spellEnd"/>
      <w:r>
        <w:rPr>
          <w:rFonts w:ascii="Times New Roman" w:hAnsi="Times New Roman" w:cs="Times New Roman"/>
          <w:sz w:val="20"/>
          <w:szCs w:val="20"/>
        </w:rPr>
        <w:t xml:space="preserve"> F, </w:t>
      </w:r>
      <w:proofErr w:type="spellStart"/>
      <w:r>
        <w:rPr>
          <w:rFonts w:ascii="Times New Roman" w:hAnsi="Times New Roman" w:cs="Times New Roman"/>
          <w:sz w:val="20"/>
          <w:szCs w:val="20"/>
        </w:rPr>
        <w:t>Lehner</w:t>
      </w:r>
      <w:proofErr w:type="spellEnd"/>
      <w:r>
        <w:rPr>
          <w:rFonts w:ascii="Times New Roman" w:hAnsi="Times New Roman" w:cs="Times New Roman"/>
          <w:sz w:val="20"/>
          <w:szCs w:val="20"/>
        </w:rPr>
        <w:t xml:space="preserve"> B, </w:t>
      </w:r>
      <w:proofErr w:type="spellStart"/>
      <w:r>
        <w:rPr>
          <w:rFonts w:ascii="Times New Roman" w:hAnsi="Times New Roman" w:cs="Times New Roman"/>
          <w:sz w:val="20"/>
          <w:szCs w:val="20"/>
        </w:rPr>
        <w:t>Ro¨sch</w:t>
      </w:r>
      <w:proofErr w:type="spellEnd"/>
      <w:r>
        <w:rPr>
          <w:rFonts w:ascii="Times New Roman" w:hAnsi="Times New Roman" w:cs="Times New Roman"/>
          <w:sz w:val="20"/>
          <w:szCs w:val="20"/>
        </w:rPr>
        <w:t xml:space="preserve"> T, Siebert S (2003) Development and testing of the </w:t>
      </w:r>
      <w:proofErr w:type="spellStart"/>
      <w:r>
        <w:rPr>
          <w:rFonts w:ascii="Times New Roman" w:hAnsi="Times New Roman" w:cs="Times New Roman"/>
          <w:sz w:val="20"/>
          <w:szCs w:val="20"/>
        </w:rPr>
        <w:t>WaterGAP</w:t>
      </w:r>
      <w:proofErr w:type="spellEnd"/>
      <w:r>
        <w:rPr>
          <w:rFonts w:ascii="Times New Roman" w:hAnsi="Times New Roman" w:cs="Times New Roman"/>
          <w:sz w:val="20"/>
          <w:szCs w:val="20"/>
        </w:rPr>
        <w:t xml:space="preserve"> 2 global model of water use and availability. </w:t>
      </w:r>
      <w:proofErr w:type="spellStart"/>
      <w:r>
        <w:rPr>
          <w:rFonts w:ascii="Times New Roman" w:hAnsi="Times New Roman" w:cs="Times New Roman"/>
          <w:sz w:val="20"/>
          <w:szCs w:val="20"/>
        </w:rPr>
        <w:t>Hydrol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Sci</w:t>
      </w:r>
      <w:proofErr w:type="spellEnd"/>
      <w:r>
        <w:rPr>
          <w:rFonts w:ascii="Times New Roman" w:hAnsi="Times New Roman" w:cs="Times New Roman"/>
          <w:sz w:val="20"/>
          <w:szCs w:val="20"/>
        </w:rPr>
        <w:t xml:space="preserve"> J 48:317–338 </w:t>
      </w:r>
    </w:p>
    <w:p w:rsidR="00AE7C06" w:rsidRDefault="004215A4" w:rsidP="00530E88">
      <w:pPr>
        <w:numPr>
          <w:ilvl w:val="0"/>
          <w:numId w:val="4"/>
        </w:numPr>
        <w:adjustRightInd w:val="0"/>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5. Bates BC, </w:t>
      </w:r>
      <w:proofErr w:type="spellStart"/>
      <w:r>
        <w:rPr>
          <w:rFonts w:ascii="Times New Roman" w:hAnsi="Times New Roman" w:cs="Times New Roman"/>
          <w:sz w:val="20"/>
          <w:szCs w:val="20"/>
        </w:rPr>
        <w:t>Kundzewicz</w:t>
      </w:r>
      <w:proofErr w:type="spellEnd"/>
      <w:r>
        <w:rPr>
          <w:rFonts w:ascii="Times New Roman" w:hAnsi="Times New Roman" w:cs="Times New Roman"/>
          <w:sz w:val="20"/>
          <w:szCs w:val="20"/>
        </w:rPr>
        <w:t xml:space="preserve"> ZW, Wu S, </w:t>
      </w:r>
      <w:proofErr w:type="spellStart"/>
      <w:r>
        <w:rPr>
          <w:rFonts w:ascii="Times New Roman" w:hAnsi="Times New Roman" w:cs="Times New Roman"/>
          <w:sz w:val="20"/>
          <w:szCs w:val="20"/>
        </w:rPr>
        <w:t>Palutikof</w:t>
      </w:r>
      <w:proofErr w:type="spellEnd"/>
      <w:r>
        <w:rPr>
          <w:rFonts w:ascii="Times New Roman" w:hAnsi="Times New Roman" w:cs="Times New Roman"/>
          <w:sz w:val="20"/>
          <w:szCs w:val="20"/>
        </w:rPr>
        <w:t xml:space="preserve"> JP (</w:t>
      </w:r>
      <w:proofErr w:type="spellStart"/>
      <w:r>
        <w:rPr>
          <w:rFonts w:ascii="Times New Roman" w:hAnsi="Times New Roman" w:cs="Times New Roman"/>
          <w:sz w:val="20"/>
          <w:szCs w:val="20"/>
        </w:rPr>
        <w:t>eds</w:t>
      </w:r>
      <w:proofErr w:type="spellEnd"/>
      <w:r>
        <w:rPr>
          <w:rFonts w:ascii="Times New Roman" w:hAnsi="Times New Roman" w:cs="Times New Roman"/>
          <w:sz w:val="20"/>
          <w:szCs w:val="20"/>
        </w:rPr>
        <w:t xml:space="preserve">) (2008) Climate change and water. Technical paper of the intergovernmental panel on climate change. IPCC Secretariat, Geneva, 210 pp </w:t>
      </w:r>
    </w:p>
    <w:p w:rsidR="00AE7C06" w:rsidRDefault="004215A4" w:rsidP="00530E88">
      <w:pPr>
        <w:numPr>
          <w:ilvl w:val="0"/>
          <w:numId w:val="4"/>
        </w:numPr>
        <w:adjustRightInd w:val="0"/>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6. Crowley TJ (2000) Causes of climate change over the past 1000 years. Science 289:270–277 </w:t>
      </w:r>
    </w:p>
    <w:p w:rsidR="00AE7C06" w:rsidRDefault="004215A4" w:rsidP="00530E88">
      <w:pPr>
        <w:numPr>
          <w:ilvl w:val="0"/>
          <w:numId w:val="4"/>
        </w:numPr>
        <w:adjustRightInd w:val="0"/>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7. Solomon S, Qin D, Manning M, Chen Z, Marquis M, </w:t>
      </w:r>
      <w:proofErr w:type="spellStart"/>
      <w:r>
        <w:rPr>
          <w:rFonts w:ascii="Times New Roman" w:hAnsi="Times New Roman" w:cs="Times New Roman"/>
          <w:sz w:val="20"/>
          <w:szCs w:val="20"/>
        </w:rPr>
        <w:t>Averyt</w:t>
      </w:r>
      <w:proofErr w:type="spellEnd"/>
      <w:r>
        <w:rPr>
          <w:rFonts w:ascii="Times New Roman" w:hAnsi="Times New Roman" w:cs="Times New Roman"/>
          <w:sz w:val="20"/>
          <w:szCs w:val="20"/>
        </w:rPr>
        <w:t xml:space="preserve"> KB, </w:t>
      </w:r>
      <w:proofErr w:type="spellStart"/>
      <w:r>
        <w:rPr>
          <w:rFonts w:ascii="Times New Roman" w:hAnsi="Times New Roman" w:cs="Times New Roman"/>
          <w:sz w:val="20"/>
          <w:szCs w:val="20"/>
        </w:rPr>
        <w:t>Tignor</w:t>
      </w:r>
      <w:proofErr w:type="spellEnd"/>
      <w:r>
        <w:rPr>
          <w:rFonts w:ascii="Times New Roman" w:hAnsi="Times New Roman" w:cs="Times New Roman"/>
          <w:sz w:val="20"/>
          <w:szCs w:val="20"/>
        </w:rPr>
        <w:t xml:space="preserve"> M, Miller HL (</w:t>
      </w:r>
      <w:proofErr w:type="spellStart"/>
      <w:r>
        <w:rPr>
          <w:rFonts w:ascii="Times New Roman" w:hAnsi="Times New Roman" w:cs="Times New Roman"/>
          <w:sz w:val="20"/>
          <w:szCs w:val="20"/>
        </w:rPr>
        <w:t>eds</w:t>
      </w:r>
      <w:proofErr w:type="spellEnd"/>
      <w:r>
        <w:rPr>
          <w:rFonts w:ascii="Times New Roman" w:hAnsi="Times New Roman" w:cs="Times New Roman"/>
          <w:sz w:val="20"/>
          <w:szCs w:val="20"/>
        </w:rPr>
        <w:t xml:space="preserve">) (2007) Climate change: the physical science basis. Contribution of working group I to the fourth assessment report of the intergovernmental panel on </w:t>
      </w:r>
      <w:r>
        <w:rPr>
          <w:rFonts w:ascii="Times New Roman" w:hAnsi="Times New Roman" w:cs="Times New Roman"/>
          <w:sz w:val="20"/>
          <w:szCs w:val="20"/>
        </w:rPr>
        <w:lastRenderedPageBreak/>
        <w:t xml:space="preserve">climate change. Cambridge University Press, Cambridge, UK </w:t>
      </w:r>
    </w:p>
    <w:p w:rsidR="00AE7C06" w:rsidRDefault="004215A4" w:rsidP="00530E88">
      <w:pPr>
        <w:numPr>
          <w:ilvl w:val="0"/>
          <w:numId w:val="4"/>
        </w:numPr>
        <w:adjustRightInd w:val="0"/>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8. </w:t>
      </w:r>
      <w:proofErr w:type="spellStart"/>
      <w:r>
        <w:rPr>
          <w:rFonts w:ascii="Times New Roman" w:hAnsi="Times New Roman" w:cs="Times New Roman"/>
          <w:sz w:val="20"/>
          <w:szCs w:val="20"/>
        </w:rPr>
        <w:t>Milankovitch</w:t>
      </w:r>
      <w:proofErr w:type="spellEnd"/>
      <w:r>
        <w:rPr>
          <w:rFonts w:ascii="Times New Roman" w:hAnsi="Times New Roman" w:cs="Times New Roman"/>
          <w:sz w:val="20"/>
          <w:szCs w:val="20"/>
        </w:rPr>
        <w:t xml:space="preserve"> M, </w:t>
      </w:r>
      <w:proofErr w:type="spellStart"/>
      <w:r>
        <w:rPr>
          <w:rFonts w:ascii="Times New Roman" w:hAnsi="Times New Roman" w:cs="Times New Roman"/>
          <w:sz w:val="20"/>
          <w:szCs w:val="20"/>
        </w:rPr>
        <w:t>Ko¨ppen</w:t>
      </w:r>
      <w:proofErr w:type="spellEnd"/>
      <w:r>
        <w:rPr>
          <w:rFonts w:ascii="Times New Roman" w:hAnsi="Times New Roman" w:cs="Times New Roman"/>
          <w:sz w:val="20"/>
          <w:szCs w:val="20"/>
        </w:rPr>
        <w:t xml:space="preserve"> W, Geiger R (</w:t>
      </w:r>
      <w:proofErr w:type="spellStart"/>
      <w:r>
        <w:rPr>
          <w:rFonts w:ascii="Times New Roman" w:hAnsi="Times New Roman" w:cs="Times New Roman"/>
          <w:sz w:val="20"/>
          <w:szCs w:val="20"/>
        </w:rPr>
        <w:t>eds</w:t>
      </w:r>
      <w:proofErr w:type="spellEnd"/>
      <w:r>
        <w:rPr>
          <w:rFonts w:ascii="Times New Roman" w:hAnsi="Times New Roman" w:cs="Times New Roman"/>
          <w:sz w:val="20"/>
          <w:szCs w:val="20"/>
        </w:rPr>
        <w:t xml:space="preserve">) (1930) </w:t>
      </w:r>
      <w:proofErr w:type="spellStart"/>
      <w:r>
        <w:rPr>
          <w:rFonts w:ascii="Times New Roman" w:hAnsi="Times New Roman" w:cs="Times New Roman"/>
          <w:sz w:val="20"/>
          <w:szCs w:val="20"/>
        </w:rPr>
        <w:t>Mathematische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Klimalehre</w:t>
      </w:r>
      <w:proofErr w:type="spellEnd"/>
      <w:r>
        <w:rPr>
          <w:rFonts w:ascii="Times New Roman" w:hAnsi="Times New Roman" w:cs="Times New Roman"/>
          <w:sz w:val="20"/>
          <w:szCs w:val="20"/>
        </w:rPr>
        <w:t xml:space="preserve"> und </w:t>
      </w:r>
      <w:proofErr w:type="spellStart"/>
      <w:r>
        <w:rPr>
          <w:rFonts w:ascii="Times New Roman" w:hAnsi="Times New Roman" w:cs="Times New Roman"/>
          <w:sz w:val="20"/>
          <w:szCs w:val="20"/>
        </w:rPr>
        <w:t>astronomische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Theorie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Klimaschwankungen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vol</w:t>
      </w:r>
      <w:proofErr w:type="spellEnd"/>
      <w:r>
        <w:rPr>
          <w:rFonts w:ascii="Times New Roman" w:hAnsi="Times New Roman" w:cs="Times New Roman"/>
          <w:sz w:val="20"/>
          <w:szCs w:val="20"/>
        </w:rPr>
        <w:t xml:space="preserve"> 1, </w:t>
      </w:r>
      <w:proofErr w:type="spellStart"/>
      <w:r>
        <w:rPr>
          <w:rFonts w:ascii="Times New Roman" w:hAnsi="Times New Roman" w:cs="Times New Roman"/>
          <w:sz w:val="20"/>
          <w:szCs w:val="20"/>
        </w:rPr>
        <w:t>Handbuch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Klimatologie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Gebru¨der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Borntra¨ger</w:t>
      </w:r>
      <w:proofErr w:type="spellEnd"/>
      <w:r>
        <w:rPr>
          <w:rFonts w:ascii="Times New Roman" w:hAnsi="Times New Roman" w:cs="Times New Roman"/>
          <w:sz w:val="20"/>
          <w:szCs w:val="20"/>
        </w:rPr>
        <w:t xml:space="preserve">, Berlin, pp 1–176 </w:t>
      </w:r>
    </w:p>
    <w:p w:rsidR="00AE7C06" w:rsidRDefault="004215A4" w:rsidP="00530E88">
      <w:pPr>
        <w:numPr>
          <w:ilvl w:val="0"/>
          <w:numId w:val="4"/>
        </w:numPr>
        <w:adjustRightInd w:val="0"/>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9. Molina M, </w:t>
      </w:r>
      <w:proofErr w:type="spellStart"/>
      <w:r>
        <w:rPr>
          <w:rFonts w:ascii="Times New Roman" w:hAnsi="Times New Roman" w:cs="Times New Roman"/>
          <w:sz w:val="20"/>
          <w:szCs w:val="20"/>
        </w:rPr>
        <w:t>Zaelke</w:t>
      </w:r>
      <w:proofErr w:type="spellEnd"/>
      <w:r>
        <w:rPr>
          <w:rFonts w:ascii="Times New Roman" w:hAnsi="Times New Roman" w:cs="Times New Roman"/>
          <w:sz w:val="20"/>
          <w:szCs w:val="20"/>
        </w:rPr>
        <w:t xml:space="preserve"> D, </w:t>
      </w:r>
      <w:proofErr w:type="spellStart"/>
      <w:r>
        <w:rPr>
          <w:rFonts w:ascii="Times New Roman" w:hAnsi="Times New Roman" w:cs="Times New Roman"/>
          <w:sz w:val="20"/>
          <w:szCs w:val="20"/>
        </w:rPr>
        <w:t>Sarma</w:t>
      </w:r>
      <w:proofErr w:type="spellEnd"/>
      <w:r>
        <w:rPr>
          <w:rFonts w:ascii="Times New Roman" w:hAnsi="Times New Roman" w:cs="Times New Roman"/>
          <w:sz w:val="20"/>
          <w:szCs w:val="20"/>
        </w:rPr>
        <w:t xml:space="preserve"> KM, Andersen SO, </w:t>
      </w:r>
      <w:proofErr w:type="spellStart"/>
      <w:r>
        <w:rPr>
          <w:rFonts w:ascii="Times New Roman" w:hAnsi="Times New Roman" w:cs="Times New Roman"/>
          <w:sz w:val="20"/>
          <w:szCs w:val="20"/>
        </w:rPr>
        <w:t>Ramanathan</w:t>
      </w:r>
      <w:proofErr w:type="spellEnd"/>
      <w:r>
        <w:rPr>
          <w:rFonts w:ascii="Times New Roman" w:hAnsi="Times New Roman" w:cs="Times New Roman"/>
          <w:sz w:val="20"/>
          <w:szCs w:val="20"/>
        </w:rPr>
        <w:t xml:space="preserve"> V, </w:t>
      </w:r>
      <w:proofErr w:type="spellStart"/>
      <w:r>
        <w:rPr>
          <w:rFonts w:ascii="Times New Roman" w:hAnsi="Times New Roman" w:cs="Times New Roman"/>
          <w:sz w:val="20"/>
          <w:szCs w:val="20"/>
        </w:rPr>
        <w:t>Kaniaru</w:t>
      </w:r>
      <w:proofErr w:type="spellEnd"/>
      <w:r>
        <w:rPr>
          <w:rFonts w:ascii="Times New Roman" w:hAnsi="Times New Roman" w:cs="Times New Roman"/>
          <w:sz w:val="20"/>
          <w:szCs w:val="20"/>
        </w:rPr>
        <w:t xml:space="preserve"> D (2009) Reducing abrupt climate change risk using the Montreal Protocol and other regulatory actions to complement cuts in </w:t>
      </w:r>
      <w:r>
        <w:rPr>
          <w:rFonts w:ascii="Times New Roman" w:hAnsi="Times New Roman" w:cs="Times New Roman"/>
          <w:sz w:val="20"/>
          <w:szCs w:val="20"/>
        </w:rPr>
        <w:lastRenderedPageBreak/>
        <w:t xml:space="preserve">CO2 emissions. Proc </w:t>
      </w:r>
      <w:proofErr w:type="spellStart"/>
      <w:r>
        <w:rPr>
          <w:rFonts w:ascii="Times New Roman" w:hAnsi="Times New Roman" w:cs="Times New Roman"/>
          <w:sz w:val="20"/>
          <w:szCs w:val="20"/>
        </w:rPr>
        <w:t>Natl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Acad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Sci</w:t>
      </w:r>
      <w:proofErr w:type="spellEnd"/>
      <w:r>
        <w:rPr>
          <w:rFonts w:ascii="Times New Roman" w:hAnsi="Times New Roman" w:cs="Times New Roman"/>
          <w:sz w:val="20"/>
          <w:szCs w:val="20"/>
        </w:rPr>
        <w:t xml:space="preserve"> U S A 106(49):20616–20621 </w:t>
      </w:r>
    </w:p>
    <w:p w:rsidR="00AE7C06" w:rsidRDefault="004215A4" w:rsidP="00530E88">
      <w:pPr>
        <w:numPr>
          <w:ilvl w:val="0"/>
          <w:numId w:val="4"/>
        </w:numPr>
        <w:adjustRightInd w:val="0"/>
        <w:snapToGrid w:val="0"/>
        <w:spacing w:after="0" w:line="240" w:lineRule="auto"/>
        <w:ind w:hanging="578"/>
        <w:jc w:val="both"/>
        <w:rPr>
          <w:rFonts w:ascii="Times New Roman" w:hAnsi="Times New Roman" w:cs="Times New Roman"/>
          <w:sz w:val="20"/>
          <w:szCs w:val="20"/>
        </w:rPr>
      </w:pPr>
      <w:r>
        <w:rPr>
          <w:rFonts w:ascii="Times New Roman" w:hAnsi="Times New Roman" w:cs="Times New Roman"/>
          <w:sz w:val="20"/>
          <w:szCs w:val="20"/>
        </w:rPr>
        <w:t xml:space="preserve">10. Solomon S et al (2009) Irreversible climate change due to carbon dioxide emissions. Proc </w:t>
      </w:r>
      <w:proofErr w:type="spellStart"/>
      <w:r>
        <w:rPr>
          <w:rFonts w:ascii="Times New Roman" w:hAnsi="Times New Roman" w:cs="Times New Roman"/>
          <w:sz w:val="20"/>
          <w:szCs w:val="20"/>
        </w:rPr>
        <w:t>Natl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Acad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Sci</w:t>
      </w:r>
      <w:proofErr w:type="spellEnd"/>
      <w:r>
        <w:rPr>
          <w:rFonts w:ascii="Times New Roman" w:hAnsi="Times New Roman" w:cs="Times New Roman"/>
          <w:sz w:val="20"/>
          <w:szCs w:val="20"/>
        </w:rPr>
        <w:t xml:space="preserve"> U S A 106:1704–1709 </w:t>
      </w:r>
    </w:p>
    <w:p w:rsidR="00AE7C06" w:rsidRDefault="004215A4" w:rsidP="00530E88">
      <w:pPr>
        <w:numPr>
          <w:ilvl w:val="0"/>
          <w:numId w:val="4"/>
        </w:numPr>
        <w:adjustRightInd w:val="0"/>
        <w:snapToGrid w:val="0"/>
        <w:spacing w:after="0" w:line="240" w:lineRule="auto"/>
        <w:ind w:hanging="578"/>
        <w:jc w:val="both"/>
        <w:rPr>
          <w:rFonts w:ascii="Times New Roman" w:hAnsi="Times New Roman" w:cs="Times New Roman"/>
          <w:sz w:val="20"/>
          <w:szCs w:val="20"/>
          <w:lang w:eastAsia="zh-CN"/>
        </w:rPr>
      </w:pPr>
      <w:r>
        <w:rPr>
          <w:rFonts w:ascii="Times New Roman" w:hAnsi="Times New Roman" w:cs="Times New Roman"/>
          <w:sz w:val="20"/>
          <w:szCs w:val="20"/>
        </w:rPr>
        <w:t xml:space="preserve">11. UNFCCC (2009) Fact sheet: the need for mitigation. UNFCCC, Bonn, Germany 12. </w:t>
      </w:r>
      <w:proofErr w:type="spellStart"/>
      <w:r>
        <w:rPr>
          <w:rFonts w:ascii="Times New Roman" w:hAnsi="Times New Roman" w:cs="Times New Roman"/>
          <w:sz w:val="20"/>
          <w:szCs w:val="20"/>
        </w:rPr>
        <w:t>Breidenich</w:t>
      </w:r>
      <w:proofErr w:type="spellEnd"/>
      <w:r>
        <w:rPr>
          <w:rFonts w:ascii="Times New Roman" w:hAnsi="Times New Roman" w:cs="Times New Roman"/>
          <w:sz w:val="20"/>
          <w:szCs w:val="20"/>
        </w:rPr>
        <w:t xml:space="preserve"> C, Daniel M, Anne R, Rubin JW (1998) The Kyoto protocol to the United Nations framework convention on climate change. Am J </w:t>
      </w:r>
      <w:proofErr w:type="spellStart"/>
      <w:r>
        <w:rPr>
          <w:rFonts w:ascii="Times New Roman" w:hAnsi="Times New Roman" w:cs="Times New Roman"/>
          <w:sz w:val="20"/>
          <w:szCs w:val="20"/>
        </w:rPr>
        <w:t>Int</w:t>
      </w:r>
      <w:proofErr w:type="spellEnd"/>
      <w:r>
        <w:rPr>
          <w:rFonts w:ascii="Times New Roman" w:hAnsi="Times New Roman" w:cs="Times New Roman"/>
          <w:sz w:val="20"/>
          <w:szCs w:val="20"/>
        </w:rPr>
        <w:t xml:space="preserve"> Law 92(2):315–331</w:t>
      </w:r>
      <w:r>
        <w:rPr>
          <w:rFonts w:ascii="Times New Roman" w:hAnsi="Times New Roman" w:cs="Times New Roman"/>
          <w:sz w:val="20"/>
          <w:szCs w:val="20"/>
          <w:lang w:eastAsia="zh-CN"/>
        </w:rPr>
        <w:t>.</w:t>
      </w:r>
    </w:p>
    <w:p w:rsidR="00324105" w:rsidRDefault="00324105" w:rsidP="00530E88">
      <w:pPr>
        <w:adjustRightInd w:val="0"/>
        <w:snapToGrid w:val="0"/>
        <w:spacing w:after="0" w:line="240" w:lineRule="auto"/>
        <w:jc w:val="both"/>
        <w:rPr>
          <w:rFonts w:ascii="Times New Roman" w:hAnsi="Times New Roman" w:cs="Times New Roman"/>
          <w:sz w:val="20"/>
          <w:szCs w:val="20"/>
          <w:lang w:eastAsia="zh-CN"/>
        </w:rPr>
        <w:sectPr w:rsidR="00324105" w:rsidSect="00AE7C06">
          <w:type w:val="continuous"/>
          <w:pgSz w:w="12240" w:h="15840"/>
          <w:pgMar w:top="1440" w:right="1440" w:bottom="1440" w:left="1440" w:header="720" w:footer="720" w:gutter="0"/>
          <w:cols w:num="2" w:space="720"/>
          <w:docGrid w:linePitch="360"/>
        </w:sectPr>
      </w:pPr>
    </w:p>
    <w:p w:rsidR="00AE7C06" w:rsidRDefault="00AE7C06" w:rsidP="00530E88">
      <w:pPr>
        <w:adjustRightInd w:val="0"/>
        <w:snapToGrid w:val="0"/>
        <w:spacing w:after="0" w:line="240" w:lineRule="auto"/>
        <w:jc w:val="both"/>
        <w:rPr>
          <w:rFonts w:ascii="Times New Roman" w:hAnsi="Times New Roman" w:cs="Times New Roman"/>
          <w:sz w:val="20"/>
          <w:szCs w:val="20"/>
          <w:lang w:eastAsia="zh-CN"/>
        </w:rPr>
      </w:pPr>
    </w:p>
    <w:p w:rsidR="00AE7C06" w:rsidRDefault="00AE7C06" w:rsidP="00530E88">
      <w:pPr>
        <w:adjustRightInd w:val="0"/>
        <w:snapToGrid w:val="0"/>
        <w:spacing w:after="0" w:line="240" w:lineRule="auto"/>
        <w:jc w:val="both"/>
        <w:rPr>
          <w:rFonts w:ascii="Times New Roman" w:hAnsi="Times New Roman" w:cs="Times New Roman"/>
          <w:sz w:val="20"/>
          <w:szCs w:val="20"/>
          <w:lang w:eastAsia="zh-CN"/>
        </w:rPr>
      </w:pPr>
    </w:p>
    <w:p w:rsidR="00AE7C06" w:rsidRDefault="004215A4" w:rsidP="00530E88">
      <w:pPr>
        <w:adjustRightInd w:val="0"/>
        <w:snapToGrid w:val="0"/>
        <w:spacing w:after="0" w:line="240" w:lineRule="auto"/>
        <w:jc w:val="both"/>
        <w:rPr>
          <w:rFonts w:ascii="Times New Roman" w:hAnsi="Times New Roman" w:cs="Times New Roman"/>
          <w:b/>
          <w:bCs/>
          <w:sz w:val="20"/>
          <w:szCs w:val="20"/>
          <w:lang w:eastAsia="zh-CN"/>
        </w:rPr>
      </w:pPr>
      <w:r>
        <w:rPr>
          <w:rFonts w:ascii="Times New Roman" w:hAnsi="Times New Roman" w:cs="Times New Roman"/>
          <w:sz w:val="20"/>
          <w:szCs w:val="20"/>
          <w:lang w:eastAsia="zh-CN"/>
        </w:rPr>
        <w:t>10/2/2021</w:t>
      </w:r>
    </w:p>
    <w:sectPr w:rsidR="00AE7C06" w:rsidSect="0032410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F3F" w:rsidRDefault="001B6F3F">
      <w:pPr>
        <w:spacing w:line="240" w:lineRule="auto"/>
      </w:pPr>
      <w:r>
        <w:separator/>
      </w:r>
    </w:p>
  </w:endnote>
  <w:endnote w:type="continuationSeparator" w:id="0">
    <w:p w:rsidR="001B6F3F" w:rsidRDefault="001B6F3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NeueLT Std Lt">
    <w:altName w:val="Segoe Print"/>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06" w:rsidRDefault="00F711EE">
    <w:pPr>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AE7C06" w:rsidRDefault="00F711EE">
                <w:pPr>
                  <w:pStyle w:val="Footer"/>
                </w:pPr>
                <w:r>
                  <w:rPr>
                    <w:rFonts w:ascii="Times New Roman" w:hAnsi="Times New Roman" w:cs="Times New Roman"/>
                    <w:sz w:val="20"/>
                    <w:szCs w:val="20"/>
                  </w:rPr>
                  <w:fldChar w:fldCharType="begin"/>
                </w:r>
                <w:r w:rsidR="004215A4">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4C4F28">
                  <w:rPr>
                    <w:rFonts w:ascii="Times New Roman" w:hAnsi="Times New Roman" w:cs="Times New Roman"/>
                    <w:noProof/>
                    <w:sz w:val="20"/>
                    <w:szCs w:val="20"/>
                  </w:rPr>
                  <w:t>50</w:t>
                </w:r>
                <w:r>
                  <w:rPr>
                    <w:rFonts w:ascii="Times New Roman" w:hAnsi="Times New Roman" w:cs="Times New Roman"/>
                    <w:sz w:val="20"/>
                    <w:szCs w:val="20"/>
                  </w:rPr>
                  <w:fldChar w:fldCharType="end"/>
                </w:r>
              </w:p>
            </w:txbxContent>
          </v:textbox>
          <w10:wrap anchorx="margin"/>
        </v:shape>
      </w:pict>
    </w:r>
    <w:hyperlink r:id="rId1" w:history="1">
      <w:r w:rsidR="004215A4">
        <w:rPr>
          <w:rStyle w:val="Hyperlink"/>
          <w:sz w:val="20"/>
          <w:szCs w:val="20"/>
        </w:rPr>
        <w:t>http://www.sciencepub.net/researcher</w:t>
      </w:r>
    </w:hyperlink>
    <w:r w:rsidR="004215A4">
      <w:rPr>
        <w:bCs/>
        <w:sz w:val="20"/>
      </w:rPr>
      <w:t xml:space="preserve">                          </w:t>
    </w:r>
    <w:r w:rsidR="004215A4">
      <w:rPr>
        <w:rFonts w:hint="eastAsia"/>
        <w:bCs/>
        <w:sz w:val="20"/>
        <w:lang w:eastAsia="zh-CN"/>
      </w:rPr>
      <w:t xml:space="preserve">                  </w:t>
    </w:r>
    <w:r w:rsidR="004215A4">
      <w:rPr>
        <w:bCs/>
        <w:sz w:val="20"/>
      </w:rPr>
      <w:t xml:space="preserve">              </w:t>
    </w:r>
    <w:hyperlink r:id="rId2" w:history="1">
      <w:r w:rsidR="004215A4">
        <w:rPr>
          <w:rStyle w:val="Hyperlink"/>
          <w:bCs/>
          <w:sz w:val="20"/>
        </w:rPr>
        <w:t>researcher135@gmail.com</w:t>
      </w:r>
    </w:hyperlink>
  </w:p>
  <w:p w:rsidR="00AE7C06" w:rsidRDefault="00AE7C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06" w:rsidRDefault="00F711EE">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AE7C06" w:rsidRDefault="00F711EE">
                <w:pPr>
                  <w:pStyle w:val="Footer"/>
                </w:pPr>
                <w:r>
                  <w:rPr>
                    <w:rFonts w:ascii="Times New Roman" w:hAnsi="Times New Roman" w:cs="Times New Roman"/>
                    <w:sz w:val="20"/>
                    <w:szCs w:val="20"/>
                  </w:rPr>
                  <w:fldChar w:fldCharType="begin"/>
                </w:r>
                <w:r w:rsidR="004215A4">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4C4F28">
                  <w:rPr>
                    <w:rFonts w:ascii="Times New Roman" w:hAnsi="Times New Roman" w:cs="Times New Roman"/>
                    <w:noProof/>
                    <w:sz w:val="20"/>
                    <w:szCs w:val="20"/>
                  </w:rPr>
                  <w:t>44</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F3F" w:rsidRDefault="001B6F3F">
      <w:pPr>
        <w:spacing w:after="0"/>
      </w:pPr>
      <w:r>
        <w:separator/>
      </w:r>
    </w:p>
  </w:footnote>
  <w:footnote w:type="continuationSeparator" w:id="0">
    <w:p w:rsidR="001B6F3F" w:rsidRDefault="001B6F3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06" w:rsidRDefault="004215A4">
    <w:pPr>
      <w:widowControl w:val="0"/>
      <w:pBdr>
        <w:bottom w:val="thinThickMediumGap" w:sz="12" w:space="1" w:color="auto"/>
      </w:pBdr>
      <w:autoSpaceDE w:val="0"/>
      <w:autoSpaceDN w:val="0"/>
      <w:jc w:val="center"/>
    </w:pPr>
    <w:r>
      <w:rPr>
        <w:rFonts w:ascii="Times New Roman" w:eastAsia="宋体"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 xml:space="preserve">Researcher </w:t>
    </w:r>
    <w:r>
      <w:rPr>
        <w:rFonts w:ascii="Times New Roman" w:hAnsi="Times New Roman" w:cs="Times New Roman"/>
        <w:iCs/>
        <w:sz w:val="20"/>
        <w:szCs w:val="20"/>
      </w:rPr>
      <w:t>2021;</w:t>
    </w:r>
    <w:r>
      <w:rPr>
        <w:rFonts w:ascii="Times New Roman" w:hAnsi="Times New Roman" w:cs="Times New Roman"/>
        <w:iCs/>
        <w:sz w:val="20"/>
        <w:szCs w:val="20"/>
        <w:lang w:eastAsia="zh-CN"/>
      </w:rPr>
      <w:t>13</w:t>
    </w:r>
    <w:r>
      <w:rPr>
        <w:rFonts w:ascii="Times New Roman" w:hAnsi="Times New Roman" w:cs="Times New Roman"/>
        <w:iCs/>
        <w:sz w:val="20"/>
        <w:szCs w:val="20"/>
      </w:rPr>
      <w:t>(</w:t>
    </w:r>
    <w:r>
      <w:rPr>
        <w:rFonts w:ascii="Times New Roman" w:hAnsi="Times New Roman" w:cs="Times New Roman" w:hint="eastAsia"/>
        <w:iCs/>
        <w:sz w:val="20"/>
        <w:szCs w:val="20"/>
        <w:lang w:eastAsia="zh-CN"/>
      </w:rPr>
      <w:t>10</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06" w:rsidRDefault="004215A4">
    <w:pPr>
      <w:pStyle w:val="Header"/>
    </w:pPr>
    <w:r>
      <w:rPr>
        <w:iCs/>
        <w:noProof/>
        <w:color w:val="000000"/>
        <w:sz w:val="20"/>
        <w:szCs w:val="20"/>
        <w:lang w:eastAsia="zh-CN"/>
      </w:rPr>
      <w:drawing>
        <wp:inline distT="0" distB="0" distL="114300" distR="114300">
          <wp:extent cx="5967730" cy="790575"/>
          <wp:effectExtent l="0" t="0" r="13970" b="9525"/>
          <wp:docPr id="1" name="图片 1" descr="Mslndlogo-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slndlogo-rsj"/>
                  <pic:cNvPicPr>
                    <a:picLocks noChangeAspect="1"/>
                  </pic:cNvPicPr>
                </pic:nvPicPr>
                <pic:blipFill>
                  <a:blip r:embed="rId1"/>
                  <a:stretch>
                    <a:fillRect/>
                  </a:stretch>
                </pic:blipFill>
                <pic:spPr>
                  <a:xfrm>
                    <a:off x="0" y="0"/>
                    <a:ext cx="5967730" cy="7905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A6E69C"/>
    <w:multiLevelType w:val="multilevel"/>
    <w:tmpl w:val="B6A6E6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198110"/>
    <w:multiLevelType w:val="multilevel"/>
    <w:tmpl w:val="291981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4600C69"/>
    <w:multiLevelType w:val="multilevel"/>
    <w:tmpl w:val="54600C6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3B8144"/>
    <w:multiLevelType w:val="multilevel"/>
    <w:tmpl w:val="613B8144"/>
    <w:lvl w:ilvl="0">
      <w:start w:val="1"/>
      <w:numFmt w:val="decimal"/>
      <w:lvlText w:val="[%1]."/>
      <w:lvlJc w:val="left"/>
      <w:pPr>
        <w:ind w:left="720" w:hanging="360"/>
      </w:pPr>
      <w:rPr>
        <w:rFonts w:ascii="宋体" w:eastAsia="宋体" w:hAnsi="宋体" w:cs="宋体"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527CBF"/>
    <w:rsid w:val="00020650"/>
    <w:rsid w:val="000A64E0"/>
    <w:rsid w:val="000C1308"/>
    <w:rsid w:val="000C2B90"/>
    <w:rsid w:val="000E46A9"/>
    <w:rsid w:val="00130468"/>
    <w:rsid w:val="001546C4"/>
    <w:rsid w:val="001B6F3F"/>
    <w:rsid w:val="001F3156"/>
    <w:rsid w:val="002426A7"/>
    <w:rsid w:val="00247DB5"/>
    <w:rsid w:val="00250D56"/>
    <w:rsid w:val="00265680"/>
    <w:rsid w:val="002B44CE"/>
    <w:rsid w:val="002B4E60"/>
    <w:rsid w:val="00324105"/>
    <w:rsid w:val="00344618"/>
    <w:rsid w:val="003507E9"/>
    <w:rsid w:val="00362F88"/>
    <w:rsid w:val="0036387F"/>
    <w:rsid w:val="00366C40"/>
    <w:rsid w:val="00393603"/>
    <w:rsid w:val="003D7C5F"/>
    <w:rsid w:val="004108C7"/>
    <w:rsid w:val="004215A4"/>
    <w:rsid w:val="0045564E"/>
    <w:rsid w:val="004903FA"/>
    <w:rsid w:val="0049696E"/>
    <w:rsid w:val="004A70BD"/>
    <w:rsid w:val="004C4F28"/>
    <w:rsid w:val="00513576"/>
    <w:rsid w:val="00527CBF"/>
    <w:rsid w:val="00530E88"/>
    <w:rsid w:val="00552A7E"/>
    <w:rsid w:val="0056245E"/>
    <w:rsid w:val="0062760B"/>
    <w:rsid w:val="00667E38"/>
    <w:rsid w:val="00721E3B"/>
    <w:rsid w:val="007724DB"/>
    <w:rsid w:val="00775435"/>
    <w:rsid w:val="00784591"/>
    <w:rsid w:val="007B0D69"/>
    <w:rsid w:val="007B4A37"/>
    <w:rsid w:val="00800041"/>
    <w:rsid w:val="00802A96"/>
    <w:rsid w:val="00835553"/>
    <w:rsid w:val="00863873"/>
    <w:rsid w:val="008816EE"/>
    <w:rsid w:val="00884CF6"/>
    <w:rsid w:val="008B400D"/>
    <w:rsid w:val="008B69C4"/>
    <w:rsid w:val="008E5089"/>
    <w:rsid w:val="008F6DB7"/>
    <w:rsid w:val="008F7CD6"/>
    <w:rsid w:val="009509C3"/>
    <w:rsid w:val="00964117"/>
    <w:rsid w:val="00971A10"/>
    <w:rsid w:val="009E3755"/>
    <w:rsid w:val="009F3C9A"/>
    <w:rsid w:val="00A056C8"/>
    <w:rsid w:val="00A16A8A"/>
    <w:rsid w:val="00A56E0A"/>
    <w:rsid w:val="00AE7C06"/>
    <w:rsid w:val="00B02BDD"/>
    <w:rsid w:val="00B37E9E"/>
    <w:rsid w:val="00B53B20"/>
    <w:rsid w:val="00B70CFA"/>
    <w:rsid w:val="00BA0DE3"/>
    <w:rsid w:val="00BE2E4F"/>
    <w:rsid w:val="00C351C0"/>
    <w:rsid w:val="00C9243A"/>
    <w:rsid w:val="00CC08DC"/>
    <w:rsid w:val="00D377DF"/>
    <w:rsid w:val="00DB1678"/>
    <w:rsid w:val="00DC61D8"/>
    <w:rsid w:val="00E2300A"/>
    <w:rsid w:val="00E26EFD"/>
    <w:rsid w:val="00E9067B"/>
    <w:rsid w:val="00F11C14"/>
    <w:rsid w:val="00F12376"/>
    <w:rsid w:val="00F54DFE"/>
    <w:rsid w:val="00F678B6"/>
    <w:rsid w:val="00F711EE"/>
    <w:rsid w:val="00FE1B82"/>
    <w:rsid w:val="00FE4803"/>
    <w:rsid w:val="00FE576D"/>
    <w:rsid w:val="00FF1786"/>
    <w:rsid w:val="087B6F61"/>
    <w:rsid w:val="1E2F37AC"/>
    <w:rsid w:val="304F46FB"/>
    <w:rsid w:val="335E0479"/>
    <w:rsid w:val="7C117A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C0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7C06"/>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AE7C06"/>
    <w:pPr>
      <w:spacing w:after="0" w:line="240" w:lineRule="auto"/>
    </w:pPr>
    <w:rPr>
      <w:rFonts w:ascii="Tahoma" w:hAnsi="Tahoma" w:cs="Tahoma"/>
      <w:sz w:val="16"/>
      <w:szCs w:val="16"/>
    </w:rPr>
  </w:style>
  <w:style w:type="paragraph" w:styleId="Footer">
    <w:name w:val="footer"/>
    <w:basedOn w:val="Normal"/>
    <w:link w:val="FooterChar"/>
    <w:uiPriority w:val="99"/>
    <w:semiHidden/>
    <w:unhideWhenUsed/>
    <w:rsid w:val="00AE7C06"/>
    <w:pPr>
      <w:tabs>
        <w:tab w:val="center" w:pos="4680"/>
        <w:tab w:val="right" w:pos="9360"/>
      </w:tabs>
      <w:spacing w:after="0" w:line="240" w:lineRule="auto"/>
    </w:pPr>
  </w:style>
  <w:style w:type="paragraph" w:styleId="Header">
    <w:name w:val="header"/>
    <w:basedOn w:val="Normal"/>
    <w:link w:val="HeaderChar"/>
    <w:unhideWhenUsed/>
    <w:rsid w:val="00AE7C06"/>
    <w:pPr>
      <w:tabs>
        <w:tab w:val="center" w:pos="4680"/>
        <w:tab w:val="right" w:pos="9360"/>
      </w:tabs>
      <w:spacing w:after="0" w:line="240" w:lineRule="auto"/>
    </w:pPr>
  </w:style>
  <w:style w:type="paragraph" w:styleId="NormalWeb">
    <w:name w:val="Normal (Web)"/>
    <w:basedOn w:val="Normal"/>
    <w:uiPriority w:val="99"/>
    <w:unhideWhenUsed/>
    <w:rsid w:val="00AE7C0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E7C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AE7C06"/>
    <w:rPr>
      <w:b/>
      <w:bCs/>
    </w:rPr>
  </w:style>
  <w:style w:type="character" w:styleId="Hyperlink">
    <w:name w:val="Hyperlink"/>
    <w:rsid w:val="00AE7C06"/>
    <w:rPr>
      <w:color w:val="0000FF"/>
      <w:u w:val="single"/>
    </w:rPr>
  </w:style>
  <w:style w:type="character" w:customStyle="1" w:styleId="BodyTextChar">
    <w:name w:val="Body Text Char"/>
    <w:basedOn w:val="DefaultParagraphFont"/>
    <w:link w:val="BodyText"/>
    <w:rsid w:val="00AE7C06"/>
    <w:rPr>
      <w:rFonts w:ascii="Times New Roman" w:eastAsia="Calibri" w:hAnsi="Times New Roman" w:cs="Times New Roman"/>
      <w:sz w:val="24"/>
    </w:rPr>
  </w:style>
  <w:style w:type="paragraph" w:customStyle="1" w:styleId="Default">
    <w:name w:val="Default"/>
    <w:rsid w:val="00AE7C06"/>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uiPriority w:val="99"/>
    <w:semiHidden/>
    <w:rsid w:val="00AE7C06"/>
    <w:rPr>
      <w:rFonts w:ascii="Tahoma" w:hAnsi="Tahoma" w:cs="Tahoma"/>
      <w:sz w:val="16"/>
      <w:szCs w:val="16"/>
    </w:rPr>
  </w:style>
  <w:style w:type="character" w:customStyle="1" w:styleId="unicode">
    <w:name w:val="unicode"/>
    <w:basedOn w:val="DefaultParagraphFont"/>
    <w:rsid w:val="00AE7C06"/>
  </w:style>
  <w:style w:type="character" w:customStyle="1" w:styleId="fn">
    <w:name w:val="fn"/>
    <w:basedOn w:val="DefaultParagraphFont"/>
    <w:rsid w:val="00AE7C06"/>
  </w:style>
  <w:style w:type="character" w:customStyle="1" w:styleId="plainlinks">
    <w:name w:val="plainlinks"/>
    <w:basedOn w:val="DefaultParagraphFont"/>
    <w:rsid w:val="00AE7C06"/>
  </w:style>
  <w:style w:type="character" w:customStyle="1" w:styleId="geo-dec">
    <w:name w:val="geo-dec"/>
    <w:basedOn w:val="DefaultParagraphFont"/>
    <w:rsid w:val="00AE7C06"/>
  </w:style>
  <w:style w:type="paragraph" w:customStyle="1" w:styleId="CM50">
    <w:name w:val="CM50"/>
    <w:basedOn w:val="Default"/>
    <w:next w:val="Default"/>
    <w:uiPriority w:val="99"/>
    <w:qFormat/>
    <w:rsid w:val="00AE7C06"/>
    <w:rPr>
      <w:rFonts w:ascii="Calibri" w:eastAsiaTheme="minorEastAsia" w:hAnsi="Calibri" w:cs="Times New Roman"/>
      <w:color w:val="auto"/>
      <w:lang w:bidi="ar-SA"/>
    </w:rPr>
  </w:style>
  <w:style w:type="paragraph" w:styleId="ListParagraph">
    <w:name w:val="List Paragraph"/>
    <w:basedOn w:val="Normal"/>
    <w:uiPriority w:val="34"/>
    <w:qFormat/>
    <w:rsid w:val="00AE7C06"/>
    <w:pPr>
      <w:ind w:left="720"/>
      <w:contextualSpacing/>
    </w:pPr>
  </w:style>
  <w:style w:type="paragraph" w:customStyle="1" w:styleId="CM3">
    <w:name w:val="CM3"/>
    <w:basedOn w:val="Default"/>
    <w:next w:val="Default"/>
    <w:uiPriority w:val="99"/>
    <w:qFormat/>
    <w:rsid w:val="00AE7C06"/>
    <w:rPr>
      <w:rFonts w:ascii="Cambria" w:eastAsiaTheme="minorEastAsia" w:hAnsi="Cambria" w:cstheme="minorBidi"/>
      <w:color w:val="auto"/>
      <w:lang w:bidi="ar-SA"/>
    </w:rPr>
  </w:style>
  <w:style w:type="paragraph" w:customStyle="1" w:styleId="CM57">
    <w:name w:val="CM57"/>
    <w:basedOn w:val="Default"/>
    <w:next w:val="Default"/>
    <w:uiPriority w:val="99"/>
    <w:rsid w:val="00AE7C06"/>
    <w:rPr>
      <w:rFonts w:ascii="Cambria" w:eastAsiaTheme="minorEastAsia" w:hAnsi="Cambria" w:cstheme="minorBidi"/>
      <w:color w:val="auto"/>
      <w:lang w:bidi="ar-SA"/>
    </w:rPr>
  </w:style>
  <w:style w:type="character" w:customStyle="1" w:styleId="HeaderChar">
    <w:name w:val="Header Char"/>
    <w:basedOn w:val="DefaultParagraphFont"/>
    <w:link w:val="Header"/>
    <w:rsid w:val="00AE7C06"/>
  </w:style>
  <w:style w:type="character" w:customStyle="1" w:styleId="FooterChar">
    <w:name w:val="Footer Char"/>
    <w:basedOn w:val="DefaultParagraphFont"/>
    <w:link w:val="Footer"/>
    <w:uiPriority w:val="99"/>
    <w:semiHidden/>
    <w:rsid w:val="00AE7C0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anju.arya002@gmail.com" TargetMode="External"/><Relationship Id="rId13" Type="http://schemas.openxmlformats.org/officeDocument/2006/relationships/header" Target="header2.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www.eea.europa.eu/archived/archived-content-water-topic/water-resources/themes/water/wise-help-centre/glossary-definitions/water-stress" TargetMode="External"/><Relationship Id="rId20" Type="http://schemas.openxmlformats.org/officeDocument/2006/relationships/hyperlink" Target="mailto:manju.arya002@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ea.europa.eu/archived/archived-content-water-topic/water-resources/themes/water/wise-help-centre/glossary-definitions/precipitation" TargetMode="External"/><Relationship Id="rId10" Type="http://schemas.openxmlformats.org/officeDocument/2006/relationships/hyperlink" Target="http://www.dx.doi.org/10.7537/marsrsj131021.06"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2914</Words>
  <Characters>16610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5</cp:revision>
  <cp:lastPrinted>2018-03-30T16:26:00Z</cp:lastPrinted>
  <dcterms:created xsi:type="dcterms:W3CDTF">2021-10-15T04:32:00Z</dcterms:created>
  <dcterms:modified xsi:type="dcterms:W3CDTF">2021-11-03T03:28:00Z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22066C39558842269464AA7D9763B3FA</vt:lpwstr>
  </property>
</Properties>
</file>