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37" w:rsidRPr="00B90699" w:rsidRDefault="005A3D04" w:rsidP="00B90699">
      <w:pPr>
        <w:suppressAutoHyphens w:val="0"/>
        <w:snapToGrid w:val="0"/>
        <w:spacing w:after="0" w:line="240" w:lineRule="auto"/>
        <w:jc w:val="center"/>
        <w:rPr>
          <w:b/>
          <w:sz w:val="20"/>
          <w:szCs w:val="20"/>
        </w:rPr>
      </w:pPr>
      <w:r w:rsidRPr="00B90699">
        <w:rPr>
          <w:b/>
          <w:sz w:val="20"/>
          <w:szCs w:val="20"/>
        </w:rPr>
        <w:t>The Impact of Gender on Adjustment Level of Dire Dawa University Lecturers</w:t>
      </w:r>
    </w:p>
    <w:p w:rsidR="00977537" w:rsidRPr="00B90699" w:rsidRDefault="00977537" w:rsidP="00B90699">
      <w:pPr>
        <w:suppressAutoHyphens w:val="0"/>
        <w:snapToGrid w:val="0"/>
        <w:spacing w:after="0" w:line="240" w:lineRule="auto"/>
        <w:jc w:val="center"/>
        <w:rPr>
          <w:b/>
          <w:sz w:val="20"/>
          <w:szCs w:val="20"/>
        </w:rPr>
      </w:pPr>
    </w:p>
    <w:p w:rsidR="00977537" w:rsidRPr="00B90699" w:rsidRDefault="005A3D04" w:rsidP="00B90699">
      <w:pPr>
        <w:autoSpaceDE w:val="0"/>
        <w:autoSpaceDN w:val="0"/>
        <w:adjustRightInd w:val="0"/>
        <w:snapToGrid w:val="0"/>
        <w:spacing w:after="0" w:line="240" w:lineRule="auto"/>
        <w:jc w:val="center"/>
        <w:rPr>
          <w:bCs/>
          <w:sz w:val="20"/>
          <w:szCs w:val="20"/>
          <w:lang w:eastAsia="zh-CN"/>
        </w:rPr>
      </w:pPr>
      <w:r w:rsidRPr="00B90699">
        <w:rPr>
          <w:bCs/>
          <w:sz w:val="20"/>
          <w:szCs w:val="20"/>
        </w:rPr>
        <w:t>Mustefa JIBRIL</w:t>
      </w:r>
    </w:p>
    <w:p w:rsidR="00977537" w:rsidRPr="00B90699" w:rsidRDefault="00977537" w:rsidP="00B90699">
      <w:pPr>
        <w:autoSpaceDE w:val="0"/>
        <w:autoSpaceDN w:val="0"/>
        <w:adjustRightInd w:val="0"/>
        <w:snapToGrid w:val="0"/>
        <w:spacing w:after="0" w:line="240" w:lineRule="auto"/>
        <w:jc w:val="center"/>
        <w:rPr>
          <w:b/>
          <w:bCs/>
          <w:sz w:val="20"/>
          <w:szCs w:val="20"/>
          <w:vertAlign w:val="superscript"/>
          <w:lang w:eastAsia="zh-CN"/>
        </w:rPr>
      </w:pPr>
    </w:p>
    <w:p w:rsidR="00977537" w:rsidRPr="00B90699" w:rsidRDefault="005A3D04" w:rsidP="00B90699">
      <w:pPr>
        <w:autoSpaceDE w:val="0"/>
        <w:autoSpaceDN w:val="0"/>
        <w:adjustRightInd w:val="0"/>
        <w:snapToGrid w:val="0"/>
        <w:spacing w:after="0" w:line="240" w:lineRule="auto"/>
        <w:jc w:val="center"/>
        <w:rPr>
          <w:sz w:val="20"/>
          <w:szCs w:val="20"/>
        </w:rPr>
      </w:pPr>
      <w:r w:rsidRPr="00B90699">
        <w:rPr>
          <w:sz w:val="20"/>
          <w:szCs w:val="20"/>
        </w:rPr>
        <w:t>School of Electrical &amp; Computer Engineering, Dire Dawa Institute of Technology, Dire Dawa, Ethiopia</w:t>
      </w:r>
    </w:p>
    <w:p w:rsidR="00977537" w:rsidRPr="00B90699" w:rsidRDefault="0036227C" w:rsidP="00B90699">
      <w:pPr>
        <w:autoSpaceDE w:val="0"/>
        <w:autoSpaceDN w:val="0"/>
        <w:adjustRightInd w:val="0"/>
        <w:snapToGrid w:val="0"/>
        <w:spacing w:after="0" w:line="240" w:lineRule="auto"/>
        <w:jc w:val="center"/>
        <w:rPr>
          <w:sz w:val="20"/>
          <w:szCs w:val="20"/>
        </w:rPr>
      </w:pPr>
      <w:hyperlink r:id="rId8" w:history="1">
        <w:r w:rsidR="005A3D04" w:rsidRPr="00B90699">
          <w:rPr>
            <w:rStyle w:val="Hyperlink"/>
            <w:sz w:val="20"/>
            <w:szCs w:val="20"/>
          </w:rPr>
          <w:t>mustefa.jibril@ddu.edu.et</w:t>
        </w:r>
      </w:hyperlink>
    </w:p>
    <w:p w:rsidR="00977537" w:rsidRPr="00B90699" w:rsidRDefault="00977537" w:rsidP="00B90699">
      <w:pPr>
        <w:suppressAutoHyphens w:val="0"/>
        <w:snapToGrid w:val="0"/>
        <w:spacing w:after="0" w:line="240" w:lineRule="auto"/>
        <w:jc w:val="center"/>
        <w:rPr>
          <w:sz w:val="20"/>
          <w:szCs w:val="20"/>
        </w:rPr>
      </w:pPr>
    </w:p>
    <w:p w:rsidR="00977537" w:rsidRPr="00B90699" w:rsidRDefault="005A3D04" w:rsidP="00B90699">
      <w:pPr>
        <w:suppressAutoHyphens w:val="0"/>
        <w:snapToGrid w:val="0"/>
        <w:spacing w:after="0" w:line="240" w:lineRule="auto"/>
        <w:jc w:val="both"/>
        <w:rPr>
          <w:sz w:val="20"/>
          <w:szCs w:val="20"/>
        </w:rPr>
      </w:pPr>
      <w:r w:rsidRPr="00B90699">
        <w:rPr>
          <w:b/>
          <w:sz w:val="20"/>
          <w:szCs w:val="20"/>
        </w:rPr>
        <w:t xml:space="preserve">Abstract: </w:t>
      </w:r>
      <w:r w:rsidRPr="00B90699">
        <w:rPr>
          <w:sz w:val="20"/>
          <w:szCs w:val="20"/>
        </w:rPr>
        <w:t>The present investigation is to find out the Adjustment of Dire Dawa University Lecturers concerning their gender. The sample consisted of 120 lecturers out of which 60 were male and 60 were female. For this purpose of investigation, the Teachers Adjustment Inventory was used. The obtained data were analyzed through the "t" test to know the mean difference between the lecturers concerning their gender. The result shows that there is no significant difference in University, Teaching, and Overload course adjustment of male and female Dire Dawa university Lecturers. But there is a significant difference in conducting research adjustment of male &amp; female Lecturers at 0.05 levels. It means males Conducting research adjustment are better than female Lecturers.</w:t>
      </w:r>
    </w:p>
    <w:p w:rsidR="00977537" w:rsidRPr="00B90699" w:rsidRDefault="005A3D04" w:rsidP="00B90699">
      <w:pPr>
        <w:snapToGrid w:val="0"/>
        <w:spacing w:after="0" w:line="240" w:lineRule="auto"/>
        <w:rPr>
          <w:rStyle w:val="Hyperlink"/>
          <w:rFonts w:eastAsia="宋体"/>
          <w:b/>
          <w:bCs/>
          <w:color w:val="auto"/>
          <w:sz w:val="20"/>
          <w:szCs w:val="20"/>
          <w:u w:val="none"/>
        </w:rPr>
      </w:pPr>
      <w:r w:rsidRPr="00B90699">
        <w:rPr>
          <w:color w:val="000000"/>
          <w:sz w:val="20"/>
          <w:szCs w:val="20"/>
        </w:rPr>
        <w:t>[</w:t>
      </w:r>
      <w:r w:rsidRPr="00B90699">
        <w:rPr>
          <w:bCs/>
          <w:sz w:val="20"/>
          <w:szCs w:val="20"/>
        </w:rPr>
        <w:t>Mustefa JIBRIL</w:t>
      </w:r>
      <w:r w:rsidRPr="00B90699">
        <w:rPr>
          <w:b/>
          <w:sz w:val="20"/>
          <w:szCs w:val="20"/>
        </w:rPr>
        <w:t xml:space="preserve">The Impact of Gender on Adjustment Level of Dire </w:t>
      </w:r>
      <w:proofErr w:type="spellStart"/>
      <w:r w:rsidRPr="00B90699">
        <w:rPr>
          <w:b/>
          <w:sz w:val="20"/>
          <w:szCs w:val="20"/>
        </w:rPr>
        <w:t>Dawa</w:t>
      </w:r>
      <w:proofErr w:type="spellEnd"/>
      <w:r w:rsidRPr="00B90699">
        <w:rPr>
          <w:b/>
          <w:sz w:val="20"/>
          <w:szCs w:val="20"/>
        </w:rPr>
        <w:t xml:space="preserve"> University Lecturers</w:t>
      </w:r>
      <w:r w:rsidRPr="00B90699">
        <w:rPr>
          <w:b/>
          <w:bCs/>
          <w:sz w:val="20"/>
          <w:szCs w:val="20"/>
        </w:rPr>
        <w:t>.</w:t>
      </w:r>
      <w:r w:rsidR="0078014A">
        <w:rPr>
          <w:rFonts w:hint="eastAsia"/>
          <w:b/>
          <w:bCs/>
          <w:sz w:val="20"/>
          <w:szCs w:val="20"/>
          <w:lang w:eastAsia="zh-CN"/>
        </w:rPr>
        <w:t xml:space="preserve"> </w:t>
      </w:r>
      <w:r w:rsidRPr="00B90699">
        <w:rPr>
          <w:bCs/>
          <w:i/>
          <w:sz w:val="20"/>
          <w:szCs w:val="20"/>
        </w:rPr>
        <w:t>Researcher</w:t>
      </w:r>
      <w:r w:rsidR="0078014A">
        <w:rPr>
          <w:rFonts w:hint="eastAsia"/>
          <w:bCs/>
          <w:i/>
          <w:sz w:val="20"/>
          <w:szCs w:val="20"/>
          <w:lang w:eastAsia="zh-CN"/>
        </w:rPr>
        <w:t xml:space="preserve"> </w:t>
      </w:r>
      <w:r w:rsidRPr="00B90699">
        <w:rPr>
          <w:bCs/>
          <w:sz w:val="20"/>
          <w:szCs w:val="20"/>
        </w:rPr>
        <w:t>2021;13(7):</w:t>
      </w:r>
      <w:r w:rsidRPr="00B90699">
        <w:rPr>
          <w:rFonts w:eastAsia="宋体" w:hint="eastAsia"/>
          <w:bCs/>
          <w:sz w:val="20"/>
          <w:szCs w:val="20"/>
          <w:lang w:eastAsia="zh-CN"/>
        </w:rPr>
        <w:t>12</w:t>
      </w:r>
      <w:r w:rsidRPr="00B90699">
        <w:rPr>
          <w:bCs/>
          <w:sz w:val="20"/>
          <w:szCs w:val="20"/>
        </w:rPr>
        <w:t>-</w:t>
      </w:r>
      <w:r w:rsidRPr="00B90699">
        <w:rPr>
          <w:rFonts w:eastAsia="宋体" w:hint="eastAsia"/>
          <w:bCs/>
          <w:sz w:val="20"/>
          <w:szCs w:val="20"/>
        </w:rPr>
        <w:t>1</w:t>
      </w:r>
      <w:r w:rsidRPr="00B90699">
        <w:rPr>
          <w:rFonts w:eastAsia="宋体" w:hint="eastAsia"/>
          <w:bCs/>
          <w:sz w:val="20"/>
          <w:szCs w:val="20"/>
          <w:lang w:eastAsia="zh-CN"/>
        </w:rPr>
        <w:t>4</w:t>
      </w:r>
      <w:r w:rsidRPr="00B90699">
        <w:rPr>
          <w:bCs/>
          <w:sz w:val="20"/>
          <w:szCs w:val="20"/>
        </w:rPr>
        <w:t>].</w:t>
      </w:r>
      <w:r w:rsidR="0078014A">
        <w:rPr>
          <w:rFonts w:hint="eastAsia"/>
          <w:bCs/>
          <w:sz w:val="20"/>
          <w:szCs w:val="20"/>
          <w:lang w:eastAsia="zh-CN"/>
        </w:rPr>
        <w:t xml:space="preserve"> </w:t>
      </w:r>
      <w:r w:rsidRPr="00B90699">
        <w:rPr>
          <w:sz w:val="20"/>
          <w:szCs w:val="20"/>
        </w:rPr>
        <w:t>ISSN</w:t>
      </w:r>
      <w:r w:rsidR="0078014A">
        <w:rPr>
          <w:rFonts w:hint="eastAsia"/>
          <w:sz w:val="20"/>
          <w:szCs w:val="20"/>
          <w:lang w:eastAsia="zh-CN"/>
        </w:rPr>
        <w:t xml:space="preserve"> </w:t>
      </w:r>
      <w:r w:rsidRPr="00B90699">
        <w:rPr>
          <w:sz w:val="20"/>
          <w:szCs w:val="20"/>
        </w:rPr>
        <w:t>1553-9865</w:t>
      </w:r>
      <w:r w:rsidR="0078014A">
        <w:rPr>
          <w:rFonts w:hint="eastAsia"/>
          <w:sz w:val="20"/>
          <w:szCs w:val="20"/>
          <w:lang w:eastAsia="zh-CN"/>
        </w:rPr>
        <w:t xml:space="preserve"> </w:t>
      </w:r>
      <w:r w:rsidRPr="00B90699">
        <w:rPr>
          <w:sz w:val="20"/>
          <w:szCs w:val="20"/>
        </w:rPr>
        <w:t>(print);</w:t>
      </w:r>
      <w:r w:rsidR="0078014A">
        <w:rPr>
          <w:rFonts w:hint="eastAsia"/>
          <w:sz w:val="20"/>
          <w:szCs w:val="20"/>
          <w:lang w:eastAsia="zh-CN"/>
        </w:rPr>
        <w:t xml:space="preserve"> </w:t>
      </w:r>
      <w:r w:rsidRPr="00B90699">
        <w:rPr>
          <w:sz w:val="20"/>
          <w:szCs w:val="20"/>
        </w:rPr>
        <w:t>ISSN2163-8950</w:t>
      </w:r>
      <w:r w:rsidR="0078014A">
        <w:rPr>
          <w:rFonts w:hint="eastAsia"/>
          <w:sz w:val="20"/>
          <w:szCs w:val="20"/>
          <w:lang w:eastAsia="zh-CN"/>
        </w:rPr>
        <w:t xml:space="preserve"> </w:t>
      </w:r>
      <w:r w:rsidRPr="00B90699">
        <w:rPr>
          <w:sz w:val="20"/>
          <w:szCs w:val="20"/>
        </w:rPr>
        <w:t xml:space="preserve">(online). </w:t>
      </w:r>
      <w:hyperlink r:id="rId9" w:history="1">
        <w:r w:rsidRPr="00B90699">
          <w:rPr>
            <w:rStyle w:val="Hyperlink"/>
            <w:sz w:val="20"/>
            <w:szCs w:val="20"/>
          </w:rPr>
          <w:t>http://www.sciencepub.net/researcher</w:t>
        </w:r>
      </w:hyperlink>
      <w:r w:rsidRPr="00B90699">
        <w:rPr>
          <w:bCs/>
          <w:sz w:val="20"/>
          <w:szCs w:val="20"/>
        </w:rPr>
        <w:t>.</w:t>
      </w:r>
      <w:r w:rsidR="0078014A">
        <w:rPr>
          <w:rFonts w:hint="eastAsia"/>
          <w:bCs/>
          <w:sz w:val="20"/>
          <w:szCs w:val="20"/>
          <w:lang w:eastAsia="zh-CN"/>
        </w:rPr>
        <w:t xml:space="preserve"> </w:t>
      </w:r>
      <w:r w:rsidRPr="00B90699">
        <w:rPr>
          <w:rFonts w:hint="eastAsia"/>
          <w:bCs/>
          <w:sz w:val="20"/>
          <w:szCs w:val="20"/>
          <w:lang w:eastAsia="zh-CN"/>
        </w:rPr>
        <w:t>3</w:t>
      </w:r>
      <w:r w:rsidRPr="00B90699">
        <w:rPr>
          <w:bCs/>
          <w:sz w:val="20"/>
          <w:szCs w:val="20"/>
        </w:rPr>
        <w:t>. doi:</w:t>
      </w:r>
      <w:hyperlink r:id="rId10" w:history="1">
        <w:r w:rsidRPr="00B90699">
          <w:rPr>
            <w:rStyle w:val="Hyperlink"/>
            <w:bCs/>
            <w:sz w:val="20"/>
            <w:szCs w:val="20"/>
          </w:rPr>
          <w:t>10.7537/marsrsj13072</w:t>
        </w:r>
      </w:hyperlink>
      <w:bookmarkStart w:id="0" w:name="_GoBack"/>
      <w:bookmarkEnd w:id="0"/>
      <w:r w:rsidRPr="00B90699">
        <w:rPr>
          <w:rStyle w:val="Hyperlink"/>
          <w:sz w:val="20"/>
          <w:szCs w:val="20"/>
        </w:rPr>
        <w:t>1.0</w:t>
      </w:r>
      <w:r w:rsidRPr="00B90699">
        <w:rPr>
          <w:rStyle w:val="Hyperlink"/>
          <w:rFonts w:hint="eastAsia"/>
          <w:sz w:val="20"/>
          <w:szCs w:val="20"/>
          <w:lang w:eastAsia="zh-CN"/>
        </w:rPr>
        <w:t>3</w:t>
      </w:r>
      <w:r w:rsidRPr="00B90699">
        <w:rPr>
          <w:rStyle w:val="Hyperlink"/>
          <w:sz w:val="20"/>
          <w:szCs w:val="20"/>
        </w:rPr>
        <w:t>.</w:t>
      </w:r>
    </w:p>
    <w:p w:rsidR="00977537" w:rsidRPr="00B90699" w:rsidRDefault="00977537" w:rsidP="00B90699">
      <w:pPr>
        <w:pStyle w:val="Default"/>
        <w:snapToGrid w:val="0"/>
        <w:spacing w:after="0" w:line="240" w:lineRule="auto"/>
        <w:jc w:val="both"/>
        <w:rPr>
          <w:i/>
          <w:iCs/>
          <w:sz w:val="20"/>
          <w:szCs w:val="20"/>
        </w:rPr>
      </w:pPr>
    </w:p>
    <w:p w:rsidR="00977537" w:rsidRPr="00B90699" w:rsidRDefault="005A3D04" w:rsidP="00B90699">
      <w:pPr>
        <w:pStyle w:val="Default"/>
        <w:snapToGrid w:val="0"/>
        <w:spacing w:after="0" w:line="240" w:lineRule="auto"/>
        <w:jc w:val="both"/>
        <w:rPr>
          <w:rFonts w:eastAsia="宋体"/>
          <w:color w:val="auto"/>
          <w:sz w:val="20"/>
          <w:szCs w:val="20"/>
          <w:lang w:eastAsia="ar-SA" w:bidi="ar-SA"/>
        </w:rPr>
      </w:pPr>
      <w:r w:rsidRPr="00B90699">
        <w:rPr>
          <w:b/>
          <w:sz w:val="20"/>
          <w:szCs w:val="20"/>
        </w:rPr>
        <w:t>Keywords:</w:t>
      </w:r>
      <w:r w:rsidRPr="00B90699">
        <w:rPr>
          <w:rFonts w:eastAsia="宋体"/>
          <w:color w:val="auto"/>
          <w:sz w:val="20"/>
          <w:szCs w:val="20"/>
          <w:lang w:eastAsia="ar-SA" w:bidi="ar-SA"/>
        </w:rPr>
        <w:t xml:space="preserve"> Adjustment, Dire Dawa, </w:t>
      </w:r>
      <w:r w:rsidRPr="00B90699">
        <w:rPr>
          <w:sz w:val="20"/>
          <w:szCs w:val="20"/>
        </w:rPr>
        <w:t>Teachers Adjustment Inventory, Overload course, Lecturers</w:t>
      </w:r>
    </w:p>
    <w:p w:rsidR="00977537" w:rsidRPr="00B90699" w:rsidRDefault="00977537" w:rsidP="00B90699">
      <w:pPr>
        <w:spacing w:after="0" w:line="240" w:lineRule="auto"/>
        <w:jc w:val="both"/>
        <w:rPr>
          <w:sz w:val="20"/>
          <w:szCs w:val="20"/>
        </w:rPr>
      </w:pPr>
    </w:p>
    <w:p w:rsidR="00977537" w:rsidRPr="00B90699" w:rsidRDefault="00977537" w:rsidP="00B90699">
      <w:pPr>
        <w:spacing w:after="0" w:line="240" w:lineRule="auto"/>
        <w:jc w:val="both"/>
        <w:rPr>
          <w:b/>
          <w:sz w:val="20"/>
          <w:szCs w:val="20"/>
        </w:rPr>
        <w:sectPr w:rsidR="00977537" w:rsidRPr="00B90699">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2"/>
          <w:cols w:space="720"/>
          <w:titlePg/>
          <w:docGrid w:linePitch="360"/>
        </w:sectPr>
      </w:pPr>
    </w:p>
    <w:p w:rsidR="00977537" w:rsidRPr="00B90699" w:rsidRDefault="005A3D04" w:rsidP="00B90699">
      <w:pPr>
        <w:suppressAutoHyphens w:val="0"/>
        <w:snapToGrid w:val="0"/>
        <w:spacing w:after="0" w:line="240" w:lineRule="auto"/>
        <w:jc w:val="both"/>
        <w:rPr>
          <w:b/>
          <w:sz w:val="20"/>
          <w:szCs w:val="20"/>
        </w:rPr>
      </w:pPr>
      <w:r w:rsidRPr="00B90699">
        <w:rPr>
          <w:b/>
          <w:sz w:val="20"/>
          <w:szCs w:val="20"/>
        </w:rPr>
        <w:lastRenderedPageBreak/>
        <w:t>1. Introduction</w:t>
      </w:r>
    </w:p>
    <w:p w:rsidR="00977537" w:rsidRPr="00B90699" w:rsidRDefault="005A3D04" w:rsidP="00B90699">
      <w:pPr>
        <w:suppressAutoHyphens w:val="0"/>
        <w:snapToGrid w:val="0"/>
        <w:spacing w:after="0" w:line="240" w:lineRule="auto"/>
        <w:ind w:firstLine="425"/>
        <w:jc w:val="both"/>
        <w:rPr>
          <w:sz w:val="20"/>
          <w:szCs w:val="20"/>
        </w:rPr>
      </w:pPr>
      <w:r w:rsidRPr="00B90699">
        <w:rPr>
          <w:sz w:val="20"/>
          <w:szCs w:val="20"/>
        </w:rPr>
        <w:t xml:space="preserve">The term of service is often used as a synonym for accommodation and adaptation. Strictly speaking, this means that the assessment results are likely to be affected by any of these processes. It is used to highlight the fact that the group in the battle for survival is in the public life as well as at the physical level. In the process of adjustment, which are the most important factors in the individual and the environment. In personality research, taking into account the genetic and biological factors, psychological factors, and quality of a person's socialization. Whereas, the area contains all of the social factors. Every person, from the moment he or she leaves the family and goes to school, helps to be in a long series of changes across their entire personality, and the environment. </w:t>
      </w:r>
    </w:p>
    <w:p w:rsidR="00977537" w:rsidRPr="00B90699" w:rsidRDefault="005A3D04" w:rsidP="00B90699">
      <w:pPr>
        <w:suppressAutoHyphens w:val="0"/>
        <w:snapToGrid w:val="0"/>
        <w:spacing w:after="0" w:line="240" w:lineRule="auto"/>
        <w:ind w:firstLine="425"/>
        <w:jc w:val="both"/>
        <w:rPr>
          <w:sz w:val="20"/>
          <w:szCs w:val="20"/>
        </w:rPr>
      </w:pPr>
      <w:r w:rsidRPr="00B90699">
        <w:rPr>
          <w:sz w:val="20"/>
          <w:szCs w:val="20"/>
        </w:rPr>
        <w:t xml:space="preserve">The term "adjustment" refers to the degree to which a person has the personality that acts effectively in the human world. With the help of the students to adapt to the changes in the environment, it is one of the main goals of the education system. The device can be thought of as a process and as a result of this process, in the form of several projects. The adjustment is a continuous process. It begins at birth and continues without interruption until the end of life. The individual and his or her environment are constantly changing, as are the needs, following the requirements of the ever-changing business environment. In this regard, it can be expected that, in the process, or with the terms of the modification of an individual will vary from situation to situation. Adaptation as a process is of great interest to </w:t>
      </w:r>
      <w:r w:rsidRPr="00B90699">
        <w:rPr>
          <w:sz w:val="20"/>
          <w:szCs w:val="20"/>
        </w:rPr>
        <w:lastRenderedPageBreak/>
        <w:t xml:space="preserve">psychologists, teachers, and parents. To analyze this process, we have to include the study of the development of the individual, the length of the birth onward. </w:t>
      </w:r>
    </w:p>
    <w:p w:rsidR="00977537" w:rsidRPr="00B90699" w:rsidRDefault="005A3D04" w:rsidP="00B90699">
      <w:pPr>
        <w:suppressAutoHyphens w:val="0"/>
        <w:autoSpaceDE w:val="0"/>
        <w:autoSpaceDN w:val="0"/>
        <w:adjustRightInd w:val="0"/>
        <w:snapToGrid w:val="0"/>
        <w:spacing w:after="0" w:line="240" w:lineRule="auto"/>
        <w:jc w:val="both"/>
        <w:rPr>
          <w:sz w:val="20"/>
          <w:szCs w:val="20"/>
        </w:rPr>
      </w:pPr>
      <w:r w:rsidRPr="00B90699">
        <w:rPr>
          <w:sz w:val="20"/>
          <w:szCs w:val="20"/>
        </w:rPr>
        <w:t xml:space="preserve">       The modification of the relationship that is being established between instagram and the environment. Each group is in a particular position in a social situation. In psychology, the result is interpreted as a behavioral process of balancing conflicting needs, or needs against obstacles in the environment. Modification refers to a situation in which a person feels that their needs are, or will be, complied with and that their behavior is consistent with that of their society and culture. The unit is a necessary quality to be able to live in peace in this world. The problem of the alignment begins at birth and continues until death, and a variety of situations appear in the house. Schools, colleges, and jobs and we have to put our needs and to accept what it is. The modification is in the process of achieving a balance between the needs of the body, and their satisfaction. </w:t>
      </w:r>
    </w:p>
    <w:p w:rsidR="00977537" w:rsidRDefault="005A3D04" w:rsidP="00B90699">
      <w:pPr>
        <w:suppressAutoHyphens w:val="0"/>
        <w:autoSpaceDE w:val="0"/>
        <w:autoSpaceDN w:val="0"/>
        <w:adjustRightInd w:val="0"/>
        <w:snapToGrid w:val="0"/>
        <w:spacing w:after="0" w:line="240" w:lineRule="auto"/>
        <w:jc w:val="both"/>
        <w:rPr>
          <w:sz w:val="20"/>
          <w:szCs w:val="20"/>
          <w:lang w:eastAsia="zh-CN"/>
        </w:rPr>
      </w:pPr>
      <w:r w:rsidRPr="00B90699">
        <w:rPr>
          <w:sz w:val="20"/>
          <w:szCs w:val="20"/>
        </w:rPr>
        <w:t xml:space="preserve">         Therefore, in the light of the above facts, it can be said that as long as it is necessary for the performance of a study on the gender of the influence of the degree of adaptation of the staff. The researcher believes that the proposed study will be able to fill this gap in the field of research. </w:t>
      </w:r>
    </w:p>
    <w:p w:rsidR="00B90699" w:rsidRPr="00B90699" w:rsidRDefault="00B90699" w:rsidP="00B90699">
      <w:pPr>
        <w:suppressAutoHyphens w:val="0"/>
        <w:autoSpaceDE w:val="0"/>
        <w:autoSpaceDN w:val="0"/>
        <w:adjustRightInd w:val="0"/>
        <w:snapToGrid w:val="0"/>
        <w:spacing w:after="0" w:line="240" w:lineRule="auto"/>
        <w:jc w:val="both"/>
        <w:rPr>
          <w:sz w:val="20"/>
          <w:szCs w:val="20"/>
          <w:lang w:eastAsia="zh-CN"/>
        </w:rPr>
      </w:pPr>
    </w:p>
    <w:p w:rsidR="00977537" w:rsidRPr="00B90699" w:rsidRDefault="005A3D04" w:rsidP="00B90699">
      <w:pPr>
        <w:suppressAutoHyphens w:val="0"/>
        <w:autoSpaceDE w:val="0"/>
        <w:autoSpaceDN w:val="0"/>
        <w:adjustRightInd w:val="0"/>
        <w:snapToGrid w:val="0"/>
        <w:spacing w:after="0" w:line="240" w:lineRule="auto"/>
        <w:jc w:val="both"/>
        <w:rPr>
          <w:b/>
          <w:bCs/>
          <w:color w:val="000000"/>
          <w:sz w:val="20"/>
          <w:szCs w:val="20"/>
          <w:lang w:bidi="hi-IN"/>
        </w:rPr>
      </w:pPr>
      <w:r w:rsidRPr="00B90699">
        <w:rPr>
          <w:b/>
          <w:bCs/>
          <w:color w:val="000000"/>
          <w:sz w:val="20"/>
          <w:szCs w:val="20"/>
          <w:lang w:bidi="hi-IN"/>
        </w:rPr>
        <w:t xml:space="preserve">The objective of the study: </w:t>
      </w:r>
    </w:p>
    <w:p w:rsidR="00977537" w:rsidRDefault="005A3D04" w:rsidP="00B90699">
      <w:pPr>
        <w:suppressAutoHyphens w:val="0"/>
        <w:autoSpaceDE w:val="0"/>
        <w:autoSpaceDN w:val="0"/>
        <w:adjustRightInd w:val="0"/>
        <w:snapToGrid w:val="0"/>
        <w:spacing w:after="0" w:line="240" w:lineRule="auto"/>
        <w:ind w:firstLine="425"/>
        <w:jc w:val="both"/>
        <w:rPr>
          <w:sz w:val="20"/>
          <w:szCs w:val="20"/>
          <w:lang w:eastAsia="zh-CN"/>
        </w:rPr>
      </w:pPr>
      <w:r w:rsidRPr="00B90699">
        <w:rPr>
          <w:sz w:val="20"/>
          <w:szCs w:val="20"/>
        </w:rPr>
        <w:t xml:space="preserve">The main objectives of the study were as under The purpose of the present study is the difference related to the university, teaching, conducting </w:t>
      </w:r>
      <w:r w:rsidRPr="00B90699">
        <w:rPr>
          <w:sz w:val="20"/>
          <w:szCs w:val="20"/>
        </w:rPr>
        <w:lastRenderedPageBreak/>
        <w:t>research, and overload course adjustment of Dire Dawa university lecturers concerning their gender.</w:t>
      </w:r>
    </w:p>
    <w:p w:rsidR="00B90699" w:rsidRPr="00B90699" w:rsidRDefault="00B90699" w:rsidP="00B90699">
      <w:pPr>
        <w:suppressAutoHyphens w:val="0"/>
        <w:autoSpaceDE w:val="0"/>
        <w:autoSpaceDN w:val="0"/>
        <w:adjustRightInd w:val="0"/>
        <w:snapToGrid w:val="0"/>
        <w:spacing w:after="0" w:line="240" w:lineRule="auto"/>
        <w:ind w:firstLine="425"/>
        <w:jc w:val="both"/>
        <w:rPr>
          <w:sz w:val="20"/>
          <w:szCs w:val="20"/>
          <w:lang w:eastAsia="zh-CN"/>
        </w:rPr>
      </w:pPr>
    </w:p>
    <w:p w:rsidR="00977537" w:rsidRPr="00B90699" w:rsidRDefault="005A3D04" w:rsidP="00B90699">
      <w:pPr>
        <w:suppressAutoHyphens w:val="0"/>
        <w:autoSpaceDE w:val="0"/>
        <w:autoSpaceDN w:val="0"/>
        <w:adjustRightInd w:val="0"/>
        <w:snapToGrid w:val="0"/>
        <w:spacing w:after="0" w:line="240" w:lineRule="auto"/>
        <w:jc w:val="both"/>
        <w:rPr>
          <w:color w:val="000000"/>
          <w:sz w:val="20"/>
          <w:szCs w:val="20"/>
          <w:lang w:bidi="hi-IN"/>
        </w:rPr>
      </w:pPr>
      <w:r w:rsidRPr="00B90699">
        <w:rPr>
          <w:b/>
          <w:bCs/>
          <w:color w:val="000000"/>
          <w:sz w:val="20"/>
          <w:szCs w:val="20"/>
          <w:lang w:bidi="hi-IN"/>
        </w:rPr>
        <w:t xml:space="preserve">Hypothesis: </w:t>
      </w:r>
    </w:p>
    <w:p w:rsidR="00977537" w:rsidRPr="00B90699" w:rsidRDefault="005A3D04" w:rsidP="00B90699">
      <w:pPr>
        <w:pStyle w:val="Default"/>
        <w:numPr>
          <w:ilvl w:val="0"/>
          <w:numId w:val="2"/>
        </w:numPr>
        <w:snapToGrid w:val="0"/>
        <w:spacing w:after="0" w:line="240" w:lineRule="auto"/>
        <w:ind w:left="567"/>
        <w:jc w:val="both"/>
        <w:rPr>
          <w:sz w:val="20"/>
          <w:szCs w:val="20"/>
        </w:rPr>
      </w:pPr>
      <w:r w:rsidRPr="00B90699">
        <w:rPr>
          <w:sz w:val="20"/>
          <w:szCs w:val="20"/>
        </w:rPr>
        <w:t xml:space="preserve">There is no significant difference between university adjustments of Dire Dawa university lecturers concerning their gender. </w:t>
      </w:r>
    </w:p>
    <w:p w:rsidR="00977537" w:rsidRPr="00B90699" w:rsidRDefault="005A3D04" w:rsidP="00B90699">
      <w:pPr>
        <w:pStyle w:val="Default"/>
        <w:numPr>
          <w:ilvl w:val="0"/>
          <w:numId w:val="2"/>
        </w:numPr>
        <w:snapToGrid w:val="0"/>
        <w:spacing w:after="0" w:line="240" w:lineRule="auto"/>
        <w:ind w:left="567"/>
        <w:jc w:val="both"/>
        <w:rPr>
          <w:sz w:val="20"/>
          <w:szCs w:val="20"/>
        </w:rPr>
      </w:pPr>
      <w:r w:rsidRPr="00B90699">
        <w:rPr>
          <w:sz w:val="20"/>
          <w:szCs w:val="20"/>
        </w:rPr>
        <w:t>There is no significant difference between teaching adjustments of Dire Dawa university lecturers concerning their gender.</w:t>
      </w:r>
    </w:p>
    <w:p w:rsidR="00977537" w:rsidRPr="00B90699" w:rsidRDefault="005A3D04" w:rsidP="00B90699">
      <w:pPr>
        <w:pStyle w:val="Default"/>
        <w:numPr>
          <w:ilvl w:val="0"/>
          <w:numId w:val="2"/>
        </w:numPr>
        <w:snapToGrid w:val="0"/>
        <w:spacing w:after="0" w:line="240" w:lineRule="auto"/>
        <w:ind w:left="567"/>
        <w:jc w:val="both"/>
        <w:rPr>
          <w:sz w:val="20"/>
          <w:szCs w:val="20"/>
        </w:rPr>
      </w:pPr>
      <w:r w:rsidRPr="00B90699">
        <w:rPr>
          <w:sz w:val="20"/>
          <w:szCs w:val="20"/>
        </w:rPr>
        <w:t>There is no significant difference between conducting research adjustments of Dire Dawa university lecturers concerning their gender.</w:t>
      </w:r>
    </w:p>
    <w:p w:rsidR="00977537" w:rsidRPr="00B90699" w:rsidRDefault="005A3D04" w:rsidP="00B90699">
      <w:pPr>
        <w:pStyle w:val="Default"/>
        <w:numPr>
          <w:ilvl w:val="0"/>
          <w:numId w:val="2"/>
        </w:numPr>
        <w:snapToGrid w:val="0"/>
        <w:spacing w:after="0" w:line="240" w:lineRule="auto"/>
        <w:ind w:left="567"/>
        <w:jc w:val="both"/>
        <w:rPr>
          <w:b/>
          <w:sz w:val="20"/>
          <w:szCs w:val="20"/>
        </w:rPr>
      </w:pPr>
      <w:r w:rsidRPr="00B90699">
        <w:rPr>
          <w:sz w:val="20"/>
          <w:szCs w:val="20"/>
        </w:rPr>
        <w:t>There is no significant difference between overload course adjustments of Dire Dawa university lecturers concerning their gender.</w:t>
      </w:r>
    </w:p>
    <w:p w:rsidR="00B90699" w:rsidRDefault="00B90699" w:rsidP="00B90699">
      <w:pPr>
        <w:suppressAutoHyphens w:val="0"/>
        <w:snapToGrid w:val="0"/>
        <w:spacing w:after="0" w:line="240" w:lineRule="auto"/>
        <w:jc w:val="both"/>
        <w:rPr>
          <w:b/>
          <w:sz w:val="20"/>
          <w:szCs w:val="20"/>
          <w:lang w:eastAsia="zh-CN"/>
        </w:rPr>
      </w:pPr>
    </w:p>
    <w:p w:rsidR="00977537" w:rsidRPr="00B90699" w:rsidRDefault="005A3D04" w:rsidP="00B90699">
      <w:pPr>
        <w:suppressAutoHyphens w:val="0"/>
        <w:snapToGrid w:val="0"/>
        <w:spacing w:after="0" w:line="240" w:lineRule="auto"/>
        <w:jc w:val="both"/>
        <w:rPr>
          <w:b/>
          <w:sz w:val="20"/>
          <w:szCs w:val="20"/>
        </w:rPr>
      </w:pPr>
      <w:r w:rsidRPr="00B90699">
        <w:rPr>
          <w:b/>
          <w:sz w:val="20"/>
          <w:szCs w:val="20"/>
        </w:rPr>
        <w:t xml:space="preserve">Material and Methods </w:t>
      </w:r>
    </w:p>
    <w:p w:rsidR="00977537" w:rsidRDefault="005A3D04" w:rsidP="00B90699">
      <w:pPr>
        <w:pStyle w:val="Default"/>
        <w:snapToGrid w:val="0"/>
        <w:spacing w:after="0" w:line="240" w:lineRule="auto"/>
        <w:ind w:firstLine="425"/>
        <w:jc w:val="both"/>
        <w:rPr>
          <w:rFonts w:eastAsiaTheme="minorEastAsia"/>
          <w:sz w:val="20"/>
          <w:szCs w:val="20"/>
          <w:lang w:eastAsia="zh-CN"/>
        </w:rPr>
      </w:pPr>
      <w:r w:rsidRPr="00B90699">
        <w:rPr>
          <w:b/>
          <w:bCs/>
          <w:sz w:val="20"/>
          <w:szCs w:val="20"/>
        </w:rPr>
        <w:t xml:space="preserve">Sample: </w:t>
      </w:r>
      <w:r w:rsidRPr="00B90699">
        <w:rPr>
          <w:sz w:val="20"/>
          <w:szCs w:val="20"/>
        </w:rPr>
        <w:t>The present study was carried out on lecturers of Dire Dawa University, Ethiopia. Elements of the study are 120 lecturers out of which 60 were male and 60 were female.</w:t>
      </w:r>
    </w:p>
    <w:p w:rsidR="00977537" w:rsidRPr="00B90699" w:rsidRDefault="005A3D04" w:rsidP="00B90699">
      <w:pPr>
        <w:suppressAutoHyphens w:val="0"/>
        <w:snapToGrid w:val="0"/>
        <w:spacing w:after="0" w:line="240" w:lineRule="auto"/>
        <w:ind w:firstLine="425"/>
        <w:jc w:val="both"/>
        <w:rPr>
          <w:color w:val="000000"/>
          <w:sz w:val="20"/>
          <w:szCs w:val="20"/>
        </w:rPr>
      </w:pPr>
      <w:r w:rsidRPr="00B90699">
        <w:rPr>
          <w:b/>
          <w:bCs/>
          <w:sz w:val="20"/>
          <w:szCs w:val="20"/>
        </w:rPr>
        <w:lastRenderedPageBreak/>
        <w:t>Research Design:</w:t>
      </w:r>
      <w:r w:rsidRPr="00B90699">
        <w:rPr>
          <w:sz w:val="20"/>
          <w:szCs w:val="20"/>
        </w:rPr>
        <w:t xml:space="preserve"> For the research work, the research design was to meet the objectives, the ex-post-facto design will be used or </w:t>
      </w:r>
      <w:r w:rsidRPr="00B90699">
        <w:rPr>
          <w:color w:val="000000"/>
          <w:sz w:val="20"/>
          <w:szCs w:val="20"/>
        </w:rPr>
        <w:t>the data will be analyzed and proper statistical techniques will be used.</w:t>
      </w:r>
    </w:p>
    <w:p w:rsidR="00977537" w:rsidRPr="00B90699" w:rsidRDefault="005A3D04" w:rsidP="00B90699">
      <w:pPr>
        <w:pStyle w:val="Default"/>
        <w:snapToGrid w:val="0"/>
        <w:spacing w:after="0" w:line="240" w:lineRule="auto"/>
        <w:ind w:firstLine="425"/>
        <w:jc w:val="both"/>
        <w:rPr>
          <w:sz w:val="20"/>
          <w:szCs w:val="20"/>
        </w:rPr>
      </w:pPr>
      <w:r w:rsidRPr="00B90699">
        <w:rPr>
          <w:b/>
          <w:bCs/>
          <w:sz w:val="20"/>
          <w:szCs w:val="20"/>
        </w:rPr>
        <w:t>Tool:</w:t>
      </w:r>
      <w:r w:rsidRPr="00B90699">
        <w:rPr>
          <w:sz w:val="20"/>
          <w:szCs w:val="20"/>
        </w:rPr>
        <w:t xml:space="preserve"> Teachers Adjustment Inventory (TAI) was used. The adjustment inventory consists of 60 items with a yes/ impartial /no response pattern. 15 were a university, 15 were Teaching, 15 Conducting research &amp; 15 were Overload course Adjustment Items. The reliability factor is Split Half 0.88 and test-retest 0.69 &amp; Validity is 0.70. </w:t>
      </w:r>
    </w:p>
    <w:p w:rsidR="00977537" w:rsidRPr="00B90699" w:rsidRDefault="00977537" w:rsidP="00B90699">
      <w:pPr>
        <w:suppressAutoHyphens w:val="0"/>
        <w:snapToGrid w:val="0"/>
        <w:spacing w:after="0" w:line="240" w:lineRule="auto"/>
        <w:jc w:val="both"/>
        <w:rPr>
          <w:b/>
          <w:sz w:val="20"/>
          <w:szCs w:val="20"/>
        </w:rPr>
      </w:pPr>
    </w:p>
    <w:p w:rsidR="00977537" w:rsidRPr="00B90699" w:rsidRDefault="005A3D04" w:rsidP="00B90699">
      <w:pPr>
        <w:suppressAutoHyphens w:val="0"/>
        <w:snapToGrid w:val="0"/>
        <w:spacing w:after="0" w:line="240" w:lineRule="auto"/>
        <w:jc w:val="both"/>
        <w:rPr>
          <w:b/>
          <w:sz w:val="20"/>
          <w:szCs w:val="20"/>
        </w:rPr>
      </w:pPr>
      <w:r w:rsidRPr="00B90699">
        <w:rPr>
          <w:b/>
          <w:sz w:val="20"/>
          <w:szCs w:val="20"/>
        </w:rPr>
        <w:t>Result and Discussions</w:t>
      </w:r>
    </w:p>
    <w:p w:rsidR="00977537" w:rsidRPr="00B90699" w:rsidRDefault="005A3D04" w:rsidP="00B90699">
      <w:pPr>
        <w:pStyle w:val="Default"/>
        <w:snapToGrid w:val="0"/>
        <w:spacing w:after="0" w:line="240" w:lineRule="auto"/>
        <w:ind w:firstLine="425"/>
        <w:jc w:val="both"/>
        <w:rPr>
          <w:sz w:val="20"/>
          <w:szCs w:val="20"/>
        </w:rPr>
      </w:pPr>
      <w:r w:rsidRPr="00B90699">
        <w:rPr>
          <w:sz w:val="20"/>
          <w:szCs w:val="20"/>
        </w:rPr>
        <w:t>The main objective of the present study was to do a study of the Adjustment of Dire Dawa university lecturers male and female. The statistical analysis of the research study, the data will be statistically analyzed by following standard statistical methods. An Independent t-test will be applied to test the hypothesis. Results discussions of the present study are as under:</w:t>
      </w:r>
    </w:p>
    <w:p w:rsidR="00977537" w:rsidRPr="00B90699" w:rsidRDefault="00977537" w:rsidP="00B90699">
      <w:pPr>
        <w:pStyle w:val="Default"/>
        <w:snapToGrid w:val="0"/>
        <w:spacing w:after="0" w:line="240" w:lineRule="auto"/>
        <w:jc w:val="both"/>
        <w:rPr>
          <w:sz w:val="20"/>
          <w:szCs w:val="20"/>
        </w:rPr>
        <w:sectPr w:rsidR="00977537" w:rsidRPr="00B90699">
          <w:headerReference w:type="default" r:id="rId16"/>
          <w:footerReference w:type="even" r:id="rId17"/>
          <w:footerReference w:type="default" r:id="rId18"/>
          <w:footnotePr>
            <w:pos w:val="beneathText"/>
          </w:footnotePr>
          <w:type w:val="continuous"/>
          <w:pgSz w:w="12240" w:h="15840"/>
          <w:pgMar w:top="1440" w:right="1440" w:bottom="1440" w:left="1440" w:header="720" w:footer="720" w:gutter="0"/>
          <w:cols w:num="2" w:space="600"/>
          <w:docGrid w:linePitch="360"/>
        </w:sectPr>
      </w:pPr>
    </w:p>
    <w:p w:rsidR="00977537" w:rsidRPr="00B90699" w:rsidRDefault="00977537" w:rsidP="00B90699">
      <w:pPr>
        <w:pStyle w:val="Default"/>
        <w:snapToGrid w:val="0"/>
        <w:spacing w:after="0" w:line="240" w:lineRule="auto"/>
        <w:jc w:val="both"/>
        <w:rPr>
          <w:rFonts w:eastAsiaTheme="minorEastAsia"/>
          <w:sz w:val="20"/>
          <w:szCs w:val="20"/>
          <w:lang w:eastAsia="zh-CN"/>
        </w:rPr>
      </w:pPr>
    </w:p>
    <w:p w:rsidR="00977537" w:rsidRPr="00B90699" w:rsidRDefault="005A3D04" w:rsidP="00B90699">
      <w:pPr>
        <w:pStyle w:val="Default"/>
        <w:snapToGrid w:val="0"/>
        <w:spacing w:after="0" w:line="240" w:lineRule="auto"/>
        <w:jc w:val="both"/>
        <w:rPr>
          <w:sz w:val="20"/>
          <w:szCs w:val="20"/>
        </w:rPr>
      </w:pPr>
      <w:r w:rsidRPr="00B90699">
        <w:rPr>
          <w:sz w:val="20"/>
          <w:szCs w:val="20"/>
        </w:rPr>
        <w:t>Table No: 1, Showing the Mean, SD, and "t" value of university adjustment of Dire Dawa Lecturers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27"/>
        <w:gridCol w:w="627"/>
        <w:gridCol w:w="1112"/>
        <w:gridCol w:w="917"/>
        <w:gridCol w:w="1124"/>
        <w:gridCol w:w="917"/>
        <w:gridCol w:w="1112"/>
        <w:gridCol w:w="1938"/>
      </w:tblGrid>
      <w:tr w:rsidR="00977537" w:rsidRPr="00B90699">
        <w:trPr>
          <w:jc w:val="center"/>
        </w:trPr>
        <w:tc>
          <w:tcPr>
            <w:tcW w:w="91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Variables</w:t>
            </w:r>
          </w:p>
        </w:tc>
        <w:tc>
          <w:tcPr>
            <w:tcW w:w="33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N</w:t>
            </w:r>
          </w:p>
        </w:tc>
        <w:tc>
          <w:tcPr>
            <w:tcW w:w="587"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w:t>
            </w:r>
          </w:p>
        </w:tc>
        <w:tc>
          <w:tcPr>
            <w:tcW w:w="48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SD</w:t>
            </w:r>
          </w:p>
        </w:tc>
        <w:tc>
          <w:tcPr>
            <w:tcW w:w="593"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Mean Diff.</w:t>
            </w:r>
          </w:p>
        </w:tc>
        <w:tc>
          <w:tcPr>
            <w:tcW w:w="484" w:type="pct"/>
            <w:vAlign w:val="center"/>
          </w:tcPr>
          <w:p w:rsidR="00977537" w:rsidRPr="00B90699" w:rsidRDefault="005A3D04" w:rsidP="00B90699">
            <w:pPr>
              <w:suppressAutoHyphens w:val="0"/>
              <w:snapToGrid w:val="0"/>
              <w:spacing w:after="0" w:line="240" w:lineRule="auto"/>
              <w:jc w:val="both"/>
              <w:rPr>
                <w:sz w:val="20"/>
                <w:szCs w:val="20"/>
              </w:rPr>
            </w:pPr>
            <w:r w:rsidRPr="00B90699">
              <w:rPr>
                <w:sz w:val="20"/>
                <w:szCs w:val="20"/>
              </w:rPr>
              <w:t>SE</w:t>
            </w:r>
            <w:r w:rsidRPr="00B90699">
              <w:rPr>
                <w:sz w:val="20"/>
                <w:szCs w:val="20"/>
                <w:vertAlign w:val="subscript"/>
              </w:rPr>
              <w:t>D</w:t>
            </w:r>
          </w:p>
        </w:tc>
        <w:tc>
          <w:tcPr>
            <w:tcW w:w="587"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‘t’</w:t>
            </w:r>
          </w:p>
        </w:tc>
        <w:tc>
          <w:tcPr>
            <w:tcW w:w="102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Level of Sig.</w:t>
            </w:r>
          </w:p>
        </w:tc>
      </w:tr>
      <w:tr w:rsidR="00977537" w:rsidRPr="00B90699">
        <w:trPr>
          <w:jc w:val="center"/>
        </w:trPr>
        <w:tc>
          <w:tcPr>
            <w:tcW w:w="91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Male</w:t>
            </w:r>
          </w:p>
        </w:tc>
        <w:tc>
          <w:tcPr>
            <w:tcW w:w="33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60</w:t>
            </w:r>
          </w:p>
        </w:tc>
        <w:tc>
          <w:tcPr>
            <w:tcW w:w="587"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11.03</w:t>
            </w:r>
          </w:p>
        </w:tc>
        <w:tc>
          <w:tcPr>
            <w:tcW w:w="48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2.47</w:t>
            </w:r>
          </w:p>
        </w:tc>
        <w:tc>
          <w:tcPr>
            <w:tcW w:w="593"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0.08</w:t>
            </w:r>
          </w:p>
        </w:tc>
        <w:tc>
          <w:tcPr>
            <w:tcW w:w="484"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0.43</w:t>
            </w:r>
          </w:p>
        </w:tc>
        <w:tc>
          <w:tcPr>
            <w:tcW w:w="587"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0.195</w:t>
            </w:r>
          </w:p>
        </w:tc>
        <w:tc>
          <w:tcPr>
            <w:tcW w:w="1024"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Not Significant</w:t>
            </w:r>
          </w:p>
        </w:tc>
      </w:tr>
      <w:tr w:rsidR="00977537" w:rsidRPr="00B90699">
        <w:trPr>
          <w:jc w:val="center"/>
        </w:trPr>
        <w:tc>
          <w:tcPr>
            <w:tcW w:w="91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Female</w:t>
            </w:r>
          </w:p>
        </w:tc>
        <w:tc>
          <w:tcPr>
            <w:tcW w:w="33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60</w:t>
            </w:r>
          </w:p>
        </w:tc>
        <w:tc>
          <w:tcPr>
            <w:tcW w:w="587"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10.95</w:t>
            </w:r>
          </w:p>
        </w:tc>
        <w:tc>
          <w:tcPr>
            <w:tcW w:w="48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2.20</w:t>
            </w:r>
          </w:p>
        </w:tc>
        <w:tc>
          <w:tcPr>
            <w:tcW w:w="593" w:type="pct"/>
            <w:vMerge/>
            <w:vAlign w:val="center"/>
          </w:tcPr>
          <w:p w:rsidR="00977537" w:rsidRPr="00B90699" w:rsidRDefault="00977537" w:rsidP="00B90699">
            <w:pPr>
              <w:pStyle w:val="Default"/>
              <w:snapToGrid w:val="0"/>
              <w:spacing w:after="0" w:line="240" w:lineRule="auto"/>
              <w:jc w:val="both"/>
              <w:rPr>
                <w:sz w:val="20"/>
                <w:szCs w:val="20"/>
              </w:rPr>
            </w:pPr>
          </w:p>
        </w:tc>
        <w:tc>
          <w:tcPr>
            <w:tcW w:w="484" w:type="pct"/>
            <w:vMerge/>
            <w:vAlign w:val="center"/>
          </w:tcPr>
          <w:p w:rsidR="00977537" w:rsidRPr="00B90699" w:rsidRDefault="00977537" w:rsidP="00B90699">
            <w:pPr>
              <w:pStyle w:val="Default"/>
              <w:snapToGrid w:val="0"/>
              <w:spacing w:after="0" w:line="240" w:lineRule="auto"/>
              <w:jc w:val="both"/>
              <w:rPr>
                <w:sz w:val="20"/>
                <w:szCs w:val="20"/>
              </w:rPr>
            </w:pPr>
          </w:p>
        </w:tc>
        <w:tc>
          <w:tcPr>
            <w:tcW w:w="587" w:type="pct"/>
            <w:vMerge/>
            <w:vAlign w:val="center"/>
          </w:tcPr>
          <w:p w:rsidR="00977537" w:rsidRPr="00B90699" w:rsidRDefault="00977537" w:rsidP="00B90699">
            <w:pPr>
              <w:pStyle w:val="Default"/>
              <w:snapToGrid w:val="0"/>
              <w:spacing w:after="0" w:line="240" w:lineRule="auto"/>
              <w:jc w:val="both"/>
              <w:rPr>
                <w:sz w:val="20"/>
                <w:szCs w:val="20"/>
              </w:rPr>
            </w:pPr>
          </w:p>
        </w:tc>
        <w:tc>
          <w:tcPr>
            <w:tcW w:w="1024" w:type="pct"/>
            <w:vMerge/>
            <w:vAlign w:val="center"/>
          </w:tcPr>
          <w:p w:rsidR="00977537" w:rsidRPr="00B90699" w:rsidRDefault="00977537" w:rsidP="00B90699">
            <w:pPr>
              <w:pStyle w:val="Default"/>
              <w:snapToGrid w:val="0"/>
              <w:spacing w:after="0" w:line="240" w:lineRule="auto"/>
              <w:jc w:val="both"/>
              <w:rPr>
                <w:sz w:val="20"/>
                <w:szCs w:val="20"/>
              </w:rPr>
            </w:pPr>
          </w:p>
        </w:tc>
      </w:tr>
    </w:tbl>
    <w:p w:rsidR="00977537" w:rsidRPr="00B90699" w:rsidRDefault="005A3D04" w:rsidP="00B90699">
      <w:pPr>
        <w:pStyle w:val="Default"/>
        <w:snapToGrid w:val="0"/>
        <w:spacing w:after="0" w:line="240" w:lineRule="auto"/>
        <w:jc w:val="both"/>
        <w:rPr>
          <w:sz w:val="20"/>
          <w:szCs w:val="20"/>
        </w:rPr>
      </w:pPr>
      <w:r w:rsidRPr="00B90699">
        <w:rPr>
          <w:sz w:val="20"/>
          <w:szCs w:val="20"/>
        </w:rPr>
        <w:t>df=118</w:t>
      </w:r>
    </w:p>
    <w:p w:rsidR="00B90699" w:rsidRPr="00B90699" w:rsidRDefault="00B90699" w:rsidP="00B90699">
      <w:pPr>
        <w:pStyle w:val="Default"/>
        <w:snapToGrid w:val="0"/>
        <w:spacing w:after="0" w:line="240" w:lineRule="auto"/>
        <w:jc w:val="center"/>
        <w:rPr>
          <w:rFonts w:eastAsiaTheme="minorEastAsia"/>
          <w:sz w:val="20"/>
          <w:szCs w:val="20"/>
          <w:lang w:eastAsia="zh-CN"/>
        </w:rPr>
      </w:pPr>
    </w:p>
    <w:p w:rsidR="00977537" w:rsidRPr="00B90699" w:rsidRDefault="005A3D04" w:rsidP="00B90699">
      <w:pPr>
        <w:pStyle w:val="Default"/>
        <w:snapToGrid w:val="0"/>
        <w:spacing w:after="0" w:line="240" w:lineRule="auto"/>
        <w:jc w:val="both"/>
        <w:rPr>
          <w:sz w:val="20"/>
          <w:szCs w:val="20"/>
        </w:rPr>
      </w:pPr>
      <w:r w:rsidRPr="00B90699">
        <w:rPr>
          <w:sz w:val="20"/>
          <w:szCs w:val="20"/>
        </w:rPr>
        <w:t>Table No: 2, Showing the Mean, SD, and ‟t" value of teaching adjustment of Dire Dawa Lecturers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27"/>
        <w:gridCol w:w="627"/>
        <w:gridCol w:w="1112"/>
        <w:gridCol w:w="917"/>
        <w:gridCol w:w="1124"/>
        <w:gridCol w:w="917"/>
        <w:gridCol w:w="1112"/>
        <w:gridCol w:w="1938"/>
      </w:tblGrid>
      <w:tr w:rsidR="00977537" w:rsidRPr="00B90699">
        <w:trPr>
          <w:jc w:val="center"/>
        </w:trPr>
        <w:tc>
          <w:tcPr>
            <w:tcW w:w="91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Variables</w:t>
            </w:r>
          </w:p>
        </w:tc>
        <w:tc>
          <w:tcPr>
            <w:tcW w:w="33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N</w:t>
            </w:r>
          </w:p>
        </w:tc>
        <w:tc>
          <w:tcPr>
            <w:tcW w:w="587"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w:t>
            </w:r>
          </w:p>
        </w:tc>
        <w:tc>
          <w:tcPr>
            <w:tcW w:w="48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SD</w:t>
            </w:r>
          </w:p>
        </w:tc>
        <w:tc>
          <w:tcPr>
            <w:tcW w:w="593"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Mean Diff.</w:t>
            </w:r>
          </w:p>
        </w:tc>
        <w:tc>
          <w:tcPr>
            <w:tcW w:w="484" w:type="pct"/>
            <w:vAlign w:val="center"/>
          </w:tcPr>
          <w:p w:rsidR="00977537" w:rsidRPr="00B90699" w:rsidRDefault="005A3D04" w:rsidP="00B90699">
            <w:pPr>
              <w:suppressAutoHyphens w:val="0"/>
              <w:snapToGrid w:val="0"/>
              <w:spacing w:after="0" w:line="240" w:lineRule="auto"/>
              <w:jc w:val="both"/>
              <w:rPr>
                <w:sz w:val="20"/>
                <w:szCs w:val="20"/>
              </w:rPr>
            </w:pPr>
            <w:r w:rsidRPr="00B90699">
              <w:rPr>
                <w:sz w:val="20"/>
                <w:szCs w:val="20"/>
              </w:rPr>
              <w:t>SE</w:t>
            </w:r>
            <w:r w:rsidRPr="00B90699">
              <w:rPr>
                <w:sz w:val="20"/>
                <w:szCs w:val="20"/>
                <w:vertAlign w:val="subscript"/>
              </w:rPr>
              <w:t>D</w:t>
            </w:r>
          </w:p>
        </w:tc>
        <w:tc>
          <w:tcPr>
            <w:tcW w:w="587"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‘t’</w:t>
            </w:r>
          </w:p>
        </w:tc>
        <w:tc>
          <w:tcPr>
            <w:tcW w:w="1023"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Level of Sig.</w:t>
            </w:r>
          </w:p>
        </w:tc>
      </w:tr>
      <w:tr w:rsidR="00977537" w:rsidRPr="00B90699">
        <w:trPr>
          <w:jc w:val="center"/>
        </w:trPr>
        <w:tc>
          <w:tcPr>
            <w:tcW w:w="91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Male</w:t>
            </w:r>
          </w:p>
        </w:tc>
        <w:tc>
          <w:tcPr>
            <w:tcW w:w="33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60</w:t>
            </w:r>
          </w:p>
        </w:tc>
        <w:tc>
          <w:tcPr>
            <w:tcW w:w="587"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10.03</w:t>
            </w:r>
          </w:p>
        </w:tc>
        <w:tc>
          <w:tcPr>
            <w:tcW w:w="48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2.56</w:t>
            </w:r>
          </w:p>
        </w:tc>
        <w:tc>
          <w:tcPr>
            <w:tcW w:w="593"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0.15</w:t>
            </w:r>
          </w:p>
        </w:tc>
        <w:tc>
          <w:tcPr>
            <w:tcW w:w="484"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0.48</w:t>
            </w:r>
          </w:p>
        </w:tc>
        <w:tc>
          <w:tcPr>
            <w:tcW w:w="587"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0.311</w:t>
            </w:r>
          </w:p>
        </w:tc>
        <w:tc>
          <w:tcPr>
            <w:tcW w:w="1023"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Not Significant</w:t>
            </w:r>
          </w:p>
        </w:tc>
      </w:tr>
      <w:tr w:rsidR="00977537" w:rsidRPr="00B90699">
        <w:trPr>
          <w:jc w:val="center"/>
        </w:trPr>
        <w:tc>
          <w:tcPr>
            <w:tcW w:w="91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Female</w:t>
            </w:r>
          </w:p>
        </w:tc>
        <w:tc>
          <w:tcPr>
            <w:tcW w:w="331"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60</w:t>
            </w:r>
          </w:p>
        </w:tc>
        <w:tc>
          <w:tcPr>
            <w:tcW w:w="587"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10.18</w:t>
            </w:r>
          </w:p>
        </w:tc>
        <w:tc>
          <w:tcPr>
            <w:tcW w:w="48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2.73</w:t>
            </w:r>
          </w:p>
        </w:tc>
        <w:tc>
          <w:tcPr>
            <w:tcW w:w="593" w:type="pct"/>
            <w:vMerge/>
            <w:vAlign w:val="center"/>
          </w:tcPr>
          <w:p w:rsidR="00977537" w:rsidRPr="00B90699" w:rsidRDefault="00977537" w:rsidP="00B90699">
            <w:pPr>
              <w:pStyle w:val="Default"/>
              <w:snapToGrid w:val="0"/>
              <w:spacing w:after="0" w:line="240" w:lineRule="auto"/>
              <w:jc w:val="both"/>
              <w:rPr>
                <w:sz w:val="20"/>
                <w:szCs w:val="20"/>
              </w:rPr>
            </w:pPr>
          </w:p>
        </w:tc>
        <w:tc>
          <w:tcPr>
            <w:tcW w:w="484" w:type="pct"/>
            <w:vMerge/>
            <w:vAlign w:val="center"/>
          </w:tcPr>
          <w:p w:rsidR="00977537" w:rsidRPr="00B90699" w:rsidRDefault="00977537" w:rsidP="00B90699">
            <w:pPr>
              <w:pStyle w:val="Default"/>
              <w:snapToGrid w:val="0"/>
              <w:spacing w:after="0" w:line="240" w:lineRule="auto"/>
              <w:jc w:val="both"/>
              <w:rPr>
                <w:sz w:val="20"/>
                <w:szCs w:val="20"/>
              </w:rPr>
            </w:pPr>
          </w:p>
        </w:tc>
        <w:tc>
          <w:tcPr>
            <w:tcW w:w="587" w:type="pct"/>
            <w:vMerge/>
            <w:vAlign w:val="center"/>
          </w:tcPr>
          <w:p w:rsidR="00977537" w:rsidRPr="00B90699" w:rsidRDefault="00977537" w:rsidP="00B90699">
            <w:pPr>
              <w:pStyle w:val="Default"/>
              <w:snapToGrid w:val="0"/>
              <w:spacing w:after="0" w:line="240" w:lineRule="auto"/>
              <w:jc w:val="both"/>
              <w:rPr>
                <w:sz w:val="20"/>
                <w:szCs w:val="20"/>
              </w:rPr>
            </w:pPr>
          </w:p>
        </w:tc>
        <w:tc>
          <w:tcPr>
            <w:tcW w:w="1023" w:type="pct"/>
            <w:vMerge/>
            <w:vAlign w:val="center"/>
          </w:tcPr>
          <w:p w:rsidR="00977537" w:rsidRPr="00B90699" w:rsidRDefault="00977537" w:rsidP="00B90699">
            <w:pPr>
              <w:pStyle w:val="Default"/>
              <w:snapToGrid w:val="0"/>
              <w:spacing w:after="0" w:line="240" w:lineRule="auto"/>
              <w:jc w:val="both"/>
              <w:rPr>
                <w:sz w:val="20"/>
                <w:szCs w:val="20"/>
              </w:rPr>
            </w:pPr>
          </w:p>
        </w:tc>
      </w:tr>
    </w:tbl>
    <w:p w:rsidR="00977537" w:rsidRPr="00B90699" w:rsidRDefault="005A3D04" w:rsidP="00B90699">
      <w:pPr>
        <w:pStyle w:val="Default"/>
        <w:snapToGrid w:val="0"/>
        <w:spacing w:after="0" w:line="240" w:lineRule="auto"/>
        <w:jc w:val="both"/>
        <w:rPr>
          <w:sz w:val="20"/>
          <w:szCs w:val="20"/>
        </w:rPr>
      </w:pPr>
      <w:r w:rsidRPr="00B90699">
        <w:rPr>
          <w:sz w:val="20"/>
          <w:szCs w:val="20"/>
        </w:rPr>
        <w:t>df=118</w:t>
      </w:r>
    </w:p>
    <w:p w:rsidR="00B90699" w:rsidRPr="00B90699" w:rsidRDefault="00B90699" w:rsidP="00B90699">
      <w:pPr>
        <w:pStyle w:val="Default"/>
        <w:snapToGrid w:val="0"/>
        <w:spacing w:after="0" w:line="240" w:lineRule="auto"/>
        <w:jc w:val="center"/>
        <w:rPr>
          <w:rFonts w:eastAsiaTheme="minorEastAsia"/>
          <w:sz w:val="20"/>
          <w:szCs w:val="20"/>
          <w:lang w:eastAsia="zh-CN"/>
        </w:rPr>
      </w:pPr>
    </w:p>
    <w:p w:rsidR="00977537" w:rsidRPr="00B90699" w:rsidRDefault="005A3D04" w:rsidP="00B90699">
      <w:pPr>
        <w:pStyle w:val="Default"/>
        <w:snapToGrid w:val="0"/>
        <w:spacing w:after="0" w:line="240" w:lineRule="auto"/>
        <w:jc w:val="center"/>
        <w:rPr>
          <w:sz w:val="20"/>
          <w:szCs w:val="20"/>
        </w:rPr>
      </w:pPr>
      <w:r w:rsidRPr="00B90699">
        <w:rPr>
          <w:sz w:val="20"/>
          <w:szCs w:val="20"/>
        </w:rPr>
        <w:t>Table No: 3, Showing the Mean, SD, and ‟t" value of conducting research adjustment of Dire Dawa Lecturers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351"/>
        <w:gridCol w:w="481"/>
        <w:gridCol w:w="864"/>
        <w:gridCol w:w="711"/>
        <w:gridCol w:w="1539"/>
        <w:gridCol w:w="711"/>
        <w:gridCol w:w="711"/>
        <w:gridCol w:w="3106"/>
      </w:tblGrid>
      <w:tr w:rsidR="00977537" w:rsidRPr="00B90699">
        <w:trPr>
          <w:jc w:val="center"/>
        </w:trPr>
        <w:tc>
          <w:tcPr>
            <w:tcW w:w="713"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Variables</w:t>
            </w:r>
          </w:p>
        </w:tc>
        <w:tc>
          <w:tcPr>
            <w:tcW w:w="25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N</w:t>
            </w:r>
          </w:p>
        </w:tc>
        <w:tc>
          <w:tcPr>
            <w:tcW w:w="456"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w:t>
            </w:r>
          </w:p>
        </w:tc>
        <w:tc>
          <w:tcPr>
            <w:tcW w:w="375"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SD</w:t>
            </w:r>
          </w:p>
        </w:tc>
        <w:tc>
          <w:tcPr>
            <w:tcW w:w="812"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Mean Diff.</w:t>
            </w:r>
          </w:p>
        </w:tc>
        <w:tc>
          <w:tcPr>
            <w:tcW w:w="375" w:type="pct"/>
            <w:vAlign w:val="center"/>
          </w:tcPr>
          <w:p w:rsidR="00977537" w:rsidRPr="00B90699" w:rsidRDefault="005A3D04" w:rsidP="00B90699">
            <w:pPr>
              <w:suppressAutoHyphens w:val="0"/>
              <w:snapToGrid w:val="0"/>
              <w:spacing w:after="0" w:line="240" w:lineRule="auto"/>
              <w:jc w:val="both"/>
              <w:rPr>
                <w:sz w:val="20"/>
                <w:szCs w:val="20"/>
              </w:rPr>
            </w:pPr>
            <w:r w:rsidRPr="00B90699">
              <w:rPr>
                <w:sz w:val="20"/>
                <w:szCs w:val="20"/>
              </w:rPr>
              <w:t>SE</w:t>
            </w:r>
            <w:r w:rsidRPr="00B90699">
              <w:rPr>
                <w:sz w:val="20"/>
                <w:szCs w:val="20"/>
                <w:vertAlign w:val="subscript"/>
              </w:rPr>
              <w:t>D</w:t>
            </w:r>
          </w:p>
        </w:tc>
        <w:tc>
          <w:tcPr>
            <w:tcW w:w="375"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‘t’</w:t>
            </w:r>
          </w:p>
        </w:tc>
        <w:tc>
          <w:tcPr>
            <w:tcW w:w="1639"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Level of Sig.</w:t>
            </w:r>
          </w:p>
        </w:tc>
      </w:tr>
      <w:tr w:rsidR="00977537" w:rsidRPr="00B90699">
        <w:trPr>
          <w:jc w:val="center"/>
        </w:trPr>
        <w:tc>
          <w:tcPr>
            <w:tcW w:w="713"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Male</w:t>
            </w:r>
          </w:p>
        </w:tc>
        <w:tc>
          <w:tcPr>
            <w:tcW w:w="25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60</w:t>
            </w:r>
          </w:p>
        </w:tc>
        <w:tc>
          <w:tcPr>
            <w:tcW w:w="456"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11.75</w:t>
            </w:r>
          </w:p>
        </w:tc>
        <w:tc>
          <w:tcPr>
            <w:tcW w:w="375"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2.10</w:t>
            </w:r>
          </w:p>
        </w:tc>
        <w:tc>
          <w:tcPr>
            <w:tcW w:w="812"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0.82</w:t>
            </w:r>
          </w:p>
        </w:tc>
        <w:tc>
          <w:tcPr>
            <w:tcW w:w="375"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0.39</w:t>
            </w:r>
          </w:p>
        </w:tc>
        <w:tc>
          <w:tcPr>
            <w:tcW w:w="375"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2.11</w:t>
            </w:r>
          </w:p>
        </w:tc>
        <w:tc>
          <w:tcPr>
            <w:tcW w:w="1639"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Significant at 0.05 level</w:t>
            </w:r>
          </w:p>
        </w:tc>
      </w:tr>
      <w:tr w:rsidR="00977537" w:rsidRPr="00B90699">
        <w:trPr>
          <w:jc w:val="center"/>
        </w:trPr>
        <w:tc>
          <w:tcPr>
            <w:tcW w:w="713"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Female</w:t>
            </w:r>
          </w:p>
        </w:tc>
        <w:tc>
          <w:tcPr>
            <w:tcW w:w="25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60</w:t>
            </w:r>
          </w:p>
        </w:tc>
        <w:tc>
          <w:tcPr>
            <w:tcW w:w="456"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10.93</w:t>
            </w:r>
          </w:p>
        </w:tc>
        <w:tc>
          <w:tcPr>
            <w:tcW w:w="375"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2.14</w:t>
            </w:r>
          </w:p>
        </w:tc>
        <w:tc>
          <w:tcPr>
            <w:tcW w:w="812" w:type="pct"/>
            <w:vMerge/>
            <w:vAlign w:val="center"/>
          </w:tcPr>
          <w:p w:rsidR="00977537" w:rsidRPr="00B90699" w:rsidRDefault="00977537" w:rsidP="00B90699">
            <w:pPr>
              <w:pStyle w:val="Default"/>
              <w:snapToGrid w:val="0"/>
              <w:spacing w:after="0" w:line="240" w:lineRule="auto"/>
              <w:jc w:val="both"/>
              <w:rPr>
                <w:sz w:val="20"/>
                <w:szCs w:val="20"/>
              </w:rPr>
            </w:pPr>
          </w:p>
        </w:tc>
        <w:tc>
          <w:tcPr>
            <w:tcW w:w="375" w:type="pct"/>
            <w:vMerge/>
            <w:vAlign w:val="center"/>
          </w:tcPr>
          <w:p w:rsidR="00977537" w:rsidRPr="00B90699" w:rsidRDefault="00977537" w:rsidP="00B90699">
            <w:pPr>
              <w:pStyle w:val="Default"/>
              <w:snapToGrid w:val="0"/>
              <w:spacing w:after="0" w:line="240" w:lineRule="auto"/>
              <w:jc w:val="both"/>
              <w:rPr>
                <w:sz w:val="20"/>
                <w:szCs w:val="20"/>
              </w:rPr>
            </w:pPr>
          </w:p>
        </w:tc>
        <w:tc>
          <w:tcPr>
            <w:tcW w:w="375" w:type="pct"/>
            <w:vMerge/>
            <w:vAlign w:val="center"/>
          </w:tcPr>
          <w:p w:rsidR="00977537" w:rsidRPr="00B90699" w:rsidRDefault="00977537" w:rsidP="00B90699">
            <w:pPr>
              <w:pStyle w:val="Default"/>
              <w:snapToGrid w:val="0"/>
              <w:spacing w:after="0" w:line="240" w:lineRule="auto"/>
              <w:jc w:val="both"/>
              <w:rPr>
                <w:sz w:val="20"/>
                <w:szCs w:val="20"/>
              </w:rPr>
            </w:pPr>
          </w:p>
        </w:tc>
        <w:tc>
          <w:tcPr>
            <w:tcW w:w="1639" w:type="pct"/>
            <w:vMerge/>
            <w:vAlign w:val="center"/>
          </w:tcPr>
          <w:p w:rsidR="00977537" w:rsidRPr="00B90699" w:rsidRDefault="00977537" w:rsidP="00B90699">
            <w:pPr>
              <w:pStyle w:val="Default"/>
              <w:snapToGrid w:val="0"/>
              <w:spacing w:after="0" w:line="240" w:lineRule="auto"/>
              <w:jc w:val="both"/>
              <w:rPr>
                <w:sz w:val="20"/>
                <w:szCs w:val="20"/>
              </w:rPr>
            </w:pPr>
          </w:p>
        </w:tc>
      </w:tr>
    </w:tbl>
    <w:p w:rsidR="00977537" w:rsidRPr="00B90699" w:rsidRDefault="00977537" w:rsidP="00B90699">
      <w:pPr>
        <w:pStyle w:val="Default"/>
        <w:snapToGrid w:val="0"/>
        <w:spacing w:after="0" w:line="240" w:lineRule="auto"/>
        <w:jc w:val="center"/>
        <w:rPr>
          <w:sz w:val="20"/>
          <w:szCs w:val="20"/>
        </w:rPr>
      </w:pPr>
    </w:p>
    <w:p w:rsidR="00977537" w:rsidRPr="00B90699" w:rsidRDefault="005A3D04" w:rsidP="00B90699">
      <w:pPr>
        <w:pStyle w:val="Default"/>
        <w:snapToGrid w:val="0"/>
        <w:spacing w:after="0" w:line="240" w:lineRule="auto"/>
        <w:jc w:val="both"/>
        <w:rPr>
          <w:sz w:val="20"/>
          <w:szCs w:val="20"/>
        </w:rPr>
      </w:pPr>
      <w:r w:rsidRPr="00B90699">
        <w:rPr>
          <w:sz w:val="20"/>
          <w:szCs w:val="20"/>
        </w:rPr>
        <w:t>Table No: 4, Showing the Mean, SD, and ‟t" value of Overload course adjustment of Dire Dawa Lecturers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804"/>
        <w:gridCol w:w="648"/>
        <w:gridCol w:w="955"/>
        <w:gridCol w:w="955"/>
        <w:gridCol w:w="1171"/>
        <w:gridCol w:w="955"/>
        <w:gridCol w:w="955"/>
        <w:gridCol w:w="2031"/>
      </w:tblGrid>
      <w:tr w:rsidR="00977537" w:rsidRPr="00B90699">
        <w:trPr>
          <w:jc w:val="center"/>
        </w:trPr>
        <w:tc>
          <w:tcPr>
            <w:tcW w:w="952"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Variables</w:t>
            </w:r>
          </w:p>
        </w:tc>
        <w:tc>
          <w:tcPr>
            <w:tcW w:w="342"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N</w:t>
            </w:r>
          </w:p>
        </w:tc>
        <w:tc>
          <w:tcPr>
            <w:tcW w:w="50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w:t>
            </w:r>
          </w:p>
        </w:tc>
        <w:tc>
          <w:tcPr>
            <w:tcW w:w="50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SD</w:t>
            </w:r>
          </w:p>
        </w:tc>
        <w:tc>
          <w:tcPr>
            <w:tcW w:w="618"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Mean Diff.</w:t>
            </w:r>
          </w:p>
        </w:tc>
        <w:tc>
          <w:tcPr>
            <w:tcW w:w="504" w:type="pct"/>
            <w:vAlign w:val="center"/>
          </w:tcPr>
          <w:p w:rsidR="00977537" w:rsidRPr="00B90699" w:rsidRDefault="005A3D04" w:rsidP="00B90699">
            <w:pPr>
              <w:suppressAutoHyphens w:val="0"/>
              <w:snapToGrid w:val="0"/>
              <w:spacing w:after="0" w:line="240" w:lineRule="auto"/>
              <w:jc w:val="both"/>
              <w:rPr>
                <w:sz w:val="20"/>
                <w:szCs w:val="20"/>
              </w:rPr>
            </w:pPr>
            <w:r w:rsidRPr="00B90699">
              <w:rPr>
                <w:sz w:val="20"/>
                <w:szCs w:val="20"/>
              </w:rPr>
              <w:t>SE</w:t>
            </w:r>
            <w:r w:rsidRPr="00B90699">
              <w:rPr>
                <w:sz w:val="20"/>
                <w:szCs w:val="20"/>
                <w:vertAlign w:val="subscript"/>
              </w:rPr>
              <w:t>D</w:t>
            </w:r>
          </w:p>
        </w:tc>
        <w:tc>
          <w:tcPr>
            <w:tcW w:w="50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‘t’</w:t>
            </w:r>
          </w:p>
        </w:tc>
        <w:tc>
          <w:tcPr>
            <w:tcW w:w="1072"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Level of Sig.</w:t>
            </w:r>
          </w:p>
        </w:tc>
      </w:tr>
      <w:tr w:rsidR="00977537" w:rsidRPr="00B90699">
        <w:trPr>
          <w:jc w:val="center"/>
        </w:trPr>
        <w:tc>
          <w:tcPr>
            <w:tcW w:w="952"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Male</w:t>
            </w:r>
          </w:p>
        </w:tc>
        <w:tc>
          <w:tcPr>
            <w:tcW w:w="342"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60</w:t>
            </w:r>
          </w:p>
        </w:tc>
        <w:tc>
          <w:tcPr>
            <w:tcW w:w="50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9.60</w:t>
            </w:r>
          </w:p>
        </w:tc>
        <w:tc>
          <w:tcPr>
            <w:tcW w:w="50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2.58</w:t>
            </w:r>
          </w:p>
        </w:tc>
        <w:tc>
          <w:tcPr>
            <w:tcW w:w="618"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0.61</w:t>
            </w:r>
          </w:p>
        </w:tc>
        <w:tc>
          <w:tcPr>
            <w:tcW w:w="504"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0.43</w:t>
            </w:r>
          </w:p>
        </w:tc>
        <w:tc>
          <w:tcPr>
            <w:tcW w:w="504"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1.42</w:t>
            </w:r>
          </w:p>
        </w:tc>
        <w:tc>
          <w:tcPr>
            <w:tcW w:w="1072" w:type="pct"/>
            <w:vMerge w:val="restar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Not Significant</w:t>
            </w:r>
          </w:p>
        </w:tc>
      </w:tr>
      <w:tr w:rsidR="00977537" w:rsidRPr="00B90699">
        <w:trPr>
          <w:jc w:val="center"/>
        </w:trPr>
        <w:tc>
          <w:tcPr>
            <w:tcW w:w="952"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Female</w:t>
            </w:r>
          </w:p>
        </w:tc>
        <w:tc>
          <w:tcPr>
            <w:tcW w:w="342"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60</w:t>
            </w:r>
          </w:p>
        </w:tc>
        <w:tc>
          <w:tcPr>
            <w:tcW w:w="50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8.98</w:t>
            </w:r>
          </w:p>
        </w:tc>
        <w:tc>
          <w:tcPr>
            <w:tcW w:w="504" w:type="pct"/>
            <w:vAlign w:val="center"/>
          </w:tcPr>
          <w:p w:rsidR="00977537" w:rsidRPr="00B90699" w:rsidRDefault="005A3D04" w:rsidP="00B90699">
            <w:pPr>
              <w:pStyle w:val="Default"/>
              <w:snapToGrid w:val="0"/>
              <w:spacing w:after="0" w:line="240" w:lineRule="auto"/>
              <w:jc w:val="both"/>
              <w:rPr>
                <w:sz w:val="20"/>
                <w:szCs w:val="20"/>
              </w:rPr>
            </w:pPr>
            <w:r w:rsidRPr="00B90699">
              <w:rPr>
                <w:sz w:val="20"/>
                <w:szCs w:val="20"/>
              </w:rPr>
              <w:t>2.16</w:t>
            </w:r>
          </w:p>
        </w:tc>
        <w:tc>
          <w:tcPr>
            <w:tcW w:w="618" w:type="pct"/>
            <w:vMerge/>
            <w:vAlign w:val="center"/>
          </w:tcPr>
          <w:p w:rsidR="00977537" w:rsidRPr="00B90699" w:rsidRDefault="00977537" w:rsidP="00B90699">
            <w:pPr>
              <w:pStyle w:val="Default"/>
              <w:snapToGrid w:val="0"/>
              <w:spacing w:after="0" w:line="240" w:lineRule="auto"/>
              <w:jc w:val="both"/>
              <w:rPr>
                <w:sz w:val="20"/>
                <w:szCs w:val="20"/>
              </w:rPr>
            </w:pPr>
          </w:p>
        </w:tc>
        <w:tc>
          <w:tcPr>
            <w:tcW w:w="504" w:type="pct"/>
            <w:vMerge/>
            <w:vAlign w:val="center"/>
          </w:tcPr>
          <w:p w:rsidR="00977537" w:rsidRPr="00B90699" w:rsidRDefault="00977537" w:rsidP="00B90699">
            <w:pPr>
              <w:pStyle w:val="Default"/>
              <w:snapToGrid w:val="0"/>
              <w:spacing w:after="0" w:line="240" w:lineRule="auto"/>
              <w:jc w:val="both"/>
              <w:rPr>
                <w:sz w:val="20"/>
                <w:szCs w:val="20"/>
              </w:rPr>
            </w:pPr>
          </w:p>
        </w:tc>
        <w:tc>
          <w:tcPr>
            <w:tcW w:w="504" w:type="pct"/>
            <w:vMerge/>
            <w:vAlign w:val="center"/>
          </w:tcPr>
          <w:p w:rsidR="00977537" w:rsidRPr="00B90699" w:rsidRDefault="00977537" w:rsidP="00B90699">
            <w:pPr>
              <w:pStyle w:val="Default"/>
              <w:snapToGrid w:val="0"/>
              <w:spacing w:after="0" w:line="240" w:lineRule="auto"/>
              <w:jc w:val="both"/>
              <w:rPr>
                <w:sz w:val="20"/>
                <w:szCs w:val="20"/>
              </w:rPr>
            </w:pPr>
          </w:p>
        </w:tc>
        <w:tc>
          <w:tcPr>
            <w:tcW w:w="1072" w:type="pct"/>
            <w:vMerge/>
            <w:vAlign w:val="center"/>
          </w:tcPr>
          <w:p w:rsidR="00977537" w:rsidRPr="00B90699" w:rsidRDefault="00977537" w:rsidP="00B90699">
            <w:pPr>
              <w:pStyle w:val="Default"/>
              <w:snapToGrid w:val="0"/>
              <w:spacing w:after="0" w:line="240" w:lineRule="auto"/>
              <w:jc w:val="both"/>
              <w:rPr>
                <w:sz w:val="20"/>
                <w:szCs w:val="20"/>
              </w:rPr>
            </w:pPr>
          </w:p>
        </w:tc>
      </w:tr>
    </w:tbl>
    <w:p w:rsidR="00977537" w:rsidRPr="00B90699" w:rsidRDefault="005A3D04" w:rsidP="00B90699">
      <w:pPr>
        <w:pStyle w:val="Default"/>
        <w:snapToGrid w:val="0"/>
        <w:spacing w:after="0" w:line="240" w:lineRule="auto"/>
        <w:jc w:val="both"/>
        <w:rPr>
          <w:sz w:val="20"/>
          <w:szCs w:val="20"/>
        </w:rPr>
      </w:pPr>
      <w:r w:rsidRPr="00B90699">
        <w:rPr>
          <w:sz w:val="20"/>
          <w:szCs w:val="20"/>
        </w:rPr>
        <w:t>df=118</w:t>
      </w:r>
    </w:p>
    <w:p w:rsidR="00B90699" w:rsidRPr="00B90699" w:rsidRDefault="00B90699" w:rsidP="00B90699">
      <w:pPr>
        <w:pStyle w:val="Default"/>
        <w:snapToGrid w:val="0"/>
        <w:spacing w:after="0" w:line="240" w:lineRule="auto"/>
        <w:ind w:firstLine="425"/>
        <w:jc w:val="both"/>
        <w:rPr>
          <w:rFonts w:eastAsiaTheme="minorEastAsia"/>
          <w:sz w:val="20"/>
          <w:szCs w:val="20"/>
          <w:lang w:eastAsia="zh-CN"/>
        </w:rPr>
      </w:pPr>
    </w:p>
    <w:p w:rsidR="00977537" w:rsidRPr="00B90699" w:rsidRDefault="00977537" w:rsidP="00B90699">
      <w:pPr>
        <w:suppressAutoHyphens w:val="0"/>
        <w:snapToGrid w:val="0"/>
        <w:spacing w:after="0" w:line="240" w:lineRule="auto"/>
        <w:ind w:firstLine="425"/>
        <w:jc w:val="both"/>
        <w:rPr>
          <w:sz w:val="20"/>
          <w:szCs w:val="20"/>
          <w:lang w:eastAsia="zh-CN"/>
        </w:rPr>
        <w:sectPr w:rsidR="00977537" w:rsidRPr="00B90699">
          <w:footnotePr>
            <w:pos w:val="beneathText"/>
          </w:footnotePr>
          <w:type w:val="continuous"/>
          <w:pgSz w:w="12240" w:h="15840"/>
          <w:pgMar w:top="1440" w:right="1440" w:bottom="1440" w:left="1440" w:header="720" w:footer="720" w:gutter="0"/>
          <w:cols w:space="600"/>
          <w:docGrid w:linePitch="360"/>
        </w:sectPr>
      </w:pPr>
    </w:p>
    <w:p w:rsidR="00977537" w:rsidRPr="00B90699" w:rsidRDefault="005A3D04" w:rsidP="00B90699">
      <w:pPr>
        <w:suppressAutoHyphens w:val="0"/>
        <w:snapToGrid w:val="0"/>
        <w:spacing w:after="0" w:line="240" w:lineRule="auto"/>
        <w:jc w:val="both"/>
        <w:rPr>
          <w:b/>
          <w:sz w:val="20"/>
          <w:szCs w:val="20"/>
        </w:rPr>
      </w:pPr>
      <w:r w:rsidRPr="00B90699">
        <w:rPr>
          <w:b/>
          <w:sz w:val="20"/>
          <w:szCs w:val="20"/>
        </w:rPr>
        <w:lastRenderedPageBreak/>
        <w:t xml:space="preserve">Discussions </w:t>
      </w:r>
    </w:p>
    <w:p w:rsidR="00977537" w:rsidRPr="00B90699" w:rsidRDefault="005A3D04" w:rsidP="00B90699">
      <w:pPr>
        <w:pStyle w:val="Default"/>
        <w:snapToGrid w:val="0"/>
        <w:spacing w:after="0" w:line="240" w:lineRule="auto"/>
        <w:ind w:firstLine="425"/>
        <w:jc w:val="both"/>
        <w:rPr>
          <w:sz w:val="20"/>
          <w:szCs w:val="20"/>
        </w:rPr>
      </w:pPr>
      <w:r w:rsidRPr="00B90699">
        <w:rPr>
          <w:sz w:val="20"/>
          <w:szCs w:val="20"/>
        </w:rPr>
        <w:t xml:space="preserve">In the above result table No. 1 we can see that t-test was used to know the level of university adjustment of the lecturers. Where male means was 11.03 &amp; SD was 2.47 and female mean was 10.95 &amp; SD was 2.20 and difference between their „t‟ values was 0.195 it was not significant at 0.05 level. The result shows that there is no significant mean difference in university Adjustment between male and </w:t>
      </w:r>
      <w:r w:rsidRPr="00B90699">
        <w:rPr>
          <w:sz w:val="20"/>
          <w:szCs w:val="20"/>
        </w:rPr>
        <w:lastRenderedPageBreak/>
        <w:t xml:space="preserve">female lecturers. Thus, null hypothesis- I which states “there is no significant difference in the university adjustment level of Dire Dawa university lecturers concerning their university adjustment” is accepted. </w:t>
      </w:r>
    </w:p>
    <w:p w:rsidR="00977537" w:rsidRPr="00B90699" w:rsidRDefault="005A3D04" w:rsidP="00B90699">
      <w:pPr>
        <w:pStyle w:val="Default"/>
        <w:snapToGrid w:val="0"/>
        <w:spacing w:after="0" w:line="240" w:lineRule="auto"/>
        <w:ind w:firstLine="425"/>
        <w:jc w:val="both"/>
        <w:rPr>
          <w:sz w:val="20"/>
          <w:szCs w:val="20"/>
        </w:rPr>
      </w:pPr>
      <w:r w:rsidRPr="00B90699">
        <w:rPr>
          <w:sz w:val="20"/>
          <w:szCs w:val="20"/>
        </w:rPr>
        <w:t xml:space="preserve">In the above result table No.2, we can see that t-test was used to know the level of teaching adjustment of the lecturers. Where males mean was 10.03 &amp; SD was 2.56 and females mean was 10.18 &amp; SD was 2.73 and difference between their "t" values was 0.311 it </w:t>
      </w:r>
      <w:r w:rsidRPr="00B90699">
        <w:rPr>
          <w:sz w:val="20"/>
          <w:szCs w:val="20"/>
        </w:rPr>
        <w:lastRenderedPageBreak/>
        <w:t>was not significant at 0.05 levels. The result shows that there is no significant mean difference in teaching adjustment between male and female lecturers. Thus the null hypothesis-II which states “there is no significant difference in the teaching adjustment level of Dire Dawa university lecturers concerning their teaching adjustment” is accepted.</w:t>
      </w:r>
    </w:p>
    <w:p w:rsidR="00977537" w:rsidRPr="00B90699" w:rsidRDefault="005A3D04" w:rsidP="00B90699">
      <w:pPr>
        <w:pStyle w:val="Default"/>
        <w:snapToGrid w:val="0"/>
        <w:spacing w:after="0" w:line="240" w:lineRule="auto"/>
        <w:ind w:firstLine="425"/>
        <w:jc w:val="both"/>
        <w:rPr>
          <w:sz w:val="20"/>
          <w:szCs w:val="20"/>
        </w:rPr>
      </w:pPr>
      <w:r w:rsidRPr="00B90699">
        <w:rPr>
          <w:sz w:val="20"/>
          <w:szCs w:val="20"/>
        </w:rPr>
        <w:t xml:space="preserve">In the above result table No.3, we can see that the "t" test was used to know the level of conducting research adjustment of the lecturers. Where males mean was 11.75 &amp; SD was 2.10 and females mean was 10.93 &amp; SD was 2.14 and difference between their „t‟ values was 2.11 it was significant at 0.05 level. Thus the null hypothesis-III states "there is no significant difference in the conducting research adjustment level of the lecturers concerning their conducting research adjustment". Here null hypothesis was rejected and the result shows that the conducting research adjustment is high of males than the females. </w:t>
      </w:r>
    </w:p>
    <w:p w:rsidR="00977537" w:rsidRPr="00B90699" w:rsidRDefault="005A3D04" w:rsidP="00B90699">
      <w:pPr>
        <w:pStyle w:val="Default"/>
        <w:snapToGrid w:val="0"/>
        <w:spacing w:after="0" w:line="240" w:lineRule="auto"/>
        <w:ind w:firstLine="425"/>
        <w:jc w:val="both"/>
        <w:rPr>
          <w:sz w:val="20"/>
          <w:szCs w:val="20"/>
        </w:rPr>
      </w:pPr>
      <w:r w:rsidRPr="00B90699">
        <w:rPr>
          <w:sz w:val="20"/>
          <w:szCs w:val="20"/>
        </w:rPr>
        <w:t>In the above result table No.4, we can see that t-test was used to know the level of Overload course Adjustment of the lecturers. Where males mean was 9.60 &amp; SD was 2.58 and females mean was 8.98 &amp; SD was 2.16 and difference between their “t” values was 1.42 it was not significant at 0.05 level. The result shows that there is no significant mean difference in the Overload course adjustment of the male and female lecturers. Thus the null hypothesis-IV which states “there is no significant difference in the Overload course adjustment level of lecturers concerning their Overload course adjustment” is accepted.</w:t>
      </w:r>
    </w:p>
    <w:p w:rsidR="00977537" w:rsidRPr="00B90699" w:rsidRDefault="00977537" w:rsidP="00B90699">
      <w:pPr>
        <w:pStyle w:val="Default"/>
        <w:snapToGrid w:val="0"/>
        <w:spacing w:after="0" w:line="240" w:lineRule="auto"/>
        <w:jc w:val="both"/>
        <w:rPr>
          <w:sz w:val="20"/>
          <w:szCs w:val="20"/>
        </w:rPr>
      </w:pPr>
    </w:p>
    <w:p w:rsidR="00977537" w:rsidRPr="00B90699" w:rsidRDefault="005A3D04" w:rsidP="00B90699">
      <w:pPr>
        <w:pStyle w:val="Default"/>
        <w:snapToGrid w:val="0"/>
        <w:spacing w:after="0" w:line="240" w:lineRule="auto"/>
        <w:jc w:val="both"/>
        <w:rPr>
          <w:b/>
          <w:bCs/>
          <w:sz w:val="20"/>
          <w:szCs w:val="20"/>
        </w:rPr>
      </w:pPr>
      <w:r w:rsidRPr="00B90699">
        <w:rPr>
          <w:b/>
          <w:bCs/>
          <w:sz w:val="20"/>
          <w:szCs w:val="20"/>
        </w:rPr>
        <w:t>Conclusion</w:t>
      </w:r>
    </w:p>
    <w:p w:rsidR="00977537" w:rsidRPr="00B90699" w:rsidRDefault="005A3D04" w:rsidP="00B90699">
      <w:pPr>
        <w:suppressAutoHyphens w:val="0"/>
        <w:snapToGrid w:val="0"/>
        <w:spacing w:after="0" w:line="240" w:lineRule="auto"/>
        <w:ind w:firstLine="425"/>
        <w:jc w:val="both"/>
        <w:rPr>
          <w:sz w:val="20"/>
          <w:szCs w:val="20"/>
        </w:rPr>
      </w:pPr>
      <w:r w:rsidRPr="00B90699">
        <w:rPr>
          <w:sz w:val="20"/>
          <w:szCs w:val="20"/>
        </w:rPr>
        <w:t xml:space="preserve">The observation in the present study showed that there is no significant mean difference in university adjustment of the university lecturers concerning their gender. There is no significant mean difference in teaching adjustment of the university lecturers concerning their gender. There is a significant mean difference in conducting research adjustment of the university lecturers concerning their gender. Male lecturers’ adjustment is more than females. There is no significant mean difference in overload course </w:t>
      </w:r>
      <w:r w:rsidRPr="00B90699">
        <w:rPr>
          <w:sz w:val="20"/>
          <w:szCs w:val="20"/>
        </w:rPr>
        <w:lastRenderedPageBreak/>
        <w:t xml:space="preserve">adjustment of the university lecturers concerning their gender. </w:t>
      </w:r>
    </w:p>
    <w:p w:rsidR="00977537" w:rsidRPr="00B90699" w:rsidRDefault="00977537" w:rsidP="00B90699">
      <w:pPr>
        <w:suppressAutoHyphens w:val="0"/>
        <w:snapToGrid w:val="0"/>
        <w:spacing w:after="0" w:line="240" w:lineRule="auto"/>
        <w:ind w:firstLine="425"/>
        <w:jc w:val="both"/>
        <w:rPr>
          <w:sz w:val="20"/>
          <w:szCs w:val="20"/>
        </w:rPr>
      </w:pPr>
    </w:p>
    <w:p w:rsidR="00977537" w:rsidRPr="00B90699" w:rsidRDefault="005A3D04" w:rsidP="00B90699">
      <w:pPr>
        <w:suppressAutoHyphens w:val="0"/>
        <w:snapToGrid w:val="0"/>
        <w:spacing w:after="0" w:line="240" w:lineRule="auto"/>
        <w:jc w:val="both"/>
        <w:rPr>
          <w:b/>
          <w:sz w:val="20"/>
          <w:szCs w:val="20"/>
        </w:rPr>
      </w:pPr>
      <w:r w:rsidRPr="00B90699">
        <w:rPr>
          <w:b/>
          <w:sz w:val="20"/>
          <w:szCs w:val="20"/>
        </w:rPr>
        <w:t>References</w:t>
      </w:r>
    </w:p>
    <w:p w:rsidR="00977537" w:rsidRPr="00B90699" w:rsidRDefault="005A3D04" w:rsidP="00B90699">
      <w:pPr>
        <w:pStyle w:val="ListParagraph"/>
        <w:numPr>
          <w:ilvl w:val="0"/>
          <w:numId w:val="3"/>
        </w:numPr>
        <w:suppressAutoHyphens w:val="0"/>
        <w:snapToGrid w:val="0"/>
        <w:spacing w:after="0" w:line="240" w:lineRule="auto"/>
        <w:ind w:left="426"/>
        <w:jc w:val="both"/>
        <w:rPr>
          <w:bCs/>
          <w:sz w:val="20"/>
          <w:szCs w:val="20"/>
        </w:rPr>
      </w:pPr>
      <w:r w:rsidRPr="00B90699">
        <w:rPr>
          <w:bCs/>
          <w:sz w:val="20"/>
          <w:szCs w:val="20"/>
        </w:rPr>
        <w:t>Bhat, S. A., &amp; Beri, A. (2016). Social adjustment and job performance of college teachers: An analytical study. Indian Journal of Positive Psychology, 7(2), 206.</w:t>
      </w:r>
    </w:p>
    <w:p w:rsidR="00977537" w:rsidRPr="00B90699" w:rsidRDefault="005A3D04" w:rsidP="00B90699">
      <w:pPr>
        <w:pStyle w:val="ListParagraph"/>
        <w:numPr>
          <w:ilvl w:val="0"/>
          <w:numId w:val="3"/>
        </w:numPr>
        <w:suppressAutoHyphens w:val="0"/>
        <w:snapToGrid w:val="0"/>
        <w:spacing w:after="0" w:line="240" w:lineRule="auto"/>
        <w:ind w:left="426"/>
        <w:jc w:val="both"/>
        <w:rPr>
          <w:bCs/>
          <w:sz w:val="20"/>
          <w:szCs w:val="20"/>
        </w:rPr>
      </w:pPr>
      <w:r w:rsidRPr="00B90699">
        <w:rPr>
          <w:bCs/>
          <w:sz w:val="20"/>
          <w:szCs w:val="20"/>
        </w:rPr>
        <w:t>Duchesne, S., Ratelle, C. F., Larose, S., &amp; Guay, F. (2007). Adjustment trajectories in college science programs: Perceptions of qualities of parents' and college teachers' relationships. Journal of Counseling Psychology, 54(1), 62.</w:t>
      </w:r>
    </w:p>
    <w:p w:rsidR="00977537" w:rsidRPr="00B90699" w:rsidRDefault="005A3D04" w:rsidP="00B90699">
      <w:pPr>
        <w:pStyle w:val="ListParagraph"/>
        <w:numPr>
          <w:ilvl w:val="0"/>
          <w:numId w:val="3"/>
        </w:numPr>
        <w:suppressAutoHyphens w:val="0"/>
        <w:snapToGrid w:val="0"/>
        <w:spacing w:after="0" w:line="240" w:lineRule="auto"/>
        <w:ind w:left="426"/>
        <w:jc w:val="both"/>
        <w:rPr>
          <w:bCs/>
          <w:sz w:val="20"/>
          <w:szCs w:val="20"/>
        </w:rPr>
      </w:pPr>
      <w:r w:rsidRPr="00B90699">
        <w:rPr>
          <w:bCs/>
          <w:sz w:val="20"/>
          <w:szCs w:val="20"/>
        </w:rPr>
        <w:t>Tariq, S., &amp; Adil, A. (2020). Rigidity as the mediator between temperaments and social adjustment: A comparative study of teachers of madaris and schools of Pakistan. Archive for the Psychology of Religion, 42(2), 194-210.</w:t>
      </w:r>
    </w:p>
    <w:p w:rsidR="00977537" w:rsidRPr="00B90699" w:rsidRDefault="005A3D04" w:rsidP="00B90699">
      <w:pPr>
        <w:pStyle w:val="ListParagraph"/>
        <w:numPr>
          <w:ilvl w:val="0"/>
          <w:numId w:val="3"/>
        </w:numPr>
        <w:suppressAutoHyphens w:val="0"/>
        <w:snapToGrid w:val="0"/>
        <w:spacing w:after="0" w:line="240" w:lineRule="auto"/>
        <w:ind w:left="426"/>
        <w:jc w:val="both"/>
        <w:rPr>
          <w:bCs/>
          <w:sz w:val="20"/>
          <w:szCs w:val="20"/>
        </w:rPr>
      </w:pPr>
      <w:r w:rsidRPr="00B90699">
        <w:rPr>
          <w:bCs/>
          <w:sz w:val="20"/>
          <w:szCs w:val="20"/>
        </w:rPr>
        <w:t>Gray, R., Vitak, J., Easton, E. W., &amp; Ellison, N. B. (2013). Examining social adjustment to college in the age of social media: Factors influencing successful transitions and persistence. Computers &amp; Education, 67, 193-207.</w:t>
      </w:r>
    </w:p>
    <w:p w:rsidR="00977537" w:rsidRPr="00B90699" w:rsidRDefault="005A3D04" w:rsidP="00B90699">
      <w:pPr>
        <w:pStyle w:val="ListParagraph"/>
        <w:numPr>
          <w:ilvl w:val="0"/>
          <w:numId w:val="3"/>
        </w:numPr>
        <w:suppressAutoHyphens w:val="0"/>
        <w:snapToGrid w:val="0"/>
        <w:spacing w:after="0" w:line="240" w:lineRule="auto"/>
        <w:ind w:left="426"/>
        <w:jc w:val="both"/>
        <w:rPr>
          <w:bCs/>
          <w:sz w:val="20"/>
          <w:szCs w:val="20"/>
        </w:rPr>
      </w:pPr>
      <w:r w:rsidRPr="00B90699">
        <w:rPr>
          <w:bCs/>
          <w:sz w:val="20"/>
          <w:szCs w:val="20"/>
        </w:rPr>
        <w:t>Dan, L. Y. W. Z. (2010). The Social Adjustment and Teachers' Self-adjustment to Their Role Expectations of Education-related Communities [J]. Teacher Education Research, 2.</w:t>
      </w:r>
    </w:p>
    <w:p w:rsidR="00977537" w:rsidRPr="00B90699" w:rsidRDefault="005A3D04" w:rsidP="00B90699">
      <w:pPr>
        <w:pStyle w:val="ListParagraph"/>
        <w:numPr>
          <w:ilvl w:val="0"/>
          <w:numId w:val="3"/>
        </w:numPr>
        <w:suppressAutoHyphens w:val="0"/>
        <w:snapToGrid w:val="0"/>
        <w:spacing w:after="0" w:line="240" w:lineRule="auto"/>
        <w:ind w:left="426"/>
        <w:jc w:val="both"/>
        <w:rPr>
          <w:bCs/>
          <w:sz w:val="20"/>
          <w:szCs w:val="20"/>
        </w:rPr>
      </w:pPr>
      <w:r w:rsidRPr="00B90699">
        <w:rPr>
          <w:bCs/>
          <w:sz w:val="20"/>
          <w:szCs w:val="20"/>
        </w:rPr>
        <w:t>Mistra, S. G. (2015). Study of Relationship between Emotional Intelligence and Social Adjustment. Third 21st CAF.</w:t>
      </w:r>
    </w:p>
    <w:p w:rsidR="00977537" w:rsidRPr="00B90699" w:rsidRDefault="005A3D04" w:rsidP="00B90699">
      <w:pPr>
        <w:pStyle w:val="ListParagraph"/>
        <w:numPr>
          <w:ilvl w:val="0"/>
          <w:numId w:val="3"/>
        </w:numPr>
        <w:suppressAutoHyphens w:val="0"/>
        <w:snapToGrid w:val="0"/>
        <w:spacing w:after="0" w:line="240" w:lineRule="auto"/>
        <w:ind w:left="426"/>
        <w:jc w:val="both"/>
        <w:rPr>
          <w:bCs/>
          <w:sz w:val="20"/>
          <w:szCs w:val="20"/>
        </w:rPr>
      </w:pPr>
      <w:r w:rsidRPr="00B90699">
        <w:rPr>
          <w:bCs/>
          <w:sz w:val="20"/>
          <w:szCs w:val="20"/>
        </w:rPr>
        <w:t>Bhat, S. (2014). Influence of organizational climate and social adjustment on job performance of teaching and non-teaching professionals. Education and Development, 3(1), 420-424.</w:t>
      </w:r>
    </w:p>
    <w:p w:rsidR="00977537" w:rsidRPr="00B90699" w:rsidRDefault="005A3D04" w:rsidP="00B90699">
      <w:pPr>
        <w:pStyle w:val="ListParagraph"/>
        <w:numPr>
          <w:ilvl w:val="0"/>
          <w:numId w:val="3"/>
        </w:numPr>
        <w:suppressAutoHyphens w:val="0"/>
        <w:snapToGrid w:val="0"/>
        <w:spacing w:after="0" w:line="240" w:lineRule="auto"/>
        <w:ind w:left="426"/>
        <w:jc w:val="both"/>
        <w:rPr>
          <w:bCs/>
          <w:sz w:val="20"/>
          <w:szCs w:val="20"/>
        </w:rPr>
      </w:pPr>
      <w:r w:rsidRPr="00B90699">
        <w:rPr>
          <w:bCs/>
          <w:sz w:val="20"/>
          <w:szCs w:val="20"/>
        </w:rPr>
        <w:t>Çevik‐Durmaz, Y., Yalçinkaya‐Önder, E., &amp; Timur, S. (2020). Preservice teachers' nomophobia levels, sense of loneliness, and adjustment to college life. Perspectives in Psychiatric Care.</w:t>
      </w:r>
    </w:p>
    <w:p w:rsidR="00977537" w:rsidRPr="00B90699" w:rsidRDefault="005A3D04" w:rsidP="00B90699">
      <w:pPr>
        <w:pStyle w:val="ListParagraph"/>
        <w:numPr>
          <w:ilvl w:val="0"/>
          <w:numId w:val="3"/>
        </w:numPr>
        <w:suppressAutoHyphens w:val="0"/>
        <w:snapToGrid w:val="0"/>
        <w:spacing w:after="0" w:line="240" w:lineRule="auto"/>
        <w:ind w:left="426"/>
        <w:jc w:val="both"/>
        <w:rPr>
          <w:bCs/>
          <w:sz w:val="20"/>
          <w:szCs w:val="20"/>
        </w:rPr>
      </w:pPr>
      <w:r w:rsidRPr="00B90699">
        <w:rPr>
          <w:bCs/>
          <w:sz w:val="20"/>
          <w:szCs w:val="20"/>
        </w:rPr>
        <w:t>Nadeem, N. A., &amp; Bhat, G. A. (2014). A Study of Adjustment Level among Secondary School Teachers in Kashmir. Journal of Education and Practice, 5(10), 144-148.</w:t>
      </w:r>
    </w:p>
    <w:p w:rsidR="00B90699" w:rsidRDefault="00B90699" w:rsidP="00B90699">
      <w:pPr>
        <w:spacing w:after="0" w:line="240" w:lineRule="auto"/>
        <w:jc w:val="both"/>
        <w:rPr>
          <w:sz w:val="20"/>
          <w:szCs w:val="20"/>
          <w:lang w:eastAsia="zh-CN"/>
        </w:rPr>
        <w:sectPr w:rsidR="00B90699" w:rsidSect="00977537">
          <w:headerReference w:type="default" r:id="rId19"/>
          <w:footerReference w:type="even" r:id="rId20"/>
          <w:footerReference w:type="default" r:id="rId21"/>
          <w:footnotePr>
            <w:pos w:val="beneathText"/>
          </w:footnotePr>
          <w:type w:val="continuous"/>
          <w:pgSz w:w="12240" w:h="15840"/>
          <w:pgMar w:top="1440" w:right="1440" w:bottom="1440" w:left="1440" w:header="720" w:footer="720" w:gutter="0"/>
          <w:cols w:num="2" w:space="600"/>
          <w:docGrid w:linePitch="360"/>
        </w:sectPr>
      </w:pPr>
    </w:p>
    <w:p w:rsidR="00977537" w:rsidRDefault="00977537" w:rsidP="00B90699">
      <w:pPr>
        <w:spacing w:after="0" w:line="240" w:lineRule="auto"/>
        <w:jc w:val="both"/>
        <w:rPr>
          <w:sz w:val="20"/>
          <w:szCs w:val="20"/>
          <w:lang w:eastAsia="zh-CN"/>
        </w:rPr>
      </w:pPr>
    </w:p>
    <w:p w:rsidR="00B90699" w:rsidRDefault="00B90699" w:rsidP="00B90699">
      <w:pPr>
        <w:spacing w:after="0" w:line="240" w:lineRule="auto"/>
        <w:jc w:val="both"/>
        <w:rPr>
          <w:sz w:val="20"/>
          <w:szCs w:val="20"/>
          <w:lang w:eastAsia="zh-CN"/>
        </w:rPr>
      </w:pPr>
    </w:p>
    <w:p w:rsidR="00B90699" w:rsidRPr="00B90699" w:rsidRDefault="00B90699" w:rsidP="00B90699">
      <w:pPr>
        <w:spacing w:after="0" w:line="240" w:lineRule="auto"/>
        <w:jc w:val="both"/>
        <w:rPr>
          <w:sz w:val="20"/>
          <w:szCs w:val="20"/>
          <w:lang w:eastAsia="zh-CN"/>
        </w:rPr>
      </w:pPr>
      <w:r>
        <w:rPr>
          <w:rFonts w:hint="eastAsia"/>
          <w:sz w:val="20"/>
          <w:szCs w:val="20"/>
          <w:lang w:eastAsia="zh-CN"/>
        </w:rPr>
        <w:t>7/21/2021</w:t>
      </w:r>
    </w:p>
    <w:sectPr w:rsidR="00B90699" w:rsidRPr="00B90699" w:rsidSect="00B90699">
      <w:footnotePr>
        <w:pos w:val="beneathText"/>
      </w:footnotePr>
      <w:type w:val="continuous"/>
      <w:pgSz w:w="12240" w:h="15840"/>
      <w:pgMar w:top="1440" w:right="1440" w:bottom="1440" w:left="1440" w:header="720" w:footer="720" w:gutter="0"/>
      <w:cols w:space="6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5B3" w:rsidRDefault="006F05B3" w:rsidP="00977537">
      <w:pPr>
        <w:spacing w:after="0" w:line="240" w:lineRule="auto"/>
      </w:pPr>
      <w:r>
        <w:separator/>
      </w:r>
    </w:p>
  </w:endnote>
  <w:endnote w:type="continuationSeparator" w:id="0">
    <w:p w:rsidR="006F05B3" w:rsidRDefault="006F05B3" w:rsidP="00977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36227C">
    <w:pPr>
      <w:pStyle w:val="Footer"/>
      <w:framePr w:wrap="around" w:vAnchor="text" w:hAnchor="margin" w:xAlign="center" w:y="1"/>
      <w:rPr>
        <w:rStyle w:val="PageNumber"/>
      </w:rPr>
    </w:pPr>
    <w:r>
      <w:rPr>
        <w:rStyle w:val="PageNumber"/>
      </w:rPr>
      <w:fldChar w:fldCharType="begin"/>
    </w:r>
    <w:r w:rsidR="005A3D04">
      <w:rPr>
        <w:rStyle w:val="PageNumber"/>
      </w:rPr>
      <w:instrText xml:space="preserve">PAGE  </w:instrText>
    </w:r>
    <w:r>
      <w:rPr>
        <w:rStyle w:val="PageNumber"/>
      </w:rPr>
      <w:fldChar w:fldCharType="end"/>
    </w:r>
  </w:p>
  <w:p w:rsidR="00977537" w:rsidRDefault="009775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36227C">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977537" w:rsidRDefault="0036227C">
                <w:pPr>
                  <w:pStyle w:val="Footer"/>
                  <w:rPr>
                    <w:rStyle w:val="PageNumber"/>
                    <w:sz w:val="20"/>
                    <w:szCs w:val="20"/>
                  </w:rPr>
                </w:pPr>
                <w:r>
                  <w:rPr>
                    <w:rStyle w:val="PageNumber"/>
                    <w:sz w:val="20"/>
                    <w:szCs w:val="20"/>
                  </w:rPr>
                  <w:fldChar w:fldCharType="begin"/>
                </w:r>
                <w:r w:rsidR="005A3D04">
                  <w:rPr>
                    <w:rStyle w:val="PageNumber"/>
                    <w:sz w:val="20"/>
                    <w:szCs w:val="20"/>
                  </w:rPr>
                  <w:instrText xml:space="preserve">PAGE  </w:instrText>
                </w:r>
                <w:r>
                  <w:rPr>
                    <w:rStyle w:val="PageNumber"/>
                    <w:sz w:val="20"/>
                    <w:szCs w:val="20"/>
                  </w:rPr>
                  <w:fldChar w:fldCharType="separate"/>
                </w:r>
                <w:r w:rsidR="005A3D04">
                  <w:rPr>
                    <w:rStyle w:val="PageNumber"/>
                    <w:sz w:val="20"/>
                    <w:szCs w:val="20"/>
                  </w:rPr>
                  <w:t>1</w:t>
                </w:r>
                <w:r>
                  <w:rPr>
                    <w:rStyle w:val="PageNumber"/>
                    <w:sz w:val="20"/>
                    <w:szCs w:val="20"/>
                  </w:rPr>
                  <w:fldChar w:fldCharType="end"/>
                </w:r>
              </w:p>
            </w:txbxContent>
          </v:textbox>
          <w10:wrap anchorx="margin"/>
        </v:shape>
      </w:pict>
    </w:r>
    <w:hyperlink r:id="rId1" w:history="1">
      <w:r w:rsidR="005A3D04">
        <w:rPr>
          <w:rStyle w:val="Hyperlink"/>
          <w:sz w:val="20"/>
          <w:szCs w:val="20"/>
        </w:rPr>
        <w:t>http://www.sciencepub.net/researcher</w:t>
      </w:r>
    </w:hyperlink>
    <w:r w:rsidR="005A3D04">
      <w:rPr>
        <w:bCs/>
        <w:sz w:val="20"/>
      </w:rPr>
      <w:t xml:space="preserve">                          </w:t>
    </w:r>
    <w:r w:rsidR="005A3D04">
      <w:rPr>
        <w:rFonts w:hint="eastAsia"/>
        <w:bCs/>
        <w:sz w:val="20"/>
        <w:lang w:eastAsia="zh-CN"/>
      </w:rPr>
      <w:t xml:space="preserve">                  </w:t>
    </w:r>
    <w:r w:rsidR="005A3D04">
      <w:rPr>
        <w:bCs/>
        <w:sz w:val="20"/>
      </w:rPr>
      <w:t xml:space="preserve">              </w:t>
    </w:r>
    <w:hyperlink r:id="rId2" w:history="1">
      <w:r w:rsidR="005A3D04">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36227C">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977537" w:rsidRDefault="0036227C">
                <w:pPr>
                  <w:pStyle w:val="Footer"/>
                  <w:rPr>
                    <w:lang w:eastAsia="zh-CN"/>
                  </w:rPr>
                </w:pPr>
                <w:r>
                  <w:rPr>
                    <w:rFonts w:hint="eastAsia"/>
                    <w:sz w:val="20"/>
                    <w:szCs w:val="20"/>
                    <w:lang w:eastAsia="zh-CN"/>
                  </w:rPr>
                  <w:fldChar w:fldCharType="begin"/>
                </w:r>
                <w:r w:rsidR="005A3D04">
                  <w:rPr>
                    <w:rFonts w:hint="eastAsia"/>
                    <w:sz w:val="20"/>
                    <w:szCs w:val="20"/>
                    <w:lang w:eastAsia="zh-CN"/>
                  </w:rPr>
                  <w:instrText xml:space="preserve"> PAGE  \* MERGEFORMAT </w:instrText>
                </w:r>
                <w:r>
                  <w:rPr>
                    <w:rFonts w:hint="eastAsia"/>
                    <w:sz w:val="20"/>
                    <w:szCs w:val="20"/>
                    <w:lang w:eastAsia="zh-CN"/>
                  </w:rPr>
                  <w:fldChar w:fldCharType="separate"/>
                </w:r>
                <w:r w:rsidR="0078014A">
                  <w:rPr>
                    <w:noProof/>
                    <w:sz w:val="20"/>
                    <w:szCs w:val="20"/>
                    <w:lang w:eastAsia="zh-CN"/>
                  </w:rPr>
                  <w:t>12</w:t>
                </w:r>
                <w:r>
                  <w:rPr>
                    <w:rFonts w:hint="eastAsia"/>
                    <w:sz w:val="20"/>
                    <w:szCs w:val="20"/>
                    <w:lang w:eastAsia="zh-CN"/>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36227C">
    <w:pPr>
      <w:pStyle w:val="Footer"/>
      <w:framePr w:wrap="around" w:vAnchor="text" w:hAnchor="margin" w:xAlign="center" w:y="1"/>
      <w:rPr>
        <w:rStyle w:val="PageNumber"/>
      </w:rPr>
    </w:pPr>
    <w:r>
      <w:rPr>
        <w:rStyle w:val="PageNumber"/>
      </w:rPr>
      <w:fldChar w:fldCharType="begin"/>
    </w:r>
    <w:r w:rsidR="005A3D04">
      <w:rPr>
        <w:rStyle w:val="PageNumber"/>
      </w:rPr>
      <w:instrText xml:space="preserve">PAGE  </w:instrText>
    </w:r>
    <w:r>
      <w:rPr>
        <w:rStyle w:val="PageNumber"/>
      </w:rPr>
      <w:fldChar w:fldCharType="end"/>
    </w:r>
  </w:p>
  <w:p w:rsidR="00977537" w:rsidRDefault="0097753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36227C">
    <w:pPr>
      <w:jc w:val="center"/>
      <w:rPr>
        <w:sz w:val="20"/>
      </w:rPr>
    </w:pPr>
    <w:r>
      <w:rPr>
        <w:sz w:val="20"/>
      </w:rPr>
      <w:pict>
        <v:shapetype id="_x0000_t202" coordsize="21600,21600" o:spt="202" path="m,l,21600r21600,l21600,xe">
          <v:stroke joinstyle="miter"/>
          <v:path gradientshapeok="t" o:connecttype="rect"/>
        </v:shapetype>
        <v:shape id="_x0000_s2051" type="#_x0000_t202" style="position:absolute;left:0;text-align:left;margin-left:229pt;margin-top:-6.75pt;width:2in;height:2in;z-index:251660288;mso-wrap-style:none;mso-position-horizontal-relative:margin" filled="f" stroked="f">
          <v:textbox style="mso-fit-shape-to-text:t" inset="0,0,0,0">
            <w:txbxContent>
              <w:p w:rsidR="00977537" w:rsidRDefault="0036227C">
                <w:pPr>
                  <w:pStyle w:val="Footer"/>
                  <w:rPr>
                    <w:lang w:eastAsia="zh-CN"/>
                  </w:rPr>
                </w:pPr>
                <w:r>
                  <w:rPr>
                    <w:rFonts w:hint="eastAsia"/>
                    <w:sz w:val="20"/>
                    <w:szCs w:val="20"/>
                    <w:lang w:eastAsia="zh-CN"/>
                  </w:rPr>
                  <w:fldChar w:fldCharType="begin"/>
                </w:r>
                <w:r w:rsidR="005A3D04">
                  <w:rPr>
                    <w:rFonts w:hint="eastAsia"/>
                    <w:sz w:val="20"/>
                    <w:szCs w:val="20"/>
                    <w:lang w:eastAsia="zh-CN"/>
                  </w:rPr>
                  <w:instrText xml:space="preserve"> PAGE  \* MERGEFORMAT </w:instrText>
                </w:r>
                <w:r>
                  <w:rPr>
                    <w:rFonts w:hint="eastAsia"/>
                    <w:sz w:val="20"/>
                    <w:szCs w:val="20"/>
                    <w:lang w:eastAsia="zh-CN"/>
                  </w:rPr>
                  <w:fldChar w:fldCharType="separate"/>
                </w:r>
                <w:r w:rsidR="0078014A">
                  <w:rPr>
                    <w:noProof/>
                    <w:sz w:val="20"/>
                    <w:szCs w:val="20"/>
                    <w:lang w:eastAsia="zh-CN"/>
                  </w:rPr>
                  <w:t>13</w:t>
                </w:r>
                <w:r>
                  <w:rPr>
                    <w:rFonts w:hint="eastAsia"/>
                    <w:sz w:val="20"/>
                    <w:szCs w:val="20"/>
                    <w:lang w:eastAsia="zh-CN"/>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36227C">
    <w:pPr>
      <w:pStyle w:val="Footer"/>
      <w:framePr w:wrap="around" w:vAnchor="text" w:hAnchor="margin" w:xAlign="center" w:y="1"/>
      <w:rPr>
        <w:rStyle w:val="PageNumber"/>
      </w:rPr>
    </w:pPr>
    <w:r>
      <w:rPr>
        <w:rStyle w:val="PageNumber"/>
      </w:rPr>
      <w:fldChar w:fldCharType="begin"/>
    </w:r>
    <w:r w:rsidR="005A3D04">
      <w:rPr>
        <w:rStyle w:val="PageNumber"/>
      </w:rPr>
      <w:instrText xml:space="preserve">PAGE  </w:instrText>
    </w:r>
    <w:r>
      <w:rPr>
        <w:rStyle w:val="PageNumber"/>
      </w:rPr>
      <w:fldChar w:fldCharType="end"/>
    </w:r>
  </w:p>
  <w:p w:rsidR="00977537" w:rsidRDefault="0097753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36227C">
    <w:pPr>
      <w:pStyle w:val="Footer"/>
      <w:rPr>
        <w:rStyle w:val="PageNumber"/>
        <w:sz w:val="20"/>
        <w:szCs w:val="20"/>
      </w:rPr>
    </w:pPr>
    <w:r w:rsidRPr="0036227C">
      <w:rPr>
        <w:sz w:val="20"/>
      </w:rPr>
      <w:pict>
        <v:shapetype id="_x0000_t202" coordsize="21600,21600" o:spt="202" path="m,l,21600r21600,l21600,xe">
          <v:stroke joinstyle="miter"/>
          <v:path gradientshapeok="t" o:connecttype="rect"/>
        </v:shapetype>
        <v:shape id="_x0000_s2052" type="#_x0000_t202" style="position:absolute;margin-left:226.75pt;margin-top:8.25pt;width:2in;height:2in;z-index:251661312;mso-wrap-style:none;mso-position-horizontal-relative:margin" filled="f" stroked="f">
          <v:textbox style="mso-fit-shape-to-text:t" inset="0,0,0,0">
            <w:txbxContent>
              <w:p w:rsidR="00977537" w:rsidRDefault="0036227C">
                <w:pPr>
                  <w:pStyle w:val="Footer"/>
                  <w:rPr>
                    <w:lang w:eastAsia="zh-CN"/>
                  </w:rPr>
                </w:pPr>
                <w:r>
                  <w:rPr>
                    <w:rFonts w:hint="eastAsia"/>
                    <w:sz w:val="20"/>
                    <w:szCs w:val="20"/>
                    <w:lang w:eastAsia="zh-CN"/>
                  </w:rPr>
                  <w:fldChar w:fldCharType="begin"/>
                </w:r>
                <w:r w:rsidR="005A3D04">
                  <w:rPr>
                    <w:rFonts w:hint="eastAsia"/>
                    <w:sz w:val="20"/>
                    <w:szCs w:val="20"/>
                    <w:lang w:eastAsia="zh-CN"/>
                  </w:rPr>
                  <w:instrText xml:space="preserve"> PAGE  \* MERGEFORMAT </w:instrText>
                </w:r>
                <w:r>
                  <w:rPr>
                    <w:rFonts w:hint="eastAsia"/>
                    <w:sz w:val="20"/>
                    <w:szCs w:val="20"/>
                    <w:lang w:eastAsia="zh-CN"/>
                  </w:rPr>
                  <w:fldChar w:fldCharType="separate"/>
                </w:r>
                <w:r w:rsidR="0078014A">
                  <w:rPr>
                    <w:noProof/>
                    <w:sz w:val="20"/>
                    <w:szCs w:val="20"/>
                    <w:lang w:eastAsia="zh-CN"/>
                  </w:rPr>
                  <w:t>14</w:t>
                </w:r>
                <w:r>
                  <w:rPr>
                    <w:rFonts w:hint="eastAsia"/>
                    <w:sz w:val="20"/>
                    <w:szCs w:val="20"/>
                    <w:lang w:eastAsia="zh-CN"/>
                  </w:rPr>
                  <w:fldChar w:fldCharType="end"/>
                </w:r>
              </w:p>
            </w:txbxContent>
          </v:textbox>
          <w10:wrap anchorx="margin"/>
        </v:shape>
      </w:pict>
    </w:r>
  </w:p>
  <w:p w:rsidR="00977537" w:rsidRDefault="005A3D04">
    <w:pPr>
      <w:jc w:val="center"/>
    </w:pPr>
    <w:r>
      <w:rPr>
        <w:bCs/>
        <w:sz w:val="20"/>
      </w:rPr>
      <w:t xml:space="preserve">                      </w:t>
    </w:r>
    <w:r>
      <w:rPr>
        <w:rFonts w:hint="eastAsia"/>
        <w:bCs/>
        <w:sz w:val="20"/>
        <w:lang w:eastAsia="zh-CN"/>
      </w:rPr>
      <w:t xml:space="preserve">                  </w:t>
    </w:r>
    <w:r>
      <w:rPr>
        <w:bCs/>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5B3" w:rsidRDefault="006F05B3" w:rsidP="00977537">
      <w:pPr>
        <w:spacing w:after="0" w:line="240" w:lineRule="auto"/>
      </w:pPr>
      <w:r>
        <w:separator/>
      </w:r>
    </w:p>
  </w:footnote>
  <w:footnote w:type="continuationSeparator" w:id="0">
    <w:p w:rsidR="006F05B3" w:rsidRDefault="006F05B3" w:rsidP="009775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5A3D04">
    <w:pPr>
      <w:pBdr>
        <w:bottom w:val="none" w:sz="0" w:space="1" w:color="auto"/>
      </w:pBdr>
      <w:jc w:val="center"/>
      <w:rPr>
        <w:iCs/>
        <w:sz w:val="20"/>
        <w:szCs w:val="20"/>
      </w:rPr>
    </w:pPr>
    <w:bookmarkStart w:id="1" w:name="OLE_LINK13"/>
    <w:bookmarkStart w:id="2" w:name="_Hlk309781944"/>
    <w:bookmarkStart w:id="3" w:name="_Hlk309780930"/>
    <w:bookmarkStart w:id="4" w:name="OLE_LINK21"/>
    <w:bookmarkStart w:id="5" w:name="_Hlk313484667"/>
    <w:bookmarkStart w:id="6" w:name="OLE_LINK4"/>
    <w:bookmarkStart w:id="7" w:name="OLE_LINK11"/>
    <w:bookmarkStart w:id="8" w:name="OLE_LINK22"/>
    <w:bookmarkStart w:id="9" w:name="OLE_LINK24"/>
    <w:bookmarkStart w:id="10" w:name="OLE_LINK25"/>
    <w:bookmarkStart w:id="11" w:name="OLE_LINK26"/>
    <w:bookmarkStart w:id="12" w:name="_Hlk309781955"/>
    <w:bookmarkStart w:id="13" w:name="OLE_LINK23"/>
    <w:bookmarkStart w:id="14" w:name="OLE_LINK12"/>
    <w:bookmarkStart w:id="15" w:name="OLE_LINK3"/>
    <w:bookmarkStart w:id="16" w:name="_Hlk309780917"/>
    <w:bookmarkStart w:id="17" w:name="OLE_LINK5"/>
    <w:bookmarkStart w:id="18" w:name="OLE_LINK6"/>
    <w:bookmarkStart w:id="19" w:name="OLE_LINK14"/>
    <w:bookmarkStart w:id="20" w:name="_Hlk309781959"/>
    <w:bookmarkStart w:id="21" w:name="_Hlk313484668"/>
    <w:r>
      <w:rPr>
        <w:iCs/>
        <w:color w:val="000000"/>
        <w:sz w:val="20"/>
        <w:szCs w:val="20"/>
      </w:rPr>
      <w:t xml:space="preserve">Researcher </w:t>
    </w:r>
    <w:r>
      <w:rPr>
        <w:iCs/>
        <w:sz w:val="20"/>
        <w:szCs w:val="20"/>
      </w:rPr>
      <w:t>20</w:t>
    </w:r>
    <w:r>
      <w:rPr>
        <w:rFonts w:hint="eastAsia"/>
        <w:iCs/>
        <w:sz w:val="20"/>
        <w:szCs w:val="20"/>
        <w:lang w:eastAsia="zh-CN"/>
      </w:rPr>
      <w:t>21</w:t>
    </w:r>
    <w:r>
      <w:rPr>
        <w:iCs/>
        <w:sz w:val="20"/>
        <w:szCs w:val="20"/>
      </w:rPr>
      <w:t>;</w:t>
    </w:r>
    <w:r>
      <w:rPr>
        <w:rFonts w:hint="eastAsia"/>
        <w:iCs/>
        <w:sz w:val="20"/>
        <w:szCs w:val="20"/>
        <w:lang w:eastAsia="zh-CN"/>
      </w:rPr>
      <w:t>13</w:t>
    </w:r>
    <w:r>
      <w:rPr>
        <w:iCs/>
        <w:sz w:val="20"/>
        <w:szCs w:val="20"/>
      </w:rPr>
      <w:t xml:space="preserve">(x)                                     </w:t>
    </w:r>
    <w:r>
      <w:rPr>
        <w:sz w:val="20"/>
        <w:szCs w:val="20"/>
      </w:rPr>
      <w:t xml:space="preserve"> </w:t>
    </w:r>
    <w:hyperlink r:id="rId1" w:history="1">
      <w:r>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977537" w:rsidRDefault="00977537">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5A3D04">
    <w:pPr>
      <w:pStyle w:val="Header"/>
    </w:pPr>
    <w:r>
      <w:rPr>
        <w:noProof/>
        <w:szCs w:val="20"/>
        <w:lang w:eastAsia="zh-CN"/>
      </w:rPr>
      <w:drawing>
        <wp:inline distT="0" distB="0" distL="0" distR="0">
          <wp:extent cx="5953125" cy="772795"/>
          <wp:effectExtent l="0" t="0" r="9525" b="825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953125" cy="77279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5A3D04">
    <w:pPr>
      <w:pBdr>
        <w:bottom w:val="thinThickMediumGap" w:sz="12" w:space="1" w:color="auto"/>
      </w:pBdr>
      <w:autoSpaceDE w:val="0"/>
      <w:autoSpaceDN w:val="0"/>
      <w:ind w:firstLineChars="700" w:firstLine="1400"/>
    </w:pPr>
    <w:r>
      <w:rPr>
        <w:iCs/>
        <w:color w:val="000000"/>
        <w:sz w:val="20"/>
        <w:szCs w:val="20"/>
      </w:rPr>
      <w:t>Researcher</w:t>
    </w:r>
    <w:r>
      <w:rPr>
        <w:iCs/>
        <w:sz w:val="20"/>
        <w:szCs w:val="20"/>
      </w:rPr>
      <w:t>2021;13(</w:t>
    </w:r>
    <w:r>
      <w:rPr>
        <w:rFonts w:hint="eastAsia"/>
        <w:iCs/>
        <w:sz w:val="20"/>
        <w:szCs w:val="20"/>
      </w:rPr>
      <w:t>7</w:t>
    </w:r>
    <w:r>
      <w:rPr>
        <w:iCs/>
        <w:sz w:val="20"/>
        <w:szCs w:val="20"/>
      </w:rPr>
      <w:t xml:space="preserve">) </w:t>
    </w:r>
    <w:r>
      <w:rPr>
        <w:rFonts w:hint="eastAsia"/>
        <w:iCs/>
        <w:sz w:val="20"/>
        <w:szCs w:val="20"/>
      </w:rPr>
      <w:t xml:space="preserve">           </w:t>
    </w:r>
    <w:r>
      <w:rPr>
        <w:rFonts w:hint="eastAsia"/>
        <w:iCs/>
        <w:sz w:val="20"/>
        <w:szCs w:val="20"/>
        <w:lang w:eastAsia="zh-CN"/>
      </w:rPr>
      <w:t xml:space="preserve">                      </w:t>
    </w:r>
    <w:r>
      <w:rPr>
        <w:rFonts w:hint="eastAsia"/>
        <w:iCs/>
        <w:sz w:val="20"/>
        <w:szCs w:val="20"/>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37" w:rsidRDefault="009775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4B80693"/>
    <w:multiLevelType w:val="multilevel"/>
    <w:tmpl w:val="14B80693"/>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
    <w:nsid w:val="2DC35CEB"/>
    <w:multiLevelType w:val="multilevel"/>
    <w:tmpl w:val="2DC35C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731C5"/>
    <w:rsid w:val="00080CE9"/>
    <w:rsid w:val="000827B7"/>
    <w:rsid w:val="000844D7"/>
    <w:rsid w:val="00086790"/>
    <w:rsid w:val="00090A06"/>
    <w:rsid w:val="000A0250"/>
    <w:rsid w:val="000B46C6"/>
    <w:rsid w:val="000E2715"/>
    <w:rsid w:val="00101735"/>
    <w:rsid w:val="0016388F"/>
    <w:rsid w:val="001817C7"/>
    <w:rsid w:val="00183764"/>
    <w:rsid w:val="001964D0"/>
    <w:rsid w:val="001B41B8"/>
    <w:rsid w:val="001B650D"/>
    <w:rsid w:val="001C3D42"/>
    <w:rsid w:val="00205E97"/>
    <w:rsid w:val="00245C21"/>
    <w:rsid w:val="002721F1"/>
    <w:rsid w:val="002779B5"/>
    <w:rsid w:val="00282FA1"/>
    <w:rsid w:val="002B5613"/>
    <w:rsid w:val="002D3558"/>
    <w:rsid w:val="002D589A"/>
    <w:rsid w:val="002F20CD"/>
    <w:rsid w:val="002F49EF"/>
    <w:rsid w:val="00314F95"/>
    <w:rsid w:val="003169A5"/>
    <w:rsid w:val="00322FAB"/>
    <w:rsid w:val="00345581"/>
    <w:rsid w:val="0034702D"/>
    <w:rsid w:val="0036227C"/>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F4AFB"/>
    <w:rsid w:val="00520D1A"/>
    <w:rsid w:val="0052512B"/>
    <w:rsid w:val="00547232"/>
    <w:rsid w:val="00553F9B"/>
    <w:rsid w:val="00593132"/>
    <w:rsid w:val="005A21B0"/>
    <w:rsid w:val="005A3D04"/>
    <w:rsid w:val="005A5E42"/>
    <w:rsid w:val="005C2F35"/>
    <w:rsid w:val="005C3D58"/>
    <w:rsid w:val="005D1DA6"/>
    <w:rsid w:val="005F11C2"/>
    <w:rsid w:val="005F5E04"/>
    <w:rsid w:val="0065209A"/>
    <w:rsid w:val="00657995"/>
    <w:rsid w:val="006871D9"/>
    <w:rsid w:val="006B5399"/>
    <w:rsid w:val="006D5364"/>
    <w:rsid w:val="006D5C2E"/>
    <w:rsid w:val="006E6ACB"/>
    <w:rsid w:val="006E7156"/>
    <w:rsid w:val="006F05B3"/>
    <w:rsid w:val="006F1706"/>
    <w:rsid w:val="00744442"/>
    <w:rsid w:val="007725E7"/>
    <w:rsid w:val="0078014A"/>
    <w:rsid w:val="0078507E"/>
    <w:rsid w:val="007B01CC"/>
    <w:rsid w:val="007D3D09"/>
    <w:rsid w:val="007D746F"/>
    <w:rsid w:val="007F763B"/>
    <w:rsid w:val="00806939"/>
    <w:rsid w:val="0081106C"/>
    <w:rsid w:val="008131CF"/>
    <w:rsid w:val="00814FA7"/>
    <w:rsid w:val="008233D0"/>
    <w:rsid w:val="0085007D"/>
    <w:rsid w:val="00875C08"/>
    <w:rsid w:val="008A20AC"/>
    <w:rsid w:val="008A67B6"/>
    <w:rsid w:val="008C24BB"/>
    <w:rsid w:val="0091208A"/>
    <w:rsid w:val="00914558"/>
    <w:rsid w:val="00935CF7"/>
    <w:rsid w:val="0094140D"/>
    <w:rsid w:val="009459B3"/>
    <w:rsid w:val="00952EB8"/>
    <w:rsid w:val="00977537"/>
    <w:rsid w:val="00997A8E"/>
    <w:rsid w:val="009A3681"/>
    <w:rsid w:val="00A1557F"/>
    <w:rsid w:val="00A3476D"/>
    <w:rsid w:val="00A67749"/>
    <w:rsid w:val="00AE58FA"/>
    <w:rsid w:val="00B3167C"/>
    <w:rsid w:val="00B36B45"/>
    <w:rsid w:val="00B60E8D"/>
    <w:rsid w:val="00B80C0E"/>
    <w:rsid w:val="00B90699"/>
    <w:rsid w:val="00B918AE"/>
    <w:rsid w:val="00B94E19"/>
    <w:rsid w:val="00BB6BAC"/>
    <w:rsid w:val="00BC07DB"/>
    <w:rsid w:val="00BD2A8D"/>
    <w:rsid w:val="00BE5F24"/>
    <w:rsid w:val="00BF6579"/>
    <w:rsid w:val="00BF734B"/>
    <w:rsid w:val="00C0761F"/>
    <w:rsid w:val="00C101C9"/>
    <w:rsid w:val="00C44596"/>
    <w:rsid w:val="00C51435"/>
    <w:rsid w:val="00C60D61"/>
    <w:rsid w:val="00C92003"/>
    <w:rsid w:val="00CC4387"/>
    <w:rsid w:val="00CE7B2F"/>
    <w:rsid w:val="00CF24FB"/>
    <w:rsid w:val="00CF6616"/>
    <w:rsid w:val="00D04C27"/>
    <w:rsid w:val="00D13147"/>
    <w:rsid w:val="00D26F2E"/>
    <w:rsid w:val="00D3777A"/>
    <w:rsid w:val="00D56002"/>
    <w:rsid w:val="00D778C9"/>
    <w:rsid w:val="00D91F61"/>
    <w:rsid w:val="00DF6507"/>
    <w:rsid w:val="00DF7353"/>
    <w:rsid w:val="00E015B9"/>
    <w:rsid w:val="00E32ECA"/>
    <w:rsid w:val="00E34501"/>
    <w:rsid w:val="00E34DBD"/>
    <w:rsid w:val="00E52EA0"/>
    <w:rsid w:val="00E57761"/>
    <w:rsid w:val="00E617EB"/>
    <w:rsid w:val="00E73E1D"/>
    <w:rsid w:val="00E86416"/>
    <w:rsid w:val="00EB51F4"/>
    <w:rsid w:val="00EC565A"/>
    <w:rsid w:val="00EC5C53"/>
    <w:rsid w:val="00ED4441"/>
    <w:rsid w:val="00ED4A29"/>
    <w:rsid w:val="00ED4ED9"/>
    <w:rsid w:val="00EE1CEE"/>
    <w:rsid w:val="00EE1F4B"/>
    <w:rsid w:val="00F03305"/>
    <w:rsid w:val="00F04B72"/>
    <w:rsid w:val="00F2228B"/>
    <w:rsid w:val="00F50F6E"/>
    <w:rsid w:val="00F54675"/>
    <w:rsid w:val="00F62573"/>
    <w:rsid w:val="00F83A62"/>
    <w:rsid w:val="00F94F65"/>
    <w:rsid w:val="00F97B30"/>
    <w:rsid w:val="00FA6D77"/>
    <w:rsid w:val="00FB5B6A"/>
    <w:rsid w:val="00FB74C6"/>
    <w:rsid w:val="00FC4906"/>
    <w:rsid w:val="00FF5835"/>
    <w:rsid w:val="00FF7666"/>
    <w:rsid w:val="6E4F680C"/>
    <w:rsid w:val="742A5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37"/>
    <w:pPr>
      <w:suppressAutoHyphens/>
    </w:pPr>
    <w:rPr>
      <w:rFonts w:eastAsiaTheme="minorEastAsia"/>
      <w:sz w:val="24"/>
      <w:szCs w:val="24"/>
      <w:lang w:eastAsia="ar-SA"/>
    </w:rPr>
  </w:style>
  <w:style w:type="paragraph" w:styleId="Heading1">
    <w:name w:val="heading 1"/>
    <w:basedOn w:val="Normal"/>
    <w:next w:val="Normal"/>
    <w:qFormat/>
    <w:rsid w:val="00977537"/>
    <w:pPr>
      <w:keepNext/>
      <w:numPr>
        <w:numId w:val="1"/>
      </w:numPr>
      <w:outlineLvl w:val="0"/>
    </w:pPr>
    <w:rPr>
      <w:b/>
      <w:bCs/>
      <w:sz w:val="32"/>
    </w:rPr>
  </w:style>
  <w:style w:type="paragraph" w:styleId="Heading2">
    <w:name w:val="heading 2"/>
    <w:basedOn w:val="Normal"/>
    <w:next w:val="Normal"/>
    <w:qFormat/>
    <w:rsid w:val="00977537"/>
    <w:pPr>
      <w:keepNext/>
      <w:numPr>
        <w:ilvl w:val="1"/>
        <w:numId w:val="1"/>
      </w:numPr>
      <w:jc w:val="both"/>
      <w:outlineLvl w:val="1"/>
    </w:pPr>
    <w:rPr>
      <w:b/>
      <w:sz w:val="28"/>
    </w:rPr>
  </w:style>
  <w:style w:type="paragraph" w:styleId="Heading3">
    <w:name w:val="heading 3"/>
    <w:basedOn w:val="Normal"/>
    <w:next w:val="Normal"/>
    <w:qFormat/>
    <w:rsid w:val="00977537"/>
    <w:pPr>
      <w:keepNext/>
      <w:numPr>
        <w:ilvl w:val="2"/>
        <w:numId w:val="1"/>
      </w:numPr>
      <w:spacing w:line="360" w:lineRule="auto"/>
      <w:jc w:val="both"/>
      <w:outlineLvl w:val="2"/>
    </w:pPr>
    <w:rPr>
      <w:b/>
      <w:bCs/>
    </w:rPr>
  </w:style>
  <w:style w:type="paragraph" w:styleId="Heading6">
    <w:name w:val="heading 6"/>
    <w:basedOn w:val="Normal"/>
    <w:next w:val="Normal"/>
    <w:qFormat/>
    <w:rsid w:val="0097753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77537"/>
    <w:pPr>
      <w:suppressLineNumbers/>
      <w:spacing w:before="120" w:after="120"/>
    </w:pPr>
    <w:rPr>
      <w:i/>
      <w:iCs/>
    </w:rPr>
  </w:style>
  <w:style w:type="paragraph" w:styleId="BodyText">
    <w:name w:val="Body Text"/>
    <w:basedOn w:val="Normal"/>
    <w:rsid w:val="00977537"/>
    <w:pPr>
      <w:spacing w:line="360" w:lineRule="auto"/>
    </w:pPr>
  </w:style>
  <w:style w:type="paragraph" w:styleId="BodyTextIndent">
    <w:name w:val="Body Text Indent"/>
    <w:basedOn w:val="Normal"/>
    <w:rsid w:val="00977537"/>
    <w:pPr>
      <w:ind w:left="540" w:hanging="720"/>
      <w:jc w:val="both"/>
    </w:pPr>
  </w:style>
  <w:style w:type="paragraph" w:styleId="BodyTextIndent2">
    <w:name w:val="Body Text Indent 2"/>
    <w:basedOn w:val="Normal"/>
    <w:rsid w:val="00977537"/>
    <w:pPr>
      <w:spacing w:line="360" w:lineRule="auto"/>
      <w:ind w:firstLine="720"/>
      <w:jc w:val="both"/>
    </w:pPr>
  </w:style>
  <w:style w:type="paragraph" w:styleId="Footer">
    <w:name w:val="footer"/>
    <w:basedOn w:val="Normal"/>
    <w:rsid w:val="00977537"/>
    <w:pPr>
      <w:tabs>
        <w:tab w:val="center" w:pos="4320"/>
        <w:tab w:val="right" w:pos="8640"/>
      </w:tabs>
    </w:pPr>
    <w:rPr>
      <w:sz w:val="32"/>
    </w:rPr>
  </w:style>
  <w:style w:type="paragraph" w:styleId="Header">
    <w:name w:val="header"/>
    <w:basedOn w:val="Normal"/>
    <w:next w:val="Heading1"/>
    <w:link w:val="HeaderChar"/>
    <w:rsid w:val="00977537"/>
    <w:pPr>
      <w:tabs>
        <w:tab w:val="center" w:pos="4320"/>
        <w:tab w:val="right" w:pos="8640"/>
      </w:tabs>
    </w:pPr>
  </w:style>
  <w:style w:type="paragraph" w:styleId="List">
    <w:name w:val="List"/>
    <w:basedOn w:val="BodyText"/>
    <w:rsid w:val="00977537"/>
  </w:style>
  <w:style w:type="paragraph" w:styleId="BodyTextIndent3">
    <w:name w:val="Body Text Indent 3"/>
    <w:basedOn w:val="Normal"/>
    <w:rsid w:val="00977537"/>
    <w:pPr>
      <w:spacing w:line="360" w:lineRule="auto"/>
      <w:ind w:firstLine="720"/>
      <w:jc w:val="both"/>
    </w:pPr>
    <w:rPr>
      <w:b/>
      <w:bCs/>
    </w:rPr>
  </w:style>
  <w:style w:type="paragraph" w:styleId="BodyText2">
    <w:name w:val="Body Text 2"/>
    <w:basedOn w:val="Normal"/>
    <w:qFormat/>
    <w:rsid w:val="00977537"/>
    <w:pPr>
      <w:spacing w:line="360" w:lineRule="auto"/>
      <w:jc w:val="both"/>
    </w:pPr>
  </w:style>
  <w:style w:type="character" w:styleId="PageNumber">
    <w:name w:val="page number"/>
    <w:basedOn w:val="DefaultParagraphFont"/>
    <w:rsid w:val="00977537"/>
  </w:style>
  <w:style w:type="character" w:styleId="FollowedHyperlink">
    <w:name w:val="FollowedHyperlink"/>
    <w:basedOn w:val="DefaultParagraphFont"/>
    <w:rsid w:val="00977537"/>
    <w:rPr>
      <w:color w:val="800080"/>
      <w:u w:val="single"/>
    </w:rPr>
  </w:style>
  <w:style w:type="character" w:styleId="Hyperlink">
    <w:name w:val="Hyperlink"/>
    <w:basedOn w:val="DefaultParagraphFont"/>
    <w:uiPriority w:val="99"/>
    <w:rsid w:val="00977537"/>
    <w:rPr>
      <w:color w:val="0000FF"/>
      <w:u w:val="single"/>
    </w:rPr>
  </w:style>
  <w:style w:type="character" w:customStyle="1" w:styleId="Absatz-Standardschriftart">
    <w:name w:val="Absatz-Standardschriftart"/>
    <w:qFormat/>
    <w:rsid w:val="00977537"/>
  </w:style>
  <w:style w:type="character" w:customStyle="1" w:styleId="WW-Absatz-Standardschriftart">
    <w:name w:val="WW-Absatz-Standardschriftart"/>
    <w:rsid w:val="00977537"/>
  </w:style>
  <w:style w:type="character" w:customStyle="1" w:styleId="WW-Absatz-Standardschriftart1">
    <w:name w:val="WW-Absatz-Standardschriftart1"/>
    <w:rsid w:val="00977537"/>
  </w:style>
  <w:style w:type="character" w:customStyle="1" w:styleId="WW-Absatz-Standardschriftart11">
    <w:name w:val="WW-Absatz-Standardschriftart11"/>
    <w:qFormat/>
    <w:rsid w:val="00977537"/>
  </w:style>
  <w:style w:type="character" w:customStyle="1" w:styleId="WW-Absatz-Standardschriftart111">
    <w:name w:val="WW-Absatz-Standardschriftart111"/>
    <w:rsid w:val="00977537"/>
  </w:style>
  <w:style w:type="character" w:customStyle="1" w:styleId="WW-Absatz-Standardschriftart1111">
    <w:name w:val="WW-Absatz-Standardschriftart1111"/>
    <w:rsid w:val="00977537"/>
  </w:style>
  <w:style w:type="character" w:customStyle="1" w:styleId="WW-Absatz-Standardschriftart11111">
    <w:name w:val="WW-Absatz-Standardschriftart11111"/>
    <w:qFormat/>
    <w:rsid w:val="00977537"/>
  </w:style>
  <w:style w:type="character" w:customStyle="1" w:styleId="WW-Absatz-Standardschriftart111111">
    <w:name w:val="WW-Absatz-Standardschriftart111111"/>
    <w:qFormat/>
    <w:rsid w:val="00977537"/>
  </w:style>
  <w:style w:type="character" w:customStyle="1" w:styleId="WW-Absatz-Standardschriftart1111111">
    <w:name w:val="WW-Absatz-Standardschriftart1111111"/>
    <w:qFormat/>
    <w:rsid w:val="00977537"/>
  </w:style>
  <w:style w:type="character" w:customStyle="1" w:styleId="WW-Absatz-Standardschriftart11111111">
    <w:name w:val="WW-Absatz-Standardschriftart11111111"/>
    <w:qFormat/>
    <w:rsid w:val="00977537"/>
  </w:style>
  <w:style w:type="character" w:customStyle="1" w:styleId="WW-Absatz-Standardschriftart111111111">
    <w:name w:val="WW-Absatz-Standardschriftart111111111"/>
    <w:rsid w:val="00977537"/>
  </w:style>
  <w:style w:type="character" w:customStyle="1" w:styleId="WW-Absatz-Standardschriftart1111111111">
    <w:name w:val="WW-Absatz-Standardschriftart1111111111"/>
    <w:rsid w:val="00977537"/>
  </w:style>
  <w:style w:type="character" w:customStyle="1" w:styleId="WW-Absatz-Standardschriftart11111111111">
    <w:name w:val="WW-Absatz-Standardschriftart11111111111"/>
    <w:qFormat/>
    <w:rsid w:val="00977537"/>
  </w:style>
  <w:style w:type="character" w:customStyle="1" w:styleId="WW-Absatz-Standardschriftart111111111111">
    <w:name w:val="WW-Absatz-Standardschriftart111111111111"/>
    <w:rsid w:val="00977537"/>
  </w:style>
  <w:style w:type="character" w:customStyle="1" w:styleId="WW-Absatz-Standardschriftart1111111111111">
    <w:name w:val="WW-Absatz-Standardschriftart1111111111111"/>
    <w:rsid w:val="00977537"/>
  </w:style>
  <w:style w:type="character" w:customStyle="1" w:styleId="WW-Absatz-Standardschriftart11111111111111">
    <w:name w:val="WW-Absatz-Standardschriftart11111111111111"/>
    <w:rsid w:val="00977537"/>
  </w:style>
  <w:style w:type="character" w:customStyle="1" w:styleId="WW-Absatz-Standardschriftart111111111111111">
    <w:name w:val="WW-Absatz-Standardschriftart111111111111111"/>
    <w:rsid w:val="00977537"/>
  </w:style>
  <w:style w:type="character" w:customStyle="1" w:styleId="WW-Absatz-Standardschriftart1111111111111111">
    <w:name w:val="WW-Absatz-Standardschriftart1111111111111111"/>
    <w:rsid w:val="00977537"/>
  </w:style>
  <w:style w:type="character" w:customStyle="1" w:styleId="WW8Num1z0">
    <w:name w:val="WW8Num1z0"/>
    <w:rsid w:val="00977537"/>
    <w:rPr>
      <w:rFonts w:ascii="Symbol" w:eastAsia="Times New Roman" w:hAnsi="Symbol" w:cs="Times New Roman"/>
    </w:rPr>
  </w:style>
  <w:style w:type="character" w:customStyle="1" w:styleId="WW8Num1z1">
    <w:name w:val="WW8Num1z1"/>
    <w:rsid w:val="00977537"/>
    <w:rPr>
      <w:rFonts w:ascii="Courier New" w:hAnsi="Courier New" w:cs="Courier New"/>
    </w:rPr>
  </w:style>
  <w:style w:type="character" w:customStyle="1" w:styleId="WW8Num1z2">
    <w:name w:val="WW8Num1z2"/>
    <w:rsid w:val="00977537"/>
    <w:rPr>
      <w:rFonts w:ascii="Wingdings" w:hAnsi="Wingdings"/>
    </w:rPr>
  </w:style>
  <w:style w:type="character" w:customStyle="1" w:styleId="WW8Num1z3">
    <w:name w:val="WW8Num1z3"/>
    <w:rsid w:val="00977537"/>
    <w:rPr>
      <w:rFonts w:ascii="Symbol" w:hAnsi="Symbol"/>
    </w:rPr>
  </w:style>
  <w:style w:type="character" w:customStyle="1" w:styleId="NumberingSymbols">
    <w:name w:val="Numbering Symbols"/>
    <w:rsid w:val="00977537"/>
  </w:style>
  <w:style w:type="paragraph" w:customStyle="1" w:styleId="Heading">
    <w:name w:val="Heading"/>
    <w:basedOn w:val="Normal"/>
    <w:next w:val="BodyText"/>
    <w:qFormat/>
    <w:rsid w:val="00977537"/>
    <w:pPr>
      <w:keepNext/>
      <w:spacing w:before="240" w:after="120"/>
    </w:pPr>
    <w:rPr>
      <w:rFonts w:ascii="Nimbus Sans L" w:eastAsia="DejaVu Sans" w:hAnsi="Nimbus Sans L" w:cs="DejaVu Sans"/>
      <w:sz w:val="28"/>
      <w:szCs w:val="28"/>
    </w:rPr>
  </w:style>
  <w:style w:type="paragraph" w:customStyle="1" w:styleId="Index">
    <w:name w:val="Index"/>
    <w:basedOn w:val="Normal"/>
    <w:rsid w:val="00977537"/>
    <w:pPr>
      <w:suppressLineNumbers/>
    </w:pPr>
  </w:style>
  <w:style w:type="paragraph" w:customStyle="1" w:styleId="TableContents">
    <w:name w:val="Table Contents"/>
    <w:basedOn w:val="Normal"/>
    <w:rsid w:val="00977537"/>
    <w:pPr>
      <w:suppressLineNumbers/>
    </w:pPr>
  </w:style>
  <w:style w:type="paragraph" w:customStyle="1" w:styleId="TableHeading">
    <w:name w:val="Table Heading"/>
    <w:basedOn w:val="TableContents"/>
    <w:rsid w:val="00977537"/>
    <w:pPr>
      <w:jc w:val="center"/>
    </w:pPr>
    <w:rPr>
      <w:b/>
      <w:bCs/>
    </w:rPr>
  </w:style>
  <w:style w:type="paragraph" w:customStyle="1" w:styleId="Framecontents">
    <w:name w:val="Frame contents"/>
    <w:basedOn w:val="BodyText"/>
    <w:rsid w:val="00977537"/>
  </w:style>
  <w:style w:type="paragraph" w:customStyle="1" w:styleId="Text">
    <w:name w:val="Text"/>
    <w:basedOn w:val="Normal"/>
    <w:qFormat/>
    <w:rsid w:val="00977537"/>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977537"/>
    <w:rPr>
      <w:sz w:val="24"/>
      <w:szCs w:val="24"/>
      <w:lang w:eastAsia="ar-SA"/>
    </w:rPr>
  </w:style>
  <w:style w:type="paragraph" w:customStyle="1" w:styleId="Default">
    <w:name w:val="Default"/>
    <w:rsid w:val="00977537"/>
    <w:pPr>
      <w:autoSpaceDE w:val="0"/>
      <w:autoSpaceDN w:val="0"/>
      <w:adjustRightInd w:val="0"/>
    </w:pPr>
    <w:rPr>
      <w:rFonts w:eastAsia="Calibri"/>
      <w:color w:val="000000"/>
      <w:sz w:val="24"/>
      <w:szCs w:val="24"/>
      <w:lang w:eastAsia="en-US" w:bidi="hi-IN"/>
    </w:rPr>
  </w:style>
  <w:style w:type="paragraph" w:styleId="ListParagraph">
    <w:name w:val="List Paragraph"/>
    <w:basedOn w:val="Normal"/>
    <w:uiPriority w:val="34"/>
    <w:qFormat/>
    <w:rsid w:val="00977537"/>
    <w:pPr>
      <w:ind w:left="720"/>
      <w:contextualSpacing/>
    </w:pPr>
  </w:style>
  <w:style w:type="paragraph" w:styleId="BalloonText">
    <w:name w:val="Balloon Text"/>
    <w:basedOn w:val="Normal"/>
    <w:link w:val="BalloonTextChar"/>
    <w:uiPriority w:val="99"/>
    <w:semiHidden/>
    <w:unhideWhenUsed/>
    <w:rsid w:val="00B90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699"/>
    <w:rPr>
      <w:rFonts w:ascii="Tahoma" w:eastAsiaTheme="minorEastAsi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dx.doi.org/10.7537/marsrsj130721.03"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1810</Words>
  <Characters>10319</Characters>
  <Application>Microsoft Office Word</Application>
  <DocSecurity>0</DocSecurity>
  <Lines>85</Lines>
  <Paragraphs>24</Paragraphs>
  <ScaleCrop>false</ScaleCrop>
  <Manager>Marsland</Manager>
  <Company>Marsland Press</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5</cp:revision>
  <cp:lastPrinted>2008-06-25T09:46:00Z</cp:lastPrinted>
  <dcterms:created xsi:type="dcterms:W3CDTF">2021-07-07T22:34:00Z</dcterms:created>
  <dcterms:modified xsi:type="dcterms:W3CDTF">2021-07-24T00:24:00Z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