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18" w:rsidRPr="00490B2A" w:rsidRDefault="00E95E8F" w:rsidP="00490B2A">
      <w:pPr>
        <w:snapToGrid w:val="0"/>
        <w:spacing w:after="0" w:line="240" w:lineRule="auto"/>
        <w:jc w:val="center"/>
        <w:rPr>
          <w:rFonts w:eastAsiaTheme="minorEastAsia"/>
          <w:b/>
          <w:color w:val="000000" w:themeColor="text1"/>
          <w:sz w:val="20"/>
          <w:szCs w:val="28"/>
          <w:lang w:eastAsia="zh-CN"/>
        </w:rPr>
      </w:pPr>
      <w:bookmarkStart w:id="0" w:name="_Toc473411834"/>
      <w:r w:rsidRPr="00490B2A">
        <w:rPr>
          <w:b/>
          <w:color w:val="000000" w:themeColor="text1"/>
          <w:sz w:val="20"/>
          <w:szCs w:val="28"/>
        </w:rPr>
        <w:t xml:space="preserve">Assessing Vulnerabilities to Natural Disasters of Malgagai Refugee Village Killasaifullah, Balochistan </w:t>
      </w:r>
    </w:p>
    <w:p w:rsidR="00700A18" w:rsidRPr="00490B2A" w:rsidRDefault="00700A18" w:rsidP="00490B2A">
      <w:pPr>
        <w:snapToGrid w:val="0"/>
        <w:spacing w:after="0" w:line="240" w:lineRule="auto"/>
        <w:jc w:val="center"/>
        <w:rPr>
          <w:rFonts w:eastAsiaTheme="minorEastAsia"/>
          <w:b/>
          <w:color w:val="000000" w:themeColor="text1"/>
          <w:sz w:val="20"/>
          <w:szCs w:val="28"/>
          <w:lang w:eastAsia="zh-CN"/>
        </w:rPr>
      </w:pPr>
    </w:p>
    <w:p w:rsidR="00700A18" w:rsidRPr="00490B2A" w:rsidRDefault="00E95E8F" w:rsidP="00490B2A">
      <w:pPr>
        <w:snapToGrid w:val="0"/>
        <w:spacing w:after="0" w:line="240" w:lineRule="auto"/>
        <w:jc w:val="center"/>
        <w:rPr>
          <w:rFonts w:eastAsiaTheme="minorEastAsia"/>
          <w:color w:val="000000" w:themeColor="text1"/>
          <w:sz w:val="20"/>
          <w:lang w:eastAsia="zh-CN"/>
        </w:rPr>
      </w:pPr>
      <w:r w:rsidRPr="00490B2A">
        <w:rPr>
          <w:color w:val="000000" w:themeColor="text1"/>
          <w:sz w:val="20"/>
        </w:rPr>
        <w:t>Jamal-ud-din</w:t>
      </w:r>
      <w:r w:rsidRPr="00490B2A">
        <w:rPr>
          <w:color w:val="000000" w:themeColor="text1"/>
          <w:sz w:val="20"/>
          <w:vertAlign w:val="superscript"/>
        </w:rPr>
        <w:t>1</w:t>
      </w:r>
      <w:r w:rsidRPr="00490B2A">
        <w:rPr>
          <w:color w:val="000000" w:themeColor="text1"/>
          <w:sz w:val="20"/>
        </w:rPr>
        <w:t>, Syed Ainuddin</w:t>
      </w:r>
      <w:r w:rsidRPr="00490B2A">
        <w:rPr>
          <w:color w:val="000000" w:themeColor="text1"/>
          <w:sz w:val="20"/>
          <w:vertAlign w:val="superscript"/>
        </w:rPr>
        <w:t>2</w:t>
      </w:r>
      <w:r w:rsidRPr="00490B2A">
        <w:rPr>
          <w:color w:val="000000" w:themeColor="text1"/>
          <w:sz w:val="20"/>
        </w:rPr>
        <w:t xml:space="preserve"> Ghulam Murtaza</w:t>
      </w:r>
      <w:r w:rsidRPr="00490B2A">
        <w:rPr>
          <w:color w:val="000000" w:themeColor="text1"/>
          <w:sz w:val="20"/>
          <w:vertAlign w:val="superscript"/>
        </w:rPr>
        <w:t>3</w:t>
      </w:r>
      <w:r w:rsidRPr="00490B2A">
        <w:rPr>
          <w:color w:val="000000" w:themeColor="text1"/>
          <w:sz w:val="20"/>
        </w:rPr>
        <w:t>, Shabana Faiz</w:t>
      </w:r>
      <w:r w:rsidRPr="00490B2A">
        <w:rPr>
          <w:color w:val="000000" w:themeColor="text1"/>
          <w:sz w:val="20"/>
          <w:vertAlign w:val="superscript"/>
        </w:rPr>
        <w:t>4</w:t>
      </w:r>
      <w:r w:rsidRPr="00490B2A">
        <w:rPr>
          <w:color w:val="000000" w:themeColor="text1"/>
          <w:sz w:val="20"/>
          <w:vertAlign w:val="subscript"/>
        </w:rPr>
        <w:t xml:space="preserve">, </w:t>
      </w:r>
      <w:r w:rsidRPr="00490B2A">
        <w:rPr>
          <w:color w:val="000000" w:themeColor="text1"/>
          <w:sz w:val="20"/>
        </w:rPr>
        <w:t>Muhammad Ashraf</w:t>
      </w:r>
      <w:r w:rsidRPr="00490B2A">
        <w:rPr>
          <w:color w:val="000000" w:themeColor="text1"/>
          <w:sz w:val="20"/>
          <w:vertAlign w:val="superscript"/>
        </w:rPr>
        <w:t>5</w:t>
      </w:r>
      <w:r w:rsidR="00700A18" w:rsidRPr="00490B2A">
        <w:rPr>
          <w:color w:val="000000" w:themeColor="text1"/>
          <w:sz w:val="20"/>
        </w:rPr>
        <w:t xml:space="preserve"> &amp; </w:t>
      </w:r>
      <w:r w:rsidRPr="00490B2A">
        <w:rPr>
          <w:color w:val="000000" w:themeColor="text1"/>
          <w:sz w:val="20"/>
        </w:rPr>
        <w:t>Abida</w:t>
      </w:r>
      <w:r w:rsidRPr="00490B2A">
        <w:rPr>
          <w:color w:val="000000" w:themeColor="text1"/>
          <w:sz w:val="20"/>
          <w:vertAlign w:val="superscript"/>
        </w:rPr>
        <w:t>6</w:t>
      </w:r>
      <w:r w:rsidR="00311E9E" w:rsidRPr="00490B2A">
        <w:rPr>
          <w:color w:val="000000" w:themeColor="text1"/>
          <w:sz w:val="20"/>
        </w:rPr>
        <w:t>Achakzai</w:t>
      </w:r>
    </w:p>
    <w:p w:rsidR="00700A18" w:rsidRPr="00490B2A" w:rsidRDefault="00700A18" w:rsidP="00490B2A">
      <w:pPr>
        <w:snapToGrid w:val="0"/>
        <w:spacing w:after="0" w:line="240" w:lineRule="auto"/>
        <w:jc w:val="center"/>
        <w:rPr>
          <w:rFonts w:eastAsiaTheme="minorEastAsia"/>
          <w:color w:val="000000" w:themeColor="text1"/>
          <w:sz w:val="20"/>
          <w:lang w:eastAsia="zh-CN"/>
        </w:rPr>
      </w:pPr>
    </w:p>
    <w:p w:rsidR="00E95E8F" w:rsidRPr="00490B2A" w:rsidRDefault="00E95E8F" w:rsidP="00490B2A">
      <w:pPr>
        <w:snapToGrid w:val="0"/>
        <w:spacing w:after="0" w:line="240" w:lineRule="auto"/>
        <w:jc w:val="center"/>
        <w:rPr>
          <w:color w:val="000000" w:themeColor="text1"/>
          <w:sz w:val="20"/>
        </w:rPr>
      </w:pPr>
      <w:r w:rsidRPr="00490B2A">
        <w:rPr>
          <w:color w:val="000000" w:themeColor="text1"/>
          <w:sz w:val="20"/>
          <w:vertAlign w:val="superscript"/>
        </w:rPr>
        <w:t>1</w:t>
      </w:r>
      <w:r w:rsidRPr="00490B2A">
        <w:rPr>
          <w:color w:val="000000" w:themeColor="text1"/>
          <w:sz w:val="20"/>
        </w:rPr>
        <w:t>PhD Scholar: Department of Disaster Management and Development Studies, University of Balochistan</w:t>
      </w:r>
      <w:r w:rsidRPr="00490B2A">
        <w:rPr>
          <w:color w:val="000000" w:themeColor="text1"/>
          <w:sz w:val="20"/>
          <w:szCs w:val="28"/>
        </w:rPr>
        <w:t xml:space="preserve"> </w:t>
      </w:r>
      <w:r w:rsidRPr="00490B2A">
        <w:rPr>
          <w:color w:val="000000" w:themeColor="text1"/>
          <w:sz w:val="20"/>
        </w:rPr>
        <w:t>Quetta</w:t>
      </w:r>
      <w:r w:rsidRPr="00490B2A">
        <w:rPr>
          <w:color w:val="000000" w:themeColor="text1"/>
          <w:sz w:val="20"/>
          <w:szCs w:val="28"/>
        </w:rPr>
        <w:t>. (</w:t>
      </w:r>
      <w:r w:rsidRPr="00490B2A">
        <w:rPr>
          <w:color w:val="000000" w:themeColor="text1"/>
          <w:sz w:val="20"/>
        </w:rPr>
        <w:t xml:space="preserve">Corresponding author) email: </w:t>
      </w:r>
      <w:hyperlink r:id="rId7" w:history="1">
        <w:r w:rsidRPr="00490B2A">
          <w:rPr>
            <w:rStyle w:val="Hyperlink"/>
            <w:sz w:val="20"/>
          </w:rPr>
          <w:t>jamalkakar333@gmail.com</w:t>
        </w:r>
      </w:hyperlink>
      <w:r w:rsidRPr="00490B2A">
        <w:rPr>
          <w:color w:val="000000" w:themeColor="text1"/>
          <w:sz w:val="20"/>
        </w:rPr>
        <w:t xml:space="preserve"> </w:t>
      </w:r>
    </w:p>
    <w:p w:rsidR="00E95E8F" w:rsidRPr="00490B2A" w:rsidRDefault="00E95E8F" w:rsidP="00490B2A">
      <w:pPr>
        <w:snapToGrid w:val="0"/>
        <w:spacing w:after="0" w:line="240" w:lineRule="auto"/>
        <w:jc w:val="center"/>
        <w:rPr>
          <w:color w:val="000000" w:themeColor="text1"/>
          <w:sz w:val="20"/>
        </w:rPr>
      </w:pPr>
      <w:r w:rsidRPr="00490B2A">
        <w:rPr>
          <w:color w:val="000000" w:themeColor="text1"/>
          <w:sz w:val="20"/>
          <w:vertAlign w:val="superscript"/>
        </w:rPr>
        <w:t>2</w:t>
      </w:r>
      <w:r w:rsidRPr="00490B2A">
        <w:rPr>
          <w:color w:val="000000" w:themeColor="text1"/>
          <w:sz w:val="20"/>
        </w:rPr>
        <w:t xml:space="preserve">Associate Professors Chairperson, Department of Disaster Management and Development Studies, University of Balochistan, Quetta email: </w:t>
      </w:r>
      <w:hyperlink r:id="rId8" w:history="1">
        <w:r w:rsidRPr="00490B2A">
          <w:rPr>
            <w:rStyle w:val="Hyperlink"/>
            <w:sz w:val="20"/>
          </w:rPr>
          <w:t>ainuddin.syed77@gmail.com</w:t>
        </w:r>
      </w:hyperlink>
    </w:p>
    <w:p w:rsidR="00E95E8F" w:rsidRPr="00490B2A" w:rsidRDefault="00E95E8F" w:rsidP="00490B2A">
      <w:pPr>
        <w:snapToGrid w:val="0"/>
        <w:spacing w:after="0" w:line="240" w:lineRule="auto"/>
        <w:jc w:val="center"/>
        <w:rPr>
          <w:color w:val="000000" w:themeColor="text1"/>
          <w:sz w:val="20"/>
        </w:rPr>
      </w:pPr>
      <w:r w:rsidRPr="00490B2A">
        <w:rPr>
          <w:color w:val="000000" w:themeColor="text1"/>
          <w:sz w:val="20"/>
          <w:vertAlign w:val="superscript"/>
        </w:rPr>
        <w:t>3</w:t>
      </w:r>
      <w:r w:rsidRPr="00490B2A">
        <w:rPr>
          <w:color w:val="000000" w:themeColor="text1"/>
          <w:sz w:val="20"/>
        </w:rPr>
        <w:t>Assistant Professors, Department of Disaster Management and Development Studies, University of Balochistan, Quetta email:</w:t>
      </w:r>
      <w:r w:rsidRPr="00490B2A">
        <w:rPr>
          <w:sz w:val="20"/>
        </w:rPr>
        <w:t xml:space="preserve"> </w:t>
      </w:r>
      <w:hyperlink r:id="rId9" w:history="1">
        <w:r w:rsidRPr="00490B2A">
          <w:rPr>
            <w:rStyle w:val="Hyperlink"/>
            <w:sz w:val="20"/>
          </w:rPr>
          <w:t>aamach100@gmail.com</w:t>
        </w:r>
      </w:hyperlink>
      <w:r w:rsidRPr="00490B2A">
        <w:rPr>
          <w:color w:val="000000" w:themeColor="text1"/>
          <w:sz w:val="20"/>
        </w:rPr>
        <w:t xml:space="preserve"> </w:t>
      </w:r>
    </w:p>
    <w:p w:rsidR="00E95E8F" w:rsidRPr="00490B2A" w:rsidRDefault="00E95E8F" w:rsidP="00490B2A">
      <w:pPr>
        <w:snapToGrid w:val="0"/>
        <w:spacing w:after="0" w:line="240" w:lineRule="auto"/>
        <w:jc w:val="center"/>
        <w:rPr>
          <w:color w:val="000000" w:themeColor="text1"/>
          <w:sz w:val="20"/>
        </w:rPr>
      </w:pPr>
      <w:r w:rsidRPr="00490B2A">
        <w:rPr>
          <w:color w:val="000000" w:themeColor="text1"/>
          <w:sz w:val="20"/>
          <w:vertAlign w:val="superscript"/>
        </w:rPr>
        <w:t>4</w:t>
      </w:r>
      <w:r w:rsidRPr="00490B2A">
        <w:rPr>
          <w:color w:val="000000" w:themeColor="text1"/>
          <w:sz w:val="20"/>
        </w:rPr>
        <w:t>Chairpers</w:t>
      </w:r>
      <w:r w:rsidR="00311E9E" w:rsidRPr="00490B2A">
        <w:rPr>
          <w:color w:val="000000" w:themeColor="text1"/>
          <w:sz w:val="20"/>
        </w:rPr>
        <w:t>on, Pakistan studies center, Sardar Bahadur Khan Women University</w:t>
      </w:r>
      <w:r w:rsidRPr="00490B2A">
        <w:rPr>
          <w:color w:val="000000" w:themeColor="text1"/>
          <w:sz w:val="20"/>
        </w:rPr>
        <w:t>, Balochistan, Quetta</w:t>
      </w:r>
      <w:r w:rsidR="00311E9E" w:rsidRPr="00490B2A">
        <w:rPr>
          <w:color w:val="000000" w:themeColor="text1"/>
          <w:sz w:val="20"/>
        </w:rPr>
        <w:t>.</w:t>
      </w:r>
      <w:r w:rsidRPr="00490B2A">
        <w:rPr>
          <w:color w:val="000000" w:themeColor="text1"/>
          <w:sz w:val="20"/>
        </w:rPr>
        <w:t xml:space="preserve"> email: </w:t>
      </w:r>
      <w:hyperlink r:id="rId10" w:history="1">
        <w:r w:rsidRPr="00490B2A">
          <w:rPr>
            <w:rStyle w:val="Hyperlink"/>
            <w:rFonts w:eastAsia="Times New Roman"/>
            <w:bCs/>
            <w:sz w:val="20"/>
          </w:rPr>
          <w:t>shabana.faiz@gmail.com</w:t>
        </w:r>
      </w:hyperlink>
      <w:r w:rsidR="00700A18" w:rsidRPr="00490B2A">
        <w:rPr>
          <w:rFonts w:eastAsia="Times New Roman"/>
          <w:bCs/>
          <w:sz w:val="20"/>
        </w:rPr>
        <w:t xml:space="preserve"> </w:t>
      </w:r>
    </w:p>
    <w:p w:rsidR="00E95E8F" w:rsidRPr="00490B2A" w:rsidRDefault="00E95E8F" w:rsidP="00490B2A">
      <w:pPr>
        <w:snapToGrid w:val="0"/>
        <w:spacing w:after="0" w:line="240" w:lineRule="auto"/>
        <w:jc w:val="center"/>
        <w:rPr>
          <w:b/>
          <w:color w:val="000000" w:themeColor="text1"/>
          <w:sz w:val="20"/>
          <w:szCs w:val="28"/>
        </w:rPr>
      </w:pPr>
      <w:r w:rsidRPr="00490B2A">
        <w:rPr>
          <w:color w:val="000000" w:themeColor="text1"/>
          <w:sz w:val="20"/>
          <w:vertAlign w:val="superscript"/>
        </w:rPr>
        <w:t>5</w:t>
      </w:r>
      <w:r w:rsidRPr="00490B2A">
        <w:rPr>
          <w:color w:val="000000" w:themeColor="text1"/>
          <w:sz w:val="20"/>
        </w:rPr>
        <w:t xml:space="preserve">Assistant Professors, Department of Disaster Management and Development Studies, University of Balochistan, Quetta email: </w:t>
      </w:r>
      <w:hyperlink r:id="rId11" w:history="1">
        <w:r w:rsidRPr="00490B2A">
          <w:rPr>
            <w:rStyle w:val="Hyperlink"/>
            <w:sz w:val="20"/>
          </w:rPr>
          <w:t>mashrafh75@gmail.com</w:t>
        </w:r>
      </w:hyperlink>
      <w:r w:rsidR="00700A18" w:rsidRPr="00490B2A">
        <w:rPr>
          <w:color w:val="000000" w:themeColor="text1"/>
          <w:sz w:val="20"/>
        </w:rPr>
        <w:t xml:space="preserve"> </w:t>
      </w:r>
    </w:p>
    <w:p w:rsidR="00700A18" w:rsidRPr="00490B2A" w:rsidRDefault="00E95E8F" w:rsidP="00490B2A">
      <w:pPr>
        <w:snapToGrid w:val="0"/>
        <w:spacing w:after="0" w:line="240" w:lineRule="auto"/>
        <w:jc w:val="center"/>
        <w:rPr>
          <w:b/>
          <w:color w:val="000000" w:themeColor="text1"/>
          <w:sz w:val="20"/>
          <w:szCs w:val="28"/>
        </w:rPr>
      </w:pPr>
      <w:r w:rsidRPr="00490B2A">
        <w:rPr>
          <w:color w:val="000000" w:themeColor="text1"/>
          <w:sz w:val="20"/>
          <w:vertAlign w:val="superscript"/>
        </w:rPr>
        <w:t>6</w:t>
      </w:r>
      <w:r w:rsidR="00311E9E" w:rsidRPr="00490B2A">
        <w:rPr>
          <w:color w:val="000000" w:themeColor="text1"/>
          <w:sz w:val="20"/>
        </w:rPr>
        <w:t>Lecturer Department of Ge</w:t>
      </w:r>
      <w:r w:rsidRPr="00490B2A">
        <w:rPr>
          <w:color w:val="000000" w:themeColor="text1"/>
          <w:sz w:val="20"/>
        </w:rPr>
        <w:t xml:space="preserve">ography, University of Balochistan, Quetta email: </w:t>
      </w:r>
      <w:hyperlink r:id="rId12" w:history="1">
        <w:r w:rsidRPr="00490B2A">
          <w:rPr>
            <w:rStyle w:val="Hyperlink"/>
            <w:sz w:val="20"/>
          </w:rPr>
          <w:t>sher.abid78@gmail.com</w:t>
        </w:r>
      </w:hyperlink>
      <w:r w:rsidRPr="00490B2A">
        <w:rPr>
          <w:color w:val="000000" w:themeColor="text1"/>
          <w:sz w:val="20"/>
        </w:rPr>
        <w:t xml:space="preserve"> </w:t>
      </w:r>
    </w:p>
    <w:p w:rsidR="00700A18" w:rsidRPr="00490B2A" w:rsidRDefault="00700A18" w:rsidP="00490B2A">
      <w:pPr>
        <w:snapToGrid w:val="0"/>
        <w:spacing w:after="0" w:line="240" w:lineRule="auto"/>
        <w:jc w:val="center"/>
        <w:rPr>
          <w:b/>
          <w:color w:val="000000" w:themeColor="text1"/>
          <w:sz w:val="20"/>
          <w:szCs w:val="28"/>
        </w:rPr>
      </w:pPr>
    </w:p>
    <w:p w:rsidR="00B81063" w:rsidRPr="00490B2A" w:rsidRDefault="00AC1CFF" w:rsidP="00490B2A">
      <w:pPr>
        <w:snapToGrid w:val="0"/>
        <w:spacing w:after="0" w:line="240" w:lineRule="auto"/>
        <w:rPr>
          <w:color w:val="000000" w:themeColor="text1"/>
          <w:sz w:val="20"/>
          <w:szCs w:val="28"/>
        </w:rPr>
      </w:pPr>
      <w:r w:rsidRPr="00490B2A">
        <w:rPr>
          <w:b/>
          <w:color w:val="000000" w:themeColor="text1"/>
          <w:sz w:val="20"/>
          <w:szCs w:val="28"/>
        </w:rPr>
        <w:t>Abstract</w:t>
      </w:r>
      <w:r w:rsidR="00490B2A" w:rsidRPr="00490B2A">
        <w:rPr>
          <w:rFonts w:eastAsiaTheme="minorEastAsia"/>
          <w:b/>
          <w:color w:val="000000" w:themeColor="text1"/>
          <w:sz w:val="20"/>
          <w:szCs w:val="28"/>
          <w:lang w:eastAsia="zh-CN"/>
        </w:rPr>
        <w:t xml:space="preserve">: </w:t>
      </w:r>
      <w:r w:rsidRPr="00490B2A">
        <w:rPr>
          <w:color w:val="000000" w:themeColor="text1"/>
          <w:sz w:val="20"/>
          <w:szCs w:val="28"/>
        </w:rPr>
        <w:t>Disaster mostly occurs when vulnerability and hazard hold together. Balochistan is no exception where a number of natural and manmade disasters interface resulting in catastrophes. The main objective of this paper is to assess the vulnerabilities to natural disasters of Malgagai refugee village Killa</w:t>
      </w:r>
      <w:r w:rsidR="00325175" w:rsidRPr="00490B2A">
        <w:rPr>
          <w:color w:val="000000" w:themeColor="text1"/>
          <w:sz w:val="20"/>
          <w:szCs w:val="28"/>
        </w:rPr>
        <w:t>-S</w:t>
      </w:r>
      <w:r w:rsidRPr="00490B2A">
        <w:rPr>
          <w:color w:val="000000" w:themeColor="text1"/>
          <w:sz w:val="20"/>
          <w:szCs w:val="28"/>
        </w:rPr>
        <w:t>aifullah. A questionnaire survey was conducted among 400 households using simple random sampling. Composite community vulnerability index is used to achieve the objective of the study. R</w:t>
      </w:r>
      <w:r w:rsidR="00325175" w:rsidRPr="00490B2A">
        <w:rPr>
          <w:color w:val="000000" w:themeColor="text1"/>
          <w:sz w:val="20"/>
          <w:szCs w:val="28"/>
        </w:rPr>
        <w:t>esults revealed that the study area</w:t>
      </w:r>
      <w:r w:rsidRPr="00490B2A">
        <w:rPr>
          <w:color w:val="000000" w:themeColor="text1"/>
          <w:sz w:val="20"/>
          <w:szCs w:val="28"/>
        </w:rPr>
        <w:t xml:space="preserve"> is vulnerable </w:t>
      </w:r>
      <w:r w:rsidR="00325175" w:rsidRPr="00490B2A">
        <w:rPr>
          <w:color w:val="000000" w:themeColor="text1"/>
          <w:sz w:val="20"/>
          <w:szCs w:val="28"/>
        </w:rPr>
        <w:t>(socially, physically, institutionally and economically) due to lack of education, inadequate resources, poverty, poor building infrastructure, unemployment and lack of awareness and preparedness</w:t>
      </w:r>
      <w:r w:rsidRPr="00490B2A">
        <w:rPr>
          <w:color w:val="000000" w:themeColor="text1"/>
          <w:sz w:val="20"/>
          <w:szCs w:val="28"/>
        </w:rPr>
        <w:t>.</w:t>
      </w:r>
      <w:r w:rsidR="00325175" w:rsidRPr="00490B2A">
        <w:rPr>
          <w:color w:val="000000" w:themeColor="text1"/>
          <w:sz w:val="20"/>
          <w:szCs w:val="28"/>
        </w:rPr>
        <w:t xml:space="preserve"> </w:t>
      </w:r>
      <w:r w:rsidR="00B81063" w:rsidRPr="00490B2A">
        <w:rPr>
          <w:color w:val="000000" w:themeColor="text1"/>
          <w:sz w:val="20"/>
          <w:szCs w:val="28"/>
        </w:rPr>
        <w:t xml:space="preserve">Implementing of risk lessening measures in building infrastructures and carry out essential socio-economic activities (education, multiple sources of income, health, and community trust) is extremely fundamental to lessen the overall vulnerabilities of the study area prone to natural hazards. </w:t>
      </w:r>
    </w:p>
    <w:p w:rsidR="00490B2A" w:rsidRPr="00490B2A" w:rsidRDefault="00490B2A" w:rsidP="00490B2A">
      <w:pPr>
        <w:snapToGrid w:val="0"/>
        <w:spacing w:after="0" w:line="240" w:lineRule="auto"/>
        <w:rPr>
          <w:rFonts w:eastAsiaTheme="minorEastAsia"/>
          <w:color w:val="000000" w:themeColor="text1"/>
          <w:sz w:val="20"/>
          <w:lang w:eastAsia="zh-CN"/>
        </w:rPr>
      </w:pPr>
      <w:r w:rsidRPr="00490B2A">
        <w:rPr>
          <w:sz w:val="20"/>
          <w:szCs w:val="20"/>
        </w:rPr>
        <w:t>[</w:t>
      </w:r>
      <w:r w:rsidRPr="00490B2A">
        <w:rPr>
          <w:color w:val="000000" w:themeColor="text1"/>
          <w:sz w:val="20"/>
        </w:rPr>
        <w:t>Jamal-ud-din, Syed Ainuddin Ghulam Murtaza, Shabana Faiz</w:t>
      </w:r>
      <w:r w:rsidRPr="00490B2A">
        <w:rPr>
          <w:color w:val="000000" w:themeColor="text1"/>
          <w:sz w:val="20"/>
          <w:vertAlign w:val="subscript"/>
        </w:rPr>
        <w:t xml:space="preserve">, </w:t>
      </w:r>
      <w:r w:rsidRPr="00490B2A">
        <w:rPr>
          <w:color w:val="000000" w:themeColor="text1"/>
          <w:sz w:val="20"/>
        </w:rPr>
        <w:t>Muhammad Ashraf &amp; Abid</w:t>
      </w:r>
      <w:r w:rsidR="008957A6" w:rsidRPr="00490B2A">
        <w:rPr>
          <w:color w:val="000000" w:themeColor="text1"/>
          <w:sz w:val="20"/>
        </w:rPr>
        <w:t>a</w:t>
      </w:r>
      <w:r w:rsidR="008957A6">
        <w:rPr>
          <w:color w:val="000000" w:themeColor="text1"/>
          <w:sz w:val="20"/>
        </w:rPr>
        <w:t xml:space="preserve"> </w:t>
      </w:r>
      <w:r w:rsidR="008957A6" w:rsidRPr="00490B2A">
        <w:rPr>
          <w:color w:val="000000" w:themeColor="text1"/>
          <w:sz w:val="20"/>
        </w:rPr>
        <w:t>A</w:t>
      </w:r>
      <w:r w:rsidRPr="00490B2A">
        <w:rPr>
          <w:color w:val="000000" w:themeColor="text1"/>
          <w:sz w:val="20"/>
        </w:rPr>
        <w:t>chakzai</w:t>
      </w:r>
      <w:r w:rsidRPr="00490B2A">
        <w:rPr>
          <w:sz w:val="20"/>
          <w:szCs w:val="20"/>
        </w:rPr>
        <w:t>.</w:t>
      </w:r>
      <w:r w:rsidRPr="00490B2A">
        <w:rPr>
          <w:rFonts w:eastAsiaTheme="minorEastAsia"/>
          <w:b/>
          <w:bCs/>
          <w:sz w:val="20"/>
          <w:szCs w:val="20"/>
          <w:lang w:bidi="fa-IR"/>
        </w:rPr>
        <w:t xml:space="preserve"> </w:t>
      </w:r>
      <w:r w:rsidRPr="00490B2A">
        <w:rPr>
          <w:b/>
          <w:color w:val="000000" w:themeColor="text1"/>
          <w:sz w:val="20"/>
          <w:szCs w:val="28"/>
        </w:rPr>
        <w:t>Assessing Vulnerabilities to Natural Disasters of Malgagai Refugee Village Killasaifullah, Balochistan</w:t>
      </w:r>
      <w:r w:rsidRPr="00490B2A">
        <w:rPr>
          <w:rFonts w:eastAsia="Times New Roman"/>
          <w:b/>
          <w:bCs/>
          <w:sz w:val="20"/>
          <w:szCs w:val="20"/>
          <w:lang w:bidi="fa-IR"/>
        </w:rPr>
        <w:t>.</w:t>
      </w:r>
      <w:r w:rsidRPr="00490B2A">
        <w:rPr>
          <w:bCs/>
          <w:i/>
          <w:sz w:val="20"/>
          <w:szCs w:val="20"/>
        </w:rPr>
        <w:t xml:space="preserve"> Researcher</w:t>
      </w:r>
      <w:r w:rsidRPr="00490B2A">
        <w:rPr>
          <w:bCs/>
          <w:sz w:val="20"/>
          <w:szCs w:val="20"/>
        </w:rPr>
        <w:t xml:space="preserve"> 2019;11(10):</w:t>
      </w:r>
      <w:r w:rsidR="00D031B1">
        <w:rPr>
          <w:noProof/>
          <w:color w:val="000000"/>
          <w:sz w:val="20"/>
          <w:szCs w:val="20"/>
        </w:rPr>
        <w:t>56-63</w:t>
      </w:r>
      <w:r w:rsidRPr="00490B2A">
        <w:rPr>
          <w:bCs/>
          <w:sz w:val="20"/>
          <w:szCs w:val="20"/>
        </w:rPr>
        <w:t xml:space="preserve">]. </w:t>
      </w:r>
      <w:r w:rsidRPr="00490B2A">
        <w:rPr>
          <w:sz w:val="20"/>
          <w:szCs w:val="20"/>
        </w:rPr>
        <w:t>ISSN 1553-9865 (print); ISSN 2163-8950 (online)</w:t>
      </w:r>
      <w:r w:rsidRPr="00490B2A">
        <w:rPr>
          <w:bCs/>
          <w:sz w:val="20"/>
          <w:szCs w:val="20"/>
        </w:rPr>
        <w:t xml:space="preserve">. </w:t>
      </w:r>
      <w:hyperlink r:id="rId13" w:history="1">
        <w:r w:rsidRPr="00490B2A">
          <w:rPr>
            <w:rStyle w:val="Hyperlink"/>
            <w:color w:val="0000FF"/>
            <w:sz w:val="20"/>
            <w:szCs w:val="20"/>
          </w:rPr>
          <w:t>http://www.sciencepub.net/researcher</w:t>
        </w:r>
      </w:hyperlink>
      <w:r w:rsidRPr="00490B2A">
        <w:rPr>
          <w:bCs/>
          <w:sz w:val="20"/>
          <w:szCs w:val="20"/>
        </w:rPr>
        <w:t xml:space="preserve">. </w:t>
      </w:r>
      <w:r w:rsidRPr="00490B2A">
        <w:rPr>
          <w:rFonts w:eastAsiaTheme="minorEastAsia"/>
          <w:bCs/>
          <w:sz w:val="20"/>
          <w:szCs w:val="20"/>
          <w:lang w:eastAsia="zh-CN"/>
        </w:rPr>
        <w:t>9</w:t>
      </w:r>
      <w:r w:rsidRPr="00490B2A">
        <w:rPr>
          <w:bCs/>
          <w:sz w:val="20"/>
          <w:szCs w:val="20"/>
        </w:rPr>
        <w:t xml:space="preserve">. </w:t>
      </w:r>
      <w:r w:rsidRPr="00490B2A">
        <w:rPr>
          <w:color w:val="000000"/>
          <w:sz w:val="20"/>
          <w:szCs w:val="20"/>
          <w:shd w:val="clear" w:color="auto" w:fill="FFFFFF"/>
        </w:rPr>
        <w:t>doi:</w:t>
      </w:r>
      <w:hyperlink r:id="rId14" w:history="1">
        <w:r w:rsidRPr="00490B2A">
          <w:rPr>
            <w:rStyle w:val="Hyperlink"/>
            <w:color w:val="0000FF"/>
            <w:sz w:val="20"/>
            <w:szCs w:val="20"/>
            <w:shd w:val="clear" w:color="auto" w:fill="FFFFFF"/>
          </w:rPr>
          <w:t>10.7537/marsrsj111019.0</w:t>
        </w:r>
        <w:r w:rsidRPr="00490B2A">
          <w:rPr>
            <w:rStyle w:val="Hyperlink"/>
            <w:rFonts w:eastAsiaTheme="minorEastAsia"/>
            <w:color w:val="0000FF"/>
            <w:sz w:val="20"/>
            <w:szCs w:val="20"/>
            <w:shd w:val="clear" w:color="auto" w:fill="FFFFFF"/>
            <w:lang w:eastAsia="zh-CN"/>
          </w:rPr>
          <w:t>9</w:t>
        </w:r>
      </w:hyperlink>
      <w:r w:rsidRPr="00490B2A">
        <w:rPr>
          <w:color w:val="000000"/>
          <w:sz w:val="20"/>
          <w:szCs w:val="20"/>
          <w:shd w:val="clear" w:color="auto" w:fill="FFFFFF"/>
        </w:rPr>
        <w:t>.</w:t>
      </w:r>
    </w:p>
    <w:p w:rsidR="00AC1CFF" w:rsidRPr="00490B2A" w:rsidRDefault="00AC1CFF" w:rsidP="00490B2A">
      <w:pPr>
        <w:snapToGrid w:val="0"/>
        <w:spacing w:after="0" w:line="240" w:lineRule="auto"/>
        <w:rPr>
          <w:color w:val="000000" w:themeColor="text1"/>
          <w:sz w:val="20"/>
          <w:szCs w:val="28"/>
        </w:rPr>
      </w:pPr>
    </w:p>
    <w:p w:rsidR="00AC1CFF" w:rsidRPr="00490B2A" w:rsidRDefault="00AC1CFF" w:rsidP="00490B2A">
      <w:pPr>
        <w:snapToGrid w:val="0"/>
        <w:spacing w:after="0" w:line="240" w:lineRule="auto"/>
        <w:rPr>
          <w:rFonts w:eastAsiaTheme="minorEastAsia"/>
          <w:b/>
          <w:color w:val="000000" w:themeColor="text1"/>
          <w:sz w:val="20"/>
          <w:szCs w:val="28"/>
          <w:lang w:eastAsia="zh-CN"/>
        </w:rPr>
      </w:pPr>
      <w:r w:rsidRPr="00490B2A">
        <w:rPr>
          <w:b/>
          <w:color w:val="000000" w:themeColor="text1"/>
          <w:sz w:val="20"/>
          <w:szCs w:val="28"/>
        </w:rPr>
        <w:t xml:space="preserve">Keywords: </w:t>
      </w:r>
      <w:r w:rsidRPr="00490B2A">
        <w:rPr>
          <w:color w:val="000000" w:themeColor="text1"/>
          <w:sz w:val="20"/>
          <w:szCs w:val="28"/>
        </w:rPr>
        <w:t>Vulnerability, Vulnerability Framework, Refugee, Disaster, Balochistan.</w:t>
      </w:r>
      <w:r w:rsidR="00700A18" w:rsidRPr="00490B2A">
        <w:rPr>
          <w:b/>
          <w:color w:val="000000" w:themeColor="text1"/>
          <w:sz w:val="20"/>
          <w:szCs w:val="28"/>
        </w:rPr>
        <w:t xml:space="preserve"> </w:t>
      </w:r>
    </w:p>
    <w:p w:rsidR="00700A18" w:rsidRPr="00490B2A" w:rsidRDefault="00700A18" w:rsidP="00490B2A">
      <w:pPr>
        <w:snapToGrid w:val="0"/>
        <w:spacing w:after="0" w:line="240" w:lineRule="auto"/>
        <w:rPr>
          <w:rFonts w:eastAsiaTheme="minorEastAsia"/>
          <w:b/>
          <w:color w:val="000000" w:themeColor="text1"/>
          <w:sz w:val="20"/>
          <w:szCs w:val="28"/>
          <w:lang w:eastAsia="zh-CN"/>
        </w:rPr>
      </w:pPr>
    </w:p>
    <w:p w:rsidR="00490B2A" w:rsidRPr="00490B2A" w:rsidRDefault="00490B2A" w:rsidP="00490B2A">
      <w:pPr>
        <w:snapToGrid w:val="0"/>
        <w:spacing w:after="0" w:line="240" w:lineRule="auto"/>
        <w:rPr>
          <w:b/>
          <w:color w:val="000000" w:themeColor="text1"/>
          <w:sz w:val="20"/>
          <w:szCs w:val="28"/>
        </w:rPr>
        <w:sectPr w:rsidR="00490B2A" w:rsidRPr="00490B2A" w:rsidSect="00D031B1">
          <w:headerReference w:type="default" r:id="rId15"/>
          <w:footerReference w:type="default" r:id="rId16"/>
          <w:type w:val="continuous"/>
          <w:pgSz w:w="12240" w:h="15840"/>
          <w:pgMar w:top="1440" w:right="1440" w:bottom="1440" w:left="1440" w:header="720" w:footer="720" w:gutter="0"/>
          <w:pgNumType w:start="56"/>
          <w:cols w:space="720"/>
          <w:docGrid w:linePitch="360"/>
        </w:sectPr>
      </w:pPr>
    </w:p>
    <w:p w:rsidR="00AC1CFF" w:rsidRPr="00490B2A" w:rsidRDefault="00AC1CFF" w:rsidP="00490B2A">
      <w:pPr>
        <w:snapToGrid w:val="0"/>
        <w:spacing w:after="0" w:line="240" w:lineRule="auto"/>
        <w:rPr>
          <w:b/>
          <w:color w:val="000000" w:themeColor="text1"/>
          <w:sz w:val="20"/>
          <w:szCs w:val="28"/>
        </w:rPr>
      </w:pPr>
      <w:r w:rsidRPr="00490B2A">
        <w:rPr>
          <w:b/>
          <w:color w:val="000000" w:themeColor="text1"/>
          <w:sz w:val="20"/>
          <w:szCs w:val="28"/>
        </w:rPr>
        <w:lastRenderedPageBreak/>
        <w:t xml:space="preserve">1 </w:t>
      </w:r>
      <w:r w:rsidRPr="00490B2A">
        <w:rPr>
          <w:b/>
          <w:color w:val="000000" w:themeColor="text1"/>
          <w:sz w:val="20"/>
          <w:szCs w:val="28"/>
        </w:rPr>
        <w:tab/>
        <w:t>Introduction</w:t>
      </w:r>
      <w:bookmarkEnd w:id="0"/>
    </w:p>
    <w:p w:rsidR="00AC1CFF" w:rsidRPr="00490B2A" w:rsidRDefault="00AC1CFF" w:rsidP="00490B2A">
      <w:pPr>
        <w:snapToGrid w:val="0"/>
        <w:spacing w:after="0" w:line="240" w:lineRule="auto"/>
        <w:ind w:firstLine="425"/>
        <w:rPr>
          <w:rFonts w:eastAsiaTheme="minorEastAsia"/>
          <w:color w:val="000000" w:themeColor="text1"/>
          <w:sz w:val="20"/>
          <w:szCs w:val="28"/>
          <w:lang w:eastAsia="zh-CN"/>
        </w:rPr>
      </w:pPr>
      <w:r w:rsidRPr="00490B2A">
        <w:rPr>
          <w:color w:val="000000" w:themeColor="text1"/>
          <w:sz w:val="20"/>
          <w:szCs w:val="28"/>
        </w:rPr>
        <w:t>Disaster mostly occurs when vulnerability and hazard merge</w:t>
      </w:r>
      <w:r w:rsidR="00700A18" w:rsidRPr="00490B2A">
        <w:rPr>
          <w:color w:val="000000" w:themeColor="text1"/>
          <w:sz w:val="20"/>
          <w:szCs w:val="28"/>
        </w:rPr>
        <w:t xml:space="preserve">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"10.1016/j.gloenvcha.2006.02.006", "ISBN" : "09593780", "ISSN" : "09593780", "abstract" : "This paper reviews research traditions of vulnerability to environmental change and the challenges for present vulnerability research in integrating with the domains of resilience and adaptation. Vulnerability is the state of susceptibility to harm from exposure to stresses associated with environmental and social change and from the absence of capacity to adapt. Antecedent traditions include theories of vulnerability as entitlement failure and theories of hazard. Each of these areas has contributed to present formulations of vulnerability to environmental change as a characteristic of social-ecological systems linked to resilience. Research on vulnerability to the impacts of climate change spans all the antecedent and successor traditions. The challenges for vulnerability research are to develop robust and credible measures, to incorporate diverse methods that include perceptions of risk and vulnerability, and to incorporate governance research on the mechanisms that mediate vulnerability and promote adaptive action and resilience. These challenges are common to the domains of vulnerability, adaptation and resilience and form common ground for consilience and integration. \u00a9 2006 Elsevier Ltd. All rights reserved.", "author" : [ { "dropping-particle" : "", "family" : "Adger", "given" : "W. Neil", "non-dropping-particle" : "", "parse-names" : false, "suffix" : "" } ], "container-title" : "Global Environmental Change", "id" : "ITEM-1", "issue" : "3", "issued" : { "date-parts" : [ [ "2006" ] ] }, "page" : "268-281", "title" : "Vulnerability", "type" : "article-journal", "volume" : "16" }, "uris" : [ "http://www.mendeley.com/documents/?uuid=8799b0e5-7dd2-480c-b95b-40bf42d657e0" ] } ], "mendeley" : { "formattedCitation" : "(W. Neil Adger, 2006)", "plainTextFormattedCitation" : "(W. Neil Adger, 2006)", "previouslyFormattedCitation" : "(W. Neil Adger, 2006)"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(W. Neil Adger, 2006)</w:t>
      </w:r>
      <w:r w:rsidR="00B21E1C" w:rsidRPr="00490B2A">
        <w:rPr>
          <w:color w:val="000000" w:themeColor="text1"/>
          <w:sz w:val="20"/>
          <w:szCs w:val="28"/>
        </w:rPr>
        <w:fldChar w:fldCharType="end"/>
      </w:r>
      <w:r w:rsidRPr="00490B2A">
        <w:rPr>
          <w:color w:val="000000" w:themeColor="text1"/>
          <w:sz w:val="20"/>
          <w:szCs w:val="28"/>
        </w:rPr>
        <w:t xml:space="preserve">. </w:t>
      </w:r>
      <w:r w:rsidRPr="00490B2A">
        <w:rPr>
          <w:color w:val="000000" w:themeColor="text1"/>
          <w:sz w:val="20"/>
          <w:szCs w:val="28"/>
          <w:shd w:val="clear" w:color="auto" w:fill="FFFFFF"/>
        </w:rPr>
        <w:t>For the last fifty years</w:t>
      </w:r>
      <w:r w:rsidR="00B81063" w:rsidRPr="00490B2A">
        <w:rPr>
          <w:color w:val="000000" w:themeColor="text1"/>
          <w:sz w:val="20"/>
          <w:szCs w:val="28"/>
          <w:shd w:val="clear" w:color="auto" w:fill="FFFFFF"/>
        </w:rPr>
        <w:t>,</w:t>
      </w:r>
      <w:r w:rsidRPr="00490B2A">
        <w:rPr>
          <w:color w:val="000000" w:themeColor="text1"/>
          <w:sz w:val="20"/>
          <w:szCs w:val="28"/>
          <w:shd w:val="clear" w:color="auto" w:fill="FFFFFF"/>
        </w:rPr>
        <w:t xml:space="preserve"> it has been observed that the natural disasters affected the populations, economies, infrastructures and environments of various communities all over the world </w:t>
      </w:r>
      <w:r w:rsidR="00B21E1C" w:rsidRPr="00490B2A">
        <w:rPr>
          <w:color w:val="000000" w:themeColor="text1"/>
          <w:sz w:val="20"/>
          <w:szCs w:val="28"/>
          <w:shd w:val="clear" w:color="auto" w:fill="FFFFFF"/>
        </w:rPr>
        <w:fldChar w:fldCharType="begin" w:fldLock="1"/>
      </w:r>
      <w:r w:rsidRPr="00490B2A">
        <w:rPr>
          <w:color w:val="000000" w:themeColor="text1"/>
          <w:sz w:val="20"/>
          <w:szCs w:val="28"/>
          <w:shd w:val="clear" w:color="auto" w:fill="FFFFFF"/>
        </w:rPr>
        <w:instrText>ADDIN CSL_CITATION { "citationItems" : [ { "id" : "ITEM-1", "itemData" : { "DOI" : "10.1073/pnas.1231334100", "ISBN" : "00278424", "ISSN" : "0027-8424", "PMID" : "12815106", "abstract" : "The vulnerability framework of the Research and Assessment Systems for Sustainability Program explicitly recognizes the coupled human-environment system and accounts for interactions in the coupling affecting the system's responses to hazards and its vulnerability. This paper illustrates the usefulness of the vulnerability framework through three case studies: the tropical southern Yucat\u00e1n, the arid Yaqui Valley of northwest Mexico, and the pan-Arctic. Together, these examples illustrate the role of external forces in reshaping the systems in question and their vulnerability to environmental hazards, as well as the different capacities of stakeholders, based on their access to social and biophysical capital, to respond to the changes and hazards. The framework proves useful in directing attention to the interacting parts of the coupled system and helps identify gaps in information and understanding relevant to reducing vulnerability in the systems as a whole.", "author" : [ { "dropping-particle" : "", "family" : "Turner", "given" : "B. L.", "non-dropping-particle" : "", "parse-names" : false, "suffix" : "" }, { "dropping-particle" : "", "family" : "Matson", "given" : "P. A.", "non-dropping-particle" : "", "parse-names" : false, "suffix" : "" }, { "dropping-particle" : "", "family" : "McCarthy", "given" : "J. J.", "non-dropping-particle" : "", "parse-names" : false, "suffix" : "" }, { "dropping-particle" : "", "family" : "Corell", "given" : "R. W.", "non-dropping-particle" : "", "parse-names" : false, "suffix" : "" }, { "dropping-particle" : "", "family" : "Christensen", "given" : "L.", "non-dropping-particle" : "", "parse-names" : false, "suffix" : "" }, { "dropping-particle" : "", "family" : "Eckley", "given" : "N.", "non-dropping-particle" : "", "parse-names" : false, "suffix" : "" }, { "dropping-particle" : "", "family" : "Hovelsrud-Broda", "given" : "G. K.", "non-dropping-particle" : "", "parse-names" : false, "suffix" : "" }, { "dropping-particle" : "", "family" : "Kasperson", "given" : "J. X.", "non-dropping-particle" : "", "parse-names" : false, "suffix" : "" }, { "dropping-particle" : "", "family" : "Kasperson", "given" : "R. E.", "non-dropping-particle" : "", "parse-names" : false, "suffix" : "" }, { "dropping-particle" : "", "family" : "Luers", "given" : "A.", "non-dropping-particle" : "", "parse-names" : false, "suffix" : "" }, { "dropping-particle" : "", "family" : "Martello", "given" : "M. L.", "non-dropping-particle" : "", "parse-names" : false, "suffix" : "" }, { "dropping-particle" : "", "family" : "Mathiesen", "given" : "S.", "non-dropping-particle" : "", "parse-names" : false, "suffix" : "" }, { "dropping-particle" : "", "family" : "Naylor", "given" : "R.", "non-dropping-particle" : "", "parse-names" : false, "suffix" : "" }, { "dropping-particle" : "", "family" : "Polsky", "given" : "C.", "non-dropping-particle" : "", "parse-names" : false, "suffix" : "" }, { "dropping-particle" : "", "family" : "Pulsipher", "given" : "A.", "non-dropping-particle" : "", "parse-names" : false, "suffix" : "" }, { "dropping-particle" : "", "family" : "Schiller", "given" : "A.", "non-dropping-particle" : "", "parse-names" : false, "suffix" : "" }, { "dropping-particle" : "", "family" : "Selin", "given" : "H.", "non-dropping-particle" : "", "parse-names" : false, "suffix" : "" }, { "dropping-particle" : "", "family" : "Tyler", "given" : "N.", "non-dropping-particle" : "", "parse-names" : false, "suffix" : "" } ], "container-title" : "Proceedings of the National Academy of Sciences", "id" : "ITEM-1", "issue" : "14", "issued" : { "date-parts" : [ [ "2003" ] ] }, "page" : "8080-8085", "title" : "Illustrating the coupled human-environment system for vulnerability analysis: Three case studies", "type" : "article-journal", "volume" : "100" }, "uris" : [ "http://www.mendeley.com/documents/?uuid=56b038ef-25ba-4ef9-a0fe-31440184a4ef" ] } ], "mendeley" : { "formattedCitation" : "(Turner et al., 2003)", "plainTextFormattedCitation" : "(Turner et al., 2003)", "previouslyFormattedCitation" : "(Turner et al., 2003)" }, "properties" : { "noteIndex" : 0 }, "schema" : "https://github.com/citation-style-language/schema/raw/master/csl-citation.json" }</w:instrText>
      </w:r>
      <w:r w:rsidR="00B21E1C" w:rsidRPr="00490B2A">
        <w:rPr>
          <w:color w:val="000000" w:themeColor="text1"/>
          <w:sz w:val="20"/>
          <w:szCs w:val="28"/>
          <w:shd w:val="clear" w:color="auto" w:fill="FFFFFF"/>
        </w:rPr>
        <w:fldChar w:fldCharType="separate"/>
      </w:r>
      <w:r w:rsidRPr="00490B2A">
        <w:rPr>
          <w:noProof/>
          <w:color w:val="000000" w:themeColor="text1"/>
          <w:sz w:val="20"/>
          <w:szCs w:val="28"/>
          <w:shd w:val="clear" w:color="auto" w:fill="FFFFFF"/>
        </w:rPr>
        <w:t>(Turner et al., 2003)</w:t>
      </w:r>
      <w:r w:rsidR="00B21E1C" w:rsidRPr="00490B2A">
        <w:rPr>
          <w:color w:val="000000" w:themeColor="text1"/>
          <w:sz w:val="20"/>
          <w:szCs w:val="28"/>
          <w:shd w:val="clear" w:color="auto" w:fill="FFFFFF"/>
        </w:rPr>
        <w:fldChar w:fldCharType="end"/>
      </w:r>
      <w:r w:rsidRPr="00490B2A">
        <w:rPr>
          <w:color w:val="000000" w:themeColor="text1"/>
          <w:sz w:val="20"/>
          <w:szCs w:val="28"/>
          <w:shd w:val="clear" w:color="auto" w:fill="FFFFFF"/>
        </w:rPr>
        <w:t>. Due to high rate of poverty and urbanization</w:t>
      </w:r>
      <w:r w:rsidR="00B81063" w:rsidRPr="00490B2A">
        <w:rPr>
          <w:color w:val="000000" w:themeColor="text1"/>
          <w:sz w:val="20"/>
          <w:szCs w:val="28"/>
          <w:shd w:val="clear" w:color="auto" w:fill="FFFFFF"/>
        </w:rPr>
        <w:t>,</w:t>
      </w:r>
      <w:r w:rsidRPr="00490B2A">
        <w:rPr>
          <w:color w:val="000000" w:themeColor="text1"/>
          <w:sz w:val="20"/>
          <w:szCs w:val="28"/>
          <w:shd w:val="clear" w:color="auto" w:fill="FFFFFF"/>
        </w:rPr>
        <w:t xml:space="preserve"> Asia is known as the supermarket of disasters </w:t>
      </w:r>
      <w:r w:rsidR="00B21E1C" w:rsidRPr="00490B2A">
        <w:rPr>
          <w:color w:val="000000" w:themeColor="text1"/>
          <w:sz w:val="20"/>
          <w:szCs w:val="28"/>
          <w:shd w:val="clear" w:color="auto" w:fill="FFFFFF"/>
        </w:rPr>
        <w:fldChar w:fldCharType="begin" w:fldLock="1"/>
      </w:r>
      <w:r w:rsidRPr="00490B2A">
        <w:rPr>
          <w:color w:val="000000" w:themeColor="text1"/>
          <w:sz w:val="20"/>
          <w:szCs w:val="28"/>
          <w:shd w:val="clear" w:color="auto" w:fill="FFFFFF"/>
        </w:rPr>
        <w:instrText>ADDIN CSL_CITATION { "citationItems" : [ { "id" : "ITEM-1", "itemData" : { "DOI" : "10.1080/09614520802030607", "ISBN" : "0961452080203", "ISSN" : "09614524", "abstract" : "While there is often a heavy emphasis on disaster response, disaster preparedness and mitigation are, rightfully, receiving more attention. In examining the state of preparedness in Indonesia, this article is divided into three sections. First, it reviews the hazards present in the country, such as conflict, earthquakes, and tsunamis. Second, it considers some of the current efforts underway by the government and international community. Finally, the article contends that the disaster-preparedness process is not yet complete. The main challenges remain: improving co-ordination between different organisations, creating a culture of disaster-risk management, implementing appropriate methods, and maintaining momentum on this issue in the future. ABSTRACT FROM AUTHOR Copyright of Development in Practice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"James", "given" : "Eric", "non-dropping-particle" : "", "parse-names" : false, "suffix" : "" } ], "container-title" : "Development in Practice", "id" : "ITEM-1", "issue" : "3", "issued" : { "date-parts" : [ [ "2008" ] ] }, "page" : "424-429", "title" : "Getting ahead of the next disaster: Recent preparedness efforts in Indonesia", "type" : "article", "volume" : "18" }, "uris" : [ "http://www.mendeley.com/documents/?uuid=96620801-a4c6-43d8-8bb6-179c61c6273f" ] } ], "mendeley" : { "formattedCitation" : "(James, 2008)", "plainTextFormattedCitation" : "(James, 2008)", "previouslyFormattedCitation" : "(James, 2008)" }, "properties" : { "noteIndex" : 0 }, "schema" : "https://github.com/citation-style-language/schema/raw/master/csl-citation.json" }</w:instrText>
      </w:r>
      <w:r w:rsidR="00B21E1C" w:rsidRPr="00490B2A">
        <w:rPr>
          <w:color w:val="000000" w:themeColor="text1"/>
          <w:sz w:val="20"/>
          <w:szCs w:val="28"/>
          <w:shd w:val="clear" w:color="auto" w:fill="FFFFFF"/>
        </w:rPr>
        <w:fldChar w:fldCharType="separate"/>
      </w:r>
      <w:r w:rsidRPr="00490B2A">
        <w:rPr>
          <w:noProof/>
          <w:color w:val="000000" w:themeColor="text1"/>
          <w:sz w:val="20"/>
          <w:szCs w:val="28"/>
          <w:shd w:val="clear" w:color="auto" w:fill="FFFFFF"/>
        </w:rPr>
        <w:t>(James, 2008)</w:t>
      </w:r>
      <w:r w:rsidR="00B21E1C" w:rsidRPr="00490B2A">
        <w:rPr>
          <w:color w:val="000000" w:themeColor="text1"/>
          <w:sz w:val="20"/>
          <w:szCs w:val="28"/>
          <w:shd w:val="clear" w:color="auto" w:fill="FFFFFF"/>
        </w:rPr>
        <w:fldChar w:fldCharType="end"/>
      </w:r>
      <w:r w:rsidRPr="00490B2A">
        <w:rPr>
          <w:color w:val="000000" w:themeColor="text1"/>
          <w:sz w:val="20"/>
          <w:szCs w:val="28"/>
          <w:shd w:val="clear" w:color="auto" w:fill="FFFFFF"/>
        </w:rPr>
        <w:t xml:space="preserve">. Pakistan is prone to natural hazards with different levels of vulnerability in both the urban and rural areas </w:t>
      </w:r>
      <w:r w:rsidR="00B21E1C" w:rsidRPr="00490B2A">
        <w:rPr>
          <w:color w:val="000000" w:themeColor="text1"/>
          <w:sz w:val="20"/>
          <w:szCs w:val="28"/>
          <w:shd w:val="clear" w:color="auto" w:fill="FFFFFF"/>
        </w:rPr>
        <w:fldChar w:fldCharType="begin" w:fldLock="1"/>
      </w:r>
      <w:r w:rsidRPr="00490B2A">
        <w:rPr>
          <w:color w:val="000000" w:themeColor="text1"/>
          <w:sz w:val="20"/>
          <w:szCs w:val="28"/>
          <w:shd w:val="clear" w:color="auto" w:fill="FFFFFF"/>
        </w:rPr>
        <w:instrText>ADDIN CSL_CITATION { "citationItems" : [ { "id" : "ITEM-1", "itemData" : { "author" : [ { "dropping-particle" : "", "family" : "Kakar", "given" : "Zainuddin", "non-dropping-particle" : "", "parse-names" : false, "suffix" : "" }, { "dropping-particle" : "", "family" : "Ahmad", "given" : "Maqsood", "non-dropping-particle" : "", "parse-names" : false, "suffix" : "" } ], "id" : "ITEM-1", "issue" : "2", "issued" : { "date-parts" : [ [ "2013" ] ] }, "page" : "135-140", "title" : "Study on the causes of Water Scarcity in Pishin Lora Basin of Balochistan", "type" : "article-journal", "volume" : "4" }, "uris" : [ "http://www.mendeley.com/documents/?uuid=137699f0-0e38-4448-ae10-f14eb2c8a800" ] } ], "mendeley" : { "formattedCitation" : "(Kakar &amp; Ahmad, 2013)", "plainTextFormattedCitation" : "(Kakar &amp; Ahmad, 2013)", "previouslyFormattedCitation" : "(Kakar &amp; Ahmad, 2013)" }, "properties" : { "noteIndex" : 0 }, "schema" : "https://github.com/citation-style-language/schema/raw/master/csl-citation.json" }</w:instrText>
      </w:r>
      <w:r w:rsidR="00B21E1C" w:rsidRPr="00490B2A">
        <w:rPr>
          <w:color w:val="000000" w:themeColor="text1"/>
          <w:sz w:val="20"/>
          <w:szCs w:val="28"/>
          <w:shd w:val="clear" w:color="auto" w:fill="FFFFFF"/>
        </w:rPr>
        <w:fldChar w:fldCharType="separate"/>
      </w:r>
      <w:r w:rsidRPr="00490B2A">
        <w:rPr>
          <w:noProof/>
          <w:color w:val="000000" w:themeColor="text1"/>
          <w:sz w:val="20"/>
          <w:szCs w:val="28"/>
          <w:shd w:val="clear" w:color="auto" w:fill="FFFFFF"/>
        </w:rPr>
        <w:t>(Kakar</w:t>
      </w:r>
      <w:r w:rsidR="00700A18" w:rsidRPr="00490B2A">
        <w:rPr>
          <w:noProof/>
          <w:color w:val="000000" w:themeColor="text1"/>
          <w:sz w:val="20"/>
          <w:szCs w:val="28"/>
          <w:shd w:val="clear" w:color="auto" w:fill="FFFFFF"/>
        </w:rPr>
        <w:t xml:space="preserve"> &amp; </w:t>
      </w:r>
      <w:r w:rsidRPr="00490B2A">
        <w:rPr>
          <w:noProof/>
          <w:color w:val="000000" w:themeColor="text1"/>
          <w:sz w:val="20"/>
          <w:szCs w:val="28"/>
          <w:shd w:val="clear" w:color="auto" w:fill="FFFFFF"/>
        </w:rPr>
        <w:t>Ahmad, 2013)</w:t>
      </w:r>
      <w:r w:rsidR="00B21E1C" w:rsidRPr="00490B2A">
        <w:rPr>
          <w:color w:val="000000" w:themeColor="text1"/>
          <w:sz w:val="20"/>
          <w:szCs w:val="28"/>
          <w:shd w:val="clear" w:color="auto" w:fill="FFFFFF"/>
        </w:rPr>
        <w:fldChar w:fldCharType="end"/>
      </w:r>
      <w:r w:rsidRPr="00490B2A">
        <w:rPr>
          <w:color w:val="000000" w:themeColor="text1"/>
          <w:sz w:val="20"/>
          <w:szCs w:val="28"/>
          <w:shd w:val="clear" w:color="auto" w:fill="FFFFFF"/>
        </w:rPr>
        <w:t>.</w:t>
      </w:r>
      <w:r w:rsidRPr="00490B2A">
        <w:rPr>
          <w:color w:val="000000" w:themeColor="text1"/>
          <w:sz w:val="20"/>
          <w:szCs w:val="28"/>
        </w:rPr>
        <w:t xml:space="preserve"> </w:t>
      </w:r>
      <w:r w:rsidRPr="00490B2A">
        <w:rPr>
          <w:color w:val="000000" w:themeColor="text1"/>
          <w:sz w:val="20"/>
          <w:szCs w:val="28"/>
          <w:shd w:val="clear" w:color="auto" w:fill="FFFFFF"/>
        </w:rPr>
        <w:t xml:space="preserve">Due to increasing trend of disasters, communities become more vulnerable socially, economically, physically and institutionally </w:t>
      </w:r>
      <w:r w:rsidR="00B21E1C" w:rsidRPr="00490B2A">
        <w:rPr>
          <w:color w:val="000000" w:themeColor="text1"/>
          <w:sz w:val="20"/>
          <w:szCs w:val="28"/>
          <w:shd w:val="clear" w:color="auto" w:fill="FFFFFF"/>
        </w:rPr>
        <w:fldChar w:fldCharType="begin" w:fldLock="1"/>
      </w:r>
      <w:r w:rsidRPr="00490B2A">
        <w:rPr>
          <w:color w:val="000000" w:themeColor="text1"/>
          <w:sz w:val="20"/>
          <w:szCs w:val="28"/>
          <w:shd w:val="clear" w:color="auto" w:fill="FFFFFF"/>
        </w:rPr>
        <w:instrText>ADDIN CSL_CITATION { "citationItems" : [ { "id" : "ITEM-1", "itemData" : { "DOI" : "10.1016/j.procs.2015.07.458", "ISBN" : "9183329005", "ISSN" : "18770509", "abstract" : "Complexity of systems are increasing day by day. This leads to more and more vulnerabilities in Systems. Attackers use these vulnerabilities to exploit the victim's system. It is better to find out these vulnerabilities in advance before attacker do. The power of Vulnerability assessment is usually underestimated. While Vulnerability Assessment and Penetration Testing can be used as a cyber-defence technology to provide proactive cyber defence. In this paper we proved Vulnerability Assessment and Penetration Testing (VAPT) as a Cyber defence technology, how we can provide active cyber defence using Vulnerability Assessment and Penetration Testing. We described complete life cycle of Vulnerability Assessment and Penetration Testing on systems or networks and proactive action taken to resolve that vulnerability and stop possible attack. In this paper we have described prevalent Vulnerability assessment techniques and some famous premium/open source VAPT tools. We have described complete process of how to use Vulnerability Assessment and Penetration Testing as a powerful Cyber Defence Technology.", "author" : [ { "dropping-particle" : "", "family" : "Goel", "given" : "Jai Narayan", "non-dropping-particle" : "", "parse-names" : false, "suffix" : "" }, { "dropping-particle" : "", "family" : "Mehtre", "given" : "B M", "non-dropping-particle" : "", "parse-names" : false, "suffix" : "" } ], "container-title" : "Procedia Computer Science", "id" : "ITEM-1", "issued" : { "date-parts" : [ [ "2015" ] ] }, "page" : "710-715", "title" : "Vulnerability Assessment &amp; Penetration Testing as a Cyber Defence Technology", "type" : "paper-conference", "volume" : "57" }, "uris" : [ "http://www.mendeley.com/documents/?uuid=157e5775-44fd-4104-b90e-be6d4450f3da" ] } ], "mendeley" : { "formattedCitation" : "(Goel &amp; Mehtre, 2015)", "plainTextFormattedCitation" : "(Goel &amp; Mehtre, 2015)", "previouslyFormattedCitation" : "(Goel &amp; Mehtre, 2015)" }, "properties" : { "noteIndex" : 0 }, "schema" : "https://github.com/citation-style-language/schema/raw/master/csl-citation.json" }</w:instrText>
      </w:r>
      <w:r w:rsidR="00B21E1C" w:rsidRPr="00490B2A">
        <w:rPr>
          <w:color w:val="000000" w:themeColor="text1"/>
          <w:sz w:val="20"/>
          <w:szCs w:val="28"/>
          <w:shd w:val="clear" w:color="auto" w:fill="FFFFFF"/>
        </w:rPr>
        <w:fldChar w:fldCharType="separate"/>
      </w:r>
      <w:r w:rsidRPr="00490B2A">
        <w:rPr>
          <w:noProof/>
          <w:color w:val="000000" w:themeColor="text1"/>
          <w:sz w:val="20"/>
          <w:szCs w:val="28"/>
          <w:shd w:val="clear" w:color="auto" w:fill="FFFFFF"/>
        </w:rPr>
        <w:t>(Goel</w:t>
      </w:r>
      <w:r w:rsidR="00700A18" w:rsidRPr="00490B2A">
        <w:rPr>
          <w:noProof/>
          <w:color w:val="000000" w:themeColor="text1"/>
          <w:sz w:val="20"/>
          <w:szCs w:val="28"/>
          <w:shd w:val="clear" w:color="auto" w:fill="FFFFFF"/>
        </w:rPr>
        <w:t xml:space="preserve"> &amp; </w:t>
      </w:r>
      <w:r w:rsidRPr="00490B2A">
        <w:rPr>
          <w:noProof/>
          <w:color w:val="000000" w:themeColor="text1"/>
          <w:sz w:val="20"/>
          <w:szCs w:val="28"/>
          <w:shd w:val="clear" w:color="auto" w:fill="FFFFFF"/>
        </w:rPr>
        <w:t>Mehtre, 2015)</w:t>
      </w:r>
      <w:r w:rsidR="00B21E1C" w:rsidRPr="00490B2A">
        <w:rPr>
          <w:color w:val="000000" w:themeColor="text1"/>
          <w:sz w:val="20"/>
          <w:szCs w:val="28"/>
          <w:shd w:val="clear" w:color="auto" w:fill="FFFFFF"/>
        </w:rPr>
        <w:fldChar w:fldCharType="end"/>
      </w:r>
      <w:r w:rsidRPr="00490B2A">
        <w:rPr>
          <w:color w:val="000000" w:themeColor="text1"/>
          <w:sz w:val="20"/>
          <w:szCs w:val="28"/>
          <w:shd w:val="clear" w:color="auto" w:fill="FFFFFF"/>
        </w:rPr>
        <w:t xml:space="preserve">. The experiences gained through recent past disasters like (“Indian Ocean Tsunami 2004, Bam Earthquake 2003, Haiti Earthquake 2009 and Kashmir Earthquake 2005”) and challenges faced by the local and national governments, donors and many other are thinking about prior disaster management activities to reduce the overall disaster risk and their impacts </w:t>
      </w:r>
      <w:r w:rsidR="00B21E1C" w:rsidRPr="00490B2A">
        <w:rPr>
          <w:color w:val="000000" w:themeColor="text1"/>
          <w:sz w:val="20"/>
          <w:szCs w:val="28"/>
          <w:shd w:val="clear" w:color="auto" w:fill="FFFFFF"/>
        </w:rPr>
        <w:fldChar w:fldCharType="begin" w:fldLock="1"/>
      </w:r>
      <w:r w:rsidRPr="00490B2A">
        <w:rPr>
          <w:color w:val="000000" w:themeColor="text1"/>
          <w:sz w:val="20"/>
          <w:szCs w:val="28"/>
          <w:shd w:val="clear" w:color="auto" w:fill="FFFFFF"/>
        </w:rPr>
        <w:instrText>ADDIN CSL_CITATION { "citationItems" : [ { "id" : "ITEM-1", "itemData" : { "DOI" : "10.1007/s11069-012-0201-x", "ISBN" : "0921-030X", "ISSN" : "0921030X", "abstract" : "Resilience is widely used from a variety of research perspectives; however, community resilience in particular is applied to a number of natural hazards and disasters-related studies, programs, and activities. It is also acknowledged that its measurement is cumbersome but not impossible. The prime objective of this paper is to measure the community resilience of an earthquake-prone area in Baluchistan. The article presents the concept of resilience, its approaches, selection of indicators, formulation of subjective assessment method for weighting the indicators, and finally, developing the community resilience index. For the community resilience measurement, a survey was conducted among 200 households in two earthquake risk zones of Quetta city, using simple random sampling method. The overall composite community resilience index revealed that the resilience is low in both the zones\u2014A and B. However, it is revealed that there is a significant difference between the zones when compared against the components and indicators. Community resilience components such as economic, institutional, and physical have received higher index values in Zone B as compared to Zone A. Based on the findings, it is recommended to improve the socioeconomic, institutional, and structural (housing) conditions of the community by raising the community awareness and pre-paredness, implementing building codes, and providing income-generating activities in order to enhance the community resilience to cope up with earthquake hazards in the future.", "author" : [ { "dropping-particle" : "", "family" : "Ainuddin", "given" : "Syed", "non-dropping-particle" : "", "parse-names" : false, "suffix" : "" }, { "dropping-particle" : "", "family" : "Routray", "given" : "Jayant Kumar", "non-dropping-particle" : "", "parse-names" : false, "suffix" : "" } ], "container-title" : "Natural Hazards", "id" : "ITEM-1", "issue" : "2", "issued" : { "date-parts" : [ [ "2012" ] ] }, "page" : "909-937", "title" : "Earthquake hazards and community resilience in Baluchistan", "type" : "article-journal", "volume" : "63" }, "uris" : [ "http://www.mendeley.com/documents/?uuid=f29f9884-61ce-4055-8d79-8ae55c99eedb" ] } ], "mendeley" : { "formattedCitation" : "(Ainuddin &amp; Routray, 2012b)", "plainTextFormattedCitation" : "(Ainuddin &amp; Routray, 2012b)", "previouslyFormattedCitation" : "(Ainuddin &amp; Routray, 2012b)" }, "properties" : { "noteIndex" : 0 }, "schema" : "https://github.com/citation-style-language/schema/raw/master/csl-citation.json" }</w:instrText>
      </w:r>
      <w:r w:rsidR="00B21E1C" w:rsidRPr="00490B2A">
        <w:rPr>
          <w:color w:val="000000" w:themeColor="text1"/>
          <w:sz w:val="20"/>
          <w:szCs w:val="28"/>
          <w:shd w:val="clear" w:color="auto" w:fill="FFFFFF"/>
        </w:rPr>
        <w:fldChar w:fldCharType="separate"/>
      </w:r>
      <w:r w:rsidRPr="00490B2A">
        <w:rPr>
          <w:noProof/>
          <w:color w:val="000000" w:themeColor="text1"/>
          <w:sz w:val="20"/>
          <w:szCs w:val="28"/>
          <w:shd w:val="clear" w:color="auto" w:fill="FFFFFF"/>
        </w:rPr>
        <w:t>(Ainuddin</w:t>
      </w:r>
      <w:r w:rsidR="00700A18" w:rsidRPr="00490B2A">
        <w:rPr>
          <w:noProof/>
          <w:color w:val="000000" w:themeColor="text1"/>
          <w:sz w:val="20"/>
          <w:szCs w:val="28"/>
          <w:shd w:val="clear" w:color="auto" w:fill="FFFFFF"/>
        </w:rPr>
        <w:t xml:space="preserve"> &amp; </w:t>
      </w:r>
      <w:r w:rsidRPr="00490B2A">
        <w:rPr>
          <w:noProof/>
          <w:color w:val="000000" w:themeColor="text1"/>
          <w:sz w:val="20"/>
          <w:szCs w:val="28"/>
          <w:shd w:val="clear" w:color="auto" w:fill="FFFFFF"/>
        </w:rPr>
        <w:t>Routray, 2012b)</w:t>
      </w:r>
      <w:r w:rsidR="00B21E1C" w:rsidRPr="00490B2A">
        <w:rPr>
          <w:color w:val="000000" w:themeColor="text1"/>
          <w:sz w:val="20"/>
          <w:szCs w:val="28"/>
          <w:shd w:val="clear" w:color="auto" w:fill="FFFFFF"/>
        </w:rPr>
        <w:fldChar w:fldCharType="end"/>
      </w:r>
      <w:r w:rsidRPr="00490B2A">
        <w:rPr>
          <w:color w:val="000000" w:themeColor="text1"/>
          <w:sz w:val="20"/>
          <w:szCs w:val="28"/>
          <w:shd w:val="clear" w:color="auto" w:fill="FFFFFF"/>
        </w:rPr>
        <w:t xml:space="preserve">. In disaster management activities paradigm shift from post </w:t>
      </w:r>
      <w:r w:rsidRPr="00490B2A">
        <w:rPr>
          <w:color w:val="000000" w:themeColor="text1"/>
          <w:sz w:val="20"/>
          <w:szCs w:val="28"/>
          <w:shd w:val="clear" w:color="auto" w:fill="FFFFFF"/>
        </w:rPr>
        <w:lastRenderedPageBreak/>
        <w:t xml:space="preserve">disaster activities to prior disaster activities like disaster risk reduction in line with two main Frameworks (Hyogo framework for action 2005-2015 </w:t>
      </w:r>
      <w:r w:rsidR="00B21E1C" w:rsidRPr="00490B2A">
        <w:rPr>
          <w:color w:val="000000" w:themeColor="text1"/>
          <w:sz w:val="20"/>
          <w:szCs w:val="28"/>
          <w:shd w:val="clear" w:color="auto" w:fill="FFFFFF"/>
        </w:rPr>
        <w:fldChar w:fldCharType="begin" w:fldLock="1"/>
      </w:r>
      <w:r w:rsidRPr="00490B2A">
        <w:rPr>
          <w:color w:val="000000" w:themeColor="text1"/>
          <w:sz w:val="20"/>
          <w:szCs w:val="28"/>
          <w:shd w:val="clear" w:color="auto" w:fill="FFFFFF"/>
        </w:rPr>
        <w:instrText>ADDIN CSL_CITATION { "citationItems" : [ { "id" : "ITEM-1", "itemData" : { "DOI" : "978-600-6937-11-3", "ISBN" : "978-600-6937-11-3", "ISSN" : "1615-5947", "PMID" : "50303894", "abstract" : "The United Nations International Strategy for Disaster Reduction (UNISDR) Terminology aims to promote common understanding and common usage of disaster risk reduction concepts and to assist the disaster risk reduction efforts of authorities, practitioners and the public. The previous version \u201cTerminology: Basic terms of disaster risk reduction\u201d was published in \u201cLiving with risk: a global review of disaster risk reduction initiatives\u201d in 2004. The following year, the Hyogo Framework for Action 2005-2015 requested the UNISDR to \u201cupdate and widely disseminate international standard terminology related to disaster risk reduction, at least in all official United Nations languages, for use in programme and institutions development, operations, research, training curricula and public information programmes\u201d. The 2009 version is the result of a process of ongoing review by the UNISDR and consultations with a broad range of experts and practitioners in various international venues, regional discussions and national settings. The terms are now defined by a single sentence. The comments paragraph associated with each term is not part of the definition, but is provided to give additional context, qualification and explanation. It should be noted that the terms are not necessarily mutually exclusive, and in some cases may have overlapping meanings. The Terminology has been revised to include words that are central to the contemporary understanding and evolving practice of disaster risk reduction but exclude words that have a common dictionary usage. Also included are a number of emerging new concepts that are not in widespread use but are of growing professional relevance; these terms are marked with a star (*) and their definition may evolve in future. The English version of the 2009 Terminology provides the basis for the preparation of other language versions. Comments and suggestions for future revisions are welcome and should be directed to the UNISDR (see www.unisdr.org).", "author" : [ { "dropping-particle" : "", "family" : "UNISDR", "given" : "", "non-dropping-particle" : "", "parse-names" : false, "suffix" : "" } ], "container-title" : "International Stratergy for Disaster Reduction (ISDR)", "id" : "ITEM-1", "issued" : { "date-parts" : [ [ "2009" ] ] }, "page" : "1-30", "title" : "2009 UNISDR Terminology on Disaster Risk Reduction", "type" : "article-journal" }, "uris" : [ "http://www.mendeley.com/documents/?uuid=9e7cb5e7-e346-495b-a6c5-9c31fc51b697" ] } ], "mendeley" : { "formattedCitation" : "(UNISDR, 2009)", "plainTextFormattedCitation" : "(UNISDR, 2009)", "previouslyFormattedCitation" : "(UNISDR, 2009)" }, "properties" : { "noteIndex" : 0 }, "schema" : "https://github.com/citation-style-language/schema/raw/master/csl-citation.json" }</w:instrText>
      </w:r>
      <w:r w:rsidR="00B21E1C" w:rsidRPr="00490B2A">
        <w:rPr>
          <w:color w:val="000000" w:themeColor="text1"/>
          <w:sz w:val="20"/>
          <w:szCs w:val="28"/>
          <w:shd w:val="clear" w:color="auto" w:fill="FFFFFF"/>
        </w:rPr>
        <w:fldChar w:fldCharType="separate"/>
      </w:r>
      <w:r w:rsidRPr="00490B2A">
        <w:rPr>
          <w:noProof/>
          <w:color w:val="000000" w:themeColor="text1"/>
          <w:sz w:val="20"/>
          <w:szCs w:val="28"/>
          <w:shd w:val="clear" w:color="auto" w:fill="FFFFFF"/>
        </w:rPr>
        <w:t>(UNISDR, 2009)</w:t>
      </w:r>
      <w:r w:rsidR="00B21E1C" w:rsidRPr="00490B2A">
        <w:rPr>
          <w:color w:val="000000" w:themeColor="text1"/>
          <w:sz w:val="20"/>
          <w:szCs w:val="28"/>
          <w:shd w:val="clear" w:color="auto" w:fill="FFFFFF"/>
        </w:rPr>
        <w:fldChar w:fldCharType="end"/>
      </w:r>
      <w:r w:rsidRPr="00490B2A">
        <w:rPr>
          <w:color w:val="000000" w:themeColor="text1"/>
          <w:sz w:val="20"/>
          <w:szCs w:val="28"/>
          <w:shd w:val="clear" w:color="auto" w:fill="FFFFFF"/>
        </w:rPr>
        <w:t xml:space="preserve"> and Sendai Framework 2015-2030 </w:t>
      </w:r>
      <w:r w:rsidR="00B21E1C" w:rsidRPr="00490B2A">
        <w:rPr>
          <w:color w:val="000000" w:themeColor="text1"/>
          <w:sz w:val="20"/>
          <w:szCs w:val="28"/>
          <w:shd w:val="clear" w:color="auto" w:fill="FFFFFF"/>
        </w:rPr>
        <w:fldChar w:fldCharType="begin" w:fldLock="1"/>
      </w:r>
      <w:r w:rsidRPr="00490B2A">
        <w:rPr>
          <w:color w:val="000000" w:themeColor="text1"/>
          <w:sz w:val="20"/>
          <w:szCs w:val="28"/>
          <w:shd w:val="clear" w:color="auto" w:fill="FFFFFF"/>
        </w:rPr>
        <w:instrText>ADDIN CSL_CITATION { "citationItems" : [ { "id" : "ITEM-1", "itemData" : { "DOI" : "10.1007/s13753-015-0050-9", "ISBN" : "1375301500", "ISSN" : "20950055", "abstract" : "The Sendai Framework for Disaster Risk Reduction 2015\u20132030 (SFDRR) is the first global policy framework of the United Nations\u2019 post-2015 agenda. It represents a step in the direction of global policy coherence with explicit reference to health, development, and climate change. To develop SFDRR, the United Nations Office for Disaster Risk Reduction (UNISDR) organized and facilitated several global, regional, national, and intergovernmental negotiations and technical meetings in the period preceding the World Conference on Disaster Risk Reduction (WCDRR) 2015 where SFDRR was adopted. UNISDR also worked with representatives of governments, UN agencies, and scientists to develop targets and indicators for SFDRR and proposed them to member states for negotiation and adoption as measures of progress and achievement in protecting lives and livelihoods. The multiple efforts of the health community in the policy development process, including campaigning for safe schools and hospitals, helped to put people\u2019s mental and physical health, resilience, and well-being higher up the disaster risk reduction (DRR) agenda compared with the Hyogo Framework for Action 2005\u20132015. This article reviews the historical and contemporary policy development process that led to the SFDRR with particular reference to the development of the health theme.", "author" : [ { "dropping-particle" : "", "family" : "Aitsi-Selmi", "given" : "Amina", "non-dropping-particle" : "", "parse-names" : false, "suffix" : "" }, { "dropping-particle" : "", "family" : "Egawa", "given" : "Shinichi", "non-dropping-particle" : "", "parse-names" : false, "suffix" : "" }, { "dropping-particle" : "", "family" : "Sasaki", "given" : "Hiroyuki", "non-dropping-particle" : "", "parse-names" : false, "suffix" : "" }, { "dropping-particle" : "", "family" : "Wannous", "given" : "Chadia", "non-dropping-particle" : "", "parse-names" : false, "suffix" : "" }, { "dropping-particle" : "", "family" : "Murray", "given" : "Virginia", "non-dropping-particle" : "", "parse-names" : false, "suffix" : "" } ], "container-title" : "International Journal of Disaster Risk Science", "id" : "ITEM-1", "issue" : "2", "issued" : { "date-parts" : [ [ "2015" ] ] }, "page" : "164-176", "publisher" : "Beijing Normal University Press", "title" : "The Sendai Framework for Disaster Risk Reduction: Renewing the Global Commitment to People\u2019s Resilience, Health, and Well-being", "type" : "article-journal", "volume" : "6" }, "uris" : [ "http://www.mendeley.com/documents/?uuid=5602fbc5-3c46-4108-8b60-2be087ce3d6d" ] } ], "mendeley" : { "formattedCitation" : "(Aitsi-Selmi, Egawa, Sasaki, Wannous, &amp; Murray, 2015)", "plainTextFormattedCitation" : "(Aitsi-Selmi, Egawa, Sasaki, Wannous, &amp; Murray, 2015)", "previouslyFormattedCitation" : "(Aitsi-Selmi, Egawa, Sasaki, Wannous, &amp; Murray, 2015)" }, "properties" : { "noteIndex" : 0 }, "schema" : "https://github.com/citation-style-language/schema/raw/master/csl-citation.json" }</w:instrText>
      </w:r>
      <w:r w:rsidR="00B21E1C" w:rsidRPr="00490B2A">
        <w:rPr>
          <w:color w:val="000000" w:themeColor="text1"/>
          <w:sz w:val="20"/>
          <w:szCs w:val="28"/>
          <w:shd w:val="clear" w:color="auto" w:fill="FFFFFF"/>
        </w:rPr>
        <w:fldChar w:fldCharType="separate"/>
      </w:r>
      <w:r w:rsidRPr="00490B2A">
        <w:rPr>
          <w:noProof/>
          <w:color w:val="000000" w:themeColor="text1"/>
          <w:sz w:val="20"/>
          <w:szCs w:val="28"/>
          <w:shd w:val="clear" w:color="auto" w:fill="FFFFFF"/>
        </w:rPr>
        <w:t>(Aitsi-Selmi, Egawa, Sasaki, Wannous,</w:t>
      </w:r>
      <w:r w:rsidR="00700A18" w:rsidRPr="00490B2A">
        <w:rPr>
          <w:noProof/>
          <w:color w:val="000000" w:themeColor="text1"/>
          <w:sz w:val="20"/>
          <w:szCs w:val="28"/>
          <w:shd w:val="clear" w:color="auto" w:fill="FFFFFF"/>
        </w:rPr>
        <w:t xml:space="preserve"> &amp; </w:t>
      </w:r>
      <w:r w:rsidRPr="00490B2A">
        <w:rPr>
          <w:noProof/>
          <w:color w:val="000000" w:themeColor="text1"/>
          <w:sz w:val="20"/>
          <w:szCs w:val="28"/>
          <w:shd w:val="clear" w:color="auto" w:fill="FFFFFF"/>
        </w:rPr>
        <w:t>Murray, 2015)</w:t>
      </w:r>
      <w:r w:rsidR="00B21E1C" w:rsidRPr="00490B2A">
        <w:rPr>
          <w:color w:val="000000" w:themeColor="text1"/>
          <w:sz w:val="20"/>
          <w:szCs w:val="28"/>
          <w:shd w:val="clear" w:color="auto" w:fill="FFFFFF"/>
        </w:rPr>
        <w:fldChar w:fldCharType="end"/>
      </w:r>
      <w:r w:rsidRPr="00490B2A">
        <w:rPr>
          <w:color w:val="000000" w:themeColor="text1"/>
          <w:sz w:val="20"/>
          <w:szCs w:val="28"/>
          <w:shd w:val="clear" w:color="auto" w:fill="FFFFFF"/>
        </w:rPr>
        <w:t xml:space="preserve">. Therefore, this paper has made an attempt to assess the community vulnerability in the context of natural hazards in Baluchistan. </w:t>
      </w:r>
      <w:r w:rsidRPr="00490B2A">
        <w:rPr>
          <w:color w:val="000000" w:themeColor="text1"/>
          <w:sz w:val="20"/>
          <w:szCs w:val="28"/>
        </w:rPr>
        <w:t xml:space="preserve">The study area has been typically exposed to natural disasters (flood, Drought, earthquake), on account of its unique geographical conditions. In this paper vulnerability assessment is taken based on four main components social, </w:t>
      </w:r>
      <w:r w:rsidR="00BF723E" w:rsidRPr="00490B2A">
        <w:rPr>
          <w:color w:val="000000" w:themeColor="text1"/>
          <w:sz w:val="20"/>
          <w:szCs w:val="28"/>
        </w:rPr>
        <w:t>economic</w:t>
      </w:r>
      <w:r w:rsidRPr="00490B2A">
        <w:rPr>
          <w:color w:val="000000" w:themeColor="text1"/>
          <w:sz w:val="20"/>
          <w:szCs w:val="28"/>
        </w:rPr>
        <w:t xml:space="preserve"> physical and institutional. The study would be beneficial to addressing the grassroots level problems in the context of natural disasters at community level.</w:t>
      </w:r>
      <w:r w:rsidR="00700A18" w:rsidRPr="00490B2A">
        <w:rPr>
          <w:color w:val="000000" w:themeColor="text1"/>
          <w:sz w:val="20"/>
          <w:szCs w:val="28"/>
        </w:rPr>
        <w:t xml:space="preserve"> </w:t>
      </w:r>
      <w:r w:rsidRPr="00490B2A">
        <w:rPr>
          <w:color w:val="000000" w:themeColor="text1"/>
          <w:sz w:val="20"/>
          <w:szCs w:val="28"/>
        </w:rPr>
        <w:t>Thus it helps in protecting livelihoods and assets during disaster periods.</w:t>
      </w:r>
    </w:p>
    <w:p w:rsidR="00700A18" w:rsidRPr="00490B2A" w:rsidRDefault="00700A18" w:rsidP="00490B2A">
      <w:pPr>
        <w:snapToGrid w:val="0"/>
        <w:spacing w:after="0" w:line="240" w:lineRule="auto"/>
        <w:ind w:firstLine="425"/>
        <w:rPr>
          <w:rFonts w:eastAsiaTheme="minorEastAsia"/>
          <w:color w:val="000000" w:themeColor="text1"/>
          <w:sz w:val="20"/>
          <w:szCs w:val="28"/>
          <w:lang w:eastAsia="zh-CN"/>
        </w:rPr>
      </w:pPr>
    </w:p>
    <w:p w:rsidR="00AC1CFF" w:rsidRPr="00490B2A" w:rsidRDefault="00AC1CFF" w:rsidP="00490B2A">
      <w:pPr>
        <w:snapToGrid w:val="0"/>
        <w:spacing w:after="0" w:line="240" w:lineRule="auto"/>
        <w:rPr>
          <w:b/>
          <w:color w:val="000000" w:themeColor="text1"/>
          <w:sz w:val="20"/>
          <w:szCs w:val="28"/>
        </w:rPr>
      </w:pPr>
      <w:r w:rsidRPr="00490B2A">
        <w:rPr>
          <w:b/>
          <w:color w:val="000000" w:themeColor="text1"/>
          <w:sz w:val="20"/>
          <w:szCs w:val="28"/>
        </w:rPr>
        <w:t>2</w:t>
      </w:r>
      <w:r w:rsidRPr="00490B2A">
        <w:rPr>
          <w:b/>
          <w:color w:val="000000" w:themeColor="text1"/>
          <w:sz w:val="20"/>
          <w:szCs w:val="28"/>
        </w:rPr>
        <w:tab/>
        <w:t>Concepts and Approaches to Vulnerability</w:t>
      </w:r>
    </w:p>
    <w:p w:rsidR="00AC1CFF" w:rsidRPr="00490B2A" w:rsidRDefault="00AC1CFF" w:rsidP="00490B2A">
      <w:pPr>
        <w:snapToGrid w:val="0"/>
        <w:spacing w:after="0" w:line="240" w:lineRule="auto"/>
        <w:rPr>
          <w:b/>
          <w:color w:val="000000" w:themeColor="text1"/>
          <w:sz w:val="20"/>
          <w:szCs w:val="28"/>
        </w:rPr>
      </w:pPr>
      <w:r w:rsidRPr="00490B2A">
        <w:rPr>
          <w:b/>
          <w:color w:val="000000" w:themeColor="text1"/>
          <w:sz w:val="20"/>
          <w:szCs w:val="28"/>
        </w:rPr>
        <w:t>2.1</w:t>
      </w:r>
      <w:r w:rsidRPr="00490B2A">
        <w:rPr>
          <w:b/>
          <w:color w:val="000000" w:themeColor="text1"/>
          <w:sz w:val="20"/>
          <w:szCs w:val="28"/>
        </w:rPr>
        <w:tab/>
        <w:t xml:space="preserve">Vulnerability </w:t>
      </w:r>
    </w:p>
    <w:p w:rsidR="00AC1CFF" w:rsidRPr="00490B2A" w:rsidRDefault="00692900" w:rsidP="00490B2A">
      <w:pPr>
        <w:snapToGrid w:val="0"/>
        <w:spacing w:after="0" w:line="240" w:lineRule="auto"/>
        <w:ind w:firstLine="425"/>
        <w:rPr>
          <w:color w:val="000000" w:themeColor="text1"/>
          <w:sz w:val="20"/>
          <w:szCs w:val="28"/>
        </w:rPr>
      </w:pPr>
      <w:r w:rsidRPr="00490B2A">
        <w:rPr>
          <w:color w:val="000000" w:themeColor="text1"/>
          <w:sz w:val="20"/>
          <w:szCs w:val="28"/>
        </w:rPr>
        <w:t>In the discussion of disasters v</w:t>
      </w:r>
      <w:r w:rsidR="00AC1CFF" w:rsidRPr="00490B2A">
        <w:rPr>
          <w:color w:val="000000" w:themeColor="text1"/>
          <w:sz w:val="20"/>
          <w:szCs w:val="28"/>
        </w:rPr>
        <w:t xml:space="preserve">ulnerability is the most common word </w:t>
      </w:r>
      <w:r w:rsidR="00B21E1C" w:rsidRPr="00490B2A">
        <w:rPr>
          <w:color w:val="000000" w:themeColor="text1"/>
          <w:sz w:val="20"/>
          <w:szCs w:val="28"/>
        </w:rPr>
        <w:fldChar w:fldCharType="begin" w:fldLock="1"/>
      </w:r>
      <w:r w:rsidR="00AC1CFF" w:rsidRPr="00490B2A">
        <w:rPr>
          <w:color w:val="000000" w:themeColor="text1"/>
          <w:sz w:val="20"/>
          <w:szCs w:val="28"/>
        </w:rPr>
        <w:instrText>ADDIN CSL_CITATION { "citationItems" : [ { "id" : "ITEM-1", "itemData" : { "DOI" : "10.13140/2.1.1070.5923", "author" : [ { "dropping-particle" : "", "family" : "Kapoi", "given" : "Kipterer John", "non-dropping-particle" : "", "parse-names" : false, "suffix" : "" }, { "dropping-particle" : "", "family" : "Mundia", "given" : "Ndegwa", "non-dropping-particle" : "", "parse-names" : false, "suffix" : "" } ], "id" : "ITEM-1", "issue" : "May", "issued" : { "date-parts" : [ [ "2014" ] ] }, "page" : "7-10", "title" : "Vulnerability and Drought Risk Assessment for Baringo county livelihoods", "type" : "article-journal", "volume" : "5" }, "uris" : [ "http://www.mendeley.com/documents/?uuid=5b3e3412-4662-43b1-bc45-ce6d8930629b" ] } ], "mendeley" : { "formattedCitation" : "(Kapoi &amp; Mundia, 2014)", "plainTextFormattedCitation" : "(Kapoi &amp; Mundia, 2014)", "previouslyFormattedCitation" : "(Kapoi &amp; Mundia, 2014)" }, "properties" : { "noteIndex" : 0 }, "schema" : "https://github.com/citation-style-language/schema/raw/master/csl-citation.json" }</w:instrText>
      </w:r>
      <w:r w:rsidR="00B21E1C" w:rsidRPr="00490B2A">
        <w:rPr>
          <w:color w:val="000000" w:themeColor="text1"/>
          <w:sz w:val="20"/>
          <w:szCs w:val="28"/>
        </w:rPr>
        <w:fldChar w:fldCharType="separate"/>
      </w:r>
      <w:r w:rsidR="00AC1CFF" w:rsidRPr="00490B2A">
        <w:rPr>
          <w:noProof/>
          <w:color w:val="000000" w:themeColor="text1"/>
          <w:sz w:val="20"/>
          <w:szCs w:val="28"/>
        </w:rPr>
        <w:t>(Kapoi</w:t>
      </w:r>
      <w:r w:rsidR="00700A18" w:rsidRPr="00490B2A">
        <w:rPr>
          <w:noProof/>
          <w:color w:val="000000" w:themeColor="text1"/>
          <w:sz w:val="20"/>
          <w:szCs w:val="28"/>
        </w:rPr>
        <w:t xml:space="preserve"> &amp; </w:t>
      </w:r>
      <w:r w:rsidR="00AC1CFF" w:rsidRPr="00490B2A">
        <w:rPr>
          <w:noProof/>
          <w:color w:val="000000" w:themeColor="text1"/>
          <w:sz w:val="20"/>
          <w:szCs w:val="28"/>
        </w:rPr>
        <w:t>Mundia, 2014)</w:t>
      </w:r>
      <w:r w:rsidR="00B21E1C" w:rsidRPr="00490B2A">
        <w:rPr>
          <w:color w:val="000000" w:themeColor="text1"/>
          <w:sz w:val="20"/>
          <w:szCs w:val="28"/>
        </w:rPr>
        <w:fldChar w:fldCharType="end"/>
      </w:r>
      <w:r w:rsidR="00AC1CFF" w:rsidRPr="00490B2A">
        <w:rPr>
          <w:color w:val="000000" w:themeColor="text1"/>
          <w:sz w:val="20"/>
          <w:szCs w:val="28"/>
        </w:rPr>
        <w:t xml:space="preserve">. In </w:t>
      </w:r>
      <w:r w:rsidRPr="00490B2A">
        <w:rPr>
          <w:color w:val="000000" w:themeColor="text1"/>
          <w:sz w:val="20"/>
          <w:szCs w:val="28"/>
        </w:rPr>
        <w:t xml:space="preserve">the </w:t>
      </w:r>
      <w:r w:rsidR="00AC1CFF" w:rsidRPr="00490B2A">
        <w:rPr>
          <w:color w:val="000000" w:themeColor="text1"/>
          <w:sz w:val="20"/>
          <w:szCs w:val="28"/>
        </w:rPr>
        <w:t>literature</w:t>
      </w:r>
      <w:r w:rsidRPr="00490B2A">
        <w:rPr>
          <w:color w:val="000000" w:themeColor="text1"/>
          <w:sz w:val="20"/>
          <w:szCs w:val="28"/>
        </w:rPr>
        <w:t>,</w:t>
      </w:r>
      <w:r w:rsidR="00700A18" w:rsidRPr="00490B2A">
        <w:rPr>
          <w:color w:val="000000" w:themeColor="text1"/>
          <w:sz w:val="20"/>
          <w:szCs w:val="28"/>
        </w:rPr>
        <w:t xml:space="preserve"> </w:t>
      </w:r>
      <w:r w:rsidR="00AC1CFF" w:rsidRPr="00490B2A">
        <w:rPr>
          <w:color w:val="000000" w:themeColor="text1"/>
          <w:sz w:val="20"/>
          <w:szCs w:val="28"/>
        </w:rPr>
        <w:t xml:space="preserve">vulnerability is defend with the number of </w:t>
      </w:r>
      <w:r w:rsidR="00AC1CFF" w:rsidRPr="00490B2A">
        <w:rPr>
          <w:color w:val="000000" w:themeColor="text1"/>
          <w:sz w:val="20"/>
          <w:szCs w:val="28"/>
        </w:rPr>
        <w:lastRenderedPageBreak/>
        <w:t xml:space="preserve">various definitions but the common definition is “the condition or a set of conditions that make a community susceptible to impacts of the hazards and disasters </w:t>
      </w:r>
      <w:r w:rsidR="00B21E1C" w:rsidRPr="00490B2A">
        <w:rPr>
          <w:color w:val="000000" w:themeColor="text1"/>
          <w:sz w:val="20"/>
          <w:szCs w:val="28"/>
        </w:rPr>
        <w:fldChar w:fldCharType="begin" w:fldLock="1"/>
      </w:r>
      <w:r w:rsidR="00AC1CFF" w:rsidRPr="00490B2A">
        <w:rPr>
          <w:color w:val="000000" w:themeColor="text1"/>
          <w:sz w:val="20"/>
          <w:szCs w:val="28"/>
        </w:rPr>
        <w:instrText>ADDIN CSL_CITATION { "citationItems" : [ { "id" : "ITEM-1", "itemData" : { "DOI" : "978-600-6937-11-3", "ISBN" : "978-600-6937-11-3", "ISSN" : "1615-5947", "PMID" : "50303894", "abstract" : "The United Nations International Strategy for Disaster Reduction (UNISDR) Terminology aims to promote common understanding and common usage of disaster risk reduction concepts and to assist the disaster risk reduction efforts of authorities, practitioners and the public. The previous version \u201cTerminology: Basic terms of disaster risk reduction\u201d was published in \u201cLiving with risk: a global review of disaster risk reduction initiatives\u201d in 2004. The following year, the Hyogo Framework for Action 2005-2015 requested the UNISDR to \u201cupdate and widely disseminate international standard terminology related to disaster risk reduction, at least in all official United Nations languages, for use in programme and institutions development, operations, research, training curricula and public information programmes\u201d. The 2009 version is the result of a process of ongoing review by the UNISDR and consultations with a broad range of experts and practitioners in various international venues, regional discussions and national settings. The terms are now defined by a single sentence. The comments paragraph associated with each term is not part of the definition, but is provided to give additional context, qualification and explanation. It should be noted that the terms are not necessarily mutually exclusive, and in some cases may have overlapping meanings. The Terminology has been revised to include words that are central to the contemporary understanding and evolving practice of disaster risk reduction but exclude words that have a common dictionary usage. Also included are a number of emerging new concepts that are not in widespread use but are of growing professional relevance; these terms are marked with a star (*) and their definition may evolve in future. The English version of the 2009 Terminology provides the basis for the preparation of other language versions. Comments and suggestions for future revisions are welcome and should be directed to the UNISDR (see www.unisdr.org).", "author" : [ { "dropping-particle" : "", "family" : "UNISDR", "given" : "", "non-dropping-particle" : "", "parse-names" : false, "suffix" : "" } ], "container-title" : "International Stratergy for Disaster Reduction (ISDR)", "id" : "ITEM-1", "issued" : { "date-parts" : [ [ "2009" ] ] }, "page" : "1-30", "title" : "2009 UNISDR Terminology on Disaster Risk Reduction", "type" : "article-journal" }, "uris" : [ "http://www.mendeley.com/documents/?uuid=9e7cb5e7-e346-495b-a6c5-9c31fc51b697" ] }, { "id" : "ITEM-2", "itemData" : { "DOI" : "10.1111/j.1467-7660.2007.00441_5.x", "ISBN" : "9280811355\\r9789280811353", "abstract" : "Summary: A seemingly non-stop series of disasters has shown that societies worldwide seem unprepared for the threats posed by natural hazards. The tragic impacts of these events drew short-term attention from policy makers, the media and the general public, but their response was too late to prevent serious harm. Societies need to measure their vulnerabilities in advance, and make adequate provisions. This publication presents a broad range of current approaches to measuring vulnerability and contains concrete experiences and examples from Africa, Asia, the Americas and Europe to illustrate the theoretical analyses.--Publisher's description", "author" : [ { "dropping-particle" : "", "family" : "Birkmann", "given" : "J\u00f6rn", "non-dropping-particle" : "", "parse-names" : false, "suffix" : "" } ], "container-title" : "Measuring vulnerability to natural hazards: towards disaster resilient societies", "id" : "ITEM-2", "issued" : { "date-parts" : [ [ "2006" ] ] }, "page" : "55-77", "title" : "Indicators and criteria for measuring vulnerability: Theoretical bases and requirements", "type" : "article-journal", "volume" : "02" }, "uris" : [ "http://www.mendeley.com/documents/?uuid=7145e02d-5a07-499a-9b71-f372bc7ff33f" ] } ], "mendeley" : { "formattedCitation" : "(Birkmann, 2006; UNISDR, 2009)", "plainTextFormattedCitation" : "(Birkmann, 2006; UNISDR, 2009)", "previouslyFormattedCitation" : "(Birkmann, 2006; UNISDR, 2009)" }, "properties" : { "noteIndex" : 0 }, "schema" : "https://github.com/citation-style-language/schema/raw/master/csl-citation.json" }</w:instrText>
      </w:r>
      <w:r w:rsidR="00B21E1C" w:rsidRPr="00490B2A">
        <w:rPr>
          <w:color w:val="000000" w:themeColor="text1"/>
          <w:sz w:val="20"/>
          <w:szCs w:val="28"/>
        </w:rPr>
        <w:fldChar w:fldCharType="separate"/>
      </w:r>
      <w:r w:rsidR="00AC1CFF" w:rsidRPr="00490B2A">
        <w:rPr>
          <w:noProof/>
          <w:color w:val="000000" w:themeColor="text1"/>
          <w:sz w:val="20"/>
          <w:szCs w:val="28"/>
        </w:rPr>
        <w:t>(Birkmann, 2006; UNISDR, 2009)</w:t>
      </w:r>
      <w:r w:rsidR="00B21E1C" w:rsidRPr="00490B2A">
        <w:rPr>
          <w:color w:val="000000" w:themeColor="text1"/>
          <w:sz w:val="20"/>
          <w:szCs w:val="28"/>
        </w:rPr>
        <w:fldChar w:fldCharType="end"/>
      </w:r>
      <w:r w:rsidR="00AC1CFF" w:rsidRPr="00490B2A">
        <w:rPr>
          <w:color w:val="000000" w:themeColor="text1"/>
          <w:sz w:val="20"/>
          <w:szCs w:val="28"/>
        </w:rPr>
        <w:t xml:space="preserve">. Vulnerability assessment is rare and complex task </w:t>
      </w:r>
      <w:r w:rsidR="00B21E1C" w:rsidRPr="00490B2A">
        <w:rPr>
          <w:color w:val="000000" w:themeColor="text1"/>
          <w:sz w:val="20"/>
          <w:szCs w:val="28"/>
        </w:rPr>
        <w:fldChar w:fldCharType="begin" w:fldLock="1"/>
      </w:r>
      <w:r w:rsidR="00AC1CFF" w:rsidRPr="00490B2A">
        <w:rPr>
          <w:color w:val="000000" w:themeColor="text1"/>
          <w:sz w:val="20"/>
          <w:szCs w:val="28"/>
        </w:rPr>
        <w:instrText>ADDIN CSL_CITATION { "citationItems" : [ { "id" : "ITEM-1", "itemData" : { "DOI" : "10.1016/j.ijdrr.2012.07.003", "ISBN" : "2212-4209", "ISSN" : "22124209", "abstract" : "The development literature on hazards and disasters indicates a visible paradigm shift from hazard assessment to vulnerability analysis and building community resilience. This shift has taken place just after the Kobe Earthquake in 2005, which necessitated the formulation of Hyogo Framework of Actions, the global framework for disaster risk reduction. One of the goals of this framework is to build the resilience of the communities prone to hazards and disasters. The objective of this paper is to analyze and review the frameworks on community resilience in the context of hazards and natural disasters and propose a community resilience framework for an earthquake prone area in Baluchistan, based on the findings of an extensive research carried out on vulnerability and resilience assessment. A household questionnaire survey was conducted among 200 residents of Quetta city, using random sampling method. Based on the findings, the paper has proposed a new community resilience framework, which can be used for upgrading the community preparedness, awareness, and finally leading to community resilience at the local levels. \u00a9 2012 Elsevier Ltd.", "author" : [ { "dropping-particle" : "", "family" : "Ainuddin", "given" : "Syed", "non-dropping-particle" : "", "parse-names" : false, "suffix" : "" }, { "dropping-particle" : "", "family" : "Routray", "given" : "Jayant Kumar", "non-dropping-particle" : "", "parse-names" : false, "suffix" : "" } ], "container-title" : "International Journal of Disaster Risk Reduction", "id" : "ITEM-1", "issue" : "1", "issued" : { "date-parts" : [ [ "2012" ] ] }, "page" : "25-36", "publisher" : "Elsevier", "title" : "Community resilience framework for an earthquake prone area in Baluchistan", "type" : "article-journal", "volume" : "2" }, "uris" : [ "http://www.mendeley.com/documents/?uuid=6173d4c3-682f-4a2a-b006-220b7fee6386" ] } ], "mendeley" : { "formattedCitation" : "(Ainuddin &amp; Routray, 2012a)", "manualFormatting" : "(Ainuddin &amp; Routray, 2012)", "plainTextFormattedCitation" : "(Ainuddin &amp; Routray, 2012a)", "previouslyFormattedCitation" : "(Ainuddin &amp; Routray, 2012a)" }, "properties" : { "noteIndex" : 0 }, "schema" : "https://github.com/citation-style-language/schema/raw/master/csl-citation.json" }</w:instrText>
      </w:r>
      <w:r w:rsidR="00B21E1C" w:rsidRPr="00490B2A">
        <w:rPr>
          <w:color w:val="000000" w:themeColor="text1"/>
          <w:sz w:val="20"/>
          <w:szCs w:val="28"/>
        </w:rPr>
        <w:fldChar w:fldCharType="separate"/>
      </w:r>
      <w:r w:rsidR="00AC1CFF" w:rsidRPr="00490B2A">
        <w:rPr>
          <w:noProof/>
          <w:color w:val="000000" w:themeColor="text1"/>
          <w:sz w:val="20"/>
          <w:szCs w:val="28"/>
        </w:rPr>
        <w:t>(Ainuddin</w:t>
      </w:r>
      <w:r w:rsidR="00700A18" w:rsidRPr="00490B2A">
        <w:rPr>
          <w:noProof/>
          <w:color w:val="000000" w:themeColor="text1"/>
          <w:sz w:val="20"/>
          <w:szCs w:val="28"/>
        </w:rPr>
        <w:t xml:space="preserve"> &amp; </w:t>
      </w:r>
      <w:r w:rsidR="00AC1CFF" w:rsidRPr="00490B2A">
        <w:rPr>
          <w:noProof/>
          <w:color w:val="000000" w:themeColor="text1"/>
          <w:sz w:val="20"/>
          <w:szCs w:val="28"/>
        </w:rPr>
        <w:t>Routray, 2012)</w:t>
      </w:r>
      <w:r w:rsidR="00B21E1C" w:rsidRPr="00490B2A">
        <w:rPr>
          <w:color w:val="000000" w:themeColor="text1"/>
          <w:sz w:val="20"/>
          <w:szCs w:val="28"/>
        </w:rPr>
        <w:fldChar w:fldCharType="end"/>
      </w:r>
      <w:r w:rsidR="00AC1CFF" w:rsidRPr="00490B2A">
        <w:rPr>
          <w:color w:val="000000" w:themeColor="text1"/>
          <w:sz w:val="20"/>
          <w:szCs w:val="28"/>
        </w:rPr>
        <w:t xml:space="preserve">. The advance literature on vulnerability has distinguished the need of addressing the impacts and changes taking place due to overall environmental change. The venerability of any natural hazard may not be addressed alone rather it compared with resilience and sensitivity of such hazard </w:t>
      </w:r>
      <w:r w:rsidR="00B21E1C" w:rsidRPr="00490B2A">
        <w:rPr>
          <w:color w:val="000000" w:themeColor="text1"/>
          <w:sz w:val="20"/>
          <w:szCs w:val="28"/>
        </w:rPr>
        <w:fldChar w:fldCharType="begin" w:fldLock="1"/>
      </w:r>
      <w:r w:rsidR="00AC1CFF" w:rsidRPr="00490B2A">
        <w:rPr>
          <w:color w:val="000000" w:themeColor="text1"/>
          <w:sz w:val="20"/>
          <w:szCs w:val="28"/>
        </w:rPr>
        <w:instrText>ADDIN CSL_CITATION { "citationItems" : [ { "id" : "ITEM-1", "itemData" : { "DOI" : "10.1016/j.gloenvcha.2010.07.003", "ISBN" : "0959-3780", "ISSN" : "09593780", "abstract" : "Vulnerability and resilience constitute different but overlapping research themes embraced by sustainability science. As practiced within this science, the two research themes appear to coalesce around one of the foundational pivots of sustainability, the coupled human-environment system. They differ in regard to their attention to two other pivots, environmental services and the tradeoffs of these services with human outcomes. In this essay I briefly review the emergence of sustainability science and the three foundational pivots relevant to vulnerability and resilience. I outline the distinctions and similarities between the two research themes foremost as practiced within sustainability science and especially in regard to the attention given to the three pivots. I conclude with the observation that improvement in the capacity of vulnerability and resilience research to inform sustainability science may hinge on their linkages in addressing tradeoffs. \u00a9 2010 Elsevier Ltd.", "author" : [ { "dropping-particle" : "", "family" : "Turner", "given" : "B. L.", "non-dropping-particle" : "", "parse-names" : false, "suffix" : "" } ], "container-title" : "Global Environmental Change", "id" : "ITEM-1", "issue" : "4", "issued" : { "date-parts" : [ [ "2010" ] ] }, "page" : "570-576", "publisher" : "Elsevier Ltd", "title" : "Vulnerability and resilience: Coalescing or paralleling approaches for sustainability science?", "type" : "article-journal", "volume" : "20" }, "uris" : [ "http://www.mendeley.com/documents/?uuid=62a8f106-3b10-4342-baf0-ceafb0ebac44" ] } ], "mendeley" : { "formattedCitation" : "(Turner, 2010)", "plainTextFormattedCitation" : "(Turner, 2010)", "previouslyFormattedCitation" : "(Turner, 2010)" }, "properties" : { "noteIndex" : 0 }, "schema" : "https://github.com/citation-style-language/schema/raw/master/csl-citation.json" }</w:instrText>
      </w:r>
      <w:r w:rsidR="00B21E1C" w:rsidRPr="00490B2A">
        <w:rPr>
          <w:color w:val="000000" w:themeColor="text1"/>
          <w:sz w:val="20"/>
          <w:szCs w:val="28"/>
        </w:rPr>
        <w:fldChar w:fldCharType="separate"/>
      </w:r>
      <w:r w:rsidR="00AC1CFF" w:rsidRPr="00490B2A">
        <w:rPr>
          <w:noProof/>
          <w:color w:val="000000" w:themeColor="text1"/>
          <w:sz w:val="20"/>
          <w:szCs w:val="28"/>
        </w:rPr>
        <w:t>(Turner, 2010)</w:t>
      </w:r>
      <w:r w:rsidR="00B21E1C" w:rsidRPr="00490B2A">
        <w:rPr>
          <w:color w:val="000000" w:themeColor="text1"/>
          <w:sz w:val="20"/>
          <w:szCs w:val="28"/>
        </w:rPr>
        <w:fldChar w:fldCharType="end"/>
      </w:r>
      <w:r w:rsidR="00AC1CFF" w:rsidRPr="00490B2A">
        <w:rPr>
          <w:color w:val="000000" w:themeColor="text1"/>
          <w:sz w:val="20"/>
          <w:szCs w:val="28"/>
        </w:rPr>
        <w:t>. Therefore, building resilience to natural disasters need to start at the local level and turn into part of long-term considerations and an essential part of strategies related to economy, water, food security and hazard preparation.</w:t>
      </w:r>
    </w:p>
    <w:p w:rsidR="00AC1CFF" w:rsidRPr="00490B2A" w:rsidRDefault="00AC1CFF" w:rsidP="00490B2A">
      <w:pPr>
        <w:pStyle w:val="Heading2"/>
        <w:numPr>
          <w:ilvl w:val="1"/>
          <w:numId w:val="0"/>
        </w:numPr>
        <w:snapToGrid w:val="0"/>
        <w:spacing w:after="0" w:line="240" w:lineRule="auto"/>
        <w:jc w:val="both"/>
        <w:rPr>
          <w:color w:val="000000" w:themeColor="text1"/>
          <w:sz w:val="20"/>
          <w:szCs w:val="28"/>
        </w:rPr>
      </w:pPr>
      <w:r w:rsidRPr="00490B2A">
        <w:rPr>
          <w:color w:val="000000" w:themeColor="text1"/>
          <w:sz w:val="20"/>
          <w:szCs w:val="28"/>
        </w:rPr>
        <w:t>2.2</w:t>
      </w:r>
      <w:r w:rsidRPr="00490B2A">
        <w:rPr>
          <w:color w:val="000000" w:themeColor="text1"/>
          <w:sz w:val="20"/>
          <w:szCs w:val="28"/>
        </w:rPr>
        <w:tab/>
        <w:t>Vulnerability Assessment</w:t>
      </w:r>
    </w:p>
    <w:p w:rsidR="00AC1CFF"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t>Vulnerability assessment is multifaceted and varies by nature of hazard and by geographical location, hazard power and the mitigation measures (Structural and Non Structural) of the community respond to a disaster. Researchers have different ideas in the understanding of vulnerability as of different direction, supporting ecology, human ecosystem, spatial study and physical knowledge,</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"10.1016/j.gloenvcha.2006.02.006", "ISBN" : "09593780", "ISSN" : "09593780", "abstract" : "This paper reviews research traditions of vulnerability to environmental change and the challenges for present vulnerability research in integrating with the domains of resilience and adaptation. Vulnerability is the state of susceptibility to harm from exposure to stresses associated with environmental and social change and from the absence of capacity to adapt. Antecedent traditions include theories of vulnerability as entitlement failure and theories of hazard. Each of these areas has contributed to present formulations of vulnerability to environmental change as a characteristic of social-ecological systems linked to resilience. Research on vulnerability to the impacts of climate change spans all the antecedent and successor traditions. The challenges for vulnerability research are to develop robust and credible measures, to incorporate diverse methods that include perceptions of risk and vulnerability, and to incorporate governance research on the mechanisms that mediate vulnerability and promote adaptive action and resilience. These challenges are common to the domains of vulnerability, adaptation and resilience and form common ground for consilience and integration. \u00a9 2006 Elsevier Ltd. All rights reserved.", "author" : [ { "dropping-particle" : "", "family" : "Adger", "given" : "W. Neil", "non-dropping-particle" : "", "parse-names" : false, "suffix" : "" } ], "container-title" : "Global Environmental Change", "id" : "ITEM-1", "issue" : "3", "issued" : { "date-parts" : [ [ "2006" ] ] }, "page" : "268-281", "title" : "Vulnerability", "type" : "article-journal", "volume" : "16" }, "uris" : [ "http://www.mendeley.com/documents/?uuid=8799b0e5-7dd2-480c-b95b-40bf42d657e0" ] } ], "mendeley" : { "formattedCitation" : "(W. Neil Adger, 2006)", "plainTextFormattedCitation" : "(W. Neil Adger, 2006)", "previouslyFormattedCitation" : "(W. Neil Adger, 2006)"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(W. Neil Adger, 2006)</w:t>
      </w:r>
      <w:r w:rsidR="00B21E1C" w:rsidRPr="00490B2A">
        <w:rPr>
          <w:color w:val="000000" w:themeColor="text1"/>
          <w:sz w:val="20"/>
          <w:szCs w:val="28"/>
        </w:rPr>
        <w:fldChar w:fldCharType="end"/>
      </w:r>
      <w:r w:rsidR="00490B2A" w:rsidRPr="00490B2A">
        <w:rPr>
          <w:color w:val="000000" w:themeColor="text1"/>
          <w:sz w:val="20"/>
          <w:szCs w:val="28"/>
        </w:rPr>
        <w:t>.</w:t>
      </w:r>
      <w:r w:rsidR="00490B2A">
        <w:rPr>
          <w:color w:val="000000" w:themeColor="text1"/>
          <w:sz w:val="20"/>
          <w:szCs w:val="28"/>
        </w:rPr>
        <w:t xml:space="preserve"> </w:t>
      </w:r>
      <w:r w:rsidR="00490B2A" w:rsidRPr="00490B2A">
        <w:rPr>
          <w:color w:val="000000" w:themeColor="text1"/>
          <w:sz w:val="20"/>
          <w:szCs w:val="28"/>
        </w:rPr>
        <w:t>W</w:t>
      </w:r>
      <w:r w:rsidRPr="00490B2A">
        <w:rPr>
          <w:color w:val="000000" w:themeColor="text1"/>
          <w:sz w:val="20"/>
          <w:szCs w:val="28"/>
        </w:rPr>
        <w:t>hereas the measurement of vulnerable condition of various institutions, groups, and systems which find out flexibility in the background of ecological variation is a rising latest research problem</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"10.1007/s11069-009-9376-1", "ISBN" : "0921-030X", "ISSN" : "0921030X", "abstract" : "Tsunamis generated by Cascadia subduction zone earthquakes pose significant threats to coastal communities in the U.S. Pacific Northwest. Impacts of future tsunamis to individuals and communities will likely vary due to pre-event socioeconomic and demographic differences. In order to assess social vulnerability to Cascadia tsunamis, we adjust a social vulnerability index based on principal component analysis first developed by Cutter et al. (2003) to operate at the census-block level of geography and focus on community-level comparisons along the Oregon coast. The number of residents from blocks in tsunami-prone areas considered to have higher social vulnerability varies considerably among 26 Oregon cities and most are concentrated in four cities and two unincorporated areas. Variations in the number of residents from census blocks considered to have higher social vulnerability in each city do not strongly correlate with the number of residents or city assets in tsunami-prone areas. Methods presented here will help emergency managers to identify community sub-groups that are more susceptible to loss and to develop risk-reduction strategies that are tailored to local conditions.", "author" : [ { "dropping-particle" : "", "family" : "Wood", "given" : "Nathan J.", "non-dropping-particle" : "", "parse-names" : false, "suffix" : "" }, { "dropping-particle" : "", "family" : "Burton", "given" : "Christopher G.", "non-dropping-particle" : "", "parse-names" : false, "suffix" : "" }, { "dropping-particle" : "", "family" : "Cutter", "given" : "Susan L.", "non-dropping-particle" : "", "parse-names" : false, "suffix" : "" } ], "container-title" : "Natural Hazards", "id" : "ITEM-1", "issue" : "2", "issued" : { "date-parts" : [ [ "2010" ] ] }, "page" : "369-389", "title" : "Community variations in social vulnerability to Cascadia-related tsunamis in the U.S. Pacific Northwest", "type" : "article-journal", "volume" : "52" }, "uris" : [ "http://www.mendeley.com/documents/?uuid=aabae841-1199-4b73-9c16-ea271aba7622" ] } ], "mendeley" : { "formattedCitation" : "(Wood, Burton, &amp; Cutter, 2010)", "plainTextFormattedCitation" : "(Wood, Burton, &amp; Cutter, 2010)", "previouslyFormattedCitation" : "(Wood, Burton, &amp; Cutter, 2010)"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(Wood, Burton,</w:t>
      </w:r>
      <w:r w:rsidR="00700A18" w:rsidRPr="00490B2A">
        <w:rPr>
          <w:noProof/>
          <w:color w:val="000000" w:themeColor="text1"/>
          <w:sz w:val="20"/>
          <w:szCs w:val="28"/>
        </w:rPr>
        <w:t xml:space="preserve"> &amp; </w:t>
      </w:r>
      <w:r w:rsidRPr="00490B2A">
        <w:rPr>
          <w:noProof/>
          <w:color w:val="000000" w:themeColor="text1"/>
          <w:sz w:val="20"/>
          <w:szCs w:val="28"/>
        </w:rPr>
        <w:t>Cutter, 2010)</w:t>
      </w:r>
      <w:r w:rsidR="00B21E1C" w:rsidRPr="00490B2A">
        <w:rPr>
          <w:color w:val="000000" w:themeColor="text1"/>
          <w:sz w:val="20"/>
          <w:szCs w:val="28"/>
        </w:rPr>
        <w:fldChar w:fldCharType="end"/>
      </w:r>
      <w:r w:rsidRPr="00490B2A">
        <w:rPr>
          <w:color w:val="000000" w:themeColor="text1"/>
          <w:sz w:val="20"/>
          <w:szCs w:val="28"/>
        </w:rPr>
        <w:t>.</w:t>
      </w:r>
      <w:r w:rsidR="00700A18" w:rsidRPr="00490B2A">
        <w:rPr>
          <w:color w:val="000000" w:themeColor="text1"/>
          <w:sz w:val="20"/>
          <w:szCs w:val="28"/>
        </w:rPr>
        <w:t xml:space="preserve"> </w:t>
      </w:r>
      <w:r w:rsidRPr="00490B2A">
        <w:rPr>
          <w:color w:val="000000" w:themeColor="text1"/>
          <w:sz w:val="20"/>
          <w:szCs w:val="28"/>
        </w:rPr>
        <w:t xml:space="preserve">Typically vulnerability has been identified mainly with three </w:t>
      </w:r>
      <w:r w:rsidRPr="00490B2A">
        <w:rPr>
          <w:color w:val="000000" w:themeColor="text1"/>
          <w:sz w:val="20"/>
          <w:szCs w:val="28"/>
        </w:rPr>
        <w:lastRenderedPageBreak/>
        <w:t>important ideas</w:t>
      </w:r>
      <w:r w:rsidR="001E06FD">
        <w:rPr>
          <w:rFonts w:eastAsiaTheme="minorEastAsia" w:hint="eastAsia"/>
          <w:color w:val="000000" w:themeColor="text1"/>
          <w:sz w:val="20"/>
          <w:szCs w:val="28"/>
          <w:lang w:eastAsia="zh-CN"/>
        </w:rPr>
        <w:t xml:space="preserve">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"10.1016/j.gloenvcha.2010.07.003", "ISBN" : "0959-3780", "ISSN" : "09593780", "abstract" : "Vulnerability and resilience constitute different but overlapping research themes embraced by sustainability science. As practiced within this science, the two research themes appear to coalesce around one of the foundational pivots of sustainability, the coupled human-environment system. They differ in regard to their attention to two other pivots, environmental services and the tradeoffs of these services with human outcomes. In this essay I briefly review the emergence of sustainability science and the three foundational pivots relevant to vulnerability and resilience. I outline the distinctions and similarities between the two research themes foremost as practiced within sustainability science and especially in regard to the attention given to the three pivots. I conclude with the observation that improvement in the capacity of vulnerability and resilience research to inform sustainability science may hinge on their linkages in addressing tradeoffs. \u00a9 2010 Elsevier Ltd.", "author" : [ { "dropping-particle" : "", "family" : "Turner", "given" : "B. L.", "non-dropping-particle" : "", "parse-names" : false, "suffix" : "" } ], "container-title" : "Global Environmental Change", "id" : "ITEM-1", "issue" : "4", "issued" : { "date-parts" : [ [ "2010" ] ] }, "page" : "570-576", "publisher" : "Elsevier Ltd", "title" : "Vulnerability and resilience: Coalescing or paralleling approaches for sustainability science?", "type" : "article-journal", "volume" : "20" }, "uris" : [ "http://www.mendeley.com/documents/?uuid=62a8f106-3b10-4342-baf0-ceafb0ebac44" ] } ], "mendeley" : { "formattedCitation" : "(Turner, 2010)", "plainTextFormattedCitation" : "(Turner, 2010)", "previouslyFormattedCitation" : "(Turner, 2010)"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(Turner, 2010)</w:t>
      </w:r>
      <w:r w:rsidR="00B21E1C" w:rsidRPr="00490B2A">
        <w:rPr>
          <w:color w:val="000000" w:themeColor="text1"/>
          <w:sz w:val="20"/>
          <w:szCs w:val="28"/>
        </w:rPr>
        <w:fldChar w:fldCharType="end"/>
      </w:r>
      <w:r w:rsidRPr="00490B2A">
        <w:rPr>
          <w:color w:val="000000" w:themeColor="text1"/>
          <w:sz w:val="20"/>
          <w:szCs w:val="28"/>
        </w:rPr>
        <w:t xml:space="preserve">. Firstly vulnerability as disaster practices describes the ways of technological or biophysical risks and identifies the vulnerable condition with the occurrences of risky events and allocation of dangerous circumstances. Secondly it sees vulnerability as community comeback, to examine the collective struggle and coping responses which is fixed in cultural, economic, historical and societal process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"10.1002/pfi.2006.4930450504", "ISBN" : "3981058267", "ISSN" : "1090-8811", "abstract" : "Measuring the Un-Measurable is a short and succinct title as well as an indication of the challenges and difficulties in deriving appropriate methodologies, indicators and criteria to identify,measure and assess vulnerabilities of societies at risk.The most recent mega-events,the 2004 Indian Ocean tsunami and hurricane Katrina in 2005 certainly revealed the vulnerability of societies in developing and developed countries to the impact of natural hazards. Improving risk reduction and disaster preparedness requires first and foremost the identification and assessment of various vulnerabilities of societies, their economy, environmental resource base, and their institutional structures. Thus for effective preparedness strategies and sustainable recovery the development of tools to measure vulnerability is a prerequisite.", "author" : [ { "dropping-particle" : "", "family" : "Birkmann", "given" : "J\u00f6rn", "non-dropping-particle" : "", "parse-names" : false, "suffix" : "" }, { "dropping-particle" : "", "family" : "Wisner", "given" : "Ben", "non-dropping-particle" : "", "parse-names" : false, "suffix" : "" } ], "container-title" : "UNU-EHS", "id" : "ITEM-1", "issued" : { "date-parts" : [ [ "2006" ] ] }, "number-of-pages" : "2006", "title" : "Measuring the Un-Measurable. The Challenge of Vulnerability", "type" : "book", "volume" : "5" }, "uris" : [ "http://www.mendeley.com/documents/?uuid=8ad7ff24-0b2a-4459-b843-4dc08216f5eb" ] } ], "mendeley" : { "formattedCitation" : "(Birkmann &amp; Wisner, 2006)", "plainTextFormattedCitation" : "(Birkmann &amp; Wisner, 2006)", "previouslyFormattedCitation" : "(Birkmann &amp; Wisner, 2006)"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(Birkmann</w:t>
      </w:r>
      <w:r w:rsidR="00700A18" w:rsidRPr="00490B2A">
        <w:rPr>
          <w:noProof/>
          <w:color w:val="000000" w:themeColor="text1"/>
          <w:sz w:val="20"/>
          <w:szCs w:val="28"/>
        </w:rPr>
        <w:t xml:space="preserve"> &amp; </w:t>
      </w:r>
      <w:r w:rsidRPr="00490B2A">
        <w:rPr>
          <w:noProof/>
          <w:color w:val="000000" w:themeColor="text1"/>
          <w:sz w:val="20"/>
          <w:szCs w:val="28"/>
        </w:rPr>
        <w:t>Wisner, 2006)</w:t>
      </w:r>
      <w:r w:rsidR="00B21E1C" w:rsidRPr="00490B2A">
        <w:rPr>
          <w:color w:val="000000" w:themeColor="text1"/>
          <w:sz w:val="20"/>
          <w:szCs w:val="28"/>
        </w:rPr>
        <w:fldChar w:fldCharType="end"/>
      </w:r>
      <w:r w:rsidRPr="00490B2A">
        <w:rPr>
          <w:color w:val="000000" w:themeColor="text1"/>
          <w:sz w:val="20"/>
          <w:szCs w:val="28"/>
        </w:rPr>
        <w:t xml:space="preserve">. “Thirdly the idea of vulnerability of places based on the mixture of the first two instructions apart from physically centered attractive both societal response and biophysical risk in an exacting geographic domain”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"10.1007/s11069-009-9376-1", "ISBN" : "0921-030X", "ISSN" : "0921030X", "abstract" : "Tsunamis generated by Cascadia subduction zone earthquakes pose significant threats to coastal communities in the U.S. Pacific Northwest. Impacts of future tsunamis to individuals and communities will likely vary due to pre-event socioeconomic and demographic differences. In order to assess social vulnerability to Cascadia tsunamis, we adjust a social vulnerability index based on principal component analysis first developed by Cutter et al. (2003) to operate at the census-block level of geography and focus on community-level comparisons along the Oregon coast. The number of residents from blocks in tsunami-prone areas considered to have higher social vulnerability varies considerably among 26 Oregon cities and most are concentrated in four cities and two unincorporated areas. Variations in the number of residents from census blocks considered to have higher social vulnerability in each city do not strongly correlate with the number of residents or city assets in tsunami-prone areas. Methods presented here will help emergency managers to identify community sub-groups that are more susceptible to loss and to develop risk-reduction strategies that are tailored to local conditions.", "author" : [ { "dropping-particle" : "", "family" : "Wood", "given" : "Nathan J.", "non-dropping-particle" : "", "parse-names" : false, "suffix" : "" }, { "dropping-particle" : "", "family" : "Burton", "given" : "Christopher G.", "non-dropping-particle" : "", "parse-names" : false, "suffix" : "" }, { "dropping-particle" : "", "family" : "Cutter", "given" : "Susan L.", "non-dropping-particle" : "", "parse-names" : false, "suffix" : "" } ], "container-title" : "Natural Hazards", "id" : "ITEM-1", "issue" : "2", "issued" : { "date-parts" : [ [ "2010" ] ] }, "page" : "369-389", "title" : "Community variations in social vulnerability to Cascadia-related tsunamis in the U.S. Pacific Northwest", "type" : "article-journal", "volume" : "52" }, "uris" : [ "http://www.mendeley.com/documents/?uuid=aabae841-1199-4b73-9c16-ea271aba7622" ] } ], "mendeley" : { "formattedCitation" : "(Wood et al., 2010)", "plainTextFormattedCitation" : "(Wood et al., 2010)", "previouslyFormattedCitation" : "(Wood et al., 2010)"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(Wood et al., 2010)</w:t>
      </w:r>
      <w:r w:rsidR="00B21E1C" w:rsidRPr="00490B2A">
        <w:rPr>
          <w:color w:val="000000" w:themeColor="text1"/>
          <w:sz w:val="20"/>
          <w:szCs w:val="28"/>
        </w:rPr>
        <w:fldChar w:fldCharType="end"/>
      </w:r>
      <w:r w:rsidRPr="00490B2A">
        <w:rPr>
          <w:color w:val="000000" w:themeColor="text1"/>
          <w:sz w:val="20"/>
          <w:szCs w:val="28"/>
        </w:rPr>
        <w:t>.</w:t>
      </w:r>
    </w:p>
    <w:p w:rsidR="00AC1CFF"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t>2.3</w:t>
      </w:r>
      <w:r w:rsidRPr="00490B2A">
        <w:rPr>
          <w:color w:val="000000" w:themeColor="text1"/>
          <w:sz w:val="20"/>
          <w:szCs w:val="28"/>
        </w:rPr>
        <w:tab/>
        <w:t>Community Vulnerability Indices</w:t>
      </w:r>
    </w:p>
    <w:p w:rsidR="00AC1CFF" w:rsidRPr="00490B2A" w:rsidRDefault="00AC1CFF" w:rsidP="00490B2A">
      <w:pPr>
        <w:snapToGrid w:val="0"/>
        <w:spacing w:after="0" w:line="240" w:lineRule="auto"/>
        <w:ind w:firstLine="425"/>
        <w:rPr>
          <w:rFonts w:eastAsiaTheme="minorEastAsia"/>
          <w:color w:val="000000" w:themeColor="text1"/>
          <w:sz w:val="20"/>
          <w:szCs w:val="28"/>
          <w:lang w:eastAsia="zh-CN"/>
        </w:rPr>
      </w:pPr>
      <w:r w:rsidRPr="00490B2A">
        <w:rPr>
          <w:color w:val="000000" w:themeColor="text1"/>
          <w:sz w:val="20"/>
          <w:szCs w:val="28"/>
        </w:rPr>
        <w:t>Indices are useful as</w:t>
      </w:r>
      <w:r w:rsidR="00692900" w:rsidRPr="00490B2A">
        <w:rPr>
          <w:color w:val="000000" w:themeColor="text1"/>
          <w:sz w:val="20"/>
          <w:szCs w:val="28"/>
        </w:rPr>
        <w:t xml:space="preserve"> they illustrate </w:t>
      </w:r>
      <w:r w:rsidRPr="00490B2A">
        <w:rPr>
          <w:color w:val="000000" w:themeColor="text1"/>
          <w:sz w:val="20"/>
          <w:szCs w:val="28"/>
        </w:rPr>
        <w:t xml:space="preserve">measurement of various areas throughout disasters, </w:t>
      </w:r>
      <w:r w:rsidR="00692900" w:rsidRPr="00490B2A">
        <w:rPr>
          <w:color w:val="000000" w:themeColor="text1"/>
          <w:sz w:val="20"/>
          <w:szCs w:val="28"/>
        </w:rPr>
        <w:t xml:space="preserve">such as </w:t>
      </w:r>
      <w:r w:rsidRPr="00490B2A">
        <w:rPr>
          <w:color w:val="000000" w:themeColor="text1"/>
          <w:sz w:val="20"/>
          <w:szCs w:val="28"/>
        </w:rPr>
        <w:t xml:space="preserve">deficiency, societal development, quality of life, scarcity and human growth. Indices are used at different level globally, regionally and locally such as Cutter’s social vulnerability index is the most popular index for the vulnerability assessment. </w:t>
      </w:r>
      <w:r w:rsidR="00AF6858" w:rsidRPr="00490B2A">
        <w:rPr>
          <w:color w:val="000000" w:themeColor="text1"/>
          <w:sz w:val="20"/>
          <w:szCs w:val="28"/>
        </w:rPr>
        <w:t>In this article v</w:t>
      </w:r>
      <w:r w:rsidRPr="00490B2A">
        <w:rPr>
          <w:color w:val="000000" w:themeColor="text1"/>
          <w:sz w:val="20"/>
          <w:szCs w:val="28"/>
        </w:rPr>
        <w:t xml:space="preserve">ulnerability weighted index is used for the assessment of vulnerability. The overall study is based on four main general components as social, </w:t>
      </w:r>
      <w:r w:rsidR="00B24A1D" w:rsidRPr="00490B2A">
        <w:rPr>
          <w:color w:val="000000" w:themeColor="text1"/>
          <w:sz w:val="20"/>
          <w:szCs w:val="28"/>
        </w:rPr>
        <w:t>economic</w:t>
      </w:r>
      <w:r w:rsidRPr="00490B2A">
        <w:rPr>
          <w:color w:val="000000" w:themeColor="text1"/>
          <w:sz w:val="20"/>
          <w:szCs w:val="28"/>
        </w:rPr>
        <w:t xml:space="preserve">, institutional and physical. Every component is further divided into different sets of indicators and variables as shown in table 4.1 and 4.2. </w:t>
      </w:r>
    </w:p>
    <w:p w:rsidR="00490B2A" w:rsidRPr="00490B2A" w:rsidRDefault="00490B2A" w:rsidP="00490B2A">
      <w:pPr>
        <w:snapToGrid w:val="0"/>
        <w:spacing w:after="0" w:line="240" w:lineRule="auto"/>
        <w:ind w:firstLine="425"/>
        <w:rPr>
          <w:rFonts w:eastAsiaTheme="minorEastAsia"/>
          <w:color w:val="000000" w:themeColor="text1"/>
          <w:sz w:val="20"/>
          <w:szCs w:val="28"/>
          <w:lang w:eastAsia="zh-CN"/>
        </w:rPr>
      </w:pPr>
    </w:p>
    <w:p w:rsidR="00AC1CFF" w:rsidRPr="00490B2A" w:rsidRDefault="00AC1CFF" w:rsidP="00490B2A">
      <w:pPr>
        <w:snapToGrid w:val="0"/>
        <w:spacing w:after="0" w:line="240" w:lineRule="auto"/>
        <w:rPr>
          <w:color w:val="000000" w:themeColor="text1"/>
          <w:sz w:val="20"/>
          <w:szCs w:val="28"/>
        </w:rPr>
      </w:pPr>
      <w:r w:rsidRPr="00490B2A">
        <w:rPr>
          <w:b/>
          <w:color w:val="000000" w:themeColor="text1"/>
          <w:sz w:val="20"/>
          <w:szCs w:val="28"/>
        </w:rPr>
        <w:t xml:space="preserve">3 </w:t>
      </w:r>
      <w:r w:rsidRPr="00490B2A">
        <w:rPr>
          <w:b/>
          <w:color w:val="000000" w:themeColor="text1"/>
          <w:sz w:val="20"/>
          <w:szCs w:val="28"/>
        </w:rPr>
        <w:tab/>
        <w:t>Study Area and Methodology</w:t>
      </w:r>
      <w:r w:rsidR="00700A18" w:rsidRPr="00490B2A">
        <w:rPr>
          <w:b/>
          <w:color w:val="000000" w:themeColor="text1"/>
          <w:sz w:val="20"/>
          <w:szCs w:val="28"/>
        </w:rPr>
        <w:t xml:space="preserve"> </w:t>
      </w:r>
    </w:p>
    <w:p w:rsidR="00AC1CFF" w:rsidRPr="00490B2A" w:rsidRDefault="00AC1CFF" w:rsidP="00490B2A">
      <w:pPr>
        <w:snapToGrid w:val="0"/>
        <w:spacing w:after="0" w:line="240" w:lineRule="auto"/>
        <w:rPr>
          <w:b/>
          <w:color w:val="000000" w:themeColor="text1"/>
          <w:sz w:val="20"/>
          <w:szCs w:val="28"/>
        </w:rPr>
      </w:pPr>
      <w:r w:rsidRPr="00490B2A">
        <w:rPr>
          <w:b/>
          <w:color w:val="000000" w:themeColor="text1"/>
          <w:sz w:val="20"/>
          <w:szCs w:val="28"/>
        </w:rPr>
        <w:t>3.1</w:t>
      </w:r>
      <w:r w:rsidRPr="00490B2A">
        <w:rPr>
          <w:b/>
          <w:color w:val="000000" w:themeColor="text1"/>
          <w:sz w:val="20"/>
          <w:szCs w:val="28"/>
        </w:rPr>
        <w:tab/>
        <w:t>Study Area</w:t>
      </w:r>
    </w:p>
    <w:p w:rsidR="00490B2A" w:rsidRPr="00490B2A" w:rsidRDefault="00490B2A" w:rsidP="00490B2A">
      <w:pPr>
        <w:snapToGrid w:val="0"/>
        <w:spacing w:after="0" w:line="240" w:lineRule="auto"/>
        <w:jc w:val="center"/>
        <w:rPr>
          <w:color w:val="000000" w:themeColor="text1"/>
          <w:sz w:val="20"/>
          <w:szCs w:val="28"/>
        </w:rPr>
        <w:sectPr w:rsidR="00490B2A" w:rsidRPr="00490B2A" w:rsidSect="00490B2A">
          <w:type w:val="continuous"/>
          <w:pgSz w:w="12240" w:h="15840"/>
          <w:pgMar w:top="1440" w:right="1440" w:bottom="1440" w:left="1440" w:header="720" w:footer="720" w:gutter="0"/>
          <w:cols w:num="2" w:space="600"/>
          <w:docGrid w:linePitch="360"/>
        </w:sectPr>
      </w:pPr>
    </w:p>
    <w:p w:rsidR="00490B2A" w:rsidRPr="00490B2A" w:rsidRDefault="00490B2A" w:rsidP="00490B2A">
      <w:pPr>
        <w:snapToGrid w:val="0"/>
        <w:spacing w:after="0" w:line="240" w:lineRule="auto"/>
        <w:jc w:val="center"/>
        <w:rPr>
          <w:rFonts w:eastAsiaTheme="minorEastAsia"/>
          <w:color w:val="000000" w:themeColor="text1"/>
          <w:sz w:val="20"/>
          <w:szCs w:val="28"/>
          <w:lang w:eastAsia="zh-CN"/>
        </w:rPr>
      </w:pPr>
    </w:p>
    <w:p w:rsidR="00AC1CFF" w:rsidRPr="00490B2A" w:rsidRDefault="00AC1CFF" w:rsidP="00490B2A">
      <w:pPr>
        <w:snapToGrid w:val="0"/>
        <w:spacing w:after="0" w:line="240" w:lineRule="auto"/>
        <w:jc w:val="center"/>
        <w:rPr>
          <w:color w:val="000000" w:themeColor="text1"/>
          <w:sz w:val="20"/>
          <w:szCs w:val="28"/>
        </w:rPr>
      </w:pPr>
      <w:r w:rsidRPr="00490B2A">
        <w:rPr>
          <w:noProof/>
          <w:color w:val="000000" w:themeColor="text1"/>
          <w:sz w:val="20"/>
          <w:szCs w:val="28"/>
          <w:lang w:eastAsia="zh-CN"/>
        </w:rPr>
        <w:drawing>
          <wp:inline distT="0" distB="0" distL="0" distR="0">
            <wp:extent cx="5037979" cy="312898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37560" cy="3128724"/>
                    </a:xfrm>
                    <a:prstGeom prst="rect">
                      <a:avLst/>
                    </a:prstGeom>
                    <a:noFill/>
                    <a:ln w="9525">
                      <a:noFill/>
                      <a:miter lim="800000"/>
                      <a:headEnd/>
                      <a:tailEnd/>
                    </a:ln>
                  </pic:spPr>
                </pic:pic>
              </a:graphicData>
            </a:graphic>
          </wp:inline>
        </w:drawing>
      </w:r>
    </w:p>
    <w:p w:rsidR="00700A18" w:rsidRPr="00490B2A" w:rsidRDefault="000F1902" w:rsidP="00490B2A">
      <w:pPr>
        <w:snapToGrid w:val="0"/>
        <w:spacing w:after="0" w:line="240" w:lineRule="auto"/>
        <w:jc w:val="center"/>
        <w:rPr>
          <w:rFonts w:eastAsiaTheme="minorEastAsia"/>
          <w:color w:val="000000" w:themeColor="text1"/>
          <w:sz w:val="20"/>
          <w:szCs w:val="28"/>
          <w:lang w:eastAsia="zh-CN"/>
        </w:rPr>
      </w:pPr>
      <w:r w:rsidRPr="00490B2A">
        <w:rPr>
          <w:b/>
          <w:color w:val="000000" w:themeColor="text1"/>
          <w:sz w:val="20"/>
          <w:szCs w:val="28"/>
        </w:rPr>
        <w:t xml:space="preserve">Figure </w:t>
      </w:r>
      <w:r w:rsidR="00B21E1C" w:rsidRPr="00490B2A">
        <w:rPr>
          <w:b/>
          <w:color w:val="000000" w:themeColor="text1"/>
          <w:sz w:val="20"/>
          <w:szCs w:val="28"/>
        </w:rPr>
        <w:fldChar w:fldCharType="begin"/>
      </w:r>
      <w:r w:rsidR="00AC1CFF" w:rsidRPr="00490B2A">
        <w:rPr>
          <w:b/>
          <w:color w:val="000000" w:themeColor="text1"/>
          <w:sz w:val="20"/>
          <w:szCs w:val="28"/>
        </w:rPr>
        <w:instrText xml:space="preserve"> SEQ Figure \* ARABIC \s 1 </w:instrText>
      </w:r>
      <w:r w:rsidR="00B21E1C" w:rsidRPr="00490B2A">
        <w:rPr>
          <w:b/>
          <w:color w:val="000000" w:themeColor="text1"/>
          <w:sz w:val="20"/>
          <w:szCs w:val="28"/>
        </w:rPr>
        <w:fldChar w:fldCharType="separate"/>
      </w:r>
      <w:r w:rsidR="00AC1CFF" w:rsidRPr="00490B2A">
        <w:rPr>
          <w:b/>
          <w:noProof/>
          <w:color w:val="000000" w:themeColor="text1"/>
          <w:sz w:val="20"/>
          <w:szCs w:val="28"/>
        </w:rPr>
        <w:t>1</w:t>
      </w:r>
      <w:r w:rsidR="00B21E1C" w:rsidRPr="00490B2A">
        <w:rPr>
          <w:b/>
          <w:color w:val="000000" w:themeColor="text1"/>
          <w:sz w:val="20"/>
          <w:szCs w:val="28"/>
        </w:rPr>
        <w:fldChar w:fldCharType="end"/>
      </w:r>
      <w:r w:rsidR="00AC1CFF" w:rsidRPr="00490B2A">
        <w:rPr>
          <w:color w:val="000000" w:themeColor="text1"/>
          <w:sz w:val="20"/>
          <w:szCs w:val="28"/>
        </w:rPr>
        <w:t>: Study Area Map</w:t>
      </w:r>
    </w:p>
    <w:p w:rsidR="00490B2A" w:rsidRDefault="00490B2A" w:rsidP="00490B2A">
      <w:pPr>
        <w:snapToGrid w:val="0"/>
        <w:spacing w:after="0" w:line="240" w:lineRule="auto"/>
        <w:rPr>
          <w:rFonts w:eastAsiaTheme="minorEastAsia" w:hint="eastAsia"/>
          <w:b/>
          <w:color w:val="000000" w:themeColor="text1"/>
          <w:sz w:val="20"/>
          <w:szCs w:val="28"/>
          <w:lang w:eastAsia="zh-CN"/>
        </w:rPr>
      </w:pPr>
    </w:p>
    <w:p w:rsidR="00CA0430" w:rsidRPr="00490B2A" w:rsidRDefault="00CA0430" w:rsidP="00490B2A">
      <w:pPr>
        <w:snapToGrid w:val="0"/>
        <w:spacing w:after="0" w:line="240" w:lineRule="auto"/>
        <w:rPr>
          <w:rFonts w:eastAsiaTheme="minorEastAsia"/>
          <w:b/>
          <w:color w:val="000000" w:themeColor="text1"/>
          <w:sz w:val="20"/>
          <w:szCs w:val="28"/>
          <w:lang w:eastAsia="zh-CN"/>
        </w:rPr>
        <w:sectPr w:rsidR="00CA0430" w:rsidRPr="00490B2A" w:rsidSect="00700A18">
          <w:type w:val="continuous"/>
          <w:pgSz w:w="12240" w:h="15840"/>
          <w:pgMar w:top="1440" w:right="1440" w:bottom="1440" w:left="1440" w:header="720" w:footer="720" w:gutter="0"/>
          <w:cols w:space="720"/>
          <w:docGrid w:linePitch="360"/>
        </w:sectPr>
      </w:pPr>
    </w:p>
    <w:p w:rsidR="00490B2A" w:rsidRPr="00490B2A" w:rsidRDefault="00490B2A" w:rsidP="00490B2A">
      <w:pPr>
        <w:snapToGrid w:val="0"/>
        <w:spacing w:after="0" w:line="240" w:lineRule="auto"/>
        <w:ind w:firstLine="425"/>
        <w:rPr>
          <w:rFonts w:eastAsiaTheme="minorEastAsia"/>
          <w:b/>
          <w:color w:val="000000" w:themeColor="text1"/>
          <w:sz w:val="20"/>
          <w:szCs w:val="28"/>
          <w:lang w:eastAsia="zh-CN"/>
        </w:rPr>
      </w:pPr>
      <w:r w:rsidRPr="00490B2A">
        <w:rPr>
          <w:color w:val="000000" w:themeColor="text1"/>
          <w:sz w:val="20"/>
          <w:szCs w:val="28"/>
        </w:rPr>
        <w:lastRenderedPageBreak/>
        <w:t xml:space="preserve">The study area is situated in district killa-Saifullah tahseel Muslim Bagh. The village was severely affected by different natural hazards (drought, flood, earthquake etc). The total area of Killasaifullah district is 6,831 Square kilometers and is situated at (“67°17'37- 69°22'54" East longitude, and 30°30'35"- 31°37'10" North latitudes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"author" : [ { "dropping-particle" : "", "family" : "Development", "given" : "Planning &amp;", "non-dropping-particle" : "", "parse-names" : false, "suffix" : "" }, { "dropping-particle" : "", "family" : "Department", "given" : "Government of Balochistan", "non-dropping-particle" : "", "parse-names" : false, "suffix" : "" }, { "dropping-particle" : "", "family" : "UNICEF", "given" : "in Collaboration with", "non-dropping-particle" : "", "parse-names" : false, "suffix" : "" } ], "container-title" : "District Development profile 2011", "id" : "ITEM-1", "issue" : "July 18, 2011", "issued" : { "date-parts" : [ [ "2009" ] ] }, "page" : "73", "title" : "District Development Report", "type" : "article-journal" }, "uris" : [ "http://www.mendeley.com/documents/?uuid=886de4aa-95d9-4aec-b715-17b0fc7e8bfb" ] } ], "mendeley" : { "formattedCitation" : "(Development, Department, &amp; UNICEF, 2009)", "plainTextFormattedCitation" : "(Development, Department, &amp; UNICEF, 2009)", "previouslyFormattedCitation" : "(Development, Department, &amp; UNICEF, 2009)"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(Development, Department, &amp; UNICEF, 2009)</w:t>
      </w:r>
      <w:r w:rsidR="00B21E1C" w:rsidRPr="00490B2A">
        <w:rPr>
          <w:color w:val="000000" w:themeColor="text1"/>
          <w:sz w:val="20"/>
          <w:szCs w:val="28"/>
        </w:rPr>
        <w:fldChar w:fldCharType="end"/>
      </w:r>
      <w:r w:rsidRPr="00490B2A">
        <w:rPr>
          <w:color w:val="000000" w:themeColor="text1"/>
          <w:sz w:val="20"/>
          <w:szCs w:val="28"/>
        </w:rPr>
        <w:t>.</w:t>
      </w:r>
    </w:p>
    <w:p w:rsidR="00AC1CFF" w:rsidRPr="00490B2A" w:rsidRDefault="00490B2A" w:rsidP="00490B2A">
      <w:pPr>
        <w:snapToGrid w:val="0"/>
        <w:spacing w:after="0" w:line="240" w:lineRule="auto"/>
        <w:rPr>
          <w:color w:val="000000" w:themeColor="text1"/>
          <w:sz w:val="20"/>
          <w:szCs w:val="28"/>
        </w:rPr>
      </w:pPr>
      <w:r w:rsidRPr="00490B2A">
        <w:rPr>
          <w:b/>
          <w:color w:val="000000" w:themeColor="text1"/>
          <w:sz w:val="20"/>
          <w:szCs w:val="28"/>
        </w:rPr>
        <w:t>3.2</w:t>
      </w:r>
      <w:r w:rsidRPr="00490B2A">
        <w:rPr>
          <w:rFonts w:eastAsiaTheme="minorEastAsia"/>
          <w:b/>
          <w:color w:val="000000" w:themeColor="text1"/>
          <w:sz w:val="20"/>
          <w:szCs w:val="28"/>
          <w:lang w:eastAsia="zh-CN"/>
        </w:rPr>
        <w:tab/>
      </w:r>
      <w:r w:rsidR="00AC1CFF" w:rsidRPr="00490B2A">
        <w:rPr>
          <w:b/>
          <w:color w:val="000000" w:themeColor="text1"/>
          <w:sz w:val="20"/>
          <w:szCs w:val="28"/>
        </w:rPr>
        <w:t>Data Collection Tools</w:t>
      </w:r>
      <w:r w:rsidR="00700A18" w:rsidRPr="00490B2A">
        <w:rPr>
          <w:b/>
          <w:color w:val="000000" w:themeColor="text1"/>
          <w:sz w:val="20"/>
          <w:szCs w:val="28"/>
        </w:rPr>
        <w:t xml:space="preserve"> </w:t>
      </w:r>
    </w:p>
    <w:p w:rsidR="00AC1CFF" w:rsidRPr="008957A6" w:rsidRDefault="00AC1CFF" w:rsidP="00490B2A">
      <w:pPr>
        <w:snapToGrid w:val="0"/>
        <w:spacing w:after="0" w:line="240" w:lineRule="auto"/>
        <w:ind w:firstLine="425"/>
        <w:rPr>
          <w:rFonts w:eastAsiaTheme="minorEastAsia"/>
          <w:color w:val="000000" w:themeColor="text1"/>
          <w:sz w:val="20"/>
          <w:szCs w:val="28"/>
          <w:lang w:eastAsia="zh-CN"/>
        </w:rPr>
      </w:pPr>
      <w:r w:rsidRPr="00490B2A">
        <w:rPr>
          <w:color w:val="000000" w:themeColor="text1"/>
          <w:sz w:val="20"/>
          <w:szCs w:val="28"/>
        </w:rPr>
        <w:t>In order to achieve the objective of the paper, data was collected through both primary and secondary data sources. Primary data was collected through observation, household questionnaire survey and key informant interview.</w:t>
      </w:r>
      <w:r w:rsidR="00700A18" w:rsidRPr="00490B2A">
        <w:rPr>
          <w:color w:val="000000" w:themeColor="text1"/>
          <w:sz w:val="20"/>
          <w:szCs w:val="28"/>
        </w:rPr>
        <w:t xml:space="preserve"> </w:t>
      </w:r>
      <w:r w:rsidRPr="00490B2A">
        <w:rPr>
          <w:color w:val="000000" w:themeColor="text1"/>
          <w:sz w:val="20"/>
          <w:szCs w:val="28"/>
        </w:rPr>
        <w:t>Secondary data was collected from various sources like, District profile of killasaifullah, Provincial Disaster Management Authority (PDMA), United Nation Higher Commissioner for Refugees (UNHCR), Killasaifull</w:t>
      </w:r>
      <w:r w:rsidR="009225CA" w:rsidRPr="00490B2A">
        <w:rPr>
          <w:color w:val="000000" w:themeColor="text1"/>
          <w:sz w:val="20"/>
          <w:szCs w:val="28"/>
        </w:rPr>
        <w:t>ah district education planning d</w:t>
      </w:r>
      <w:r w:rsidRPr="00490B2A">
        <w:rPr>
          <w:color w:val="000000" w:themeColor="text1"/>
          <w:sz w:val="20"/>
          <w:szCs w:val="28"/>
        </w:rPr>
        <w:t xml:space="preserve">epartments and from the community center of Malgagai village. </w:t>
      </w:r>
      <w:r w:rsidR="009225CA" w:rsidRPr="00490B2A">
        <w:rPr>
          <w:color w:val="000000" w:themeColor="text1"/>
          <w:sz w:val="20"/>
          <w:szCs w:val="28"/>
        </w:rPr>
        <w:t xml:space="preserve">400 respondents were selected and were personally interviewed </w:t>
      </w:r>
      <w:r w:rsidRPr="00490B2A">
        <w:rPr>
          <w:color w:val="000000" w:themeColor="text1"/>
          <w:sz w:val="20"/>
          <w:szCs w:val="28"/>
        </w:rPr>
        <w:t>using simple random sampling</w:t>
      </w:r>
      <w:r w:rsidR="009225CA" w:rsidRPr="00490B2A">
        <w:rPr>
          <w:color w:val="000000" w:themeColor="text1"/>
          <w:sz w:val="20"/>
          <w:szCs w:val="28"/>
        </w:rPr>
        <w:t xml:space="preserve"> techniques</w:t>
      </w:r>
      <w:r w:rsidRPr="00490B2A">
        <w:rPr>
          <w:color w:val="000000" w:themeColor="text1"/>
          <w:sz w:val="20"/>
          <w:szCs w:val="28"/>
        </w:rPr>
        <w:t xml:space="preserve">. The total population of the village was </w:t>
      </w:r>
      <w:r w:rsidR="009225CA" w:rsidRPr="00490B2A">
        <w:rPr>
          <w:color w:val="000000" w:themeColor="text1"/>
          <w:sz w:val="20"/>
          <w:szCs w:val="28"/>
        </w:rPr>
        <w:t>around</w:t>
      </w:r>
      <w:r w:rsidRPr="00490B2A">
        <w:rPr>
          <w:color w:val="000000" w:themeColor="text1"/>
          <w:sz w:val="20"/>
          <w:szCs w:val="28"/>
        </w:rPr>
        <w:t xml:space="preserve"> </w:t>
      </w:r>
      <w:r w:rsidR="009225CA" w:rsidRPr="00490B2A">
        <w:rPr>
          <w:color w:val="000000" w:themeColor="text1"/>
          <w:sz w:val="20"/>
          <w:szCs w:val="28"/>
        </w:rPr>
        <w:t>10000</w:t>
      </w:r>
      <w:r w:rsidRPr="00490B2A">
        <w:rPr>
          <w:color w:val="000000" w:themeColor="text1"/>
          <w:sz w:val="20"/>
          <w:szCs w:val="28"/>
        </w:rPr>
        <w:t xml:space="preserve"> thousand individuals (UNHCR, 2015). </w:t>
      </w:r>
      <w:r w:rsidRPr="00490B2A">
        <w:rPr>
          <w:rFonts w:eastAsia="Arial Unicode MS"/>
          <w:color w:val="000000" w:themeColor="text1"/>
          <w:sz w:val="20"/>
          <w:szCs w:val="28"/>
        </w:rPr>
        <w:t xml:space="preserve">The sample size was collected </w:t>
      </w:r>
      <w:r w:rsidR="009225CA" w:rsidRPr="00490B2A">
        <w:rPr>
          <w:color w:val="000000" w:themeColor="text1"/>
          <w:sz w:val="20"/>
          <w:szCs w:val="28"/>
        </w:rPr>
        <w:t>o</w:t>
      </w:r>
      <w:r w:rsidRPr="00490B2A">
        <w:rPr>
          <w:color w:val="000000" w:themeColor="text1"/>
          <w:sz w:val="20"/>
          <w:szCs w:val="28"/>
        </w:rPr>
        <w:t xml:space="preserve">n the basis of Arkin and Colton formula (1963) given as. </w:t>
      </w:r>
      <w:r w:rsidR="008957A6">
        <w:rPr>
          <w:rFonts w:eastAsiaTheme="minorEastAsia" w:hint="eastAsia"/>
          <w:color w:val="000000" w:themeColor="text1"/>
          <w:sz w:val="20"/>
          <w:szCs w:val="28"/>
          <w:lang w:eastAsia="zh-CN"/>
        </w:rPr>
        <w:t xml:space="preserve"> </w:t>
      </w:r>
    </w:p>
    <w:p w:rsidR="00490B2A" w:rsidRPr="00490B2A" w:rsidRDefault="00490B2A" w:rsidP="00490B2A">
      <w:pPr>
        <w:snapToGrid w:val="0"/>
        <w:spacing w:after="0" w:line="240" w:lineRule="auto"/>
        <w:ind w:firstLine="425"/>
        <w:rPr>
          <w:rFonts w:eastAsiaTheme="minorEastAsia"/>
          <w:color w:val="000000" w:themeColor="text1"/>
          <w:sz w:val="20"/>
          <w:szCs w:val="28"/>
          <w:lang w:eastAsia="zh-CN"/>
        </w:rPr>
      </w:pPr>
    </w:p>
    <w:p w:rsidR="00AC1CFF" w:rsidRPr="00490B2A" w:rsidRDefault="00AC1CFF" w:rsidP="00490B2A">
      <w:pPr>
        <w:widowControl w:val="0"/>
        <w:autoSpaceDE w:val="0"/>
        <w:autoSpaceDN w:val="0"/>
        <w:adjustRightInd w:val="0"/>
        <w:snapToGrid w:val="0"/>
        <w:spacing w:after="0" w:line="240" w:lineRule="auto"/>
        <w:ind w:firstLine="425"/>
        <w:rPr>
          <w:color w:val="000000" w:themeColor="text1"/>
          <w:sz w:val="20"/>
          <w:szCs w:val="28"/>
        </w:rPr>
      </w:pPr>
      <m:oMath>
        <m:r>
          <w:rPr>
            <w:rFonts w:ascii="Cambria Math" w:hAnsi="Cambria Math"/>
            <w:color w:val="000000" w:themeColor="text1"/>
            <w:sz w:val="20"/>
            <w:szCs w:val="28"/>
          </w:rPr>
          <m:t>n</m:t>
        </m:r>
        <m:r>
          <w:rPr>
            <w:rFonts w:ascii="Cambria Math"/>
            <w:color w:val="000000" w:themeColor="text1"/>
            <w:sz w:val="20"/>
            <w:szCs w:val="28"/>
          </w:rPr>
          <m:t>=</m:t>
        </m:r>
        <m:f>
          <m:fPr>
            <m:ctrlPr>
              <w:rPr>
                <w:rFonts w:ascii="Cambria Math" w:hAnsi="Cambria Math"/>
                <w:i/>
                <w:color w:val="000000" w:themeColor="text1"/>
                <w:sz w:val="20"/>
                <w:szCs w:val="28"/>
              </w:rPr>
            </m:ctrlPr>
          </m:fPr>
          <m:num>
            <m:r>
              <w:rPr>
                <w:rFonts w:ascii="Cambria Math" w:hAnsi="Cambria Math"/>
                <w:color w:val="000000" w:themeColor="text1"/>
                <w:sz w:val="20"/>
                <w:szCs w:val="28"/>
              </w:rPr>
              <m:t>N</m:t>
            </m:r>
            <m:sSup>
              <m:sSupPr>
                <m:ctrlPr>
                  <w:rPr>
                    <w:rFonts w:ascii="Cambria Math" w:hAnsi="Cambria Math"/>
                    <w:i/>
                    <w:color w:val="000000" w:themeColor="text1"/>
                    <w:sz w:val="20"/>
                    <w:szCs w:val="28"/>
                  </w:rPr>
                </m:ctrlPr>
              </m:sSupPr>
              <m:e>
                <m:r>
                  <w:rPr>
                    <w:rFonts w:ascii="Cambria Math" w:hAnsi="Cambria Math"/>
                    <w:color w:val="000000" w:themeColor="text1"/>
                    <w:sz w:val="20"/>
                    <w:szCs w:val="28"/>
                  </w:rPr>
                  <m:t>Z</m:t>
                </m:r>
              </m:e>
              <m:sup>
                <m:r>
                  <w:rPr>
                    <w:rFonts w:ascii="Cambria Math"/>
                    <w:color w:val="000000" w:themeColor="text1"/>
                    <w:sz w:val="20"/>
                    <w:szCs w:val="28"/>
                  </w:rPr>
                  <m:t>2</m:t>
                </m:r>
              </m:sup>
            </m:sSup>
            <m:r>
              <w:rPr>
                <w:rFonts w:ascii="Cambria Math"/>
                <w:color w:val="000000" w:themeColor="text1"/>
                <w:sz w:val="20"/>
                <w:szCs w:val="28"/>
              </w:rPr>
              <m:t>×</m:t>
            </m:r>
            <m:r>
              <w:rPr>
                <w:rFonts w:ascii="Cambria Math" w:hAnsi="Cambria Math"/>
                <w:color w:val="000000" w:themeColor="text1"/>
                <w:sz w:val="20"/>
                <w:szCs w:val="28"/>
              </w:rPr>
              <m:t>P</m:t>
            </m:r>
            <m:r>
              <w:rPr>
                <w:rFonts w:ascii="Cambria Math"/>
                <w:color w:val="000000" w:themeColor="text1"/>
                <w:sz w:val="20"/>
                <w:szCs w:val="28"/>
              </w:rPr>
              <m:t>×</m:t>
            </m:r>
            <m:r>
              <w:rPr>
                <w:rFonts w:ascii="Cambria Math"/>
                <w:color w:val="000000" w:themeColor="text1"/>
                <w:sz w:val="20"/>
                <w:szCs w:val="28"/>
              </w:rPr>
              <m:t>(1</m:t>
            </m:r>
            <m:r>
              <w:rPr>
                <w:rFonts w:ascii="Cambria Math"/>
                <w:color w:val="000000" w:themeColor="text1"/>
                <w:sz w:val="20"/>
                <w:szCs w:val="28"/>
              </w:rPr>
              <m:t>-</m:t>
            </m:r>
            <m:r>
              <w:rPr>
                <w:rFonts w:ascii="Cambria Math" w:hAnsi="Cambria Math"/>
                <w:color w:val="000000" w:themeColor="text1"/>
                <w:sz w:val="20"/>
                <w:szCs w:val="28"/>
              </w:rPr>
              <m:t>P</m:t>
            </m:r>
            <m:r>
              <w:rPr>
                <w:rFonts w:ascii="Cambria Math"/>
                <w:color w:val="000000" w:themeColor="text1"/>
                <w:sz w:val="20"/>
                <w:szCs w:val="28"/>
              </w:rPr>
              <m:t>)</m:t>
            </m:r>
          </m:num>
          <m:den>
            <m:r>
              <w:rPr>
                <w:rFonts w:ascii="Cambria Math" w:hAnsi="Cambria Math"/>
                <w:color w:val="000000" w:themeColor="text1"/>
                <w:sz w:val="20"/>
                <w:szCs w:val="28"/>
              </w:rPr>
              <m:t>N</m:t>
            </m:r>
            <m:sSup>
              <m:sSupPr>
                <m:ctrlPr>
                  <w:rPr>
                    <w:rFonts w:ascii="Cambria Math" w:hAnsi="Cambria Math"/>
                    <w:i/>
                    <w:color w:val="000000" w:themeColor="text1"/>
                    <w:sz w:val="20"/>
                    <w:szCs w:val="28"/>
                  </w:rPr>
                </m:ctrlPr>
              </m:sSupPr>
              <m:e>
                <m:r>
                  <w:rPr>
                    <w:rFonts w:ascii="Cambria Math" w:hAnsi="Cambria Math"/>
                    <w:color w:val="000000" w:themeColor="text1"/>
                    <w:sz w:val="20"/>
                    <w:szCs w:val="28"/>
                  </w:rPr>
                  <m:t>e</m:t>
                </m:r>
              </m:e>
              <m:sup>
                <m:r>
                  <w:rPr>
                    <w:rFonts w:ascii="Cambria Math"/>
                    <w:color w:val="000000" w:themeColor="text1"/>
                    <w:sz w:val="20"/>
                    <w:szCs w:val="28"/>
                  </w:rPr>
                  <m:t>2</m:t>
                </m:r>
              </m:sup>
            </m:sSup>
            <m:r>
              <w:rPr>
                <w:rFonts w:ascii="Cambria Math"/>
                <w:color w:val="000000" w:themeColor="text1"/>
                <w:sz w:val="20"/>
                <w:szCs w:val="28"/>
              </w:rPr>
              <m:t>+{</m:t>
            </m:r>
            <m:sSup>
              <m:sSupPr>
                <m:ctrlPr>
                  <w:rPr>
                    <w:rFonts w:ascii="Cambria Math" w:hAnsi="Cambria Math"/>
                    <w:i/>
                    <w:color w:val="000000" w:themeColor="text1"/>
                    <w:sz w:val="20"/>
                    <w:szCs w:val="28"/>
                  </w:rPr>
                </m:ctrlPr>
              </m:sSupPr>
              <m:e>
                <m:r>
                  <w:rPr>
                    <w:rFonts w:ascii="Cambria Math" w:hAnsi="Cambria Math"/>
                    <w:color w:val="000000" w:themeColor="text1"/>
                    <w:sz w:val="20"/>
                    <w:szCs w:val="28"/>
                  </w:rPr>
                  <m:t>Z</m:t>
                </m:r>
              </m:e>
              <m:sup>
                <m:r>
                  <w:rPr>
                    <w:rFonts w:ascii="Cambria Math"/>
                    <w:color w:val="000000" w:themeColor="text1"/>
                    <w:sz w:val="20"/>
                    <w:szCs w:val="28"/>
                  </w:rPr>
                  <m:t>2</m:t>
                </m:r>
              </m:sup>
            </m:sSup>
            <m:r>
              <w:rPr>
                <w:rFonts w:ascii="Cambria Math"/>
                <w:color w:val="000000" w:themeColor="text1"/>
                <w:sz w:val="20"/>
                <w:szCs w:val="28"/>
              </w:rPr>
              <m:t>×</m:t>
            </m:r>
            <m:r>
              <w:rPr>
                <w:rFonts w:ascii="Cambria Math" w:hAnsi="Cambria Math"/>
                <w:color w:val="000000" w:themeColor="text1"/>
                <w:sz w:val="20"/>
                <w:szCs w:val="28"/>
              </w:rPr>
              <m:t>P</m:t>
            </m:r>
            <m:r>
              <w:rPr>
                <w:rFonts w:ascii="Cambria Math"/>
                <w:color w:val="000000" w:themeColor="text1"/>
                <w:sz w:val="20"/>
                <w:szCs w:val="28"/>
              </w:rPr>
              <m:t>×</m:t>
            </m:r>
            <m:r>
              <w:rPr>
                <w:rFonts w:ascii="Cambria Math"/>
                <w:color w:val="000000" w:themeColor="text1"/>
                <w:sz w:val="20"/>
                <w:szCs w:val="28"/>
              </w:rPr>
              <m:t>(1</m:t>
            </m:r>
            <m:r>
              <w:rPr>
                <w:rFonts w:ascii="Cambria Math"/>
                <w:color w:val="000000" w:themeColor="text1"/>
                <w:sz w:val="20"/>
                <w:szCs w:val="28"/>
              </w:rPr>
              <m:t>-</m:t>
            </m:r>
            <m:r>
              <w:rPr>
                <w:rFonts w:ascii="Cambria Math" w:hAnsi="Cambria Math"/>
                <w:color w:val="000000" w:themeColor="text1"/>
                <w:sz w:val="20"/>
                <w:szCs w:val="28"/>
              </w:rPr>
              <m:t>P</m:t>
            </m:r>
            <m:r>
              <w:rPr>
                <w:rFonts w:ascii="Cambria Math"/>
                <w:color w:val="000000" w:themeColor="text1"/>
                <w:sz w:val="20"/>
                <w:szCs w:val="28"/>
              </w:rPr>
              <m:t>)}</m:t>
            </m:r>
          </m:den>
        </m:f>
      </m:oMath>
      <w:r w:rsidRPr="00490B2A">
        <w:rPr>
          <w:color w:val="000000" w:themeColor="text1"/>
          <w:sz w:val="20"/>
          <w:szCs w:val="28"/>
        </w:rPr>
        <w:t xml:space="preserve"> </w:t>
      </w:r>
    </w:p>
    <w:p w:rsidR="00490B2A" w:rsidRDefault="00490B2A" w:rsidP="00490B2A">
      <w:pPr>
        <w:snapToGrid w:val="0"/>
        <w:spacing w:after="0" w:line="240" w:lineRule="auto"/>
        <w:ind w:firstLine="425"/>
        <w:rPr>
          <w:rFonts w:eastAsiaTheme="minorEastAsia"/>
          <w:color w:val="000000" w:themeColor="text1"/>
          <w:sz w:val="20"/>
          <w:szCs w:val="28"/>
          <w:lang w:eastAsia="zh-CN"/>
        </w:rPr>
      </w:pPr>
    </w:p>
    <w:p w:rsidR="00700A18"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t>Where n = Sample size</w:t>
      </w:r>
    </w:p>
    <w:p w:rsidR="00700A18"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t>N = Population size</w:t>
      </w:r>
    </w:p>
    <w:p w:rsidR="00700A18"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t>Z = Confidence Level (95%=1.96)</w:t>
      </w:r>
    </w:p>
    <w:p w:rsidR="00700A18"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t>P = Degree of Variability (50%)</w:t>
      </w:r>
    </w:p>
    <w:p w:rsidR="00AC1CFF"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t>e = Level of precision or sampling error which is ±5%</w:t>
      </w:r>
    </w:p>
    <w:p w:rsidR="00AC1CFF" w:rsidRPr="00490B2A" w:rsidRDefault="00096B66" w:rsidP="00490B2A">
      <w:pPr>
        <w:snapToGrid w:val="0"/>
        <w:spacing w:after="0" w:line="240" w:lineRule="auto"/>
        <w:ind w:firstLine="425"/>
        <w:rPr>
          <w:color w:val="000000" w:themeColor="text1"/>
          <w:sz w:val="20"/>
          <w:szCs w:val="28"/>
        </w:rPr>
      </w:pPr>
      <w:r w:rsidRPr="00490B2A">
        <w:rPr>
          <w:color w:val="000000" w:themeColor="text1"/>
          <w:sz w:val="20"/>
          <w:szCs w:val="28"/>
        </w:rPr>
        <w:t>The unit of analysis in this study is the household head and only male household were accessible for interview due to religious and customary values of the society. Inferential</w:t>
      </w:r>
      <w:r w:rsidR="00AC1CFF" w:rsidRPr="00490B2A">
        <w:rPr>
          <w:color w:val="000000" w:themeColor="text1"/>
          <w:sz w:val="20"/>
          <w:szCs w:val="28"/>
        </w:rPr>
        <w:t xml:space="preserve"> and descriptive statistics is used</w:t>
      </w:r>
      <w:r w:rsidRPr="00490B2A">
        <w:rPr>
          <w:color w:val="000000" w:themeColor="text1"/>
          <w:sz w:val="20"/>
          <w:szCs w:val="28"/>
        </w:rPr>
        <w:t xml:space="preserve"> for data analysis using Statistical Package for Social Sciences (SPSS)</w:t>
      </w:r>
      <w:r w:rsidR="00AC1CFF" w:rsidRPr="00490B2A">
        <w:rPr>
          <w:color w:val="000000" w:themeColor="text1"/>
          <w:sz w:val="20"/>
          <w:szCs w:val="28"/>
        </w:rPr>
        <w:t xml:space="preserve">. </w:t>
      </w:r>
      <w:r w:rsidRPr="00490B2A">
        <w:rPr>
          <w:color w:val="000000" w:themeColor="text1"/>
          <w:sz w:val="20"/>
          <w:szCs w:val="28"/>
        </w:rPr>
        <w:t xml:space="preserve">In addition Geographical Information System GIS) is used to show the spatial picture of the study area. </w:t>
      </w:r>
    </w:p>
    <w:p w:rsidR="00AC1CFF" w:rsidRPr="00490B2A" w:rsidRDefault="00AC1CFF" w:rsidP="00490B2A">
      <w:pPr>
        <w:snapToGrid w:val="0"/>
        <w:spacing w:after="0" w:line="240" w:lineRule="auto"/>
        <w:rPr>
          <w:color w:val="000000" w:themeColor="text1"/>
          <w:sz w:val="20"/>
          <w:szCs w:val="28"/>
        </w:rPr>
      </w:pPr>
      <w:r w:rsidRPr="00490B2A">
        <w:rPr>
          <w:b/>
          <w:color w:val="000000" w:themeColor="text1"/>
          <w:sz w:val="20"/>
          <w:szCs w:val="28"/>
        </w:rPr>
        <w:t>4</w:t>
      </w:r>
      <w:r w:rsidRPr="00490B2A">
        <w:rPr>
          <w:b/>
          <w:color w:val="000000" w:themeColor="text1"/>
          <w:sz w:val="20"/>
          <w:szCs w:val="28"/>
        </w:rPr>
        <w:tab/>
        <w:t>Data and Methods</w:t>
      </w:r>
    </w:p>
    <w:p w:rsidR="00AC1CFF" w:rsidRPr="00490B2A" w:rsidRDefault="00AC1CFF" w:rsidP="00490B2A">
      <w:pPr>
        <w:snapToGrid w:val="0"/>
        <w:spacing w:after="0" w:line="240" w:lineRule="auto"/>
        <w:rPr>
          <w:b/>
          <w:color w:val="000000" w:themeColor="text1"/>
          <w:sz w:val="20"/>
          <w:szCs w:val="28"/>
        </w:rPr>
      </w:pPr>
      <w:r w:rsidRPr="00490B2A">
        <w:rPr>
          <w:b/>
          <w:color w:val="000000" w:themeColor="text1"/>
          <w:sz w:val="20"/>
          <w:szCs w:val="28"/>
        </w:rPr>
        <w:t>4.1</w:t>
      </w:r>
      <w:r w:rsidRPr="00490B2A">
        <w:rPr>
          <w:b/>
          <w:color w:val="000000" w:themeColor="text1"/>
          <w:sz w:val="20"/>
          <w:szCs w:val="28"/>
        </w:rPr>
        <w:tab/>
        <w:t xml:space="preserve">Selection of Indicators </w:t>
      </w:r>
    </w:p>
    <w:p w:rsidR="00AC1CFF" w:rsidRPr="00490B2A" w:rsidRDefault="00AC1CFF" w:rsidP="00490B2A">
      <w:pPr>
        <w:snapToGrid w:val="0"/>
        <w:spacing w:after="0" w:line="240" w:lineRule="auto"/>
        <w:ind w:firstLine="425"/>
        <w:rPr>
          <w:color w:val="000000" w:themeColor="text1"/>
          <w:sz w:val="20"/>
          <w:szCs w:val="28"/>
        </w:rPr>
      </w:pPr>
      <w:r w:rsidRPr="00490B2A">
        <w:rPr>
          <w:color w:val="000000" w:themeColor="text1"/>
          <w:sz w:val="20"/>
          <w:szCs w:val="28"/>
        </w:rPr>
        <w:lastRenderedPageBreak/>
        <w:t xml:space="preserve">Generally vulnerability is a compound idea, which </w:t>
      </w:r>
      <w:r w:rsidR="005829AA" w:rsidRPr="00490B2A">
        <w:rPr>
          <w:color w:val="000000" w:themeColor="text1"/>
          <w:sz w:val="20"/>
          <w:szCs w:val="28"/>
        </w:rPr>
        <w:t xml:space="preserve">is based on </w:t>
      </w:r>
      <w:r w:rsidRPr="00490B2A">
        <w:rPr>
          <w:color w:val="000000" w:themeColor="text1"/>
          <w:sz w:val="20"/>
          <w:szCs w:val="28"/>
        </w:rPr>
        <w:t>institutional, financial, social, infrastructural, and envir</w:t>
      </w:r>
      <w:r w:rsidR="005829AA" w:rsidRPr="00490B2A">
        <w:rPr>
          <w:color w:val="000000" w:themeColor="text1"/>
          <w:sz w:val="20"/>
          <w:szCs w:val="28"/>
        </w:rPr>
        <w:t>onmental community fundamentals.</w:t>
      </w:r>
      <w:r w:rsidRPr="00490B2A">
        <w:rPr>
          <w:color w:val="000000" w:themeColor="text1"/>
          <w:sz w:val="20"/>
          <w:szCs w:val="28"/>
        </w:rPr>
        <w:t xml:space="preserve"> </w:t>
      </w:r>
      <w:r w:rsidR="005829AA" w:rsidRPr="00490B2A">
        <w:rPr>
          <w:color w:val="000000" w:themeColor="text1"/>
          <w:sz w:val="20"/>
          <w:szCs w:val="28"/>
        </w:rPr>
        <w:t>Four main compo</w:t>
      </w:r>
      <w:r w:rsidRPr="00490B2A">
        <w:rPr>
          <w:color w:val="000000" w:themeColor="text1"/>
          <w:sz w:val="20"/>
          <w:szCs w:val="28"/>
        </w:rPr>
        <w:t xml:space="preserve">nents </w:t>
      </w:r>
      <w:r w:rsidR="005829AA" w:rsidRPr="00490B2A">
        <w:rPr>
          <w:color w:val="000000" w:themeColor="text1"/>
          <w:sz w:val="20"/>
          <w:szCs w:val="28"/>
        </w:rPr>
        <w:t xml:space="preserve">of vulnerability that includes </w:t>
      </w:r>
      <w:r w:rsidRPr="00490B2A">
        <w:rPr>
          <w:color w:val="000000" w:themeColor="text1"/>
          <w:sz w:val="20"/>
          <w:szCs w:val="28"/>
        </w:rPr>
        <w:t xml:space="preserve">economic, social, physical and institutional </w:t>
      </w:r>
      <w:r w:rsidR="005829AA" w:rsidRPr="00490B2A">
        <w:rPr>
          <w:color w:val="000000" w:themeColor="text1"/>
          <w:sz w:val="20"/>
          <w:szCs w:val="28"/>
        </w:rPr>
        <w:t xml:space="preserve">are selected for vulnerability assessment of the study area. </w:t>
      </w:r>
      <w:r w:rsidRPr="00490B2A">
        <w:rPr>
          <w:color w:val="000000" w:themeColor="text1"/>
          <w:sz w:val="20"/>
          <w:szCs w:val="28"/>
        </w:rPr>
        <w:t xml:space="preserve">All </w:t>
      </w:r>
      <w:r w:rsidR="005829AA" w:rsidRPr="00490B2A">
        <w:rPr>
          <w:color w:val="000000" w:themeColor="text1"/>
          <w:sz w:val="20"/>
          <w:szCs w:val="28"/>
        </w:rPr>
        <w:t>these</w:t>
      </w:r>
      <w:r w:rsidRPr="00490B2A">
        <w:rPr>
          <w:color w:val="000000" w:themeColor="text1"/>
          <w:sz w:val="20"/>
          <w:szCs w:val="28"/>
        </w:rPr>
        <w:t xml:space="preserve"> have various sets of indicators depending on the widespread prior researches on vulnerability mostly associated to natural hazards. Every value of the primary data was used in percentages to remove complexity associated to various units of measurements, for community vulnerability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"10.1007/s11069-012-0201-x", "ISBN" : "0921-030X", "ISSN" : "0921030X", "abstract" : "Resilience is widely used from a variety of research perspectives; however, community resilience in particular is applied to a number of natural hazards and disasters-related studies, programs, and activities. It is also acknowledged that its measurement is cumbersome but not impossible. The prime objective of this paper is to measure the community resilience of an earthquake-prone area in Baluchistan. The article presents the concept of resilience, its approaches, selection of indicators, formulation of subjective assessment method for weighting the indicators, and finally, developing the community resilience index. For the community resilience measurement, a survey was conducted among 200 households in two earthquake risk zones of Quetta city, using simple random sampling method. The overall composite community resilience index revealed that the resilience is low in both the zones\u2014A and B. However, it is revealed that there is a significant difference between the zones when compared against the components and indicators. Community resilience components such as economic, institutional, and physical have received higher index values in Zone B as compared to Zone A. Based on the findings, it is recommended to improve the socioeconomic, institutional, and structural (housing) conditions of the community by raising the community awareness and pre-paredness, implementing building codes, and providing income-generating activities in order to enhance the community resilience to cope up with earthquake hazards in the future.", "author" : [ { "dropping-particle" : "", "family" : "Ainuddin", "given" : "Syed", "non-dropping-particle" : "", "parse-names" : false, "suffix" : "" }, { "dropping-particle" : "", "family" : "Routray", "given" : "Jayant Kumar", "non-dropping-particle" : "", "parse-names" : false, "suffix" : "" } ], "container-title" : "Natural Hazards", "id" : "ITEM-1", "issue" : "2", "issued" : { "date-parts" : [ [ "2012" ] ] }, "page" : "909-937", "title" : "Earthquake hazards and community resilience in Baluchistan", "type" : "article-journal", "volume" : "63" }, "uris" : [ "http://www.mendeley.com/documents/?uuid=f29f9884-61ce-4055-8d79-8ae55c99eedb" ] } ], "mendeley" : { "formattedCitation" : "(Ainuddin &amp; Routray, 2012b)", "plainTextFormattedCitation" : "(Ainuddin &amp; Routray, 2012b)", "previouslyFormattedCitation" : "(Ainuddin &amp; Routray, 2012b)"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(Ainuddin</w:t>
      </w:r>
      <w:r w:rsidR="00700A18" w:rsidRPr="00490B2A">
        <w:rPr>
          <w:noProof/>
          <w:color w:val="000000" w:themeColor="text1"/>
          <w:sz w:val="20"/>
          <w:szCs w:val="28"/>
        </w:rPr>
        <w:t xml:space="preserve"> &amp; </w:t>
      </w:r>
      <w:r w:rsidRPr="00490B2A">
        <w:rPr>
          <w:noProof/>
          <w:color w:val="000000" w:themeColor="text1"/>
          <w:sz w:val="20"/>
          <w:szCs w:val="28"/>
        </w:rPr>
        <w:t>Routray, 2012b)</w:t>
      </w:r>
      <w:r w:rsidR="00B21E1C" w:rsidRPr="00490B2A">
        <w:rPr>
          <w:color w:val="000000" w:themeColor="text1"/>
          <w:sz w:val="20"/>
          <w:szCs w:val="28"/>
        </w:rPr>
        <w:fldChar w:fldCharType="end"/>
      </w:r>
      <w:r w:rsidRPr="00490B2A">
        <w:rPr>
          <w:color w:val="000000" w:themeColor="text1"/>
          <w:sz w:val="20"/>
          <w:szCs w:val="28"/>
        </w:rPr>
        <w:t xml:space="preserve">. </w:t>
      </w:r>
    </w:p>
    <w:p w:rsidR="00AC1CFF" w:rsidRPr="00490B2A" w:rsidRDefault="00AC1CFF" w:rsidP="00490B2A">
      <w:pPr>
        <w:widowControl w:val="0"/>
        <w:autoSpaceDE w:val="0"/>
        <w:autoSpaceDN w:val="0"/>
        <w:adjustRightInd w:val="0"/>
        <w:snapToGrid w:val="0"/>
        <w:spacing w:after="0" w:line="240" w:lineRule="auto"/>
        <w:ind w:firstLine="425"/>
        <w:rPr>
          <w:b/>
          <w:color w:val="000000" w:themeColor="text1"/>
          <w:sz w:val="20"/>
          <w:szCs w:val="28"/>
        </w:rPr>
      </w:pPr>
      <w:r w:rsidRPr="00490B2A">
        <w:rPr>
          <w:color w:val="000000" w:themeColor="text1"/>
          <w:sz w:val="20"/>
          <w:szCs w:val="28"/>
        </w:rPr>
        <w:t xml:space="preserve">The first sub-component of the community vulnerability is the social vulnerability, </w:t>
      </w:r>
      <w:r w:rsidR="00B56E90" w:rsidRPr="00490B2A">
        <w:rPr>
          <w:color w:val="000000" w:themeColor="text1"/>
          <w:sz w:val="20"/>
          <w:szCs w:val="28"/>
        </w:rPr>
        <w:t>of the people/community that suffers</w:t>
      </w:r>
      <w:r w:rsidRPr="00490B2A">
        <w:rPr>
          <w:color w:val="000000" w:themeColor="text1"/>
          <w:sz w:val="20"/>
          <w:szCs w:val="28"/>
        </w:rPr>
        <w:t xml:space="preserve"> from natural hazard, </w:t>
      </w:r>
      <w:r w:rsidR="00B56E90" w:rsidRPr="00490B2A">
        <w:rPr>
          <w:color w:val="000000" w:themeColor="text1"/>
          <w:sz w:val="20"/>
          <w:szCs w:val="28"/>
        </w:rPr>
        <w:t xml:space="preserve">and can be assessed through different social aspect </w:t>
      </w:r>
      <w:r w:rsidRPr="00490B2A">
        <w:rPr>
          <w:color w:val="000000" w:themeColor="text1"/>
          <w:sz w:val="20"/>
          <w:szCs w:val="28"/>
        </w:rPr>
        <w:t xml:space="preserve">such as peoples educational level, age distribution of the individuals in a family, people interactions and community trust during disaster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"10.1111/1540-6237.8402002", "ISBN" : "1540-6237", "ISSN" : "00384941", "PMID" : "9841166", "abstract" : "Objective.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score\u2014the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vulnerability\u2014some components increase vulnerability; others moderate the effects.", "author" : [ { "dropping-particle" : "", "family" : "Cutter", "given" : "Susan L.", "non-dropping-particle" : "", "parse-names" : false, "suffix" : "" }, { "dropping-particle" : "", "family" : "Boruff", "given" : "Bryan J.", "non-dropping-particle" : "", "parse-names" : false, "suffix" : "" }, { "dropping-particle" : "", "family" : "Shirley", "given" : "W. Lynn", "non-dropping-particle" : "", "parse-names" : false, "suffix" : "" } ], "container-title" : "Social Science Quarterly", "id" : "ITEM-1", "issue" : "2", "issued" : { "date-parts" : [ [ "2003" ] ] }, "page" : "242-261", "title" : "Social vulnerability to environmental hazards", "type" : "article-journal", "volume" : "84" }, "uris" : [ "http://www.mendeley.com/documents/?uuid=31196603-07de-4ed5-bca2-94268ebb1246" ] } ], "mendeley" : { "formattedCitation" : "(Cutter et al., 2003)", "plainTextFormattedCitation" : "(Cutter et al., 2003)", "previouslyFormattedCitation" : "(Cutter et al., 2003)"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(Cutter et al., 2003)</w:t>
      </w:r>
      <w:r w:rsidR="00B21E1C" w:rsidRPr="00490B2A">
        <w:rPr>
          <w:color w:val="000000" w:themeColor="text1"/>
          <w:sz w:val="20"/>
          <w:szCs w:val="28"/>
        </w:rPr>
        <w:fldChar w:fldCharType="end"/>
      </w:r>
      <w:r w:rsidRPr="00490B2A">
        <w:rPr>
          <w:color w:val="000000" w:themeColor="text1"/>
          <w:sz w:val="20"/>
          <w:szCs w:val="28"/>
        </w:rPr>
        <w:t xml:space="preserve">. Economic vulnerability is the second component of the community vulnerability; </w:t>
      </w:r>
      <w:r w:rsidR="00B56E90" w:rsidRPr="00490B2A">
        <w:rPr>
          <w:color w:val="000000" w:themeColor="text1"/>
          <w:sz w:val="20"/>
          <w:szCs w:val="28"/>
        </w:rPr>
        <w:t>and it assess</w:t>
      </w:r>
      <w:r w:rsidRPr="00490B2A">
        <w:rPr>
          <w:color w:val="000000" w:themeColor="text1"/>
          <w:sz w:val="20"/>
          <w:szCs w:val="28"/>
        </w:rPr>
        <w:t xml:space="preserve"> the community vulnerability in terms of financial system, </w:t>
      </w:r>
      <w:r w:rsidR="00B56E90" w:rsidRPr="00490B2A">
        <w:rPr>
          <w:color w:val="000000" w:themeColor="text1"/>
          <w:sz w:val="20"/>
          <w:szCs w:val="28"/>
        </w:rPr>
        <w:t>such as</w:t>
      </w:r>
      <w:r w:rsidRPr="00490B2A">
        <w:rPr>
          <w:color w:val="000000" w:themeColor="text1"/>
          <w:sz w:val="20"/>
          <w:szCs w:val="28"/>
        </w:rPr>
        <w:t xml:space="preserve"> people with low level of income, families without diversified source of income, life insurance and families without savings. The low level of financial system attracts the overall community towards vulnerability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"https://doi.org/10.2202/1547-7355.1131", "ISBN" : "0-415-25215-6", "abstract" : "Presently in its second edition, \"At Risk\" stands as a primary text in risk and vulnerability studies. The authors focus on the political and economic causes of disaster, arguing that vulnerability is at the foundation of risks and recovery practices. Through focusing on natural hazards, such as floods, earthquakes, and volcanoes, \"At Risk\" demonstrates how social groups with little economic or political power are the most at risk during times of disaster. The author's \"Pressure and Release\" model for risk and hazard progression is an interesting addition to disaster scholarship", "author" : [ { "dropping-particle" : "", "family" : "Wisner", "given" : "Ben", "non-dropping-particle" : "", "parse-names" : false, "suffix" : "" }, { "dropping-particle" : "", "family" : "Blaikie", "given" : "Piers", "non-dropping-particle" : "", "parse-names" : false, "suffix" : "" }, { "dropping-particle" : "", "family" : "Cannon", "given" : "Terry", "non-dropping-particle" : "", "parse-names" : false, "suffix" : "" }, { "dropping-particle" : "", "family" : "Davis", "given" : "Ian", "non-dropping-particle" : "", "parse-names" : false, "suffix" : "" } ], "container-title" : "Journal of Homeland Security and Emergency Management", "id" : "ITEM-1", "issue" : "2", "issued" : { "date-parts" : [ [ "2004" ] ] }, "title" : "At Risk \u2013 Natural Hazards, People\u2019s Vulnerability and Disasters second edition: Routledge, London", "type" : "article-journal", "volume" : "2" }, "uris" : [ "http://www.mendeley.com/documents/?uuid=58b38b99-a6af-4b93-ada3-d4b5aac19922" ] }, { "id" : "ITEM-2",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"ITEM-2", "issue" : "7", "issued" : { "date-parts" : [ [ "2008" ] ] }, "page" : "2301-6", "title" : "Temporal and spatial changes in social vulnerability to natural hazards", "type" : "article-journal", "volume" : "105" }, "uris" : [ "http://www.mendeley.com/documents/?uuid=3d428226-3967-4855-86f4-a61dfc160ab5" ] } ], "mendeley" : { "formattedCitation" : "(Cutter &amp; Finch, 2008; Wisner et al., 2004)", "plainTextFormattedCitation" : "(Cutter &amp; Finch, 2008; Wisner et al., 2004)", "previouslyFormattedCitation" : "(Cutter &amp; Finch, 2008; Wisner et al., 2004)"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(Cutter</w:t>
      </w:r>
      <w:r w:rsidR="00700A18" w:rsidRPr="00490B2A">
        <w:rPr>
          <w:noProof/>
          <w:color w:val="000000" w:themeColor="text1"/>
          <w:sz w:val="20"/>
          <w:szCs w:val="28"/>
        </w:rPr>
        <w:t xml:space="preserve"> &amp; </w:t>
      </w:r>
      <w:r w:rsidRPr="00490B2A">
        <w:rPr>
          <w:noProof/>
          <w:color w:val="000000" w:themeColor="text1"/>
          <w:sz w:val="20"/>
          <w:szCs w:val="28"/>
        </w:rPr>
        <w:t>Finch, 2008; Wisner et al., 2004)</w:t>
      </w:r>
      <w:r w:rsidR="00B21E1C" w:rsidRPr="00490B2A">
        <w:rPr>
          <w:color w:val="000000" w:themeColor="text1"/>
          <w:sz w:val="20"/>
          <w:szCs w:val="28"/>
        </w:rPr>
        <w:fldChar w:fldCharType="end"/>
      </w:r>
      <w:r w:rsidRPr="00490B2A">
        <w:rPr>
          <w:color w:val="000000" w:themeColor="text1"/>
          <w:sz w:val="20"/>
          <w:szCs w:val="28"/>
        </w:rPr>
        <w:t>. The third component of community vulnerability is the institutional vulnerability that identifies the vulnerabilities associated to inst</w:t>
      </w:r>
      <w:r w:rsidR="00B56E90" w:rsidRPr="00490B2A">
        <w:rPr>
          <w:color w:val="000000" w:themeColor="text1"/>
          <w:sz w:val="20"/>
          <w:szCs w:val="28"/>
        </w:rPr>
        <w:t>itutions</w:t>
      </w:r>
      <w:r w:rsidRPr="00490B2A">
        <w:rPr>
          <w:color w:val="000000" w:themeColor="text1"/>
          <w:sz w:val="20"/>
          <w:szCs w:val="28"/>
        </w:rPr>
        <w:t xml:space="preserve"> </w:t>
      </w:r>
      <w:r w:rsidR="00B56E90" w:rsidRPr="00490B2A">
        <w:rPr>
          <w:color w:val="000000" w:themeColor="text1"/>
          <w:sz w:val="20"/>
          <w:szCs w:val="28"/>
        </w:rPr>
        <w:t>such as</w:t>
      </w:r>
      <w:r w:rsidRPr="00490B2A">
        <w:rPr>
          <w:color w:val="000000" w:themeColor="text1"/>
          <w:sz w:val="20"/>
          <w:szCs w:val="28"/>
        </w:rPr>
        <w:t xml:space="preserve"> preparation for disaster, mitigation measures and public awareness and preparedness. The fourth component of the community vulnerability is the physical vulnerability, which identifies the physical and geographical vulnerabilities of the study area, such as physically vulnerable location, vulnerable housing structures and housing locations in a river-bed or at the foot of mountain in rural areas that make the particular area vulnerable during earthquake and in flooding situation </w:t>
      </w:r>
      <w:r w:rsidR="00B21E1C" w:rsidRPr="00490B2A">
        <w:rPr>
          <w:color w:val="000000" w:themeColor="text1"/>
          <w:sz w:val="20"/>
          <w:szCs w:val="28"/>
        </w:rPr>
        <w:fldChar w:fldCharType="begin" w:fldLock="1"/>
      </w:r>
      <w:r w:rsidRPr="00490B2A">
        <w:rPr>
          <w:color w:val="000000" w:themeColor="text1"/>
          <w:sz w:val="20"/>
          <w:szCs w:val="28"/>
        </w:rPr>
        <w:instrText>ADDIN CSL_CITATION { "citationItems" : [ { "id" : "ITEM-1", "itemData" : { "DOI" : "10.1073/pnas.1231334100", "ISBN" : "00278424", "ISSN" : "0027-8424", "PMID" : "12815106", "abstract" : "The vulnerability framework of the Research and Assessment Systems for Sustainability Program explicitly recognizes the coupled human-environment system and accounts for interactions in the coupling affecting the system's responses to hazards and its vulnerability. This paper illustrates the usefulness of the vulnerability framework through three case studies: the tropical southern Yucat\u00e1n, the arid Yaqui Valley of northwest Mexico, and the pan-Arctic. Together, these examples illustrate the role of external forces in reshaping the systems in question and their vulnerability to environmental hazards, as well as the different capacities of stakeholders, based on their access to social and biophysical capital, to respond to the changes and hazards. The framework proves useful in directing attention to the interacting parts of the coupled system and helps identify gaps in information and understanding relevant to reducing vulnerability in the systems as a whole.", "author" : [ { "dropping-particle" : "", "family" : "Turner", "given" : "B. L.", "non-dropping-particle" : "", "parse-names" : false, "suffix" : "" }, { "dropping-particle" : "", "family" : "Matson", "given" : "P. A.", "non-dropping-particle" : "", "parse-names" : false, "suffix" : "" }, { "dropping-particle" : "", "family" : "McCarthy", "given" : "J. J.", "non-dropping-particle" : "", "parse-names" : false, "suffix" : "" }, { "dropping-particle" : "", "family" : "Corell", "given" : "R. W.", "non-dropping-particle" : "", "parse-names" : false, "suffix" : "" }, { "dropping-particle" : "", "family" : "Christensen", "given" : "L.", "non-dropping-particle" : "", "parse-names" : false, "suffix" : "" }, { "dropping-particle" : "", "family" : "Eckley", "given" : "N.", "non-dropping-particle" : "", "parse-names" : false, "suffix" : "" }, { "dropping-particle" : "", "family" : "Hovelsrud-Broda", "given" : "G. K.", "non-dropping-particle" : "", "parse-names" : false, "suffix" : "" }, { "dropping-particle" : "", "family" : "Kasperson", "given" : "J. X.", "non-dropping-particle" : "", "parse-names" : false, "suffix" : "" }, { "dropping-particle" : "", "family" : "Kasperson", "given" : "R. E.", "non-dropping-particle" : "", "parse-names" : false, "suffix" : "" }, { "dropping-particle" : "", "family" : "Luers", "given" : "A.", "non-dropping-particle" : "", "parse-names" : false, "suffix" : "" }, { "dropping-particle" : "", "family" : "Martello", "given" : "M. L.", "non-dropping-particle" : "", "parse-names" : false, "suffix" : "" }, { "dropping-particle" : "", "family" : "Mathiesen", "given" : "S.", "non-dropping-particle" : "", "parse-names" : false, "suffix" : "" }, { "dropping-particle" : "", "family" : "Naylor", "given" : "R.", "non-dropping-particle" : "", "parse-names" : false, "suffix" : "" }, { "dropping-particle" : "", "family" : "Polsky", "given" : "C.", "non-dropping-particle" : "", "parse-names" : false, "suffix" : "" }, { "dropping-particle" : "", "family" : "Pulsipher", "given" : "A.", "non-dropping-particle" : "", "parse-names" : false, "suffix" : "" }, { "dropping-particle" : "", "family" : "Schiller", "given" : "A.", "non-dropping-particle" : "", "parse-names" : false, "suffix" : "" }, { "dropping-particle" : "", "family" : "Selin", "given" : "H.", "non-dropping-particle" : "", "parse-names" : false, "suffix" : "" }, { "dropping-particle" : "", "family" : "Tyler", "given" : "N.", "non-dropping-particle" : "", "parse-names" : false, "suffix" : "" } ], "container-title" : "Proceedings of the National Academy of Sciences", "id" : "ITEM-1", "issue" : "14", "issued" : { "date-parts" : [ [ "2003" ] ] }, "page" : "8080-8085", "title" : "Illustrating the coupled human-environment system for vulnerability analysis: Three case studies", "type" : "article-journal", "volume" : "100" }, "uris" : [ "http://www.mendeley.com/documents/?uuid=56b038ef-25ba-4ef9-a0fe-31440184a4ef" ] }, { "id" : "ITEM-2", "itemData" : { "DOI" : "https://doi.org/10.2202/1547-7355.1131", "ISBN" : "0-415-25215-6", "abstract" : "Presently in its second edition, \"At Risk\" stands as a primary text in risk and vulnerability studies. The authors focus on the political and economic causes of disaster, arguing that vulnerability is at the foundation of risks and recovery practices. Through focusing on natural hazards, such as floods, earthquakes, and volcanoes, \"At Risk\" demonstrates how social groups with little economic or political power are the most at risk during times of disaster. The author's \"Pressure and Release\" model for risk and hazard progression is an interesting addition to disaster scholarship", "author" : [ { "dropping-particle" : "", "family" : "Wisner", "given" : "Ben", "non-dropping-particle" : "", "parse-names" : false, "suffix" : "" }, { "dropping-particle" : "", "family" : "Blaikie", "given" : "Piers", "non-dropping-particle" : "", "parse-names" : false, "suffix" : "" }, { "dropping-particle" : "", "family" : "Cannon", "given" : "Terry", "non-dropping-particle" : "", "parse-names" : false, "suffix" : "" }, { "dropping-particle" : "", "family" : "Davis", "given" : "Ian", "non-dropping-particle" : "", "parse-names" : false, "suffix" : "" } ], "container-title" : "Journal of Homeland Security and Emergency Management", "id" : "ITEM-2", "issue" : "2", "issued" : { "date-parts" : [ [ "2004" ] ] }, "title" : "At Risk \u2013 Natural Hazards, People\u2019s Vulnerability and Disasters second edition: Routledge, London", "type" : "article-journal", "volume" : "2" }, "uris" : [ "http://www.mendeley.com/documents/?uuid=58b38b99-a6af-4b93-ada3-d4b5aac19922" ] }, { "id" : "ITEM-3", "itemData" : { "DOI" : "10.1108/09653561211202683", "ISBN" : "0965-3562", "ISSN" : "0965-3562", "abstract" : "Purpose - Balochistan is one of the earthquake disaster prone areas in Pakistan. Earthquakes adversely affect people and their economy, therefore disaster preparedness especially at the community level is imperative to avoid future damages. The purpose of this paper is to examine the issues associated with community preparedness in earthquake prone areas and recommend upgrading the community preparedness, and improving coordination between provincial and national agencies during disasters and seismic emergencies. Design/methodology/approach - The study is based on field visits. Observations, key informant interviews and group discussions were conducted to analyze the preparedness, both at community and organizational levels. Findings - Disaster impacts are still handled by provincial level organizations in Balochistan. Disaster management authorities do not implement any activities related to preparedness at local levels, and focus more on reactive and top-down approaches. On the other hand, community is vulnerable to multiple hazards associated with earthquakes. The study reveals that the available institutional framework does not meet community needs. Both the government institutes and communities are not well prepared, therefore communities get affected from time to time due to earthquake hazards in Balochistan. Practical implications - Disaster management authorities should implement projects and activities at the local levels to empower communities for disaster preparedness and for disaster risk reduction. Originality/value - The paper concludes that for efficient preparedness the coordination should be improved between the provincial and national level agencies and community preparedness needs to be enhanced for upgrading people's awareness and defensive mechanism for safeguarding their lives with reference to seismic emergencies.", "author" : [ { "dropping-particle" : "", "family" : "Ainuddin", "given" : "Syed", "non-dropping-particle" : "", "parse-names" : false, "suffix" : "" }, { "dropping-particle" : "", "family" : "Routray", "given" : "Jayant Kumar", "non-dropping-particle" : "", "parse-names" : false, "suffix" : "" } ], "container-title" : "Disaster Prevention and Management: An International Journal", "id" : "ITEM-3", "issue" : "1", "issued" : { "date-parts" : [ [ "2012" ] ] }, "page" : "22-36", "title" : "Institutional framework, key stakeholders and community preparedness for earthquake induced disaster management in Balochistan", "type" : "article-journal", "volume" : "21" }, "uris" : [ "http://www.mendeley.com/documents/?uuid=b6ff8918-0965-4815-84d5-2e87d9a0374a" ] }, { "id" : "ITEM-4",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"ITEM-4", "issue" : "7", "issued" : { "date-parts" : [ [ "2008" ] ] }, "page" : "2301-6", "title" : "Temporal and spatial changes in social vulnerability to natural hazards", "type" : "article-journal", "volume" : "105" }, "uris" : [ "http://www.mendeley.com/documents/?uuid=3d428226-3967-4855-86f4-a61dfc160ab5" ] } ], "mendeley" : { "formattedCitation" : "(Ainuddin &amp; Routray, 2012c; Cutter &amp; Finch, 2008; Turner et al., 2003; Wisner et al., 2004)", "plainTextFormattedCitation" : "(Ainuddin &amp; Routray, 2012c; Cutter &amp; Finch, 2008; Turner et al., 2003; Wisner et al., 2004)" }, "properties" : { "noteIndex" : 0 }, "schema" : "https://github.com/citation-style-language/schema/raw/master/csl-citation.json" }</w:instrText>
      </w:r>
      <w:r w:rsidR="00B21E1C" w:rsidRPr="00490B2A">
        <w:rPr>
          <w:color w:val="000000" w:themeColor="text1"/>
          <w:sz w:val="20"/>
          <w:szCs w:val="28"/>
        </w:rPr>
        <w:fldChar w:fldCharType="separate"/>
      </w:r>
      <w:r w:rsidRPr="00490B2A">
        <w:rPr>
          <w:noProof/>
          <w:color w:val="000000" w:themeColor="text1"/>
          <w:sz w:val="20"/>
          <w:szCs w:val="28"/>
        </w:rPr>
        <w:t>(Ainuddin</w:t>
      </w:r>
      <w:r w:rsidR="00700A18" w:rsidRPr="00490B2A">
        <w:rPr>
          <w:noProof/>
          <w:color w:val="000000" w:themeColor="text1"/>
          <w:sz w:val="20"/>
          <w:szCs w:val="28"/>
        </w:rPr>
        <w:t xml:space="preserve"> &amp; </w:t>
      </w:r>
      <w:r w:rsidRPr="00490B2A">
        <w:rPr>
          <w:noProof/>
          <w:color w:val="000000" w:themeColor="text1"/>
          <w:sz w:val="20"/>
          <w:szCs w:val="28"/>
        </w:rPr>
        <w:t>Routray, 2012c; Cutter</w:t>
      </w:r>
      <w:r w:rsidR="00700A18" w:rsidRPr="00490B2A">
        <w:rPr>
          <w:noProof/>
          <w:color w:val="000000" w:themeColor="text1"/>
          <w:sz w:val="20"/>
          <w:szCs w:val="28"/>
        </w:rPr>
        <w:t xml:space="preserve"> &amp; </w:t>
      </w:r>
      <w:r w:rsidRPr="00490B2A">
        <w:rPr>
          <w:noProof/>
          <w:color w:val="000000" w:themeColor="text1"/>
          <w:sz w:val="20"/>
          <w:szCs w:val="28"/>
        </w:rPr>
        <w:t>Finch, 2008; Turner et al., 2003; Wisner et al., 2004)</w:t>
      </w:r>
      <w:r w:rsidR="00B21E1C" w:rsidRPr="00490B2A">
        <w:rPr>
          <w:color w:val="000000" w:themeColor="text1"/>
          <w:sz w:val="20"/>
          <w:szCs w:val="28"/>
        </w:rPr>
        <w:fldChar w:fldCharType="end"/>
      </w:r>
      <w:r w:rsidRPr="00490B2A">
        <w:rPr>
          <w:color w:val="000000" w:themeColor="text1"/>
          <w:sz w:val="20"/>
          <w:szCs w:val="28"/>
        </w:rPr>
        <w:t xml:space="preserve">. </w:t>
      </w:r>
      <w:r w:rsidR="00B56E90" w:rsidRPr="00490B2A">
        <w:rPr>
          <w:color w:val="000000" w:themeColor="text1"/>
          <w:sz w:val="20"/>
          <w:szCs w:val="28"/>
        </w:rPr>
        <w:t>In order to assess the community vulnerability, following indicators from these four components of vulnerability have been selected for further investigation (see Table 1).</w:t>
      </w:r>
      <w:r w:rsidR="00B56E90" w:rsidRPr="00490B2A">
        <w:rPr>
          <w:b/>
          <w:color w:val="000000" w:themeColor="text1"/>
          <w:sz w:val="20"/>
          <w:szCs w:val="28"/>
        </w:rPr>
        <w:t xml:space="preserve"> </w:t>
      </w:r>
    </w:p>
    <w:p w:rsidR="00490B2A" w:rsidRPr="00490B2A" w:rsidRDefault="00490B2A" w:rsidP="00490B2A">
      <w:pPr>
        <w:snapToGrid w:val="0"/>
        <w:spacing w:after="0" w:line="240" w:lineRule="auto"/>
        <w:jc w:val="center"/>
        <w:rPr>
          <w:color w:val="000000" w:themeColor="text1"/>
          <w:sz w:val="20"/>
          <w:szCs w:val="28"/>
        </w:rPr>
        <w:sectPr w:rsidR="00490B2A" w:rsidRPr="00490B2A" w:rsidSect="00490B2A">
          <w:type w:val="continuous"/>
          <w:pgSz w:w="12240" w:h="15840"/>
          <w:pgMar w:top="1440" w:right="1440" w:bottom="1440" w:left="1440" w:header="720" w:footer="720" w:gutter="0"/>
          <w:cols w:num="2" w:space="600"/>
          <w:docGrid w:linePitch="360"/>
        </w:sectPr>
      </w:pPr>
    </w:p>
    <w:p w:rsidR="00AC1CFF" w:rsidRPr="00490B2A" w:rsidRDefault="00AC1CFF" w:rsidP="00490B2A">
      <w:pPr>
        <w:snapToGrid w:val="0"/>
        <w:spacing w:after="0" w:line="240" w:lineRule="auto"/>
        <w:jc w:val="center"/>
        <w:rPr>
          <w:color w:val="000000" w:themeColor="text1"/>
          <w:sz w:val="20"/>
          <w:szCs w:val="28"/>
        </w:rPr>
      </w:pPr>
    </w:p>
    <w:p w:rsidR="00AC1CFF" w:rsidRPr="00490B2A" w:rsidRDefault="000F1902" w:rsidP="00490B2A">
      <w:pPr>
        <w:widowControl w:val="0"/>
        <w:autoSpaceDE w:val="0"/>
        <w:autoSpaceDN w:val="0"/>
        <w:adjustRightInd w:val="0"/>
        <w:snapToGrid w:val="0"/>
        <w:spacing w:after="0" w:line="240" w:lineRule="auto"/>
        <w:jc w:val="center"/>
        <w:rPr>
          <w:b/>
          <w:color w:val="000000" w:themeColor="text1"/>
          <w:sz w:val="20"/>
          <w:szCs w:val="28"/>
        </w:rPr>
      </w:pPr>
      <w:r w:rsidRPr="00490B2A">
        <w:rPr>
          <w:b/>
          <w:color w:val="000000" w:themeColor="text1"/>
          <w:sz w:val="20"/>
          <w:szCs w:val="28"/>
        </w:rPr>
        <w:t>Table 1</w:t>
      </w:r>
      <w:r w:rsidR="00AC1CFF" w:rsidRPr="00490B2A">
        <w:rPr>
          <w:b/>
          <w:color w:val="000000" w:themeColor="text1"/>
          <w:sz w:val="20"/>
          <w:szCs w:val="28"/>
        </w:rPr>
        <w:t>: Variables selected for constructing community vulnerability index</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413"/>
        <w:gridCol w:w="4216"/>
        <w:gridCol w:w="836"/>
        <w:gridCol w:w="3009"/>
      </w:tblGrid>
      <w:tr w:rsidR="00AC1CFF" w:rsidRPr="00490B2A" w:rsidTr="00490B2A">
        <w:trPr>
          <w:tblHeade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Category</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Variables/indicators</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Effects</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Justification</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Social Vulnerability</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Educational level</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 of people with high school and above education</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without any education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"DOI" : "10.1007/s10464-007-9156-6", "ISBN" : "0091-0562 (Print)", "ISSN" : "00910562", "PMID" : "18157631", "abstract" : "Communities have the potential to function effectively and adapt successfully in the aftermath of disasters. Drawing upon literatures in several disciplines, we present a theory of resilience that encompasses contemporary understandings of stress, adaptation, wellness, and resource dynamics. Community resilience is a process linking a network of adaptive capacities (resources with dynamic attributes) to adaptation after a disturbance or adversity. Community adaptation is manifest in population wellness, defined as high and non-disparate levels of mental and behavioral health, functioning, and quality of life. Community resilience emerges from four primary sets of adaptive capacities--Economic Development, Social Capital, Information and Communication, and Community Competence--that together provide a strategy for disaster readiness. To build collective resilience, communities must reduce risk and resource inequities, engage local people in mitigation, create organizational linkages, boost and protect social supports, and plan for not having a plan, which requires flexibility, decision-making skills, and trusted sources of information that function in the face of unknowns.", "author" : [ { "dropping-particle" : "", "family" : "Norris", "given" : "Fran H.", "non-dropping-particle" : "", "parse-names" : false, "suffix" : "" }, { "dropping-particle" : "", "family" : "Stevens", "given" : "Susan P.", "non-dropping-particle" : "", "parse-names" : false, "suffix" : "" }, { "dropping-particle" : "", "family" : "Pfefferbaum", "given" : "Betty", "non-dropping-particle" : "", "parse-names" : false, "suffix" : "" }, { "dropping-particle" : "", "family" : "Wyche", "given" : "Karen F.", "non-dropping-particle" : "", "parse-names" : false, "suffix" : "" }, { "dropping-particle" : "", "family" : "Pfefferbaum", "given" : "Rose L.", "non-dropping-particle" : "", "parse-names" : false, "suffix" : "" } ], "container-title" : "American Journal of Community Psychology", "id" : "ITEM-2", "issue" : "1-2", "issued" : { "date-parts" : [ [ "2008" ] ] }, "page" : "127-150", "title" : "Community resilience as a metaphor, theory, set of capacities, and strategy for disaster readiness", "type" : "article-journal", "volume" : "41" }, "uris" : [ "http://www.mendeley.com/documents/?uuid=31728692-8c71-4e8e-8660-b102122b740e" ] }, { "id" : "ITEM-3", "itemData" : { "ISSN" : "2159-8142", "abstract" : "Various research methods can be appropriate for social justice aims. Quantitative, qualitative, and mixed-method approaches offer different kinds of strengths in advancing a social justice agenda. This article recaptures and expands upon the ideas presented by the authors of this special issue, recommending best practices in research for social justice in the following areas: (a) cultural competence and the role of the researcher(s); (b) formulating the focus of the research; (c) selection of the underlying paradigm and research method/design; (d) the research team: formation, process, and issues of power; (e) power and relationship with research participants; and (f) data gathering, analysis, and reporting. [ABSTRACT FROM AUTHOR]", "author" : [ { "dropping-particle" : "", "family" : "Fassinger", "given" : "Ruth", "non-dropping-particle" : "", "parse-names" : false, "suffix" : "" }, { "dropping-particle" : "", "family" : "Morrow", "given" : "Susan L", "non-dropping-particle" : "", "parse-names" : false, "suffix" : "" } ], "container-title" : "Journal for Social Action in Counseling &amp; Psychology", "id" : "ITEM-3", "issue" : "2", "issued" : { "date-parts" : [ [ "2013" ] ] }, "page" : "69-83", "title" : "Toward best practices in quantitative, qualitative, and mixed- method research: A social justice perspective.", "type" : "article-journal", "volume" : "5" }, "uris" : [ "http://www.mendeley.com/documents/?uuid=c4a73d5d-60e6-4499-9967-0ab9e384c9c3" ] } ], "mendeley" : { "formattedCitation" : "(Cutter &amp; Finch, 2008; Fassinger &amp; Morrow, 2013; Norris, Stevens, Pfefferbaum, Wyche, &amp; Pfefferbaum, 2008)", "plainTextFormattedCitation" : "(Cutter &amp; Finch, 2008; Fassinger &amp; Morrow, 2013; Norris, Stevens, Pfefferbaum, Wyche, &amp; Pfefferbaum, 2008)", "previouslyFormattedCitation" : "(Cutter &amp; Finch, 2008; Fassinger &amp; Morrow, 2013; Norris, Stevens, Pfefferbaum, Wyche, &amp; Pfefferbaum, 2008)"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w:t>
            </w:r>
            <w:r w:rsidR="00700A18" w:rsidRPr="00490B2A">
              <w:rPr>
                <w:color w:val="000000" w:themeColor="text1"/>
                <w:sz w:val="19"/>
                <w:szCs w:val="19"/>
              </w:rPr>
              <w:t xml:space="preserve"> &amp; </w:t>
            </w:r>
            <w:r w:rsidRPr="00490B2A">
              <w:rPr>
                <w:color w:val="000000" w:themeColor="text1"/>
                <w:sz w:val="19"/>
                <w:szCs w:val="19"/>
              </w:rPr>
              <w:t>Finch, 2008; Fassinger</w:t>
            </w:r>
            <w:r w:rsidR="00700A18" w:rsidRPr="00490B2A">
              <w:rPr>
                <w:color w:val="000000" w:themeColor="text1"/>
                <w:sz w:val="19"/>
                <w:szCs w:val="19"/>
              </w:rPr>
              <w:t xml:space="preserve"> &amp; </w:t>
            </w:r>
            <w:r w:rsidRPr="00490B2A">
              <w:rPr>
                <w:color w:val="000000" w:themeColor="text1"/>
                <w:sz w:val="19"/>
                <w:szCs w:val="19"/>
              </w:rPr>
              <w:t>Morrow, 2013; Norris, Stevens, Pfefferbaum, Wyche,</w:t>
            </w:r>
            <w:r w:rsidR="00700A18" w:rsidRPr="00490B2A">
              <w:rPr>
                <w:color w:val="000000" w:themeColor="text1"/>
                <w:sz w:val="19"/>
                <w:szCs w:val="19"/>
              </w:rPr>
              <w:t xml:space="preserve"> &amp; </w:t>
            </w:r>
            <w:r w:rsidRPr="00490B2A">
              <w:rPr>
                <w:color w:val="000000" w:themeColor="text1"/>
                <w:sz w:val="19"/>
                <w:szCs w:val="19"/>
              </w:rPr>
              <w:t>Pfefferbaum, 2008)</w:t>
            </w:r>
            <w:r w:rsidR="00B21E1C" w:rsidRPr="00490B2A">
              <w:rPr>
                <w:color w:val="000000" w:themeColor="text1"/>
                <w:sz w:val="19"/>
                <w:szCs w:val="19"/>
              </w:rPr>
              <w:fldChar w:fldCharType="end"/>
            </w:r>
            <w:r w:rsidRPr="00490B2A">
              <w:rPr>
                <w:color w:val="000000" w:themeColor="text1"/>
                <w:sz w:val="19"/>
                <w:szCs w:val="19"/>
              </w:rPr>
              <w:t xml:space="preserve">. </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Negative</w:t>
            </w:r>
            <w:r w:rsidR="00700A18" w:rsidRPr="00490B2A">
              <w:rPr>
                <w:color w:val="000000" w:themeColor="text1"/>
                <w:sz w:val="19"/>
                <w:szCs w:val="19"/>
              </w:rPr>
              <w:t xml:space="preserve"> </w:t>
            </w: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Positive</w:t>
            </w:r>
            <w:r w:rsidR="00700A18" w:rsidRPr="00490B2A">
              <w:rPr>
                <w:color w:val="000000" w:themeColor="text1"/>
                <w:sz w:val="19"/>
                <w:szCs w:val="19"/>
              </w:rPr>
              <w:t xml:space="preser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Higher the education level plays a vital role in a community for understanding the disaster management activates </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Age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above 60 years of age and below 15 years of age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"10.3763/ehaz.1999.0103", "ISBN" : "1464-2867", "ISSN" : "18780059", "abstract" : "Recent hazard literature frequently refers to sustainability and resilience as the guiding principles behind effective hazard planning. Certainly, structurally organizing communities to minimize effects of disasters and to recover quickly by restoring socio-economic vitality are laudable goals. However, while anticipating such outcomes is relatively easy from a theoretical standpoint, practical implementation of comprehensive plans is much more elusive. Indeed, relationships between community sustainability/resilience and hazards are complex involving many social, economic, political and physical factors. A conceptual framework for analysis of sustainability and resilience, then, is described based on three theoretical models, a mitigation model, a recovery model, and a structural-cognitive model. This framework is examined using data from Florida, USA, where local context, social and political activities, and economic concerns present difficulties in application. The question remains, therefore, to what extent can communities truly develop sustainable and resilient characteristics? (C) 1999 Elsevier Science Ltd.", "author" : [ { "dropping-particle" : "", "family" : "Tobin", "given" : "Graham A.", "non-dropping-particle" : "", "parse-names" : false, "suffix" : "" } ], "container-title" : "Environmental Hazards", "id" : "ITEM-1", "issue" : "1", "issued" : { "date-parts" : [ [ "1999" ] ] }, "page" : "13-25", "title" : "Sustainability and community resilience: The holy grail of hazards planning?", "type" : "article-journal", "volume" : "1" }, "uris" : [ "http://www.mendeley.com/documents/?uuid=01696b08-a9cb-4ce0-9f5f-d7e56f7d3767" ] }, { "id" : "ITEM-2", "itemData" : { "DOI" : "10.1111/1540-6237.8402002", "ISBN" : "1540-6237", "ISSN" : "00384941", "PMID" : "9841166", "abstract" : "Objective.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score\u2014the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vulnerability\u2014some components increase vulnerability; others moderate the effects.", "author" : [ { "dropping-particle" : "", "family" : "Cutter", "given" : "Susan L.", "non-dropping-particle" : "", "parse-names" : false, "suffix" : "" }, { "dropping-particle" : "", "family" : "Boruff", "given" : "Bryan J.", "non-dropping-particle" : "", "parse-names" : false, "suffix" : "" }, { "dropping-particle" : "", "family" : "Shirley", "given" : "W. Lynn", "non-dropping-particle" : "", "parse-names" : false, "suffix" : "" } ], "container-title" : "Social Science Quarterly", "id" : "ITEM-2", "issue" : "2", "issued" : { "date-parts" : [ [ "2003" ] ] }, "page" : "242-261", "title" : "Social vulnerability to environmental hazards", "type" : "article-journal", "volume" : "84" }, "uris" : [ "http://www.mendeley.com/documents/?uuid=31196603-07de-4ed5-bca2-94268ebb1246" ] }, { "id" : "ITEM-3",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"ITEM-3", "issue" : "7", "issued" : { "date-parts" : [ [ "2008" ] ] }, "page" : "2301-6", "title" : "Temporal and spatial changes in social vulnerability to natural hazards", "type" : "article-journal", "volume" : "105" }, "uris" : [ "http://www.mendeley.com/documents/?uuid=3d428226-3967-4855-86f4-a61dfc160ab5" ] }, { "id" : "ITEM-4", "itemData" : { "ISSN" : "2159-8142", "abstract" : "Various research methods can be appropriate for social justice aims. Quantitative, qualitative, and mixed-method approaches offer different kinds of strengths in advancing a social justice agenda. This article recaptures and expands upon the ideas presented by the authors of this special issue, recommending best practices in research for social justice in the following areas: (a) cultural competence and the role of the researcher(s); (b) formulating the focus of the research; (c) selection of the underlying paradigm and research method/design; (d) the research team: formation, process, and issues of power; (e) power and relationship with research participants; and (f) data gathering, analysis, and reporting. [ABSTRACT FROM AUTHOR]", "author" : [ { "dropping-particle" : "", "family" : "Fassinger", "given" : "Ruth", "non-dropping-particle" : "", "parse-names" : false, "suffix" : "" }, { "dropping-particle" : "", "family" : "Morrow", "given" : "Susan L", "non-dropping-particle" : "", "parse-names" : false, "suffix" : "" } ], "container-title" : "Journal for Social Action in Counseling &amp; Psychology", "id" : "ITEM-4", "issue" : "2", "issued" : { "date-parts" : [ [ "2013" ] ] }, "page" : "69-83", "title" : "Toward best practices in quantitative, qualitative, and mixed- method research: A social justice perspective.", "type" : "article-journal", "volume" : "5" }, "uris" : [ "http://www.mendeley.com/documents/?uuid=c4a73d5d-60e6-4499-9967-0ab9e384c9c3" ] } ], "mendeley" : { "formattedCitation" : "(Cutter et al., 2003; Cutter &amp; Finch, 2008; Fassinger &amp; Morrow, 2013; Tobin, 1999)", "plainTextFormattedCitation" : "(Cutter et al., 2003; Cutter &amp; Finch, 2008; Fassinger &amp; Morrow, 2013; Tobin, 1999)", "previouslyFormattedCitation" : "(Cutter et al., 2003; Cutter &amp; Finch, 2008; Fassinger &amp; Morrow, 2013; Tobin, 1999)"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 et al., 2003; Cutter</w:t>
            </w:r>
            <w:r w:rsidR="00700A18" w:rsidRPr="00490B2A">
              <w:rPr>
                <w:color w:val="000000" w:themeColor="text1"/>
                <w:sz w:val="19"/>
                <w:szCs w:val="19"/>
              </w:rPr>
              <w:t xml:space="preserve"> &amp; </w:t>
            </w:r>
            <w:r w:rsidRPr="00490B2A">
              <w:rPr>
                <w:color w:val="000000" w:themeColor="text1"/>
                <w:sz w:val="19"/>
                <w:szCs w:val="19"/>
              </w:rPr>
              <w:t xml:space="preserve">Finch, </w:t>
            </w:r>
            <w:r w:rsidRPr="00490B2A">
              <w:rPr>
                <w:color w:val="000000" w:themeColor="text1"/>
                <w:sz w:val="19"/>
                <w:szCs w:val="19"/>
              </w:rPr>
              <w:lastRenderedPageBreak/>
              <w:t>2008; Fassinger</w:t>
            </w:r>
            <w:r w:rsidR="00700A18" w:rsidRPr="00490B2A">
              <w:rPr>
                <w:color w:val="000000" w:themeColor="text1"/>
                <w:sz w:val="19"/>
                <w:szCs w:val="19"/>
              </w:rPr>
              <w:t xml:space="preserve"> &amp; </w:t>
            </w:r>
            <w:r w:rsidRPr="00490B2A">
              <w:rPr>
                <w:color w:val="000000" w:themeColor="text1"/>
                <w:sz w:val="19"/>
                <w:szCs w:val="19"/>
              </w:rPr>
              <w:t>Morrow, 2013; Tobin, 1999)</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lastRenderedPageBreak/>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Higher the ratio of aged people and under 15 years of children’s having </w:t>
            </w:r>
            <w:r w:rsidRPr="00490B2A">
              <w:rPr>
                <w:color w:val="000000" w:themeColor="text1"/>
                <w:sz w:val="19"/>
                <w:szCs w:val="19"/>
              </w:rPr>
              <w:lastRenderedPageBreak/>
              <w:t>constraints during evocation.</w:t>
            </w:r>
            <w:r w:rsidR="00700A18" w:rsidRPr="00490B2A">
              <w:rPr>
                <w:color w:val="000000" w:themeColor="text1"/>
                <w:sz w:val="19"/>
                <w:szCs w:val="19"/>
              </w:rPr>
              <w:t xml:space="preserve"> </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lastRenderedPageBreak/>
              <w:t xml:space="preserve">Health Insurance </w:t>
            </w: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Disability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Percentage of people with health insurance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"ISSN" : "0749-0208", "abstract" : "Over the next 60 years, coastal erosion may claim one out of four houses within 500 teet of the U.S. shoreline. To the homeowners living within this narrow strip, the risk posed by erosion is comparable to the risk from flooding. These are the findings of a recent study by The H. John Heinz III Center tin Science, Economics and the Environment, prepared for the U.S. Congress and funded primarily by the Federal Emergency Management Agency (FEMAJ.Other key economic and policy findings are summarized, as well. Underpinning these findings are: 1) detailed projections of shoreline movement over the next 60 years (first published in a special issue of this Journal), 2) an extensive engineering and economic data set on over 10,000 structures located within 500 teet of the Nation's shorelines, and 3) a model that uses these detailed data to estimate ocnnomic costs needed by the FEMA for setting flood insurance rates. Extrapolating nationwide, roughly 87,000 homes and the land on which they are built will be lost to erosion over the next 60 years. We explain the procedures for making such extrapolations, using a national shoreline change data set from Dolan and May and 1990 Census block group data on dwelling densities. ADDITIONAL", "author" : [ { "dropping-particle" : "", "family" : "Friedman", "given" : "Robert M", "non-dropping-particle" : "", "parse-names" : false, "suffix" : "" }, { "dropping-particle" : "V", "family" : "Dunn", "given" : "Stephen", "non-dropping-particle" : "", "parse-names" : false, "suffix" : "" }, { "dropping-particle" : "", "family" : "Merrell Jr", "given" : "William J", "non-dropping-particle" : "", "parse-names" : false, "suffix" : "" } ], "container-title" : "Journal of Coastal Research", "id" : "ITEM-2", "issue" : "3", "issued" : { "date-parts" : [ [ "2002" ] ] }, "page" : "568-575", "title" : "Summary of the Heinz center report on coastal erosion and the National Flood Insurance Program", "type" : "article-journal", "volume" : "18" }, "uris" : [ "http://www.mendeley.com/documents/?uuid=c4b0d074-1958-46cf-a2d4-6ceba49e75e2" ] } ], "mendeley" : { "formattedCitation" : "(Cutter &amp; Finch, 2008; Friedman, Dunn, &amp; Merrell Jr, 2002)", "plainTextFormattedCitation" : "(Cutter &amp; Finch, 2008; Friedman, Dunn, &amp; Merrell Jr, 2002)", "previouslyFormattedCitation" : "(Cutter &amp; Finch, 2008; Friedman, Dunn, &amp; Merrell Jr, 2002)"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w:t>
            </w:r>
            <w:r w:rsidR="00700A18" w:rsidRPr="00490B2A">
              <w:rPr>
                <w:color w:val="000000" w:themeColor="text1"/>
                <w:sz w:val="19"/>
                <w:szCs w:val="19"/>
              </w:rPr>
              <w:t xml:space="preserve"> &amp; </w:t>
            </w:r>
            <w:r w:rsidRPr="00490B2A">
              <w:rPr>
                <w:color w:val="000000" w:themeColor="text1"/>
                <w:sz w:val="19"/>
                <w:szCs w:val="19"/>
              </w:rPr>
              <w:t>Finch, 2008; Friedman, Dunn,</w:t>
            </w:r>
            <w:r w:rsidR="00700A18" w:rsidRPr="00490B2A">
              <w:rPr>
                <w:color w:val="000000" w:themeColor="text1"/>
                <w:sz w:val="19"/>
                <w:szCs w:val="19"/>
              </w:rPr>
              <w:t xml:space="preserve"> &amp; </w:t>
            </w:r>
            <w:r w:rsidRPr="00490B2A">
              <w:rPr>
                <w:color w:val="000000" w:themeColor="text1"/>
                <w:sz w:val="19"/>
                <w:szCs w:val="19"/>
              </w:rPr>
              <w:t>Merrell Jr, 2002)</w:t>
            </w:r>
            <w:r w:rsidR="00B21E1C" w:rsidRPr="00490B2A">
              <w:rPr>
                <w:color w:val="000000" w:themeColor="text1"/>
                <w:sz w:val="19"/>
                <w:szCs w:val="19"/>
              </w:rPr>
              <w:fldChar w:fldCharType="end"/>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 any mental or physical disability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"10.1007/s11069-009-9376-1", "ISBN" : "0921-030X", "ISSN" : "0921030X", "abstract" : "Tsunamis generated by Cascadia subduction zone earthquakes pose significant threats to coastal communities in the U.S. Pacific Northwest. Impacts of future tsunamis to individuals and communities will likely vary due to pre-event socioeconomic and demographic differences. In order to assess social vulnerability to Cascadia tsunamis, we adjust a social vulnerability index based on principal component analysis first developed by Cutter et al. (2003) to operate at the census-block level of geography and focus on community-level comparisons along the Oregon coast. The number of residents from blocks in tsunami-prone areas considered to have higher social vulnerability varies considerably among 26 Oregon cities and most are concentrated in four cities and two unincorporated areas. Variations in the number of residents from census blocks considered to have higher social vulnerability in each city do not strongly correlate with the number of residents or city assets in tsunami-prone areas. Methods presented here will help emergency managers to identify community sub-groups that are more susceptible to loss and to develop risk-reduction strategies that are tailored to local conditions.", "author" : [ { "dropping-particle" : "", "family" : "Wood", "given" : "Nathan J.", "non-dropping-particle" : "", "parse-names" : false, "suffix" : "" }, { "dropping-particle" : "", "family" : "Burton", "given" : "Christopher G.", "non-dropping-particle" : "", "parse-names" : false, "suffix" : "" }, { "dropping-particle" : "", "family" : "Cutter", "given" : "Susan L.", "non-dropping-particle" : "", "parse-names" : false, "suffix" : "" } ], "container-title" : "Natural Hazards", "id" : "ITEM-1", "issue" : "2", "issued" : { "date-parts" : [ [ "2010" ] ] }, "page" : "369-389", "title" : "Community variations in social vulnerability to Cascadia-related tsunamis in the U.S. Pacific Northwest", "type" : "article-journal", "volume" : "52" }, "uris" : [ "http://www.mendeley.com/documents/?uuid=aabae841-1199-4b73-9c16-ea271aba7622" ] } ], "mendeley" : { "formattedCitation" : "(Wood et al., 2010)", "plainTextFormattedCitation" : "(Wood et al., 2010)", "previouslyFormattedCitation" : "(Wood et al., 2010)"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(Wood et al., 2010)</w:t>
            </w:r>
            <w:r w:rsidR="00B21E1C" w:rsidRPr="00490B2A">
              <w:rPr>
                <w:color w:val="000000" w:themeColor="text1"/>
                <w:sz w:val="19"/>
                <w:szCs w:val="19"/>
              </w:rPr>
              <w:fldChar w:fldCharType="end"/>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Negative </w:t>
            </w:r>
          </w:p>
          <w:p w:rsidR="00700A18" w:rsidRPr="00490B2A" w:rsidRDefault="00700A18" w:rsidP="00490B2A">
            <w:pPr>
              <w:snapToGrid w:val="0"/>
              <w:spacing w:line="240" w:lineRule="auto"/>
              <w:rPr>
                <w:color w:val="000000" w:themeColor="text1"/>
                <w:sz w:val="19"/>
                <w:szCs w:val="19"/>
              </w:rPr>
            </w:pPr>
          </w:p>
          <w:p w:rsidR="00700A18" w:rsidRPr="00490B2A" w:rsidRDefault="00700A18"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Health insurance facilitates the people of the community aftermath of a disaster.</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Disabled persons will increase the household finance during disaster.</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Social capital</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Community trust during disasters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"10.1007/s10464-007-9156-6", "ISBN" : "0091-0562 (Print)", "ISSN" : "00910562", "PMID" : "18157631", "abstract" : "Communities have the potential to function effectively and adapt successfully in the aftermath of disasters. Drawing upon literatures in several disciplines, we present a theory of resilience that encompasses contemporary understandings of stress, adaptation, wellness, and resource dynamics. Community resilience is a process linking a network of adaptive capacities (resources with dynamic attributes) to adaptation after a disturbance or adversity. Community adaptation is manifest in population wellness, defined as high and non-disparate levels of mental and behavioral health, functioning, and quality of life. Community resilience emerges from four primary sets of adaptive capacities--Economic Development, Social Capital, Information and Communication, and Community Competence--that together provide a strategy for disaster readiness. To build collective resilience, communities must reduce risk and resource inequities, engage local people in mitigation, create organizational linkages, boost and protect social supports, and plan for not having a plan, which requires flexibility, decision-making skills, and trusted sources of information that function in the face of unknowns.", "author" : [ { "dropping-particle" : "", "family" : "Norris", "given" : "Fran H.", "non-dropping-particle" : "", "parse-names" : false, "suffix" : "" }, { "dropping-particle" : "", "family" : "Stevens", "given" : "Susan P.", "non-dropping-particle" : "", "parse-names" : false, "suffix" : "" }, { "dropping-particle" : "", "family" : "Pfefferbaum", "given" : "Betty", "non-dropping-particle" : "", "parse-names" : false, "suffix" : "" }, { "dropping-particle" : "", "family" : "Wyche", "given" : "Karen F.", "non-dropping-particle" : "", "parse-names" : false, "suffix" : "" }, { "dropping-particle" : "", "family" : "Pfefferbaum", "given" : "Rose L.", "non-dropping-particle" : "", "parse-names" : false, "suffix" : "" } ], "container-title" : "American Journal of Community Psychology", "id" : "ITEM-1", "issue" : "1-2", "issued" : { "date-parts" : [ [ "2008" ] ] }, "page" : "127-150", "title" : "Community resilience as a metaphor, theory, set of capacities, and strategy for disaster readiness", "type" : "article-journal", "volume" : "41" }, "uris" : [ "http://www.mendeley.com/documents/?uuid=31728692-8c71-4e8e-8660-b102122b740e" ] }, { "id" : "ITEM-2", "itemData" : { "DOI" : "10.1111/1540-6237.8402002", "ISBN" : "1540-6237", "ISSN" : "00384941", "PMID" : "9841166", "abstract" : "Objective.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score\u2014the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vulnerability\u2014some components increase vulnerability; others moderate the effects.", "author" : [ { "dropping-particle" : "", "family" : "Cutter", "given" : "Susan L.", "non-dropping-particle" : "", "parse-names" : false, "suffix" : "" }, { "dropping-particle" : "", "family" : "Boruff", "given" : "Bryan J.", "non-dropping-particle" : "", "parse-names" : false, "suffix" : "" }, { "dropping-particle" : "", "family" : "Shirley", "given" : "W. Lynn", "non-dropping-particle" : "", "parse-names" : false, "suffix" : "" } ], "container-title" : "Social Science Quarterly", "id" : "ITEM-2", "issue" : "2", "issued" : { "date-parts" : [ [ "2003" ] ] }, "page" : "242-261", "title" : "Social vulnerability to environmental hazards", "type" : "article-journal", "volume" : "84" }, "uris" : [ "http://www.mendeley.com/documents/?uuid=31196603-07de-4ed5-bca2-94268ebb1246" ] } ], "mendeley" : { "formattedCitation" : "(Cutter et al., 2003; Norris et al., 2008)", "plainTextFormattedCitation" : "(Cutter et al., 2003; Norris et al., 2008)", "previouslyFormattedCitation" : "(Cutter et al., 2003; Norris et al., 2008)"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 et al., 2003; Norris et al., 2008)</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Negative</w:t>
            </w:r>
            <w:r w:rsidR="00700A18" w:rsidRPr="00490B2A">
              <w:rPr>
                <w:color w:val="000000" w:themeColor="text1"/>
                <w:sz w:val="19"/>
                <w:szCs w:val="19"/>
              </w:rPr>
              <w:t xml:space="preser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Community trust facilitates the cooperation and coordination during emergencies. </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Economic Vulnerability</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Employment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 of people without employment occupation</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"10.1111/1540-6237.8402002", "ISBN" : "1540-6237", "ISSN" : "00384941", "PMID" : "9841166", "abstract" : "Objective.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score\u2014the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vulnerability\u2014some components increase vulnerability; others moderate the effects.", "author" : [ { "dropping-particle" : "", "family" : "Cutter", "given" : "Susan L.", "non-dropping-particle" : "", "parse-names" : false, "suffix" : "" }, { "dropping-particle" : "", "family" : "Boruff", "given" : "Bryan J.", "non-dropping-particle" : "", "parse-names" : false, "suffix" : "" }, { "dropping-particle" : "", "family" : "Shirley", "given" : "W. Lynn", "non-dropping-particle" : "", "parse-names" : false, "suffix" : "" } ], "container-title" : "Social Science Quarterly", "id" : "ITEM-1", "issue" : "2", "issued" : { "date-parts" : [ [ "2003" ] ] }, "page" : "242-261", "title" : "Social vulnerability to environmental hazards", "type" : "article-journal", "volume" : "84" }, "uris" : [ "http://www.mendeley.com/documents/?uuid=31196603-07de-4ed5-bca2-94268ebb1246" ] }, { "id" : "ITEM-2", "itemData" : { "DOI" : "10.17226/9834", "ISBN" : "0309171970", "abstract" : "Facing the Unexpected presents the wealth of information derived from disasters around the world over the past 25 years. The authors explore how these findings can improve disaster programs, identify remaining research needs, and discuss disaster within the broader context of sustainable development.How do different people think about disaster? Are we more likely to panic or to respond with altruism? Why are 110 people killed in a Valujet crash considered disaster victims while the 50,000 killed annually in traffic accidents in the U.S. are not? At the crossroads of social, cultural, and economic factors, this book examines these and other compelling questions.The authors review the influences that shape the U.S. governmental system for disaster planning and response, the effectiveness of local emergency agencies, and the level of professionalism in the field. They also compare technological versus natural disaster and examine the impact of technology on disaster programs.", "author" : [ { "dropping-particle" : "", "family" : "Tierney", "given" : "Kathleen J.", "non-dropping-particle" : "", "parse-names" : false, "suffix" : "" }, { "dropping-particle" : "", "family" : "Lindell", "given" : "Michael K.", "non-dropping-particle" : "", "parse-names" : false, "suffix" : "" }, { "dropping-particle" : "", "family" : "Perry", "given" : "Ronald W.", "non-dropping-particle" : "", "parse-names" : false, "suffix" : "" }, { "dropping-particle" : "", "family" : "Tierney", "given" : "Kathleen J.", "non-dropping-particle" : "", "parse-names" : false, "suffix" : "" }, { "dropping-particle" : "", "family" : "Lindell", "given" : "Michael K.", "non-dropping-particle" : "", "parse-names" : false, "suffix" : "" }, { "dropping-particle" : "", "family" : "Perry", "given" : "Ronald W.", "non-dropping-particle" : "", "parse-names" : false, "suffix" : "" }, { "dropping-particle" : "", "family" : "Press", "given" : "Joseph Henry", "non-dropping-particle" : "", "parse-names" : false, "suffix" : "" } ], "container-title" : "Natural Hazards and Disasters", "id" : "ITEM-2", "issue" : "October", "issued" : { "date-parts" : [ [ "2001" ] ] }, "number-of-pages" : "281", "title" : "Facing the Unexpected: Disaster Preparedness and Response in the United States", "type" : "book", "volume" : "2001" }, "uris" : [ "http://www.mendeley.com/documents/?uuid=8191c793-f7b2-40d8-a853-bcf86dc642ca" ] } ], "mendeley" : { "formattedCitation" : "(Cutter et al., 2003; Tierney et al., 2001)", "plainTextFormattedCitation" : "(Cutter et al., 2003; Tierney et al., 2001)", "previouslyFormattedCitation" : "(Cutter et al., 2003; Tierney et al., 2001)"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 et al., 2003; Tierney et al., 2001)</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Employment occupation increases the will-being of the people and reduces the poverty level.</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Category</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Variables/indicators</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Effects</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Justification</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Multiple source of income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without diversified source of income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"10.1007/s10464-007-9156-6", "ISBN" : "0091-0562 (Print)", "ISSN" : "00910562", "PMID" : "18157631", "abstract" : "Communities have the potential to function effectively and adapt successfully in the aftermath of disasters. Drawing upon literatures in several disciplines, we present a theory of resilience that encompasses contemporary understandings of stress, adaptation, wellness, and resource dynamics. Community resilience is a process linking a network of adaptive capacities (resources with dynamic attributes) to adaptation after a disturbance or adversity. Community adaptation is manifest in population wellness, defined as high and non-disparate levels of mental and behavioral health, functioning, and quality of life. Community resilience emerges from four primary sets of adaptive capacities--Economic Development, Social Capital, Information and Communication, and Community Competence--that together provide a strategy for disaster readiness. To build collective resilience, communities must reduce risk and resource inequities, engage local people in mitigation, create organizational linkages, boost and protect social supports, and plan for not having a plan, which requires flexibility, decision-making skills, and trusted sources of information that function in the face of unknowns.", "author" : [ { "dropping-particle" : "", "family" : "Norris", "given" : "Fran H.", "non-dropping-particle" : "", "parse-names" : false, "suffix" : "" }, { "dropping-particle" : "", "family" : "Stevens", "given" : "Susan P.", "non-dropping-particle" : "", "parse-names" : false, "suffix" : "" }, { "dropping-particle" : "", "family" : "Pfefferbaum", "given" : "Betty", "non-dropping-particle" : "", "parse-names" : false, "suffix" : "" }, { "dropping-particle" : "", "family" : "Wyche", "given" : "Karen F.", "non-dropping-particle" : "", "parse-names" : false, "suffix" : "" }, { "dropping-particle" : "", "family" : "Pfefferbaum", "given" : "Rose L.", "non-dropping-particle" : "", "parse-names" : false, "suffix" : "" } ], "container-title" : "American Journal of Community Psychology", "id" : "ITEM-1", "issue" : "1-2", "issued" : { "date-parts" : [ [ "2008" ] ] }, "page" : "127-150", "title" : "Community resilience as a metaphor, theory, set of capacities, and strategy for disaster readiness", "type" : "article-journal", "volume" : "41" }, "uris" : [ "http://www.mendeley.com/documents/?uuid=31728692-8c71-4e8e-8660-b102122b740e" ] }, { "id" : "ITEM-2", "itemData" : { "DOI" : "10.2202/1547-7355.1732", "ISBN" : "1547-7355", "ISSN" : "1547-7355", "abstract" : "There is considerable federal interest in disaster resilience as a mechanism for mitigating the impacts to local communities, yet the identification of metrics and standards for measuring resilience remain a challenge. This paper provides a methodology and a set of indicators for measuring baseline characteristics of communities that foster resilience. By establishing baseline conditions, it becomes possible to monitor changes in resilience over time in particular places and to compare one place to another. We apply our methodology to counties within the Southeastern United States as a proof of concept. The results show that spatial variations in disaster resilience exist and are especially evident in the rural/urban divide, where metropolitan areas have higher levels of resilience than rural counties. However, the individual drivers of the disaster resilience (or lack thereof)\u2014social, economic, institutional, infrastructure, and community capacities\u2014vary widely.", "author" : [ { "dropping-particle" : "", "family" : "Cutter", "given" : "Susan L.", "non-dropping-particle" : "", "parse-names" : false, "suffix" : "" }, { "dropping-particle" : "", "family" : "Burton", "given" : "Christopher G.", "non-dropping-particle" : "", "parse-names" : false, "suffix" : "" }, { "dropping-particle" : "", "family" : "Emrich", "given" : "Christopher T.", "non-dropping-particle" : "", "parse-names" : false, "suffix" : "" } ], "container-title" : "Journal of Homeland Security and Emergency Management", "id" : "ITEM-2", "issue" : "1", "issued" : { "date-parts" : [ [ "2010" ] ] }, "title" : "Disaster Resilience Indicators for Benchmarking Baseline Conditions", "type" : "article-journal", "volume" : "7" }, "uris" : [ "http://www.mendeley.com/documents/?uuid=e85febef-7707-4c10-b203-ebb29f9a045d" ] }, { "id" : "ITEM-3", "itemData" : { "DOI" : "10.1191/030913200701540465", "ISBN" : "0309-1325", "ISSN" : "03091325", "PMID" : "4166074", "abstract" : "This article defines social resilience as the ability of groups or communities to cope with external stresses and disturbances as a result of social, political and environmental change. This definition highlights social resilience in relation to the concept of ecological resilience which is a characteristic of ecosystems to maintain themselves in the face of disturbance. There is a clear link between social and ecological resilience, particularly for social groups or communities that are dependent on ecological and environmental resources for their livelihoods. But it is not clear whether resilient ecosystems enable resilient communities in such situations. This article examines whether resilience is a useful characteristic for describing the social and economic situation of social groups and explores potential links between social resilience and ecological resilience. The origins of this interdisciplinary study in human ecology, ecological economics and rural sociology are reviewed, and a study of the impacts of ecological change on a resource-dependent community in contemporary coastal Vietnam in terms of the resilience of its institu-tions is outlined.", "author" : [ { "dropping-particle" : "", "family" : "Adger", "given" : "W. N.", "non-dropping-particle" : "", "parse-names" : false, "suffix" : "" } ], "container-title" : "Progress in Human Geography", "id" : "ITEM-3", "issue" : "3", "issued" : { "date-parts" : [ [ "2000" ] ] }, "page" : "347-364", "title" : "Social and ecological resilience: Are they related?", "type" : "article-journal", "volume" : "24" }, "uris" : [ "http://www.mendeley.com/documents/?uuid=174086b4-71c2-4eed-8569-9ebfc7379836" ] } ], "mendeley" : { "formattedCitation" : "(W. N. Adger, 2000; Cutter, Burton, &amp; Emrich, 2010; Norris et al., 2008)", "plainTextFormattedCitation" : "(W. N. Adger, 2000; Cutter, Burton, &amp; Emrich, 2010; Norris et al., 2008)", "previouslyFormattedCitation" : "(W. N. Adger, 2000; Cutter, Burton, &amp; Emrich, 2010; Norris et al., 2008)"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(W. N. Adger, 2000; Cutter, Burton,</w:t>
            </w:r>
            <w:r w:rsidR="00700A18" w:rsidRPr="00490B2A">
              <w:rPr>
                <w:color w:val="000000" w:themeColor="text1"/>
                <w:sz w:val="19"/>
                <w:szCs w:val="19"/>
              </w:rPr>
              <w:t xml:space="preserve"> &amp; </w:t>
            </w:r>
            <w:r w:rsidRPr="00490B2A">
              <w:rPr>
                <w:color w:val="000000" w:themeColor="text1"/>
                <w:sz w:val="19"/>
                <w:szCs w:val="19"/>
              </w:rPr>
              <w:t>Emrich, 2010; Norris et al., 2008)</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Multiple sources of income provide alternatives to the community at rehabilitation and recovery stage.</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Income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below poverty line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"10.1016/S0143-6228(97)00049-0", "ISBN" : "0582210054 (pbk)", "ISSN" : "02807270", "abstract" : "Regions at Risk provides an introduction to hazards, human vulnerability and disaster, paying particular attention to the more severe or novel risks and disaster that affect the general public. The book is split into two parts, the first of which gives an overview of the field of risk and disaster in terms of three perspectives: hazards perspective; vulnerability perspective and the active perspective. The second part illustrates and develops these ideas in relation to some of the more severe dangers and disasters of the twentienth century, for example, earthquake risk, cities at risk and the civil disasters of war. It provides essential reading for senior undergraduates of hazard, disaster and risk courses, as part of geography, environmental science, resource management or development studies degree. It also provides valuable reading for those concerned with issues of public safety, services, insurable environmental risks and disaster relief.", "author" : [ { "dropping-particle" : "", "family" : "Hewitt", "given" : "Kenneth", "non-dropping-particle" : "", "parse-names" : false, "suffix" : "" } ], "container-title" : "Themes in resource management.", "id" : "ITEM-1", "issued" : { "date-parts" : [ [ "1997" ] ] }, "number-of-pages" : "xx, 389 p.", "title" : "Regions of Risk : a Geographical Introduction to Disasters", "type" : "book" }, "uris" : [ "http://www.mendeley.com/documents/?uuid=1bfcf71f-4302-47fb-bd63-926b7b7dcaf8" ] }, { "id" : "ITEM-2", "itemData" : { "DOI" : "10.1111/0004-5608.00219", "ISBN" : "9781849771542", "ISSN" : "00045608", "PMID" : "18268336",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142.58.129.109 on Mon, 28 Dec 2015 23:24:04 UTC All use subject to JSTOR Terms and Conditions", "author" : [ { "dropping-particle" : "", "family" : "Cutter", "given" : "Susan L.", "non-dropping-particle" : "", "parse-names" : false, "suffix" : "" }, { "dropping-particle" : "", "family" : "Mitchell", "given" : "Jerry T.", "non-dropping-particle" : "", "parse-names" : false, "suffix" : "" }, { "dropping-particle" : "", "family" : "Scott", "given" : "Michael S.", "non-dropping-particle" : "", "parse-names" : false, "suffix" : "" } ], "container-title" : "Annals of the Association of American Geographers", "id" : "ITEM-2", "issue" : "4", "issued" : { "date-parts" : [ [ "2000" ] ] }, "page" : "713-737", "title" : "Revealing the vulnerability of people and places: A case study of georgetown county, South Carolina", "type" : "article-journal", "volume" : "90" }, "uris" : [ "http://www.mendeley.com/documents/?uuid=3a1dea1a-a0c2-4b13-9448-41beb24e132c" ] } ], "mendeley" : { "formattedCitation" : "(Cutter, Mitchell, &amp; Scott, 2000; Hewitt, 1997)", "plainTextFormattedCitation" : "(Cutter, Mitchell, &amp; Scott, 2000; Hewitt, 1997)", "previouslyFormattedCitation" : "(Cutter, Mitchell, &amp; Scott, 2000; Hewitt, 1997)"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 Mitchell,</w:t>
            </w:r>
            <w:r w:rsidR="00700A18" w:rsidRPr="00490B2A">
              <w:rPr>
                <w:color w:val="000000" w:themeColor="text1"/>
                <w:sz w:val="19"/>
                <w:szCs w:val="19"/>
              </w:rPr>
              <w:t xml:space="preserve"> &amp; </w:t>
            </w:r>
            <w:r w:rsidRPr="00490B2A">
              <w:rPr>
                <w:color w:val="000000" w:themeColor="text1"/>
                <w:sz w:val="19"/>
                <w:szCs w:val="19"/>
              </w:rPr>
              <w:t>Scott, 2000; Hewitt, 1997)</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 People with below urban poverty line may be impacted more than those who with above poverty line.</w:t>
            </w:r>
          </w:p>
          <w:p w:rsidR="00AC1CFF" w:rsidRPr="00490B2A" w:rsidRDefault="00AC1CFF" w:rsidP="00490B2A">
            <w:pPr>
              <w:snapToGrid w:val="0"/>
              <w:spacing w:line="240" w:lineRule="auto"/>
              <w:rPr>
                <w:color w:val="000000" w:themeColor="text1"/>
                <w:sz w:val="19"/>
                <w:szCs w:val="19"/>
              </w:rPr>
            </w:pP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Institutional Vulnerability </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Mitigation</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 hazard mitigation plan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"DOI" : "10.1111/0004-5608.00219", "ISBN" : "9781849771542", "ISSN" : "00045608", "PMID" : "18268336",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142.58.129.109 on Mon, 28 Dec 2015 23:24:04 UTC All use subject to JSTOR Terms and Conditions", "author" : [ { "dropping-particle" : "", "family" : "Cutter", "given" : "Susan L.", "non-dropping-particle" : "", "parse-names" : false, "suffix" : "" }, { "dropping-particle" : "", "family" : "Mitchell", "given" : "Jerry T.", "non-dropping-particle" : "", "parse-names" : false, "suffix" : "" }, { "dropping-particle" : "", "family" : "Scott", "given" : "Michael S.", "non-dropping-particle" : "", "parse-names" : false, "suffix" : "" } ], "container-title" : "Annals of the Association of American Geographers", "id" : "ITEM-2", "issue" : "4", "issued" : { "date-parts" : [ [ "2000" ] ] }, "page" : "713-737", "title" : "Revealing the vulnerability of people and places: A case study of georgetown county, South Carolina", "type" : "article-journal", "volume" : "90" }, "uris" : [ "http://www.mendeley.com/documents/?uuid=3a1dea1a-a0c2-4b13-9448-41beb24e132c" ] } ], "mendeley" : { "formattedCitation" : "(Cutter &amp; Finch, 2008; Cutter et al., 2000)", "plainTextFormattedCitation" : "(Cutter &amp; Finch, 2008; Cutter et al., 2000)", "previouslyFormattedCitation" : "(Cutter &amp; Finch, 2008; Cutter et al., 2000)"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w:t>
            </w:r>
            <w:r w:rsidR="00700A18" w:rsidRPr="00490B2A">
              <w:rPr>
                <w:color w:val="000000" w:themeColor="text1"/>
                <w:sz w:val="19"/>
                <w:szCs w:val="19"/>
              </w:rPr>
              <w:t xml:space="preserve"> &amp; </w:t>
            </w:r>
            <w:r w:rsidRPr="00490B2A">
              <w:rPr>
                <w:color w:val="000000" w:themeColor="text1"/>
                <w:sz w:val="19"/>
                <w:szCs w:val="19"/>
              </w:rPr>
              <w:t>Finch, 2008; Cutter et al., 2000)</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Negative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Mitigation plans reduce the high impacts of losses from disasters</w:t>
            </w:r>
            <w:r w:rsidR="00700A18" w:rsidRPr="00490B2A">
              <w:rPr>
                <w:color w:val="000000" w:themeColor="text1"/>
                <w:sz w:val="19"/>
                <w:szCs w:val="19"/>
              </w:rPr>
              <w:t xml:space="preserve"> </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Awareness building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without mock drills and training programs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"10.1108/EUM0000000005930", "ISBN" : "09653562", "ISSN" : "0965-3562", "PMID" : "214379043", "abstract" : "With regard to their utility in predicting the adoption of household hazard preparations, traditional approaches to public education directed at increasing awareness and/or risk perception have proven ineffective. Discusses reasons why this may have occurred from public education, vulnerability analysis, and community resilience perspectives and outlines strategies for enhancing preparedness. Describes a model of resilience to hazard effects that has been tested in different communities and for different hazards toxic waste, environmental degradation and volcanic hazards). Drawing upon the health education literature, introduces a model for promoting the adoption on preparatory behaviour. Discusses links between these models, and the need for their implementation within a community development framework.", "author" : [ { "dropping-particle" : "", "family" : "Paton", "given" : "Douglas", "non-dropping-particle" : "", "parse-names" : false, "suffix" : "" }, { "dropping-particle" : "", "family" : "Johnston", "given" : "David", "non-dropping-particle" : "", "parse-names" : false, "suffix" : "" } ], "container-title" : "Disaster Prevention and Management: An International Journal", "id" : "ITEM-1", "issue" : "4", "issued" : { "date-parts" : [ [ "2001" ] ] }, "page" : "270-277", "title" : "Disasters and communities: vulnerability, resilience and preparedness", "type" : "article-journal", "volume" : "10" }, "uris" : [ "http://www.mendeley.com/documents/?uuid=5b3d6ba4-7997-4824-9fff-323ca03668a5" ] } ], "mendeley" : { "formattedCitation" : "(Paton &amp; Johnston, 2001)", "plainTextFormattedCitation" : "(Paton &amp; Johnston, 2001)", "previouslyFormattedCitation" : "(Paton &amp; Johnston, 2001)"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(Paton</w:t>
            </w:r>
            <w:r w:rsidR="00700A18" w:rsidRPr="00490B2A">
              <w:rPr>
                <w:color w:val="000000" w:themeColor="text1"/>
                <w:sz w:val="19"/>
                <w:szCs w:val="19"/>
              </w:rPr>
              <w:t xml:space="preserve"> &amp; </w:t>
            </w:r>
            <w:r w:rsidRPr="00490B2A">
              <w:rPr>
                <w:color w:val="000000" w:themeColor="text1"/>
                <w:sz w:val="19"/>
                <w:szCs w:val="19"/>
              </w:rPr>
              <w:t>Johnston, 2001)</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Prior disaster activities lessen the overall affects of a disaster </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Physical Vulnerability </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Shelter facility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 of people facilitated with vacant shelters</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"10.2202/1547-7355.1732", "ISBN" : "1547-7355", "ISSN" : "1547-7355", "abstract" : "There is considerable federal interest in disaster resilience as a mechanism for mitigating the impacts to local communities, yet the identification of metrics and standards for measuring resilience remain a challenge. This paper provides a methodology and a set of indicators for measuring baseline characteristics of communities that foster resilience. By establishing baseline conditions, it becomes possible to monitor changes in resilience over time in particular places and to compare one place to another. We apply our methodology to counties within the Southeastern United States as a proof of concept. The results show that spatial variations in disaster resilience exist and are especially evident in the rural/urban divide, where metropolitan areas have higher levels of resilience than rural counties. However, the individual drivers of the disaster resilience (or lack thereof)\u2014social, economic, institutional, infrastructure, and community capacities\u2014vary widely.", "author" : [ { "dropping-particle" : "", "family" : "Cutter", "given" : "Susan L.", "non-dropping-particle" : "", "parse-names" : false, "suffix" : "" }, { "dropping-particle" : "", "family" : "Burton", "given" : "Christopher G.", "non-dropping-particle" : "", "parse-names" : false, "suffix" : "" }, { "dropping-particle" : "", "family" : "Emrich", "given" : "Christopher T.", "non-dropping-particle" : "", "parse-names" : false, "suffix" : "" } ], "container-title" : "Journal of Homeland Security and Emergency Management", "id" : "ITEM-1", "issue" : "1", "issued" : { "date-parts" : [ [ "2010" ] ] }, "title" : "Disaster Resilience Indicators for Benchmarking Baseline Conditions", "type" : "article-journal", "volume" : "7" }, "uris" : [ "http://www.mendeley.com/documents/?uuid=e85febef-7707-4c10-b203-ebb29f9a045d" ] } ], "mendeley" : { "formattedCitation" : "(Cutter et al., 2010)", "plainTextFormattedCitation" : "(Cutter et al., 2010)", "previouslyFormattedCitation" : "(Cutter et al., 2010)"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 et al., 2010)</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Negative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Vacant shelters helps in the aftermath of a disaster particularly in earthquake.</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Vulnerable Structures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Percentage of houses with vulnerable structures</w:t>
            </w:r>
            <w:r w:rsidR="00700A18" w:rsidRPr="00490B2A">
              <w:rPr>
                <w:color w:val="000000" w:themeColor="text1"/>
                <w:sz w:val="19"/>
                <w:szCs w:val="19"/>
              </w:rPr>
              <w:t xml:space="preserv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"10.2202/1547-7355.1732", "ISBN" : "1547-7355", "ISSN" : "1547-7355", "abstract" : "There is considerable federal interest in disaster resilience as a mechanism for mitigating the impacts to local communities, yet the identification of metrics and standards for measuring resilience remain a challenge. This paper provides a methodology and a set of indicators for measuring baseline characteristics of communities that foster resilience. By establishing baseline conditions, it becomes possible to monitor changes in resilience over time in particular places and to compare one place to another. We apply our methodology to counties within the Southeastern United States as a proof of concept. The results show that spatial variations in disaster resilience exist and are especially evident in the rural/urban divide, where metropolitan areas have higher levels of resilience than rural counties. However, the individual drivers of the disaster resilience (or lack thereof)\u2014social, economic, institutional, infrastructure, and community capacities\u2014vary widely.", "author" : [ { "dropping-particle" : "", "family" : "Cutter", "given" : "Susan L.", "non-dropping-particle" : "", "parse-names" : false, "suffix" : "" }, { "dropping-particle" : "", "family" : "Burton", "given" : "Christopher G.", "non-dropping-particle" : "", "parse-names" : false, "suffix" : "" }, { "dropping-particle" : "", "family" : "Emrich", "given" : "Christopher T.", "non-dropping-particle" : "", "parse-names" : false, "suffix" : "" } ], "container-title" : "Journal of Homeland Security and Emergency Management", "id" : "ITEM-1", "issue" : "1", "issued" : { "date-parts" : [ [ "2010" ] ] }, "title" : "Disaster Resilience Indicators for Benchmarking Baseline Conditions", "type" : "article-journal", "volume" : "7" }, "uris" : [ "http://www.mendeley.com/documents/?uuid=e85febef-7707-4c10-b203-ebb29f9a045d" ] } ], "mendeley" : { "formattedCitation" : "(Cutter et al., 2010)", "plainTextFormattedCitation" : "(Cutter et al., 2010)", "previouslyFormattedCitation" : "(Cutter et al., 2010)"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 et al., 2010)</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Vulnerable housing structures make the community more vulnerable </w:t>
            </w:r>
          </w:p>
        </w:tc>
      </w:tr>
      <w:tr w:rsidR="00AC1CFF" w:rsidRPr="00490B2A" w:rsidTr="00700A18">
        <w:trPr>
          <w:jc w:val="center"/>
        </w:trPr>
        <w:tc>
          <w:tcPr>
            <w:tcW w:w="74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Location </w:t>
            </w:r>
          </w:p>
        </w:tc>
        <w:tc>
          <w:tcPr>
            <w:tcW w:w="2225"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 of housing units at the foot of mountain and at river-beds for rural areas</w:t>
            </w:r>
            <w:r w:rsidR="00700A18" w:rsidRPr="00490B2A">
              <w:rPr>
                <w:color w:val="000000" w:themeColor="text1"/>
                <w:sz w:val="19"/>
                <w:szCs w:val="19"/>
              </w:rPr>
              <w:t xml:space="preserv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"DOI" : "10.1111/0004-5608.00219", "ISBN" : "9781849771542", "ISSN" : "00045608", "PMID" : "18268336",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142.58.129.109 on Mon, 28 Dec 2015 23:24:04 UTC All use subject to JSTOR Terms and Conditions", "author" : [ { "dropping-particle" : "", "family" : "Cutter", "given" : "Susan L.", "non-dropping-particle" : "", "parse-names" : false, "suffix" : "" }, { "dropping-particle" : "", "family" : "Mitchell", "given" : "Jerry T.", "non-dropping-particle" : "", "parse-names" : false, "suffix" : "" }, { "dropping-particle" : "", "family" : "Scott", "given" : "Michael S.", "non-dropping-particle" : "", "parse-names" : false, "suffix" : "" } ], "container-title" : "Annals of the Association of American Geographers", "id" : "ITEM-2", "issue" : "4", "issued" : { "date-parts" : [ [ "2000" ] ] }, "page" : "713-737", "title" : "Revealing the vulnerability of people and places: A case study of georgetown county, South Carolina", "type" : "article-journal", "volume" : "90" }, "uris" : [ "http://www.mendeley.com/documents/?uuid=3a1dea1a-a0c2-4b13-9448-41beb24e132c" ] } ], "mendeley" : { "formattedCitation" : "(Cutter &amp; Finch, 2008; Cutter et al., 2000)", "plainTextFormattedCitation" : "(Cutter &amp; Finch, 2008; Cutter et al., 2000)", "previouslyFormattedCitation" : "(Cutter &amp; Finch, 2008; Cutter et al., 2000)"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color w:val="000000" w:themeColor="text1"/>
                <w:sz w:val="19"/>
                <w:szCs w:val="19"/>
              </w:rPr>
              <w:t>(Cutter</w:t>
            </w:r>
            <w:r w:rsidR="00700A18" w:rsidRPr="00490B2A">
              <w:rPr>
                <w:color w:val="000000" w:themeColor="text1"/>
                <w:sz w:val="19"/>
                <w:szCs w:val="19"/>
              </w:rPr>
              <w:t xml:space="preserve"> &amp; </w:t>
            </w:r>
            <w:r w:rsidRPr="00490B2A">
              <w:rPr>
                <w:color w:val="000000" w:themeColor="text1"/>
                <w:sz w:val="19"/>
                <w:szCs w:val="19"/>
              </w:rPr>
              <w:t>Finch, 2008; Cutter et al., 2000)</w:t>
            </w:r>
            <w:r w:rsidR="00B21E1C" w:rsidRPr="00490B2A">
              <w:rPr>
                <w:color w:val="000000" w:themeColor="text1"/>
                <w:sz w:val="19"/>
                <w:szCs w:val="19"/>
              </w:rPr>
              <w:fldChar w:fldCharType="end"/>
            </w:r>
            <w:r w:rsidRPr="00490B2A">
              <w:rPr>
                <w:color w:val="000000" w:themeColor="text1"/>
                <w:sz w:val="19"/>
                <w:szCs w:val="19"/>
              </w:rPr>
              <w:t>.</w:t>
            </w:r>
          </w:p>
        </w:tc>
        <w:tc>
          <w:tcPr>
            <w:tcW w:w="441"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Positive </w:t>
            </w:r>
          </w:p>
        </w:tc>
        <w:tc>
          <w:tcPr>
            <w:tcW w:w="1588"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more density provide less vacant places around the housing units</w:t>
            </w:r>
            <w:r w:rsidR="00700A18" w:rsidRPr="00490B2A">
              <w:rPr>
                <w:color w:val="000000" w:themeColor="text1"/>
                <w:sz w:val="19"/>
                <w:szCs w:val="19"/>
              </w:rPr>
              <w:t xml:space="preserve"> </w:t>
            </w:r>
          </w:p>
        </w:tc>
      </w:tr>
    </w:tbl>
    <w:p w:rsidR="00AC1CFF" w:rsidRPr="00490B2A" w:rsidRDefault="00AC1CFF" w:rsidP="00490B2A">
      <w:pPr>
        <w:snapToGrid w:val="0"/>
        <w:spacing w:after="0" w:line="240" w:lineRule="auto"/>
        <w:ind w:firstLine="425"/>
        <w:rPr>
          <w:color w:val="000000" w:themeColor="text1"/>
          <w:sz w:val="20"/>
          <w:szCs w:val="28"/>
        </w:rPr>
      </w:pPr>
    </w:p>
    <w:p w:rsidR="00AC1CFF" w:rsidRPr="00490B2A" w:rsidRDefault="000F1902" w:rsidP="00490B2A">
      <w:pPr>
        <w:snapToGrid w:val="0"/>
        <w:spacing w:after="0" w:line="240" w:lineRule="auto"/>
        <w:jc w:val="center"/>
        <w:rPr>
          <w:b/>
          <w:color w:val="000000" w:themeColor="text1"/>
          <w:sz w:val="20"/>
          <w:szCs w:val="28"/>
        </w:rPr>
      </w:pPr>
      <w:r w:rsidRPr="00490B2A">
        <w:rPr>
          <w:b/>
          <w:color w:val="000000" w:themeColor="text1"/>
          <w:sz w:val="20"/>
          <w:szCs w:val="28"/>
        </w:rPr>
        <w:t xml:space="preserve">Table </w:t>
      </w:r>
      <w:r w:rsidR="00AC1CFF" w:rsidRPr="00490B2A">
        <w:rPr>
          <w:b/>
          <w:color w:val="000000" w:themeColor="text1"/>
          <w:sz w:val="20"/>
          <w:szCs w:val="28"/>
        </w:rPr>
        <w:t>2:</w:t>
      </w:r>
      <w:r w:rsidR="00700A18" w:rsidRPr="00490B2A">
        <w:rPr>
          <w:b/>
          <w:color w:val="000000" w:themeColor="text1"/>
          <w:sz w:val="20"/>
          <w:szCs w:val="28"/>
        </w:rPr>
        <w:t xml:space="preserve"> </w:t>
      </w:r>
      <w:r w:rsidR="009D5595" w:rsidRPr="00490B2A">
        <w:rPr>
          <w:b/>
          <w:color w:val="000000" w:themeColor="text1"/>
          <w:sz w:val="20"/>
          <w:szCs w:val="28"/>
        </w:rPr>
        <w:t>W</w:t>
      </w:r>
      <w:r w:rsidR="00AC1CFF" w:rsidRPr="00490B2A">
        <w:rPr>
          <w:b/>
          <w:color w:val="000000" w:themeColor="text1"/>
          <w:sz w:val="20"/>
          <w:szCs w:val="28"/>
        </w:rPr>
        <w:t>eighting of indicators for vulnerability index</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808"/>
        <w:gridCol w:w="5457"/>
        <w:gridCol w:w="2209"/>
      </w:tblGrid>
      <w:tr w:rsidR="00AC1CFF" w:rsidRPr="00490B2A" w:rsidTr="00490B2A">
        <w:trPr>
          <w:tblHeade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Category</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Variables/indicators</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 xml:space="preserve">Optimum level of vulnerability in % </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Social Vulnerability</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Educational level</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 of people with high school and above education</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without any education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"DOI" : "10.1007/s10464-007-9156-6", "ISBN" : "0091-0562 (Print)", "ISSN" : "00910562", "PMID" : "18157631", "abstract" : "Communities have the potential to function effectively and adapt successfully in the aftermath of disasters. Drawing upon literatures in several disciplines, we present a theory of resilience that encompasses contemporary understandings of stress, adaptation, wellness, and resource dynamics. Community resilience is a process linking a network of adaptive capacities (resources with dynamic attributes) to adaptation after a disturbance or adversity. Community adaptation is manifest in population wellness, defined as high and non-disparate levels of mental and behavioral health, functioning, and quality of life. Community resilience emerges from four primary sets of adaptive capacities--Economic Development, Social Capital, Information and Communication, and Community Competence--that together provide a strategy for disaster readiness. To build collective resilience, communities must reduce risk and resource inequities, engage local people in mitigation, create organizational linkages, boost and protect social supports, and plan for not having a plan, which requires flexibility, decision-making skills, and trusted sources of information that function in the face of unknowns.", "author" : [ { "dropping-particle" : "", "family" : "Norris", "given" : "Fran H.", "non-dropping-particle" : "", "parse-names" : false, "suffix" : "" }, { "dropping-particle" : "", "family" : "Stevens", "given" : "Susan P.", "non-dropping-particle" : "", "parse-names" : false, "suffix" : "" }, { "dropping-particle" : "", "family" : "Pfefferbaum", "given" : "Betty", "non-dropping-particle" : "", "parse-names" : false, "suffix" : "" }, { "dropping-particle" : "", "family" : "Wyche", "given" : "Karen F.", "non-dropping-particle" : "", "parse-names" : false, "suffix" : "" }, { "dropping-particle" : "", "family" : "Pfefferbaum", "given" : "Rose L.", "non-dropping-particle" : "", "parse-names" : false, "suffix" : "" } ], "container-title" : "American Journal of Community Psychology", "id" : "ITEM-2", "issue" : "1-2", "issued" : { "date-parts" : [ [ "2008" ] ] }, "page" : "127-150", "title" : "Community resilience as a metaphor, theory, set of capacities, and strategy for disaster readiness", "type" : "article-journal", "volume" : "41" }, "uris" : [ "http://www.mendeley.com/documents/?uuid=31728692-8c71-4e8e-8660-b102122b740e" ] }, { "id" : "ITEM-3", "itemData" : { "ISSN" : "2159-8142", "abstract" : "Various research methods can be appropriate for social justice aims. Quantitative, qualitative, and mixed-method approaches offer different kinds of strengths in advancing a social justice agenda. This article recaptures and expands upon the ideas presented by the authors of this special issue, recommending best practices in research for social justice in the following areas: (a) cultural competence and the role of the researcher(s); (b) formulating the focus of the research; (c) selection of the underlying paradigm and research method/design; (d) the research team: formation, process, and issues of power; (e) power and relationship with research participants; and (f) data gathering, analysis, and reporting. [ABSTRACT FROM AUTHOR]", "author" : [ { "dropping-particle" : "", "family" : "Fassinger", "given" : "Ruth", "non-dropping-particle" : "", "parse-names" : false, "suffix" : "" }, { "dropping-particle" : "", "family" : "Morrow", "given" : "Susan L", "non-dropping-particle" : "", "parse-names" : false, "suffix" : "" } ], "container-title" : "Journal for Social Action in Counseling &amp; Psychology", "id" : "ITEM-3", "issue" : "2", "issued" : { "date-parts" : [ [ "2013" ] ] }, "page" : "69-83", "title" : "Toward best practices in quantitative, qualitative, and mixed- method research: A social justice perspective.", "type" : "article-journal", "volume" : "5" }, "uris" : [ "http://www.mendeley.com/documents/?uuid=c4a73d5d-60e6-4499-9967-0ab9e384c9c3" ] } ], "mendeley" : { "formattedCitation" : "(Cutter &amp; Finch, 2008; Fassinger &amp; Morrow, 2013; Norris et al., 2008)", "plainTextFormattedCitation" : "(Cutter &amp; Finch, 2008; Fassinger &amp; Morrow, 2013; Norris et al., 2008)", "previouslyFormattedCitation" : "(Cutter &amp; Finch, 2008; Fassinger &amp; Morrow, 2013; Norris et al., 2008)"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w:t>
            </w:r>
            <w:r w:rsidR="00700A18" w:rsidRPr="00490B2A">
              <w:rPr>
                <w:noProof/>
                <w:color w:val="000000" w:themeColor="text1"/>
                <w:sz w:val="19"/>
                <w:szCs w:val="19"/>
              </w:rPr>
              <w:t xml:space="preserve"> &amp; </w:t>
            </w:r>
            <w:r w:rsidRPr="00490B2A">
              <w:rPr>
                <w:noProof/>
                <w:color w:val="000000" w:themeColor="text1"/>
                <w:sz w:val="19"/>
                <w:szCs w:val="19"/>
              </w:rPr>
              <w:t>Finch, 2008; Fassinger</w:t>
            </w:r>
            <w:r w:rsidR="00700A18" w:rsidRPr="00490B2A">
              <w:rPr>
                <w:noProof/>
                <w:color w:val="000000" w:themeColor="text1"/>
                <w:sz w:val="19"/>
                <w:szCs w:val="19"/>
              </w:rPr>
              <w:t xml:space="preserve"> &amp; </w:t>
            </w:r>
            <w:r w:rsidRPr="00490B2A">
              <w:rPr>
                <w:noProof/>
                <w:color w:val="000000" w:themeColor="text1"/>
                <w:sz w:val="19"/>
                <w:szCs w:val="19"/>
              </w:rPr>
              <w:t>Morrow, 2013; Norris et al., 2008)</w:t>
            </w:r>
            <w:r w:rsidR="00B21E1C" w:rsidRPr="00490B2A">
              <w:rPr>
                <w:color w:val="000000" w:themeColor="text1"/>
                <w:sz w:val="19"/>
                <w:szCs w:val="19"/>
              </w:rPr>
              <w:fldChar w:fldCharType="end"/>
            </w:r>
            <w:r w:rsidRPr="00490B2A">
              <w:rPr>
                <w:color w:val="000000" w:themeColor="text1"/>
                <w:sz w:val="19"/>
                <w:szCs w:val="19"/>
              </w:rPr>
              <w:t xml:space="preserve">. </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60</w:t>
            </w: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50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Age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above 60 years of age </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and below 15 years of age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"10.3763/ehaz.1999.0103", "ISBN" : "1464-2867", "ISSN" : "18780059", "abstract" : "Recent hazard literature frequently refers to sustainability and resilience as the guiding principles behind effective hazard planning. Certainly, structurally organizing communities to minimize effects of disasters and to recover quickly by restoring socio-economic vitality are laudable goals. However, while anticipating such outcomes is relatively easy from a theoretical standpoint, practical implementation of comprehensive plans is much more elusive. Indeed, relationships between community sustainability/resilience and hazards are complex involving many social, economic, political and physical factors. A conceptual framework for analysis of sustainability and resilience, then, is described based on three theoretical models, a mitigation model, a recovery model, and a structural-cognitive model. This framework is examined using data from Florida, USA, where local context, social and political activities, and economic concerns present difficulties in application. The question remains, therefore, to what extent can communities truly develop sustainable and resilient characteristics? (C) 1999 Elsevier Science Ltd.", "author" : [ { "dropping-particle" : "", "family" : "Tobin", "given" : "Graham A.", "non-dropping-particle" : "", "parse-names" : false, "suffix" : "" } ], "container-title" : "Environmental Hazards", "id" : "ITEM-1", "issue" : "1", "issued" : { "date-parts" : [ [ "1999" ] ] }, "page" : "13-25", "title" : "Sustainability and community resilience: The holy grail of hazards planning?", "type" : "article-journal", "volume" : "1" }, "uris" : [ "http://www.mendeley.com/documents/?uuid=01696b08-a9cb-4ce0-9f5f-d7e56f7d3767" ] }, { "id" : "ITEM-2", "itemData" : { "DOI" : "10.1111/1540-6237.8402002", "ISBN" : "1540-6237", "ISSN" : "00384941", "PMID" : "9841166", "abstract" : "Objective.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score\u2014the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vulnerability\u2014some components increase vulnerability; others moderate the effects.", "author" : [ { "dropping-particle" : "", "family" : "Cutter", "given" : "Susan L.", "non-dropping-particle" : "", "parse-names" : false, "suffix" : "" }, { "dropping-particle" : "", "family" : "Boruff", "given" : "Bryan J.", "non-dropping-particle" : "", "parse-names" : false, "suffix" : "" }, { "dropping-particle" : "", "family" : "Shirley", "given" : "W. Lynn", "non-dropping-particle" : "", "parse-names" : false, "suffix" : "" } ], "container-title" : "Social Science Quarterly", "id" : "ITEM-2", "issue" : "2", "issued" : { "date-parts" : [ [ "2003" ] ] }, "page" : "242-261", "title" : "Social vulnerability to environmental hazards", "type" : "article-journal", "volume" : "84" }, "uris" : [ "http://www.mendeley.com/documents/?uuid=31196603-07de-4ed5-bca2-94268ebb1246" ] }, { "id" : "ITEM-3",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"ITEM-3", "issue" : "7", "issued" : { "date-parts" : [ [ "2008" ] ] }, "page" : "2301-6", "title" : "Temporal and spatial changes in social vulnerability to natural hazards", "type" : "article-journal", "volume" : "105" }, "uris" : [ "http://www.mendeley.com/documents/?uuid=3d428226-3967-4855-86f4-a61dfc160ab5" ] }, { "id" : "ITEM-4", "itemData" : { "ISSN" : "2159-8142", "abstract" : "Various research methods can be appropriate for social justice aims. Quantitative, qualitative, and mixed-method approaches offer different kinds of strengths in advancing a social justice agenda. This article recaptures and expands upon the ideas presented by the authors of this special issue, recommending best practices in research for social justice in the following areas: (a) cultural competence and the role of the researcher(s); (b) formulating the focus of the research; (c) selection of the underlying paradigm and research method/design; (d) the research team: formation, process, and issues of power; (e) power and relationship with research participants; and (f) data gathering, analysis, and reporting. [ABSTRACT FROM AUTHOR]", "author" : [ { "dropping-particle" : "", "family" : "Fassinger", "given" : "Ruth", "non-dropping-particle" : "", "parse-names" : false, "suffix" : "" }, { "dropping-particle" : "", "family" : "Morrow", "given" : "Susan L", "non-dropping-particle" : "", "parse-names" : false, "suffix" : "" } ], "container-title" : "Journal for Social Action in Counseling &amp; Psychology", "id" : "ITEM-4", "issue" : "2", "issued" : { "date-parts" : [ [ "2013" ] ] }, "page" : "69-83", "title" : "Toward best practices in quantitative, qualitative, and mixed- method research: A social justice perspective.", "type" : "article-journal", "volume" : "5" }, "uris" : [ "http://www.mendeley.com/documents/?uuid=c4a73d5d-60e6-4499-9967-0ab9e384c9c3" ] } ], "mendeley" : { "formattedCitation" : "(Cutter et al., 2003; Cutter &amp; Finch, 2008; Fassinger &amp; Morrow, 2013; Tobin, 1999)", "plainTextFormattedCitation" : "(Cutter et al., 2003; Cutter &amp; Finch, 2008; Fassinger &amp; Morrow, 2013; Tobin, 1999)", "previouslyFormattedCitation" : "(Cutter et al., 2003; Cutter &amp; Finch, 2008; Fassinger &amp; Morrow, 2013; Tobin, 1999)"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 et al., 2003; Cutter</w:t>
            </w:r>
            <w:r w:rsidR="00700A18" w:rsidRPr="00490B2A">
              <w:rPr>
                <w:noProof/>
                <w:color w:val="000000" w:themeColor="text1"/>
                <w:sz w:val="19"/>
                <w:szCs w:val="19"/>
              </w:rPr>
              <w:t xml:space="preserve"> &amp; </w:t>
            </w:r>
            <w:r w:rsidRPr="00490B2A">
              <w:rPr>
                <w:noProof/>
                <w:color w:val="000000" w:themeColor="text1"/>
                <w:sz w:val="19"/>
                <w:szCs w:val="19"/>
              </w:rPr>
              <w:t>Finch, 2008; Fassinger</w:t>
            </w:r>
            <w:r w:rsidR="00700A18" w:rsidRPr="00490B2A">
              <w:rPr>
                <w:noProof/>
                <w:color w:val="000000" w:themeColor="text1"/>
                <w:sz w:val="19"/>
                <w:szCs w:val="19"/>
              </w:rPr>
              <w:t xml:space="preserve"> &amp; </w:t>
            </w:r>
            <w:r w:rsidRPr="00490B2A">
              <w:rPr>
                <w:noProof/>
                <w:color w:val="000000" w:themeColor="text1"/>
                <w:sz w:val="19"/>
                <w:szCs w:val="19"/>
              </w:rPr>
              <w:t>Morrow, 2013; Tobin, 1999)</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15</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20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Health Insurance </w:t>
            </w: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Disability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Percentage of people with health insurance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"ISSN" : "0749-0208", "abstract" : "Over the next 60 years, coastal erosion may claim one out of four houses within 500 teet of the U.S. shoreline. To the homeowners living within this narrow strip, the risk posed by erosion is comparable to the risk from flooding. These are the findings of a recent study by The H. John Heinz III Center tin Science, Economics and the Environment, prepared for the U.S. Congress and funded primarily by the Federal Emergency Management Agency (FEMAJ.Other key economic and policy findings are summarized, as well. Underpinning these findings are: 1) detailed projections of shoreline movement over the next 60 years (first published in a special issue of this Journal), 2) an extensive engineering and economic data set on over 10,000 structures located within 500 teet of the Nation's shorelines, and 3) a model that uses these detailed data to estimate ocnnomic costs needed by the FEMA for setting flood insurance rates. Extrapolating nationwide, roughly 87,000 homes and the land on which they are built will be lost to erosion over the next 60 years. We explain the procedures for making such extrapolations, using a national shoreline change data set from Dolan and May and 1990 Census block group data on dwelling densities. ADDITIONAL", "author" : [ { "dropping-particle" : "", "family" : "Friedman", "given" : "Robert M", "non-dropping-particle" : "", "parse-names" : false, "suffix" : "" }, { "dropping-particle" : "V", "family" : "Dunn", "given" : "Stephen", "non-dropping-particle" : "", "parse-names" : false, "suffix" : "" }, { "dropping-particle" : "", "family" : "Merrell Jr", "given" : "William J", "non-dropping-particle" : "", "parse-names" : false, "suffix" : "" } ], "container-title" : "Journal of Coastal Research", "id" : "ITEM-2", "issue" : "3", "issued" : { "date-parts" : [ [ "2002" ] ] }, "page" : "568-575", "title" : "Summary of the Heinz center report on coastal erosion and the National Flood Insurance Program", "type" : "article-journal", "volume" : "18" }, "uris" : [ "http://www.mendeley.com/documents/?uuid=c4b0d074-1958-46cf-a2d4-6ceba49e75e2" ] } ], "mendeley" : { "formattedCitation" : "(Cutter &amp; Finch, 2008; Friedman et al., 2002)", "plainTextFormattedCitation" : "(Cutter &amp; Finch, 2008; Friedman et al., 2002)", "previouslyFormattedCitation" : "(Cutter &amp; Finch, 2008; Friedman et al., 2002)"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w:t>
            </w:r>
            <w:r w:rsidR="00700A18" w:rsidRPr="00490B2A">
              <w:rPr>
                <w:noProof/>
                <w:color w:val="000000" w:themeColor="text1"/>
                <w:sz w:val="19"/>
                <w:szCs w:val="19"/>
              </w:rPr>
              <w:t xml:space="preserve"> &amp; </w:t>
            </w:r>
            <w:r w:rsidRPr="00490B2A">
              <w:rPr>
                <w:noProof/>
                <w:color w:val="000000" w:themeColor="text1"/>
                <w:sz w:val="19"/>
                <w:szCs w:val="19"/>
              </w:rPr>
              <w:t>Finch, 2008; Friedman et al., 2002)</w:t>
            </w:r>
            <w:r w:rsidR="00B21E1C" w:rsidRPr="00490B2A">
              <w:rPr>
                <w:color w:val="000000" w:themeColor="text1"/>
                <w:sz w:val="19"/>
                <w:szCs w:val="19"/>
              </w:rPr>
              <w:fldChar w:fldCharType="end"/>
            </w:r>
            <w:r w:rsidRPr="00490B2A">
              <w:rPr>
                <w:color w:val="000000" w:themeColor="text1"/>
                <w:sz w:val="19"/>
                <w:szCs w:val="19"/>
              </w:rPr>
              <w:t>.</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without any mental or physical disability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"10.1007/s11069-009-9376-1", "ISBN" : "0921-030X", "ISSN" : "0921030X", "abstract" : "Tsunamis generated by Cascadia subduction zone earthquakes pose significant threats to coastal communities in the U.S. Pacific Northwest. Impacts of future tsunamis to individuals and communities will likely vary due to pre-event socioeconomic and demographic differences. In order to assess social vulnerability to Cascadia tsunamis, we adjust a social vulnerability index based on principal component analysis first developed by Cutter et al. (2003) to operate at the census-block level of geography and focus on community-level comparisons along the Oregon coast. The number of residents from blocks in tsunami-prone areas considered to have higher social vulnerability varies considerably among 26 Oregon cities and most are concentrated in four cities and two unincorporated areas. Variations in the number of residents from census blocks considered to have higher social vulnerability in each city do not strongly correlate with the number of residents or city assets in tsunami-prone areas. Methods presented here will help emergency managers to identify community sub-groups that are more susceptible to loss and to develop risk-reduction strategies that are tailored to local conditions.", "author" : [ { "dropping-particle" : "", "family" : "Wood", "given" : "Nathan J.", "non-dropping-particle" : "", "parse-names" : false, "suffix" : "" }, { "dropping-particle" : "", "family" : "Burton", "given" : "Christopher G.", "non-dropping-particle" : "", "parse-names" : false, "suffix" : "" }, { "dropping-particle" : "", "family" : "Cutter", "given" : "Susan L.", "non-dropping-particle" : "", "parse-names" : false, "suffix" : "" } ], "container-title" : "Natural Hazards", "id" : "ITEM-1", "issue" : "2", "issued" : { "date-parts" : [ [ "2010" ] ] }, "page" : "369-389", "title" : "Community variations in social vulnerability to Cascadia-related tsunamis in the U.S. Pacific Northwest", "type" : "article-journal", "volume" : "52" }, "uris" : [ "http://www.mendeley.com/documents/?uuid=aabae841-1199-4b73-9c16-ea271aba7622" ] } ], "mendeley" : { "formattedCitation" : "(Wood et al., 2010)", "plainTextFormattedCitation" : "(Wood et al., 2010)", "previouslyFormattedCitation" : "(Wood et al., 2010)"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(Wood et al., 2010)</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50</w:t>
            </w: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75</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Social capital</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Community trust during disasters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"10.1007/s10464-007-9156-6", "ISBN" : "0091-0562 (Print)", "ISSN" : "00910562", "PMID" : "18157631", "abstract" : "Communities have the potential to function effectively and adapt successfully in the aftermath of disasters. Drawing upon literatures in several disciplines, we present a theory of resilience that encompasses contemporary understandings of stress, adaptation, wellness, and resource dynamics. Community resilience is a process linking a network of adaptive capacities (resources with dynamic attributes) to adaptation after a disturbance or adversity. Community adaptation is manifest in population wellness, defined as high and non-disparate levels of mental and behavioral health, functioning, and quality of life. Community resilience emerges from four primary sets of adaptive capacities--Economic Development, Social Capital, Information and Communication, and Community Competence--that together provide a strategy for disaster readiness. To build collective resilience, communities must reduce risk and resource inequities, engage local people in mitigation, create organizational linkages, boost and protect social supports, and plan for not having a plan, which requires flexibility, decision-making skills, and trusted sources of information that function in the face of unknowns.", "author" : [ { "dropping-particle" : "", "family" : "Norris", "given" : "Fran H.", "non-dropping-particle" : "", "parse-names" : false, "suffix" : "" }, { "dropping-particle" : "", "family" : "Stevens", "given" : "Susan P.", "non-dropping-particle" : "", "parse-names" : false, "suffix" : "" }, { "dropping-particle" : "", "family" : "Pfefferbaum", "given" : "Betty", "non-dropping-particle" : "", "parse-names" : false, "suffix" : "" }, { "dropping-particle" : "", "family" : "Wyche", "given" : "Karen F.", "non-dropping-particle" : "", "parse-names" : false, "suffix" : "" }, { "dropping-particle" : "", "family" : "Pfefferbaum", "given" : "Rose L.", "non-dropping-particle" : "", "parse-names" : false, "suffix" : "" } ], "container-title" : "American Journal of Community Psychology", "id" : "ITEM-1", "issue" : "1-2", "issued" : { "date-parts" : [ [ "2008" ] ] }, "page" : "127-150", "title" : "Community resilience as a metaphor, theory, set of capacities, and strategy for disaster readiness", "type" : "article-journal", "volume" : "41" }, "uris" : [ "http://www.mendeley.com/documents/?uuid=31728692-8c71-4e8e-8660-b102122b740e" ] }, { "id" : "ITEM-2", "itemData" : { "DOI" : "10.1111/1540-6237.8402002", "ISBN" : "1540-6237", "ISSN" : "00384941", "PMID" : "9841166", "abstract" : "Objective.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score\u2014the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vulnerability\u2014some components increase vulnerability; others moderate the effects.", "author" : [ { "dropping-particle" : "", "family" : "Cutter", "given" : "Susan L.", "non-dropping-particle" : "", "parse-names" : false, "suffix" : "" }, { "dropping-particle" : "", "family" : "Boruff", "given" : "Bryan J.", "non-dropping-particle" : "", "parse-names" : false, "suffix" : "" }, { "dropping-particle" : "", "family" : "Shirley", "given" : "W. Lynn", "non-dropping-particle" : "", "parse-names" : false, "suffix" : "" } ], "container-title" : "Social Science Quarterly", "id" : "ITEM-2", "issue" : "2", "issued" : { "date-parts" : [ [ "2003" ] ] }, "page" : "242-261", "title" : "Social vulnerability to environmental hazards", "type" : "article-journal", "volume" : "84" }, "uris" : [ "http://www.mendeley.com/documents/?uuid=31196603-07de-4ed5-bca2-94268ebb1246" ] } ], "mendeley" : { "formattedCitation" : "(Cutter et al., 2003; Norris et al., 2008)", "plainTextFormattedCitation" : "(Cutter et al., 2003; Norris et al., 2008)", "previouslyFormattedCitation" : "(Cutter et al., 2003; Norris et al., 2008)"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 et al., 2003; Norris et al., 2008)</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50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Economic Vulnerability</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Employment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 employment occupation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"10.1111/1540-6237.8402002", "ISBN" : "1540-6237", "ISSN" : "00384941", "PMID" : "9841166", "abstract" : "Objective.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score\u2014the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vulnerability\u2014some components increase vulnerability; others moderate the effects.", "author" : [ { "dropping-particle" : "", "family" : "Cutter", "given" : "Susan L.", "non-dropping-particle" : "", "parse-names" : false, "suffix" : "" }, { "dropping-particle" : "", "family" : "Boruff", "given" : "Bryan J.", "non-dropping-particle" : "", "parse-names" : false, "suffix" : "" }, { "dropping-particle" : "", "family" : "Shirley", "given" : "W. Lynn", "non-dropping-particle" : "", "parse-names" : false, "suffix" : "" } ], "container-title" : "Social Science Quarterly", "id" : "ITEM-1", "issue" : "2", "issued" : { "date-parts" : [ [ "2003" ] ] }, "page" : "242-261", "title" : "Social vulnerability to environmental hazards", "type" : "article-journal", "volume" : "84" }, "uris" : [ "http://www.mendeley.com/documents/?uuid=31196603-07de-4ed5-bca2-94268ebb1246" ] }, { "id" : "ITEM-2", "itemData" : { "DOI" : "10.17226/9834", "ISBN" : "0309171970", "abstract" : "Facing the Unexpected presents the wealth of information derived from disasters around the world over the past 25 years. The authors explore how these findings can improve disaster programs, identify remaining research needs, and discuss disaster within the broader context of sustainable development.How do different people think about disaster? Are we more likely to panic or to respond with altruism? Why are 110 people killed in a Valujet crash considered disaster victims while the 50,000 killed annually in traffic accidents in the U.S. are not? At the crossroads of social, cultural, and economic factors, this book examines these and other compelling questions.The authors review the influences that shape the U.S. governmental system for disaster planning and response, the effectiveness of local emergency agencies, and the level of professionalism in the field. They also compare technological versus natural disaster and examine the impact of technology on disaster programs.", "author" : [ { "dropping-particle" : "", "family" : "Tierney", "given" : "Kathleen J.", "non-dropping-particle" : "", "parse-names" : false, "suffix" : "" }, { "dropping-particle" : "", "family" : "Lindell", "given" : "Michael K.", "non-dropping-particle" : "", "parse-names" : false, "suffix" : "" }, { "dropping-particle" : "", "family" : "Perry", "given" : "Ronald W.", "non-dropping-particle" : "", "parse-names" : false, "suffix" : "" }, { "dropping-particle" : "", "family" : "Tierney", "given" : "Kathleen J.", "non-dropping-particle" : "", "parse-names" : false, "suffix" : "" }, { "dropping-particle" : "", "family" : "Lindell", "given" : "Michael K.", "non-dropping-particle" : "", "parse-names" : false, "suffix" : "" }, { "dropping-particle" : "", "family" : "Perry", "given" : "Ronald W.", "non-dropping-particle" : "", "parse-names" : false, "suffix" : "" }, { "dropping-particle" : "", "family" : "Press", "given" : "Joseph Henry", "non-dropping-particle" : "", "parse-names" : false, "suffix" : "" } ], "container-title" : "Natural Hazards and Disasters", "id" : "ITEM-2", "issue" : "October", "issued" : { "date-parts" : [ [ "2001" ] ] }, "number-of-pages" : "281", "title" : "Facing the Unexpected: Disaster Preparedness and Response in the United States", "type" : "book", "volume" : "2001" }, "uris" : [ "http://www.mendeley.com/documents/?uuid=8191c793-f7b2-40d8-a853-bcf86dc642ca" ] } ], "mendeley" : { "formattedCitation" : "(Cutter et al., 2003; Tierney et al., 2001)", "plainTextFormattedCitation" : "(Cutter et al., 2003; Tierney et al., 2001)", "previouslyFormattedCitation" : "(Cutter et al., 2003; Tierney et al., 2001)"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 et al., 2003; Tierney et al., 2001)</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50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Multiple source of income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with diversified source of income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"10.1007/s10464-007-9156-6", "ISBN" : "0091-0562 (Print)", "ISSN" : "00910562", "PMID" : "18157631", "abstract" : "Communities have the potential to function effectively and adapt successfully in the aftermath of disasters. Drawing upon literatures in several disciplines, we present a theory of resilience that encompasses contemporary understandings of stress, adaptation, wellness, and resource dynamics. Community resilience is a process linking a network of adaptive capacities (resources with dynamic attributes) to adaptation after a disturbance or adversity. Community adaptation is manifest in population wellness, defined as high and non-disparate levels of mental and behavioral health, functioning, and quality of life. Community resilience emerges from four primary sets of adaptive capacities--Economic Development, Social Capital, Information and Communication, and Community Competence--that together provide a strategy for disaster readiness. To build collective resilience, communities must reduce risk and resource inequities, engage local people in mitigation, create organizational linkages, boost and protect social supports, and plan for not having a plan, which requires flexibility, decision-making skills, and trusted sources of information that function in the face of unknowns.", "author" : [ { "dropping-particle" : "", "family" : "Norris", "given" : "Fran H.", "non-dropping-particle" : "", "parse-names" : false, "suffix" : "" }, { "dropping-particle" : "", "family" : "Stevens", "given" : "Susan P.", "non-dropping-particle" : "", "parse-names" : false, "suffix" : "" }, { "dropping-particle" : "", "family" : "Pfefferbaum", "given" : "Betty", "non-dropping-particle" : "", "parse-names" : false, "suffix" : "" }, { "dropping-particle" : "", "family" : "Wyche", "given" : "Karen F.", "non-dropping-particle" : "", "parse-names" : false, "suffix" : "" }, { "dropping-particle" : "", "family" : "Pfefferbaum", "given" : "Rose L.", "non-dropping-particle" : "", "parse-names" : false, "suffix" : "" } ], "container-title" : "American Journal of Community Psychology", "id" : "ITEM-1", "issue" : "1-2", "issued" : { "date-parts" : [ [ "2008" ] ] }, "page" : "127-150", "title" : "Community resilience as a metaphor, theory, set of capacities, and strategy for disaster readiness", "type" : "article-journal", "volume" : "41" }, "uris" : [ "http://www.mendeley.com/documents/?uuid=31728692-8c71-4e8e-8660-b102122b740e" ] }, { "id" : "ITEM-2", "itemData" : { "DOI" : "10.2202/1547-7355.1732", "ISBN" : "1547-7355", "ISSN" : "1547-7355", "abstract" : "There is considerable federal interest in disaster resilience as a mechanism for mitigating the impacts to local communities, yet the identification of metrics and standards for measuring resilience remain a challenge. This paper provides a methodology and a set of indicators for measuring baseline characteristics of communities that foster resilience. By establishing baseline conditions, it becomes possible to monitor changes in resilience over time in particular places and to compare one place to another. We apply our methodology to counties within the Southeastern United States as a proof of concept. The results show that spatial variations in disaster resilience exist and are especially evident in the rural/urban divide, where metropolitan areas have higher levels of resilience than rural counties. However, the individual drivers of the disaster resilience (or lack thereof)\u2014social, economic, institutional, infrastructure, and community capacities\u2014vary widely.", "author" : [ { "dropping-particle" : "", "family" : "Cutter", "given" : "Susan L.", "non-dropping-particle" : "", "parse-names" : false, "suffix" : "" }, { "dropping-particle" : "", "family" : "Burton", "given" : "Christopher G.", "non-dropping-particle" : "", "parse-names" : false, "suffix" : "" }, { "dropping-particle" : "", "family" : "Emrich", "given" : "Christopher T.", "non-dropping-particle" : "", "parse-names" : false, "suffix" : "" } ], "container-title" : "Journal of Homeland Security and Emergency Management", "id" : "ITEM-2", "issue" : "1", "issued" : { "date-parts" : [ [ "2010" ] ] }, "title" : "Disaster Resilience Indicators for Benchmarking Baseline Conditions", "type" : "article-journal", "volume" : "7" }, "uris" : [ "http://www.mendeley.com/documents/?uuid=e85febef-7707-4c10-b203-ebb29f9a045d" ] }, { "id" : "ITEM-3", "itemData" : { "DOI" : "10.1191/030913200701540465", "ISBN" : "0309-1325", "ISSN" : "03091325", "PMID" : "4166074", "abstract" : "This article defines social resilience as the ability of groups or communities to cope with external stresses and disturbances as a result of social, political and environmental change. This definition highlights social resilience in relation to the concept of ecological resilience which is a characteristic of ecosystems to maintain themselves in the face of disturbance. There is a clear link between social and ecological resilience, particularly for social groups or communities that are dependent on ecological and environmental resources for their livelihoods. But it is not clear whether resilient ecosystems enable resilient communities in such situations. This article examines whether resilience is a useful characteristic for describing the social and economic situation of social groups and explores potential links between social resilience and ecological resilience. The origins of this interdisciplinary study in human ecology, ecological economics and rural sociology are reviewed, and a study of the impacts of ecological change on a resource-dependent community in contemporary coastal Vietnam in terms of the resilience of its institu-tions is outlined.", "author" : [ { "dropping-particle" : "", "family" : "Adger", "given" : "W. N.", "non-dropping-particle" : "", "parse-names" : false, "suffix" : "" } ], "container-title" : "Progress in Human Geography", "id" : "ITEM-3", "issue" : "3", "issued" : { "date-parts" : [ [ "2000" ] ] }, "page" : "347-364", "title" : "Social and ecological resilience: Are they related?", "type" : "article-journal", "volume" : "24" }, "uris" : [ "http://www.mendeley.com/documents/?uuid=174086b4-71c2-4eed-8569-9ebfc7379836" ] } ], "mendeley" : { "formattedCitation" : "(W. N. Adger, 2000; Cutter et al., 2010; Norris et al., 2008)", "plainTextFormattedCitation" : "(W. N. Adger, 2000; Cutter et al., 2010; Norris et al., 2008)", "previouslyFormattedCitation" : "(W. N. Adger, 2000; Cutter et al., 2010; Norris et al., 2008)"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(W. N. Adger, 2000; Cutter et al., 2010; Norris et al., 2008)</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50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Income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below poverty line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"10.1016/S0143-6228(97)00049-0", "ISBN" : "0582210054 (pbk)", "ISSN" : "02807270", "abstract" : "Regions at Risk provides an introduction to hazards, human vulnerability and disaster, paying particular attention to the more severe or novel risks and disaster that affect the general public. The book is split into two parts, the first of which gives an overview of the field of risk and disaster in terms of three perspectives: hazards perspective; vulnerability perspective and the active perspective. The second part illustrates and develops these ideas in relation to some of the more severe dangers and disasters of the twentienth century, for example, earthquake risk, cities at risk and the civil disasters of war. It provides essential reading for senior undergraduates of hazard, disaster and risk courses, as part of geography, environmental science, resource management or development studies degree. It also provides valuable reading for those concerned with issues of public safety, services, insurable environmental risks and disaster relief.", "author" : [ { "dropping-particle" : "", "family" : "Hewitt", "given" : "Kenneth", "non-dropping-particle" : "", "parse-names" : false, "suffix" : "" } ], "container-title" : "Themes in resource management.", "id" : "ITEM-1", "issued" : { "date-parts" : [ [ "1997" ] ] }, "number-of-pages" : "xx, 389 p.", "title" : "Regions of Risk : a Geographical Introduction to Disasters", "type" : "book" }, "uris" : [ "http://www.mendeley.com/documents/?uuid=1bfcf71f-4302-47fb-bd63-926b7b7dcaf8" ] }, { "id" : "ITEM-2", "itemData" : { "DOI" : "10.1111/0004-5608.00219", "ISBN" : "9781849771542", "ISSN" : "00045608", "PMID" : "18268336",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142.58.129.109 on Mon, 28 Dec 2015 23:24:04 UTC All use subject to JSTOR Terms and Conditions", "author" : [ { "dropping-particle" : "", "family" : "Cutter", "given" : "Susan L.", "non-dropping-particle" : "", "parse-names" : false, "suffix" : "" }, { "dropping-particle" : "", "family" : "Mitchell", "given" : "Jerry T.", "non-dropping-particle" : "", "parse-names" : false, "suffix" : "" }, { "dropping-particle" : "", "family" : "Scott", "given" : "Michael S.", "non-dropping-particle" : "", "parse-names" : false, "suffix" : "" } ], "container-title" : "Annals of the Association of American Geographers", "id" : "ITEM-2", "issue" : "4", "issued" : { "date-parts" : [ [ "2000" ] ] }, "page" : "713-737", "title" : "Revealing the vulnerability of people and places: A case study of georgetown county, South Carolina", "type" : "article-journal", "volume" : "90" }, "uris" : [ "http://www.mendeley.com/documents/?uuid=3a1dea1a-a0c2-4b13-9448-41beb24e132c" ] } ], "mendeley" : { "formattedCitation" : "(Cutter et al., 2000; Hewitt, 1997)", "plainTextFormattedCitation" : "(Cutter et al., 2000; Hewitt, 1997)", "previouslyFormattedCitation" : "(Cutter et al., 2000; Hewitt, 1997)"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 et al., 2000; Hewitt, 1997)</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60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 xml:space="preserve">Institutional </w:t>
            </w:r>
            <w:r w:rsidRPr="00490B2A">
              <w:rPr>
                <w:b/>
                <w:color w:val="000000" w:themeColor="text1"/>
                <w:sz w:val="19"/>
                <w:szCs w:val="19"/>
              </w:rPr>
              <w:lastRenderedPageBreak/>
              <w:t xml:space="preserve">Vulnerability </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Mitigation</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lastRenderedPageBreak/>
              <w:t>Percent of people with hazard mitigation plan</w:t>
            </w:r>
            <w:r w:rsidR="00700A18" w:rsidRPr="00490B2A">
              <w:rPr>
                <w:color w:val="000000" w:themeColor="text1"/>
                <w:sz w:val="19"/>
                <w:szCs w:val="19"/>
              </w:rPr>
              <w:t xml:space="preserv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"DOI" : "10.1111/0004-5608.00219", "ISBN" : "9781849771542", "ISSN" : "00045608", "PMID" : "18268336",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142.58.129.109 on Mon, 28 Dec 2015 23:24:04 UTC All use subject to JSTOR Terms and Conditions", "author" : [ { "dropping-particle" : "", "family" : "Cutter", "given" : "Susan L.", "non-dropping-particle" : "", "parse-names" : false, "suffix" : "" }, { "dropping-particle" : "", "family" : "Mitchell", "given" : "Jerry T.", "non-dropping-particle" : "", "parse-names" : false, "suffix" : "" }, { "dropping-particle" : "", "family" : "Scott", "given" : "Michael S.", "non-dropping-particle" : "", "parse-names" : false, "suffix" : "" } ], "container-title" : "Annals of the Association of American Geographers", "id" : "ITEM-2", "issue" : "4", "issued" : { "date-parts" : [ [ "2000" ] ] }, "page" : "713-737", "title" : "Revealing the vulnerability of people and places: A case study of georgetown county, South Carolina", "type" : "article-journal", "volume" : "90" }, "uris" : [ "http://www.mendeley.com/documents/?uuid=3a1dea1a-a0c2-4b13-9448-41beb24e132c" ] } ], "mendeley" : { "formattedCitation" : "(Cutter &amp; Finch, 2008; Cutter et al., 2000)", "plainTextFormattedCitation" : "(Cutter &amp; Finch, 2008; Cutter et al., 2000)", "previouslyFormattedCitation" : "(Cutter &amp; Finch, 2008; Cutter et al., 2000)"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w:t>
            </w:r>
            <w:r w:rsidR="00700A18" w:rsidRPr="00490B2A">
              <w:rPr>
                <w:noProof/>
                <w:color w:val="000000" w:themeColor="text1"/>
                <w:sz w:val="19"/>
                <w:szCs w:val="19"/>
              </w:rPr>
              <w:t xml:space="preserve"> &amp; </w:t>
            </w:r>
            <w:r w:rsidRPr="00490B2A">
              <w:rPr>
                <w:noProof/>
                <w:color w:val="000000" w:themeColor="text1"/>
                <w:sz w:val="19"/>
                <w:szCs w:val="19"/>
              </w:rPr>
              <w:t xml:space="preserve">Finch, 2008; </w:t>
            </w:r>
            <w:r w:rsidRPr="00490B2A">
              <w:rPr>
                <w:noProof/>
                <w:color w:val="000000" w:themeColor="text1"/>
                <w:sz w:val="19"/>
                <w:szCs w:val="19"/>
              </w:rPr>
              <w:lastRenderedPageBreak/>
              <w:t>Cutter et al., 2000)</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lastRenderedPageBreak/>
              <w:t>50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lastRenderedPageBreak/>
              <w:t xml:space="preserve">Awareness building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 of people without mock drills and training programs</w:t>
            </w:r>
            <w:r w:rsidR="00700A18" w:rsidRPr="00490B2A">
              <w:rPr>
                <w:color w:val="000000" w:themeColor="text1"/>
                <w:sz w:val="19"/>
                <w:szCs w:val="19"/>
              </w:rPr>
              <w:t xml:space="preserv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"10.1108/EUM0000000005930", "ISBN" : "09653562", "ISSN" : "0965-3562", "PMID" : "214379043", "abstract" : "With regard to their utility in predicting the adoption of household hazard preparations, traditional approaches to public education directed at increasing awareness and/or risk perception have proven ineffective. Discusses reasons why this may have occurred from public education, vulnerability analysis, and community resilience perspectives and outlines strategies for enhancing preparedness. Describes a model of resilience to hazard effects that has been tested in different communities and for different hazards toxic waste, environmental degradation and volcanic hazards). Drawing upon the health education literature, introduces a model for promoting the adoption on preparatory behaviour. Discusses links between these models, and the need for their implementation within a community development framework.", "author" : [ { "dropping-particle" : "", "family" : "Paton", "given" : "Douglas", "non-dropping-particle" : "", "parse-names" : false, "suffix" : "" }, { "dropping-particle" : "", "family" : "Johnston", "given" : "David", "non-dropping-particle" : "", "parse-names" : false, "suffix" : "" } ], "container-title" : "Disaster Prevention and Management: An International Journal", "id" : "ITEM-1", "issue" : "4", "issued" : { "date-parts" : [ [ "2001" ] ] }, "page" : "270-277", "title" : "Disasters and communities: vulnerability, resilience and preparedness", "type" : "article-journal", "volume" : "10" }, "uris" : [ "http://www.mendeley.com/documents/?uuid=5b3d6ba4-7997-4824-9fff-323ca03668a5" ] } ], "mendeley" : { "formattedCitation" : "(Paton &amp; Johnston, 2001)", "plainTextFormattedCitation" : "(Paton &amp; Johnston, 2001)", "previouslyFormattedCitation" : "(Paton &amp; Johnston, 2001)"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(Paton</w:t>
            </w:r>
            <w:r w:rsidR="00700A18" w:rsidRPr="00490B2A">
              <w:rPr>
                <w:noProof/>
                <w:color w:val="000000" w:themeColor="text1"/>
                <w:sz w:val="19"/>
                <w:szCs w:val="19"/>
              </w:rPr>
              <w:t xml:space="preserve"> &amp; </w:t>
            </w:r>
            <w:r w:rsidRPr="00490B2A">
              <w:rPr>
                <w:noProof/>
                <w:color w:val="000000" w:themeColor="text1"/>
                <w:sz w:val="19"/>
                <w:szCs w:val="19"/>
              </w:rPr>
              <w:t>Johnston, 2001)</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60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b/>
                <w:color w:val="000000" w:themeColor="text1"/>
                <w:sz w:val="19"/>
                <w:szCs w:val="19"/>
              </w:rPr>
            </w:pPr>
            <w:r w:rsidRPr="00490B2A">
              <w:rPr>
                <w:b/>
                <w:color w:val="000000" w:themeColor="text1"/>
                <w:sz w:val="19"/>
                <w:szCs w:val="19"/>
              </w:rPr>
              <w:t xml:space="preserve">Physical Vulnerability </w:t>
            </w:r>
          </w:p>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Shelter facility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people facilitated with vacant shelters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"10.2202/1547-7355.1732", "ISBN" : "1547-7355", "ISSN" : "1547-7355", "abstract" : "There is considerable federal interest in disaster resilience as a mechanism for mitigating the impacts to local communities, yet the identification of metrics and standards for measuring resilience remain a challenge. This paper provides a methodology and a set of indicators for measuring baseline characteristics of communities that foster resilience. By establishing baseline conditions, it becomes possible to monitor changes in resilience over time in particular places and to compare one place to another. We apply our methodology to counties within the Southeastern United States as a proof of concept. The results show that spatial variations in disaster resilience exist and are especially evident in the rural/urban divide, where metropolitan areas have higher levels of resilience than rural counties. However, the individual drivers of the disaster resilience (or lack thereof)\u2014social, economic, institutional, infrastructure, and community capacities\u2014vary widely.", "author" : [ { "dropping-particle" : "", "family" : "Cutter", "given" : "Susan L.", "non-dropping-particle" : "", "parse-names" : false, "suffix" : "" }, { "dropping-particle" : "", "family" : "Burton", "given" : "Christopher G.", "non-dropping-particle" : "", "parse-names" : false, "suffix" : "" }, { "dropping-particle" : "", "family" : "Emrich", "given" : "Christopher T.", "non-dropping-particle" : "", "parse-names" : false, "suffix" : "" } ], "container-title" : "Journal of Homeland Security and Emergency Management", "id" : "ITEM-1", "issue" : "1", "issued" : { "date-parts" : [ [ "2010" ] ] }, "title" : "Disaster Resilience Indicators for Benchmarking Baseline Conditions", "type" : "article-journal", "volume" : "7" }, "uris" : [ "http://www.mendeley.com/documents/?uuid=e85febef-7707-4c10-b203-ebb29f9a045d" ] } ], "mendeley" : { "formattedCitation" : "(Cutter et al., 2010)", "plainTextFormattedCitation" : "(Cutter et al., 2010)", "previouslyFormattedCitation" : "(Cutter et al., 2010)"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 et al., 2010)</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60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Vulnerable Structures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Percentage of houses with vulnerable structures</w:t>
            </w:r>
            <w:r w:rsidR="00700A18" w:rsidRPr="00490B2A">
              <w:rPr>
                <w:color w:val="000000" w:themeColor="text1"/>
                <w:sz w:val="19"/>
                <w:szCs w:val="19"/>
              </w:rPr>
              <w:t xml:space="preserve">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"10.2202/1547-7355.1732", "ISBN" : "1547-7355", "ISSN" : "1547-7355", "abstract" : "There is considerable federal interest in disaster resilience as a mechanism for mitigating the impacts to local communities, yet the identification of metrics and standards for measuring resilience remain a challenge. This paper provides a methodology and a set of indicators for measuring baseline characteristics of communities that foster resilience. By establishing baseline conditions, it becomes possible to monitor changes in resilience over time in particular places and to compare one place to another. We apply our methodology to counties within the Southeastern United States as a proof of concept. The results show that spatial variations in disaster resilience exist and are especially evident in the rural/urban divide, where metropolitan areas have higher levels of resilience than rural counties. However, the individual drivers of the disaster resilience (or lack thereof)\u2014social, economic, institutional, infrastructure, and community capacities\u2014vary widely.", "author" : [ { "dropping-particle" : "", "family" : "Cutter", "given" : "Susan L.", "non-dropping-particle" : "", "parse-names" : false, "suffix" : "" }, { "dropping-particle" : "", "family" : "Burton", "given" : "Christopher G.", "non-dropping-particle" : "", "parse-names" : false, "suffix" : "" }, { "dropping-particle" : "", "family" : "Emrich", "given" : "Christopher T.", "non-dropping-particle" : "", "parse-names" : false, "suffix" : "" } ], "container-title" : "Journal of Homeland Security and Emergency Management", "id" : "ITEM-1", "issue" : "1", "issued" : { "date-parts" : [ [ "2010" ] ] }, "title" : "Disaster Resilience Indicators for Benchmarking Baseline Conditions", "type" : "article-journal", "volume" : "7" }, "uris" : [ "http://www.mendeley.com/documents/?uuid=e85febef-7707-4c10-b203-ebb29f9a045d" ] } ], "mendeley" : { "formattedCitation" : "(Cutter et al., 2010)", "plainTextFormattedCitation" : "(Cutter et al., 2010)", "previouslyFormattedCitation" : "(Cutter et al., 2010)"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 et al., 2010)</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30</w:t>
            </w:r>
          </w:p>
        </w:tc>
      </w:tr>
      <w:tr w:rsidR="00AC1CFF" w:rsidRPr="00490B2A" w:rsidTr="00700A18">
        <w:trPr>
          <w:jc w:val="center"/>
        </w:trPr>
        <w:tc>
          <w:tcPr>
            <w:tcW w:w="954"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Location </w:t>
            </w:r>
          </w:p>
        </w:tc>
        <w:tc>
          <w:tcPr>
            <w:tcW w:w="2880"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 xml:space="preserve">Percent of housing units at the foot of mountain and at river-beds </w:t>
            </w:r>
            <w:r w:rsidR="00B21E1C" w:rsidRPr="00490B2A">
              <w:rPr>
                <w:color w:val="000000" w:themeColor="text1"/>
                <w:sz w:val="19"/>
                <w:szCs w:val="19"/>
              </w:rPr>
              <w:fldChar w:fldCharType="begin" w:fldLock="1"/>
            </w:r>
            <w:r w:rsidRPr="00490B2A">
              <w:rPr>
                <w:color w:val="000000" w:themeColor="text1"/>
                <w:sz w:val="19"/>
                <w:szCs w:val="19"/>
              </w:rPr>
              <w:instrText>ADDIN CSL_CITATION { "citationItems" : [ { "id" : "ITEM-1", "itemData" : { "DOI" : "10.1073/pnas.0710375105", "ISBN" : "&lt;null&gt;", "ISSN" : "1091-6490", "PMID" : "18268336", "abstract" : "During the past four decades (1960-2000), the United States experienced major transformations in population size, development patterns, economic conditions, and social characteristics. These social, economic, and built-environment changes altered the American hazardscape in profound ways, with more people living in high-hazard areas than ever before. To improve emergency management, it is important to recognize the variability in the vulnerable populations exposed to hazards and to develop place-based emergency plans accordingly. The concept of social vulnerability identifies sensitive populations that may be less likely to respond to, cope with, and recover from a natural disaster. Social vulnerability is complex and dynamic, changing over space and through time. This paper presents empirical evidence on the spatial and temporal patterns in social vulnerability in the United States from 1960 to the present. Using counties as our study unit, we found that those components that consistently increased social vulnerability for all time periods were density (urban), race/ethnicity, and socioeconomic status. The spatial patterning of social vulnerability, although initially concentrated in certain geographic regions, has become more dispersed over time. The national trend shows a steady reduction in social vulnerability, but there is considerable regional variability, with many counties increasing in social vulnerability during the past five decades.", "author" : [ { "dropping-particle" : "", "family" : "Cutter", "given" : "Susan L", "non-dropping-particle" : "", "parse-names" : false, "suffix" : "" }, { "dropping-particle" : "", "family" : "Finch", "given" : "Christina", "non-dropping-particle" : "", "parse-names" : false, "suffix" : "" } ], "container-title" : "Proceedings of the National Academy of Sciences of the United States of America", "id" : "ITEM-1", "issue" : "7", "issued" : { "date-parts" : [ [ "2008" ] ] }, "page" : "2301-6", "title" : "Temporal and spatial changes in social vulnerability to natural hazards", "type" : "article-journal", "volume" : "105" }, "uris" : [ "http://www.mendeley.com/documents/?uuid=3d428226-3967-4855-86f4-a61dfc160ab5" ] }, { "id" : "ITEM-2", "itemData" : { "DOI" : "10.1111/0004-5608.00219", "ISBN" : "9781849771542", "ISSN" : "00045608", "PMID" : "18268336",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142.58.129.109 on Mon, 28 Dec 2015 23:24:04 UTC All use subject to JSTOR Terms and Conditions", "author" : [ { "dropping-particle" : "", "family" : "Cutter", "given" : "Susan L.", "non-dropping-particle" : "", "parse-names" : false, "suffix" : "" }, { "dropping-particle" : "", "family" : "Mitchell", "given" : "Jerry T.", "non-dropping-particle" : "", "parse-names" : false, "suffix" : "" }, { "dropping-particle" : "", "family" : "Scott", "given" : "Michael S.", "non-dropping-particle" : "", "parse-names" : false, "suffix" : "" } ], "container-title" : "Annals of the Association of American Geographers", "id" : "ITEM-2", "issue" : "4", "issued" : { "date-parts" : [ [ "2000" ] ] }, "page" : "713-737", "title" : "Revealing the vulnerability of people and places: A case study of georgetown county, South Carolina", "type" : "article-journal", "volume" : "90" }, "uris" : [ "http://www.mendeley.com/documents/?uuid=3a1dea1a-a0c2-4b13-9448-41beb24e132c" ] } ], "mendeley" : { "formattedCitation" : "(Cutter &amp; Finch, 2008; Cutter et al., 2000)", "plainTextFormattedCitation" : "(Cutter &amp; Finch, 2008; Cutter et al., 2000)", "previouslyFormattedCitation" : "(Cutter &amp; Finch, 2008; Cutter et al., 2000)" }, "properties" : { "noteIndex" : 0 }, "schema" : "https://github.com/citation-style-language/schema/raw/master/csl-citation.json" }</w:instrText>
            </w:r>
            <w:r w:rsidR="00B21E1C" w:rsidRPr="00490B2A">
              <w:rPr>
                <w:color w:val="000000" w:themeColor="text1"/>
                <w:sz w:val="19"/>
                <w:szCs w:val="19"/>
              </w:rPr>
              <w:fldChar w:fldCharType="separate"/>
            </w:r>
            <w:r w:rsidRPr="00490B2A">
              <w:rPr>
                <w:noProof/>
                <w:color w:val="000000" w:themeColor="text1"/>
                <w:sz w:val="19"/>
                <w:szCs w:val="19"/>
              </w:rPr>
              <w:t>(Cutter</w:t>
            </w:r>
            <w:r w:rsidR="00700A18" w:rsidRPr="00490B2A">
              <w:rPr>
                <w:noProof/>
                <w:color w:val="000000" w:themeColor="text1"/>
                <w:sz w:val="19"/>
                <w:szCs w:val="19"/>
              </w:rPr>
              <w:t xml:space="preserve"> &amp; </w:t>
            </w:r>
            <w:r w:rsidRPr="00490B2A">
              <w:rPr>
                <w:noProof/>
                <w:color w:val="000000" w:themeColor="text1"/>
                <w:sz w:val="19"/>
                <w:szCs w:val="19"/>
              </w:rPr>
              <w:t>Finch, 2008; Cutter et al., 2000)</w:t>
            </w:r>
            <w:r w:rsidR="00B21E1C" w:rsidRPr="00490B2A">
              <w:rPr>
                <w:color w:val="000000" w:themeColor="text1"/>
                <w:sz w:val="19"/>
                <w:szCs w:val="19"/>
              </w:rPr>
              <w:fldChar w:fldCharType="end"/>
            </w:r>
            <w:r w:rsidRPr="00490B2A">
              <w:rPr>
                <w:color w:val="000000" w:themeColor="text1"/>
                <w:sz w:val="19"/>
                <w:szCs w:val="19"/>
              </w:rPr>
              <w:t>.</w:t>
            </w:r>
          </w:p>
        </w:tc>
        <w:tc>
          <w:tcPr>
            <w:tcW w:w="1166" w:type="pct"/>
            <w:tcBorders>
              <w:top w:val="single" w:sz="4" w:space="0" w:color="auto"/>
              <w:bottom w:val="single" w:sz="4" w:space="0" w:color="auto"/>
            </w:tcBorders>
            <w:vAlign w:val="center"/>
          </w:tcPr>
          <w:p w:rsidR="00AC1CFF" w:rsidRPr="00490B2A" w:rsidRDefault="00AC1CFF" w:rsidP="00490B2A">
            <w:pPr>
              <w:snapToGrid w:val="0"/>
              <w:spacing w:line="240" w:lineRule="auto"/>
              <w:rPr>
                <w:color w:val="000000" w:themeColor="text1"/>
                <w:sz w:val="19"/>
                <w:szCs w:val="19"/>
              </w:rPr>
            </w:pPr>
            <w:r w:rsidRPr="00490B2A">
              <w:rPr>
                <w:color w:val="000000" w:themeColor="text1"/>
                <w:sz w:val="19"/>
                <w:szCs w:val="19"/>
              </w:rPr>
              <w:t>40</w:t>
            </w:r>
          </w:p>
        </w:tc>
      </w:tr>
    </w:tbl>
    <w:p w:rsidR="00AC1CFF" w:rsidRPr="00490B2A" w:rsidRDefault="00AC1CFF" w:rsidP="00490B2A">
      <w:pPr>
        <w:snapToGrid w:val="0"/>
        <w:spacing w:after="0" w:line="240" w:lineRule="auto"/>
        <w:ind w:firstLine="425"/>
        <w:rPr>
          <w:color w:val="000000" w:themeColor="text1"/>
          <w:sz w:val="20"/>
          <w:szCs w:val="28"/>
        </w:rPr>
      </w:pPr>
    </w:p>
    <w:p w:rsidR="00490B2A" w:rsidRPr="00490B2A" w:rsidRDefault="00490B2A" w:rsidP="00490B2A">
      <w:pPr>
        <w:widowControl w:val="0"/>
        <w:autoSpaceDE w:val="0"/>
        <w:autoSpaceDN w:val="0"/>
        <w:adjustRightInd w:val="0"/>
        <w:snapToGrid w:val="0"/>
        <w:spacing w:after="0" w:line="240" w:lineRule="auto"/>
        <w:ind w:firstLine="425"/>
        <w:rPr>
          <w:color w:val="000000" w:themeColor="text1"/>
          <w:sz w:val="20"/>
          <w:szCs w:val="28"/>
        </w:rPr>
        <w:sectPr w:rsidR="00490B2A" w:rsidRPr="00490B2A" w:rsidSect="00700A18">
          <w:type w:val="continuous"/>
          <w:pgSz w:w="12240" w:h="15840"/>
          <w:pgMar w:top="1440" w:right="1440" w:bottom="1440" w:left="1440" w:header="720" w:footer="720" w:gutter="0"/>
          <w:cols w:space="720"/>
          <w:docGrid w:linePitch="360"/>
        </w:sectPr>
      </w:pPr>
    </w:p>
    <w:p w:rsidR="00AC1CFF" w:rsidRPr="00490B2A" w:rsidRDefault="00AC1CFF" w:rsidP="00490B2A">
      <w:pPr>
        <w:widowControl w:val="0"/>
        <w:autoSpaceDE w:val="0"/>
        <w:autoSpaceDN w:val="0"/>
        <w:adjustRightInd w:val="0"/>
        <w:snapToGrid w:val="0"/>
        <w:spacing w:after="0" w:line="240" w:lineRule="auto"/>
        <w:rPr>
          <w:b/>
          <w:color w:val="000000" w:themeColor="text1"/>
          <w:sz w:val="20"/>
          <w:szCs w:val="28"/>
        </w:rPr>
      </w:pPr>
      <w:r w:rsidRPr="00490B2A">
        <w:rPr>
          <w:b/>
          <w:color w:val="000000" w:themeColor="text1"/>
          <w:sz w:val="20"/>
          <w:szCs w:val="28"/>
        </w:rPr>
        <w:lastRenderedPageBreak/>
        <w:t>4.2</w:t>
      </w:r>
      <w:r w:rsidRPr="00490B2A">
        <w:rPr>
          <w:b/>
          <w:color w:val="000000" w:themeColor="text1"/>
          <w:sz w:val="20"/>
          <w:szCs w:val="28"/>
        </w:rPr>
        <w:tab/>
        <w:t xml:space="preserve">Numerical Analysis for Vulnerability Index </w:t>
      </w:r>
    </w:p>
    <w:p w:rsidR="00AC1CFF" w:rsidRPr="00490B2A" w:rsidRDefault="00AC1CFF" w:rsidP="00490B2A">
      <w:pPr>
        <w:snapToGrid w:val="0"/>
        <w:spacing w:after="0" w:line="240" w:lineRule="auto"/>
        <w:ind w:firstLine="425"/>
        <w:rPr>
          <w:rFonts w:eastAsiaTheme="minorHAnsi"/>
          <w:color w:val="000000" w:themeColor="text1"/>
          <w:sz w:val="20"/>
          <w:szCs w:val="28"/>
        </w:rPr>
      </w:pPr>
      <w:r w:rsidRPr="00490B2A">
        <w:rPr>
          <w:rFonts w:eastAsiaTheme="minorHAnsi"/>
          <w:color w:val="000000" w:themeColor="text1"/>
          <w:sz w:val="20"/>
          <w:szCs w:val="28"/>
        </w:rPr>
        <w:t>Community vulnerability index mainly based on four main journal components as discussed in previous sections. Each component is further divided into different sets of indicators and variables. All the va</w:t>
      </w:r>
      <w:r w:rsidR="009D5595" w:rsidRPr="00490B2A">
        <w:rPr>
          <w:rFonts w:eastAsiaTheme="minorHAnsi"/>
          <w:color w:val="000000" w:themeColor="text1"/>
          <w:sz w:val="20"/>
          <w:szCs w:val="28"/>
        </w:rPr>
        <w:t xml:space="preserve">lue of indicators is taken in </w:t>
      </w:r>
      <w:r w:rsidRPr="00490B2A">
        <w:rPr>
          <w:rFonts w:eastAsiaTheme="minorHAnsi"/>
          <w:color w:val="000000" w:themeColor="text1"/>
          <w:sz w:val="20"/>
          <w:szCs w:val="28"/>
        </w:rPr>
        <w:t>percentages. The interpretation of the indices is illustrated as, larger the value of the indicator, larger is the weight and index value, and lastly greater is the vulnerable of that particular variable within a component. Numerically vulnerability factor index is assessed as.</w:t>
      </w:r>
    </w:p>
    <w:p w:rsidR="00AC1CFF" w:rsidRPr="00490B2A" w:rsidRDefault="00AC1CFF" w:rsidP="00490B2A">
      <w:pPr>
        <w:snapToGrid w:val="0"/>
        <w:spacing w:after="0" w:line="240" w:lineRule="auto"/>
        <w:ind w:firstLine="425"/>
        <w:rPr>
          <w:rFonts w:eastAsiaTheme="minorHAnsi"/>
          <w:color w:val="000000" w:themeColor="text1"/>
          <w:sz w:val="20"/>
          <w:szCs w:val="28"/>
        </w:rPr>
      </w:pPr>
      <w:r w:rsidRPr="00490B2A">
        <w:rPr>
          <w:rFonts w:eastAsiaTheme="minorHAnsi"/>
          <w:color w:val="000000" w:themeColor="text1"/>
          <w:sz w:val="20"/>
          <w:szCs w:val="28"/>
        </w:rPr>
        <w:t>Vulnera</w:t>
      </w:r>
      <w:r w:rsidR="008B02DD" w:rsidRPr="00490B2A">
        <w:rPr>
          <w:rFonts w:eastAsiaTheme="minorHAnsi"/>
          <w:color w:val="000000" w:themeColor="text1"/>
          <w:sz w:val="20"/>
          <w:szCs w:val="28"/>
        </w:rPr>
        <w:t>bility Factor Index (VFI) of i</w:t>
      </w:r>
      <w:r w:rsidR="008B02DD" w:rsidRPr="00490B2A">
        <w:rPr>
          <w:rFonts w:eastAsiaTheme="minorHAnsi"/>
          <w:color w:val="000000" w:themeColor="text1"/>
          <w:sz w:val="20"/>
          <w:szCs w:val="28"/>
          <w:vertAlign w:val="superscript"/>
        </w:rPr>
        <w:t>th</w:t>
      </w:r>
      <w:r w:rsidRPr="00490B2A">
        <w:rPr>
          <w:rFonts w:eastAsiaTheme="minorHAnsi"/>
          <w:color w:val="000000" w:themeColor="text1"/>
          <w:sz w:val="20"/>
          <w:szCs w:val="28"/>
        </w:rPr>
        <w:t xml:space="preserve"> positiv</w:t>
      </w:r>
      <w:r w:rsidR="008B02DD" w:rsidRPr="00490B2A">
        <w:rPr>
          <w:rFonts w:eastAsiaTheme="minorHAnsi"/>
          <w:color w:val="000000" w:themeColor="text1"/>
          <w:sz w:val="20"/>
          <w:szCs w:val="28"/>
        </w:rPr>
        <w:t>e indicator = % Value of the i</w:t>
      </w:r>
      <w:r w:rsidR="008B02DD" w:rsidRPr="00490B2A">
        <w:rPr>
          <w:rFonts w:eastAsiaTheme="minorHAnsi"/>
          <w:color w:val="000000" w:themeColor="text1"/>
          <w:sz w:val="20"/>
          <w:szCs w:val="28"/>
          <w:vertAlign w:val="superscript"/>
        </w:rPr>
        <w:t>th</w:t>
      </w:r>
      <w:r w:rsidRPr="00490B2A">
        <w:rPr>
          <w:rFonts w:eastAsiaTheme="minorHAnsi"/>
          <w:color w:val="000000" w:themeColor="text1"/>
          <w:sz w:val="20"/>
          <w:szCs w:val="28"/>
        </w:rPr>
        <w:t xml:space="preserve"> indicator (real) / % </w:t>
      </w:r>
      <w:r w:rsidRPr="00490B2A">
        <w:rPr>
          <w:rFonts w:eastAsiaTheme="minorHAnsi"/>
          <w:color w:val="000000" w:themeColor="text1"/>
          <w:sz w:val="20"/>
          <w:szCs w:val="28"/>
        </w:rPr>
        <w:lastRenderedPageBreak/>
        <w:t>value taken as the level</w:t>
      </w:r>
      <w:r w:rsidR="008B02DD" w:rsidRPr="00490B2A">
        <w:rPr>
          <w:rFonts w:eastAsiaTheme="minorHAnsi"/>
          <w:color w:val="000000" w:themeColor="text1"/>
          <w:sz w:val="20"/>
          <w:szCs w:val="28"/>
        </w:rPr>
        <w:t xml:space="preserve"> of the vulnerability of the i</w:t>
      </w:r>
      <w:r w:rsidR="008B02DD" w:rsidRPr="00490B2A">
        <w:rPr>
          <w:rFonts w:eastAsiaTheme="minorHAnsi"/>
          <w:color w:val="000000" w:themeColor="text1"/>
          <w:sz w:val="20"/>
          <w:szCs w:val="28"/>
          <w:vertAlign w:val="superscript"/>
        </w:rPr>
        <w:t>th</w:t>
      </w:r>
      <w:r w:rsidRPr="00490B2A">
        <w:rPr>
          <w:rFonts w:eastAsiaTheme="minorHAnsi"/>
          <w:color w:val="000000" w:themeColor="text1"/>
          <w:sz w:val="20"/>
          <w:szCs w:val="28"/>
        </w:rPr>
        <w:t xml:space="preserve"> indicator </w:t>
      </w:r>
    </w:p>
    <w:p w:rsidR="00AC1CFF" w:rsidRPr="00490B2A" w:rsidRDefault="00AC1CFF" w:rsidP="00490B2A">
      <w:pPr>
        <w:snapToGrid w:val="0"/>
        <w:spacing w:after="0" w:line="240" w:lineRule="auto"/>
        <w:ind w:firstLine="425"/>
        <w:rPr>
          <w:rFonts w:eastAsiaTheme="minorHAnsi"/>
          <w:color w:val="000000" w:themeColor="text1"/>
          <w:sz w:val="20"/>
          <w:szCs w:val="28"/>
        </w:rPr>
      </w:pPr>
      <w:r w:rsidRPr="00490B2A">
        <w:rPr>
          <w:rFonts w:eastAsiaTheme="minorHAnsi"/>
          <w:color w:val="000000" w:themeColor="text1"/>
          <w:sz w:val="20"/>
          <w:szCs w:val="28"/>
        </w:rPr>
        <w:t>Vulnera</w:t>
      </w:r>
      <w:r w:rsidR="008B02DD" w:rsidRPr="00490B2A">
        <w:rPr>
          <w:rFonts w:eastAsiaTheme="minorHAnsi"/>
          <w:color w:val="000000" w:themeColor="text1"/>
          <w:sz w:val="20"/>
          <w:szCs w:val="28"/>
        </w:rPr>
        <w:t>bility Factor Index (VFI) of i</w:t>
      </w:r>
      <w:r w:rsidR="008B02DD" w:rsidRPr="00490B2A">
        <w:rPr>
          <w:rFonts w:eastAsiaTheme="minorHAnsi"/>
          <w:color w:val="000000" w:themeColor="text1"/>
          <w:sz w:val="20"/>
          <w:szCs w:val="28"/>
          <w:vertAlign w:val="superscript"/>
        </w:rPr>
        <w:t>th</w:t>
      </w:r>
      <w:r w:rsidRPr="00490B2A">
        <w:rPr>
          <w:rFonts w:eastAsiaTheme="minorHAnsi"/>
          <w:color w:val="000000" w:themeColor="text1"/>
          <w:sz w:val="20"/>
          <w:szCs w:val="28"/>
        </w:rPr>
        <w:t xml:space="preserve"> negative indicator = % Value taken as the level of vulnerability of th</w:t>
      </w:r>
      <w:r w:rsidR="008B02DD" w:rsidRPr="00490B2A">
        <w:rPr>
          <w:rFonts w:eastAsiaTheme="minorHAnsi"/>
          <w:color w:val="000000" w:themeColor="text1"/>
          <w:sz w:val="20"/>
          <w:szCs w:val="28"/>
        </w:rPr>
        <w:t>e indicator / % value of the i</w:t>
      </w:r>
      <w:r w:rsidR="008B02DD" w:rsidRPr="00490B2A">
        <w:rPr>
          <w:rFonts w:eastAsiaTheme="minorHAnsi"/>
          <w:color w:val="000000" w:themeColor="text1"/>
          <w:sz w:val="20"/>
          <w:szCs w:val="28"/>
          <w:vertAlign w:val="superscript"/>
        </w:rPr>
        <w:t>th</w:t>
      </w:r>
      <w:r w:rsidRPr="00490B2A">
        <w:rPr>
          <w:rFonts w:eastAsiaTheme="minorHAnsi"/>
          <w:color w:val="000000" w:themeColor="text1"/>
          <w:sz w:val="20"/>
          <w:szCs w:val="28"/>
        </w:rPr>
        <w:t xml:space="preserve"> indicator (real): </w:t>
      </w:r>
    </w:p>
    <w:p w:rsidR="00AC1CFF" w:rsidRPr="00490B2A" w:rsidRDefault="00AC1CFF" w:rsidP="00490B2A">
      <w:pPr>
        <w:snapToGrid w:val="0"/>
        <w:spacing w:after="0" w:line="240" w:lineRule="auto"/>
        <w:ind w:firstLine="425"/>
        <w:rPr>
          <w:rFonts w:eastAsiaTheme="minorHAnsi"/>
          <w:color w:val="000000" w:themeColor="text1"/>
          <w:sz w:val="20"/>
          <w:szCs w:val="28"/>
        </w:rPr>
      </w:pPr>
      <w:r w:rsidRPr="00490B2A">
        <w:rPr>
          <w:rFonts w:eastAsiaTheme="minorHAnsi"/>
          <w:color w:val="000000" w:themeColor="text1"/>
          <w:sz w:val="20"/>
          <w:szCs w:val="28"/>
        </w:rPr>
        <w:t>Small value approximately approach to zero is to be considered low vulnerable and greater values near to one or greater than one is considered high vulnerable.</w:t>
      </w:r>
    </w:p>
    <w:p w:rsidR="00AC1CFF" w:rsidRPr="00490B2A" w:rsidRDefault="00AC1CFF" w:rsidP="00490B2A">
      <w:pPr>
        <w:snapToGrid w:val="0"/>
        <w:spacing w:after="0" w:line="240" w:lineRule="auto"/>
        <w:ind w:firstLine="425"/>
        <w:rPr>
          <w:rFonts w:eastAsiaTheme="minorHAnsi"/>
          <w:color w:val="000000" w:themeColor="text1"/>
          <w:sz w:val="20"/>
          <w:szCs w:val="28"/>
        </w:rPr>
      </w:pPr>
      <w:r w:rsidRPr="00490B2A">
        <w:rPr>
          <w:rFonts w:eastAsiaTheme="minorHAnsi"/>
          <w:color w:val="000000" w:themeColor="text1"/>
          <w:sz w:val="20"/>
          <w:szCs w:val="28"/>
        </w:rPr>
        <w:t xml:space="preserve">In journal there are many indicators and variables contributing to vulnerability, but in the current study indicators and variables are selected according to the existing situation </w:t>
      </w:r>
      <w:r w:rsidR="008B02DD" w:rsidRPr="00490B2A">
        <w:rPr>
          <w:rFonts w:eastAsiaTheme="minorHAnsi"/>
          <w:color w:val="000000" w:themeColor="text1"/>
          <w:sz w:val="20"/>
          <w:szCs w:val="28"/>
        </w:rPr>
        <w:t xml:space="preserve">and availability of the data in the </w:t>
      </w:r>
      <w:r w:rsidRPr="00490B2A">
        <w:rPr>
          <w:rFonts w:eastAsiaTheme="minorHAnsi"/>
          <w:color w:val="000000" w:themeColor="text1"/>
          <w:sz w:val="20"/>
          <w:szCs w:val="28"/>
        </w:rPr>
        <w:t>study area.</w:t>
      </w:r>
    </w:p>
    <w:p w:rsidR="00490B2A" w:rsidRPr="00490B2A" w:rsidRDefault="00490B2A" w:rsidP="00490B2A">
      <w:pPr>
        <w:snapToGrid w:val="0"/>
        <w:spacing w:after="0" w:line="240" w:lineRule="auto"/>
        <w:jc w:val="center"/>
        <w:rPr>
          <w:b/>
          <w:color w:val="000000" w:themeColor="text1"/>
          <w:sz w:val="20"/>
          <w:szCs w:val="28"/>
        </w:rPr>
        <w:sectPr w:rsidR="00490B2A" w:rsidRPr="00490B2A" w:rsidSect="00490B2A">
          <w:type w:val="continuous"/>
          <w:pgSz w:w="12240" w:h="15840"/>
          <w:pgMar w:top="1440" w:right="1440" w:bottom="1440" w:left="1440" w:header="720" w:footer="720" w:gutter="0"/>
          <w:cols w:num="2" w:space="600"/>
          <w:docGrid w:linePitch="360"/>
        </w:sectPr>
      </w:pPr>
    </w:p>
    <w:p w:rsidR="00490B2A" w:rsidRDefault="00490B2A" w:rsidP="00490B2A">
      <w:pPr>
        <w:snapToGrid w:val="0"/>
        <w:spacing w:after="0" w:line="240" w:lineRule="auto"/>
        <w:jc w:val="center"/>
        <w:rPr>
          <w:rFonts w:eastAsiaTheme="minorEastAsia"/>
          <w:b/>
          <w:color w:val="000000" w:themeColor="text1"/>
          <w:sz w:val="20"/>
          <w:szCs w:val="28"/>
          <w:lang w:eastAsia="zh-CN"/>
        </w:rPr>
      </w:pPr>
    </w:p>
    <w:p w:rsidR="00AC1CFF" w:rsidRPr="00490B2A" w:rsidRDefault="004176B1" w:rsidP="00490B2A">
      <w:pPr>
        <w:snapToGrid w:val="0"/>
        <w:spacing w:after="0" w:line="240" w:lineRule="auto"/>
        <w:jc w:val="center"/>
        <w:rPr>
          <w:b/>
          <w:color w:val="000000" w:themeColor="text1"/>
          <w:sz w:val="20"/>
          <w:szCs w:val="28"/>
        </w:rPr>
      </w:pPr>
      <w:r w:rsidRPr="00490B2A">
        <w:rPr>
          <w:b/>
          <w:color w:val="000000" w:themeColor="text1"/>
          <w:sz w:val="20"/>
          <w:szCs w:val="28"/>
        </w:rPr>
        <w:t xml:space="preserve">Table </w:t>
      </w:r>
      <w:r w:rsidR="00AC1CFF" w:rsidRPr="00490B2A">
        <w:rPr>
          <w:b/>
          <w:color w:val="000000" w:themeColor="text1"/>
          <w:sz w:val="20"/>
          <w:szCs w:val="28"/>
        </w:rPr>
        <w:t>3: Vulnerability component index values</w:t>
      </w:r>
    </w:p>
    <w:tbl>
      <w:tblPr>
        <w:tblStyle w:val="TableGrid"/>
        <w:tblW w:w="5000" w:type="pct"/>
        <w:jc w:val="center"/>
        <w:shd w:val="clear" w:color="auto" w:fill="FFFFFF" w:themeFill="background1"/>
        <w:tblCellMar>
          <w:left w:w="57" w:type="dxa"/>
          <w:right w:w="57" w:type="dxa"/>
        </w:tblCellMar>
        <w:tblLook w:val="04A0"/>
      </w:tblPr>
      <w:tblGrid>
        <w:gridCol w:w="359"/>
        <w:gridCol w:w="4262"/>
        <w:gridCol w:w="1237"/>
        <w:gridCol w:w="2259"/>
        <w:gridCol w:w="1357"/>
      </w:tblGrid>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 xml:space="preserve">No </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 xml:space="preserve">Component indicators </w:t>
            </w:r>
          </w:p>
        </w:tc>
        <w:tc>
          <w:tcPr>
            <w:tcW w:w="653"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 xml:space="preserve">Percent value </w:t>
            </w:r>
          </w:p>
        </w:tc>
        <w:tc>
          <w:tcPr>
            <w:tcW w:w="1192"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 xml:space="preserve">Vulnerability factor index </w:t>
            </w:r>
          </w:p>
        </w:tc>
        <w:tc>
          <w:tcPr>
            <w:tcW w:w="715"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Optimum level</w:t>
            </w:r>
          </w:p>
        </w:tc>
      </w:tr>
      <w:tr w:rsidR="00AC1CFF" w:rsidRPr="00490B2A" w:rsidTr="00700A18">
        <w:trPr>
          <w:jc w:val="center"/>
        </w:trPr>
        <w:tc>
          <w:tcPr>
            <w:tcW w:w="5000" w:type="pct"/>
            <w:gridSpan w:val="5"/>
            <w:shd w:val="clear" w:color="auto" w:fill="FFFFFF" w:themeFill="background1"/>
            <w:vAlign w:val="center"/>
          </w:tcPr>
          <w:p w:rsidR="00AC1CFF" w:rsidRPr="00490B2A" w:rsidRDefault="00AC1CFF" w:rsidP="00490B2A">
            <w:pPr>
              <w:widowControl w:val="0"/>
              <w:shd w:val="clear" w:color="auto" w:fill="FFFFFF" w:themeFill="background1"/>
              <w:autoSpaceDE w:val="0"/>
              <w:autoSpaceDN w:val="0"/>
              <w:adjustRightInd w:val="0"/>
              <w:snapToGrid w:val="0"/>
              <w:spacing w:line="240" w:lineRule="auto"/>
              <w:rPr>
                <w:b/>
                <w:color w:val="000000" w:themeColor="text1"/>
                <w:sz w:val="20"/>
                <w:szCs w:val="19"/>
              </w:rPr>
            </w:pPr>
            <w:r w:rsidRPr="00490B2A">
              <w:rPr>
                <w:b/>
                <w:color w:val="000000" w:themeColor="text1"/>
                <w:sz w:val="20"/>
                <w:szCs w:val="19"/>
              </w:rPr>
              <w:t>Social vulnerability</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1</w:t>
            </w:r>
          </w:p>
        </w:tc>
        <w:tc>
          <w:tcPr>
            <w:tcW w:w="2250"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Percent of people without any education</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80</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1.60</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50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2</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Percent of population exceeding 60 years of age</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6</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0.40</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15</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3</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Percent of people below 15 years of age</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47</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2.35</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20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4</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Percent of population with</w:t>
            </w:r>
            <w:r w:rsidR="00700A18" w:rsidRPr="00490B2A">
              <w:rPr>
                <w:color w:val="000000" w:themeColor="text1"/>
                <w:sz w:val="20"/>
                <w:szCs w:val="19"/>
              </w:rPr>
              <w:t xml:space="preserve"> </w:t>
            </w:r>
            <w:r w:rsidRPr="00490B2A">
              <w:rPr>
                <w:color w:val="000000" w:themeColor="text1"/>
                <w:sz w:val="20"/>
                <w:szCs w:val="19"/>
              </w:rPr>
              <w:t xml:space="preserve">disability </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2</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0.03</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75</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5</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Community faith in disaster</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55</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0.90</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50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p>
        </w:tc>
        <w:tc>
          <w:tcPr>
            <w:tcW w:w="2250"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Component vulnerability factor</w:t>
            </w:r>
            <w:r w:rsidR="00700A18" w:rsidRPr="00490B2A">
              <w:rPr>
                <w:color w:val="000000" w:themeColor="text1"/>
                <w:sz w:val="20"/>
                <w:szCs w:val="19"/>
              </w:rPr>
              <w:t xml:space="preserve"> </w:t>
            </w:r>
            <w:r w:rsidRPr="00490B2A">
              <w:rPr>
                <w:color w:val="000000" w:themeColor="text1"/>
                <w:sz w:val="20"/>
                <w:szCs w:val="19"/>
              </w:rPr>
              <w:t>index</w:t>
            </w:r>
          </w:p>
        </w:tc>
        <w:tc>
          <w:tcPr>
            <w:tcW w:w="653"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p>
        </w:tc>
        <w:tc>
          <w:tcPr>
            <w:tcW w:w="1192"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1.05</w:t>
            </w:r>
          </w:p>
        </w:tc>
        <w:tc>
          <w:tcPr>
            <w:tcW w:w="715"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p>
        </w:tc>
      </w:tr>
      <w:tr w:rsidR="00AC1CFF" w:rsidRPr="00490B2A" w:rsidTr="00700A18">
        <w:trPr>
          <w:jc w:val="center"/>
        </w:trPr>
        <w:tc>
          <w:tcPr>
            <w:tcW w:w="5000" w:type="pct"/>
            <w:gridSpan w:val="5"/>
            <w:shd w:val="clear" w:color="auto" w:fill="FFFFFF" w:themeFill="background1"/>
            <w:vAlign w:val="center"/>
          </w:tcPr>
          <w:p w:rsidR="00AC1CFF" w:rsidRPr="00490B2A" w:rsidRDefault="00AC1CFF" w:rsidP="00490B2A">
            <w:pPr>
              <w:widowControl w:val="0"/>
              <w:shd w:val="clear" w:color="auto" w:fill="FFFFFF" w:themeFill="background1"/>
              <w:autoSpaceDE w:val="0"/>
              <w:autoSpaceDN w:val="0"/>
              <w:adjustRightInd w:val="0"/>
              <w:snapToGrid w:val="0"/>
              <w:spacing w:line="240" w:lineRule="auto"/>
              <w:rPr>
                <w:b/>
                <w:color w:val="000000" w:themeColor="text1"/>
                <w:sz w:val="20"/>
                <w:szCs w:val="19"/>
              </w:rPr>
            </w:pPr>
            <w:r w:rsidRPr="00490B2A">
              <w:rPr>
                <w:b/>
                <w:color w:val="000000" w:themeColor="text1"/>
                <w:sz w:val="20"/>
                <w:szCs w:val="19"/>
              </w:rPr>
              <w:t>Economic Vulnerability</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6</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Percent of people unemployed</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98</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1.96</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50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7</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Percent of people without diversified source of income</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38</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0.95</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40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8</w:t>
            </w: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Percent of residents below poverty line</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53</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0.88</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60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p>
        </w:tc>
        <w:tc>
          <w:tcPr>
            <w:tcW w:w="2250"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color w:val="000000" w:themeColor="text1"/>
                <w:sz w:val="20"/>
                <w:szCs w:val="19"/>
              </w:rPr>
              <w:t>Component vulnerability factor index</w:t>
            </w:r>
          </w:p>
        </w:tc>
        <w:tc>
          <w:tcPr>
            <w:tcW w:w="653"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p>
        </w:tc>
        <w:tc>
          <w:tcPr>
            <w:tcW w:w="1192"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r w:rsidRPr="00490B2A">
              <w:rPr>
                <w:b/>
                <w:color w:val="000000" w:themeColor="text1"/>
                <w:sz w:val="20"/>
                <w:szCs w:val="19"/>
              </w:rPr>
              <w:t>1.26</w:t>
            </w:r>
          </w:p>
        </w:tc>
        <w:tc>
          <w:tcPr>
            <w:tcW w:w="715" w:type="pct"/>
            <w:shd w:val="clear" w:color="auto" w:fill="FFFFFF" w:themeFill="background1"/>
            <w:vAlign w:val="center"/>
          </w:tcPr>
          <w:p w:rsidR="00AC1CFF" w:rsidRPr="00490B2A" w:rsidRDefault="00AC1CFF" w:rsidP="00490B2A">
            <w:pPr>
              <w:snapToGrid w:val="0"/>
              <w:spacing w:line="240" w:lineRule="auto"/>
              <w:rPr>
                <w:b/>
                <w:color w:val="000000" w:themeColor="text1"/>
                <w:sz w:val="20"/>
                <w:szCs w:val="19"/>
              </w:rPr>
            </w:pPr>
          </w:p>
        </w:tc>
      </w:tr>
      <w:tr w:rsidR="00AC1CFF" w:rsidRPr="00490B2A" w:rsidTr="00700A18">
        <w:trPr>
          <w:jc w:val="center"/>
        </w:trPr>
        <w:tc>
          <w:tcPr>
            <w:tcW w:w="5000" w:type="pct"/>
            <w:gridSpan w:val="5"/>
            <w:shd w:val="clear" w:color="auto" w:fill="FFFFFF" w:themeFill="background1"/>
            <w:vAlign w:val="center"/>
          </w:tcPr>
          <w:p w:rsidR="00AC1CFF" w:rsidRPr="00490B2A" w:rsidRDefault="00AC1CFF" w:rsidP="00490B2A">
            <w:pPr>
              <w:widowControl w:val="0"/>
              <w:shd w:val="clear" w:color="auto" w:fill="FFFFFF" w:themeFill="background1"/>
              <w:autoSpaceDE w:val="0"/>
              <w:autoSpaceDN w:val="0"/>
              <w:adjustRightInd w:val="0"/>
              <w:snapToGrid w:val="0"/>
              <w:spacing w:line="240" w:lineRule="auto"/>
              <w:rPr>
                <w:b/>
                <w:color w:val="000000" w:themeColor="text1"/>
                <w:sz w:val="20"/>
                <w:szCs w:val="19"/>
              </w:rPr>
            </w:pPr>
            <w:r w:rsidRPr="00490B2A">
              <w:rPr>
                <w:b/>
                <w:color w:val="000000" w:themeColor="text1"/>
                <w:sz w:val="20"/>
                <w:szCs w:val="19"/>
              </w:rPr>
              <w:t>Institutional Vulnerability</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r w:rsidRPr="00490B2A">
              <w:rPr>
                <w:color w:val="000000" w:themeColor="text1"/>
                <w:sz w:val="20"/>
                <w:szCs w:val="19"/>
              </w:rPr>
              <w:t>9</w:t>
            </w:r>
          </w:p>
        </w:tc>
        <w:tc>
          <w:tcPr>
            <w:tcW w:w="2250"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r w:rsidRPr="00490B2A">
              <w:rPr>
                <w:color w:val="000000" w:themeColor="text1"/>
                <w:sz w:val="20"/>
                <w:szCs w:val="19"/>
              </w:rPr>
              <w:t>Percent of people voluntarily work during disaster</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70</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0.71</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50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r w:rsidRPr="00490B2A">
              <w:rPr>
                <w:color w:val="000000" w:themeColor="text1"/>
                <w:sz w:val="20"/>
                <w:szCs w:val="19"/>
              </w:rPr>
              <w:t>10</w:t>
            </w:r>
          </w:p>
        </w:tc>
        <w:tc>
          <w:tcPr>
            <w:tcW w:w="2250"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r w:rsidRPr="00490B2A">
              <w:rPr>
                <w:color w:val="000000" w:themeColor="text1"/>
                <w:sz w:val="20"/>
                <w:szCs w:val="19"/>
              </w:rPr>
              <w:t>Percent of people without disaster preparedness</w:t>
            </w:r>
          </w:p>
        </w:tc>
        <w:tc>
          <w:tcPr>
            <w:tcW w:w="653"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29</w:t>
            </w:r>
          </w:p>
        </w:tc>
        <w:tc>
          <w:tcPr>
            <w:tcW w:w="1192"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0.48</w:t>
            </w:r>
          </w:p>
        </w:tc>
        <w:tc>
          <w:tcPr>
            <w:tcW w:w="7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19"/>
              </w:rPr>
            </w:pPr>
            <w:r w:rsidRPr="00490B2A">
              <w:rPr>
                <w:color w:val="000000" w:themeColor="text1"/>
                <w:sz w:val="20"/>
                <w:szCs w:val="19"/>
              </w:rPr>
              <w:t>60</w:t>
            </w:r>
          </w:p>
        </w:tc>
      </w:tr>
      <w:tr w:rsidR="00AC1CFF" w:rsidRPr="00490B2A" w:rsidTr="00700A18">
        <w:trPr>
          <w:jc w:val="center"/>
        </w:trPr>
        <w:tc>
          <w:tcPr>
            <w:tcW w:w="189"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p>
        </w:tc>
        <w:tc>
          <w:tcPr>
            <w:tcW w:w="2250"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r w:rsidRPr="00490B2A">
              <w:rPr>
                <w:color w:val="000000" w:themeColor="text1"/>
                <w:sz w:val="20"/>
                <w:szCs w:val="19"/>
              </w:rPr>
              <w:t>Component vulnerability factor index</w:t>
            </w:r>
          </w:p>
        </w:tc>
        <w:tc>
          <w:tcPr>
            <w:tcW w:w="653"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p>
        </w:tc>
        <w:tc>
          <w:tcPr>
            <w:tcW w:w="1192"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b/>
                <w:color w:val="000000" w:themeColor="text1"/>
                <w:sz w:val="20"/>
                <w:szCs w:val="19"/>
              </w:rPr>
            </w:pPr>
            <w:r w:rsidRPr="00490B2A">
              <w:rPr>
                <w:b/>
                <w:color w:val="000000" w:themeColor="text1"/>
                <w:sz w:val="20"/>
                <w:szCs w:val="19"/>
              </w:rPr>
              <w:t>0.56</w:t>
            </w:r>
          </w:p>
        </w:tc>
        <w:tc>
          <w:tcPr>
            <w:tcW w:w="7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19"/>
              </w:rPr>
            </w:pPr>
          </w:p>
        </w:tc>
      </w:tr>
    </w:tbl>
    <w:p w:rsidR="00490B2A" w:rsidRPr="00490B2A" w:rsidRDefault="00490B2A" w:rsidP="00490B2A">
      <w:pPr>
        <w:snapToGrid w:val="0"/>
        <w:spacing w:after="0" w:line="240" w:lineRule="auto"/>
        <w:ind w:firstLine="425"/>
        <w:rPr>
          <w:rFonts w:eastAsiaTheme="minorEastAsia"/>
          <w:sz w:val="20"/>
          <w:lang w:eastAsia="zh-CN"/>
        </w:rPr>
      </w:pPr>
    </w:p>
    <w:tbl>
      <w:tblPr>
        <w:tblStyle w:val="TableGrid"/>
        <w:tblW w:w="5000" w:type="pct"/>
        <w:jc w:val="center"/>
        <w:shd w:val="clear" w:color="auto" w:fill="FFFFFF" w:themeFill="background1"/>
        <w:tblCellMar>
          <w:left w:w="57" w:type="dxa"/>
          <w:right w:w="57" w:type="dxa"/>
        </w:tblCellMar>
        <w:tblLook w:val="04A0"/>
      </w:tblPr>
      <w:tblGrid>
        <w:gridCol w:w="597"/>
        <w:gridCol w:w="6800"/>
        <w:gridCol w:w="597"/>
        <w:gridCol w:w="883"/>
        <w:gridCol w:w="597"/>
      </w:tblGrid>
      <w:tr w:rsidR="00AC1CFF" w:rsidRPr="00490B2A" w:rsidTr="00700A18">
        <w:trPr>
          <w:jc w:val="center"/>
        </w:trPr>
        <w:tc>
          <w:tcPr>
            <w:tcW w:w="5000" w:type="pct"/>
            <w:gridSpan w:val="5"/>
            <w:shd w:val="clear" w:color="auto" w:fill="FFFFFF" w:themeFill="background1"/>
            <w:vAlign w:val="center"/>
          </w:tcPr>
          <w:p w:rsidR="00AC1CFF" w:rsidRPr="00490B2A" w:rsidRDefault="00AC1CFF" w:rsidP="00490B2A">
            <w:pPr>
              <w:widowControl w:val="0"/>
              <w:shd w:val="clear" w:color="auto" w:fill="FFFFFF" w:themeFill="background1"/>
              <w:autoSpaceDE w:val="0"/>
              <w:autoSpaceDN w:val="0"/>
              <w:adjustRightInd w:val="0"/>
              <w:snapToGrid w:val="0"/>
              <w:spacing w:line="240" w:lineRule="auto"/>
              <w:rPr>
                <w:b/>
                <w:color w:val="000000" w:themeColor="text1"/>
                <w:sz w:val="20"/>
                <w:szCs w:val="28"/>
              </w:rPr>
            </w:pPr>
            <w:r w:rsidRPr="00490B2A">
              <w:rPr>
                <w:b/>
                <w:color w:val="000000" w:themeColor="text1"/>
                <w:sz w:val="20"/>
                <w:szCs w:val="28"/>
              </w:rPr>
              <w:t>Physical Vulnerability</w:t>
            </w:r>
          </w:p>
        </w:tc>
      </w:tr>
      <w:tr w:rsidR="00AC1CFF" w:rsidRPr="00490B2A" w:rsidTr="00700A18">
        <w:trPr>
          <w:jc w:val="center"/>
        </w:trPr>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r w:rsidRPr="00490B2A">
              <w:rPr>
                <w:color w:val="000000" w:themeColor="text1"/>
                <w:sz w:val="20"/>
                <w:szCs w:val="28"/>
              </w:rPr>
              <w:t>11</w:t>
            </w:r>
          </w:p>
        </w:tc>
        <w:tc>
          <w:tcPr>
            <w:tcW w:w="3589"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r w:rsidRPr="00490B2A">
              <w:rPr>
                <w:color w:val="000000" w:themeColor="text1"/>
                <w:sz w:val="20"/>
                <w:szCs w:val="28"/>
              </w:rPr>
              <w:t>Percent of houses located in river-bed</w:t>
            </w:r>
          </w:p>
        </w:tc>
        <w:tc>
          <w:tcPr>
            <w:tcW w:w="3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28"/>
              </w:rPr>
            </w:pPr>
            <w:r w:rsidRPr="00490B2A">
              <w:rPr>
                <w:color w:val="000000" w:themeColor="text1"/>
                <w:sz w:val="20"/>
                <w:szCs w:val="28"/>
              </w:rPr>
              <w:t>70</w:t>
            </w:r>
          </w:p>
        </w:tc>
        <w:tc>
          <w:tcPr>
            <w:tcW w:w="466"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28"/>
              </w:rPr>
            </w:pPr>
            <w:r w:rsidRPr="00490B2A">
              <w:rPr>
                <w:color w:val="000000" w:themeColor="text1"/>
                <w:sz w:val="20"/>
                <w:szCs w:val="28"/>
              </w:rPr>
              <w:t>2.16</w:t>
            </w:r>
          </w:p>
        </w:tc>
        <w:tc>
          <w:tcPr>
            <w:tcW w:w="3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28"/>
              </w:rPr>
            </w:pPr>
            <w:r w:rsidRPr="00490B2A">
              <w:rPr>
                <w:color w:val="000000" w:themeColor="text1"/>
                <w:sz w:val="20"/>
                <w:szCs w:val="28"/>
              </w:rPr>
              <w:t>30</w:t>
            </w:r>
          </w:p>
        </w:tc>
      </w:tr>
      <w:tr w:rsidR="00AC1CFF" w:rsidRPr="00490B2A" w:rsidTr="00700A18">
        <w:trPr>
          <w:jc w:val="center"/>
        </w:trPr>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r w:rsidRPr="00490B2A">
              <w:rPr>
                <w:color w:val="000000" w:themeColor="text1"/>
                <w:sz w:val="20"/>
                <w:szCs w:val="28"/>
              </w:rPr>
              <w:t>12</w:t>
            </w:r>
          </w:p>
        </w:tc>
        <w:tc>
          <w:tcPr>
            <w:tcW w:w="3589"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r w:rsidRPr="00490B2A">
              <w:rPr>
                <w:color w:val="000000" w:themeColor="text1"/>
                <w:sz w:val="20"/>
                <w:szCs w:val="28"/>
              </w:rPr>
              <w:t>Percent of houses with vulnerable structure</w:t>
            </w:r>
          </w:p>
        </w:tc>
        <w:tc>
          <w:tcPr>
            <w:tcW w:w="3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28"/>
              </w:rPr>
            </w:pPr>
            <w:r w:rsidRPr="00490B2A">
              <w:rPr>
                <w:color w:val="000000" w:themeColor="text1"/>
                <w:sz w:val="20"/>
                <w:szCs w:val="28"/>
              </w:rPr>
              <w:t>52</w:t>
            </w:r>
          </w:p>
        </w:tc>
        <w:tc>
          <w:tcPr>
            <w:tcW w:w="466"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28"/>
              </w:rPr>
            </w:pPr>
            <w:r w:rsidRPr="00490B2A">
              <w:rPr>
                <w:color w:val="000000" w:themeColor="text1"/>
                <w:sz w:val="20"/>
                <w:szCs w:val="28"/>
              </w:rPr>
              <w:t>1.30</w:t>
            </w:r>
          </w:p>
        </w:tc>
        <w:tc>
          <w:tcPr>
            <w:tcW w:w="315" w:type="pct"/>
            <w:shd w:val="clear" w:color="auto" w:fill="FFFFFF" w:themeFill="background1"/>
            <w:vAlign w:val="center"/>
          </w:tcPr>
          <w:p w:rsidR="00AC1CFF" w:rsidRPr="00490B2A" w:rsidRDefault="00AC1CFF" w:rsidP="00490B2A">
            <w:pPr>
              <w:snapToGrid w:val="0"/>
              <w:spacing w:line="240" w:lineRule="auto"/>
              <w:rPr>
                <w:color w:val="000000" w:themeColor="text1"/>
                <w:sz w:val="20"/>
                <w:szCs w:val="28"/>
              </w:rPr>
            </w:pPr>
            <w:r w:rsidRPr="00490B2A">
              <w:rPr>
                <w:color w:val="000000" w:themeColor="text1"/>
                <w:sz w:val="20"/>
                <w:szCs w:val="28"/>
              </w:rPr>
              <w:t>40</w:t>
            </w:r>
          </w:p>
        </w:tc>
      </w:tr>
      <w:tr w:rsidR="00AC1CFF" w:rsidRPr="00490B2A" w:rsidTr="00700A18">
        <w:trPr>
          <w:jc w:val="center"/>
        </w:trPr>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p>
        </w:tc>
        <w:tc>
          <w:tcPr>
            <w:tcW w:w="3589"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r w:rsidRPr="00490B2A">
              <w:rPr>
                <w:color w:val="000000" w:themeColor="text1"/>
                <w:sz w:val="20"/>
                <w:szCs w:val="28"/>
              </w:rPr>
              <w:t>Component vulnerability factor index</w:t>
            </w:r>
          </w:p>
        </w:tc>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p>
        </w:tc>
        <w:tc>
          <w:tcPr>
            <w:tcW w:w="466"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b/>
                <w:color w:val="000000" w:themeColor="text1"/>
                <w:sz w:val="20"/>
                <w:szCs w:val="28"/>
              </w:rPr>
            </w:pPr>
            <w:r w:rsidRPr="00490B2A">
              <w:rPr>
                <w:b/>
                <w:color w:val="000000" w:themeColor="text1"/>
                <w:sz w:val="20"/>
                <w:szCs w:val="28"/>
              </w:rPr>
              <w:t>2.18</w:t>
            </w:r>
          </w:p>
        </w:tc>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p>
        </w:tc>
      </w:tr>
      <w:tr w:rsidR="00AC1CFF" w:rsidRPr="00490B2A" w:rsidTr="00700A18">
        <w:trPr>
          <w:jc w:val="center"/>
        </w:trPr>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p>
        </w:tc>
        <w:tc>
          <w:tcPr>
            <w:tcW w:w="3589"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b/>
                <w:color w:val="000000" w:themeColor="text1"/>
                <w:sz w:val="20"/>
                <w:szCs w:val="28"/>
              </w:rPr>
            </w:pPr>
            <w:r w:rsidRPr="00490B2A">
              <w:rPr>
                <w:b/>
                <w:color w:val="000000" w:themeColor="text1"/>
                <w:sz w:val="20"/>
                <w:szCs w:val="28"/>
              </w:rPr>
              <w:t>Over all community vulnerability index</w:t>
            </w:r>
          </w:p>
        </w:tc>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p>
        </w:tc>
        <w:tc>
          <w:tcPr>
            <w:tcW w:w="466"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b/>
                <w:color w:val="000000" w:themeColor="text1"/>
                <w:sz w:val="20"/>
                <w:szCs w:val="28"/>
              </w:rPr>
            </w:pPr>
            <w:r w:rsidRPr="00490B2A">
              <w:rPr>
                <w:b/>
                <w:color w:val="000000" w:themeColor="text1"/>
                <w:sz w:val="20"/>
                <w:szCs w:val="28"/>
              </w:rPr>
              <w:t>1.26</w:t>
            </w:r>
          </w:p>
        </w:tc>
        <w:tc>
          <w:tcPr>
            <w:tcW w:w="315" w:type="pct"/>
            <w:shd w:val="clear" w:color="auto" w:fill="FFFFFF" w:themeFill="background1"/>
            <w:vAlign w:val="center"/>
          </w:tcPr>
          <w:p w:rsidR="00AC1CFF" w:rsidRPr="00490B2A" w:rsidRDefault="00AC1CFF" w:rsidP="00490B2A">
            <w:pPr>
              <w:widowControl w:val="0"/>
              <w:autoSpaceDE w:val="0"/>
              <w:autoSpaceDN w:val="0"/>
              <w:adjustRightInd w:val="0"/>
              <w:snapToGrid w:val="0"/>
              <w:spacing w:line="240" w:lineRule="auto"/>
              <w:rPr>
                <w:color w:val="000000" w:themeColor="text1"/>
                <w:sz w:val="20"/>
                <w:szCs w:val="28"/>
              </w:rPr>
            </w:pPr>
          </w:p>
        </w:tc>
      </w:tr>
    </w:tbl>
    <w:p w:rsidR="00AC1CFF" w:rsidRDefault="00AC1CFF" w:rsidP="00490B2A">
      <w:pPr>
        <w:snapToGrid w:val="0"/>
        <w:spacing w:after="0" w:line="240" w:lineRule="auto"/>
        <w:ind w:firstLine="425"/>
        <w:rPr>
          <w:rFonts w:eastAsiaTheme="minorEastAsia" w:hint="eastAsia"/>
          <w:color w:val="000000" w:themeColor="text1"/>
          <w:sz w:val="20"/>
          <w:szCs w:val="28"/>
          <w:lang w:eastAsia="zh-CN"/>
        </w:rPr>
      </w:pPr>
    </w:p>
    <w:p w:rsidR="00D87F12" w:rsidRPr="00490B2A" w:rsidRDefault="00D87F12" w:rsidP="00490B2A">
      <w:pPr>
        <w:snapToGrid w:val="0"/>
        <w:spacing w:after="0" w:line="240" w:lineRule="auto"/>
        <w:ind w:firstLine="425"/>
        <w:rPr>
          <w:rFonts w:eastAsiaTheme="minorEastAsia"/>
          <w:color w:val="000000" w:themeColor="text1"/>
          <w:sz w:val="20"/>
          <w:szCs w:val="28"/>
          <w:lang w:eastAsia="zh-CN"/>
        </w:rPr>
      </w:pPr>
    </w:p>
    <w:p w:rsidR="00490B2A" w:rsidRPr="00490B2A" w:rsidRDefault="00490B2A" w:rsidP="00490B2A">
      <w:pPr>
        <w:snapToGrid w:val="0"/>
        <w:spacing w:after="0" w:line="240" w:lineRule="auto"/>
        <w:ind w:firstLine="425"/>
        <w:rPr>
          <w:rFonts w:eastAsiaTheme="minorEastAsia"/>
          <w:color w:val="000000" w:themeColor="text1"/>
          <w:sz w:val="20"/>
          <w:szCs w:val="28"/>
          <w:lang w:eastAsia="zh-CN"/>
        </w:rPr>
        <w:sectPr w:rsidR="00490B2A" w:rsidRPr="00490B2A" w:rsidSect="00700A18">
          <w:type w:val="continuous"/>
          <w:pgSz w:w="12240" w:h="15840"/>
          <w:pgMar w:top="1440" w:right="1440" w:bottom="1440" w:left="1440" w:header="720" w:footer="720" w:gutter="0"/>
          <w:cols w:space="720"/>
          <w:docGrid w:linePitch="360"/>
        </w:sectPr>
      </w:pPr>
    </w:p>
    <w:p w:rsidR="00AC1CFF" w:rsidRPr="00490B2A" w:rsidRDefault="004176B1" w:rsidP="00490B2A">
      <w:pPr>
        <w:widowControl w:val="0"/>
        <w:autoSpaceDE w:val="0"/>
        <w:autoSpaceDN w:val="0"/>
        <w:adjustRightInd w:val="0"/>
        <w:snapToGrid w:val="0"/>
        <w:spacing w:after="0" w:line="240" w:lineRule="auto"/>
        <w:rPr>
          <w:b/>
          <w:color w:val="000000" w:themeColor="text1"/>
          <w:sz w:val="20"/>
          <w:szCs w:val="28"/>
        </w:rPr>
      </w:pPr>
      <w:r w:rsidRPr="00490B2A">
        <w:rPr>
          <w:b/>
          <w:color w:val="000000" w:themeColor="text1"/>
          <w:sz w:val="20"/>
          <w:szCs w:val="28"/>
        </w:rPr>
        <w:lastRenderedPageBreak/>
        <w:t>5.</w:t>
      </w:r>
      <w:r w:rsidRPr="00490B2A">
        <w:rPr>
          <w:b/>
          <w:color w:val="000000" w:themeColor="text1"/>
          <w:sz w:val="20"/>
          <w:szCs w:val="28"/>
        </w:rPr>
        <w:tab/>
        <w:t>Results and Discussion</w:t>
      </w:r>
      <w:r w:rsidR="00AC1CFF" w:rsidRPr="00490B2A">
        <w:rPr>
          <w:b/>
          <w:color w:val="000000" w:themeColor="text1"/>
          <w:sz w:val="20"/>
          <w:szCs w:val="28"/>
        </w:rPr>
        <w:t xml:space="preserve"> </w:t>
      </w:r>
    </w:p>
    <w:p w:rsidR="00AC1CFF" w:rsidRPr="00490B2A" w:rsidRDefault="00AC1CFF" w:rsidP="00490B2A">
      <w:pPr>
        <w:widowControl w:val="0"/>
        <w:autoSpaceDE w:val="0"/>
        <w:autoSpaceDN w:val="0"/>
        <w:adjustRightInd w:val="0"/>
        <w:snapToGrid w:val="0"/>
        <w:spacing w:after="0" w:line="240" w:lineRule="auto"/>
        <w:ind w:firstLine="425"/>
        <w:rPr>
          <w:color w:val="000000" w:themeColor="text1"/>
          <w:sz w:val="20"/>
          <w:szCs w:val="28"/>
        </w:rPr>
      </w:pPr>
      <w:r w:rsidRPr="00490B2A">
        <w:rPr>
          <w:color w:val="000000" w:themeColor="text1"/>
          <w:sz w:val="20"/>
          <w:szCs w:val="28"/>
        </w:rPr>
        <w:t xml:space="preserve">Socioeconomic, physical and institutional factors are interconnected and influenced </w:t>
      </w:r>
      <w:r w:rsidR="004176B1" w:rsidRPr="00490B2A">
        <w:rPr>
          <w:color w:val="000000" w:themeColor="text1"/>
          <w:sz w:val="20"/>
          <w:szCs w:val="28"/>
        </w:rPr>
        <w:t>each other</w:t>
      </w:r>
      <w:r w:rsidRPr="00490B2A">
        <w:rPr>
          <w:color w:val="000000" w:themeColor="text1"/>
          <w:sz w:val="20"/>
          <w:szCs w:val="28"/>
        </w:rPr>
        <w:t>. In this study social</w:t>
      </w:r>
      <w:r w:rsidR="004176B1" w:rsidRPr="00490B2A">
        <w:rPr>
          <w:color w:val="000000" w:themeColor="text1"/>
          <w:sz w:val="20"/>
          <w:szCs w:val="28"/>
        </w:rPr>
        <w:t>,</w:t>
      </w:r>
      <w:r w:rsidRPr="00490B2A">
        <w:rPr>
          <w:color w:val="000000" w:themeColor="text1"/>
          <w:sz w:val="20"/>
          <w:szCs w:val="28"/>
        </w:rPr>
        <w:t xml:space="preserve"> economic, physical and institutional factors are considered for the vulnerability assessment. Low resilient communities are more vulnerable to disasters. They face significant harms in their daily life. Low educational level, poverty, lack of capital and resources are the key factors of the vulnerability. Low educational level of the community affects their livelihood, income, ability and adaptation to modern information related to disasters. Education plays a significant role for understanding and copes with any hazardous condition; similarly the role of institutions in any sort of disaster can lessen the overall risk through best policies and strategies. </w:t>
      </w:r>
      <w:r w:rsidR="004176B1" w:rsidRPr="00490B2A">
        <w:rPr>
          <w:color w:val="000000" w:themeColor="text1"/>
          <w:sz w:val="20"/>
          <w:szCs w:val="28"/>
        </w:rPr>
        <w:t>Results reveal that</w:t>
      </w:r>
      <w:r w:rsidRPr="00490B2A">
        <w:rPr>
          <w:color w:val="000000" w:themeColor="text1"/>
          <w:sz w:val="20"/>
          <w:szCs w:val="28"/>
        </w:rPr>
        <w:t xml:space="preserve">, the social value index 1.05 is greater due to low level of education such as 80 percent people in the study area are illiterates as well as a higher proportion (47 %) of the people under 15 years of age which is a risky sign for the community to evacuate during disasters </w:t>
      </w:r>
      <w:r w:rsidR="004176B1" w:rsidRPr="00490B2A">
        <w:rPr>
          <w:color w:val="000000" w:themeColor="text1"/>
          <w:sz w:val="20"/>
          <w:szCs w:val="28"/>
        </w:rPr>
        <w:t xml:space="preserve">(see in table </w:t>
      </w:r>
      <w:r w:rsidRPr="00490B2A">
        <w:rPr>
          <w:color w:val="000000" w:themeColor="text1"/>
          <w:sz w:val="20"/>
          <w:szCs w:val="28"/>
        </w:rPr>
        <w:t>3</w:t>
      </w:r>
      <w:r w:rsidR="004176B1" w:rsidRPr="00490B2A">
        <w:rPr>
          <w:color w:val="000000" w:themeColor="text1"/>
          <w:sz w:val="20"/>
          <w:szCs w:val="28"/>
        </w:rPr>
        <w:t>)</w:t>
      </w:r>
      <w:r w:rsidRPr="00490B2A">
        <w:rPr>
          <w:color w:val="000000" w:themeColor="text1"/>
          <w:sz w:val="20"/>
          <w:szCs w:val="28"/>
        </w:rPr>
        <w:t xml:space="preserve"> Low percentage of disabled peoples and small proportion of people above 60 years of age is a little bit satisfactory sign for community. </w:t>
      </w:r>
    </w:p>
    <w:p w:rsidR="00AC1CFF" w:rsidRPr="00490B2A" w:rsidRDefault="00AC1CFF" w:rsidP="00490B2A">
      <w:pPr>
        <w:widowControl w:val="0"/>
        <w:autoSpaceDE w:val="0"/>
        <w:autoSpaceDN w:val="0"/>
        <w:adjustRightInd w:val="0"/>
        <w:snapToGrid w:val="0"/>
        <w:spacing w:after="0" w:line="240" w:lineRule="auto"/>
        <w:ind w:firstLine="425"/>
        <w:rPr>
          <w:color w:val="000000" w:themeColor="text1"/>
          <w:sz w:val="20"/>
          <w:szCs w:val="28"/>
        </w:rPr>
      </w:pPr>
      <w:r w:rsidRPr="00490B2A">
        <w:rPr>
          <w:color w:val="000000" w:themeColor="text1"/>
          <w:sz w:val="20"/>
          <w:szCs w:val="28"/>
        </w:rPr>
        <w:t>Economic vulnerability is the second component of the vulnerability index. From prior studies it is indicated that the higher ratio of unemployed people in a community, higher population rate below poverty line and population without diversified sources of earnings attracts the overall community towards vulnerability. The economic vulnerability index 1.26 is greater due to high ratio of unemployed people, such a</w:t>
      </w:r>
      <w:r w:rsidR="00067491" w:rsidRPr="00490B2A">
        <w:rPr>
          <w:color w:val="000000" w:themeColor="text1"/>
          <w:sz w:val="20"/>
          <w:szCs w:val="28"/>
        </w:rPr>
        <w:t>s 98% people have no employment/</w:t>
      </w:r>
      <w:r w:rsidRPr="00490B2A">
        <w:rPr>
          <w:color w:val="000000" w:themeColor="text1"/>
          <w:sz w:val="20"/>
          <w:szCs w:val="28"/>
        </w:rPr>
        <w:t xml:space="preserve">occupation in the study area and they are completely dependent on daily wages occupation, which creates problems in recovery phase for the community. The higher ratio of people without diversified source of income and people below poverty line are significantly shows the sign of vulnerability. </w:t>
      </w:r>
    </w:p>
    <w:p w:rsidR="00AC1CFF" w:rsidRPr="00490B2A" w:rsidRDefault="00AC1CFF" w:rsidP="00490B2A">
      <w:pPr>
        <w:widowControl w:val="0"/>
        <w:autoSpaceDE w:val="0"/>
        <w:autoSpaceDN w:val="0"/>
        <w:adjustRightInd w:val="0"/>
        <w:snapToGrid w:val="0"/>
        <w:spacing w:after="0" w:line="240" w:lineRule="auto"/>
        <w:ind w:firstLine="425"/>
        <w:rPr>
          <w:color w:val="000000" w:themeColor="text1"/>
          <w:sz w:val="20"/>
          <w:szCs w:val="28"/>
        </w:rPr>
      </w:pPr>
      <w:r w:rsidRPr="00490B2A">
        <w:rPr>
          <w:color w:val="000000" w:themeColor="text1"/>
          <w:sz w:val="20"/>
          <w:szCs w:val="28"/>
        </w:rPr>
        <w:t>Regarding Institutional vulnerability the study has examined vulnerabilities linked to hazard preparation, risk lessening activities, and public preparedness and awareness. The overall institutional vulnerability value index 0.56 is low as compared to social and economic vulnerability value index. The collaboration level among peoples was almost 70 % during disaster and almost 29 % people were prepared in hazard prone areas.</w:t>
      </w:r>
      <w:r w:rsidR="00700A18" w:rsidRPr="00490B2A">
        <w:rPr>
          <w:color w:val="000000" w:themeColor="text1"/>
          <w:sz w:val="20"/>
          <w:szCs w:val="28"/>
        </w:rPr>
        <w:t xml:space="preserve"> </w:t>
      </w:r>
    </w:p>
    <w:p w:rsidR="00AC1CFF" w:rsidRPr="00490B2A" w:rsidRDefault="00AC1CFF" w:rsidP="00490B2A">
      <w:pPr>
        <w:widowControl w:val="0"/>
        <w:autoSpaceDE w:val="0"/>
        <w:autoSpaceDN w:val="0"/>
        <w:adjustRightInd w:val="0"/>
        <w:snapToGrid w:val="0"/>
        <w:spacing w:after="0" w:line="240" w:lineRule="auto"/>
        <w:ind w:firstLine="425"/>
        <w:rPr>
          <w:rFonts w:eastAsiaTheme="minorEastAsia"/>
          <w:color w:val="000000" w:themeColor="text1"/>
          <w:sz w:val="20"/>
          <w:szCs w:val="28"/>
          <w:lang w:eastAsia="zh-CN"/>
        </w:rPr>
      </w:pPr>
      <w:r w:rsidRPr="00490B2A">
        <w:rPr>
          <w:color w:val="000000" w:themeColor="text1"/>
          <w:sz w:val="20"/>
          <w:szCs w:val="28"/>
        </w:rPr>
        <w:t>Physical vulnerability is the fourth and last componen</w:t>
      </w:r>
      <w:r w:rsidR="00067491" w:rsidRPr="00490B2A">
        <w:rPr>
          <w:color w:val="000000" w:themeColor="text1"/>
          <w:sz w:val="20"/>
          <w:szCs w:val="28"/>
        </w:rPr>
        <w:t>t of vulnerability index. From T</w:t>
      </w:r>
      <w:r w:rsidRPr="00490B2A">
        <w:rPr>
          <w:color w:val="000000" w:themeColor="text1"/>
          <w:sz w:val="20"/>
          <w:szCs w:val="28"/>
        </w:rPr>
        <w:t>able (</w:t>
      </w:r>
      <w:r w:rsidR="00067491" w:rsidRPr="00490B2A">
        <w:rPr>
          <w:color w:val="000000" w:themeColor="text1"/>
          <w:sz w:val="20"/>
          <w:szCs w:val="28"/>
        </w:rPr>
        <w:t>3</w:t>
      </w:r>
      <w:r w:rsidRPr="00490B2A">
        <w:rPr>
          <w:color w:val="000000" w:themeColor="text1"/>
          <w:sz w:val="20"/>
          <w:szCs w:val="28"/>
        </w:rPr>
        <w:t>) the physical vulnerability component has the highest vuln</w:t>
      </w:r>
      <w:r w:rsidR="00067491" w:rsidRPr="00490B2A">
        <w:rPr>
          <w:color w:val="000000" w:themeColor="text1"/>
          <w:sz w:val="20"/>
          <w:szCs w:val="28"/>
        </w:rPr>
        <w:t>erability value index as 1.73. P</w:t>
      </w:r>
      <w:r w:rsidRPr="00490B2A">
        <w:rPr>
          <w:color w:val="000000" w:themeColor="text1"/>
          <w:sz w:val="20"/>
          <w:szCs w:val="28"/>
        </w:rPr>
        <w:t xml:space="preserve">hysical vulnerability value index is greater due to high proportion of houses with vulnerable structures such </w:t>
      </w:r>
      <w:r w:rsidRPr="00490B2A">
        <w:rPr>
          <w:color w:val="000000" w:themeColor="text1"/>
          <w:sz w:val="20"/>
          <w:szCs w:val="28"/>
        </w:rPr>
        <w:lastRenderedPageBreak/>
        <w:t xml:space="preserve">as 52 % houses were made by loose materials (mud and stones), which making the houses structures extremely physically vulnerable during earthquakes and flash floods and almost 65 % of the houses were built in a river channel and such river-channel was prone to flood,. Even the low level of an earthquake can destroy the village. Lack of capital and resources made people not able to re-build and relocate their houses at a safer place. </w:t>
      </w:r>
    </w:p>
    <w:p w:rsidR="00700A18" w:rsidRPr="00490B2A" w:rsidRDefault="00700A18" w:rsidP="00490B2A">
      <w:pPr>
        <w:widowControl w:val="0"/>
        <w:autoSpaceDE w:val="0"/>
        <w:autoSpaceDN w:val="0"/>
        <w:adjustRightInd w:val="0"/>
        <w:snapToGrid w:val="0"/>
        <w:spacing w:after="0" w:line="240" w:lineRule="auto"/>
        <w:ind w:firstLine="425"/>
        <w:rPr>
          <w:rFonts w:eastAsiaTheme="minorEastAsia"/>
          <w:color w:val="000000" w:themeColor="text1"/>
          <w:sz w:val="20"/>
          <w:szCs w:val="28"/>
          <w:lang w:eastAsia="zh-CN"/>
        </w:rPr>
      </w:pPr>
    </w:p>
    <w:p w:rsidR="00AC1CFF" w:rsidRPr="00490B2A" w:rsidRDefault="00AC1CFF" w:rsidP="00490B2A">
      <w:pPr>
        <w:widowControl w:val="0"/>
        <w:autoSpaceDE w:val="0"/>
        <w:autoSpaceDN w:val="0"/>
        <w:adjustRightInd w:val="0"/>
        <w:snapToGrid w:val="0"/>
        <w:spacing w:after="0" w:line="240" w:lineRule="auto"/>
        <w:rPr>
          <w:b/>
          <w:color w:val="000000" w:themeColor="text1"/>
          <w:sz w:val="20"/>
          <w:szCs w:val="28"/>
        </w:rPr>
      </w:pPr>
      <w:r w:rsidRPr="00490B2A">
        <w:rPr>
          <w:b/>
          <w:color w:val="000000" w:themeColor="text1"/>
          <w:sz w:val="20"/>
          <w:szCs w:val="28"/>
        </w:rPr>
        <w:t>6.</w:t>
      </w:r>
      <w:r w:rsidRPr="00490B2A">
        <w:rPr>
          <w:b/>
          <w:color w:val="000000" w:themeColor="text1"/>
          <w:sz w:val="20"/>
          <w:szCs w:val="28"/>
        </w:rPr>
        <w:tab/>
        <w:t>Conclusion</w:t>
      </w:r>
    </w:p>
    <w:p w:rsidR="00AC1CFF" w:rsidRPr="00490B2A" w:rsidRDefault="00AC1CFF" w:rsidP="00490B2A">
      <w:pPr>
        <w:widowControl w:val="0"/>
        <w:autoSpaceDE w:val="0"/>
        <w:autoSpaceDN w:val="0"/>
        <w:adjustRightInd w:val="0"/>
        <w:snapToGrid w:val="0"/>
        <w:spacing w:after="0" w:line="240" w:lineRule="auto"/>
        <w:ind w:firstLine="425"/>
        <w:rPr>
          <w:color w:val="000000" w:themeColor="text1"/>
          <w:sz w:val="20"/>
          <w:szCs w:val="28"/>
        </w:rPr>
      </w:pPr>
      <w:r w:rsidRPr="00490B2A">
        <w:rPr>
          <w:color w:val="000000" w:themeColor="text1"/>
          <w:sz w:val="20"/>
          <w:szCs w:val="28"/>
        </w:rPr>
        <w:t>Vulnerability assessment is a multi-dimensional concept that helps to identify those factors and characteristics of individuals or communities that enable them to respond and recover from natural disasters.</w:t>
      </w:r>
      <w:r w:rsidR="00700A18" w:rsidRPr="00490B2A">
        <w:rPr>
          <w:color w:val="000000" w:themeColor="text1"/>
          <w:sz w:val="20"/>
          <w:szCs w:val="28"/>
        </w:rPr>
        <w:t xml:space="preserve"> </w:t>
      </w:r>
    </w:p>
    <w:p w:rsidR="00AC1CFF" w:rsidRPr="00490B2A" w:rsidRDefault="00AC1CFF" w:rsidP="00490B2A">
      <w:pPr>
        <w:widowControl w:val="0"/>
        <w:shd w:val="clear" w:color="auto" w:fill="FFFFFF" w:themeFill="background1"/>
        <w:autoSpaceDE w:val="0"/>
        <w:autoSpaceDN w:val="0"/>
        <w:adjustRightInd w:val="0"/>
        <w:snapToGrid w:val="0"/>
        <w:spacing w:after="0" w:line="240" w:lineRule="auto"/>
        <w:ind w:firstLine="425"/>
        <w:rPr>
          <w:color w:val="000000" w:themeColor="text1"/>
          <w:sz w:val="20"/>
          <w:szCs w:val="28"/>
        </w:rPr>
      </w:pPr>
      <w:r w:rsidRPr="00490B2A">
        <w:rPr>
          <w:color w:val="000000" w:themeColor="text1"/>
          <w:sz w:val="20"/>
          <w:szCs w:val="28"/>
        </w:rPr>
        <w:t>This article has attempted to analyze vulnerability based on previous studies focusing on natural disasters and risk, with a detailed assessment technique assigning weights to various components depends on their significance.</w:t>
      </w:r>
    </w:p>
    <w:p w:rsidR="00AC1CFF" w:rsidRPr="00490B2A" w:rsidRDefault="00AC1CFF" w:rsidP="00490B2A">
      <w:pPr>
        <w:widowControl w:val="0"/>
        <w:autoSpaceDE w:val="0"/>
        <w:autoSpaceDN w:val="0"/>
        <w:adjustRightInd w:val="0"/>
        <w:snapToGrid w:val="0"/>
        <w:spacing w:after="0" w:line="240" w:lineRule="auto"/>
        <w:ind w:firstLine="425"/>
        <w:rPr>
          <w:color w:val="000000" w:themeColor="text1"/>
          <w:sz w:val="20"/>
          <w:szCs w:val="28"/>
        </w:rPr>
      </w:pPr>
      <w:r w:rsidRPr="00490B2A">
        <w:rPr>
          <w:color w:val="000000" w:themeColor="text1"/>
          <w:sz w:val="20"/>
          <w:szCs w:val="28"/>
        </w:rPr>
        <w:t>In general</w:t>
      </w:r>
      <w:r w:rsidR="00671B77" w:rsidRPr="00490B2A">
        <w:rPr>
          <w:color w:val="000000" w:themeColor="text1"/>
          <w:sz w:val="20"/>
          <w:szCs w:val="28"/>
        </w:rPr>
        <w:t>,</w:t>
      </w:r>
      <w:r w:rsidRPr="00490B2A">
        <w:rPr>
          <w:color w:val="000000" w:themeColor="text1"/>
          <w:sz w:val="20"/>
          <w:szCs w:val="28"/>
        </w:rPr>
        <w:t xml:space="preserve"> the composite community vulnerability index identifies the overall image of the community exposures, based on socioeconomic data gathered during field observation and questionnaire survey about various components of community vulnerability of the study area. The study identified different indicators of the vulnerability such as illiteracy rate, population below 15 years of age, people unemployment rate, people below poverty line and housing locations and their structures </w:t>
      </w:r>
      <w:r w:rsidR="00671B77" w:rsidRPr="00490B2A">
        <w:rPr>
          <w:color w:val="000000" w:themeColor="text1"/>
          <w:sz w:val="20"/>
          <w:szCs w:val="28"/>
        </w:rPr>
        <w:t>that</w:t>
      </w:r>
      <w:r w:rsidRPr="00490B2A">
        <w:rPr>
          <w:color w:val="000000" w:themeColor="text1"/>
          <w:sz w:val="20"/>
          <w:szCs w:val="28"/>
        </w:rPr>
        <w:t xml:space="preserve"> attract the overall community towards vulnerability.</w:t>
      </w:r>
      <w:r w:rsidR="00700A18" w:rsidRPr="00490B2A">
        <w:rPr>
          <w:color w:val="000000" w:themeColor="text1"/>
          <w:sz w:val="20"/>
          <w:szCs w:val="28"/>
        </w:rPr>
        <w:t xml:space="preserve"> </w:t>
      </w:r>
    </w:p>
    <w:p w:rsidR="00AC1CFF" w:rsidRPr="00490B2A" w:rsidRDefault="00AC1CFF" w:rsidP="00490B2A">
      <w:pPr>
        <w:widowControl w:val="0"/>
        <w:autoSpaceDE w:val="0"/>
        <w:autoSpaceDN w:val="0"/>
        <w:adjustRightInd w:val="0"/>
        <w:snapToGrid w:val="0"/>
        <w:spacing w:after="0" w:line="240" w:lineRule="auto"/>
        <w:ind w:firstLine="425"/>
        <w:rPr>
          <w:color w:val="000000" w:themeColor="text1"/>
          <w:sz w:val="20"/>
          <w:szCs w:val="28"/>
        </w:rPr>
      </w:pPr>
      <w:r w:rsidRPr="00490B2A">
        <w:rPr>
          <w:color w:val="000000" w:themeColor="text1"/>
          <w:sz w:val="20"/>
          <w:szCs w:val="28"/>
        </w:rPr>
        <w:t>The study recommend</w:t>
      </w:r>
      <w:r w:rsidR="00671B77" w:rsidRPr="00490B2A">
        <w:rPr>
          <w:color w:val="000000" w:themeColor="text1"/>
          <w:sz w:val="20"/>
          <w:szCs w:val="28"/>
        </w:rPr>
        <w:t>s the necessary improvements in</w:t>
      </w:r>
      <w:r w:rsidRPr="00490B2A">
        <w:rPr>
          <w:color w:val="000000" w:themeColor="text1"/>
          <w:sz w:val="20"/>
          <w:szCs w:val="28"/>
        </w:rPr>
        <w:t xml:space="preserve"> institutional, economical social and physical components by rising the preparedness and awareness of community about flooding situation and their housing structures. Implementing of risk lessening measures </w:t>
      </w:r>
      <w:r w:rsidR="00B81063" w:rsidRPr="00490B2A">
        <w:rPr>
          <w:color w:val="000000" w:themeColor="text1"/>
          <w:sz w:val="20"/>
          <w:szCs w:val="28"/>
        </w:rPr>
        <w:t xml:space="preserve">in building infrastructures </w:t>
      </w:r>
      <w:r w:rsidRPr="00490B2A">
        <w:rPr>
          <w:color w:val="000000" w:themeColor="text1"/>
          <w:sz w:val="20"/>
          <w:szCs w:val="28"/>
        </w:rPr>
        <w:t xml:space="preserve">and carry out essential </w:t>
      </w:r>
      <w:r w:rsidR="00B81063" w:rsidRPr="00490B2A">
        <w:rPr>
          <w:color w:val="000000" w:themeColor="text1"/>
          <w:sz w:val="20"/>
          <w:szCs w:val="28"/>
        </w:rPr>
        <w:t>socio-economic</w:t>
      </w:r>
      <w:r w:rsidRPr="00490B2A">
        <w:rPr>
          <w:color w:val="000000" w:themeColor="text1"/>
          <w:sz w:val="20"/>
          <w:szCs w:val="28"/>
        </w:rPr>
        <w:t xml:space="preserve"> activities</w:t>
      </w:r>
      <w:r w:rsidR="00561AE2" w:rsidRPr="00490B2A">
        <w:rPr>
          <w:color w:val="000000" w:themeColor="text1"/>
          <w:sz w:val="20"/>
          <w:szCs w:val="28"/>
        </w:rPr>
        <w:t xml:space="preserve"> (education, </w:t>
      </w:r>
      <w:r w:rsidR="00B81063" w:rsidRPr="00490B2A">
        <w:rPr>
          <w:color w:val="000000" w:themeColor="text1"/>
          <w:sz w:val="20"/>
          <w:szCs w:val="28"/>
        </w:rPr>
        <w:t>health, and community trust)</w:t>
      </w:r>
      <w:r w:rsidRPr="00490B2A">
        <w:rPr>
          <w:color w:val="000000" w:themeColor="text1"/>
          <w:sz w:val="20"/>
          <w:szCs w:val="28"/>
        </w:rPr>
        <w:t xml:space="preserve"> is extremely fundamental to lessen the overall vulnerabilities of the study area prone to natural hazards. </w:t>
      </w:r>
      <w:r w:rsidR="00561AE2" w:rsidRPr="00490B2A">
        <w:rPr>
          <w:color w:val="000000" w:themeColor="text1"/>
          <w:sz w:val="20"/>
          <w:szCs w:val="28"/>
        </w:rPr>
        <w:t>Additionally it is important, to highlight the multiple source of income activities to decrease poverty that will reduce the people vulnerability to a better extent in the long run.</w:t>
      </w:r>
    </w:p>
    <w:p w:rsidR="00AC1CFF" w:rsidRPr="00490B2A" w:rsidRDefault="00AC1CFF" w:rsidP="00490B2A">
      <w:pPr>
        <w:snapToGrid w:val="0"/>
        <w:spacing w:after="0" w:line="240" w:lineRule="auto"/>
        <w:rPr>
          <w:b/>
          <w:color w:val="000000" w:themeColor="text1"/>
          <w:sz w:val="20"/>
          <w:szCs w:val="28"/>
        </w:rPr>
      </w:pPr>
    </w:p>
    <w:p w:rsidR="00256F5A" w:rsidRPr="00490B2A" w:rsidRDefault="00256F5A" w:rsidP="00490B2A">
      <w:pPr>
        <w:snapToGrid w:val="0"/>
        <w:spacing w:after="0" w:line="240" w:lineRule="auto"/>
        <w:rPr>
          <w:b/>
          <w:color w:val="000000" w:themeColor="text1"/>
          <w:sz w:val="20"/>
        </w:rPr>
      </w:pPr>
      <w:r w:rsidRPr="00490B2A">
        <w:rPr>
          <w:b/>
          <w:color w:val="000000" w:themeColor="text1"/>
          <w:sz w:val="20"/>
        </w:rPr>
        <w:t>Availability of Data and Materials</w:t>
      </w:r>
    </w:p>
    <w:p w:rsidR="00256F5A" w:rsidRPr="00490B2A" w:rsidRDefault="00256F5A" w:rsidP="00490B2A">
      <w:pPr>
        <w:snapToGrid w:val="0"/>
        <w:spacing w:after="0" w:line="240" w:lineRule="auto"/>
        <w:ind w:firstLine="425"/>
        <w:rPr>
          <w:color w:val="333333"/>
          <w:sz w:val="20"/>
          <w:shd w:val="clear" w:color="auto" w:fill="FCFCFC"/>
        </w:rPr>
      </w:pPr>
      <w:r w:rsidRPr="00490B2A">
        <w:rPr>
          <w:color w:val="333333"/>
          <w:sz w:val="20"/>
          <w:shd w:val="clear" w:color="auto" w:fill="FCFCFC"/>
        </w:rPr>
        <w:t xml:space="preserve">Data will not be shared because the data is collected as a primary data from community. </w:t>
      </w:r>
    </w:p>
    <w:p w:rsidR="00490B2A" w:rsidRDefault="00490B2A" w:rsidP="00490B2A">
      <w:pPr>
        <w:shd w:val="clear" w:color="auto" w:fill="FFFFFF"/>
        <w:snapToGrid w:val="0"/>
        <w:spacing w:after="0" w:line="240" w:lineRule="auto"/>
        <w:rPr>
          <w:rFonts w:eastAsiaTheme="minorEastAsia"/>
          <w:b/>
          <w:color w:val="222222"/>
          <w:sz w:val="20"/>
          <w:lang w:eastAsia="zh-CN"/>
        </w:rPr>
      </w:pPr>
    </w:p>
    <w:p w:rsidR="00256F5A" w:rsidRPr="00490B2A" w:rsidRDefault="00256F5A" w:rsidP="00490B2A">
      <w:pPr>
        <w:shd w:val="clear" w:color="auto" w:fill="FFFFFF"/>
        <w:snapToGrid w:val="0"/>
        <w:spacing w:after="0" w:line="240" w:lineRule="auto"/>
        <w:rPr>
          <w:rFonts w:eastAsia="Times New Roman"/>
          <w:b/>
          <w:color w:val="222222"/>
          <w:sz w:val="20"/>
        </w:rPr>
      </w:pPr>
      <w:r w:rsidRPr="00490B2A">
        <w:rPr>
          <w:rFonts w:eastAsia="Times New Roman"/>
          <w:b/>
          <w:color w:val="222222"/>
          <w:sz w:val="20"/>
        </w:rPr>
        <w:t>Competing interests</w:t>
      </w:r>
    </w:p>
    <w:p w:rsidR="00256F5A" w:rsidRPr="00490B2A" w:rsidRDefault="00256F5A" w:rsidP="00490B2A">
      <w:pPr>
        <w:shd w:val="clear" w:color="auto" w:fill="FFFFFF"/>
        <w:snapToGrid w:val="0"/>
        <w:spacing w:after="0" w:line="240" w:lineRule="auto"/>
        <w:ind w:firstLine="425"/>
        <w:rPr>
          <w:rFonts w:eastAsia="Times New Roman"/>
          <w:color w:val="222222"/>
          <w:sz w:val="20"/>
        </w:rPr>
      </w:pPr>
      <w:r w:rsidRPr="00490B2A">
        <w:rPr>
          <w:rFonts w:eastAsia="Times New Roman"/>
          <w:color w:val="222222"/>
          <w:sz w:val="20"/>
        </w:rPr>
        <w:t xml:space="preserve">There is no competing interest of authors </w:t>
      </w:r>
    </w:p>
    <w:p w:rsidR="00490B2A" w:rsidRDefault="00490B2A" w:rsidP="00490B2A">
      <w:pPr>
        <w:shd w:val="clear" w:color="auto" w:fill="FFFFFF"/>
        <w:snapToGrid w:val="0"/>
        <w:spacing w:after="0" w:line="240" w:lineRule="auto"/>
        <w:rPr>
          <w:rFonts w:eastAsiaTheme="minorEastAsia"/>
          <w:b/>
          <w:color w:val="222222"/>
          <w:sz w:val="20"/>
          <w:lang w:eastAsia="zh-CN"/>
        </w:rPr>
      </w:pPr>
    </w:p>
    <w:p w:rsidR="00256F5A" w:rsidRPr="00490B2A" w:rsidRDefault="00256F5A" w:rsidP="00490B2A">
      <w:pPr>
        <w:shd w:val="clear" w:color="auto" w:fill="FFFFFF"/>
        <w:snapToGrid w:val="0"/>
        <w:spacing w:after="0" w:line="240" w:lineRule="auto"/>
        <w:rPr>
          <w:rFonts w:eastAsia="Times New Roman"/>
          <w:b/>
          <w:color w:val="222222"/>
          <w:sz w:val="20"/>
        </w:rPr>
      </w:pPr>
      <w:r w:rsidRPr="00490B2A">
        <w:rPr>
          <w:rFonts w:eastAsia="Times New Roman"/>
          <w:b/>
          <w:color w:val="222222"/>
          <w:sz w:val="20"/>
        </w:rPr>
        <w:t>Funding</w:t>
      </w:r>
    </w:p>
    <w:p w:rsidR="00256F5A" w:rsidRPr="00490B2A" w:rsidRDefault="00256F5A" w:rsidP="00490B2A">
      <w:pPr>
        <w:shd w:val="clear" w:color="auto" w:fill="FFFFFF"/>
        <w:snapToGrid w:val="0"/>
        <w:spacing w:after="0" w:line="240" w:lineRule="auto"/>
        <w:ind w:firstLine="425"/>
        <w:rPr>
          <w:rFonts w:eastAsia="Times New Roman"/>
          <w:color w:val="222222"/>
          <w:sz w:val="20"/>
        </w:rPr>
      </w:pPr>
      <w:r w:rsidRPr="00490B2A">
        <w:rPr>
          <w:rFonts w:eastAsia="Times New Roman"/>
          <w:color w:val="222222"/>
          <w:sz w:val="20"/>
        </w:rPr>
        <w:t xml:space="preserve">Not Available </w:t>
      </w:r>
    </w:p>
    <w:p w:rsidR="00490B2A" w:rsidRDefault="00490B2A" w:rsidP="00490B2A">
      <w:pPr>
        <w:shd w:val="clear" w:color="auto" w:fill="FFFFFF"/>
        <w:snapToGrid w:val="0"/>
        <w:spacing w:after="0" w:line="240" w:lineRule="auto"/>
        <w:rPr>
          <w:rFonts w:eastAsiaTheme="minorEastAsia"/>
          <w:b/>
          <w:color w:val="222222"/>
          <w:sz w:val="20"/>
          <w:lang w:eastAsia="zh-CN"/>
        </w:rPr>
      </w:pPr>
    </w:p>
    <w:p w:rsidR="00256F5A" w:rsidRPr="00490B2A" w:rsidRDefault="00256F5A" w:rsidP="00490B2A">
      <w:pPr>
        <w:shd w:val="clear" w:color="auto" w:fill="FFFFFF"/>
        <w:snapToGrid w:val="0"/>
        <w:spacing w:after="0" w:line="240" w:lineRule="auto"/>
        <w:rPr>
          <w:rFonts w:eastAsia="Times New Roman"/>
          <w:b/>
          <w:color w:val="222222"/>
          <w:sz w:val="20"/>
        </w:rPr>
      </w:pPr>
      <w:r w:rsidRPr="00490B2A">
        <w:rPr>
          <w:rFonts w:eastAsia="Times New Roman"/>
          <w:b/>
          <w:color w:val="222222"/>
          <w:sz w:val="20"/>
        </w:rPr>
        <w:t xml:space="preserve">Authors Contribution </w:t>
      </w:r>
    </w:p>
    <w:p w:rsidR="00256F5A" w:rsidRPr="00490B2A" w:rsidRDefault="00256F5A" w:rsidP="00490B2A">
      <w:pPr>
        <w:shd w:val="clear" w:color="auto" w:fill="FFFFFF"/>
        <w:snapToGrid w:val="0"/>
        <w:spacing w:after="0" w:line="240" w:lineRule="auto"/>
        <w:ind w:firstLine="425"/>
        <w:rPr>
          <w:rFonts w:eastAsia="Times New Roman"/>
          <w:color w:val="222222"/>
          <w:sz w:val="20"/>
        </w:rPr>
      </w:pPr>
      <w:r w:rsidRPr="00490B2A">
        <w:rPr>
          <w:rFonts w:eastAsia="Times New Roman"/>
          <w:color w:val="222222"/>
          <w:sz w:val="20"/>
        </w:rPr>
        <w:t xml:space="preserve">Mr jamal-ud-din contributed as a corresponding author, rest of the authors have contributed as a supervisor, co-supervisor and as classmates. </w:t>
      </w:r>
    </w:p>
    <w:p w:rsidR="00490B2A" w:rsidRDefault="00490B2A" w:rsidP="00490B2A">
      <w:pPr>
        <w:shd w:val="clear" w:color="auto" w:fill="FFFFFF"/>
        <w:snapToGrid w:val="0"/>
        <w:spacing w:after="0" w:line="240" w:lineRule="auto"/>
        <w:rPr>
          <w:rFonts w:eastAsiaTheme="minorEastAsia"/>
          <w:b/>
          <w:color w:val="222222"/>
          <w:sz w:val="20"/>
          <w:lang w:eastAsia="zh-CN"/>
        </w:rPr>
      </w:pPr>
    </w:p>
    <w:p w:rsidR="00256F5A" w:rsidRPr="00490B2A" w:rsidRDefault="00256F5A" w:rsidP="00490B2A">
      <w:pPr>
        <w:shd w:val="clear" w:color="auto" w:fill="FFFFFF"/>
        <w:snapToGrid w:val="0"/>
        <w:spacing w:after="0" w:line="240" w:lineRule="auto"/>
        <w:rPr>
          <w:b/>
          <w:color w:val="000000" w:themeColor="text1"/>
          <w:sz w:val="20"/>
        </w:rPr>
      </w:pPr>
      <w:r w:rsidRPr="00490B2A">
        <w:rPr>
          <w:rFonts w:eastAsia="Times New Roman"/>
          <w:b/>
          <w:color w:val="222222"/>
          <w:sz w:val="20"/>
        </w:rPr>
        <w:t>Acknowledgement</w:t>
      </w:r>
    </w:p>
    <w:p w:rsidR="00256F5A" w:rsidRPr="00490B2A" w:rsidRDefault="00256F5A" w:rsidP="00490B2A">
      <w:pPr>
        <w:shd w:val="clear" w:color="auto" w:fill="FFFFFF"/>
        <w:snapToGrid w:val="0"/>
        <w:spacing w:after="0" w:line="240" w:lineRule="auto"/>
        <w:ind w:firstLine="425"/>
        <w:rPr>
          <w:color w:val="000000" w:themeColor="text1"/>
          <w:sz w:val="20"/>
        </w:rPr>
      </w:pPr>
      <w:r w:rsidRPr="00490B2A">
        <w:rPr>
          <w:sz w:val="20"/>
        </w:rPr>
        <w:t xml:space="preserve">I take this opportunity to express my profound gratitude and deep regards to my guide Dr. Syed Ainuddin for his exemplary guidance, monitoring and constant encouragement throughout the completion of this paper. Thanks are also extended to co-authors that they have contributed properly. </w:t>
      </w:r>
    </w:p>
    <w:p w:rsidR="00AC1CFF" w:rsidRPr="00490B2A" w:rsidRDefault="00AC1CFF" w:rsidP="00490B2A">
      <w:pPr>
        <w:snapToGrid w:val="0"/>
        <w:spacing w:after="0" w:line="240" w:lineRule="auto"/>
        <w:rPr>
          <w:b/>
          <w:color w:val="000000" w:themeColor="text1"/>
          <w:sz w:val="20"/>
          <w:szCs w:val="28"/>
        </w:rPr>
      </w:pPr>
    </w:p>
    <w:p w:rsidR="00AC1CFF" w:rsidRPr="00490B2A" w:rsidRDefault="00AC1CFF" w:rsidP="00490B2A">
      <w:pPr>
        <w:widowControl w:val="0"/>
        <w:autoSpaceDE w:val="0"/>
        <w:autoSpaceDN w:val="0"/>
        <w:adjustRightInd w:val="0"/>
        <w:snapToGrid w:val="0"/>
        <w:spacing w:after="0" w:line="240" w:lineRule="auto"/>
        <w:rPr>
          <w:b/>
          <w:color w:val="000000" w:themeColor="text1"/>
          <w:sz w:val="20"/>
          <w:szCs w:val="28"/>
        </w:rPr>
      </w:pPr>
      <w:r w:rsidRPr="00490B2A">
        <w:rPr>
          <w:b/>
          <w:color w:val="000000" w:themeColor="text1"/>
          <w:sz w:val="20"/>
          <w:szCs w:val="28"/>
        </w:rPr>
        <w:t xml:space="preserve">References </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Adger,</w:t>
      </w:r>
      <w:r w:rsidR="00700A18" w:rsidRPr="00490B2A">
        <w:rPr>
          <w:noProof/>
          <w:color w:val="000000" w:themeColor="text1"/>
          <w:sz w:val="20"/>
          <w:szCs w:val="28"/>
        </w:rPr>
        <w:t xml:space="preserve"> </w:t>
      </w:r>
      <w:r w:rsidRPr="00490B2A">
        <w:rPr>
          <w:noProof/>
          <w:color w:val="000000" w:themeColor="text1"/>
          <w:sz w:val="20"/>
          <w:szCs w:val="28"/>
        </w:rPr>
        <w:t>W.</w:t>
      </w:r>
      <w:r w:rsidR="00700A18" w:rsidRPr="00490B2A">
        <w:rPr>
          <w:noProof/>
          <w:color w:val="000000" w:themeColor="text1"/>
          <w:sz w:val="20"/>
          <w:szCs w:val="28"/>
        </w:rPr>
        <w:t xml:space="preserve"> </w:t>
      </w:r>
      <w:r w:rsidRPr="00490B2A">
        <w:rPr>
          <w:noProof/>
          <w:color w:val="000000" w:themeColor="text1"/>
          <w:sz w:val="20"/>
          <w:szCs w:val="28"/>
        </w:rPr>
        <w:t>N.</w:t>
      </w:r>
      <w:r w:rsidR="00700A18" w:rsidRPr="00490B2A">
        <w:rPr>
          <w:noProof/>
          <w:color w:val="000000" w:themeColor="text1"/>
          <w:sz w:val="20"/>
          <w:szCs w:val="28"/>
        </w:rPr>
        <w:t xml:space="preserve"> </w:t>
      </w:r>
      <w:r w:rsidRPr="00490B2A">
        <w:rPr>
          <w:noProof/>
          <w:color w:val="000000" w:themeColor="text1"/>
          <w:sz w:val="20"/>
          <w:szCs w:val="28"/>
        </w:rPr>
        <w:t>(2000).</w:t>
      </w:r>
      <w:r w:rsidR="00700A18" w:rsidRPr="00490B2A">
        <w:rPr>
          <w:noProof/>
          <w:color w:val="000000" w:themeColor="text1"/>
          <w:sz w:val="20"/>
          <w:szCs w:val="28"/>
        </w:rPr>
        <w:t xml:space="preserve"> </w:t>
      </w:r>
      <w:r w:rsidRPr="00490B2A">
        <w:rPr>
          <w:noProof/>
          <w:color w:val="000000" w:themeColor="text1"/>
          <w:sz w:val="20"/>
          <w:szCs w:val="28"/>
        </w:rPr>
        <w:t>Social</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ecological</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Are</w:t>
      </w:r>
      <w:r w:rsidR="00700A18" w:rsidRPr="00490B2A">
        <w:rPr>
          <w:noProof/>
          <w:color w:val="000000" w:themeColor="text1"/>
          <w:sz w:val="20"/>
          <w:szCs w:val="28"/>
        </w:rPr>
        <w:t xml:space="preserve"> </w:t>
      </w:r>
      <w:r w:rsidRPr="00490B2A">
        <w:rPr>
          <w:noProof/>
          <w:color w:val="000000" w:themeColor="text1"/>
          <w:sz w:val="20"/>
          <w:szCs w:val="28"/>
        </w:rPr>
        <w:t>they</w:t>
      </w:r>
      <w:r w:rsidR="00700A18" w:rsidRPr="00490B2A">
        <w:rPr>
          <w:noProof/>
          <w:color w:val="000000" w:themeColor="text1"/>
          <w:sz w:val="20"/>
          <w:szCs w:val="28"/>
        </w:rPr>
        <w:t xml:space="preserve"> </w:t>
      </w:r>
      <w:r w:rsidRPr="00490B2A">
        <w:rPr>
          <w:noProof/>
          <w:color w:val="000000" w:themeColor="text1"/>
          <w:sz w:val="20"/>
          <w:szCs w:val="28"/>
        </w:rPr>
        <w:t>related?</w:t>
      </w:r>
      <w:r w:rsidR="00700A18" w:rsidRPr="00490B2A">
        <w:rPr>
          <w:noProof/>
          <w:color w:val="000000" w:themeColor="text1"/>
          <w:sz w:val="20"/>
          <w:szCs w:val="28"/>
        </w:rPr>
        <w:t xml:space="preserve"> </w:t>
      </w:r>
      <w:r w:rsidRPr="00490B2A">
        <w:rPr>
          <w:i/>
          <w:iCs/>
          <w:noProof/>
          <w:color w:val="000000" w:themeColor="text1"/>
          <w:sz w:val="20"/>
          <w:szCs w:val="28"/>
        </w:rPr>
        <w:t>Progress</w:t>
      </w:r>
      <w:r w:rsidR="00700A18" w:rsidRPr="00490B2A">
        <w:rPr>
          <w:i/>
          <w:iCs/>
          <w:noProof/>
          <w:color w:val="000000" w:themeColor="text1"/>
          <w:sz w:val="20"/>
          <w:szCs w:val="28"/>
        </w:rPr>
        <w:t xml:space="preserve"> </w:t>
      </w:r>
      <w:r w:rsidRPr="00490B2A">
        <w:rPr>
          <w:i/>
          <w:iCs/>
          <w:noProof/>
          <w:color w:val="000000" w:themeColor="text1"/>
          <w:sz w:val="20"/>
          <w:szCs w:val="28"/>
        </w:rPr>
        <w:t>in</w:t>
      </w:r>
      <w:r w:rsidR="00700A18" w:rsidRPr="00490B2A">
        <w:rPr>
          <w:i/>
          <w:iCs/>
          <w:noProof/>
          <w:color w:val="000000" w:themeColor="text1"/>
          <w:sz w:val="20"/>
          <w:szCs w:val="28"/>
        </w:rPr>
        <w:t xml:space="preserve"> </w:t>
      </w:r>
      <w:r w:rsidRPr="00490B2A">
        <w:rPr>
          <w:i/>
          <w:iCs/>
          <w:noProof/>
          <w:color w:val="000000" w:themeColor="text1"/>
          <w:sz w:val="20"/>
          <w:szCs w:val="28"/>
        </w:rPr>
        <w:t>Human</w:t>
      </w:r>
      <w:r w:rsidR="00700A18" w:rsidRPr="00490B2A">
        <w:rPr>
          <w:i/>
          <w:iCs/>
          <w:noProof/>
          <w:color w:val="000000" w:themeColor="text1"/>
          <w:sz w:val="20"/>
          <w:szCs w:val="28"/>
        </w:rPr>
        <w:t xml:space="preserve"> </w:t>
      </w:r>
      <w:r w:rsidRPr="00490B2A">
        <w:rPr>
          <w:i/>
          <w:iCs/>
          <w:noProof/>
          <w:color w:val="000000" w:themeColor="text1"/>
          <w:sz w:val="20"/>
          <w:szCs w:val="28"/>
        </w:rPr>
        <w:t>Geography</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24</w:t>
      </w:r>
      <w:r w:rsidRPr="00490B2A">
        <w:rPr>
          <w:noProof/>
          <w:color w:val="000000" w:themeColor="text1"/>
          <w:sz w:val="20"/>
          <w:szCs w:val="28"/>
        </w:rPr>
        <w:t>(3),</w:t>
      </w:r>
      <w:r w:rsidR="00700A18" w:rsidRPr="00490B2A">
        <w:rPr>
          <w:noProof/>
          <w:color w:val="000000" w:themeColor="text1"/>
          <w:sz w:val="20"/>
          <w:szCs w:val="28"/>
        </w:rPr>
        <w:t xml:space="preserve"> </w:t>
      </w:r>
      <w:r w:rsidRPr="00490B2A">
        <w:rPr>
          <w:noProof/>
          <w:color w:val="000000" w:themeColor="text1"/>
          <w:sz w:val="20"/>
          <w:szCs w:val="28"/>
        </w:rPr>
        <w:t>347–364.</w:t>
      </w:r>
      <w:r w:rsidR="00700A18" w:rsidRPr="00490B2A">
        <w:rPr>
          <w:noProof/>
          <w:color w:val="000000" w:themeColor="text1"/>
          <w:sz w:val="20"/>
          <w:szCs w:val="28"/>
        </w:rPr>
        <w:t xml:space="preserve"> </w:t>
      </w:r>
      <w:r w:rsidRPr="00490B2A">
        <w:rPr>
          <w:noProof/>
          <w:color w:val="000000" w:themeColor="text1"/>
          <w:sz w:val="20"/>
          <w:szCs w:val="28"/>
        </w:rPr>
        <w:t>https://doi.org/10.1191/030913200701540465</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Adger,</w:t>
      </w:r>
      <w:r w:rsidR="00700A18" w:rsidRPr="00490B2A">
        <w:rPr>
          <w:noProof/>
          <w:color w:val="000000" w:themeColor="text1"/>
          <w:sz w:val="20"/>
          <w:szCs w:val="28"/>
        </w:rPr>
        <w:t xml:space="preserve"> </w:t>
      </w:r>
      <w:r w:rsidRPr="00490B2A">
        <w:rPr>
          <w:noProof/>
          <w:color w:val="000000" w:themeColor="text1"/>
          <w:sz w:val="20"/>
          <w:szCs w:val="28"/>
        </w:rPr>
        <w:t>W.</w:t>
      </w:r>
      <w:r w:rsidR="00700A18" w:rsidRPr="00490B2A">
        <w:rPr>
          <w:noProof/>
          <w:color w:val="000000" w:themeColor="text1"/>
          <w:sz w:val="20"/>
          <w:szCs w:val="28"/>
        </w:rPr>
        <w:t xml:space="preserve"> </w:t>
      </w:r>
      <w:r w:rsidRPr="00490B2A">
        <w:rPr>
          <w:noProof/>
          <w:color w:val="000000" w:themeColor="text1"/>
          <w:sz w:val="20"/>
          <w:szCs w:val="28"/>
        </w:rPr>
        <w:t>N.</w:t>
      </w:r>
      <w:r w:rsidR="00700A18" w:rsidRPr="00490B2A">
        <w:rPr>
          <w:noProof/>
          <w:color w:val="000000" w:themeColor="text1"/>
          <w:sz w:val="20"/>
          <w:szCs w:val="28"/>
        </w:rPr>
        <w:t xml:space="preserve"> </w:t>
      </w:r>
      <w:r w:rsidRPr="00490B2A">
        <w:rPr>
          <w:noProof/>
          <w:color w:val="000000" w:themeColor="text1"/>
          <w:sz w:val="20"/>
          <w:szCs w:val="28"/>
        </w:rPr>
        <w:t>(2006).</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i/>
          <w:iCs/>
          <w:noProof/>
          <w:color w:val="000000" w:themeColor="text1"/>
          <w:sz w:val="20"/>
          <w:szCs w:val="28"/>
        </w:rPr>
        <w:t>Global</w:t>
      </w:r>
      <w:r w:rsidR="00700A18" w:rsidRPr="00490B2A">
        <w:rPr>
          <w:i/>
          <w:iCs/>
          <w:noProof/>
          <w:color w:val="000000" w:themeColor="text1"/>
          <w:sz w:val="20"/>
          <w:szCs w:val="28"/>
        </w:rPr>
        <w:t xml:space="preserve"> </w:t>
      </w:r>
      <w:r w:rsidRPr="00490B2A">
        <w:rPr>
          <w:i/>
          <w:iCs/>
          <w:noProof/>
          <w:color w:val="000000" w:themeColor="text1"/>
          <w:sz w:val="20"/>
          <w:szCs w:val="28"/>
        </w:rPr>
        <w:t>Environmental</w:t>
      </w:r>
      <w:r w:rsidR="00700A18" w:rsidRPr="00490B2A">
        <w:rPr>
          <w:i/>
          <w:iCs/>
          <w:noProof/>
          <w:color w:val="000000" w:themeColor="text1"/>
          <w:sz w:val="20"/>
          <w:szCs w:val="28"/>
        </w:rPr>
        <w:t xml:space="preserve"> </w:t>
      </w:r>
      <w:r w:rsidRPr="00490B2A">
        <w:rPr>
          <w:i/>
          <w:iCs/>
          <w:noProof/>
          <w:color w:val="000000" w:themeColor="text1"/>
          <w:sz w:val="20"/>
          <w:szCs w:val="28"/>
        </w:rPr>
        <w:t>Change</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16</w:t>
      </w:r>
      <w:r w:rsidRPr="00490B2A">
        <w:rPr>
          <w:noProof/>
          <w:color w:val="000000" w:themeColor="text1"/>
          <w:sz w:val="20"/>
          <w:szCs w:val="28"/>
        </w:rPr>
        <w:t>(3),</w:t>
      </w:r>
      <w:r w:rsidR="00700A18" w:rsidRPr="00490B2A">
        <w:rPr>
          <w:noProof/>
          <w:color w:val="000000" w:themeColor="text1"/>
          <w:sz w:val="20"/>
          <w:szCs w:val="28"/>
        </w:rPr>
        <w:t xml:space="preserve"> </w:t>
      </w:r>
      <w:r w:rsidRPr="00490B2A">
        <w:rPr>
          <w:noProof/>
          <w:color w:val="000000" w:themeColor="text1"/>
          <w:sz w:val="20"/>
          <w:szCs w:val="28"/>
        </w:rPr>
        <w:t>268–281.</w:t>
      </w:r>
      <w:r w:rsidR="00700A18" w:rsidRPr="00490B2A">
        <w:rPr>
          <w:noProof/>
          <w:color w:val="000000" w:themeColor="text1"/>
          <w:sz w:val="20"/>
          <w:szCs w:val="28"/>
        </w:rPr>
        <w:t xml:space="preserve"> </w:t>
      </w:r>
      <w:r w:rsidRPr="00490B2A">
        <w:rPr>
          <w:noProof/>
          <w:color w:val="000000" w:themeColor="text1"/>
          <w:sz w:val="20"/>
          <w:szCs w:val="28"/>
        </w:rPr>
        <w:t>https://doi.org/10.1016/j.gloenvcha.2006.02.006</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Ainuddin,</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&amp; </w:t>
      </w:r>
      <w:r w:rsidRPr="00490B2A">
        <w:rPr>
          <w:noProof/>
          <w:color w:val="000000" w:themeColor="text1"/>
          <w:sz w:val="20"/>
          <w:szCs w:val="28"/>
        </w:rPr>
        <w:t>Routray,</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(2012a).</w:t>
      </w:r>
      <w:r w:rsidR="00700A18" w:rsidRPr="00490B2A">
        <w:rPr>
          <w:noProof/>
          <w:color w:val="000000" w:themeColor="text1"/>
          <w:sz w:val="20"/>
          <w:szCs w:val="28"/>
        </w:rPr>
        <w:t xml:space="preserve"> </w:t>
      </w:r>
      <w:r w:rsidRPr="00490B2A">
        <w:rPr>
          <w:noProof/>
          <w:color w:val="000000" w:themeColor="text1"/>
          <w:sz w:val="20"/>
          <w:szCs w:val="28"/>
        </w:rPr>
        <w:t>Community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framework</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an</w:t>
      </w:r>
      <w:r w:rsidR="00700A18" w:rsidRPr="00490B2A">
        <w:rPr>
          <w:noProof/>
          <w:color w:val="000000" w:themeColor="text1"/>
          <w:sz w:val="20"/>
          <w:szCs w:val="28"/>
        </w:rPr>
        <w:t xml:space="preserve"> </w:t>
      </w:r>
      <w:r w:rsidRPr="00490B2A">
        <w:rPr>
          <w:noProof/>
          <w:color w:val="000000" w:themeColor="text1"/>
          <w:sz w:val="20"/>
          <w:szCs w:val="28"/>
        </w:rPr>
        <w:t>earthquake</w:t>
      </w:r>
      <w:r w:rsidR="00700A18" w:rsidRPr="00490B2A">
        <w:rPr>
          <w:noProof/>
          <w:color w:val="000000" w:themeColor="text1"/>
          <w:sz w:val="20"/>
          <w:szCs w:val="28"/>
        </w:rPr>
        <w:t xml:space="preserve"> </w:t>
      </w:r>
      <w:r w:rsidRPr="00490B2A">
        <w:rPr>
          <w:noProof/>
          <w:color w:val="000000" w:themeColor="text1"/>
          <w:sz w:val="20"/>
          <w:szCs w:val="28"/>
        </w:rPr>
        <w:t>prone</w:t>
      </w:r>
      <w:r w:rsidR="00700A18" w:rsidRPr="00490B2A">
        <w:rPr>
          <w:noProof/>
          <w:color w:val="000000" w:themeColor="text1"/>
          <w:sz w:val="20"/>
          <w:szCs w:val="28"/>
        </w:rPr>
        <w:t xml:space="preserve"> </w:t>
      </w:r>
      <w:r w:rsidRPr="00490B2A">
        <w:rPr>
          <w:noProof/>
          <w:color w:val="000000" w:themeColor="text1"/>
          <w:sz w:val="20"/>
          <w:szCs w:val="28"/>
        </w:rPr>
        <w:t>area</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Baluchistan.</w:t>
      </w:r>
      <w:r w:rsidR="00700A18" w:rsidRPr="00490B2A">
        <w:rPr>
          <w:noProof/>
          <w:color w:val="000000" w:themeColor="text1"/>
          <w:sz w:val="20"/>
          <w:szCs w:val="28"/>
        </w:rPr>
        <w:t xml:space="preserve"> </w:t>
      </w:r>
      <w:r w:rsidRPr="00490B2A">
        <w:rPr>
          <w:i/>
          <w:iCs/>
          <w:noProof/>
          <w:color w:val="000000" w:themeColor="text1"/>
          <w:sz w:val="20"/>
          <w:szCs w:val="28"/>
        </w:rPr>
        <w:t>International</w:t>
      </w:r>
      <w:r w:rsidR="00700A18" w:rsidRPr="00490B2A">
        <w:rPr>
          <w:i/>
          <w:iCs/>
          <w:noProof/>
          <w:color w:val="000000" w:themeColor="text1"/>
          <w:sz w:val="20"/>
          <w:szCs w:val="28"/>
        </w:rPr>
        <w:t xml:space="preserve"> </w:t>
      </w:r>
      <w:r w:rsidRPr="00490B2A">
        <w:rPr>
          <w:i/>
          <w:iCs/>
          <w:noProof/>
          <w:color w:val="000000" w:themeColor="text1"/>
          <w:sz w:val="20"/>
          <w:szCs w:val="28"/>
        </w:rPr>
        <w:t>Journal</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Disaster</w:t>
      </w:r>
      <w:r w:rsidR="00700A18" w:rsidRPr="00490B2A">
        <w:rPr>
          <w:i/>
          <w:iCs/>
          <w:noProof/>
          <w:color w:val="000000" w:themeColor="text1"/>
          <w:sz w:val="20"/>
          <w:szCs w:val="28"/>
        </w:rPr>
        <w:t xml:space="preserve"> </w:t>
      </w:r>
      <w:r w:rsidRPr="00490B2A">
        <w:rPr>
          <w:i/>
          <w:iCs/>
          <w:noProof/>
          <w:color w:val="000000" w:themeColor="text1"/>
          <w:sz w:val="20"/>
          <w:szCs w:val="28"/>
        </w:rPr>
        <w:t>Risk</w:t>
      </w:r>
      <w:r w:rsidR="00700A18" w:rsidRPr="00490B2A">
        <w:rPr>
          <w:i/>
          <w:iCs/>
          <w:noProof/>
          <w:color w:val="000000" w:themeColor="text1"/>
          <w:sz w:val="20"/>
          <w:szCs w:val="28"/>
        </w:rPr>
        <w:t xml:space="preserve"> </w:t>
      </w:r>
      <w:r w:rsidRPr="00490B2A">
        <w:rPr>
          <w:i/>
          <w:iCs/>
          <w:noProof/>
          <w:color w:val="000000" w:themeColor="text1"/>
          <w:sz w:val="20"/>
          <w:szCs w:val="28"/>
        </w:rPr>
        <w:t>Reduction</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2</w:t>
      </w:r>
      <w:r w:rsidRPr="00490B2A">
        <w:rPr>
          <w:noProof/>
          <w:color w:val="000000" w:themeColor="text1"/>
          <w:sz w:val="20"/>
          <w:szCs w:val="28"/>
        </w:rPr>
        <w:t>(1),</w:t>
      </w:r>
      <w:r w:rsidR="00700A18" w:rsidRPr="00490B2A">
        <w:rPr>
          <w:noProof/>
          <w:color w:val="000000" w:themeColor="text1"/>
          <w:sz w:val="20"/>
          <w:szCs w:val="28"/>
        </w:rPr>
        <w:t xml:space="preserve"> </w:t>
      </w:r>
      <w:r w:rsidRPr="00490B2A">
        <w:rPr>
          <w:noProof/>
          <w:color w:val="000000" w:themeColor="text1"/>
          <w:sz w:val="20"/>
          <w:szCs w:val="28"/>
        </w:rPr>
        <w:t>25–36.</w:t>
      </w:r>
      <w:r w:rsidR="00700A18" w:rsidRPr="00490B2A">
        <w:rPr>
          <w:noProof/>
          <w:color w:val="000000" w:themeColor="text1"/>
          <w:sz w:val="20"/>
          <w:szCs w:val="28"/>
        </w:rPr>
        <w:t xml:space="preserve"> </w:t>
      </w:r>
      <w:r w:rsidRPr="00490B2A">
        <w:rPr>
          <w:noProof/>
          <w:color w:val="000000" w:themeColor="text1"/>
          <w:sz w:val="20"/>
          <w:szCs w:val="28"/>
        </w:rPr>
        <w:t>https://doi.org/10.1016/j.ijdrr.2012.07.003</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Ainuddin,</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&amp; </w:t>
      </w:r>
      <w:r w:rsidRPr="00490B2A">
        <w:rPr>
          <w:noProof/>
          <w:color w:val="000000" w:themeColor="text1"/>
          <w:sz w:val="20"/>
          <w:szCs w:val="28"/>
        </w:rPr>
        <w:t>Routray,</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(2012b).</w:t>
      </w:r>
      <w:r w:rsidR="00700A18" w:rsidRPr="00490B2A">
        <w:rPr>
          <w:noProof/>
          <w:color w:val="000000" w:themeColor="text1"/>
          <w:sz w:val="20"/>
          <w:szCs w:val="28"/>
        </w:rPr>
        <w:t xml:space="preserve"> </w:t>
      </w:r>
      <w:r w:rsidRPr="00490B2A">
        <w:rPr>
          <w:noProof/>
          <w:color w:val="000000" w:themeColor="text1"/>
          <w:sz w:val="20"/>
          <w:szCs w:val="28"/>
        </w:rPr>
        <w:t>Earthquake</w:t>
      </w:r>
      <w:r w:rsidR="00700A18" w:rsidRPr="00490B2A">
        <w:rPr>
          <w:noProof/>
          <w:color w:val="000000" w:themeColor="text1"/>
          <w:sz w:val="20"/>
          <w:szCs w:val="28"/>
        </w:rPr>
        <w:t xml:space="preserve"> </w:t>
      </w:r>
      <w:r w:rsidRPr="00490B2A">
        <w:rPr>
          <w:noProof/>
          <w:color w:val="000000" w:themeColor="text1"/>
          <w:sz w:val="20"/>
          <w:szCs w:val="28"/>
        </w:rPr>
        <w:t>hazards</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community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Baluchistan.</w:t>
      </w:r>
      <w:r w:rsidR="00700A18" w:rsidRPr="00490B2A">
        <w:rPr>
          <w:noProof/>
          <w:color w:val="000000" w:themeColor="text1"/>
          <w:sz w:val="20"/>
          <w:szCs w:val="28"/>
        </w:rPr>
        <w:t xml:space="preserve"> </w:t>
      </w:r>
      <w:r w:rsidRPr="00490B2A">
        <w:rPr>
          <w:i/>
          <w:iCs/>
          <w:noProof/>
          <w:color w:val="000000" w:themeColor="text1"/>
          <w:sz w:val="20"/>
          <w:szCs w:val="28"/>
        </w:rPr>
        <w:t>Natural</w:t>
      </w:r>
      <w:r w:rsidR="00700A18" w:rsidRPr="00490B2A">
        <w:rPr>
          <w:i/>
          <w:iCs/>
          <w:noProof/>
          <w:color w:val="000000" w:themeColor="text1"/>
          <w:sz w:val="20"/>
          <w:szCs w:val="28"/>
        </w:rPr>
        <w:t xml:space="preserve"> </w:t>
      </w:r>
      <w:r w:rsidRPr="00490B2A">
        <w:rPr>
          <w:i/>
          <w:iCs/>
          <w:noProof/>
          <w:color w:val="000000" w:themeColor="text1"/>
          <w:sz w:val="20"/>
          <w:szCs w:val="28"/>
        </w:rPr>
        <w:t>Hazards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63</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909–937.</w:t>
      </w:r>
      <w:r w:rsidR="00700A18" w:rsidRPr="00490B2A">
        <w:rPr>
          <w:noProof/>
          <w:color w:val="000000" w:themeColor="text1"/>
          <w:sz w:val="20"/>
          <w:szCs w:val="28"/>
        </w:rPr>
        <w:t xml:space="preserve"> </w:t>
      </w:r>
      <w:r w:rsidRPr="00490B2A">
        <w:rPr>
          <w:noProof/>
          <w:color w:val="000000" w:themeColor="text1"/>
          <w:sz w:val="20"/>
          <w:szCs w:val="28"/>
        </w:rPr>
        <w:t>https://doi.org/10.1007/s11069-012-0201-x</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Ainuddin,</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&amp; </w:t>
      </w:r>
      <w:r w:rsidRPr="00490B2A">
        <w:rPr>
          <w:noProof/>
          <w:color w:val="000000" w:themeColor="text1"/>
          <w:sz w:val="20"/>
          <w:szCs w:val="28"/>
        </w:rPr>
        <w:t>Routray,</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(2012c).</w:t>
      </w:r>
      <w:r w:rsidR="00700A18" w:rsidRPr="00490B2A">
        <w:rPr>
          <w:noProof/>
          <w:color w:val="000000" w:themeColor="text1"/>
          <w:sz w:val="20"/>
          <w:szCs w:val="28"/>
        </w:rPr>
        <w:t xml:space="preserve"> </w:t>
      </w:r>
      <w:r w:rsidRPr="00490B2A">
        <w:rPr>
          <w:noProof/>
          <w:color w:val="000000" w:themeColor="text1"/>
          <w:sz w:val="20"/>
          <w:szCs w:val="28"/>
        </w:rPr>
        <w:t>Institutional</w:t>
      </w:r>
      <w:r w:rsidR="00700A18" w:rsidRPr="00490B2A">
        <w:rPr>
          <w:noProof/>
          <w:color w:val="000000" w:themeColor="text1"/>
          <w:sz w:val="20"/>
          <w:szCs w:val="28"/>
        </w:rPr>
        <w:t xml:space="preserve"> </w:t>
      </w:r>
      <w:r w:rsidRPr="00490B2A">
        <w:rPr>
          <w:noProof/>
          <w:color w:val="000000" w:themeColor="text1"/>
          <w:sz w:val="20"/>
          <w:szCs w:val="28"/>
        </w:rPr>
        <w:t>framework,</w:t>
      </w:r>
      <w:r w:rsidR="00700A18" w:rsidRPr="00490B2A">
        <w:rPr>
          <w:noProof/>
          <w:color w:val="000000" w:themeColor="text1"/>
          <w:sz w:val="20"/>
          <w:szCs w:val="28"/>
        </w:rPr>
        <w:t xml:space="preserve"> </w:t>
      </w:r>
      <w:r w:rsidRPr="00490B2A">
        <w:rPr>
          <w:noProof/>
          <w:color w:val="000000" w:themeColor="text1"/>
          <w:sz w:val="20"/>
          <w:szCs w:val="28"/>
        </w:rPr>
        <w:t>key</w:t>
      </w:r>
      <w:r w:rsidR="00700A18" w:rsidRPr="00490B2A">
        <w:rPr>
          <w:noProof/>
          <w:color w:val="000000" w:themeColor="text1"/>
          <w:sz w:val="20"/>
          <w:szCs w:val="28"/>
        </w:rPr>
        <w:t xml:space="preserve"> </w:t>
      </w:r>
      <w:r w:rsidRPr="00490B2A">
        <w:rPr>
          <w:noProof/>
          <w:color w:val="000000" w:themeColor="text1"/>
          <w:sz w:val="20"/>
          <w:szCs w:val="28"/>
        </w:rPr>
        <w:t>stakeholders</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community</w:t>
      </w:r>
      <w:r w:rsidR="00700A18" w:rsidRPr="00490B2A">
        <w:rPr>
          <w:noProof/>
          <w:color w:val="000000" w:themeColor="text1"/>
          <w:sz w:val="20"/>
          <w:szCs w:val="28"/>
        </w:rPr>
        <w:t xml:space="preserve"> </w:t>
      </w:r>
      <w:r w:rsidRPr="00490B2A">
        <w:rPr>
          <w:noProof/>
          <w:color w:val="000000" w:themeColor="text1"/>
          <w:sz w:val="20"/>
          <w:szCs w:val="28"/>
        </w:rPr>
        <w:t>preparedness</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earthquake</w:t>
      </w:r>
      <w:r w:rsidR="00700A18" w:rsidRPr="00490B2A">
        <w:rPr>
          <w:noProof/>
          <w:color w:val="000000" w:themeColor="text1"/>
          <w:sz w:val="20"/>
          <w:szCs w:val="28"/>
        </w:rPr>
        <w:t xml:space="preserve"> </w:t>
      </w:r>
      <w:r w:rsidRPr="00490B2A">
        <w:rPr>
          <w:noProof/>
          <w:color w:val="000000" w:themeColor="text1"/>
          <w:sz w:val="20"/>
          <w:szCs w:val="28"/>
        </w:rPr>
        <w:t>induced</w:t>
      </w:r>
      <w:r w:rsidR="00700A18" w:rsidRPr="00490B2A">
        <w:rPr>
          <w:noProof/>
          <w:color w:val="000000" w:themeColor="text1"/>
          <w:sz w:val="20"/>
          <w:szCs w:val="28"/>
        </w:rPr>
        <w:t xml:space="preserve"> </w:t>
      </w:r>
      <w:r w:rsidRPr="00490B2A">
        <w:rPr>
          <w:noProof/>
          <w:color w:val="000000" w:themeColor="text1"/>
          <w:sz w:val="20"/>
          <w:szCs w:val="28"/>
        </w:rPr>
        <w:t>disaster</w:t>
      </w:r>
      <w:r w:rsidR="00700A18" w:rsidRPr="00490B2A">
        <w:rPr>
          <w:noProof/>
          <w:color w:val="000000" w:themeColor="text1"/>
          <w:sz w:val="20"/>
          <w:szCs w:val="28"/>
        </w:rPr>
        <w:t xml:space="preserve"> </w:t>
      </w:r>
      <w:r w:rsidRPr="00490B2A">
        <w:rPr>
          <w:noProof/>
          <w:color w:val="000000" w:themeColor="text1"/>
          <w:sz w:val="20"/>
          <w:szCs w:val="28"/>
        </w:rPr>
        <w:t>management</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Balochistan.</w:t>
      </w:r>
      <w:r w:rsidR="00700A18" w:rsidRPr="00490B2A">
        <w:rPr>
          <w:noProof/>
          <w:color w:val="000000" w:themeColor="text1"/>
          <w:sz w:val="20"/>
          <w:szCs w:val="28"/>
        </w:rPr>
        <w:t xml:space="preserve"> </w:t>
      </w:r>
      <w:r w:rsidRPr="00490B2A">
        <w:rPr>
          <w:i/>
          <w:iCs/>
          <w:noProof/>
          <w:color w:val="000000" w:themeColor="text1"/>
          <w:sz w:val="20"/>
          <w:szCs w:val="28"/>
        </w:rPr>
        <w:t>Disaster</w:t>
      </w:r>
      <w:r w:rsidR="00700A18" w:rsidRPr="00490B2A">
        <w:rPr>
          <w:i/>
          <w:iCs/>
          <w:noProof/>
          <w:color w:val="000000" w:themeColor="text1"/>
          <w:sz w:val="20"/>
          <w:szCs w:val="28"/>
        </w:rPr>
        <w:t xml:space="preserve"> </w:t>
      </w:r>
      <w:r w:rsidRPr="00490B2A">
        <w:rPr>
          <w:i/>
          <w:iCs/>
          <w:noProof/>
          <w:color w:val="000000" w:themeColor="text1"/>
          <w:sz w:val="20"/>
          <w:szCs w:val="28"/>
        </w:rPr>
        <w:t>Prevention</w:t>
      </w:r>
      <w:r w:rsidR="00700A18" w:rsidRPr="00490B2A">
        <w:rPr>
          <w:i/>
          <w:iCs/>
          <w:noProof/>
          <w:color w:val="000000" w:themeColor="text1"/>
          <w:sz w:val="20"/>
          <w:szCs w:val="28"/>
        </w:rPr>
        <w:t xml:space="preserve"> </w:t>
      </w:r>
      <w:r w:rsidRPr="00490B2A">
        <w:rPr>
          <w:i/>
          <w:iCs/>
          <w:noProof/>
          <w:color w:val="000000" w:themeColor="text1"/>
          <w:sz w:val="20"/>
          <w:szCs w:val="28"/>
        </w:rPr>
        <w:t>and</w:t>
      </w:r>
      <w:r w:rsidR="00700A18" w:rsidRPr="00490B2A">
        <w:rPr>
          <w:i/>
          <w:iCs/>
          <w:noProof/>
          <w:color w:val="000000" w:themeColor="text1"/>
          <w:sz w:val="20"/>
          <w:szCs w:val="28"/>
        </w:rPr>
        <w:t xml:space="preserve"> </w:t>
      </w:r>
      <w:r w:rsidRPr="00490B2A">
        <w:rPr>
          <w:i/>
          <w:iCs/>
          <w:noProof/>
          <w:color w:val="000000" w:themeColor="text1"/>
          <w:sz w:val="20"/>
          <w:szCs w:val="28"/>
        </w:rPr>
        <w:t>Management:</w:t>
      </w:r>
      <w:r w:rsidR="00700A18" w:rsidRPr="00490B2A">
        <w:rPr>
          <w:i/>
          <w:iCs/>
          <w:noProof/>
          <w:color w:val="000000" w:themeColor="text1"/>
          <w:sz w:val="20"/>
          <w:szCs w:val="28"/>
        </w:rPr>
        <w:t xml:space="preserve"> </w:t>
      </w:r>
      <w:r w:rsidRPr="00490B2A">
        <w:rPr>
          <w:i/>
          <w:iCs/>
          <w:noProof/>
          <w:color w:val="000000" w:themeColor="text1"/>
          <w:sz w:val="20"/>
          <w:szCs w:val="28"/>
        </w:rPr>
        <w:t>An</w:t>
      </w:r>
      <w:r w:rsidR="00700A18" w:rsidRPr="00490B2A">
        <w:rPr>
          <w:i/>
          <w:iCs/>
          <w:noProof/>
          <w:color w:val="000000" w:themeColor="text1"/>
          <w:sz w:val="20"/>
          <w:szCs w:val="28"/>
        </w:rPr>
        <w:t xml:space="preserve"> </w:t>
      </w:r>
      <w:r w:rsidRPr="00490B2A">
        <w:rPr>
          <w:i/>
          <w:iCs/>
          <w:noProof/>
          <w:color w:val="000000" w:themeColor="text1"/>
          <w:sz w:val="20"/>
          <w:szCs w:val="28"/>
        </w:rPr>
        <w:t>International</w:t>
      </w:r>
      <w:r w:rsidR="00700A18" w:rsidRPr="00490B2A">
        <w:rPr>
          <w:i/>
          <w:iCs/>
          <w:noProof/>
          <w:color w:val="000000" w:themeColor="text1"/>
          <w:sz w:val="20"/>
          <w:szCs w:val="28"/>
        </w:rPr>
        <w:t xml:space="preserve"> </w:t>
      </w:r>
      <w:r w:rsidRPr="00490B2A">
        <w:rPr>
          <w:i/>
          <w:iCs/>
          <w:noProof/>
          <w:color w:val="000000" w:themeColor="text1"/>
          <w:sz w:val="20"/>
          <w:szCs w:val="28"/>
        </w:rPr>
        <w:t>Journal</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21</w:t>
      </w:r>
      <w:r w:rsidRPr="00490B2A">
        <w:rPr>
          <w:noProof/>
          <w:color w:val="000000" w:themeColor="text1"/>
          <w:sz w:val="20"/>
          <w:szCs w:val="28"/>
        </w:rPr>
        <w:t>(1),</w:t>
      </w:r>
      <w:r w:rsidR="00700A18" w:rsidRPr="00490B2A">
        <w:rPr>
          <w:noProof/>
          <w:color w:val="000000" w:themeColor="text1"/>
          <w:sz w:val="20"/>
          <w:szCs w:val="28"/>
        </w:rPr>
        <w:t xml:space="preserve"> </w:t>
      </w:r>
      <w:r w:rsidRPr="00490B2A">
        <w:rPr>
          <w:noProof/>
          <w:color w:val="000000" w:themeColor="text1"/>
          <w:sz w:val="20"/>
          <w:szCs w:val="28"/>
        </w:rPr>
        <w:t>22–36.</w:t>
      </w:r>
      <w:r w:rsidR="00700A18" w:rsidRPr="00490B2A">
        <w:rPr>
          <w:noProof/>
          <w:color w:val="000000" w:themeColor="text1"/>
          <w:sz w:val="20"/>
          <w:szCs w:val="28"/>
        </w:rPr>
        <w:t xml:space="preserve"> </w:t>
      </w:r>
      <w:r w:rsidRPr="00490B2A">
        <w:rPr>
          <w:noProof/>
          <w:color w:val="000000" w:themeColor="text1"/>
          <w:sz w:val="20"/>
          <w:szCs w:val="28"/>
        </w:rPr>
        <w:t>https://doi.org/10.1108/09653561211202683</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Aitsi-Selmi,</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Egawa,</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Sasaki,</w:t>
      </w:r>
      <w:r w:rsidR="00700A18" w:rsidRPr="00490B2A">
        <w:rPr>
          <w:noProof/>
          <w:color w:val="000000" w:themeColor="text1"/>
          <w:sz w:val="20"/>
          <w:szCs w:val="28"/>
        </w:rPr>
        <w:t xml:space="preserve"> </w:t>
      </w:r>
      <w:r w:rsidRPr="00490B2A">
        <w:rPr>
          <w:noProof/>
          <w:color w:val="000000" w:themeColor="text1"/>
          <w:sz w:val="20"/>
          <w:szCs w:val="28"/>
        </w:rPr>
        <w:t>H.,</w:t>
      </w:r>
      <w:r w:rsidR="00700A18" w:rsidRPr="00490B2A">
        <w:rPr>
          <w:noProof/>
          <w:color w:val="000000" w:themeColor="text1"/>
          <w:sz w:val="20"/>
          <w:szCs w:val="28"/>
        </w:rPr>
        <w:t xml:space="preserve"> </w:t>
      </w:r>
      <w:r w:rsidRPr="00490B2A">
        <w:rPr>
          <w:noProof/>
          <w:color w:val="000000" w:themeColor="text1"/>
          <w:sz w:val="20"/>
          <w:szCs w:val="28"/>
        </w:rPr>
        <w:t>Wannous,</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&amp; </w:t>
      </w:r>
      <w:r w:rsidRPr="00490B2A">
        <w:rPr>
          <w:noProof/>
          <w:color w:val="000000" w:themeColor="text1"/>
          <w:sz w:val="20"/>
          <w:szCs w:val="28"/>
        </w:rPr>
        <w:t>Murray,</w:t>
      </w:r>
      <w:r w:rsidR="00700A18" w:rsidRPr="00490B2A">
        <w:rPr>
          <w:noProof/>
          <w:color w:val="000000" w:themeColor="text1"/>
          <w:sz w:val="20"/>
          <w:szCs w:val="28"/>
        </w:rPr>
        <w:t xml:space="preserve"> </w:t>
      </w:r>
      <w:r w:rsidRPr="00490B2A">
        <w:rPr>
          <w:noProof/>
          <w:color w:val="000000" w:themeColor="text1"/>
          <w:sz w:val="20"/>
          <w:szCs w:val="28"/>
        </w:rPr>
        <w:t>V.</w:t>
      </w:r>
      <w:r w:rsidR="00700A18" w:rsidRPr="00490B2A">
        <w:rPr>
          <w:noProof/>
          <w:color w:val="000000" w:themeColor="text1"/>
          <w:sz w:val="20"/>
          <w:szCs w:val="28"/>
        </w:rPr>
        <w:t xml:space="preserve"> </w:t>
      </w:r>
      <w:r w:rsidRPr="00490B2A">
        <w:rPr>
          <w:noProof/>
          <w:color w:val="000000" w:themeColor="text1"/>
          <w:sz w:val="20"/>
          <w:szCs w:val="28"/>
        </w:rPr>
        <w:t>(2015).</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Sendai</w:t>
      </w:r>
      <w:r w:rsidR="00700A18" w:rsidRPr="00490B2A">
        <w:rPr>
          <w:noProof/>
          <w:color w:val="000000" w:themeColor="text1"/>
          <w:sz w:val="20"/>
          <w:szCs w:val="28"/>
        </w:rPr>
        <w:t xml:space="preserve"> </w:t>
      </w:r>
      <w:r w:rsidRPr="00490B2A">
        <w:rPr>
          <w:noProof/>
          <w:color w:val="000000" w:themeColor="text1"/>
          <w:sz w:val="20"/>
          <w:szCs w:val="28"/>
        </w:rPr>
        <w:t>Framework</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Disaster</w:t>
      </w:r>
      <w:r w:rsidR="00700A18" w:rsidRPr="00490B2A">
        <w:rPr>
          <w:noProof/>
          <w:color w:val="000000" w:themeColor="text1"/>
          <w:sz w:val="20"/>
          <w:szCs w:val="28"/>
        </w:rPr>
        <w:t xml:space="preserve"> </w:t>
      </w:r>
      <w:r w:rsidRPr="00490B2A">
        <w:rPr>
          <w:noProof/>
          <w:color w:val="000000" w:themeColor="text1"/>
          <w:sz w:val="20"/>
          <w:szCs w:val="28"/>
        </w:rPr>
        <w:t>Risk</w:t>
      </w:r>
      <w:r w:rsidR="00700A18" w:rsidRPr="00490B2A">
        <w:rPr>
          <w:noProof/>
          <w:color w:val="000000" w:themeColor="text1"/>
          <w:sz w:val="20"/>
          <w:szCs w:val="28"/>
        </w:rPr>
        <w:t xml:space="preserve"> </w:t>
      </w:r>
      <w:r w:rsidRPr="00490B2A">
        <w:rPr>
          <w:noProof/>
          <w:color w:val="000000" w:themeColor="text1"/>
          <w:sz w:val="20"/>
          <w:szCs w:val="28"/>
        </w:rPr>
        <w:t>Reduction:</w:t>
      </w:r>
      <w:r w:rsidR="00700A18" w:rsidRPr="00490B2A">
        <w:rPr>
          <w:noProof/>
          <w:color w:val="000000" w:themeColor="text1"/>
          <w:sz w:val="20"/>
          <w:szCs w:val="28"/>
        </w:rPr>
        <w:t xml:space="preserve"> </w:t>
      </w:r>
      <w:r w:rsidRPr="00490B2A">
        <w:rPr>
          <w:noProof/>
          <w:color w:val="000000" w:themeColor="text1"/>
          <w:sz w:val="20"/>
          <w:szCs w:val="28"/>
        </w:rPr>
        <w:t>Renewing</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Global</w:t>
      </w:r>
      <w:r w:rsidR="00700A18" w:rsidRPr="00490B2A">
        <w:rPr>
          <w:noProof/>
          <w:color w:val="000000" w:themeColor="text1"/>
          <w:sz w:val="20"/>
          <w:szCs w:val="28"/>
        </w:rPr>
        <w:t xml:space="preserve"> </w:t>
      </w:r>
      <w:r w:rsidRPr="00490B2A">
        <w:rPr>
          <w:noProof/>
          <w:color w:val="000000" w:themeColor="text1"/>
          <w:sz w:val="20"/>
          <w:szCs w:val="28"/>
        </w:rPr>
        <w:t>Commitment</w:t>
      </w:r>
      <w:r w:rsidR="00700A18" w:rsidRPr="00490B2A">
        <w:rPr>
          <w:noProof/>
          <w:color w:val="000000" w:themeColor="text1"/>
          <w:sz w:val="20"/>
          <w:szCs w:val="28"/>
        </w:rPr>
        <w:t xml:space="preserve"> </w:t>
      </w:r>
      <w:r w:rsidRPr="00490B2A">
        <w:rPr>
          <w:noProof/>
          <w:color w:val="000000" w:themeColor="text1"/>
          <w:sz w:val="20"/>
          <w:szCs w:val="28"/>
        </w:rPr>
        <w:t>to</w:t>
      </w:r>
      <w:r w:rsidR="00700A18" w:rsidRPr="00490B2A">
        <w:rPr>
          <w:noProof/>
          <w:color w:val="000000" w:themeColor="text1"/>
          <w:sz w:val="20"/>
          <w:szCs w:val="28"/>
        </w:rPr>
        <w:t xml:space="preserve"> </w:t>
      </w:r>
      <w:r w:rsidRPr="00490B2A">
        <w:rPr>
          <w:noProof/>
          <w:color w:val="000000" w:themeColor="text1"/>
          <w:sz w:val="20"/>
          <w:szCs w:val="28"/>
        </w:rPr>
        <w:t>People’s</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Health,</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Well-being.</w:t>
      </w:r>
      <w:r w:rsidR="00700A18" w:rsidRPr="00490B2A">
        <w:rPr>
          <w:noProof/>
          <w:color w:val="000000" w:themeColor="text1"/>
          <w:sz w:val="20"/>
          <w:szCs w:val="28"/>
        </w:rPr>
        <w:t xml:space="preserve"> </w:t>
      </w:r>
      <w:r w:rsidRPr="00490B2A">
        <w:rPr>
          <w:i/>
          <w:iCs/>
          <w:noProof/>
          <w:color w:val="000000" w:themeColor="text1"/>
          <w:sz w:val="20"/>
          <w:szCs w:val="28"/>
        </w:rPr>
        <w:t>International</w:t>
      </w:r>
      <w:r w:rsidR="00700A18" w:rsidRPr="00490B2A">
        <w:rPr>
          <w:i/>
          <w:iCs/>
          <w:noProof/>
          <w:color w:val="000000" w:themeColor="text1"/>
          <w:sz w:val="20"/>
          <w:szCs w:val="28"/>
        </w:rPr>
        <w:t xml:space="preserve"> </w:t>
      </w:r>
      <w:r w:rsidRPr="00490B2A">
        <w:rPr>
          <w:i/>
          <w:iCs/>
          <w:noProof/>
          <w:color w:val="000000" w:themeColor="text1"/>
          <w:sz w:val="20"/>
          <w:szCs w:val="28"/>
        </w:rPr>
        <w:t>Journal</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Disaster</w:t>
      </w:r>
      <w:r w:rsidR="00700A18" w:rsidRPr="00490B2A">
        <w:rPr>
          <w:i/>
          <w:iCs/>
          <w:noProof/>
          <w:color w:val="000000" w:themeColor="text1"/>
          <w:sz w:val="20"/>
          <w:szCs w:val="28"/>
        </w:rPr>
        <w:t xml:space="preserve"> </w:t>
      </w:r>
      <w:r w:rsidRPr="00490B2A">
        <w:rPr>
          <w:i/>
          <w:iCs/>
          <w:noProof/>
          <w:color w:val="000000" w:themeColor="text1"/>
          <w:sz w:val="20"/>
          <w:szCs w:val="28"/>
        </w:rPr>
        <w:t>Risk</w:t>
      </w:r>
      <w:r w:rsidR="00700A18" w:rsidRPr="00490B2A">
        <w:rPr>
          <w:i/>
          <w:iCs/>
          <w:noProof/>
          <w:color w:val="000000" w:themeColor="text1"/>
          <w:sz w:val="20"/>
          <w:szCs w:val="28"/>
        </w:rPr>
        <w:t xml:space="preserve"> </w:t>
      </w:r>
      <w:r w:rsidRPr="00490B2A">
        <w:rPr>
          <w:i/>
          <w:iCs/>
          <w:noProof/>
          <w:color w:val="000000" w:themeColor="text1"/>
          <w:sz w:val="20"/>
          <w:szCs w:val="28"/>
        </w:rPr>
        <w:t>Science</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6</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164–176.</w:t>
      </w:r>
      <w:r w:rsidR="00700A18" w:rsidRPr="00490B2A">
        <w:rPr>
          <w:noProof/>
          <w:color w:val="000000" w:themeColor="text1"/>
          <w:sz w:val="20"/>
          <w:szCs w:val="28"/>
        </w:rPr>
        <w:t xml:space="preserve"> </w:t>
      </w:r>
      <w:r w:rsidRPr="00490B2A">
        <w:rPr>
          <w:noProof/>
          <w:color w:val="000000" w:themeColor="text1"/>
          <w:sz w:val="20"/>
          <w:szCs w:val="28"/>
        </w:rPr>
        <w:t>https://doi.org/10.1007/s13753-015-0050-9</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Birkmann,</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(2006).</w:t>
      </w:r>
      <w:r w:rsidR="00700A18" w:rsidRPr="00490B2A">
        <w:rPr>
          <w:noProof/>
          <w:color w:val="000000" w:themeColor="text1"/>
          <w:sz w:val="20"/>
          <w:szCs w:val="28"/>
        </w:rPr>
        <w:t xml:space="preserve"> </w:t>
      </w:r>
      <w:r w:rsidRPr="00490B2A">
        <w:rPr>
          <w:noProof/>
          <w:color w:val="000000" w:themeColor="text1"/>
          <w:sz w:val="20"/>
          <w:szCs w:val="28"/>
        </w:rPr>
        <w:t>Indicators</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criteria</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measuring</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Theoretical</w:t>
      </w:r>
      <w:r w:rsidR="00700A18" w:rsidRPr="00490B2A">
        <w:rPr>
          <w:noProof/>
          <w:color w:val="000000" w:themeColor="text1"/>
          <w:sz w:val="20"/>
          <w:szCs w:val="28"/>
        </w:rPr>
        <w:t xml:space="preserve"> </w:t>
      </w:r>
      <w:r w:rsidRPr="00490B2A">
        <w:rPr>
          <w:noProof/>
          <w:color w:val="000000" w:themeColor="text1"/>
          <w:sz w:val="20"/>
          <w:szCs w:val="28"/>
        </w:rPr>
        <w:t>bases</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requirements.</w:t>
      </w:r>
      <w:r w:rsidR="00700A18" w:rsidRPr="00490B2A">
        <w:rPr>
          <w:noProof/>
          <w:color w:val="000000" w:themeColor="text1"/>
          <w:sz w:val="20"/>
          <w:szCs w:val="28"/>
        </w:rPr>
        <w:t xml:space="preserve"> </w:t>
      </w:r>
      <w:r w:rsidRPr="00490B2A">
        <w:rPr>
          <w:i/>
          <w:iCs/>
          <w:noProof/>
          <w:color w:val="000000" w:themeColor="text1"/>
          <w:sz w:val="20"/>
          <w:szCs w:val="28"/>
        </w:rPr>
        <w:t>Measuring</w:t>
      </w:r>
      <w:r w:rsidR="00700A18" w:rsidRPr="00490B2A">
        <w:rPr>
          <w:i/>
          <w:iCs/>
          <w:noProof/>
          <w:color w:val="000000" w:themeColor="text1"/>
          <w:sz w:val="20"/>
          <w:szCs w:val="28"/>
        </w:rPr>
        <w:t xml:space="preserve"> </w:t>
      </w:r>
      <w:r w:rsidRPr="00490B2A">
        <w:rPr>
          <w:i/>
          <w:iCs/>
          <w:noProof/>
          <w:color w:val="000000" w:themeColor="text1"/>
          <w:sz w:val="20"/>
          <w:szCs w:val="28"/>
        </w:rPr>
        <w:t>Vulnerability</w:t>
      </w:r>
      <w:r w:rsidR="00700A18" w:rsidRPr="00490B2A">
        <w:rPr>
          <w:i/>
          <w:iCs/>
          <w:noProof/>
          <w:color w:val="000000" w:themeColor="text1"/>
          <w:sz w:val="20"/>
          <w:szCs w:val="28"/>
        </w:rPr>
        <w:t xml:space="preserve"> </w:t>
      </w:r>
      <w:r w:rsidRPr="00490B2A">
        <w:rPr>
          <w:i/>
          <w:iCs/>
          <w:noProof/>
          <w:color w:val="000000" w:themeColor="text1"/>
          <w:sz w:val="20"/>
          <w:szCs w:val="28"/>
        </w:rPr>
        <w:t>to</w:t>
      </w:r>
      <w:r w:rsidR="00700A18" w:rsidRPr="00490B2A">
        <w:rPr>
          <w:i/>
          <w:iCs/>
          <w:noProof/>
          <w:color w:val="000000" w:themeColor="text1"/>
          <w:sz w:val="20"/>
          <w:szCs w:val="28"/>
        </w:rPr>
        <w:t xml:space="preserve"> </w:t>
      </w:r>
      <w:r w:rsidRPr="00490B2A">
        <w:rPr>
          <w:i/>
          <w:iCs/>
          <w:noProof/>
          <w:color w:val="000000" w:themeColor="text1"/>
          <w:sz w:val="20"/>
          <w:szCs w:val="28"/>
        </w:rPr>
        <w:t>Natural</w:t>
      </w:r>
      <w:r w:rsidR="00700A18" w:rsidRPr="00490B2A">
        <w:rPr>
          <w:i/>
          <w:iCs/>
          <w:noProof/>
          <w:color w:val="000000" w:themeColor="text1"/>
          <w:sz w:val="20"/>
          <w:szCs w:val="28"/>
        </w:rPr>
        <w:t xml:space="preserve"> </w:t>
      </w:r>
      <w:r w:rsidRPr="00490B2A">
        <w:rPr>
          <w:i/>
          <w:iCs/>
          <w:noProof/>
          <w:color w:val="000000" w:themeColor="text1"/>
          <w:sz w:val="20"/>
          <w:szCs w:val="28"/>
        </w:rPr>
        <w:t>Hazards:</w:t>
      </w:r>
      <w:r w:rsidR="00700A18" w:rsidRPr="00490B2A">
        <w:rPr>
          <w:i/>
          <w:iCs/>
          <w:noProof/>
          <w:color w:val="000000" w:themeColor="text1"/>
          <w:sz w:val="20"/>
          <w:szCs w:val="28"/>
        </w:rPr>
        <w:t xml:space="preserve"> </w:t>
      </w:r>
      <w:r w:rsidRPr="00490B2A">
        <w:rPr>
          <w:i/>
          <w:iCs/>
          <w:noProof/>
          <w:color w:val="000000" w:themeColor="text1"/>
          <w:sz w:val="20"/>
          <w:szCs w:val="28"/>
        </w:rPr>
        <w:t>Towards</w:t>
      </w:r>
      <w:r w:rsidR="00700A18" w:rsidRPr="00490B2A">
        <w:rPr>
          <w:i/>
          <w:iCs/>
          <w:noProof/>
          <w:color w:val="000000" w:themeColor="text1"/>
          <w:sz w:val="20"/>
          <w:szCs w:val="28"/>
        </w:rPr>
        <w:t xml:space="preserve"> </w:t>
      </w:r>
      <w:r w:rsidRPr="00490B2A">
        <w:rPr>
          <w:i/>
          <w:iCs/>
          <w:noProof/>
          <w:color w:val="000000" w:themeColor="text1"/>
          <w:sz w:val="20"/>
          <w:szCs w:val="28"/>
        </w:rPr>
        <w:t>Disaster</w:t>
      </w:r>
      <w:r w:rsidR="00700A18" w:rsidRPr="00490B2A">
        <w:rPr>
          <w:i/>
          <w:iCs/>
          <w:noProof/>
          <w:color w:val="000000" w:themeColor="text1"/>
          <w:sz w:val="20"/>
          <w:szCs w:val="28"/>
        </w:rPr>
        <w:t xml:space="preserve"> </w:t>
      </w:r>
      <w:r w:rsidRPr="00490B2A">
        <w:rPr>
          <w:i/>
          <w:iCs/>
          <w:noProof/>
          <w:color w:val="000000" w:themeColor="text1"/>
          <w:sz w:val="20"/>
          <w:szCs w:val="28"/>
        </w:rPr>
        <w:t>Resilient</w:t>
      </w:r>
      <w:r w:rsidR="00700A18" w:rsidRPr="00490B2A">
        <w:rPr>
          <w:i/>
          <w:iCs/>
          <w:noProof/>
          <w:color w:val="000000" w:themeColor="text1"/>
          <w:sz w:val="20"/>
          <w:szCs w:val="28"/>
        </w:rPr>
        <w:t xml:space="preserve"> </w:t>
      </w:r>
      <w:r w:rsidRPr="00490B2A">
        <w:rPr>
          <w:i/>
          <w:iCs/>
          <w:noProof/>
          <w:color w:val="000000" w:themeColor="text1"/>
          <w:sz w:val="20"/>
          <w:szCs w:val="28"/>
        </w:rPr>
        <w:t>Societies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02</w:t>
      </w:r>
      <w:r w:rsidRPr="00490B2A">
        <w:rPr>
          <w:noProof/>
          <w:color w:val="000000" w:themeColor="text1"/>
          <w:sz w:val="20"/>
          <w:szCs w:val="28"/>
        </w:rPr>
        <w:t>,</w:t>
      </w:r>
      <w:r w:rsidR="00700A18" w:rsidRPr="00490B2A">
        <w:rPr>
          <w:noProof/>
          <w:color w:val="000000" w:themeColor="text1"/>
          <w:sz w:val="20"/>
          <w:szCs w:val="28"/>
        </w:rPr>
        <w:t xml:space="preserve"> </w:t>
      </w:r>
      <w:r w:rsidRPr="00490B2A">
        <w:rPr>
          <w:noProof/>
          <w:color w:val="000000" w:themeColor="text1"/>
          <w:sz w:val="20"/>
          <w:szCs w:val="28"/>
        </w:rPr>
        <w:t>55–77.</w:t>
      </w:r>
      <w:r w:rsidR="00700A18" w:rsidRPr="00490B2A">
        <w:rPr>
          <w:noProof/>
          <w:color w:val="000000" w:themeColor="text1"/>
          <w:sz w:val="20"/>
          <w:szCs w:val="28"/>
        </w:rPr>
        <w:t xml:space="preserve"> </w:t>
      </w:r>
      <w:r w:rsidRPr="00490B2A">
        <w:rPr>
          <w:noProof/>
          <w:color w:val="000000" w:themeColor="text1"/>
          <w:sz w:val="20"/>
          <w:szCs w:val="28"/>
        </w:rPr>
        <w:t>https://doi.org/10.1111/j.1467-7660.2007.00441_5.x</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Birkmann,</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&amp; </w:t>
      </w:r>
      <w:r w:rsidRPr="00490B2A">
        <w:rPr>
          <w:noProof/>
          <w:color w:val="000000" w:themeColor="text1"/>
          <w:sz w:val="20"/>
          <w:szCs w:val="28"/>
        </w:rPr>
        <w:t>Wisner,</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w:t>
      </w:r>
      <w:r w:rsidRPr="00490B2A">
        <w:rPr>
          <w:noProof/>
          <w:color w:val="000000" w:themeColor="text1"/>
          <w:sz w:val="20"/>
          <w:szCs w:val="28"/>
        </w:rPr>
        <w:t>(2006).</w:t>
      </w:r>
      <w:r w:rsidR="00700A18" w:rsidRPr="00490B2A">
        <w:rPr>
          <w:noProof/>
          <w:color w:val="000000" w:themeColor="text1"/>
          <w:sz w:val="20"/>
          <w:szCs w:val="28"/>
        </w:rPr>
        <w:t xml:space="preserve"> </w:t>
      </w:r>
      <w:r w:rsidRPr="00490B2A">
        <w:rPr>
          <w:i/>
          <w:iCs/>
          <w:noProof/>
          <w:color w:val="000000" w:themeColor="text1"/>
          <w:sz w:val="20"/>
          <w:szCs w:val="28"/>
        </w:rPr>
        <w:t>Measuring</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Un-Measurable.</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Challenge</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Vulnerability</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UNU-EHS</w:t>
      </w:r>
      <w:r w:rsidR="00700A18" w:rsidRPr="00490B2A">
        <w:rPr>
          <w:noProof/>
          <w:color w:val="000000" w:themeColor="text1"/>
          <w:sz w:val="20"/>
          <w:szCs w:val="28"/>
        </w:rPr>
        <w:t xml:space="preserve"> </w:t>
      </w:r>
      <w:r w:rsidRPr="00490B2A">
        <w:rPr>
          <w:noProof/>
          <w:color w:val="000000" w:themeColor="text1"/>
          <w:sz w:val="20"/>
          <w:szCs w:val="28"/>
        </w:rPr>
        <w:t>(Vol.</w:t>
      </w:r>
      <w:r w:rsidR="00700A18" w:rsidRPr="00490B2A">
        <w:rPr>
          <w:noProof/>
          <w:color w:val="000000" w:themeColor="text1"/>
          <w:sz w:val="20"/>
          <w:szCs w:val="28"/>
        </w:rPr>
        <w:t xml:space="preserve"> </w:t>
      </w:r>
      <w:r w:rsidRPr="00490B2A">
        <w:rPr>
          <w:noProof/>
          <w:color w:val="000000" w:themeColor="text1"/>
          <w:sz w:val="20"/>
          <w:szCs w:val="28"/>
        </w:rPr>
        <w:t>5).</w:t>
      </w:r>
      <w:r w:rsidR="00700A18" w:rsidRPr="00490B2A">
        <w:rPr>
          <w:noProof/>
          <w:color w:val="000000" w:themeColor="text1"/>
          <w:sz w:val="20"/>
          <w:szCs w:val="28"/>
        </w:rPr>
        <w:t xml:space="preserve"> </w:t>
      </w:r>
      <w:r w:rsidRPr="00490B2A">
        <w:rPr>
          <w:noProof/>
          <w:color w:val="000000" w:themeColor="text1"/>
          <w:sz w:val="20"/>
          <w:szCs w:val="28"/>
        </w:rPr>
        <w:lastRenderedPageBreak/>
        <w:t>https://doi.org/10.1002/pfi.2006.4930450504</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Cannon,</w:t>
      </w:r>
      <w:r w:rsidR="00700A18" w:rsidRPr="00490B2A">
        <w:rPr>
          <w:noProof/>
          <w:color w:val="000000" w:themeColor="text1"/>
          <w:sz w:val="20"/>
          <w:szCs w:val="28"/>
        </w:rPr>
        <w:t xml:space="preserve"> </w:t>
      </w:r>
      <w:r w:rsidRPr="00490B2A">
        <w:rPr>
          <w:noProof/>
          <w:color w:val="000000" w:themeColor="text1"/>
          <w:sz w:val="20"/>
          <w:szCs w:val="28"/>
        </w:rPr>
        <w:t>T.</w:t>
      </w:r>
      <w:r w:rsidR="00700A18" w:rsidRPr="00490B2A">
        <w:rPr>
          <w:noProof/>
          <w:color w:val="000000" w:themeColor="text1"/>
          <w:sz w:val="20"/>
          <w:szCs w:val="28"/>
        </w:rPr>
        <w:t xml:space="preserve"> </w:t>
      </w:r>
      <w:r w:rsidRPr="00490B2A">
        <w:rPr>
          <w:noProof/>
          <w:color w:val="000000" w:themeColor="text1"/>
          <w:sz w:val="20"/>
          <w:szCs w:val="28"/>
        </w:rPr>
        <w:t>(1994).</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Analysis</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Explanation</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“Natural”</w:t>
      </w:r>
      <w:r w:rsidR="00700A18" w:rsidRPr="00490B2A">
        <w:rPr>
          <w:noProof/>
          <w:color w:val="000000" w:themeColor="text1"/>
          <w:sz w:val="20"/>
          <w:szCs w:val="28"/>
        </w:rPr>
        <w:t xml:space="preserve"> </w:t>
      </w:r>
      <w:r w:rsidRPr="00490B2A">
        <w:rPr>
          <w:noProof/>
          <w:color w:val="000000" w:themeColor="text1"/>
          <w:sz w:val="20"/>
          <w:szCs w:val="28"/>
        </w:rPr>
        <w:t>Disasters.</w:t>
      </w:r>
      <w:r w:rsidR="00700A18" w:rsidRPr="00490B2A">
        <w:rPr>
          <w:noProof/>
          <w:color w:val="000000" w:themeColor="text1"/>
          <w:sz w:val="20"/>
          <w:szCs w:val="28"/>
        </w:rPr>
        <w:t xml:space="preserve"> </w:t>
      </w:r>
      <w:r w:rsidRPr="00490B2A">
        <w:rPr>
          <w:i/>
          <w:iCs/>
          <w:noProof/>
          <w:color w:val="000000" w:themeColor="text1"/>
          <w:sz w:val="20"/>
          <w:szCs w:val="28"/>
        </w:rPr>
        <w:t>Disasters,</w:t>
      </w:r>
      <w:r w:rsidR="00700A18" w:rsidRPr="00490B2A">
        <w:rPr>
          <w:i/>
          <w:iCs/>
          <w:noProof/>
          <w:color w:val="000000" w:themeColor="text1"/>
          <w:sz w:val="20"/>
          <w:szCs w:val="28"/>
        </w:rPr>
        <w:t xml:space="preserve"> </w:t>
      </w:r>
      <w:r w:rsidRPr="00490B2A">
        <w:rPr>
          <w:i/>
          <w:iCs/>
          <w:noProof/>
          <w:color w:val="000000" w:themeColor="text1"/>
          <w:sz w:val="20"/>
          <w:szCs w:val="28"/>
        </w:rPr>
        <w:t>Development</w:t>
      </w:r>
      <w:r w:rsidR="00700A18" w:rsidRPr="00490B2A">
        <w:rPr>
          <w:i/>
          <w:iCs/>
          <w:noProof/>
          <w:color w:val="000000" w:themeColor="text1"/>
          <w:sz w:val="20"/>
          <w:szCs w:val="28"/>
        </w:rPr>
        <w:t xml:space="preserve"> </w:t>
      </w:r>
      <w:r w:rsidRPr="00490B2A">
        <w:rPr>
          <w:i/>
          <w:iCs/>
          <w:noProof/>
          <w:color w:val="000000" w:themeColor="text1"/>
          <w:sz w:val="20"/>
          <w:szCs w:val="28"/>
        </w:rPr>
        <w:t>and</w:t>
      </w:r>
      <w:r w:rsidR="00700A18" w:rsidRPr="00490B2A">
        <w:rPr>
          <w:i/>
          <w:iCs/>
          <w:noProof/>
          <w:color w:val="000000" w:themeColor="text1"/>
          <w:sz w:val="20"/>
          <w:szCs w:val="28"/>
        </w:rPr>
        <w:t xml:space="preserve"> </w:t>
      </w:r>
      <w:r w:rsidRPr="00490B2A">
        <w:rPr>
          <w:i/>
          <w:iCs/>
          <w:noProof/>
          <w:color w:val="000000" w:themeColor="text1"/>
          <w:sz w:val="20"/>
          <w:szCs w:val="28"/>
        </w:rPr>
        <w:t>Environment</w:t>
      </w:r>
      <w:r w:rsidRPr="00490B2A">
        <w:rPr>
          <w:noProof/>
          <w:color w:val="000000" w:themeColor="text1"/>
          <w:sz w:val="20"/>
          <w:szCs w:val="28"/>
        </w:rPr>
        <w:t>.</w:t>
      </w:r>
      <w:r w:rsidR="00700A18" w:rsidRPr="00490B2A">
        <w:rPr>
          <w:noProof/>
          <w:color w:val="000000" w:themeColor="text1"/>
          <w:sz w:val="20"/>
          <w:szCs w:val="28"/>
        </w:rPr>
        <w:t xml:space="preserve"> </w:t>
      </w:r>
      <w:r w:rsidRPr="00490B2A">
        <w:rPr>
          <w:noProof/>
          <w:color w:val="000000" w:themeColor="text1"/>
          <w:sz w:val="20"/>
          <w:szCs w:val="28"/>
        </w:rPr>
        <w:t>https://doi.org/10.1108/09653560810887275</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Cutter,</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Barnes,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Berry,</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Burton,</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w:t>
      </w:r>
      <w:r w:rsidRPr="00490B2A">
        <w:rPr>
          <w:noProof/>
          <w:color w:val="000000" w:themeColor="text1"/>
          <w:sz w:val="20"/>
          <w:szCs w:val="28"/>
        </w:rPr>
        <w:t>Evans,</w:t>
      </w:r>
      <w:r w:rsidR="00700A18" w:rsidRPr="00490B2A">
        <w:rPr>
          <w:noProof/>
          <w:color w:val="000000" w:themeColor="text1"/>
          <w:sz w:val="20"/>
          <w:szCs w:val="28"/>
        </w:rPr>
        <w:t xml:space="preserve"> </w:t>
      </w:r>
      <w:r w:rsidRPr="00490B2A">
        <w:rPr>
          <w:noProof/>
          <w:color w:val="000000" w:themeColor="text1"/>
          <w:sz w:val="20"/>
          <w:szCs w:val="28"/>
        </w:rPr>
        <w:t>E.,</w:t>
      </w:r>
      <w:r w:rsidR="00700A18" w:rsidRPr="00490B2A">
        <w:rPr>
          <w:noProof/>
          <w:color w:val="000000" w:themeColor="text1"/>
          <w:sz w:val="20"/>
          <w:szCs w:val="28"/>
        </w:rPr>
        <w:t xml:space="preserve"> </w:t>
      </w:r>
      <w:r w:rsidRPr="00490B2A">
        <w:rPr>
          <w:noProof/>
          <w:color w:val="000000" w:themeColor="text1"/>
          <w:sz w:val="20"/>
          <w:szCs w:val="28"/>
        </w:rPr>
        <w:t>Tate,</w:t>
      </w:r>
      <w:r w:rsidR="00700A18" w:rsidRPr="00490B2A">
        <w:rPr>
          <w:noProof/>
          <w:color w:val="000000" w:themeColor="text1"/>
          <w:sz w:val="20"/>
          <w:szCs w:val="28"/>
        </w:rPr>
        <w:t xml:space="preserve"> </w:t>
      </w:r>
      <w:r w:rsidRPr="00490B2A">
        <w:rPr>
          <w:noProof/>
          <w:color w:val="000000" w:themeColor="text1"/>
          <w:sz w:val="20"/>
          <w:szCs w:val="28"/>
        </w:rPr>
        <w:t>E.,</w:t>
      </w:r>
      <w:r w:rsidR="00700A18" w:rsidRPr="00490B2A">
        <w:rPr>
          <w:noProof/>
          <w:color w:val="000000" w:themeColor="text1"/>
          <w:sz w:val="20"/>
          <w:szCs w:val="28"/>
        </w:rPr>
        <w:t xml:space="preserve"> &amp; </w:t>
      </w:r>
      <w:r w:rsidRPr="00490B2A">
        <w:rPr>
          <w:noProof/>
          <w:color w:val="000000" w:themeColor="text1"/>
          <w:sz w:val="20"/>
          <w:szCs w:val="28"/>
        </w:rPr>
        <w:t>Webb,</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(2008).</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place-based</w:t>
      </w:r>
      <w:r w:rsidR="00700A18" w:rsidRPr="00490B2A">
        <w:rPr>
          <w:noProof/>
          <w:color w:val="000000" w:themeColor="text1"/>
          <w:sz w:val="20"/>
          <w:szCs w:val="28"/>
        </w:rPr>
        <w:t xml:space="preserve"> </w:t>
      </w:r>
      <w:r w:rsidRPr="00490B2A">
        <w:rPr>
          <w:noProof/>
          <w:color w:val="000000" w:themeColor="text1"/>
          <w:sz w:val="20"/>
          <w:szCs w:val="28"/>
        </w:rPr>
        <w:t>model</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understanding</w:t>
      </w:r>
      <w:r w:rsidR="00700A18" w:rsidRPr="00490B2A">
        <w:rPr>
          <w:noProof/>
          <w:color w:val="000000" w:themeColor="text1"/>
          <w:sz w:val="20"/>
          <w:szCs w:val="28"/>
        </w:rPr>
        <w:t xml:space="preserve"> </w:t>
      </w:r>
      <w:r w:rsidRPr="00490B2A">
        <w:rPr>
          <w:noProof/>
          <w:color w:val="000000" w:themeColor="text1"/>
          <w:sz w:val="20"/>
          <w:szCs w:val="28"/>
        </w:rPr>
        <w:t>community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to</w:t>
      </w:r>
      <w:r w:rsidR="00700A18" w:rsidRPr="00490B2A">
        <w:rPr>
          <w:noProof/>
          <w:color w:val="000000" w:themeColor="text1"/>
          <w:sz w:val="20"/>
          <w:szCs w:val="28"/>
        </w:rPr>
        <w:t xml:space="preserve"> </w:t>
      </w:r>
      <w:r w:rsidRPr="00490B2A">
        <w:rPr>
          <w:noProof/>
          <w:color w:val="000000" w:themeColor="text1"/>
          <w:sz w:val="20"/>
          <w:szCs w:val="28"/>
        </w:rPr>
        <w:t>natural</w:t>
      </w:r>
      <w:r w:rsidR="00700A18" w:rsidRPr="00490B2A">
        <w:rPr>
          <w:noProof/>
          <w:color w:val="000000" w:themeColor="text1"/>
          <w:sz w:val="20"/>
          <w:szCs w:val="28"/>
        </w:rPr>
        <w:t xml:space="preserve"> </w:t>
      </w:r>
      <w:r w:rsidRPr="00490B2A">
        <w:rPr>
          <w:noProof/>
          <w:color w:val="000000" w:themeColor="text1"/>
          <w:sz w:val="20"/>
          <w:szCs w:val="28"/>
        </w:rPr>
        <w:t>disasters.</w:t>
      </w:r>
      <w:r w:rsidR="00700A18" w:rsidRPr="00490B2A">
        <w:rPr>
          <w:noProof/>
          <w:color w:val="000000" w:themeColor="text1"/>
          <w:sz w:val="20"/>
          <w:szCs w:val="28"/>
        </w:rPr>
        <w:t xml:space="preserve"> </w:t>
      </w:r>
      <w:r w:rsidRPr="00490B2A">
        <w:rPr>
          <w:i/>
          <w:iCs/>
          <w:noProof/>
          <w:color w:val="000000" w:themeColor="text1"/>
          <w:sz w:val="20"/>
          <w:szCs w:val="28"/>
        </w:rPr>
        <w:t>Global</w:t>
      </w:r>
      <w:r w:rsidR="00700A18" w:rsidRPr="00490B2A">
        <w:rPr>
          <w:i/>
          <w:iCs/>
          <w:noProof/>
          <w:color w:val="000000" w:themeColor="text1"/>
          <w:sz w:val="20"/>
          <w:szCs w:val="28"/>
        </w:rPr>
        <w:t xml:space="preserve"> </w:t>
      </w:r>
      <w:r w:rsidRPr="00490B2A">
        <w:rPr>
          <w:i/>
          <w:iCs/>
          <w:noProof/>
          <w:color w:val="000000" w:themeColor="text1"/>
          <w:sz w:val="20"/>
          <w:szCs w:val="28"/>
        </w:rPr>
        <w:t>Environmental</w:t>
      </w:r>
      <w:r w:rsidR="00700A18" w:rsidRPr="00490B2A">
        <w:rPr>
          <w:i/>
          <w:iCs/>
          <w:noProof/>
          <w:color w:val="000000" w:themeColor="text1"/>
          <w:sz w:val="20"/>
          <w:szCs w:val="28"/>
        </w:rPr>
        <w:t xml:space="preserve"> </w:t>
      </w:r>
      <w:r w:rsidRPr="00490B2A">
        <w:rPr>
          <w:i/>
          <w:iCs/>
          <w:noProof/>
          <w:color w:val="000000" w:themeColor="text1"/>
          <w:sz w:val="20"/>
          <w:szCs w:val="28"/>
        </w:rPr>
        <w:t>Change</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18</w:t>
      </w:r>
      <w:r w:rsidRPr="00490B2A">
        <w:rPr>
          <w:noProof/>
          <w:color w:val="000000" w:themeColor="text1"/>
          <w:sz w:val="20"/>
          <w:szCs w:val="28"/>
        </w:rPr>
        <w:t>(4),</w:t>
      </w:r>
      <w:r w:rsidR="00700A18" w:rsidRPr="00490B2A">
        <w:rPr>
          <w:noProof/>
          <w:color w:val="000000" w:themeColor="text1"/>
          <w:sz w:val="20"/>
          <w:szCs w:val="28"/>
        </w:rPr>
        <w:t xml:space="preserve"> </w:t>
      </w:r>
      <w:r w:rsidRPr="00490B2A">
        <w:rPr>
          <w:noProof/>
          <w:color w:val="000000" w:themeColor="text1"/>
          <w:sz w:val="20"/>
          <w:szCs w:val="28"/>
        </w:rPr>
        <w:t>598–606.</w:t>
      </w:r>
      <w:r w:rsidR="00700A18" w:rsidRPr="00490B2A">
        <w:rPr>
          <w:noProof/>
          <w:color w:val="000000" w:themeColor="text1"/>
          <w:sz w:val="20"/>
          <w:szCs w:val="28"/>
        </w:rPr>
        <w:t xml:space="preserve"> </w:t>
      </w:r>
      <w:r w:rsidRPr="00490B2A">
        <w:rPr>
          <w:noProof/>
          <w:color w:val="000000" w:themeColor="text1"/>
          <w:sz w:val="20"/>
          <w:szCs w:val="28"/>
        </w:rPr>
        <w:t>https://doi.org/10.1016/j.gloenvcha.2008.07.013</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Cutter,</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Boruff,</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&amp; </w:t>
      </w:r>
      <w:r w:rsidRPr="00490B2A">
        <w:rPr>
          <w:noProof/>
          <w:color w:val="000000" w:themeColor="text1"/>
          <w:sz w:val="20"/>
          <w:szCs w:val="28"/>
        </w:rPr>
        <w:t>Shirley,</w:t>
      </w:r>
      <w:r w:rsidR="00700A18" w:rsidRPr="00490B2A">
        <w:rPr>
          <w:noProof/>
          <w:color w:val="000000" w:themeColor="text1"/>
          <w:sz w:val="20"/>
          <w:szCs w:val="28"/>
        </w:rPr>
        <w:t xml:space="preserve"> </w:t>
      </w:r>
      <w:r w:rsidRPr="00490B2A">
        <w:rPr>
          <w:noProof/>
          <w:color w:val="000000" w:themeColor="text1"/>
          <w:sz w:val="20"/>
          <w:szCs w:val="28"/>
        </w:rPr>
        <w:t>W.</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(2003).</w:t>
      </w:r>
      <w:r w:rsidR="00700A18" w:rsidRPr="00490B2A">
        <w:rPr>
          <w:noProof/>
          <w:color w:val="000000" w:themeColor="text1"/>
          <w:sz w:val="20"/>
          <w:szCs w:val="28"/>
        </w:rPr>
        <w:t xml:space="preserve"> </w:t>
      </w:r>
      <w:r w:rsidRPr="00490B2A">
        <w:rPr>
          <w:noProof/>
          <w:color w:val="000000" w:themeColor="text1"/>
          <w:sz w:val="20"/>
          <w:szCs w:val="28"/>
        </w:rPr>
        <w:t>Social</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to</w:t>
      </w:r>
      <w:r w:rsidR="00700A18" w:rsidRPr="00490B2A">
        <w:rPr>
          <w:noProof/>
          <w:color w:val="000000" w:themeColor="text1"/>
          <w:sz w:val="20"/>
          <w:szCs w:val="28"/>
        </w:rPr>
        <w:t xml:space="preserve"> </w:t>
      </w:r>
      <w:r w:rsidRPr="00490B2A">
        <w:rPr>
          <w:noProof/>
          <w:color w:val="000000" w:themeColor="text1"/>
          <w:sz w:val="20"/>
          <w:szCs w:val="28"/>
        </w:rPr>
        <w:t>environmental</w:t>
      </w:r>
      <w:r w:rsidR="00700A18" w:rsidRPr="00490B2A">
        <w:rPr>
          <w:noProof/>
          <w:color w:val="000000" w:themeColor="text1"/>
          <w:sz w:val="20"/>
          <w:szCs w:val="28"/>
        </w:rPr>
        <w:t xml:space="preserve"> </w:t>
      </w:r>
      <w:r w:rsidRPr="00490B2A">
        <w:rPr>
          <w:noProof/>
          <w:color w:val="000000" w:themeColor="text1"/>
          <w:sz w:val="20"/>
          <w:szCs w:val="28"/>
        </w:rPr>
        <w:t>hazards.</w:t>
      </w:r>
      <w:r w:rsidR="00700A18" w:rsidRPr="00490B2A">
        <w:rPr>
          <w:noProof/>
          <w:color w:val="000000" w:themeColor="text1"/>
          <w:sz w:val="20"/>
          <w:szCs w:val="28"/>
        </w:rPr>
        <w:t xml:space="preserve"> </w:t>
      </w:r>
      <w:r w:rsidRPr="00490B2A">
        <w:rPr>
          <w:i/>
          <w:iCs/>
          <w:noProof/>
          <w:color w:val="000000" w:themeColor="text1"/>
          <w:sz w:val="20"/>
          <w:szCs w:val="28"/>
        </w:rPr>
        <w:t>Social</w:t>
      </w:r>
      <w:r w:rsidR="00700A18" w:rsidRPr="00490B2A">
        <w:rPr>
          <w:i/>
          <w:iCs/>
          <w:noProof/>
          <w:color w:val="000000" w:themeColor="text1"/>
          <w:sz w:val="20"/>
          <w:szCs w:val="28"/>
        </w:rPr>
        <w:t xml:space="preserve"> </w:t>
      </w:r>
      <w:r w:rsidRPr="00490B2A">
        <w:rPr>
          <w:i/>
          <w:iCs/>
          <w:noProof/>
          <w:color w:val="000000" w:themeColor="text1"/>
          <w:sz w:val="20"/>
          <w:szCs w:val="28"/>
        </w:rPr>
        <w:t>Science</w:t>
      </w:r>
      <w:r w:rsidR="00700A18" w:rsidRPr="00490B2A">
        <w:rPr>
          <w:i/>
          <w:iCs/>
          <w:noProof/>
          <w:color w:val="000000" w:themeColor="text1"/>
          <w:sz w:val="20"/>
          <w:szCs w:val="28"/>
        </w:rPr>
        <w:t xml:space="preserve"> </w:t>
      </w:r>
      <w:r w:rsidRPr="00490B2A">
        <w:rPr>
          <w:i/>
          <w:iCs/>
          <w:noProof/>
          <w:color w:val="000000" w:themeColor="text1"/>
          <w:sz w:val="20"/>
          <w:szCs w:val="28"/>
        </w:rPr>
        <w:t>Quarterly</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84</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242–261.</w:t>
      </w:r>
      <w:r w:rsidR="00700A18" w:rsidRPr="00490B2A">
        <w:rPr>
          <w:noProof/>
          <w:color w:val="000000" w:themeColor="text1"/>
          <w:sz w:val="20"/>
          <w:szCs w:val="28"/>
        </w:rPr>
        <w:t xml:space="preserve"> </w:t>
      </w:r>
      <w:r w:rsidRPr="00490B2A">
        <w:rPr>
          <w:noProof/>
          <w:color w:val="000000" w:themeColor="text1"/>
          <w:sz w:val="20"/>
          <w:szCs w:val="28"/>
        </w:rPr>
        <w:t>https://doi.org/10.1111/1540-6237.8402002</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Cutter,</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Burton,</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w:t>
      </w:r>
      <w:r w:rsidRPr="00490B2A">
        <w:rPr>
          <w:noProof/>
          <w:color w:val="000000" w:themeColor="text1"/>
          <w:sz w:val="20"/>
          <w:szCs w:val="28"/>
        </w:rPr>
        <w:t>G.,</w:t>
      </w:r>
      <w:r w:rsidR="00700A18" w:rsidRPr="00490B2A">
        <w:rPr>
          <w:noProof/>
          <w:color w:val="000000" w:themeColor="text1"/>
          <w:sz w:val="20"/>
          <w:szCs w:val="28"/>
        </w:rPr>
        <w:t xml:space="preserve"> &amp; </w:t>
      </w:r>
      <w:r w:rsidRPr="00490B2A">
        <w:rPr>
          <w:noProof/>
          <w:color w:val="000000" w:themeColor="text1"/>
          <w:sz w:val="20"/>
          <w:szCs w:val="28"/>
        </w:rPr>
        <w:t>Emrich,</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w:t>
      </w:r>
      <w:r w:rsidRPr="00490B2A">
        <w:rPr>
          <w:noProof/>
          <w:color w:val="000000" w:themeColor="text1"/>
          <w:sz w:val="20"/>
          <w:szCs w:val="28"/>
        </w:rPr>
        <w:t>T.</w:t>
      </w:r>
      <w:r w:rsidR="00700A18" w:rsidRPr="00490B2A">
        <w:rPr>
          <w:noProof/>
          <w:color w:val="000000" w:themeColor="text1"/>
          <w:sz w:val="20"/>
          <w:szCs w:val="28"/>
        </w:rPr>
        <w:t xml:space="preserve"> </w:t>
      </w:r>
      <w:r w:rsidRPr="00490B2A">
        <w:rPr>
          <w:noProof/>
          <w:color w:val="000000" w:themeColor="text1"/>
          <w:sz w:val="20"/>
          <w:szCs w:val="28"/>
        </w:rPr>
        <w:t>(2010).</w:t>
      </w:r>
      <w:r w:rsidR="00700A18" w:rsidRPr="00490B2A">
        <w:rPr>
          <w:noProof/>
          <w:color w:val="000000" w:themeColor="text1"/>
          <w:sz w:val="20"/>
          <w:szCs w:val="28"/>
        </w:rPr>
        <w:t xml:space="preserve"> </w:t>
      </w:r>
      <w:r w:rsidRPr="00490B2A">
        <w:rPr>
          <w:noProof/>
          <w:color w:val="000000" w:themeColor="text1"/>
          <w:sz w:val="20"/>
          <w:szCs w:val="28"/>
        </w:rPr>
        <w:t>Disaster</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Indicators</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Benchmarking</w:t>
      </w:r>
      <w:r w:rsidR="00700A18" w:rsidRPr="00490B2A">
        <w:rPr>
          <w:noProof/>
          <w:color w:val="000000" w:themeColor="text1"/>
          <w:sz w:val="20"/>
          <w:szCs w:val="28"/>
        </w:rPr>
        <w:t xml:space="preserve"> </w:t>
      </w:r>
      <w:r w:rsidRPr="00490B2A">
        <w:rPr>
          <w:noProof/>
          <w:color w:val="000000" w:themeColor="text1"/>
          <w:sz w:val="20"/>
          <w:szCs w:val="28"/>
        </w:rPr>
        <w:t>Baseline</w:t>
      </w:r>
      <w:r w:rsidR="00700A18" w:rsidRPr="00490B2A">
        <w:rPr>
          <w:noProof/>
          <w:color w:val="000000" w:themeColor="text1"/>
          <w:sz w:val="20"/>
          <w:szCs w:val="28"/>
        </w:rPr>
        <w:t xml:space="preserve"> </w:t>
      </w:r>
      <w:r w:rsidRPr="00490B2A">
        <w:rPr>
          <w:noProof/>
          <w:color w:val="000000" w:themeColor="text1"/>
          <w:sz w:val="20"/>
          <w:szCs w:val="28"/>
        </w:rPr>
        <w:t>Conditions.</w:t>
      </w:r>
      <w:r w:rsidR="00700A18" w:rsidRPr="00490B2A">
        <w:rPr>
          <w:noProof/>
          <w:color w:val="000000" w:themeColor="text1"/>
          <w:sz w:val="20"/>
          <w:szCs w:val="28"/>
        </w:rPr>
        <w:t xml:space="preserve"> </w:t>
      </w:r>
      <w:r w:rsidRPr="00490B2A">
        <w:rPr>
          <w:i/>
          <w:iCs/>
          <w:noProof/>
          <w:color w:val="000000" w:themeColor="text1"/>
          <w:sz w:val="20"/>
          <w:szCs w:val="28"/>
        </w:rPr>
        <w:t>Journal</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Homeland</w:t>
      </w:r>
      <w:r w:rsidR="00700A18" w:rsidRPr="00490B2A">
        <w:rPr>
          <w:i/>
          <w:iCs/>
          <w:noProof/>
          <w:color w:val="000000" w:themeColor="text1"/>
          <w:sz w:val="20"/>
          <w:szCs w:val="28"/>
        </w:rPr>
        <w:t xml:space="preserve"> </w:t>
      </w:r>
      <w:r w:rsidRPr="00490B2A">
        <w:rPr>
          <w:i/>
          <w:iCs/>
          <w:noProof/>
          <w:color w:val="000000" w:themeColor="text1"/>
          <w:sz w:val="20"/>
          <w:szCs w:val="28"/>
        </w:rPr>
        <w:t>Security</w:t>
      </w:r>
      <w:r w:rsidR="00700A18" w:rsidRPr="00490B2A">
        <w:rPr>
          <w:i/>
          <w:iCs/>
          <w:noProof/>
          <w:color w:val="000000" w:themeColor="text1"/>
          <w:sz w:val="20"/>
          <w:szCs w:val="28"/>
        </w:rPr>
        <w:t xml:space="preserve"> </w:t>
      </w:r>
      <w:r w:rsidRPr="00490B2A">
        <w:rPr>
          <w:i/>
          <w:iCs/>
          <w:noProof/>
          <w:color w:val="000000" w:themeColor="text1"/>
          <w:sz w:val="20"/>
          <w:szCs w:val="28"/>
        </w:rPr>
        <w:t>and</w:t>
      </w:r>
      <w:r w:rsidR="00700A18" w:rsidRPr="00490B2A">
        <w:rPr>
          <w:i/>
          <w:iCs/>
          <w:noProof/>
          <w:color w:val="000000" w:themeColor="text1"/>
          <w:sz w:val="20"/>
          <w:szCs w:val="28"/>
        </w:rPr>
        <w:t xml:space="preserve"> </w:t>
      </w:r>
      <w:r w:rsidRPr="00490B2A">
        <w:rPr>
          <w:i/>
          <w:iCs/>
          <w:noProof/>
          <w:color w:val="000000" w:themeColor="text1"/>
          <w:sz w:val="20"/>
          <w:szCs w:val="28"/>
        </w:rPr>
        <w:t>Emergency</w:t>
      </w:r>
      <w:r w:rsidR="00700A18" w:rsidRPr="00490B2A">
        <w:rPr>
          <w:i/>
          <w:iCs/>
          <w:noProof/>
          <w:color w:val="000000" w:themeColor="text1"/>
          <w:sz w:val="20"/>
          <w:szCs w:val="28"/>
        </w:rPr>
        <w:t xml:space="preserve"> </w:t>
      </w:r>
      <w:r w:rsidRPr="00490B2A">
        <w:rPr>
          <w:i/>
          <w:iCs/>
          <w:noProof/>
          <w:color w:val="000000" w:themeColor="text1"/>
          <w:sz w:val="20"/>
          <w:szCs w:val="28"/>
        </w:rPr>
        <w:t>Management</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7</w:t>
      </w:r>
      <w:r w:rsidRPr="00490B2A">
        <w:rPr>
          <w:noProof/>
          <w:color w:val="000000" w:themeColor="text1"/>
          <w:sz w:val="20"/>
          <w:szCs w:val="28"/>
        </w:rPr>
        <w:t>(1).</w:t>
      </w:r>
      <w:r w:rsidR="00700A18" w:rsidRPr="00490B2A">
        <w:rPr>
          <w:noProof/>
          <w:color w:val="000000" w:themeColor="text1"/>
          <w:sz w:val="20"/>
          <w:szCs w:val="28"/>
        </w:rPr>
        <w:t xml:space="preserve"> </w:t>
      </w:r>
      <w:r w:rsidRPr="00490B2A">
        <w:rPr>
          <w:noProof/>
          <w:color w:val="000000" w:themeColor="text1"/>
          <w:sz w:val="20"/>
          <w:szCs w:val="28"/>
        </w:rPr>
        <w:t>https://doi.org/10.2202/1547-7355.1732</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Cutter,</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&amp; </w:t>
      </w:r>
      <w:r w:rsidRPr="00490B2A">
        <w:rPr>
          <w:noProof/>
          <w:color w:val="000000" w:themeColor="text1"/>
          <w:sz w:val="20"/>
          <w:szCs w:val="28"/>
        </w:rPr>
        <w:t>Finch,</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w:t>
      </w:r>
      <w:r w:rsidRPr="00490B2A">
        <w:rPr>
          <w:noProof/>
          <w:color w:val="000000" w:themeColor="text1"/>
          <w:sz w:val="20"/>
          <w:szCs w:val="28"/>
        </w:rPr>
        <w:t>(2008).</w:t>
      </w:r>
      <w:r w:rsidR="00700A18" w:rsidRPr="00490B2A">
        <w:rPr>
          <w:noProof/>
          <w:color w:val="000000" w:themeColor="text1"/>
          <w:sz w:val="20"/>
          <w:szCs w:val="28"/>
        </w:rPr>
        <w:t xml:space="preserve"> </w:t>
      </w:r>
      <w:r w:rsidRPr="00490B2A">
        <w:rPr>
          <w:noProof/>
          <w:color w:val="000000" w:themeColor="text1"/>
          <w:sz w:val="20"/>
          <w:szCs w:val="28"/>
        </w:rPr>
        <w:t>Temporal</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spatial</w:t>
      </w:r>
      <w:r w:rsidR="00700A18" w:rsidRPr="00490B2A">
        <w:rPr>
          <w:noProof/>
          <w:color w:val="000000" w:themeColor="text1"/>
          <w:sz w:val="20"/>
          <w:szCs w:val="28"/>
        </w:rPr>
        <w:t xml:space="preserve"> </w:t>
      </w:r>
      <w:r w:rsidRPr="00490B2A">
        <w:rPr>
          <w:noProof/>
          <w:color w:val="000000" w:themeColor="text1"/>
          <w:sz w:val="20"/>
          <w:szCs w:val="28"/>
        </w:rPr>
        <w:t>changes</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social</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to</w:t>
      </w:r>
      <w:r w:rsidR="00700A18" w:rsidRPr="00490B2A">
        <w:rPr>
          <w:noProof/>
          <w:color w:val="000000" w:themeColor="text1"/>
          <w:sz w:val="20"/>
          <w:szCs w:val="28"/>
        </w:rPr>
        <w:t xml:space="preserve"> </w:t>
      </w:r>
      <w:r w:rsidRPr="00490B2A">
        <w:rPr>
          <w:noProof/>
          <w:color w:val="000000" w:themeColor="text1"/>
          <w:sz w:val="20"/>
          <w:szCs w:val="28"/>
        </w:rPr>
        <w:t>natural</w:t>
      </w:r>
      <w:r w:rsidR="00700A18" w:rsidRPr="00490B2A">
        <w:rPr>
          <w:noProof/>
          <w:color w:val="000000" w:themeColor="text1"/>
          <w:sz w:val="20"/>
          <w:szCs w:val="28"/>
        </w:rPr>
        <w:t xml:space="preserve"> </w:t>
      </w:r>
      <w:r w:rsidRPr="00490B2A">
        <w:rPr>
          <w:noProof/>
          <w:color w:val="000000" w:themeColor="text1"/>
          <w:sz w:val="20"/>
          <w:szCs w:val="28"/>
        </w:rPr>
        <w:t>hazards.</w:t>
      </w:r>
      <w:r w:rsidR="00700A18" w:rsidRPr="00490B2A">
        <w:rPr>
          <w:noProof/>
          <w:color w:val="000000" w:themeColor="text1"/>
          <w:sz w:val="20"/>
          <w:szCs w:val="28"/>
        </w:rPr>
        <w:t xml:space="preserve"> </w:t>
      </w:r>
      <w:r w:rsidRPr="00490B2A">
        <w:rPr>
          <w:i/>
          <w:iCs/>
          <w:noProof/>
          <w:color w:val="000000" w:themeColor="text1"/>
          <w:sz w:val="20"/>
          <w:szCs w:val="28"/>
        </w:rPr>
        <w:t>Proceedings</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National</w:t>
      </w:r>
      <w:r w:rsidR="00700A18" w:rsidRPr="00490B2A">
        <w:rPr>
          <w:i/>
          <w:iCs/>
          <w:noProof/>
          <w:color w:val="000000" w:themeColor="text1"/>
          <w:sz w:val="20"/>
          <w:szCs w:val="28"/>
        </w:rPr>
        <w:t xml:space="preserve"> </w:t>
      </w:r>
      <w:r w:rsidRPr="00490B2A">
        <w:rPr>
          <w:i/>
          <w:iCs/>
          <w:noProof/>
          <w:color w:val="000000" w:themeColor="text1"/>
          <w:sz w:val="20"/>
          <w:szCs w:val="28"/>
        </w:rPr>
        <w:t>Academy</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Sciences</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United</w:t>
      </w:r>
      <w:r w:rsidR="00700A18" w:rsidRPr="00490B2A">
        <w:rPr>
          <w:i/>
          <w:iCs/>
          <w:noProof/>
          <w:color w:val="000000" w:themeColor="text1"/>
          <w:sz w:val="20"/>
          <w:szCs w:val="28"/>
        </w:rPr>
        <w:t xml:space="preserve"> </w:t>
      </w:r>
      <w:r w:rsidRPr="00490B2A">
        <w:rPr>
          <w:i/>
          <w:iCs/>
          <w:noProof/>
          <w:color w:val="000000" w:themeColor="text1"/>
          <w:sz w:val="20"/>
          <w:szCs w:val="28"/>
        </w:rPr>
        <w:t>States</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America</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105</w:t>
      </w:r>
      <w:r w:rsidRPr="00490B2A">
        <w:rPr>
          <w:noProof/>
          <w:color w:val="000000" w:themeColor="text1"/>
          <w:sz w:val="20"/>
          <w:szCs w:val="28"/>
        </w:rPr>
        <w:t>(7),</w:t>
      </w:r>
      <w:r w:rsidR="00700A18" w:rsidRPr="00490B2A">
        <w:rPr>
          <w:noProof/>
          <w:color w:val="000000" w:themeColor="text1"/>
          <w:sz w:val="20"/>
          <w:szCs w:val="28"/>
        </w:rPr>
        <w:t xml:space="preserve"> </w:t>
      </w:r>
      <w:r w:rsidRPr="00490B2A">
        <w:rPr>
          <w:noProof/>
          <w:color w:val="000000" w:themeColor="text1"/>
          <w:sz w:val="20"/>
          <w:szCs w:val="28"/>
        </w:rPr>
        <w:t>2301–2306.</w:t>
      </w:r>
      <w:r w:rsidR="00700A18" w:rsidRPr="00490B2A">
        <w:rPr>
          <w:noProof/>
          <w:color w:val="000000" w:themeColor="text1"/>
          <w:sz w:val="20"/>
          <w:szCs w:val="28"/>
        </w:rPr>
        <w:t xml:space="preserve"> </w:t>
      </w:r>
      <w:r w:rsidRPr="00490B2A">
        <w:rPr>
          <w:noProof/>
          <w:color w:val="000000" w:themeColor="text1"/>
          <w:sz w:val="20"/>
          <w:szCs w:val="28"/>
        </w:rPr>
        <w:t>https://doi.org/10.1073/pnas.0710375105</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Cutter,</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Mitchell,</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T.,</w:t>
      </w:r>
      <w:r w:rsidR="00700A18" w:rsidRPr="00490B2A">
        <w:rPr>
          <w:noProof/>
          <w:color w:val="000000" w:themeColor="text1"/>
          <w:sz w:val="20"/>
          <w:szCs w:val="28"/>
        </w:rPr>
        <w:t xml:space="preserve"> &amp; </w:t>
      </w:r>
      <w:r w:rsidRPr="00490B2A">
        <w:rPr>
          <w:noProof/>
          <w:color w:val="000000" w:themeColor="text1"/>
          <w:sz w:val="20"/>
          <w:szCs w:val="28"/>
        </w:rPr>
        <w:t>Scott,</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(2000).</w:t>
      </w:r>
      <w:r w:rsidR="00700A18" w:rsidRPr="00490B2A">
        <w:rPr>
          <w:noProof/>
          <w:color w:val="000000" w:themeColor="text1"/>
          <w:sz w:val="20"/>
          <w:szCs w:val="28"/>
        </w:rPr>
        <w:t xml:space="preserve"> </w:t>
      </w:r>
      <w:r w:rsidRPr="00490B2A">
        <w:rPr>
          <w:noProof/>
          <w:color w:val="000000" w:themeColor="text1"/>
          <w:sz w:val="20"/>
          <w:szCs w:val="28"/>
        </w:rPr>
        <w:t>Revealing</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people</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places:</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case</w:t>
      </w:r>
      <w:r w:rsidR="00700A18" w:rsidRPr="00490B2A">
        <w:rPr>
          <w:noProof/>
          <w:color w:val="000000" w:themeColor="text1"/>
          <w:sz w:val="20"/>
          <w:szCs w:val="28"/>
        </w:rPr>
        <w:t xml:space="preserve"> </w:t>
      </w:r>
      <w:r w:rsidRPr="00490B2A">
        <w:rPr>
          <w:noProof/>
          <w:color w:val="000000" w:themeColor="text1"/>
          <w:sz w:val="20"/>
          <w:szCs w:val="28"/>
        </w:rPr>
        <w:t>study</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georgetown</w:t>
      </w:r>
      <w:r w:rsidR="00700A18" w:rsidRPr="00490B2A">
        <w:rPr>
          <w:noProof/>
          <w:color w:val="000000" w:themeColor="text1"/>
          <w:sz w:val="20"/>
          <w:szCs w:val="28"/>
        </w:rPr>
        <w:t xml:space="preserve"> </w:t>
      </w:r>
      <w:r w:rsidRPr="00490B2A">
        <w:rPr>
          <w:noProof/>
          <w:color w:val="000000" w:themeColor="text1"/>
          <w:sz w:val="20"/>
          <w:szCs w:val="28"/>
        </w:rPr>
        <w:t>county,</w:t>
      </w:r>
      <w:r w:rsidR="00700A18" w:rsidRPr="00490B2A">
        <w:rPr>
          <w:noProof/>
          <w:color w:val="000000" w:themeColor="text1"/>
          <w:sz w:val="20"/>
          <w:szCs w:val="28"/>
        </w:rPr>
        <w:t xml:space="preserve"> </w:t>
      </w:r>
      <w:r w:rsidRPr="00490B2A">
        <w:rPr>
          <w:noProof/>
          <w:color w:val="000000" w:themeColor="text1"/>
          <w:sz w:val="20"/>
          <w:szCs w:val="28"/>
        </w:rPr>
        <w:t>South</w:t>
      </w:r>
      <w:r w:rsidR="00700A18" w:rsidRPr="00490B2A">
        <w:rPr>
          <w:noProof/>
          <w:color w:val="000000" w:themeColor="text1"/>
          <w:sz w:val="20"/>
          <w:szCs w:val="28"/>
        </w:rPr>
        <w:t xml:space="preserve"> </w:t>
      </w:r>
      <w:r w:rsidRPr="00490B2A">
        <w:rPr>
          <w:noProof/>
          <w:color w:val="000000" w:themeColor="text1"/>
          <w:sz w:val="20"/>
          <w:szCs w:val="28"/>
        </w:rPr>
        <w:t>Carolina.</w:t>
      </w:r>
      <w:r w:rsidR="00700A18" w:rsidRPr="00490B2A">
        <w:rPr>
          <w:noProof/>
          <w:color w:val="000000" w:themeColor="text1"/>
          <w:sz w:val="20"/>
          <w:szCs w:val="28"/>
        </w:rPr>
        <w:t xml:space="preserve"> </w:t>
      </w:r>
      <w:r w:rsidRPr="00490B2A">
        <w:rPr>
          <w:i/>
          <w:iCs/>
          <w:noProof/>
          <w:color w:val="000000" w:themeColor="text1"/>
          <w:sz w:val="20"/>
          <w:szCs w:val="28"/>
        </w:rPr>
        <w:t>Annals</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Association</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American</w:t>
      </w:r>
      <w:r w:rsidR="00700A18" w:rsidRPr="00490B2A">
        <w:rPr>
          <w:i/>
          <w:iCs/>
          <w:noProof/>
          <w:color w:val="000000" w:themeColor="text1"/>
          <w:sz w:val="20"/>
          <w:szCs w:val="28"/>
        </w:rPr>
        <w:t xml:space="preserve"> </w:t>
      </w:r>
      <w:r w:rsidRPr="00490B2A">
        <w:rPr>
          <w:i/>
          <w:iCs/>
          <w:noProof/>
          <w:color w:val="000000" w:themeColor="text1"/>
          <w:sz w:val="20"/>
          <w:szCs w:val="28"/>
        </w:rPr>
        <w:t>Geographers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90</w:t>
      </w:r>
      <w:r w:rsidRPr="00490B2A">
        <w:rPr>
          <w:noProof/>
          <w:color w:val="000000" w:themeColor="text1"/>
          <w:sz w:val="20"/>
          <w:szCs w:val="28"/>
        </w:rPr>
        <w:t>(4),</w:t>
      </w:r>
      <w:r w:rsidR="00700A18" w:rsidRPr="00490B2A">
        <w:rPr>
          <w:noProof/>
          <w:color w:val="000000" w:themeColor="text1"/>
          <w:sz w:val="20"/>
          <w:szCs w:val="28"/>
        </w:rPr>
        <w:t xml:space="preserve"> </w:t>
      </w:r>
      <w:r w:rsidRPr="00490B2A">
        <w:rPr>
          <w:noProof/>
          <w:color w:val="000000" w:themeColor="text1"/>
          <w:sz w:val="20"/>
          <w:szCs w:val="28"/>
        </w:rPr>
        <w:t>713–737.</w:t>
      </w:r>
      <w:r w:rsidR="00700A18" w:rsidRPr="00490B2A">
        <w:rPr>
          <w:noProof/>
          <w:color w:val="000000" w:themeColor="text1"/>
          <w:sz w:val="20"/>
          <w:szCs w:val="28"/>
        </w:rPr>
        <w:t xml:space="preserve"> </w:t>
      </w:r>
      <w:r w:rsidRPr="00490B2A">
        <w:rPr>
          <w:noProof/>
          <w:color w:val="000000" w:themeColor="text1"/>
          <w:sz w:val="20"/>
          <w:szCs w:val="28"/>
        </w:rPr>
        <w:t>https://doi.org/10.1111/0004-5608.00219</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Development,</w:t>
      </w:r>
      <w:r w:rsidR="00700A18" w:rsidRPr="00490B2A">
        <w:rPr>
          <w:noProof/>
          <w:color w:val="000000" w:themeColor="text1"/>
          <w:sz w:val="20"/>
          <w:szCs w:val="28"/>
        </w:rPr>
        <w:t xml:space="preserve"> </w:t>
      </w:r>
      <w:r w:rsidRPr="00490B2A">
        <w:rPr>
          <w:noProof/>
          <w:color w:val="000000" w:themeColor="text1"/>
          <w:sz w:val="20"/>
          <w:szCs w:val="28"/>
        </w:rPr>
        <w:t>P.</w:t>
      </w:r>
      <w:r w:rsidR="00700A18" w:rsidRPr="00490B2A">
        <w:rPr>
          <w:noProof/>
          <w:color w:val="000000" w:themeColor="text1"/>
          <w:sz w:val="20"/>
          <w:szCs w:val="28"/>
        </w:rPr>
        <w:t xml:space="preserve"> &amp;, </w:t>
      </w:r>
      <w:r w:rsidRPr="00490B2A">
        <w:rPr>
          <w:noProof/>
          <w:color w:val="000000" w:themeColor="text1"/>
          <w:sz w:val="20"/>
          <w:szCs w:val="28"/>
        </w:rPr>
        <w:t>Department,</w:t>
      </w:r>
      <w:r w:rsidR="00700A18" w:rsidRPr="00490B2A">
        <w:rPr>
          <w:noProof/>
          <w:color w:val="000000" w:themeColor="text1"/>
          <w:sz w:val="20"/>
          <w:szCs w:val="28"/>
        </w:rPr>
        <w:t xml:space="preserve"> </w:t>
      </w:r>
      <w:r w:rsidRPr="00490B2A">
        <w:rPr>
          <w:noProof/>
          <w:color w:val="000000" w:themeColor="text1"/>
          <w:sz w:val="20"/>
          <w:szCs w:val="28"/>
        </w:rPr>
        <w:t>G.</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&amp; </w:t>
      </w:r>
      <w:r w:rsidRPr="00490B2A">
        <w:rPr>
          <w:noProof/>
          <w:color w:val="000000" w:themeColor="text1"/>
          <w:sz w:val="20"/>
          <w:szCs w:val="28"/>
        </w:rPr>
        <w:t>UNICEF,</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w:t>
      </w:r>
      <w:r w:rsidRPr="00490B2A">
        <w:rPr>
          <w:noProof/>
          <w:color w:val="000000" w:themeColor="text1"/>
          <w:sz w:val="20"/>
          <w:szCs w:val="28"/>
        </w:rPr>
        <w:t>with.</w:t>
      </w:r>
      <w:r w:rsidR="00700A18" w:rsidRPr="00490B2A">
        <w:rPr>
          <w:noProof/>
          <w:color w:val="000000" w:themeColor="text1"/>
          <w:sz w:val="20"/>
          <w:szCs w:val="28"/>
        </w:rPr>
        <w:t xml:space="preserve"> </w:t>
      </w:r>
      <w:r w:rsidRPr="00490B2A">
        <w:rPr>
          <w:noProof/>
          <w:color w:val="000000" w:themeColor="text1"/>
          <w:sz w:val="20"/>
          <w:szCs w:val="28"/>
        </w:rPr>
        <w:t>(2009).</w:t>
      </w:r>
      <w:r w:rsidR="00700A18" w:rsidRPr="00490B2A">
        <w:rPr>
          <w:noProof/>
          <w:color w:val="000000" w:themeColor="text1"/>
          <w:sz w:val="20"/>
          <w:szCs w:val="28"/>
        </w:rPr>
        <w:t xml:space="preserve"> </w:t>
      </w:r>
      <w:r w:rsidRPr="00490B2A">
        <w:rPr>
          <w:noProof/>
          <w:color w:val="000000" w:themeColor="text1"/>
          <w:sz w:val="20"/>
          <w:szCs w:val="28"/>
        </w:rPr>
        <w:t>District</w:t>
      </w:r>
      <w:r w:rsidR="00700A18" w:rsidRPr="00490B2A">
        <w:rPr>
          <w:noProof/>
          <w:color w:val="000000" w:themeColor="text1"/>
          <w:sz w:val="20"/>
          <w:szCs w:val="28"/>
        </w:rPr>
        <w:t xml:space="preserve"> </w:t>
      </w:r>
      <w:r w:rsidRPr="00490B2A">
        <w:rPr>
          <w:noProof/>
          <w:color w:val="000000" w:themeColor="text1"/>
          <w:sz w:val="20"/>
          <w:szCs w:val="28"/>
        </w:rPr>
        <w:t>Development</w:t>
      </w:r>
      <w:r w:rsidR="00700A18" w:rsidRPr="00490B2A">
        <w:rPr>
          <w:noProof/>
          <w:color w:val="000000" w:themeColor="text1"/>
          <w:sz w:val="20"/>
          <w:szCs w:val="28"/>
        </w:rPr>
        <w:t xml:space="preserve"> </w:t>
      </w:r>
      <w:r w:rsidRPr="00490B2A">
        <w:rPr>
          <w:noProof/>
          <w:color w:val="000000" w:themeColor="text1"/>
          <w:sz w:val="20"/>
          <w:szCs w:val="28"/>
        </w:rPr>
        <w:t>Report.</w:t>
      </w:r>
      <w:r w:rsidR="00700A18" w:rsidRPr="00490B2A">
        <w:rPr>
          <w:noProof/>
          <w:color w:val="000000" w:themeColor="text1"/>
          <w:sz w:val="20"/>
          <w:szCs w:val="28"/>
        </w:rPr>
        <w:t xml:space="preserve"> </w:t>
      </w:r>
      <w:r w:rsidRPr="00490B2A">
        <w:rPr>
          <w:i/>
          <w:iCs/>
          <w:noProof/>
          <w:color w:val="000000" w:themeColor="text1"/>
          <w:sz w:val="20"/>
          <w:szCs w:val="28"/>
        </w:rPr>
        <w:t>District</w:t>
      </w:r>
      <w:r w:rsidR="00700A18" w:rsidRPr="00490B2A">
        <w:rPr>
          <w:i/>
          <w:iCs/>
          <w:noProof/>
          <w:color w:val="000000" w:themeColor="text1"/>
          <w:sz w:val="20"/>
          <w:szCs w:val="28"/>
        </w:rPr>
        <w:t xml:space="preserve"> </w:t>
      </w:r>
      <w:r w:rsidRPr="00490B2A">
        <w:rPr>
          <w:i/>
          <w:iCs/>
          <w:noProof/>
          <w:color w:val="000000" w:themeColor="text1"/>
          <w:sz w:val="20"/>
          <w:szCs w:val="28"/>
        </w:rPr>
        <w:t>Development</w:t>
      </w:r>
      <w:r w:rsidR="00700A18" w:rsidRPr="00490B2A">
        <w:rPr>
          <w:i/>
          <w:iCs/>
          <w:noProof/>
          <w:color w:val="000000" w:themeColor="text1"/>
          <w:sz w:val="20"/>
          <w:szCs w:val="28"/>
        </w:rPr>
        <w:t xml:space="preserve"> </w:t>
      </w:r>
      <w:r w:rsidRPr="00490B2A">
        <w:rPr>
          <w:i/>
          <w:iCs/>
          <w:noProof/>
          <w:color w:val="000000" w:themeColor="text1"/>
          <w:sz w:val="20"/>
          <w:szCs w:val="28"/>
        </w:rPr>
        <w:t>Profile</w:t>
      </w:r>
      <w:r w:rsidR="00700A18" w:rsidRPr="00490B2A">
        <w:rPr>
          <w:i/>
          <w:iCs/>
          <w:noProof/>
          <w:color w:val="000000" w:themeColor="text1"/>
          <w:sz w:val="20"/>
          <w:szCs w:val="28"/>
        </w:rPr>
        <w:t xml:space="preserve"> </w:t>
      </w:r>
      <w:r w:rsidRPr="00490B2A">
        <w:rPr>
          <w:i/>
          <w:iCs/>
          <w:noProof/>
          <w:color w:val="000000" w:themeColor="text1"/>
          <w:sz w:val="20"/>
          <w:szCs w:val="28"/>
        </w:rPr>
        <w:t>2011</w:t>
      </w:r>
      <w:r w:rsidRPr="00490B2A">
        <w:rPr>
          <w:noProof/>
          <w:color w:val="000000" w:themeColor="text1"/>
          <w:sz w:val="20"/>
          <w:szCs w:val="28"/>
        </w:rPr>
        <w:t>,</w:t>
      </w:r>
      <w:r w:rsidR="00700A18" w:rsidRPr="00490B2A">
        <w:rPr>
          <w:noProof/>
          <w:color w:val="000000" w:themeColor="text1"/>
          <w:sz w:val="20"/>
          <w:szCs w:val="28"/>
        </w:rPr>
        <w:t xml:space="preserve"> </w:t>
      </w:r>
      <w:r w:rsidRPr="00490B2A">
        <w:rPr>
          <w:noProof/>
          <w:color w:val="000000" w:themeColor="text1"/>
          <w:sz w:val="20"/>
          <w:szCs w:val="28"/>
        </w:rPr>
        <w:t>(July</w:t>
      </w:r>
      <w:r w:rsidR="00700A18" w:rsidRPr="00490B2A">
        <w:rPr>
          <w:noProof/>
          <w:color w:val="000000" w:themeColor="text1"/>
          <w:sz w:val="20"/>
          <w:szCs w:val="28"/>
        </w:rPr>
        <w:t xml:space="preserve"> </w:t>
      </w:r>
      <w:r w:rsidRPr="00490B2A">
        <w:rPr>
          <w:noProof/>
          <w:color w:val="000000" w:themeColor="text1"/>
          <w:sz w:val="20"/>
          <w:szCs w:val="28"/>
        </w:rPr>
        <w:t>18,</w:t>
      </w:r>
      <w:r w:rsidR="00700A18" w:rsidRPr="00490B2A">
        <w:rPr>
          <w:noProof/>
          <w:color w:val="000000" w:themeColor="text1"/>
          <w:sz w:val="20"/>
          <w:szCs w:val="28"/>
        </w:rPr>
        <w:t xml:space="preserve"> </w:t>
      </w:r>
      <w:r w:rsidRPr="00490B2A">
        <w:rPr>
          <w:noProof/>
          <w:color w:val="000000" w:themeColor="text1"/>
          <w:sz w:val="20"/>
          <w:szCs w:val="28"/>
        </w:rPr>
        <w:t>2011),</w:t>
      </w:r>
      <w:r w:rsidR="00700A18" w:rsidRPr="00490B2A">
        <w:rPr>
          <w:noProof/>
          <w:color w:val="000000" w:themeColor="text1"/>
          <w:sz w:val="20"/>
          <w:szCs w:val="28"/>
        </w:rPr>
        <w:t xml:space="preserve"> </w:t>
      </w:r>
      <w:r w:rsidRPr="00490B2A">
        <w:rPr>
          <w:noProof/>
          <w:color w:val="000000" w:themeColor="text1"/>
          <w:sz w:val="20"/>
          <w:szCs w:val="28"/>
        </w:rPr>
        <w:t>73.</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Fassinger,</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&amp; </w:t>
      </w:r>
      <w:r w:rsidRPr="00490B2A">
        <w:rPr>
          <w:noProof/>
          <w:color w:val="000000" w:themeColor="text1"/>
          <w:sz w:val="20"/>
          <w:szCs w:val="28"/>
        </w:rPr>
        <w:t>Morrow,</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(2013).</w:t>
      </w:r>
      <w:r w:rsidR="00700A18" w:rsidRPr="00490B2A">
        <w:rPr>
          <w:noProof/>
          <w:color w:val="000000" w:themeColor="text1"/>
          <w:sz w:val="20"/>
          <w:szCs w:val="28"/>
        </w:rPr>
        <w:t xml:space="preserve"> </w:t>
      </w:r>
      <w:r w:rsidRPr="00490B2A">
        <w:rPr>
          <w:noProof/>
          <w:color w:val="000000" w:themeColor="text1"/>
          <w:sz w:val="20"/>
          <w:szCs w:val="28"/>
        </w:rPr>
        <w:t>Toward</w:t>
      </w:r>
      <w:r w:rsidR="00700A18" w:rsidRPr="00490B2A">
        <w:rPr>
          <w:noProof/>
          <w:color w:val="000000" w:themeColor="text1"/>
          <w:sz w:val="20"/>
          <w:szCs w:val="28"/>
        </w:rPr>
        <w:t xml:space="preserve"> </w:t>
      </w:r>
      <w:r w:rsidRPr="00490B2A">
        <w:rPr>
          <w:noProof/>
          <w:color w:val="000000" w:themeColor="text1"/>
          <w:sz w:val="20"/>
          <w:szCs w:val="28"/>
        </w:rPr>
        <w:t>best</w:t>
      </w:r>
      <w:r w:rsidR="00700A18" w:rsidRPr="00490B2A">
        <w:rPr>
          <w:noProof/>
          <w:color w:val="000000" w:themeColor="text1"/>
          <w:sz w:val="20"/>
          <w:szCs w:val="28"/>
        </w:rPr>
        <w:t xml:space="preserve"> </w:t>
      </w:r>
      <w:r w:rsidRPr="00490B2A">
        <w:rPr>
          <w:noProof/>
          <w:color w:val="000000" w:themeColor="text1"/>
          <w:sz w:val="20"/>
          <w:szCs w:val="28"/>
        </w:rPr>
        <w:t>practices</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quantitative,</w:t>
      </w:r>
      <w:r w:rsidR="00700A18" w:rsidRPr="00490B2A">
        <w:rPr>
          <w:noProof/>
          <w:color w:val="000000" w:themeColor="text1"/>
          <w:sz w:val="20"/>
          <w:szCs w:val="28"/>
        </w:rPr>
        <w:t xml:space="preserve"> </w:t>
      </w:r>
      <w:r w:rsidRPr="00490B2A">
        <w:rPr>
          <w:noProof/>
          <w:color w:val="000000" w:themeColor="text1"/>
          <w:sz w:val="20"/>
          <w:szCs w:val="28"/>
        </w:rPr>
        <w:t>qualitative,</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mixed-</w:t>
      </w:r>
      <w:r w:rsidR="00700A18" w:rsidRPr="00490B2A">
        <w:rPr>
          <w:noProof/>
          <w:color w:val="000000" w:themeColor="text1"/>
          <w:sz w:val="20"/>
          <w:szCs w:val="28"/>
        </w:rPr>
        <w:t xml:space="preserve"> </w:t>
      </w:r>
      <w:r w:rsidRPr="00490B2A">
        <w:rPr>
          <w:noProof/>
          <w:color w:val="000000" w:themeColor="text1"/>
          <w:sz w:val="20"/>
          <w:szCs w:val="28"/>
        </w:rPr>
        <w:t>method</w:t>
      </w:r>
      <w:r w:rsidR="00700A18" w:rsidRPr="00490B2A">
        <w:rPr>
          <w:noProof/>
          <w:color w:val="000000" w:themeColor="text1"/>
          <w:sz w:val="20"/>
          <w:szCs w:val="28"/>
        </w:rPr>
        <w:t xml:space="preserve"> </w:t>
      </w:r>
      <w:r w:rsidRPr="00490B2A">
        <w:rPr>
          <w:noProof/>
          <w:color w:val="000000" w:themeColor="text1"/>
          <w:sz w:val="20"/>
          <w:szCs w:val="28"/>
        </w:rPr>
        <w:t>research:</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social</w:t>
      </w:r>
      <w:r w:rsidR="00700A18" w:rsidRPr="00490B2A">
        <w:rPr>
          <w:noProof/>
          <w:color w:val="000000" w:themeColor="text1"/>
          <w:sz w:val="20"/>
          <w:szCs w:val="28"/>
        </w:rPr>
        <w:t xml:space="preserve"> </w:t>
      </w:r>
      <w:r w:rsidRPr="00490B2A">
        <w:rPr>
          <w:noProof/>
          <w:color w:val="000000" w:themeColor="text1"/>
          <w:sz w:val="20"/>
          <w:szCs w:val="28"/>
        </w:rPr>
        <w:t>justice</w:t>
      </w:r>
      <w:r w:rsidR="00700A18" w:rsidRPr="00490B2A">
        <w:rPr>
          <w:noProof/>
          <w:color w:val="000000" w:themeColor="text1"/>
          <w:sz w:val="20"/>
          <w:szCs w:val="28"/>
        </w:rPr>
        <w:t xml:space="preserve"> </w:t>
      </w:r>
      <w:r w:rsidRPr="00490B2A">
        <w:rPr>
          <w:noProof/>
          <w:color w:val="000000" w:themeColor="text1"/>
          <w:sz w:val="20"/>
          <w:szCs w:val="28"/>
        </w:rPr>
        <w:t>perspective.</w:t>
      </w:r>
      <w:r w:rsidR="00700A18" w:rsidRPr="00490B2A">
        <w:rPr>
          <w:noProof/>
          <w:color w:val="000000" w:themeColor="text1"/>
          <w:sz w:val="20"/>
          <w:szCs w:val="28"/>
        </w:rPr>
        <w:t xml:space="preserve"> </w:t>
      </w:r>
      <w:r w:rsidRPr="00490B2A">
        <w:rPr>
          <w:i/>
          <w:iCs/>
          <w:noProof/>
          <w:color w:val="000000" w:themeColor="text1"/>
          <w:sz w:val="20"/>
          <w:szCs w:val="28"/>
        </w:rPr>
        <w:t>Journal</w:t>
      </w:r>
      <w:r w:rsidR="00700A18" w:rsidRPr="00490B2A">
        <w:rPr>
          <w:i/>
          <w:iCs/>
          <w:noProof/>
          <w:color w:val="000000" w:themeColor="text1"/>
          <w:sz w:val="20"/>
          <w:szCs w:val="28"/>
        </w:rPr>
        <w:t xml:space="preserve"> </w:t>
      </w:r>
      <w:r w:rsidRPr="00490B2A">
        <w:rPr>
          <w:i/>
          <w:iCs/>
          <w:noProof/>
          <w:color w:val="000000" w:themeColor="text1"/>
          <w:sz w:val="20"/>
          <w:szCs w:val="28"/>
        </w:rPr>
        <w:t>for</w:t>
      </w:r>
      <w:r w:rsidR="00700A18" w:rsidRPr="00490B2A">
        <w:rPr>
          <w:i/>
          <w:iCs/>
          <w:noProof/>
          <w:color w:val="000000" w:themeColor="text1"/>
          <w:sz w:val="20"/>
          <w:szCs w:val="28"/>
        </w:rPr>
        <w:t xml:space="preserve"> </w:t>
      </w:r>
      <w:r w:rsidRPr="00490B2A">
        <w:rPr>
          <w:i/>
          <w:iCs/>
          <w:noProof/>
          <w:color w:val="000000" w:themeColor="text1"/>
          <w:sz w:val="20"/>
          <w:szCs w:val="28"/>
        </w:rPr>
        <w:t>Social</w:t>
      </w:r>
      <w:r w:rsidR="00700A18" w:rsidRPr="00490B2A">
        <w:rPr>
          <w:i/>
          <w:iCs/>
          <w:noProof/>
          <w:color w:val="000000" w:themeColor="text1"/>
          <w:sz w:val="20"/>
          <w:szCs w:val="28"/>
        </w:rPr>
        <w:t xml:space="preserve"> </w:t>
      </w:r>
      <w:r w:rsidRPr="00490B2A">
        <w:rPr>
          <w:i/>
          <w:iCs/>
          <w:noProof/>
          <w:color w:val="000000" w:themeColor="text1"/>
          <w:sz w:val="20"/>
          <w:szCs w:val="28"/>
        </w:rPr>
        <w:t>Action</w:t>
      </w:r>
      <w:r w:rsidR="00700A18" w:rsidRPr="00490B2A">
        <w:rPr>
          <w:i/>
          <w:iCs/>
          <w:noProof/>
          <w:color w:val="000000" w:themeColor="text1"/>
          <w:sz w:val="20"/>
          <w:szCs w:val="28"/>
        </w:rPr>
        <w:t xml:space="preserve"> </w:t>
      </w:r>
      <w:r w:rsidRPr="00490B2A">
        <w:rPr>
          <w:i/>
          <w:iCs/>
          <w:noProof/>
          <w:color w:val="000000" w:themeColor="text1"/>
          <w:sz w:val="20"/>
          <w:szCs w:val="28"/>
        </w:rPr>
        <w:t>in</w:t>
      </w:r>
      <w:r w:rsidR="00700A18" w:rsidRPr="00490B2A">
        <w:rPr>
          <w:i/>
          <w:iCs/>
          <w:noProof/>
          <w:color w:val="000000" w:themeColor="text1"/>
          <w:sz w:val="20"/>
          <w:szCs w:val="28"/>
        </w:rPr>
        <w:t xml:space="preserve"> </w:t>
      </w:r>
      <w:r w:rsidRPr="00490B2A">
        <w:rPr>
          <w:i/>
          <w:iCs/>
          <w:noProof/>
          <w:color w:val="000000" w:themeColor="text1"/>
          <w:sz w:val="20"/>
          <w:szCs w:val="28"/>
        </w:rPr>
        <w:t>Counseling</w:t>
      </w:r>
      <w:r w:rsidR="00700A18" w:rsidRPr="00490B2A">
        <w:rPr>
          <w:i/>
          <w:iCs/>
          <w:noProof/>
          <w:color w:val="000000" w:themeColor="text1"/>
          <w:sz w:val="20"/>
          <w:szCs w:val="28"/>
        </w:rPr>
        <w:t xml:space="preserve"> &amp; </w:t>
      </w:r>
      <w:r w:rsidRPr="00490B2A">
        <w:rPr>
          <w:i/>
          <w:iCs/>
          <w:noProof/>
          <w:color w:val="000000" w:themeColor="text1"/>
          <w:sz w:val="20"/>
          <w:szCs w:val="28"/>
        </w:rPr>
        <w:t>Psychology</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5</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69–83.</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Friedman,</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Dunn,</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V,</w:t>
      </w:r>
      <w:r w:rsidR="00700A18" w:rsidRPr="00490B2A">
        <w:rPr>
          <w:noProof/>
          <w:color w:val="000000" w:themeColor="text1"/>
          <w:sz w:val="20"/>
          <w:szCs w:val="28"/>
        </w:rPr>
        <w:t xml:space="preserve"> &amp; </w:t>
      </w:r>
      <w:r w:rsidRPr="00490B2A">
        <w:rPr>
          <w:noProof/>
          <w:color w:val="000000" w:themeColor="text1"/>
          <w:sz w:val="20"/>
          <w:szCs w:val="28"/>
        </w:rPr>
        <w:t>Merrell</w:t>
      </w:r>
      <w:r w:rsidR="00700A18" w:rsidRPr="00490B2A">
        <w:rPr>
          <w:noProof/>
          <w:color w:val="000000" w:themeColor="text1"/>
          <w:sz w:val="20"/>
          <w:szCs w:val="28"/>
        </w:rPr>
        <w:t xml:space="preserve"> </w:t>
      </w:r>
      <w:r w:rsidRPr="00490B2A">
        <w:rPr>
          <w:noProof/>
          <w:color w:val="000000" w:themeColor="text1"/>
          <w:sz w:val="20"/>
          <w:szCs w:val="28"/>
        </w:rPr>
        <w:t>Jr,</w:t>
      </w:r>
      <w:r w:rsidR="00700A18" w:rsidRPr="00490B2A">
        <w:rPr>
          <w:noProof/>
          <w:color w:val="000000" w:themeColor="text1"/>
          <w:sz w:val="20"/>
          <w:szCs w:val="28"/>
        </w:rPr>
        <w:t xml:space="preserve"> </w:t>
      </w:r>
      <w:r w:rsidRPr="00490B2A">
        <w:rPr>
          <w:noProof/>
          <w:color w:val="000000" w:themeColor="text1"/>
          <w:sz w:val="20"/>
          <w:szCs w:val="28"/>
        </w:rPr>
        <w:t>W.</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(2002).</w:t>
      </w:r>
      <w:r w:rsidR="00700A18" w:rsidRPr="00490B2A">
        <w:rPr>
          <w:noProof/>
          <w:color w:val="000000" w:themeColor="text1"/>
          <w:sz w:val="20"/>
          <w:szCs w:val="28"/>
        </w:rPr>
        <w:t xml:space="preserve"> </w:t>
      </w:r>
      <w:r w:rsidRPr="00490B2A">
        <w:rPr>
          <w:noProof/>
          <w:color w:val="000000" w:themeColor="text1"/>
          <w:sz w:val="20"/>
          <w:szCs w:val="28"/>
        </w:rPr>
        <w:t>Summary</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Heinz</w:t>
      </w:r>
      <w:r w:rsidR="00700A18" w:rsidRPr="00490B2A">
        <w:rPr>
          <w:noProof/>
          <w:color w:val="000000" w:themeColor="text1"/>
          <w:sz w:val="20"/>
          <w:szCs w:val="28"/>
        </w:rPr>
        <w:t xml:space="preserve"> </w:t>
      </w:r>
      <w:r w:rsidRPr="00490B2A">
        <w:rPr>
          <w:noProof/>
          <w:color w:val="000000" w:themeColor="text1"/>
          <w:sz w:val="20"/>
          <w:szCs w:val="28"/>
        </w:rPr>
        <w:t>center</w:t>
      </w:r>
      <w:r w:rsidR="00700A18" w:rsidRPr="00490B2A">
        <w:rPr>
          <w:noProof/>
          <w:color w:val="000000" w:themeColor="text1"/>
          <w:sz w:val="20"/>
          <w:szCs w:val="28"/>
        </w:rPr>
        <w:t xml:space="preserve"> </w:t>
      </w:r>
      <w:r w:rsidRPr="00490B2A">
        <w:rPr>
          <w:noProof/>
          <w:color w:val="000000" w:themeColor="text1"/>
          <w:sz w:val="20"/>
          <w:szCs w:val="28"/>
        </w:rPr>
        <w:t>report</w:t>
      </w:r>
      <w:r w:rsidR="00700A18" w:rsidRPr="00490B2A">
        <w:rPr>
          <w:noProof/>
          <w:color w:val="000000" w:themeColor="text1"/>
          <w:sz w:val="20"/>
          <w:szCs w:val="28"/>
        </w:rPr>
        <w:t xml:space="preserve"> </w:t>
      </w:r>
      <w:r w:rsidRPr="00490B2A">
        <w:rPr>
          <w:noProof/>
          <w:color w:val="000000" w:themeColor="text1"/>
          <w:sz w:val="20"/>
          <w:szCs w:val="28"/>
        </w:rPr>
        <w:t>on</w:t>
      </w:r>
      <w:r w:rsidR="00700A18" w:rsidRPr="00490B2A">
        <w:rPr>
          <w:noProof/>
          <w:color w:val="000000" w:themeColor="text1"/>
          <w:sz w:val="20"/>
          <w:szCs w:val="28"/>
        </w:rPr>
        <w:t xml:space="preserve"> </w:t>
      </w:r>
      <w:r w:rsidRPr="00490B2A">
        <w:rPr>
          <w:noProof/>
          <w:color w:val="000000" w:themeColor="text1"/>
          <w:sz w:val="20"/>
          <w:szCs w:val="28"/>
        </w:rPr>
        <w:t>coastal</w:t>
      </w:r>
      <w:r w:rsidR="00700A18" w:rsidRPr="00490B2A">
        <w:rPr>
          <w:noProof/>
          <w:color w:val="000000" w:themeColor="text1"/>
          <w:sz w:val="20"/>
          <w:szCs w:val="28"/>
        </w:rPr>
        <w:t xml:space="preserve"> </w:t>
      </w:r>
      <w:r w:rsidRPr="00490B2A">
        <w:rPr>
          <w:noProof/>
          <w:color w:val="000000" w:themeColor="text1"/>
          <w:sz w:val="20"/>
          <w:szCs w:val="28"/>
        </w:rPr>
        <w:t>erosion</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National</w:t>
      </w:r>
      <w:r w:rsidR="00700A18" w:rsidRPr="00490B2A">
        <w:rPr>
          <w:noProof/>
          <w:color w:val="000000" w:themeColor="text1"/>
          <w:sz w:val="20"/>
          <w:szCs w:val="28"/>
        </w:rPr>
        <w:t xml:space="preserve"> </w:t>
      </w:r>
      <w:r w:rsidRPr="00490B2A">
        <w:rPr>
          <w:noProof/>
          <w:color w:val="000000" w:themeColor="text1"/>
          <w:sz w:val="20"/>
          <w:szCs w:val="28"/>
        </w:rPr>
        <w:t>Flood</w:t>
      </w:r>
      <w:r w:rsidR="00700A18" w:rsidRPr="00490B2A">
        <w:rPr>
          <w:noProof/>
          <w:color w:val="000000" w:themeColor="text1"/>
          <w:sz w:val="20"/>
          <w:szCs w:val="28"/>
        </w:rPr>
        <w:t xml:space="preserve"> </w:t>
      </w:r>
      <w:r w:rsidRPr="00490B2A">
        <w:rPr>
          <w:noProof/>
          <w:color w:val="000000" w:themeColor="text1"/>
          <w:sz w:val="20"/>
          <w:szCs w:val="28"/>
        </w:rPr>
        <w:t>Insurance</w:t>
      </w:r>
      <w:r w:rsidR="00700A18" w:rsidRPr="00490B2A">
        <w:rPr>
          <w:noProof/>
          <w:color w:val="000000" w:themeColor="text1"/>
          <w:sz w:val="20"/>
          <w:szCs w:val="28"/>
        </w:rPr>
        <w:t xml:space="preserve"> </w:t>
      </w:r>
      <w:r w:rsidRPr="00490B2A">
        <w:rPr>
          <w:noProof/>
          <w:color w:val="000000" w:themeColor="text1"/>
          <w:sz w:val="20"/>
          <w:szCs w:val="28"/>
        </w:rPr>
        <w:t>Program.</w:t>
      </w:r>
      <w:r w:rsidR="00700A18" w:rsidRPr="00490B2A">
        <w:rPr>
          <w:noProof/>
          <w:color w:val="000000" w:themeColor="text1"/>
          <w:sz w:val="20"/>
          <w:szCs w:val="28"/>
        </w:rPr>
        <w:t xml:space="preserve"> </w:t>
      </w:r>
      <w:r w:rsidRPr="00490B2A">
        <w:rPr>
          <w:i/>
          <w:iCs/>
          <w:noProof/>
          <w:color w:val="000000" w:themeColor="text1"/>
          <w:sz w:val="20"/>
          <w:szCs w:val="28"/>
        </w:rPr>
        <w:t>Journal</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Coastal</w:t>
      </w:r>
      <w:r w:rsidR="00700A18" w:rsidRPr="00490B2A">
        <w:rPr>
          <w:i/>
          <w:iCs/>
          <w:noProof/>
          <w:color w:val="000000" w:themeColor="text1"/>
          <w:sz w:val="20"/>
          <w:szCs w:val="28"/>
        </w:rPr>
        <w:t xml:space="preserve"> </w:t>
      </w:r>
      <w:r w:rsidRPr="00490B2A">
        <w:rPr>
          <w:i/>
          <w:iCs/>
          <w:noProof/>
          <w:color w:val="000000" w:themeColor="text1"/>
          <w:sz w:val="20"/>
          <w:szCs w:val="28"/>
        </w:rPr>
        <w:t>Research</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18</w:t>
      </w:r>
      <w:r w:rsidRPr="00490B2A">
        <w:rPr>
          <w:noProof/>
          <w:color w:val="000000" w:themeColor="text1"/>
          <w:sz w:val="20"/>
          <w:szCs w:val="28"/>
        </w:rPr>
        <w:t>(3),</w:t>
      </w:r>
      <w:r w:rsidR="00700A18" w:rsidRPr="00490B2A">
        <w:rPr>
          <w:noProof/>
          <w:color w:val="000000" w:themeColor="text1"/>
          <w:sz w:val="20"/>
          <w:szCs w:val="28"/>
        </w:rPr>
        <w:t xml:space="preserve"> </w:t>
      </w:r>
      <w:r w:rsidRPr="00490B2A">
        <w:rPr>
          <w:noProof/>
          <w:color w:val="000000" w:themeColor="text1"/>
          <w:sz w:val="20"/>
          <w:szCs w:val="28"/>
        </w:rPr>
        <w:t>568–575.</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Gallopín,</w:t>
      </w:r>
      <w:r w:rsidR="00700A18" w:rsidRPr="00490B2A">
        <w:rPr>
          <w:noProof/>
          <w:color w:val="000000" w:themeColor="text1"/>
          <w:sz w:val="20"/>
          <w:szCs w:val="28"/>
        </w:rPr>
        <w:t xml:space="preserve"> </w:t>
      </w:r>
      <w:r w:rsidRPr="00490B2A">
        <w:rPr>
          <w:noProof/>
          <w:color w:val="000000" w:themeColor="text1"/>
          <w:sz w:val="20"/>
          <w:szCs w:val="28"/>
        </w:rPr>
        <w:t>G.</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w:t>
      </w:r>
      <w:r w:rsidRPr="00490B2A">
        <w:rPr>
          <w:noProof/>
          <w:color w:val="000000" w:themeColor="text1"/>
          <w:sz w:val="20"/>
          <w:szCs w:val="28"/>
        </w:rPr>
        <w:t>(2006).</w:t>
      </w:r>
      <w:r w:rsidR="00700A18" w:rsidRPr="00490B2A">
        <w:rPr>
          <w:noProof/>
          <w:color w:val="000000" w:themeColor="text1"/>
          <w:sz w:val="20"/>
          <w:szCs w:val="28"/>
        </w:rPr>
        <w:t xml:space="preserve"> </w:t>
      </w:r>
      <w:r w:rsidRPr="00490B2A">
        <w:rPr>
          <w:noProof/>
          <w:color w:val="000000" w:themeColor="text1"/>
          <w:sz w:val="20"/>
          <w:szCs w:val="28"/>
        </w:rPr>
        <w:t>Linkages</w:t>
      </w:r>
      <w:r w:rsidR="00700A18" w:rsidRPr="00490B2A">
        <w:rPr>
          <w:noProof/>
          <w:color w:val="000000" w:themeColor="text1"/>
          <w:sz w:val="20"/>
          <w:szCs w:val="28"/>
        </w:rPr>
        <w:t xml:space="preserve"> </w:t>
      </w:r>
      <w:r w:rsidRPr="00490B2A">
        <w:rPr>
          <w:noProof/>
          <w:color w:val="000000" w:themeColor="text1"/>
          <w:sz w:val="20"/>
          <w:szCs w:val="28"/>
        </w:rPr>
        <w:t>between</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adaptive</w:t>
      </w:r>
      <w:r w:rsidR="00700A18" w:rsidRPr="00490B2A">
        <w:rPr>
          <w:noProof/>
          <w:color w:val="000000" w:themeColor="text1"/>
          <w:sz w:val="20"/>
          <w:szCs w:val="28"/>
        </w:rPr>
        <w:t xml:space="preserve"> </w:t>
      </w:r>
      <w:r w:rsidRPr="00490B2A">
        <w:rPr>
          <w:noProof/>
          <w:color w:val="000000" w:themeColor="text1"/>
          <w:sz w:val="20"/>
          <w:szCs w:val="28"/>
        </w:rPr>
        <w:t>capacity.</w:t>
      </w:r>
      <w:r w:rsidR="00700A18" w:rsidRPr="00490B2A">
        <w:rPr>
          <w:noProof/>
          <w:color w:val="000000" w:themeColor="text1"/>
          <w:sz w:val="20"/>
          <w:szCs w:val="28"/>
        </w:rPr>
        <w:t xml:space="preserve"> </w:t>
      </w:r>
      <w:r w:rsidRPr="00490B2A">
        <w:rPr>
          <w:i/>
          <w:iCs/>
          <w:noProof/>
          <w:color w:val="000000" w:themeColor="text1"/>
          <w:sz w:val="20"/>
          <w:szCs w:val="28"/>
        </w:rPr>
        <w:t>Global</w:t>
      </w:r>
      <w:r w:rsidR="00700A18" w:rsidRPr="00490B2A">
        <w:rPr>
          <w:i/>
          <w:iCs/>
          <w:noProof/>
          <w:color w:val="000000" w:themeColor="text1"/>
          <w:sz w:val="20"/>
          <w:szCs w:val="28"/>
        </w:rPr>
        <w:t xml:space="preserve"> </w:t>
      </w:r>
      <w:r w:rsidRPr="00490B2A">
        <w:rPr>
          <w:i/>
          <w:iCs/>
          <w:noProof/>
          <w:color w:val="000000" w:themeColor="text1"/>
          <w:sz w:val="20"/>
          <w:szCs w:val="28"/>
        </w:rPr>
        <w:t>Environmental</w:t>
      </w:r>
      <w:r w:rsidR="00700A18" w:rsidRPr="00490B2A">
        <w:rPr>
          <w:i/>
          <w:iCs/>
          <w:noProof/>
          <w:color w:val="000000" w:themeColor="text1"/>
          <w:sz w:val="20"/>
          <w:szCs w:val="28"/>
        </w:rPr>
        <w:t xml:space="preserve"> </w:t>
      </w:r>
      <w:r w:rsidRPr="00490B2A">
        <w:rPr>
          <w:i/>
          <w:iCs/>
          <w:noProof/>
          <w:color w:val="000000" w:themeColor="text1"/>
          <w:sz w:val="20"/>
          <w:szCs w:val="28"/>
        </w:rPr>
        <w:t>Change</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16</w:t>
      </w:r>
      <w:r w:rsidRPr="00490B2A">
        <w:rPr>
          <w:noProof/>
          <w:color w:val="000000" w:themeColor="text1"/>
          <w:sz w:val="20"/>
          <w:szCs w:val="28"/>
        </w:rPr>
        <w:t>(3),</w:t>
      </w:r>
      <w:r w:rsidR="00700A18" w:rsidRPr="00490B2A">
        <w:rPr>
          <w:noProof/>
          <w:color w:val="000000" w:themeColor="text1"/>
          <w:sz w:val="20"/>
          <w:szCs w:val="28"/>
        </w:rPr>
        <w:t xml:space="preserve"> </w:t>
      </w:r>
      <w:r w:rsidRPr="00490B2A">
        <w:rPr>
          <w:noProof/>
          <w:color w:val="000000" w:themeColor="text1"/>
          <w:sz w:val="20"/>
          <w:szCs w:val="28"/>
        </w:rPr>
        <w:t>293–303.</w:t>
      </w:r>
      <w:r w:rsidR="00700A18" w:rsidRPr="00490B2A">
        <w:rPr>
          <w:noProof/>
          <w:color w:val="000000" w:themeColor="text1"/>
          <w:sz w:val="20"/>
          <w:szCs w:val="28"/>
        </w:rPr>
        <w:t xml:space="preserve"> </w:t>
      </w:r>
      <w:r w:rsidRPr="00490B2A">
        <w:rPr>
          <w:noProof/>
          <w:color w:val="000000" w:themeColor="text1"/>
          <w:sz w:val="20"/>
          <w:szCs w:val="28"/>
        </w:rPr>
        <w:t>https://doi.org/10.1016/j.gloenvcha.2006.02.004</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Goel,</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N.,</w:t>
      </w:r>
      <w:r w:rsidR="00700A18" w:rsidRPr="00490B2A">
        <w:rPr>
          <w:noProof/>
          <w:color w:val="000000" w:themeColor="text1"/>
          <w:sz w:val="20"/>
          <w:szCs w:val="28"/>
        </w:rPr>
        <w:t xml:space="preserve"> &amp; </w:t>
      </w:r>
      <w:r w:rsidRPr="00490B2A">
        <w:rPr>
          <w:noProof/>
          <w:color w:val="000000" w:themeColor="text1"/>
          <w:sz w:val="20"/>
          <w:szCs w:val="28"/>
        </w:rPr>
        <w:t>Mehtre,</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(2015).</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Assessment</w:t>
      </w:r>
      <w:r w:rsidR="00700A18" w:rsidRPr="00490B2A">
        <w:rPr>
          <w:noProof/>
          <w:color w:val="000000" w:themeColor="text1"/>
          <w:sz w:val="20"/>
          <w:szCs w:val="28"/>
        </w:rPr>
        <w:t xml:space="preserve"> &amp; </w:t>
      </w:r>
      <w:r w:rsidRPr="00490B2A">
        <w:rPr>
          <w:noProof/>
          <w:color w:val="000000" w:themeColor="text1"/>
          <w:sz w:val="20"/>
          <w:szCs w:val="28"/>
        </w:rPr>
        <w:t>Penetration</w:t>
      </w:r>
      <w:r w:rsidR="00700A18" w:rsidRPr="00490B2A">
        <w:rPr>
          <w:noProof/>
          <w:color w:val="000000" w:themeColor="text1"/>
          <w:sz w:val="20"/>
          <w:szCs w:val="28"/>
        </w:rPr>
        <w:t xml:space="preserve"> </w:t>
      </w:r>
      <w:r w:rsidRPr="00490B2A">
        <w:rPr>
          <w:noProof/>
          <w:color w:val="000000" w:themeColor="text1"/>
          <w:sz w:val="20"/>
          <w:szCs w:val="28"/>
        </w:rPr>
        <w:t>Testing</w:t>
      </w:r>
      <w:r w:rsidR="00700A18" w:rsidRPr="00490B2A">
        <w:rPr>
          <w:noProof/>
          <w:color w:val="000000" w:themeColor="text1"/>
          <w:sz w:val="20"/>
          <w:szCs w:val="28"/>
        </w:rPr>
        <w:t xml:space="preserve"> </w:t>
      </w:r>
      <w:r w:rsidRPr="00490B2A">
        <w:rPr>
          <w:noProof/>
          <w:color w:val="000000" w:themeColor="text1"/>
          <w:sz w:val="20"/>
          <w:szCs w:val="28"/>
        </w:rPr>
        <w:t>as</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Cyber</w:t>
      </w:r>
      <w:r w:rsidR="00700A18" w:rsidRPr="00490B2A">
        <w:rPr>
          <w:noProof/>
          <w:color w:val="000000" w:themeColor="text1"/>
          <w:sz w:val="20"/>
          <w:szCs w:val="28"/>
        </w:rPr>
        <w:t xml:space="preserve"> </w:t>
      </w:r>
      <w:r w:rsidRPr="00490B2A">
        <w:rPr>
          <w:noProof/>
          <w:color w:val="000000" w:themeColor="text1"/>
          <w:sz w:val="20"/>
          <w:szCs w:val="28"/>
        </w:rPr>
        <w:t>Defence</w:t>
      </w:r>
      <w:r w:rsidR="00700A18" w:rsidRPr="00490B2A">
        <w:rPr>
          <w:noProof/>
          <w:color w:val="000000" w:themeColor="text1"/>
          <w:sz w:val="20"/>
          <w:szCs w:val="28"/>
        </w:rPr>
        <w:t xml:space="preserve"> </w:t>
      </w:r>
      <w:r w:rsidRPr="00490B2A">
        <w:rPr>
          <w:noProof/>
          <w:color w:val="000000" w:themeColor="text1"/>
          <w:sz w:val="20"/>
          <w:szCs w:val="28"/>
        </w:rPr>
        <w:t>Technology.</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i/>
          <w:iCs/>
          <w:noProof/>
          <w:color w:val="000000" w:themeColor="text1"/>
          <w:sz w:val="20"/>
          <w:szCs w:val="28"/>
        </w:rPr>
        <w:t>Procedia</w:t>
      </w:r>
      <w:r w:rsidR="00700A18" w:rsidRPr="00490B2A">
        <w:rPr>
          <w:i/>
          <w:iCs/>
          <w:noProof/>
          <w:color w:val="000000" w:themeColor="text1"/>
          <w:sz w:val="20"/>
          <w:szCs w:val="28"/>
        </w:rPr>
        <w:t xml:space="preserve"> </w:t>
      </w:r>
      <w:r w:rsidRPr="00490B2A">
        <w:rPr>
          <w:i/>
          <w:iCs/>
          <w:noProof/>
          <w:color w:val="000000" w:themeColor="text1"/>
          <w:sz w:val="20"/>
          <w:szCs w:val="28"/>
        </w:rPr>
        <w:t>Computer</w:t>
      </w:r>
      <w:r w:rsidR="00700A18" w:rsidRPr="00490B2A">
        <w:rPr>
          <w:i/>
          <w:iCs/>
          <w:noProof/>
          <w:color w:val="000000" w:themeColor="text1"/>
          <w:sz w:val="20"/>
          <w:szCs w:val="28"/>
        </w:rPr>
        <w:t xml:space="preserve"> </w:t>
      </w:r>
      <w:r w:rsidRPr="00490B2A">
        <w:rPr>
          <w:i/>
          <w:iCs/>
          <w:noProof/>
          <w:color w:val="000000" w:themeColor="text1"/>
          <w:sz w:val="20"/>
          <w:szCs w:val="28"/>
        </w:rPr>
        <w:t>Science</w:t>
      </w:r>
      <w:r w:rsidR="00700A18" w:rsidRPr="00490B2A">
        <w:rPr>
          <w:noProof/>
          <w:color w:val="000000" w:themeColor="text1"/>
          <w:sz w:val="20"/>
          <w:szCs w:val="28"/>
        </w:rPr>
        <w:t xml:space="preserve"> </w:t>
      </w:r>
      <w:r w:rsidRPr="00490B2A">
        <w:rPr>
          <w:noProof/>
          <w:color w:val="000000" w:themeColor="text1"/>
          <w:sz w:val="20"/>
          <w:szCs w:val="28"/>
        </w:rPr>
        <w:t>(Vol.</w:t>
      </w:r>
      <w:r w:rsidR="00700A18" w:rsidRPr="00490B2A">
        <w:rPr>
          <w:noProof/>
          <w:color w:val="000000" w:themeColor="text1"/>
          <w:sz w:val="20"/>
          <w:szCs w:val="28"/>
        </w:rPr>
        <w:t xml:space="preserve"> </w:t>
      </w:r>
      <w:r w:rsidRPr="00490B2A">
        <w:rPr>
          <w:noProof/>
          <w:color w:val="000000" w:themeColor="text1"/>
          <w:sz w:val="20"/>
          <w:szCs w:val="28"/>
        </w:rPr>
        <w:t>57,</w:t>
      </w:r>
      <w:r w:rsidR="00700A18" w:rsidRPr="00490B2A">
        <w:rPr>
          <w:noProof/>
          <w:color w:val="000000" w:themeColor="text1"/>
          <w:sz w:val="20"/>
          <w:szCs w:val="28"/>
        </w:rPr>
        <w:t xml:space="preserve"> </w:t>
      </w:r>
      <w:r w:rsidRPr="00490B2A">
        <w:rPr>
          <w:noProof/>
          <w:color w:val="000000" w:themeColor="text1"/>
          <w:sz w:val="20"/>
          <w:szCs w:val="28"/>
        </w:rPr>
        <w:t>pp.</w:t>
      </w:r>
      <w:r w:rsidR="00700A18" w:rsidRPr="00490B2A">
        <w:rPr>
          <w:noProof/>
          <w:color w:val="000000" w:themeColor="text1"/>
          <w:sz w:val="20"/>
          <w:szCs w:val="28"/>
        </w:rPr>
        <w:t xml:space="preserve"> </w:t>
      </w:r>
      <w:r w:rsidRPr="00490B2A">
        <w:rPr>
          <w:noProof/>
          <w:color w:val="000000" w:themeColor="text1"/>
          <w:sz w:val="20"/>
          <w:szCs w:val="28"/>
        </w:rPr>
        <w:t>710–715).</w:t>
      </w:r>
      <w:r w:rsidR="00700A18" w:rsidRPr="00490B2A">
        <w:rPr>
          <w:noProof/>
          <w:color w:val="000000" w:themeColor="text1"/>
          <w:sz w:val="20"/>
          <w:szCs w:val="28"/>
        </w:rPr>
        <w:t xml:space="preserve"> </w:t>
      </w:r>
      <w:r w:rsidRPr="00490B2A">
        <w:rPr>
          <w:noProof/>
          <w:color w:val="000000" w:themeColor="text1"/>
          <w:sz w:val="20"/>
          <w:szCs w:val="28"/>
        </w:rPr>
        <w:t>https://doi.org/10.1016/j.procs.2015.07.458</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lastRenderedPageBreak/>
        <w:t>Habiba,</w:t>
      </w:r>
      <w:r w:rsidR="00700A18" w:rsidRPr="00490B2A">
        <w:rPr>
          <w:noProof/>
          <w:color w:val="000000" w:themeColor="text1"/>
          <w:sz w:val="20"/>
          <w:szCs w:val="28"/>
        </w:rPr>
        <w:t xml:space="preserve"> </w:t>
      </w:r>
      <w:r w:rsidRPr="00490B2A">
        <w:rPr>
          <w:noProof/>
          <w:color w:val="000000" w:themeColor="text1"/>
          <w:sz w:val="20"/>
          <w:szCs w:val="28"/>
        </w:rPr>
        <w:t>U.,</w:t>
      </w:r>
      <w:r w:rsidR="00700A18" w:rsidRPr="00490B2A">
        <w:rPr>
          <w:noProof/>
          <w:color w:val="000000" w:themeColor="text1"/>
          <w:sz w:val="20"/>
          <w:szCs w:val="28"/>
        </w:rPr>
        <w:t xml:space="preserve"> </w:t>
      </w:r>
      <w:r w:rsidRPr="00490B2A">
        <w:rPr>
          <w:noProof/>
          <w:color w:val="000000" w:themeColor="text1"/>
          <w:sz w:val="20"/>
          <w:szCs w:val="28"/>
        </w:rPr>
        <w:t>Shaw,</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&amp; </w:t>
      </w:r>
      <w:r w:rsidRPr="00490B2A">
        <w:rPr>
          <w:noProof/>
          <w:color w:val="000000" w:themeColor="text1"/>
          <w:sz w:val="20"/>
          <w:szCs w:val="28"/>
        </w:rPr>
        <w:t>Takeuchi,</w:t>
      </w:r>
      <w:r w:rsidR="00700A18" w:rsidRPr="00490B2A">
        <w:rPr>
          <w:noProof/>
          <w:color w:val="000000" w:themeColor="text1"/>
          <w:sz w:val="20"/>
          <w:szCs w:val="28"/>
        </w:rPr>
        <w:t xml:space="preserve"> </w:t>
      </w:r>
      <w:r w:rsidRPr="00490B2A">
        <w:rPr>
          <w:noProof/>
          <w:color w:val="000000" w:themeColor="text1"/>
          <w:sz w:val="20"/>
          <w:szCs w:val="28"/>
        </w:rPr>
        <w:t>Y.</w:t>
      </w:r>
      <w:r w:rsidR="00700A18" w:rsidRPr="00490B2A">
        <w:rPr>
          <w:noProof/>
          <w:color w:val="000000" w:themeColor="text1"/>
          <w:sz w:val="20"/>
          <w:szCs w:val="28"/>
        </w:rPr>
        <w:t xml:space="preserve"> </w:t>
      </w:r>
      <w:r w:rsidRPr="00490B2A">
        <w:rPr>
          <w:noProof/>
          <w:color w:val="000000" w:themeColor="text1"/>
          <w:sz w:val="20"/>
          <w:szCs w:val="28"/>
        </w:rPr>
        <w:t>(2011).</w:t>
      </w:r>
      <w:r w:rsidR="00700A18" w:rsidRPr="00490B2A">
        <w:rPr>
          <w:noProof/>
          <w:color w:val="000000" w:themeColor="text1"/>
          <w:sz w:val="20"/>
          <w:szCs w:val="28"/>
        </w:rPr>
        <w:t xml:space="preserve"> </w:t>
      </w:r>
      <w:r w:rsidRPr="00490B2A">
        <w:rPr>
          <w:noProof/>
          <w:color w:val="000000" w:themeColor="text1"/>
          <w:sz w:val="20"/>
          <w:szCs w:val="28"/>
        </w:rPr>
        <w:t>Drought</w:t>
      </w:r>
      <w:r w:rsidR="00700A18" w:rsidRPr="00490B2A">
        <w:rPr>
          <w:noProof/>
          <w:color w:val="000000" w:themeColor="text1"/>
          <w:sz w:val="20"/>
          <w:szCs w:val="28"/>
        </w:rPr>
        <w:t xml:space="preserve"> </w:t>
      </w:r>
      <w:r w:rsidRPr="00490B2A">
        <w:rPr>
          <w:noProof/>
          <w:color w:val="000000" w:themeColor="text1"/>
          <w:sz w:val="20"/>
          <w:szCs w:val="28"/>
        </w:rPr>
        <w:t>risk</w:t>
      </w:r>
      <w:r w:rsidR="00700A18" w:rsidRPr="00490B2A">
        <w:rPr>
          <w:noProof/>
          <w:color w:val="000000" w:themeColor="text1"/>
          <w:sz w:val="20"/>
          <w:szCs w:val="28"/>
        </w:rPr>
        <w:t xml:space="preserve"> </w:t>
      </w:r>
      <w:r w:rsidRPr="00490B2A">
        <w:rPr>
          <w:noProof/>
          <w:color w:val="000000" w:themeColor="text1"/>
          <w:sz w:val="20"/>
          <w:szCs w:val="28"/>
        </w:rPr>
        <w:t>reduction</w:t>
      </w:r>
      <w:r w:rsidR="00700A18" w:rsidRPr="00490B2A">
        <w:rPr>
          <w:noProof/>
          <w:color w:val="000000" w:themeColor="text1"/>
          <w:sz w:val="20"/>
          <w:szCs w:val="28"/>
        </w:rPr>
        <w:t xml:space="preserve"> </w:t>
      </w:r>
      <w:r w:rsidRPr="00490B2A">
        <w:rPr>
          <w:noProof/>
          <w:color w:val="000000" w:themeColor="text1"/>
          <w:sz w:val="20"/>
          <w:szCs w:val="28"/>
        </w:rPr>
        <w:t>through</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socio-economic,</w:t>
      </w:r>
      <w:r w:rsidR="00700A18" w:rsidRPr="00490B2A">
        <w:rPr>
          <w:noProof/>
          <w:color w:val="000000" w:themeColor="text1"/>
          <w:sz w:val="20"/>
          <w:szCs w:val="28"/>
        </w:rPr>
        <w:t xml:space="preserve"> </w:t>
      </w:r>
      <w:r w:rsidRPr="00490B2A">
        <w:rPr>
          <w:noProof/>
          <w:color w:val="000000" w:themeColor="text1"/>
          <w:sz w:val="20"/>
          <w:szCs w:val="28"/>
        </w:rPr>
        <w:t>institutional</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physical</w:t>
      </w:r>
      <w:r w:rsidR="00700A18" w:rsidRPr="00490B2A">
        <w:rPr>
          <w:noProof/>
          <w:color w:val="000000" w:themeColor="text1"/>
          <w:sz w:val="20"/>
          <w:szCs w:val="28"/>
        </w:rPr>
        <w:t xml:space="preserve"> </w:t>
      </w:r>
      <w:r w:rsidRPr="00490B2A">
        <w:rPr>
          <w:noProof/>
          <w:color w:val="000000" w:themeColor="text1"/>
          <w:sz w:val="20"/>
          <w:szCs w:val="28"/>
        </w:rPr>
        <w:t>approach</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northwestern</w:t>
      </w:r>
      <w:r w:rsidR="00700A18" w:rsidRPr="00490B2A">
        <w:rPr>
          <w:noProof/>
          <w:color w:val="000000" w:themeColor="text1"/>
          <w:sz w:val="20"/>
          <w:szCs w:val="28"/>
        </w:rPr>
        <w:t xml:space="preserve"> </w:t>
      </w:r>
      <w:r w:rsidRPr="00490B2A">
        <w:rPr>
          <w:noProof/>
          <w:color w:val="000000" w:themeColor="text1"/>
          <w:sz w:val="20"/>
          <w:szCs w:val="28"/>
        </w:rPr>
        <w:t>region</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Bangladesh.</w:t>
      </w:r>
      <w:r w:rsidR="00700A18" w:rsidRPr="00490B2A">
        <w:rPr>
          <w:noProof/>
          <w:color w:val="000000" w:themeColor="text1"/>
          <w:sz w:val="20"/>
          <w:szCs w:val="28"/>
        </w:rPr>
        <w:t xml:space="preserve"> </w:t>
      </w:r>
      <w:r w:rsidRPr="00490B2A">
        <w:rPr>
          <w:i/>
          <w:iCs/>
          <w:noProof/>
          <w:color w:val="000000" w:themeColor="text1"/>
          <w:sz w:val="20"/>
          <w:szCs w:val="28"/>
        </w:rPr>
        <w:t>Environmental</w:t>
      </w:r>
      <w:r w:rsidR="00700A18" w:rsidRPr="00490B2A">
        <w:rPr>
          <w:i/>
          <w:iCs/>
          <w:noProof/>
          <w:color w:val="000000" w:themeColor="text1"/>
          <w:sz w:val="20"/>
          <w:szCs w:val="28"/>
        </w:rPr>
        <w:t xml:space="preserve"> </w:t>
      </w:r>
      <w:r w:rsidRPr="00490B2A">
        <w:rPr>
          <w:i/>
          <w:iCs/>
          <w:noProof/>
          <w:color w:val="000000" w:themeColor="text1"/>
          <w:sz w:val="20"/>
          <w:szCs w:val="28"/>
        </w:rPr>
        <w:t>Hazards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10</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121–138.</w:t>
      </w:r>
      <w:r w:rsidR="00700A18" w:rsidRPr="00490B2A">
        <w:rPr>
          <w:noProof/>
          <w:color w:val="000000" w:themeColor="text1"/>
          <w:sz w:val="20"/>
          <w:szCs w:val="28"/>
        </w:rPr>
        <w:t xml:space="preserve"> </w:t>
      </w:r>
      <w:r w:rsidRPr="00490B2A">
        <w:rPr>
          <w:noProof/>
          <w:color w:val="000000" w:themeColor="text1"/>
          <w:sz w:val="20"/>
          <w:szCs w:val="28"/>
        </w:rPr>
        <w:t>https://doi.org/10.1080/17477891.2011.582311</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Hewitt,</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(1997).</w:t>
      </w:r>
      <w:r w:rsidR="00700A18" w:rsidRPr="00490B2A">
        <w:rPr>
          <w:noProof/>
          <w:color w:val="000000" w:themeColor="text1"/>
          <w:sz w:val="20"/>
          <w:szCs w:val="28"/>
        </w:rPr>
        <w:t xml:space="preserve"> </w:t>
      </w:r>
      <w:r w:rsidRPr="00490B2A">
        <w:rPr>
          <w:i/>
          <w:iCs/>
          <w:noProof/>
          <w:color w:val="000000" w:themeColor="text1"/>
          <w:sz w:val="20"/>
          <w:szCs w:val="28"/>
        </w:rPr>
        <w:t>Regions</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Risk :</w:t>
      </w:r>
      <w:r w:rsidR="00700A18" w:rsidRPr="00490B2A">
        <w:rPr>
          <w:i/>
          <w:iCs/>
          <w:noProof/>
          <w:color w:val="000000" w:themeColor="text1"/>
          <w:sz w:val="20"/>
          <w:szCs w:val="28"/>
        </w:rPr>
        <w:t xml:space="preserve"> </w:t>
      </w:r>
      <w:r w:rsidRPr="00490B2A">
        <w:rPr>
          <w:i/>
          <w:iCs/>
          <w:noProof/>
          <w:color w:val="000000" w:themeColor="text1"/>
          <w:sz w:val="20"/>
          <w:szCs w:val="28"/>
        </w:rPr>
        <w:t>a</w:t>
      </w:r>
      <w:r w:rsidR="00700A18" w:rsidRPr="00490B2A">
        <w:rPr>
          <w:i/>
          <w:iCs/>
          <w:noProof/>
          <w:color w:val="000000" w:themeColor="text1"/>
          <w:sz w:val="20"/>
          <w:szCs w:val="28"/>
        </w:rPr>
        <w:t xml:space="preserve"> </w:t>
      </w:r>
      <w:r w:rsidRPr="00490B2A">
        <w:rPr>
          <w:i/>
          <w:iCs/>
          <w:noProof/>
          <w:color w:val="000000" w:themeColor="text1"/>
          <w:sz w:val="20"/>
          <w:szCs w:val="28"/>
        </w:rPr>
        <w:t>Geographical</w:t>
      </w:r>
      <w:r w:rsidR="00700A18" w:rsidRPr="00490B2A">
        <w:rPr>
          <w:i/>
          <w:iCs/>
          <w:noProof/>
          <w:color w:val="000000" w:themeColor="text1"/>
          <w:sz w:val="20"/>
          <w:szCs w:val="28"/>
        </w:rPr>
        <w:t xml:space="preserve"> </w:t>
      </w:r>
      <w:r w:rsidRPr="00490B2A">
        <w:rPr>
          <w:i/>
          <w:iCs/>
          <w:noProof/>
          <w:color w:val="000000" w:themeColor="text1"/>
          <w:sz w:val="20"/>
          <w:szCs w:val="28"/>
        </w:rPr>
        <w:t>Introduction</w:t>
      </w:r>
      <w:r w:rsidR="00700A18" w:rsidRPr="00490B2A">
        <w:rPr>
          <w:i/>
          <w:iCs/>
          <w:noProof/>
          <w:color w:val="000000" w:themeColor="text1"/>
          <w:sz w:val="20"/>
          <w:szCs w:val="28"/>
        </w:rPr>
        <w:t xml:space="preserve"> </w:t>
      </w:r>
      <w:r w:rsidRPr="00490B2A">
        <w:rPr>
          <w:i/>
          <w:iCs/>
          <w:noProof/>
          <w:color w:val="000000" w:themeColor="text1"/>
          <w:sz w:val="20"/>
          <w:szCs w:val="28"/>
        </w:rPr>
        <w:t>to</w:t>
      </w:r>
      <w:r w:rsidR="00700A18" w:rsidRPr="00490B2A">
        <w:rPr>
          <w:i/>
          <w:iCs/>
          <w:noProof/>
          <w:color w:val="000000" w:themeColor="text1"/>
          <w:sz w:val="20"/>
          <w:szCs w:val="28"/>
        </w:rPr>
        <w:t xml:space="preserve"> </w:t>
      </w:r>
      <w:r w:rsidRPr="00490B2A">
        <w:rPr>
          <w:i/>
          <w:iCs/>
          <w:noProof/>
          <w:color w:val="000000" w:themeColor="text1"/>
          <w:sz w:val="20"/>
          <w:szCs w:val="28"/>
        </w:rPr>
        <w:t>Disasters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Themes</w:t>
      </w:r>
      <w:r w:rsidR="00700A18" w:rsidRPr="00490B2A">
        <w:rPr>
          <w:i/>
          <w:iCs/>
          <w:noProof/>
          <w:color w:val="000000" w:themeColor="text1"/>
          <w:sz w:val="20"/>
          <w:szCs w:val="28"/>
        </w:rPr>
        <w:t xml:space="preserve"> </w:t>
      </w:r>
      <w:r w:rsidRPr="00490B2A">
        <w:rPr>
          <w:i/>
          <w:iCs/>
          <w:noProof/>
          <w:color w:val="000000" w:themeColor="text1"/>
          <w:sz w:val="20"/>
          <w:szCs w:val="28"/>
        </w:rPr>
        <w:t>in</w:t>
      </w:r>
      <w:r w:rsidR="00700A18" w:rsidRPr="00490B2A">
        <w:rPr>
          <w:i/>
          <w:iCs/>
          <w:noProof/>
          <w:color w:val="000000" w:themeColor="text1"/>
          <w:sz w:val="20"/>
          <w:szCs w:val="28"/>
        </w:rPr>
        <w:t xml:space="preserve"> </w:t>
      </w:r>
      <w:r w:rsidRPr="00490B2A">
        <w:rPr>
          <w:i/>
          <w:iCs/>
          <w:noProof/>
          <w:color w:val="000000" w:themeColor="text1"/>
          <w:sz w:val="20"/>
          <w:szCs w:val="28"/>
        </w:rPr>
        <w:t>resource</w:t>
      </w:r>
      <w:r w:rsidR="00700A18" w:rsidRPr="00490B2A">
        <w:rPr>
          <w:i/>
          <w:iCs/>
          <w:noProof/>
          <w:color w:val="000000" w:themeColor="text1"/>
          <w:sz w:val="20"/>
          <w:szCs w:val="28"/>
        </w:rPr>
        <w:t xml:space="preserve"> </w:t>
      </w:r>
      <w:r w:rsidRPr="00490B2A">
        <w:rPr>
          <w:i/>
          <w:iCs/>
          <w:noProof/>
          <w:color w:val="000000" w:themeColor="text1"/>
          <w:sz w:val="20"/>
          <w:szCs w:val="28"/>
        </w:rPr>
        <w:t>management.</w:t>
      </w:r>
      <w:r w:rsidR="00700A18" w:rsidRPr="00490B2A">
        <w:rPr>
          <w:noProof/>
          <w:color w:val="000000" w:themeColor="text1"/>
          <w:sz w:val="20"/>
          <w:szCs w:val="28"/>
        </w:rPr>
        <w:t xml:space="preserve"> </w:t>
      </w:r>
      <w:r w:rsidRPr="00490B2A">
        <w:rPr>
          <w:noProof/>
          <w:color w:val="000000" w:themeColor="text1"/>
          <w:sz w:val="20"/>
          <w:szCs w:val="28"/>
        </w:rPr>
        <w:t>https://doi.org/10.1016/S0143-6228(97)00049-0</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James,</w:t>
      </w:r>
      <w:r w:rsidR="00700A18" w:rsidRPr="00490B2A">
        <w:rPr>
          <w:noProof/>
          <w:color w:val="000000" w:themeColor="text1"/>
          <w:sz w:val="20"/>
          <w:szCs w:val="28"/>
        </w:rPr>
        <w:t xml:space="preserve"> </w:t>
      </w:r>
      <w:r w:rsidRPr="00490B2A">
        <w:rPr>
          <w:noProof/>
          <w:color w:val="000000" w:themeColor="text1"/>
          <w:sz w:val="20"/>
          <w:szCs w:val="28"/>
        </w:rPr>
        <w:t>E.</w:t>
      </w:r>
      <w:r w:rsidR="00700A18" w:rsidRPr="00490B2A">
        <w:rPr>
          <w:noProof/>
          <w:color w:val="000000" w:themeColor="text1"/>
          <w:sz w:val="20"/>
          <w:szCs w:val="28"/>
        </w:rPr>
        <w:t xml:space="preserve"> </w:t>
      </w:r>
      <w:r w:rsidRPr="00490B2A">
        <w:rPr>
          <w:noProof/>
          <w:color w:val="000000" w:themeColor="text1"/>
          <w:sz w:val="20"/>
          <w:szCs w:val="28"/>
        </w:rPr>
        <w:t>(2008).</w:t>
      </w:r>
      <w:r w:rsidR="00700A18" w:rsidRPr="00490B2A">
        <w:rPr>
          <w:noProof/>
          <w:color w:val="000000" w:themeColor="text1"/>
          <w:sz w:val="20"/>
          <w:szCs w:val="28"/>
        </w:rPr>
        <w:t xml:space="preserve"> </w:t>
      </w:r>
      <w:r w:rsidRPr="00490B2A">
        <w:rPr>
          <w:noProof/>
          <w:color w:val="000000" w:themeColor="text1"/>
          <w:sz w:val="20"/>
          <w:szCs w:val="28"/>
        </w:rPr>
        <w:t>Getting</w:t>
      </w:r>
      <w:r w:rsidR="00700A18" w:rsidRPr="00490B2A">
        <w:rPr>
          <w:noProof/>
          <w:color w:val="000000" w:themeColor="text1"/>
          <w:sz w:val="20"/>
          <w:szCs w:val="28"/>
        </w:rPr>
        <w:t xml:space="preserve"> </w:t>
      </w:r>
      <w:r w:rsidRPr="00490B2A">
        <w:rPr>
          <w:noProof/>
          <w:color w:val="000000" w:themeColor="text1"/>
          <w:sz w:val="20"/>
          <w:szCs w:val="28"/>
        </w:rPr>
        <w:t>ahead</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next</w:t>
      </w:r>
      <w:r w:rsidR="00700A18" w:rsidRPr="00490B2A">
        <w:rPr>
          <w:noProof/>
          <w:color w:val="000000" w:themeColor="text1"/>
          <w:sz w:val="20"/>
          <w:szCs w:val="28"/>
        </w:rPr>
        <w:t xml:space="preserve"> </w:t>
      </w:r>
      <w:r w:rsidRPr="00490B2A">
        <w:rPr>
          <w:noProof/>
          <w:color w:val="000000" w:themeColor="text1"/>
          <w:sz w:val="20"/>
          <w:szCs w:val="28"/>
        </w:rPr>
        <w:t>disaster:</w:t>
      </w:r>
      <w:r w:rsidR="00700A18" w:rsidRPr="00490B2A">
        <w:rPr>
          <w:noProof/>
          <w:color w:val="000000" w:themeColor="text1"/>
          <w:sz w:val="20"/>
          <w:szCs w:val="28"/>
        </w:rPr>
        <w:t xml:space="preserve"> </w:t>
      </w:r>
      <w:r w:rsidRPr="00490B2A">
        <w:rPr>
          <w:noProof/>
          <w:color w:val="000000" w:themeColor="text1"/>
          <w:sz w:val="20"/>
          <w:szCs w:val="28"/>
        </w:rPr>
        <w:t>Recent</w:t>
      </w:r>
      <w:r w:rsidR="00700A18" w:rsidRPr="00490B2A">
        <w:rPr>
          <w:noProof/>
          <w:color w:val="000000" w:themeColor="text1"/>
          <w:sz w:val="20"/>
          <w:szCs w:val="28"/>
        </w:rPr>
        <w:t xml:space="preserve"> </w:t>
      </w:r>
      <w:r w:rsidRPr="00490B2A">
        <w:rPr>
          <w:noProof/>
          <w:color w:val="000000" w:themeColor="text1"/>
          <w:sz w:val="20"/>
          <w:szCs w:val="28"/>
        </w:rPr>
        <w:t>preparedness</w:t>
      </w:r>
      <w:r w:rsidR="00700A18" w:rsidRPr="00490B2A">
        <w:rPr>
          <w:noProof/>
          <w:color w:val="000000" w:themeColor="text1"/>
          <w:sz w:val="20"/>
          <w:szCs w:val="28"/>
        </w:rPr>
        <w:t xml:space="preserve"> </w:t>
      </w:r>
      <w:r w:rsidRPr="00490B2A">
        <w:rPr>
          <w:noProof/>
          <w:color w:val="000000" w:themeColor="text1"/>
          <w:sz w:val="20"/>
          <w:szCs w:val="28"/>
        </w:rPr>
        <w:t>efforts</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Indonesia.</w:t>
      </w:r>
      <w:r w:rsidR="00700A18" w:rsidRPr="00490B2A">
        <w:rPr>
          <w:noProof/>
          <w:color w:val="000000" w:themeColor="text1"/>
          <w:sz w:val="20"/>
          <w:szCs w:val="28"/>
        </w:rPr>
        <w:t xml:space="preserve"> </w:t>
      </w:r>
      <w:r w:rsidRPr="00490B2A">
        <w:rPr>
          <w:i/>
          <w:iCs/>
          <w:noProof/>
          <w:color w:val="000000" w:themeColor="text1"/>
          <w:sz w:val="20"/>
          <w:szCs w:val="28"/>
        </w:rPr>
        <w:t>Development</w:t>
      </w:r>
      <w:r w:rsidR="00700A18" w:rsidRPr="00490B2A">
        <w:rPr>
          <w:i/>
          <w:iCs/>
          <w:noProof/>
          <w:color w:val="000000" w:themeColor="text1"/>
          <w:sz w:val="20"/>
          <w:szCs w:val="28"/>
        </w:rPr>
        <w:t xml:space="preserve"> </w:t>
      </w:r>
      <w:r w:rsidRPr="00490B2A">
        <w:rPr>
          <w:i/>
          <w:iCs/>
          <w:noProof/>
          <w:color w:val="000000" w:themeColor="text1"/>
          <w:sz w:val="20"/>
          <w:szCs w:val="28"/>
        </w:rPr>
        <w:t>in</w:t>
      </w:r>
      <w:r w:rsidR="00700A18" w:rsidRPr="00490B2A">
        <w:rPr>
          <w:i/>
          <w:iCs/>
          <w:noProof/>
          <w:color w:val="000000" w:themeColor="text1"/>
          <w:sz w:val="20"/>
          <w:szCs w:val="28"/>
        </w:rPr>
        <w:t xml:space="preserve"> </w:t>
      </w:r>
      <w:r w:rsidRPr="00490B2A">
        <w:rPr>
          <w:i/>
          <w:iCs/>
          <w:noProof/>
          <w:color w:val="000000" w:themeColor="text1"/>
          <w:sz w:val="20"/>
          <w:szCs w:val="28"/>
        </w:rPr>
        <w:t>Practice</w:t>
      </w:r>
      <w:r w:rsidRPr="00490B2A">
        <w:rPr>
          <w:noProof/>
          <w:color w:val="000000" w:themeColor="text1"/>
          <w:sz w:val="20"/>
          <w:szCs w:val="28"/>
        </w:rPr>
        <w:t>.</w:t>
      </w:r>
      <w:r w:rsidR="00700A18" w:rsidRPr="00490B2A">
        <w:rPr>
          <w:noProof/>
          <w:color w:val="000000" w:themeColor="text1"/>
          <w:sz w:val="20"/>
          <w:szCs w:val="28"/>
        </w:rPr>
        <w:t xml:space="preserve"> </w:t>
      </w:r>
      <w:r w:rsidRPr="00490B2A">
        <w:rPr>
          <w:noProof/>
          <w:color w:val="000000" w:themeColor="text1"/>
          <w:sz w:val="20"/>
          <w:szCs w:val="28"/>
        </w:rPr>
        <w:t>https://doi.org/10.1080/09614520802030607</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Kakar,</w:t>
      </w:r>
      <w:r w:rsidR="00700A18" w:rsidRPr="00490B2A">
        <w:rPr>
          <w:noProof/>
          <w:color w:val="000000" w:themeColor="text1"/>
          <w:sz w:val="20"/>
          <w:szCs w:val="28"/>
        </w:rPr>
        <w:t xml:space="preserve"> </w:t>
      </w:r>
      <w:r w:rsidRPr="00490B2A">
        <w:rPr>
          <w:noProof/>
          <w:color w:val="000000" w:themeColor="text1"/>
          <w:sz w:val="20"/>
          <w:szCs w:val="28"/>
        </w:rPr>
        <w:t>Z.,</w:t>
      </w:r>
      <w:r w:rsidR="00700A18" w:rsidRPr="00490B2A">
        <w:rPr>
          <w:noProof/>
          <w:color w:val="000000" w:themeColor="text1"/>
          <w:sz w:val="20"/>
          <w:szCs w:val="28"/>
        </w:rPr>
        <w:t xml:space="preserve"> &amp; </w:t>
      </w:r>
      <w:r w:rsidRPr="00490B2A">
        <w:rPr>
          <w:noProof/>
          <w:color w:val="000000" w:themeColor="text1"/>
          <w:sz w:val="20"/>
          <w:szCs w:val="28"/>
        </w:rPr>
        <w:t>Ahmad,</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(2013).</w:t>
      </w:r>
      <w:r w:rsidR="00700A18" w:rsidRPr="00490B2A">
        <w:rPr>
          <w:noProof/>
          <w:color w:val="000000" w:themeColor="text1"/>
          <w:sz w:val="20"/>
          <w:szCs w:val="28"/>
        </w:rPr>
        <w:t xml:space="preserve"> </w:t>
      </w:r>
      <w:r w:rsidRPr="00490B2A">
        <w:rPr>
          <w:noProof/>
          <w:color w:val="000000" w:themeColor="text1"/>
          <w:sz w:val="20"/>
          <w:szCs w:val="28"/>
        </w:rPr>
        <w:t>Study</w:t>
      </w:r>
      <w:r w:rsidR="00700A18" w:rsidRPr="00490B2A">
        <w:rPr>
          <w:noProof/>
          <w:color w:val="000000" w:themeColor="text1"/>
          <w:sz w:val="20"/>
          <w:szCs w:val="28"/>
        </w:rPr>
        <w:t xml:space="preserve"> </w:t>
      </w:r>
      <w:r w:rsidRPr="00490B2A">
        <w:rPr>
          <w:noProof/>
          <w:color w:val="000000" w:themeColor="text1"/>
          <w:sz w:val="20"/>
          <w:szCs w:val="28"/>
        </w:rPr>
        <w:t>on</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causes</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Water</w:t>
      </w:r>
      <w:r w:rsidR="00700A18" w:rsidRPr="00490B2A">
        <w:rPr>
          <w:noProof/>
          <w:color w:val="000000" w:themeColor="text1"/>
          <w:sz w:val="20"/>
          <w:szCs w:val="28"/>
        </w:rPr>
        <w:t xml:space="preserve"> </w:t>
      </w:r>
      <w:r w:rsidRPr="00490B2A">
        <w:rPr>
          <w:noProof/>
          <w:color w:val="000000" w:themeColor="text1"/>
          <w:sz w:val="20"/>
          <w:szCs w:val="28"/>
        </w:rPr>
        <w:t>Scarcity</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Pishin</w:t>
      </w:r>
      <w:r w:rsidR="00700A18" w:rsidRPr="00490B2A">
        <w:rPr>
          <w:noProof/>
          <w:color w:val="000000" w:themeColor="text1"/>
          <w:sz w:val="20"/>
          <w:szCs w:val="28"/>
        </w:rPr>
        <w:t xml:space="preserve"> </w:t>
      </w:r>
      <w:r w:rsidRPr="00490B2A">
        <w:rPr>
          <w:noProof/>
          <w:color w:val="000000" w:themeColor="text1"/>
          <w:sz w:val="20"/>
          <w:szCs w:val="28"/>
        </w:rPr>
        <w:t>Lora</w:t>
      </w:r>
      <w:r w:rsidR="00700A18" w:rsidRPr="00490B2A">
        <w:rPr>
          <w:noProof/>
          <w:color w:val="000000" w:themeColor="text1"/>
          <w:sz w:val="20"/>
          <w:szCs w:val="28"/>
        </w:rPr>
        <w:t xml:space="preserve"> </w:t>
      </w:r>
      <w:r w:rsidRPr="00490B2A">
        <w:rPr>
          <w:noProof/>
          <w:color w:val="000000" w:themeColor="text1"/>
          <w:sz w:val="20"/>
          <w:szCs w:val="28"/>
        </w:rPr>
        <w:t>Basin</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Balochistan,</w:t>
      </w:r>
      <w:r w:rsidR="00700A18" w:rsidRPr="00490B2A">
        <w:rPr>
          <w:noProof/>
          <w:color w:val="000000" w:themeColor="text1"/>
          <w:sz w:val="20"/>
          <w:szCs w:val="28"/>
        </w:rPr>
        <w:t xml:space="preserve"> </w:t>
      </w:r>
      <w:r w:rsidRPr="00490B2A">
        <w:rPr>
          <w:i/>
          <w:iCs/>
          <w:noProof/>
          <w:color w:val="000000" w:themeColor="text1"/>
          <w:sz w:val="20"/>
          <w:szCs w:val="28"/>
        </w:rPr>
        <w:t>4</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135–140.</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Kapoi,</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&amp; </w:t>
      </w:r>
      <w:r w:rsidRPr="00490B2A">
        <w:rPr>
          <w:noProof/>
          <w:color w:val="000000" w:themeColor="text1"/>
          <w:sz w:val="20"/>
          <w:szCs w:val="28"/>
        </w:rPr>
        <w:t>Mundia,</w:t>
      </w:r>
      <w:r w:rsidR="00700A18" w:rsidRPr="00490B2A">
        <w:rPr>
          <w:noProof/>
          <w:color w:val="000000" w:themeColor="text1"/>
          <w:sz w:val="20"/>
          <w:szCs w:val="28"/>
        </w:rPr>
        <w:t xml:space="preserve"> </w:t>
      </w:r>
      <w:r w:rsidRPr="00490B2A">
        <w:rPr>
          <w:noProof/>
          <w:color w:val="000000" w:themeColor="text1"/>
          <w:sz w:val="20"/>
          <w:szCs w:val="28"/>
        </w:rPr>
        <w:t>N.</w:t>
      </w:r>
      <w:r w:rsidR="00700A18" w:rsidRPr="00490B2A">
        <w:rPr>
          <w:noProof/>
          <w:color w:val="000000" w:themeColor="text1"/>
          <w:sz w:val="20"/>
          <w:szCs w:val="28"/>
        </w:rPr>
        <w:t xml:space="preserve"> </w:t>
      </w:r>
      <w:r w:rsidRPr="00490B2A">
        <w:rPr>
          <w:noProof/>
          <w:color w:val="000000" w:themeColor="text1"/>
          <w:sz w:val="20"/>
          <w:szCs w:val="28"/>
        </w:rPr>
        <w:t>(2014).</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Drought</w:t>
      </w:r>
      <w:r w:rsidR="00700A18" w:rsidRPr="00490B2A">
        <w:rPr>
          <w:noProof/>
          <w:color w:val="000000" w:themeColor="text1"/>
          <w:sz w:val="20"/>
          <w:szCs w:val="28"/>
        </w:rPr>
        <w:t xml:space="preserve"> </w:t>
      </w:r>
      <w:r w:rsidRPr="00490B2A">
        <w:rPr>
          <w:noProof/>
          <w:color w:val="000000" w:themeColor="text1"/>
          <w:sz w:val="20"/>
          <w:szCs w:val="28"/>
        </w:rPr>
        <w:t>Risk</w:t>
      </w:r>
      <w:r w:rsidR="00700A18" w:rsidRPr="00490B2A">
        <w:rPr>
          <w:noProof/>
          <w:color w:val="000000" w:themeColor="text1"/>
          <w:sz w:val="20"/>
          <w:szCs w:val="28"/>
        </w:rPr>
        <w:t xml:space="preserve"> </w:t>
      </w:r>
      <w:r w:rsidRPr="00490B2A">
        <w:rPr>
          <w:noProof/>
          <w:color w:val="000000" w:themeColor="text1"/>
          <w:sz w:val="20"/>
          <w:szCs w:val="28"/>
        </w:rPr>
        <w:t>Assessment</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Baringo</w:t>
      </w:r>
      <w:r w:rsidR="00700A18" w:rsidRPr="00490B2A">
        <w:rPr>
          <w:noProof/>
          <w:color w:val="000000" w:themeColor="text1"/>
          <w:sz w:val="20"/>
          <w:szCs w:val="28"/>
        </w:rPr>
        <w:t xml:space="preserve"> </w:t>
      </w:r>
      <w:r w:rsidRPr="00490B2A">
        <w:rPr>
          <w:noProof/>
          <w:color w:val="000000" w:themeColor="text1"/>
          <w:sz w:val="20"/>
          <w:szCs w:val="28"/>
        </w:rPr>
        <w:t>county</w:t>
      </w:r>
      <w:r w:rsidR="00700A18" w:rsidRPr="00490B2A">
        <w:rPr>
          <w:noProof/>
          <w:color w:val="000000" w:themeColor="text1"/>
          <w:sz w:val="20"/>
          <w:szCs w:val="28"/>
        </w:rPr>
        <w:t xml:space="preserve"> </w:t>
      </w:r>
      <w:r w:rsidRPr="00490B2A">
        <w:rPr>
          <w:noProof/>
          <w:color w:val="000000" w:themeColor="text1"/>
          <w:sz w:val="20"/>
          <w:szCs w:val="28"/>
        </w:rPr>
        <w:t>livelihoods,</w:t>
      </w:r>
      <w:r w:rsidR="00700A18" w:rsidRPr="00490B2A">
        <w:rPr>
          <w:noProof/>
          <w:color w:val="000000" w:themeColor="text1"/>
          <w:sz w:val="20"/>
          <w:szCs w:val="28"/>
        </w:rPr>
        <w:t xml:space="preserve"> </w:t>
      </w:r>
      <w:r w:rsidRPr="00490B2A">
        <w:rPr>
          <w:i/>
          <w:iCs/>
          <w:noProof/>
          <w:color w:val="000000" w:themeColor="text1"/>
          <w:sz w:val="20"/>
          <w:szCs w:val="28"/>
        </w:rPr>
        <w:t>5</w:t>
      </w:r>
      <w:r w:rsidRPr="00490B2A">
        <w:rPr>
          <w:noProof/>
          <w:color w:val="000000" w:themeColor="text1"/>
          <w:sz w:val="20"/>
          <w:szCs w:val="28"/>
        </w:rPr>
        <w:t>(May),</w:t>
      </w:r>
      <w:r w:rsidR="00700A18" w:rsidRPr="00490B2A">
        <w:rPr>
          <w:noProof/>
          <w:color w:val="000000" w:themeColor="text1"/>
          <w:sz w:val="20"/>
          <w:szCs w:val="28"/>
        </w:rPr>
        <w:t xml:space="preserve"> </w:t>
      </w:r>
      <w:r w:rsidRPr="00490B2A">
        <w:rPr>
          <w:noProof/>
          <w:color w:val="000000" w:themeColor="text1"/>
          <w:sz w:val="20"/>
          <w:szCs w:val="28"/>
        </w:rPr>
        <w:t>7–10.</w:t>
      </w:r>
      <w:r w:rsidR="00700A18" w:rsidRPr="00490B2A">
        <w:rPr>
          <w:noProof/>
          <w:color w:val="000000" w:themeColor="text1"/>
          <w:sz w:val="20"/>
          <w:szCs w:val="28"/>
        </w:rPr>
        <w:t xml:space="preserve"> </w:t>
      </w:r>
      <w:r w:rsidRPr="00490B2A">
        <w:rPr>
          <w:noProof/>
          <w:color w:val="000000" w:themeColor="text1"/>
          <w:sz w:val="20"/>
          <w:szCs w:val="28"/>
        </w:rPr>
        <w:t>https://doi.org/10.13140/2.1.1070.5923</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Modica,</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&amp; </w:t>
      </w:r>
      <w:r w:rsidRPr="00490B2A">
        <w:rPr>
          <w:noProof/>
          <w:color w:val="000000" w:themeColor="text1"/>
          <w:sz w:val="20"/>
          <w:szCs w:val="28"/>
        </w:rPr>
        <w:t>Zoboli,</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w:t>
      </w:r>
      <w:r w:rsidRPr="00490B2A">
        <w:rPr>
          <w:noProof/>
          <w:color w:val="000000" w:themeColor="text1"/>
          <w:sz w:val="20"/>
          <w:szCs w:val="28"/>
        </w:rPr>
        <w:t>(2016).</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hazard,</w:t>
      </w:r>
      <w:r w:rsidR="00700A18" w:rsidRPr="00490B2A">
        <w:rPr>
          <w:noProof/>
          <w:color w:val="000000" w:themeColor="text1"/>
          <w:sz w:val="20"/>
          <w:szCs w:val="28"/>
        </w:rPr>
        <w:t xml:space="preserve"> </w:t>
      </w:r>
      <w:r w:rsidRPr="00490B2A">
        <w:rPr>
          <w:noProof/>
          <w:color w:val="000000" w:themeColor="text1"/>
          <w:sz w:val="20"/>
          <w:szCs w:val="28"/>
        </w:rPr>
        <w:t>risk,</w:t>
      </w:r>
      <w:r w:rsidR="00700A18" w:rsidRPr="00490B2A">
        <w:rPr>
          <w:noProof/>
          <w:color w:val="000000" w:themeColor="text1"/>
          <w:sz w:val="20"/>
          <w:szCs w:val="28"/>
        </w:rPr>
        <w:t xml:space="preserve"> </w:t>
      </w:r>
      <w:r w:rsidRPr="00490B2A">
        <w:rPr>
          <w:noProof/>
          <w:color w:val="000000" w:themeColor="text1"/>
          <w:sz w:val="20"/>
          <w:szCs w:val="28"/>
        </w:rPr>
        <w:t>damage,</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loss:</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socio-ecological</w:t>
      </w:r>
      <w:r w:rsidR="00700A18" w:rsidRPr="00490B2A">
        <w:rPr>
          <w:noProof/>
          <w:color w:val="000000" w:themeColor="text1"/>
          <w:sz w:val="20"/>
          <w:szCs w:val="28"/>
        </w:rPr>
        <w:t xml:space="preserve"> </w:t>
      </w:r>
      <w:r w:rsidRPr="00490B2A">
        <w:rPr>
          <w:noProof/>
          <w:color w:val="000000" w:themeColor="text1"/>
          <w:sz w:val="20"/>
          <w:szCs w:val="28"/>
        </w:rPr>
        <w:t>framework</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natural</w:t>
      </w:r>
      <w:r w:rsidR="00700A18" w:rsidRPr="00490B2A">
        <w:rPr>
          <w:noProof/>
          <w:color w:val="000000" w:themeColor="text1"/>
          <w:sz w:val="20"/>
          <w:szCs w:val="28"/>
        </w:rPr>
        <w:t xml:space="preserve"> </w:t>
      </w:r>
      <w:r w:rsidRPr="00490B2A">
        <w:rPr>
          <w:noProof/>
          <w:color w:val="000000" w:themeColor="text1"/>
          <w:sz w:val="20"/>
          <w:szCs w:val="28"/>
        </w:rPr>
        <w:t>disaster</w:t>
      </w:r>
      <w:r w:rsidR="00700A18" w:rsidRPr="00490B2A">
        <w:rPr>
          <w:noProof/>
          <w:color w:val="000000" w:themeColor="text1"/>
          <w:sz w:val="20"/>
          <w:szCs w:val="28"/>
        </w:rPr>
        <w:t xml:space="preserve"> </w:t>
      </w:r>
      <w:r w:rsidRPr="00490B2A">
        <w:rPr>
          <w:noProof/>
          <w:color w:val="000000" w:themeColor="text1"/>
          <w:sz w:val="20"/>
          <w:szCs w:val="28"/>
        </w:rPr>
        <w:t>analysis.</w:t>
      </w:r>
      <w:r w:rsidR="00700A18" w:rsidRPr="00490B2A">
        <w:rPr>
          <w:noProof/>
          <w:color w:val="000000" w:themeColor="text1"/>
          <w:sz w:val="20"/>
          <w:szCs w:val="28"/>
        </w:rPr>
        <w:t xml:space="preserve"> </w:t>
      </w:r>
      <w:r w:rsidRPr="00490B2A">
        <w:rPr>
          <w:i/>
          <w:iCs/>
          <w:noProof/>
          <w:color w:val="000000" w:themeColor="text1"/>
          <w:sz w:val="20"/>
          <w:szCs w:val="28"/>
        </w:rPr>
        <w:t>Web</w:t>
      </w:r>
      <w:r w:rsidR="00700A18" w:rsidRPr="00490B2A">
        <w:rPr>
          <w:i/>
          <w:iCs/>
          <w:noProof/>
          <w:color w:val="000000" w:themeColor="text1"/>
          <w:sz w:val="20"/>
          <w:szCs w:val="28"/>
        </w:rPr>
        <w:t xml:space="preserve"> </w:t>
      </w:r>
      <w:r w:rsidRPr="00490B2A">
        <w:rPr>
          <w:i/>
          <w:iCs/>
          <w:noProof/>
          <w:color w:val="000000" w:themeColor="text1"/>
          <w:sz w:val="20"/>
          <w:szCs w:val="28"/>
        </w:rPr>
        <w:t>Ecology</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16</w:t>
      </w:r>
      <w:r w:rsidRPr="00490B2A">
        <w:rPr>
          <w:noProof/>
          <w:color w:val="000000" w:themeColor="text1"/>
          <w:sz w:val="20"/>
          <w:szCs w:val="28"/>
        </w:rPr>
        <w:t>(1),</w:t>
      </w:r>
      <w:r w:rsidR="00700A18" w:rsidRPr="00490B2A">
        <w:rPr>
          <w:noProof/>
          <w:color w:val="000000" w:themeColor="text1"/>
          <w:sz w:val="20"/>
          <w:szCs w:val="28"/>
        </w:rPr>
        <w:t xml:space="preserve"> </w:t>
      </w:r>
      <w:r w:rsidRPr="00490B2A">
        <w:rPr>
          <w:noProof/>
          <w:color w:val="000000" w:themeColor="text1"/>
          <w:sz w:val="20"/>
          <w:szCs w:val="28"/>
        </w:rPr>
        <w:t>59–62.</w:t>
      </w:r>
      <w:r w:rsidR="00700A18" w:rsidRPr="00490B2A">
        <w:rPr>
          <w:noProof/>
          <w:color w:val="000000" w:themeColor="text1"/>
          <w:sz w:val="20"/>
          <w:szCs w:val="28"/>
        </w:rPr>
        <w:t xml:space="preserve"> </w:t>
      </w:r>
      <w:r w:rsidRPr="00490B2A">
        <w:rPr>
          <w:noProof/>
          <w:color w:val="000000" w:themeColor="text1"/>
          <w:sz w:val="20"/>
          <w:szCs w:val="28"/>
        </w:rPr>
        <w:t>https://doi.org/10.5194/we-16-59-2016</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Nardo,</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Saisana,</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Saltelli,</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Tarantola,</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Hoffman,</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&amp; </w:t>
      </w:r>
      <w:r w:rsidRPr="00490B2A">
        <w:rPr>
          <w:noProof/>
          <w:color w:val="000000" w:themeColor="text1"/>
          <w:sz w:val="20"/>
          <w:szCs w:val="28"/>
        </w:rPr>
        <w:t>Giovannini,</w:t>
      </w:r>
      <w:r w:rsidR="00700A18" w:rsidRPr="00490B2A">
        <w:rPr>
          <w:noProof/>
          <w:color w:val="000000" w:themeColor="text1"/>
          <w:sz w:val="20"/>
          <w:szCs w:val="28"/>
        </w:rPr>
        <w:t xml:space="preserve"> </w:t>
      </w:r>
      <w:r w:rsidRPr="00490B2A">
        <w:rPr>
          <w:noProof/>
          <w:color w:val="000000" w:themeColor="text1"/>
          <w:sz w:val="20"/>
          <w:szCs w:val="28"/>
        </w:rPr>
        <w:t>E.</w:t>
      </w:r>
      <w:r w:rsidR="00700A18" w:rsidRPr="00490B2A">
        <w:rPr>
          <w:noProof/>
          <w:color w:val="000000" w:themeColor="text1"/>
          <w:sz w:val="20"/>
          <w:szCs w:val="28"/>
        </w:rPr>
        <w:t xml:space="preserve"> </w:t>
      </w:r>
      <w:r w:rsidRPr="00490B2A">
        <w:rPr>
          <w:noProof/>
          <w:color w:val="000000" w:themeColor="text1"/>
          <w:sz w:val="20"/>
          <w:szCs w:val="28"/>
        </w:rPr>
        <w:t>(2005).</w:t>
      </w:r>
      <w:r w:rsidR="00700A18" w:rsidRPr="00490B2A">
        <w:rPr>
          <w:noProof/>
          <w:color w:val="000000" w:themeColor="text1"/>
          <w:sz w:val="20"/>
          <w:szCs w:val="28"/>
        </w:rPr>
        <w:t xml:space="preserve"> </w:t>
      </w:r>
      <w:r w:rsidRPr="00490B2A">
        <w:rPr>
          <w:noProof/>
          <w:color w:val="000000" w:themeColor="text1"/>
          <w:sz w:val="20"/>
          <w:szCs w:val="28"/>
        </w:rPr>
        <w:t>OECD</w:t>
      </w:r>
      <w:r w:rsidR="00700A18" w:rsidRPr="00490B2A">
        <w:rPr>
          <w:noProof/>
          <w:color w:val="000000" w:themeColor="text1"/>
          <w:sz w:val="20"/>
          <w:szCs w:val="28"/>
        </w:rPr>
        <w:t xml:space="preserve"> </w:t>
      </w:r>
      <w:r w:rsidRPr="00490B2A">
        <w:rPr>
          <w:noProof/>
          <w:color w:val="000000" w:themeColor="text1"/>
          <w:sz w:val="20"/>
          <w:szCs w:val="28"/>
        </w:rPr>
        <w:t>Statistics</w:t>
      </w:r>
      <w:r w:rsidR="00700A18" w:rsidRPr="00490B2A">
        <w:rPr>
          <w:noProof/>
          <w:color w:val="000000" w:themeColor="text1"/>
          <w:sz w:val="20"/>
          <w:szCs w:val="28"/>
        </w:rPr>
        <w:t xml:space="preserve"> </w:t>
      </w:r>
      <w:r w:rsidRPr="00490B2A">
        <w:rPr>
          <w:noProof/>
          <w:color w:val="000000" w:themeColor="text1"/>
          <w:sz w:val="20"/>
          <w:szCs w:val="28"/>
        </w:rPr>
        <w:t>Working</w:t>
      </w:r>
      <w:r w:rsidR="00700A18" w:rsidRPr="00490B2A">
        <w:rPr>
          <w:noProof/>
          <w:color w:val="000000" w:themeColor="text1"/>
          <w:sz w:val="20"/>
          <w:szCs w:val="28"/>
        </w:rPr>
        <w:t xml:space="preserve"> </w:t>
      </w:r>
      <w:r w:rsidRPr="00490B2A">
        <w:rPr>
          <w:noProof/>
          <w:color w:val="000000" w:themeColor="text1"/>
          <w:sz w:val="20"/>
          <w:szCs w:val="28"/>
        </w:rPr>
        <w:t>Paper-Handbook</w:t>
      </w:r>
      <w:r w:rsidR="00700A18" w:rsidRPr="00490B2A">
        <w:rPr>
          <w:noProof/>
          <w:color w:val="000000" w:themeColor="text1"/>
          <w:sz w:val="20"/>
          <w:szCs w:val="28"/>
        </w:rPr>
        <w:t xml:space="preserve"> </w:t>
      </w:r>
      <w:r w:rsidRPr="00490B2A">
        <w:rPr>
          <w:noProof/>
          <w:color w:val="000000" w:themeColor="text1"/>
          <w:sz w:val="20"/>
          <w:szCs w:val="28"/>
        </w:rPr>
        <w:t>on</w:t>
      </w:r>
      <w:r w:rsidR="00700A18" w:rsidRPr="00490B2A">
        <w:rPr>
          <w:noProof/>
          <w:color w:val="000000" w:themeColor="text1"/>
          <w:sz w:val="20"/>
          <w:szCs w:val="28"/>
        </w:rPr>
        <w:t xml:space="preserve"> </w:t>
      </w:r>
      <w:r w:rsidRPr="00490B2A">
        <w:rPr>
          <w:noProof/>
          <w:color w:val="000000" w:themeColor="text1"/>
          <w:sz w:val="20"/>
          <w:szCs w:val="28"/>
        </w:rPr>
        <w:t>constructing</w:t>
      </w:r>
      <w:r w:rsidR="00700A18" w:rsidRPr="00490B2A">
        <w:rPr>
          <w:noProof/>
          <w:color w:val="000000" w:themeColor="text1"/>
          <w:sz w:val="20"/>
          <w:szCs w:val="28"/>
        </w:rPr>
        <w:t xml:space="preserve"> </w:t>
      </w:r>
      <w:r w:rsidRPr="00490B2A">
        <w:rPr>
          <w:noProof/>
          <w:color w:val="000000" w:themeColor="text1"/>
          <w:sz w:val="20"/>
          <w:szCs w:val="28"/>
        </w:rPr>
        <w:t>composite</w:t>
      </w:r>
      <w:r w:rsidR="00700A18" w:rsidRPr="00490B2A">
        <w:rPr>
          <w:noProof/>
          <w:color w:val="000000" w:themeColor="text1"/>
          <w:sz w:val="20"/>
          <w:szCs w:val="28"/>
        </w:rPr>
        <w:t xml:space="preserve"> </w:t>
      </w:r>
      <w:r w:rsidRPr="00490B2A">
        <w:rPr>
          <w:noProof/>
          <w:color w:val="000000" w:themeColor="text1"/>
          <w:sz w:val="20"/>
          <w:szCs w:val="28"/>
        </w:rPr>
        <w:t>indicators:</w:t>
      </w:r>
      <w:r w:rsidR="00700A18" w:rsidRPr="00490B2A">
        <w:rPr>
          <w:noProof/>
          <w:color w:val="000000" w:themeColor="text1"/>
          <w:sz w:val="20"/>
          <w:szCs w:val="28"/>
        </w:rPr>
        <w:t xml:space="preserve"> </w:t>
      </w:r>
      <w:r w:rsidRPr="00490B2A">
        <w:rPr>
          <w:noProof/>
          <w:color w:val="000000" w:themeColor="text1"/>
          <w:sz w:val="20"/>
          <w:szCs w:val="28"/>
        </w:rPr>
        <w:t>Methodology</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user</w:t>
      </w:r>
      <w:r w:rsidR="00700A18" w:rsidRPr="00490B2A">
        <w:rPr>
          <w:noProof/>
          <w:color w:val="000000" w:themeColor="text1"/>
          <w:sz w:val="20"/>
          <w:szCs w:val="28"/>
        </w:rPr>
        <w:t xml:space="preserve"> </w:t>
      </w:r>
      <w:r w:rsidRPr="00490B2A">
        <w:rPr>
          <w:noProof/>
          <w:color w:val="000000" w:themeColor="text1"/>
          <w:sz w:val="20"/>
          <w:szCs w:val="28"/>
        </w:rPr>
        <w:t>guide.</w:t>
      </w:r>
      <w:r w:rsidR="00700A18" w:rsidRPr="00490B2A">
        <w:rPr>
          <w:noProof/>
          <w:color w:val="000000" w:themeColor="text1"/>
          <w:sz w:val="20"/>
          <w:szCs w:val="28"/>
        </w:rPr>
        <w:t xml:space="preserve"> </w:t>
      </w:r>
      <w:r w:rsidRPr="00490B2A">
        <w:rPr>
          <w:noProof/>
          <w:color w:val="000000" w:themeColor="text1"/>
          <w:sz w:val="20"/>
          <w:szCs w:val="28"/>
        </w:rPr>
        <w:t>Organisation</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Economic</w:t>
      </w:r>
      <w:r w:rsidR="00700A18" w:rsidRPr="00490B2A">
        <w:rPr>
          <w:noProof/>
          <w:color w:val="000000" w:themeColor="text1"/>
          <w:sz w:val="20"/>
          <w:szCs w:val="28"/>
        </w:rPr>
        <w:t xml:space="preserve"> </w:t>
      </w:r>
      <w:r w:rsidRPr="00490B2A">
        <w:rPr>
          <w:noProof/>
          <w:color w:val="000000" w:themeColor="text1"/>
          <w:sz w:val="20"/>
          <w:szCs w:val="28"/>
        </w:rPr>
        <w:t>Co-Operation</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Development.</w:t>
      </w:r>
      <w:r w:rsidR="00700A18" w:rsidRPr="00490B2A">
        <w:rPr>
          <w:noProof/>
          <w:color w:val="000000" w:themeColor="text1"/>
          <w:sz w:val="20"/>
          <w:szCs w:val="28"/>
        </w:rPr>
        <w:t xml:space="preserve"> </w:t>
      </w:r>
      <w:r w:rsidRPr="00490B2A">
        <w:rPr>
          <w:noProof/>
          <w:color w:val="000000" w:themeColor="text1"/>
          <w:sz w:val="20"/>
          <w:szCs w:val="28"/>
        </w:rPr>
        <w:t>Retrieved</w:t>
      </w:r>
      <w:r w:rsidR="00700A18" w:rsidRPr="00490B2A">
        <w:rPr>
          <w:noProof/>
          <w:color w:val="000000" w:themeColor="text1"/>
          <w:sz w:val="20"/>
          <w:szCs w:val="28"/>
        </w:rPr>
        <w:t xml:space="preserve"> </w:t>
      </w:r>
      <w:r w:rsidRPr="00490B2A">
        <w:rPr>
          <w:noProof/>
          <w:color w:val="000000" w:themeColor="text1"/>
          <w:sz w:val="20"/>
          <w:szCs w:val="28"/>
        </w:rPr>
        <w:t>from</w:t>
      </w:r>
      <w:r w:rsidR="00700A18" w:rsidRPr="00490B2A">
        <w:rPr>
          <w:noProof/>
          <w:color w:val="000000" w:themeColor="text1"/>
          <w:sz w:val="20"/>
          <w:szCs w:val="28"/>
        </w:rPr>
        <w:t xml:space="preserve"> </w:t>
      </w:r>
      <w:r w:rsidRPr="00490B2A">
        <w:rPr>
          <w:noProof/>
          <w:color w:val="000000" w:themeColor="text1"/>
          <w:sz w:val="20"/>
          <w:szCs w:val="28"/>
        </w:rPr>
        <w:t>http://compositeindicators.jrc.ec.europa.eu/Handbook.htm%5Cnhttp://ideas.repec.org/p/oec/stdaaa/2005en.html%5Cnhttp://www.oecd.org/LongAbstract/0,3425,en_2649_33715_35231682_1_1_1_1,00.html</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Norris,</w:t>
      </w:r>
      <w:r w:rsidR="00700A18" w:rsidRPr="00490B2A">
        <w:rPr>
          <w:noProof/>
          <w:color w:val="000000" w:themeColor="text1"/>
          <w:sz w:val="20"/>
          <w:szCs w:val="28"/>
        </w:rPr>
        <w:t xml:space="preserve"> </w:t>
      </w:r>
      <w:r w:rsidRPr="00490B2A">
        <w:rPr>
          <w:noProof/>
          <w:color w:val="000000" w:themeColor="text1"/>
          <w:sz w:val="20"/>
          <w:szCs w:val="28"/>
        </w:rPr>
        <w:t>F.</w:t>
      </w:r>
      <w:r w:rsidR="00700A18" w:rsidRPr="00490B2A">
        <w:rPr>
          <w:noProof/>
          <w:color w:val="000000" w:themeColor="text1"/>
          <w:sz w:val="20"/>
          <w:szCs w:val="28"/>
        </w:rPr>
        <w:t xml:space="preserve"> </w:t>
      </w:r>
      <w:r w:rsidRPr="00490B2A">
        <w:rPr>
          <w:noProof/>
          <w:color w:val="000000" w:themeColor="text1"/>
          <w:sz w:val="20"/>
          <w:szCs w:val="28"/>
        </w:rPr>
        <w:t>H.,</w:t>
      </w:r>
      <w:r w:rsidR="00700A18" w:rsidRPr="00490B2A">
        <w:rPr>
          <w:noProof/>
          <w:color w:val="000000" w:themeColor="text1"/>
          <w:sz w:val="20"/>
          <w:szCs w:val="28"/>
        </w:rPr>
        <w:t xml:space="preserve"> </w:t>
      </w:r>
      <w:r w:rsidRPr="00490B2A">
        <w:rPr>
          <w:noProof/>
          <w:color w:val="000000" w:themeColor="text1"/>
          <w:sz w:val="20"/>
          <w:szCs w:val="28"/>
        </w:rPr>
        <w:t>Stevens,</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P.,</w:t>
      </w:r>
      <w:r w:rsidR="00700A18" w:rsidRPr="00490B2A">
        <w:rPr>
          <w:noProof/>
          <w:color w:val="000000" w:themeColor="text1"/>
          <w:sz w:val="20"/>
          <w:szCs w:val="28"/>
        </w:rPr>
        <w:t xml:space="preserve"> </w:t>
      </w:r>
      <w:r w:rsidRPr="00490B2A">
        <w:rPr>
          <w:noProof/>
          <w:color w:val="000000" w:themeColor="text1"/>
          <w:sz w:val="20"/>
          <w:szCs w:val="28"/>
        </w:rPr>
        <w:t>Pfefferbaum,</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w:t>
      </w:r>
      <w:r w:rsidRPr="00490B2A">
        <w:rPr>
          <w:noProof/>
          <w:color w:val="000000" w:themeColor="text1"/>
          <w:sz w:val="20"/>
          <w:szCs w:val="28"/>
        </w:rPr>
        <w:t>Wyche,</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F.,</w:t>
      </w:r>
      <w:r w:rsidR="00700A18" w:rsidRPr="00490B2A">
        <w:rPr>
          <w:noProof/>
          <w:color w:val="000000" w:themeColor="text1"/>
          <w:sz w:val="20"/>
          <w:szCs w:val="28"/>
        </w:rPr>
        <w:t xml:space="preserve"> &amp; </w:t>
      </w:r>
      <w:r w:rsidRPr="00490B2A">
        <w:rPr>
          <w:noProof/>
          <w:color w:val="000000" w:themeColor="text1"/>
          <w:sz w:val="20"/>
          <w:szCs w:val="28"/>
        </w:rPr>
        <w:t>Pfefferbaum,</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(2008).</w:t>
      </w:r>
      <w:r w:rsidR="00700A18" w:rsidRPr="00490B2A">
        <w:rPr>
          <w:noProof/>
          <w:color w:val="000000" w:themeColor="text1"/>
          <w:sz w:val="20"/>
          <w:szCs w:val="28"/>
        </w:rPr>
        <w:t xml:space="preserve"> </w:t>
      </w:r>
      <w:r w:rsidRPr="00490B2A">
        <w:rPr>
          <w:noProof/>
          <w:color w:val="000000" w:themeColor="text1"/>
          <w:sz w:val="20"/>
          <w:szCs w:val="28"/>
        </w:rPr>
        <w:t>Community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as</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metaphor,</w:t>
      </w:r>
      <w:r w:rsidR="00700A18" w:rsidRPr="00490B2A">
        <w:rPr>
          <w:noProof/>
          <w:color w:val="000000" w:themeColor="text1"/>
          <w:sz w:val="20"/>
          <w:szCs w:val="28"/>
        </w:rPr>
        <w:t xml:space="preserve"> </w:t>
      </w:r>
      <w:r w:rsidRPr="00490B2A">
        <w:rPr>
          <w:noProof/>
          <w:color w:val="000000" w:themeColor="text1"/>
          <w:sz w:val="20"/>
          <w:szCs w:val="28"/>
        </w:rPr>
        <w:t>theory,</w:t>
      </w:r>
      <w:r w:rsidR="00700A18" w:rsidRPr="00490B2A">
        <w:rPr>
          <w:noProof/>
          <w:color w:val="000000" w:themeColor="text1"/>
          <w:sz w:val="20"/>
          <w:szCs w:val="28"/>
        </w:rPr>
        <w:t xml:space="preserve"> </w:t>
      </w:r>
      <w:r w:rsidRPr="00490B2A">
        <w:rPr>
          <w:noProof/>
          <w:color w:val="000000" w:themeColor="text1"/>
          <w:sz w:val="20"/>
          <w:szCs w:val="28"/>
        </w:rPr>
        <w:t>set</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capacities,</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strategy</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disaster</w:t>
      </w:r>
      <w:r w:rsidR="00700A18" w:rsidRPr="00490B2A">
        <w:rPr>
          <w:noProof/>
          <w:color w:val="000000" w:themeColor="text1"/>
          <w:sz w:val="20"/>
          <w:szCs w:val="28"/>
        </w:rPr>
        <w:t xml:space="preserve"> </w:t>
      </w:r>
      <w:r w:rsidRPr="00490B2A">
        <w:rPr>
          <w:noProof/>
          <w:color w:val="000000" w:themeColor="text1"/>
          <w:sz w:val="20"/>
          <w:szCs w:val="28"/>
        </w:rPr>
        <w:t>readiness.</w:t>
      </w:r>
      <w:r w:rsidR="00700A18" w:rsidRPr="00490B2A">
        <w:rPr>
          <w:noProof/>
          <w:color w:val="000000" w:themeColor="text1"/>
          <w:sz w:val="20"/>
          <w:szCs w:val="28"/>
        </w:rPr>
        <w:t xml:space="preserve"> </w:t>
      </w:r>
      <w:r w:rsidRPr="00490B2A">
        <w:rPr>
          <w:i/>
          <w:iCs/>
          <w:noProof/>
          <w:color w:val="000000" w:themeColor="text1"/>
          <w:sz w:val="20"/>
          <w:szCs w:val="28"/>
        </w:rPr>
        <w:t>American</w:t>
      </w:r>
      <w:r w:rsidR="00700A18" w:rsidRPr="00490B2A">
        <w:rPr>
          <w:i/>
          <w:iCs/>
          <w:noProof/>
          <w:color w:val="000000" w:themeColor="text1"/>
          <w:sz w:val="20"/>
          <w:szCs w:val="28"/>
        </w:rPr>
        <w:t xml:space="preserve"> </w:t>
      </w:r>
      <w:r w:rsidRPr="00490B2A">
        <w:rPr>
          <w:i/>
          <w:iCs/>
          <w:noProof/>
          <w:color w:val="000000" w:themeColor="text1"/>
          <w:sz w:val="20"/>
          <w:szCs w:val="28"/>
        </w:rPr>
        <w:t>Journal</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Community</w:t>
      </w:r>
      <w:r w:rsidR="00700A18" w:rsidRPr="00490B2A">
        <w:rPr>
          <w:i/>
          <w:iCs/>
          <w:noProof/>
          <w:color w:val="000000" w:themeColor="text1"/>
          <w:sz w:val="20"/>
          <w:szCs w:val="28"/>
        </w:rPr>
        <w:t xml:space="preserve"> </w:t>
      </w:r>
      <w:r w:rsidRPr="00490B2A">
        <w:rPr>
          <w:i/>
          <w:iCs/>
          <w:noProof/>
          <w:color w:val="000000" w:themeColor="text1"/>
          <w:sz w:val="20"/>
          <w:szCs w:val="28"/>
        </w:rPr>
        <w:t>Psychology</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41</w:t>
      </w:r>
      <w:r w:rsidRPr="00490B2A">
        <w:rPr>
          <w:noProof/>
          <w:color w:val="000000" w:themeColor="text1"/>
          <w:sz w:val="20"/>
          <w:szCs w:val="28"/>
        </w:rPr>
        <w:t>(1–2),</w:t>
      </w:r>
      <w:r w:rsidR="00700A18" w:rsidRPr="00490B2A">
        <w:rPr>
          <w:noProof/>
          <w:color w:val="000000" w:themeColor="text1"/>
          <w:sz w:val="20"/>
          <w:szCs w:val="28"/>
        </w:rPr>
        <w:t xml:space="preserve"> </w:t>
      </w:r>
      <w:r w:rsidRPr="00490B2A">
        <w:rPr>
          <w:noProof/>
          <w:color w:val="000000" w:themeColor="text1"/>
          <w:sz w:val="20"/>
          <w:szCs w:val="28"/>
        </w:rPr>
        <w:t>127–150.</w:t>
      </w:r>
      <w:r w:rsidR="00700A18" w:rsidRPr="00490B2A">
        <w:rPr>
          <w:noProof/>
          <w:color w:val="000000" w:themeColor="text1"/>
          <w:sz w:val="20"/>
          <w:szCs w:val="28"/>
        </w:rPr>
        <w:t xml:space="preserve"> </w:t>
      </w:r>
      <w:r w:rsidRPr="00490B2A">
        <w:rPr>
          <w:noProof/>
          <w:color w:val="000000" w:themeColor="text1"/>
          <w:sz w:val="20"/>
          <w:szCs w:val="28"/>
        </w:rPr>
        <w:t>https://doi.org/10.1007/s10464-007-9156-6</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Paton,</w:t>
      </w:r>
      <w:r w:rsidR="00700A18" w:rsidRPr="00490B2A">
        <w:rPr>
          <w:noProof/>
          <w:color w:val="000000" w:themeColor="text1"/>
          <w:sz w:val="20"/>
          <w:szCs w:val="28"/>
        </w:rPr>
        <w:t xml:space="preserve"> </w:t>
      </w:r>
      <w:r w:rsidRPr="00490B2A">
        <w:rPr>
          <w:noProof/>
          <w:color w:val="000000" w:themeColor="text1"/>
          <w:sz w:val="20"/>
          <w:szCs w:val="28"/>
        </w:rPr>
        <w:t>D.,</w:t>
      </w:r>
      <w:r w:rsidR="00700A18" w:rsidRPr="00490B2A">
        <w:rPr>
          <w:noProof/>
          <w:color w:val="000000" w:themeColor="text1"/>
          <w:sz w:val="20"/>
          <w:szCs w:val="28"/>
        </w:rPr>
        <w:t xml:space="preserve"> &amp; </w:t>
      </w:r>
      <w:r w:rsidRPr="00490B2A">
        <w:rPr>
          <w:noProof/>
          <w:color w:val="000000" w:themeColor="text1"/>
          <w:sz w:val="20"/>
          <w:szCs w:val="28"/>
        </w:rPr>
        <w:t>Johnston,</w:t>
      </w:r>
      <w:r w:rsidR="00700A18" w:rsidRPr="00490B2A">
        <w:rPr>
          <w:noProof/>
          <w:color w:val="000000" w:themeColor="text1"/>
          <w:sz w:val="20"/>
          <w:szCs w:val="28"/>
        </w:rPr>
        <w:t xml:space="preserve"> </w:t>
      </w:r>
      <w:r w:rsidRPr="00490B2A">
        <w:rPr>
          <w:noProof/>
          <w:color w:val="000000" w:themeColor="text1"/>
          <w:sz w:val="20"/>
          <w:szCs w:val="28"/>
        </w:rPr>
        <w:t>D.</w:t>
      </w:r>
      <w:r w:rsidR="00700A18" w:rsidRPr="00490B2A">
        <w:rPr>
          <w:noProof/>
          <w:color w:val="000000" w:themeColor="text1"/>
          <w:sz w:val="20"/>
          <w:szCs w:val="28"/>
        </w:rPr>
        <w:t xml:space="preserve"> </w:t>
      </w:r>
      <w:r w:rsidRPr="00490B2A">
        <w:rPr>
          <w:noProof/>
          <w:color w:val="000000" w:themeColor="text1"/>
          <w:sz w:val="20"/>
          <w:szCs w:val="28"/>
        </w:rPr>
        <w:t>(2001).</w:t>
      </w:r>
      <w:r w:rsidR="00700A18" w:rsidRPr="00490B2A">
        <w:rPr>
          <w:noProof/>
          <w:color w:val="000000" w:themeColor="text1"/>
          <w:sz w:val="20"/>
          <w:szCs w:val="28"/>
        </w:rPr>
        <w:t xml:space="preserve"> </w:t>
      </w:r>
      <w:r w:rsidRPr="00490B2A">
        <w:rPr>
          <w:noProof/>
          <w:color w:val="000000" w:themeColor="text1"/>
          <w:sz w:val="20"/>
          <w:szCs w:val="28"/>
        </w:rPr>
        <w:t>Disasters</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lastRenderedPageBreak/>
        <w:t>communities:</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preparedness.</w:t>
      </w:r>
      <w:r w:rsidR="00700A18" w:rsidRPr="00490B2A">
        <w:rPr>
          <w:noProof/>
          <w:color w:val="000000" w:themeColor="text1"/>
          <w:sz w:val="20"/>
          <w:szCs w:val="28"/>
        </w:rPr>
        <w:t xml:space="preserve"> </w:t>
      </w:r>
      <w:r w:rsidRPr="00490B2A">
        <w:rPr>
          <w:i/>
          <w:iCs/>
          <w:noProof/>
          <w:color w:val="000000" w:themeColor="text1"/>
          <w:sz w:val="20"/>
          <w:szCs w:val="28"/>
        </w:rPr>
        <w:t>Disaster</w:t>
      </w:r>
      <w:r w:rsidR="00700A18" w:rsidRPr="00490B2A">
        <w:rPr>
          <w:i/>
          <w:iCs/>
          <w:noProof/>
          <w:color w:val="000000" w:themeColor="text1"/>
          <w:sz w:val="20"/>
          <w:szCs w:val="28"/>
        </w:rPr>
        <w:t xml:space="preserve"> </w:t>
      </w:r>
      <w:r w:rsidRPr="00490B2A">
        <w:rPr>
          <w:i/>
          <w:iCs/>
          <w:noProof/>
          <w:color w:val="000000" w:themeColor="text1"/>
          <w:sz w:val="20"/>
          <w:szCs w:val="28"/>
        </w:rPr>
        <w:t>Prevention</w:t>
      </w:r>
      <w:r w:rsidR="00700A18" w:rsidRPr="00490B2A">
        <w:rPr>
          <w:i/>
          <w:iCs/>
          <w:noProof/>
          <w:color w:val="000000" w:themeColor="text1"/>
          <w:sz w:val="20"/>
          <w:szCs w:val="28"/>
        </w:rPr>
        <w:t xml:space="preserve"> </w:t>
      </w:r>
      <w:r w:rsidRPr="00490B2A">
        <w:rPr>
          <w:i/>
          <w:iCs/>
          <w:noProof/>
          <w:color w:val="000000" w:themeColor="text1"/>
          <w:sz w:val="20"/>
          <w:szCs w:val="28"/>
        </w:rPr>
        <w:t>and</w:t>
      </w:r>
      <w:r w:rsidR="00700A18" w:rsidRPr="00490B2A">
        <w:rPr>
          <w:i/>
          <w:iCs/>
          <w:noProof/>
          <w:color w:val="000000" w:themeColor="text1"/>
          <w:sz w:val="20"/>
          <w:szCs w:val="28"/>
        </w:rPr>
        <w:t xml:space="preserve"> </w:t>
      </w:r>
      <w:r w:rsidRPr="00490B2A">
        <w:rPr>
          <w:i/>
          <w:iCs/>
          <w:noProof/>
          <w:color w:val="000000" w:themeColor="text1"/>
          <w:sz w:val="20"/>
          <w:szCs w:val="28"/>
        </w:rPr>
        <w:t>Management:</w:t>
      </w:r>
      <w:r w:rsidR="00700A18" w:rsidRPr="00490B2A">
        <w:rPr>
          <w:i/>
          <w:iCs/>
          <w:noProof/>
          <w:color w:val="000000" w:themeColor="text1"/>
          <w:sz w:val="20"/>
          <w:szCs w:val="28"/>
        </w:rPr>
        <w:t xml:space="preserve"> </w:t>
      </w:r>
      <w:r w:rsidRPr="00490B2A">
        <w:rPr>
          <w:i/>
          <w:iCs/>
          <w:noProof/>
          <w:color w:val="000000" w:themeColor="text1"/>
          <w:sz w:val="20"/>
          <w:szCs w:val="28"/>
        </w:rPr>
        <w:t>An</w:t>
      </w:r>
      <w:r w:rsidR="00700A18" w:rsidRPr="00490B2A">
        <w:rPr>
          <w:i/>
          <w:iCs/>
          <w:noProof/>
          <w:color w:val="000000" w:themeColor="text1"/>
          <w:sz w:val="20"/>
          <w:szCs w:val="28"/>
        </w:rPr>
        <w:t xml:space="preserve"> </w:t>
      </w:r>
      <w:r w:rsidRPr="00490B2A">
        <w:rPr>
          <w:i/>
          <w:iCs/>
          <w:noProof/>
          <w:color w:val="000000" w:themeColor="text1"/>
          <w:sz w:val="20"/>
          <w:szCs w:val="28"/>
        </w:rPr>
        <w:t>International</w:t>
      </w:r>
      <w:r w:rsidR="00700A18" w:rsidRPr="00490B2A">
        <w:rPr>
          <w:i/>
          <w:iCs/>
          <w:noProof/>
          <w:color w:val="000000" w:themeColor="text1"/>
          <w:sz w:val="20"/>
          <w:szCs w:val="28"/>
        </w:rPr>
        <w:t xml:space="preserve"> </w:t>
      </w:r>
      <w:r w:rsidRPr="00490B2A">
        <w:rPr>
          <w:i/>
          <w:iCs/>
          <w:noProof/>
          <w:color w:val="000000" w:themeColor="text1"/>
          <w:sz w:val="20"/>
          <w:szCs w:val="28"/>
        </w:rPr>
        <w:t>Journal</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10</w:t>
      </w:r>
      <w:r w:rsidRPr="00490B2A">
        <w:rPr>
          <w:noProof/>
          <w:color w:val="000000" w:themeColor="text1"/>
          <w:sz w:val="20"/>
          <w:szCs w:val="28"/>
        </w:rPr>
        <w:t>(4),</w:t>
      </w:r>
      <w:r w:rsidR="00700A18" w:rsidRPr="00490B2A">
        <w:rPr>
          <w:noProof/>
          <w:color w:val="000000" w:themeColor="text1"/>
          <w:sz w:val="20"/>
          <w:szCs w:val="28"/>
        </w:rPr>
        <w:t xml:space="preserve"> </w:t>
      </w:r>
      <w:r w:rsidRPr="00490B2A">
        <w:rPr>
          <w:noProof/>
          <w:color w:val="000000" w:themeColor="text1"/>
          <w:sz w:val="20"/>
          <w:szCs w:val="28"/>
        </w:rPr>
        <w:t>270–277.</w:t>
      </w:r>
      <w:r w:rsidR="00700A18" w:rsidRPr="00490B2A">
        <w:rPr>
          <w:noProof/>
          <w:color w:val="000000" w:themeColor="text1"/>
          <w:sz w:val="20"/>
          <w:szCs w:val="28"/>
        </w:rPr>
        <w:t xml:space="preserve"> </w:t>
      </w:r>
      <w:r w:rsidRPr="00490B2A">
        <w:rPr>
          <w:noProof/>
          <w:color w:val="000000" w:themeColor="text1"/>
          <w:sz w:val="20"/>
          <w:szCs w:val="28"/>
        </w:rPr>
        <w:t>https://doi.org/10.1108/EUM0000000005930</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Tierney,</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Lindell,</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Perry,</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w:t>
      </w:r>
      <w:r w:rsidRPr="00490B2A">
        <w:rPr>
          <w:noProof/>
          <w:color w:val="000000" w:themeColor="text1"/>
          <w:sz w:val="20"/>
          <w:szCs w:val="28"/>
        </w:rPr>
        <w:t>W.,</w:t>
      </w:r>
      <w:r w:rsidR="00700A18" w:rsidRPr="00490B2A">
        <w:rPr>
          <w:noProof/>
          <w:color w:val="000000" w:themeColor="text1"/>
          <w:sz w:val="20"/>
          <w:szCs w:val="28"/>
        </w:rPr>
        <w:t xml:space="preserve"> </w:t>
      </w:r>
      <w:r w:rsidRPr="00490B2A">
        <w:rPr>
          <w:noProof/>
          <w:color w:val="000000" w:themeColor="text1"/>
          <w:sz w:val="20"/>
          <w:szCs w:val="28"/>
        </w:rPr>
        <w:t>Tierney,</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Lindell,</w:t>
      </w:r>
      <w:r w:rsidR="00700A18" w:rsidRPr="00490B2A">
        <w:rPr>
          <w:noProof/>
          <w:color w:val="000000" w:themeColor="text1"/>
          <w:sz w:val="20"/>
          <w:szCs w:val="28"/>
        </w:rPr>
        <w:t xml:space="preserve"> </w:t>
      </w:r>
      <w:r w:rsidRPr="00490B2A">
        <w:rPr>
          <w:noProof/>
          <w:color w:val="000000" w:themeColor="text1"/>
          <w:sz w:val="20"/>
          <w:szCs w:val="28"/>
        </w:rPr>
        <w:t>M.</w:t>
      </w:r>
      <w:r w:rsidR="00700A18" w:rsidRPr="00490B2A">
        <w:rPr>
          <w:noProof/>
          <w:color w:val="000000" w:themeColor="text1"/>
          <w:sz w:val="20"/>
          <w:szCs w:val="28"/>
        </w:rPr>
        <w:t xml:space="preserve"> </w:t>
      </w:r>
      <w:r w:rsidRPr="00490B2A">
        <w:rPr>
          <w:noProof/>
          <w:color w:val="000000" w:themeColor="text1"/>
          <w:sz w:val="20"/>
          <w:szCs w:val="28"/>
        </w:rPr>
        <w:t>K.,</w:t>
      </w:r>
      <w:r w:rsidR="00700A18" w:rsidRPr="00490B2A">
        <w:rPr>
          <w:noProof/>
          <w:color w:val="000000" w:themeColor="text1"/>
          <w:sz w:val="20"/>
          <w:szCs w:val="28"/>
        </w:rPr>
        <w:t xml:space="preserve"> </w:t>
      </w:r>
      <w:r w:rsidRPr="00490B2A">
        <w:rPr>
          <w:noProof/>
          <w:color w:val="000000" w:themeColor="text1"/>
          <w:sz w:val="20"/>
          <w:szCs w:val="28"/>
        </w:rPr>
        <w:t>Perry,</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w:t>
      </w:r>
      <w:r w:rsidRPr="00490B2A">
        <w:rPr>
          <w:noProof/>
          <w:color w:val="000000" w:themeColor="text1"/>
          <w:sz w:val="20"/>
          <w:szCs w:val="28"/>
        </w:rPr>
        <w:t>W.,</w:t>
      </w:r>
      <w:r w:rsidR="00700A18" w:rsidRPr="00490B2A">
        <w:rPr>
          <w:noProof/>
          <w:color w:val="000000" w:themeColor="text1"/>
          <w:sz w:val="20"/>
          <w:szCs w:val="28"/>
        </w:rPr>
        <w:t xml:space="preserve"> &amp; </w:t>
      </w:r>
      <w:r w:rsidRPr="00490B2A">
        <w:rPr>
          <w:noProof/>
          <w:color w:val="000000" w:themeColor="text1"/>
          <w:sz w:val="20"/>
          <w:szCs w:val="28"/>
        </w:rPr>
        <w:t>Press,</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H.</w:t>
      </w:r>
      <w:r w:rsidR="00700A18" w:rsidRPr="00490B2A">
        <w:rPr>
          <w:noProof/>
          <w:color w:val="000000" w:themeColor="text1"/>
          <w:sz w:val="20"/>
          <w:szCs w:val="28"/>
        </w:rPr>
        <w:t xml:space="preserve"> </w:t>
      </w:r>
      <w:r w:rsidRPr="00490B2A">
        <w:rPr>
          <w:noProof/>
          <w:color w:val="000000" w:themeColor="text1"/>
          <w:sz w:val="20"/>
          <w:szCs w:val="28"/>
        </w:rPr>
        <w:t>(2001).</w:t>
      </w:r>
      <w:r w:rsidR="00700A18" w:rsidRPr="00490B2A">
        <w:rPr>
          <w:noProof/>
          <w:color w:val="000000" w:themeColor="text1"/>
          <w:sz w:val="20"/>
          <w:szCs w:val="28"/>
        </w:rPr>
        <w:t xml:space="preserve"> </w:t>
      </w:r>
      <w:r w:rsidRPr="00490B2A">
        <w:rPr>
          <w:i/>
          <w:iCs/>
          <w:noProof/>
          <w:color w:val="000000" w:themeColor="text1"/>
          <w:sz w:val="20"/>
          <w:szCs w:val="28"/>
        </w:rPr>
        <w:t>Facing</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Unexpected:</w:t>
      </w:r>
      <w:r w:rsidR="00700A18" w:rsidRPr="00490B2A">
        <w:rPr>
          <w:i/>
          <w:iCs/>
          <w:noProof/>
          <w:color w:val="000000" w:themeColor="text1"/>
          <w:sz w:val="20"/>
          <w:szCs w:val="28"/>
        </w:rPr>
        <w:t xml:space="preserve"> </w:t>
      </w:r>
      <w:r w:rsidRPr="00490B2A">
        <w:rPr>
          <w:i/>
          <w:iCs/>
          <w:noProof/>
          <w:color w:val="000000" w:themeColor="text1"/>
          <w:sz w:val="20"/>
          <w:szCs w:val="28"/>
        </w:rPr>
        <w:t>Disaster</w:t>
      </w:r>
      <w:r w:rsidR="00700A18" w:rsidRPr="00490B2A">
        <w:rPr>
          <w:i/>
          <w:iCs/>
          <w:noProof/>
          <w:color w:val="000000" w:themeColor="text1"/>
          <w:sz w:val="20"/>
          <w:szCs w:val="28"/>
        </w:rPr>
        <w:t xml:space="preserve"> </w:t>
      </w:r>
      <w:r w:rsidRPr="00490B2A">
        <w:rPr>
          <w:i/>
          <w:iCs/>
          <w:noProof/>
          <w:color w:val="000000" w:themeColor="text1"/>
          <w:sz w:val="20"/>
          <w:szCs w:val="28"/>
        </w:rPr>
        <w:t>Preparedness</w:t>
      </w:r>
      <w:r w:rsidR="00700A18" w:rsidRPr="00490B2A">
        <w:rPr>
          <w:i/>
          <w:iCs/>
          <w:noProof/>
          <w:color w:val="000000" w:themeColor="text1"/>
          <w:sz w:val="20"/>
          <w:szCs w:val="28"/>
        </w:rPr>
        <w:t xml:space="preserve"> </w:t>
      </w:r>
      <w:r w:rsidRPr="00490B2A">
        <w:rPr>
          <w:i/>
          <w:iCs/>
          <w:noProof/>
          <w:color w:val="000000" w:themeColor="text1"/>
          <w:sz w:val="20"/>
          <w:szCs w:val="28"/>
        </w:rPr>
        <w:t>and</w:t>
      </w:r>
      <w:r w:rsidR="00700A18" w:rsidRPr="00490B2A">
        <w:rPr>
          <w:i/>
          <w:iCs/>
          <w:noProof/>
          <w:color w:val="000000" w:themeColor="text1"/>
          <w:sz w:val="20"/>
          <w:szCs w:val="28"/>
        </w:rPr>
        <w:t xml:space="preserve"> </w:t>
      </w:r>
      <w:r w:rsidRPr="00490B2A">
        <w:rPr>
          <w:i/>
          <w:iCs/>
          <w:noProof/>
          <w:color w:val="000000" w:themeColor="text1"/>
          <w:sz w:val="20"/>
          <w:szCs w:val="28"/>
        </w:rPr>
        <w:t>Response</w:t>
      </w:r>
      <w:r w:rsidR="00700A18" w:rsidRPr="00490B2A">
        <w:rPr>
          <w:i/>
          <w:iCs/>
          <w:noProof/>
          <w:color w:val="000000" w:themeColor="text1"/>
          <w:sz w:val="20"/>
          <w:szCs w:val="28"/>
        </w:rPr>
        <w:t xml:space="preserve"> </w:t>
      </w:r>
      <w:r w:rsidRPr="00490B2A">
        <w:rPr>
          <w:i/>
          <w:iCs/>
          <w:noProof/>
          <w:color w:val="000000" w:themeColor="text1"/>
          <w:sz w:val="20"/>
          <w:szCs w:val="28"/>
        </w:rPr>
        <w:t>in</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United</w:t>
      </w:r>
      <w:r w:rsidR="00700A18" w:rsidRPr="00490B2A">
        <w:rPr>
          <w:i/>
          <w:iCs/>
          <w:noProof/>
          <w:color w:val="000000" w:themeColor="text1"/>
          <w:sz w:val="20"/>
          <w:szCs w:val="28"/>
        </w:rPr>
        <w:t xml:space="preserve"> </w:t>
      </w:r>
      <w:r w:rsidRPr="00490B2A">
        <w:rPr>
          <w:i/>
          <w:iCs/>
          <w:noProof/>
          <w:color w:val="000000" w:themeColor="text1"/>
          <w:sz w:val="20"/>
          <w:szCs w:val="28"/>
        </w:rPr>
        <w:t>States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Natural</w:t>
      </w:r>
      <w:r w:rsidR="00700A18" w:rsidRPr="00490B2A">
        <w:rPr>
          <w:i/>
          <w:iCs/>
          <w:noProof/>
          <w:color w:val="000000" w:themeColor="text1"/>
          <w:sz w:val="20"/>
          <w:szCs w:val="28"/>
        </w:rPr>
        <w:t xml:space="preserve"> </w:t>
      </w:r>
      <w:r w:rsidRPr="00490B2A">
        <w:rPr>
          <w:i/>
          <w:iCs/>
          <w:noProof/>
          <w:color w:val="000000" w:themeColor="text1"/>
          <w:sz w:val="20"/>
          <w:szCs w:val="28"/>
        </w:rPr>
        <w:t>Hazards</w:t>
      </w:r>
      <w:r w:rsidR="00700A18" w:rsidRPr="00490B2A">
        <w:rPr>
          <w:i/>
          <w:iCs/>
          <w:noProof/>
          <w:color w:val="000000" w:themeColor="text1"/>
          <w:sz w:val="20"/>
          <w:szCs w:val="28"/>
        </w:rPr>
        <w:t xml:space="preserve"> </w:t>
      </w:r>
      <w:r w:rsidRPr="00490B2A">
        <w:rPr>
          <w:i/>
          <w:iCs/>
          <w:noProof/>
          <w:color w:val="000000" w:themeColor="text1"/>
          <w:sz w:val="20"/>
          <w:szCs w:val="28"/>
        </w:rPr>
        <w:t>and</w:t>
      </w:r>
      <w:r w:rsidR="00700A18" w:rsidRPr="00490B2A">
        <w:rPr>
          <w:i/>
          <w:iCs/>
          <w:noProof/>
          <w:color w:val="000000" w:themeColor="text1"/>
          <w:sz w:val="20"/>
          <w:szCs w:val="28"/>
        </w:rPr>
        <w:t xml:space="preserve"> </w:t>
      </w:r>
      <w:r w:rsidRPr="00490B2A">
        <w:rPr>
          <w:i/>
          <w:iCs/>
          <w:noProof/>
          <w:color w:val="000000" w:themeColor="text1"/>
          <w:sz w:val="20"/>
          <w:szCs w:val="28"/>
        </w:rPr>
        <w:t>Disasters</w:t>
      </w:r>
      <w:r w:rsidR="00700A18" w:rsidRPr="00490B2A">
        <w:rPr>
          <w:noProof/>
          <w:color w:val="000000" w:themeColor="text1"/>
          <w:sz w:val="20"/>
          <w:szCs w:val="28"/>
        </w:rPr>
        <w:t xml:space="preserve"> </w:t>
      </w:r>
      <w:r w:rsidRPr="00490B2A">
        <w:rPr>
          <w:noProof/>
          <w:color w:val="000000" w:themeColor="text1"/>
          <w:sz w:val="20"/>
          <w:szCs w:val="28"/>
        </w:rPr>
        <w:t>(Vol.</w:t>
      </w:r>
      <w:r w:rsidR="00700A18" w:rsidRPr="00490B2A">
        <w:rPr>
          <w:noProof/>
          <w:color w:val="000000" w:themeColor="text1"/>
          <w:sz w:val="20"/>
          <w:szCs w:val="28"/>
        </w:rPr>
        <w:t xml:space="preserve"> </w:t>
      </w:r>
      <w:r w:rsidRPr="00490B2A">
        <w:rPr>
          <w:noProof/>
          <w:color w:val="000000" w:themeColor="text1"/>
          <w:sz w:val="20"/>
          <w:szCs w:val="28"/>
        </w:rPr>
        <w:t>2001).</w:t>
      </w:r>
      <w:r w:rsidR="00700A18" w:rsidRPr="00490B2A">
        <w:rPr>
          <w:noProof/>
          <w:color w:val="000000" w:themeColor="text1"/>
          <w:sz w:val="20"/>
          <w:szCs w:val="28"/>
        </w:rPr>
        <w:t xml:space="preserve"> </w:t>
      </w:r>
      <w:r w:rsidRPr="00490B2A">
        <w:rPr>
          <w:noProof/>
          <w:color w:val="000000" w:themeColor="text1"/>
          <w:sz w:val="20"/>
          <w:szCs w:val="28"/>
        </w:rPr>
        <w:t>https://doi.org/10.17226/9834</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Tobin,</w:t>
      </w:r>
      <w:r w:rsidR="00700A18" w:rsidRPr="00490B2A">
        <w:rPr>
          <w:noProof/>
          <w:color w:val="000000" w:themeColor="text1"/>
          <w:sz w:val="20"/>
          <w:szCs w:val="28"/>
        </w:rPr>
        <w:t xml:space="preserve"> </w:t>
      </w:r>
      <w:r w:rsidRPr="00490B2A">
        <w:rPr>
          <w:noProof/>
          <w:color w:val="000000" w:themeColor="text1"/>
          <w:sz w:val="20"/>
          <w:szCs w:val="28"/>
        </w:rPr>
        <w:t>G.</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(1999).</w:t>
      </w:r>
      <w:r w:rsidR="00700A18" w:rsidRPr="00490B2A">
        <w:rPr>
          <w:noProof/>
          <w:color w:val="000000" w:themeColor="text1"/>
          <w:sz w:val="20"/>
          <w:szCs w:val="28"/>
        </w:rPr>
        <w:t xml:space="preserve"> </w:t>
      </w:r>
      <w:r w:rsidRPr="00490B2A">
        <w:rPr>
          <w:noProof/>
          <w:color w:val="000000" w:themeColor="text1"/>
          <w:sz w:val="20"/>
          <w:szCs w:val="28"/>
        </w:rPr>
        <w:t>Sustainability</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community</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holy</w:t>
      </w:r>
      <w:r w:rsidR="00700A18" w:rsidRPr="00490B2A">
        <w:rPr>
          <w:noProof/>
          <w:color w:val="000000" w:themeColor="text1"/>
          <w:sz w:val="20"/>
          <w:szCs w:val="28"/>
        </w:rPr>
        <w:t xml:space="preserve"> </w:t>
      </w:r>
      <w:r w:rsidRPr="00490B2A">
        <w:rPr>
          <w:noProof/>
          <w:color w:val="000000" w:themeColor="text1"/>
          <w:sz w:val="20"/>
          <w:szCs w:val="28"/>
        </w:rPr>
        <w:t>grail</w:t>
      </w:r>
      <w:r w:rsidR="00700A18" w:rsidRPr="00490B2A">
        <w:rPr>
          <w:noProof/>
          <w:color w:val="000000" w:themeColor="text1"/>
          <w:sz w:val="20"/>
          <w:szCs w:val="28"/>
        </w:rPr>
        <w:t xml:space="preserve"> </w:t>
      </w:r>
      <w:r w:rsidRPr="00490B2A">
        <w:rPr>
          <w:noProof/>
          <w:color w:val="000000" w:themeColor="text1"/>
          <w:sz w:val="20"/>
          <w:szCs w:val="28"/>
        </w:rPr>
        <w:t>of</w:t>
      </w:r>
      <w:r w:rsidR="00700A18" w:rsidRPr="00490B2A">
        <w:rPr>
          <w:noProof/>
          <w:color w:val="000000" w:themeColor="text1"/>
          <w:sz w:val="20"/>
          <w:szCs w:val="28"/>
        </w:rPr>
        <w:t xml:space="preserve"> </w:t>
      </w:r>
      <w:r w:rsidRPr="00490B2A">
        <w:rPr>
          <w:noProof/>
          <w:color w:val="000000" w:themeColor="text1"/>
          <w:sz w:val="20"/>
          <w:szCs w:val="28"/>
        </w:rPr>
        <w:t>hazards</w:t>
      </w:r>
      <w:r w:rsidR="00700A18" w:rsidRPr="00490B2A">
        <w:rPr>
          <w:noProof/>
          <w:color w:val="000000" w:themeColor="text1"/>
          <w:sz w:val="20"/>
          <w:szCs w:val="28"/>
        </w:rPr>
        <w:t xml:space="preserve"> </w:t>
      </w:r>
      <w:r w:rsidRPr="00490B2A">
        <w:rPr>
          <w:noProof/>
          <w:color w:val="000000" w:themeColor="text1"/>
          <w:sz w:val="20"/>
          <w:szCs w:val="28"/>
        </w:rPr>
        <w:t>planning?</w:t>
      </w:r>
      <w:r w:rsidR="00700A18" w:rsidRPr="00490B2A">
        <w:rPr>
          <w:noProof/>
          <w:color w:val="000000" w:themeColor="text1"/>
          <w:sz w:val="20"/>
          <w:szCs w:val="28"/>
        </w:rPr>
        <w:t xml:space="preserve"> </w:t>
      </w:r>
      <w:r w:rsidRPr="00490B2A">
        <w:rPr>
          <w:i/>
          <w:iCs/>
          <w:noProof/>
          <w:color w:val="000000" w:themeColor="text1"/>
          <w:sz w:val="20"/>
          <w:szCs w:val="28"/>
        </w:rPr>
        <w:t>Environmental</w:t>
      </w:r>
      <w:r w:rsidR="00700A18" w:rsidRPr="00490B2A">
        <w:rPr>
          <w:i/>
          <w:iCs/>
          <w:noProof/>
          <w:color w:val="000000" w:themeColor="text1"/>
          <w:sz w:val="20"/>
          <w:szCs w:val="28"/>
        </w:rPr>
        <w:t xml:space="preserve"> </w:t>
      </w:r>
      <w:r w:rsidRPr="00490B2A">
        <w:rPr>
          <w:i/>
          <w:iCs/>
          <w:noProof/>
          <w:color w:val="000000" w:themeColor="text1"/>
          <w:sz w:val="20"/>
          <w:szCs w:val="28"/>
        </w:rPr>
        <w:t>Hazards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w:t>
      </w:r>
      <w:r w:rsidRPr="00490B2A">
        <w:rPr>
          <w:noProof/>
          <w:color w:val="000000" w:themeColor="text1"/>
          <w:sz w:val="20"/>
          <w:szCs w:val="28"/>
        </w:rPr>
        <w:t>(1),</w:t>
      </w:r>
      <w:r w:rsidR="00700A18" w:rsidRPr="00490B2A">
        <w:rPr>
          <w:noProof/>
          <w:color w:val="000000" w:themeColor="text1"/>
          <w:sz w:val="20"/>
          <w:szCs w:val="28"/>
        </w:rPr>
        <w:t xml:space="preserve"> </w:t>
      </w:r>
      <w:r w:rsidRPr="00490B2A">
        <w:rPr>
          <w:noProof/>
          <w:color w:val="000000" w:themeColor="text1"/>
          <w:sz w:val="20"/>
          <w:szCs w:val="28"/>
        </w:rPr>
        <w:t>13–25.</w:t>
      </w:r>
      <w:r w:rsidR="00700A18" w:rsidRPr="00490B2A">
        <w:rPr>
          <w:noProof/>
          <w:color w:val="000000" w:themeColor="text1"/>
          <w:sz w:val="20"/>
          <w:szCs w:val="28"/>
        </w:rPr>
        <w:t xml:space="preserve"> </w:t>
      </w:r>
      <w:r w:rsidRPr="00490B2A">
        <w:rPr>
          <w:noProof/>
          <w:color w:val="000000" w:themeColor="text1"/>
          <w:sz w:val="20"/>
          <w:szCs w:val="28"/>
        </w:rPr>
        <w:t>https://doi.org/10.3763/ehaz.1999.0103</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Turner,</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(2010).</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resilience:</w:t>
      </w:r>
      <w:r w:rsidR="00700A18" w:rsidRPr="00490B2A">
        <w:rPr>
          <w:noProof/>
          <w:color w:val="000000" w:themeColor="text1"/>
          <w:sz w:val="20"/>
          <w:szCs w:val="28"/>
        </w:rPr>
        <w:t xml:space="preserve"> </w:t>
      </w:r>
      <w:r w:rsidRPr="00490B2A">
        <w:rPr>
          <w:noProof/>
          <w:color w:val="000000" w:themeColor="text1"/>
          <w:sz w:val="20"/>
          <w:szCs w:val="28"/>
        </w:rPr>
        <w:t>Coalescing</w:t>
      </w:r>
      <w:r w:rsidR="00700A18" w:rsidRPr="00490B2A">
        <w:rPr>
          <w:noProof/>
          <w:color w:val="000000" w:themeColor="text1"/>
          <w:sz w:val="20"/>
          <w:szCs w:val="28"/>
        </w:rPr>
        <w:t xml:space="preserve"> </w:t>
      </w:r>
      <w:r w:rsidRPr="00490B2A">
        <w:rPr>
          <w:noProof/>
          <w:color w:val="000000" w:themeColor="text1"/>
          <w:sz w:val="20"/>
          <w:szCs w:val="28"/>
        </w:rPr>
        <w:t>or</w:t>
      </w:r>
      <w:r w:rsidR="00700A18" w:rsidRPr="00490B2A">
        <w:rPr>
          <w:noProof/>
          <w:color w:val="000000" w:themeColor="text1"/>
          <w:sz w:val="20"/>
          <w:szCs w:val="28"/>
        </w:rPr>
        <w:t xml:space="preserve"> </w:t>
      </w:r>
      <w:r w:rsidRPr="00490B2A">
        <w:rPr>
          <w:noProof/>
          <w:color w:val="000000" w:themeColor="text1"/>
          <w:sz w:val="20"/>
          <w:szCs w:val="28"/>
        </w:rPr>
        <w:t>paralleling</w:t>
      </w:r>
      <w:r w:rsidR="00700A18" w:rsidRPr="00490B2A">
        <w:rPr>
          <w:noProof/>
          <w:color w:val="000000" w:themeColor="text1"/>
          <w:sz w:val="20"/>
          <w:szCs w:val="28"/>
        </w:rPr>
        <w:t xml:space="preserve"> </w:t>
      </w:r>
      <w:r w:rsidRPr="00490B2A">
        <w:rPr>
          <w:noProof/>
          <w:color w:val="000000" w:themeColor="text1"/>
          <w:sz w:val="20"/>
          <w:szCs w:val="28"/>
        </w:rPr>
        <w:t>approaches</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sustainability</w:t>
      </w:r>
      <w:r w:rsidR="00700A18" w:rsidRPr="00490B2A">
        <w:rPr>
          <w:noProof/>
          <w:color w:val="000000" w:themeColor="text1"/>
          <w:sz w:val="20"/>
          <w:szCs w:val="28"/>
        </w:rPr>
        <w:t xml:space="preserve"> </w:t>
      </w:r>
      <w:r w:rsidRPr="00490B2A">
        <w:rPr>
          <w:noProof/>
          <w:color w:val="000000" w:themeColor="text1"/>
          <w:sz w:val="20"/>
          <w:szCs w:val="28"/>
        </w:rPr>
        <w:t>science?</w:t>
      </w:r>
      <w:r w:rsidR="00700A18" w:rsidRPr="00490B2A">
        <w:rPr>
          <w:noProof/>
          <w:color w:val="000000" w:themeColor="text1"/>
          <w:sz w:val="20"/>
          <w:szCs w:val="28"/>
        </w:rPr>
        <w:t xml:space="preserve"> </w:t>
      </w:r>
      <w:r w:rsidRPr="00490B2A">
        <w:rPr>
          <w:i/>
          <w:iCs/>
          <w:noProof/>
          <w:color w:val="000000" w:themeColor="text1"/>
          <w:sz w:val="20"/>
          <w:szCs w:val="28"/>
        </w:rPr>
        <w:t>Global</w:t>
      </w:r>
      <w:r w:rsidR="00700A18" w:rsidRPr="00490B2A">
        <w:rPr>
          <w:i/>
          <w:iCs/>
          <w:noProof/>
          <w:color w:val="000000" w:themeColor="text1"/>
          <w:sz w:val="20"/>
          <w:szCs w:val="28"/>
        </w:rPr>
        <w:t xml:space="preserve"> </w:t>
      </w:r>
      <w:r w:rsidRPr="00490B2A">
        <w:rPr>
          <w:i/>
          <w:iCs/>
          <w:noProof/>
          <w:color w:val="000000" w:themeColor="text1"/>
          <w:sz w:val="20"/>
          <w:szCs w:val="28"/>
        </w:rPr>
        <w:t>Environmental</w:t>
      </w:r>
      <w:r w:rsidR="00700A18" w:rsidRPr="00490B2A">
        <w:rPr>
          <w:i/>
          <w:iCs/>
          <w:noProof/>
          <w:color w:val="000000" w:themeColor="text1"/>
          <w:sz w:val="20"/>
          <w:szCs w:val="28"/>
        </w:rPr>
        <w:t xml:space="preserve"> </w:t>
      </w:r>
      <w:r w:rsidRPr="00490B2A">
        <w:rPr>
          <w:i/>
          <w:iCs/>
          <w:noProof/>
          <w:color w:val="000000" w:themeColor="text1"/>
          <w:sz w:val="20"/>
          <w:szCs w:val="28"/>
        </w:rPr>
        <w:t>Change</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20</w:t>
      </w:r>
      <w:r w:rsidRPr="00490B2A">
        <w:rPr>
          <w:noProof/>
          <w:color w:val="000000" w:themeColor="text1"/>
          <w:sz w:val="20"/>
          <w:szCs w:val="28"/>
        </w:rPr>
        <w:t>(4),</w:t>
      </w:r>
      <w:r w:rsidR="00700A18" w:rsidRPr="00490B2A">
        <w:rPr>
          <w:noProof/>
          <w:color w:val="000000" w:themeColor="text1"/>
          <w:sz w:val="20"/>
          <w:szCs w:val="28"/>
        </w:rPr>
        <w:t xml:space="preserve"> </w:t>
      </w:r>
      <w:r w:rsidRPr="00490B2A">
        <w:rPr>
          <w:noProof/>
          <w:color w:val="000000" w:themeColor="text1"/>
          <w:sz w:val="20"/>
          <w:szCs w:val="28"/>
        </w:rPr>
        <w:t>570–576.</w:t>
      </w:r>
      <w:r w:rsidR="00700A18" w:rsidRPr="00490B2A">
        <w:rPr>
          <w:noProof/>
          <w:color w:val="000000" w:themeColor="text1"/>
          <w:sz w:val="20"/>
          <w:szCs w:val="28"/>
        </w:rPr>
        <w:t xml:space="preserve"> </w:t>
      </w:r>
      <w:r w:rsidRPr="00490B2A">
        <w:rPr>
          <w:noProof/>
          <w:color w:val="000000" w:themeColor="text1"/>
          <w:sz w:val="20"/>
          <w:szCs w:val="28"/>
        </w:rPr>
        <w:t>https://doi.org/10.1016/j.gloenvcha.2010.07.003</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Turner,</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Matson,</w:t>
      </w:r>
      <w:r w:rsidR="00700A18" w:rsidRPr="00490B2A">
        <w:rPr>
          <w:noProof/>
          <w:color w:val="000000" w:themeColor="text1"/>
          <w:sz w:val="20"/>
          <w:szCs w:val="28"/>
        </w:rPr>
        <w:t xml:space="preserve"> </w:t>
      </w:r>
      <w:r w:rsidRPr="00490B2A">
        <w:rPr>
          <w:noProof/>
          <w:color w:val="000000" w:themeColor="text1"/>
          <w:sz w:val="20"/>
          <w:szCs w:val="28"/>
        </w:rPr>
        <w:t>P.</w:t>
      </w:r>
      <w:r w:rsidR="00700A18" w:rsidRPr="00490B2A">
        <w:rPr>
          <w:noProof/>
          <w:color w:val="000000" w:themeColor="text1"/>
          <w:sz w:val="20"/>
          <w:szCs w:val="28"/>
        </w:rPr>
        <w:t xml:space="preserve"> </w:t>
      </w:r>
      <w:r w:rsidRPr="00490B2A">
        <w:rPr>
          <w:noProof/>
          <w:color w:val="000000" w:themeColor="text1"/>
          <w:sz w:val="20"/>
          <w:szCs w:val="28"/>
        </w:rPr>
        <w:t>A.,</w:t>
      </w:r>
      <w:r w:rsidR="00700A18" w:rsidRPr="00490B2A">
        <w:rPr>
          <w:noProof/>
          <w:color w:val="000000" w:themeColor="text1"/>
          <w:sz w:val="20"/>
          <w:szCs w:val="28"/>
        </w:rPr>
        <w:t xml:space="preserve"> </w:t>
      </w:r>
      <w:r w:rsidRPr="00490B2A">
        <w:rPr>
          <w:noProof/>
          <w:color w:val="000000" w:themeColor="text1"/>
          <w:sz w:val="20"/>
          <w:szCs w:val="28"/>
        </w:rPr>
        <w:t>McCarthy,</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Corell,</w:t>
      </w:r>
      <w:r w:rsidR="00700A18" w:rsidRPr="00490B2A">
        <w:rPr>
          <w:noProof/>
          <w:color w:val="000000" w:themeColor="text1"/>
          <w:sz w:val="20"/>
          <w:szCs w:val="28"/>
        </w:rPr>
        <w:t xml:space="preserve"> </w:t>
      </w:r>
      <w:r w:rsidRPr="00490B2A">
        <w:rPr>
          <w:noProof/>
          <w:color w:val="000000" w:themeColor="text1"/>
          <w:sz w:val="20"/>
          <w:szCs w:val="28"/>
        </w:rPr>
        <w:t>R.</w:t>
      </w:r>
      <w:r w:rsidR="00700A18" w:rsidRPr="00490B2A">
        <w:rPr>
          <w:noProof/>
          <w:color w:val="000000" w:themeColor="text1"/>
          <w:sz w:val="20"/>
          <w:szCs w:val="28"/>
        </w:rPr>
        <w:t xml:space="preserve"> </w:t>
      </w:r>
      <w:r w:rsidRPr="00490B2A">
        <w:rPr>
          <w:noProof/>
          <w:color w:val="000000" w:themeColor="text1"/>
          <w:sz w:val="20"/>
          <w:szCs w:val="28"/>
        </w:rPr>
        <w:t>W.,</w:t>
      </w:r>
      <w:r w:rsidR="00700A18" w:rsidRPr="00490B2A">
        <w:rPr>
          <w:noProof/>
          <w:color w:val="000000" w:themeColor="text1"/>
          <w:sz w:val="20"/>
          <w:szCs w:val="28"/>
        </w:rPr>
        <w:t xml:space="preserve"> </w:t>
      </w:r>
      <w:r w:rsidRPr="00490B2A">
        <w:rPr>
          <w:noProof/>
          <w:color w:val="000000" w:themeColor="text1"/>
          <w:sz w:val="20"/>
          <w:szCs w:val="28"/>
        </w:rPr>
        <w:t>Christensen,</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Eckley,</w:t>
      </w:r>
      <w:r w:rsidR="00700A18" w:rsidRPr="00490B2A">
        <w:rPr>
          <w:noProof/>
          <w:color w:val="000000" w:themeColor="text1"/>
          <w:sz w:val="20"/>
          <w:szCs w:val="28"/>
        </w:rPr>
        <w:t xml:space="preserve"> </w:t>
      </w:r>
      <w:r w:rsidRPr="00490B2A">
        <w:rPr>
          <w:noProof/>
          <w:color w:val="000000" w:themeColor="text1"/>
          <w:sz w:val="20"/>
          <w:szCs w:val="28"/>
        </w:rPr>
        <w:t>N.,</w:t>
      </w:r>
      <w:r w:rsidR="00700A18" w:rsidRPr="00490B2A">
        <w:rPr>
          <w:noProof/>
          <w:color w:val="000000" w:themeColor="text1"/>
          <w:sz w:val="20"/>
          <w:szCs w:val="28"/>
        </w:rPr>
        <w:t xml:space="preserve">… </w:t>
      </w:r>
      <w:r w:rsidRPr="00490B2A">
        <w:rPr>
          <w:noProof/>
          <w:color w:val="000000" w:themeColor="text1"/>
          <w:sz w:val="20"/>
          <w:szCs w:val="28"/>
        </w:rPr>
        <w:t>Tyler,</w:t>
      </w:r>
      <w:r w:rsidR="00700A18" w:rsidRPr="00490B2A">
        <w:rPr>
          <w:noProof/>
          <w:color w:val="000000" w:themeColor="text1"/>
          <w:sz w:val="20"/>
          <w:szCs w:val="28"/>
        </w:rPr>
        <w:t xml:space="preserve"> </w:t>
      </w:r>
      <w:r w:rsidRPr="00490B2A">
        <w:rPr>
          <w:noProof/>
          <w:color w:val="000000" w:themeColor="text1"/>
          <w:sz w:val="20"/>
          <w:szCs w:val="28"/>
        </w:rPr>
        <w:t>N.</w:t>
      </w:r>
      <w:r w:rsidR="00700A18" w:rsidRPr="00490B2A">
        <w:rPr>
          <w:noProof/>
          <w:color w:val="000000" w:themeColor="text1"/>
          <w:sz w:val="20"/>
          <w:szCs w:val="28"/>
        </w:rPr>
        <w:t xml:space="preserve"> </w:t>
      </w:r>
      <w:r w:rsidRPr="00490B2A">
        <w:rPr>
          <w:noProof/>
          <w:color w:val="000000" w:themeColor="text1"/>
          <w:sz w:val="20"/>
          <w:szCs w:val="28"/>
        </w:rPr>
        <w:t>(2003).</w:t>
      </w:r>
      <w:r w:rsidR="00700A18" w:rsidRPr="00490B2A">
        <w:rPr>
          <w:noProof/>
          <w:color w:val="000000" w:themeColor="text1"/>
          <w:sz w:val="20"/>
          <w:szCs w:val="28"/>
        </w:rPr>
        <w:t xml:space="preserve"> </w:t>
      </w:r>
      <w:r w:rsidRPr="00490B2A">
        <w:rPr>
          <w:noProof/>
          <w:color w:val="000000" w:themeColor="text1"/>
          <w:sz w:val="20"/>
          <w:szCs w:val="28"/>
        </w:rPr>
        <w:t>Illustrating</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coupled</w:t>
      </w:r>
      <w:r w:rsidR="00700A18" w:rsidRPr="00490B2A">
        <w:rPr>
          <w:noProof/>
          <w:color w:val="000000" w:themeColor="text1"/>
          <w:sz w:val="20"/>
          <w:szCs w:val="28"/>
        </w:rPr>
        <w:t xml:space="preserve"> </w:t>
      </w:r>
      <w:r w:rsidRPr="00490B2A">
        <w:rPr>
          <w:noProof/>
          <w:color w:val="000000" w:themeColor="text1"/>
          <w:sz w:val="20"/>
          <w:szCs w:val="28"/>
        </w:rPr>
        <w:t>human-environment</w:t>
      </w:r>
      <w:r w:rsidR="00700A18" w:rsidRPr="00490B2A">
        <w:rPr>
          <w:noProof/>
          <w:color w:val="000000" w:themeColor="text1"/>
          <w:sz w:val="20"/>
          <w:szCs w:val="28"/>
        </w:rPr>
        <w:t xml:space="preserve"> </w:t>
      </w:r>
      <w:r w:rsidRPr="00490B2A">
        <w:rPr>
          <w:noProof/>
          <w:color w:val="000000" w:themeColor="text1"/>
          <w:sz w:val="20"/>
          <w:szCs w:val="28"/>
        </w:rPr>
        <w:t>system</w:t>
      </w:r>
      <w:r w:rsidR="00700A18" w:rsidRPr="00490B2A">
        <w:rPr>
          <w:noProof/>
          <w:color w:val="000000" w:themeColor="text1"/>
          <w:sz w:val="20"/>
          <w:szCs w:val="28"/>
        </w:rPr>
        <w:t xml:space="preserve"> </w:t>
      </w:r>
      <w:r w:rsidRPr="00490B2A">
        <w:rPr>
          <w:noProof/>
          <w:color w:val="000000" w:themeColor="text1"/>
          <w:sz w:val="20"/>
          <w:szCs w:val="28"/>
        </w:rPr>
        <w:t>for</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analysis:</w:t>
      </w:r>
      <w:r w:rsidR="00700A18" w:rsidRPr="00490B2A">
        <w:rPr>
          <w:noProof/>
          <w:color w:val="000000" w:themeColor="text1"/>
          <w:sz w:val="20"/>
          <w:szCs w:val="28"/>
        </w:rPr>
        <w:t xml:space="preserve"> </w:t>
      </w:r>
      <w:r w:rsidRPr="00490B2A">
        <w:rPr>
          <w:noProof/>
          <w:color w:val="000000" w:themeColor="text1"/>
          <w:sz w:val="20"/>
          <w:szCs w:val="28"/>
        </w:rPr>
        <w:t>Three</w:t>
      </w:r>
      <w:r w:rsidR="00700A18" w:rsidRPr="00490B2A">
        <w:rPr>
          <w:noProof/>
          <w:color w:val="000000" w:themeColor="text1"/>
          <w:sz w:val="20"/>
          <w:szCs w:val="28"/>
        </w:rPr>
        <w:t xml:space="preserve"> </w:t>
      </w:r>
      <w:r w:rsidRPr="00490B2A">
        <w:rPr>
          <w:noProof/>
          <w:color w:val="000000" w:themeColor="text1"/>
          <w:sz w:val="20"/>
          <w:szCs w:val="28"/>
        </w:rPr>
        <w:t>case</w:t>
      </w:r>
      <w:r w:rsidR="00700A18" w:rsidRPr="00490B2A">
        <w:rPr>
          <w:noProof/>
          <w:color w:val="000000" w:themeColor="text1"/>
          <w:sz w:val="20"/>
          <w:szCs w:val="28"/>
        </w:rPr>
        <w:t xml:space="preserve"> </w:t>
      </w:r>
      <w:r w:rsidRPr="00490B2A">
        <w:rPr>
          <w:noProof/>
          <w:color w:val="000000" w:themeColor="text1"/>
          <w:sz w:val="20"/>
          <w:szCs w:val="28"/>
        </w:rPr>
        <w:t>studies.</w:t>
      </w:r>
      <w:r w:rsidR="00700A18" w:rsidRPr="00490B2A">
        <w:rPr>
          <w:noProof/>
          <w:color w:val="000000" w:themeColor="text1"/>
          <w:sz w:val="20"/>
          <w:szCs w:val="28"/>
        </w:rPr>
        <w:t xml:space="preserve"> </w:t>
      </w:r>
      <w:r w:rsidRPr="00490B2A">
        <w:rPr>
          <w:i/>
          <w:iCs/>
          <w:noProof/>
          <w:color w:val="000000" w:themeColor="text1"/>
          <w:sz w:val="20"/>
          <w:szCs w:val="28"/>
        </w:rPr>
        <w:t>Proceedings</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the</w:t>
      </w:r>
      <w:r w:rsidR="00700A18" w:rsidRPr="00490B2A">
        <w:rPr>
          <w:i/>
          <w:iCs/>
          <w:noProof/>
          <w:color w:val="000000" w:themeColor="text1"/>
          <w:sz w:val="20"/>
          <w:szCs w:val="28"/>
        </w:rPr>
        <w:t xml:space="preserve"> </w:t>
      </w:r>
      <w:r w:rsidRPr="00490B2A">
        <w:rPr>
          <w:i/>
          <w:iCs/>
          <w:noProof/>
          <w:color w:val="000000" w:themeColor="text1"/>
          <w:sz w:val="20"/>
          <w:szCs w:val="28"/>
        </w:rPr>
        <w:t>National</w:t>
      </w:r>
      <w:r w:rsidR="00700A18" w:rsidRPr="00490B2A">
        <w:rPr>
          <w:i/>
          <w:iCs/>
          <w:noProof/>
          <w:color w:val="000000" w:themeColor="text1"/>
          <w:sz w:val="20"/>
          <w:szCs w:val="28"/>
        </w:rPr>
        <w:t xml:space="preserve"> </w:t>
      </w:r>
      <w:r w:rsidRPr="00490B2A">
        <w:rPr>
          <w:i/>
          <w:iCs/>
          <w:noProof/>
          <w:color w:val="000000" w:themeColor="text1"/>
          <w:sz w:val="20"/>
          <w:szCs w:val="28"/>
        </w:rPr>
        <w:t>Academy</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Sciences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100</w:t>
      </w:r>
      <w:r w:rsidRPr="00490B2A">
        <w:rPr>
          <w:noProof/>
          <w:color w:val="000000" w:themeColor="text1"/>
          <w:sz w:val="20"/>
          <w:szCs w:val="28"/>
        </w:rPr>
        <w:t>(14),</w:t>
      </w:r>
      <w:r w:rsidR="00700A18" w:rsidRPr="00490B2A">
        <w:rPr>
          <w:noProof/>
          <w:color w:val="000000" w:themeColor="text1"/>
          <w:sz w:val="20"/>
          <w:szCs w:val="28"/>
        </w:rPr>
        <w:t xml:space="preserve"> </w:t>
      </w:r>
      <w:r w:rsidRPr="00490B2A">
        <w:rPr>
          <w:noProof/>
          <w:color w:val="000000" w:themeColor="text1"/>
          <w:sz w:val="20"/>
          <w:szCs w:val="28"/>
        </w:rPr>
        <w:t>8080–8085.</w:t>
      </w:r>
      <w:r w:rsidR="00700A18" w:rsidRPr="00490B2A">
        <w:rPr>
          <w:noProof/>
          <w:color w:val="000000" w:themeColor="text1"/>
          <w:sz w:val="20"/>
          <w:szCs w:val="28"/>
        </w:rPr>
        <w:t xml:space="preserve"> </w:t>
      </w:r>
      <w:r w:rsidRPr="00490B2A">
        <w:rPr>
          <w:noProof/>
          <w:color w:val="000000" w:themeColor="text1"/>
          <w:sz w:val="20"/>
          <w:szCs w:val="28"/>
        </w:rPr>
        <w:t>https://doi.org/10.1073/pnas.1231334100</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UNISDR.</w:t>
      </w:r>
      <w:r w:rsidR="00700A18" w:rsidRPr="00490B2A">
        <w:rPr>
          <w:noProof/>
          <w:color w:val="000000" w:themeColor="text1"/>
          <w:sz w:val="20"/>
          <w:szCs w:val="28"/>
        </w:rPr>
        <w:t xml:space="preserve"> </w:t>
      </w:r>
      <w:r w:rsidRPr="00490B2A">
        <w:rPr>
          <w:noProof/>
          <w:color w:val="000000" w:themeColor="text1"/>
          <w:sz w:val="20"/>
          <w:szCs w:val="28"/>
        </w:rPr>
        <w:t>(2009).</w:t>
      </w:r>
      <w:r w:rsidR="00700A18" w:rsidRPr="00490B2A">
        <w:rPr>
          <w:noProof/>
          <w:color w:val="000000" w:themeColor="text1"/>
          <w:sz w:val="20"/>
          <w:szCs w:val="28"/>
        </w:rPr>
        <w:t xml:space="preserve"> </w:t>
      </w:r>
      <w:r w:rsidRPr="00490B2A">
        <w:rPr>
          <w:noProof/>
          <w:color w:val="000000" w:themeColor="text1"/>
          <w:sz w:val="20"/>
          <w:szCs w:val="28"/>
        </w:rPr>
        <w:t>2009</w:t>
      </w:r>
      <w:r w:rsidR="00700A18" w:rsidRPr="00490B2A">
        <w:rPr>
          <w:noProof/>
          <w:color w:val="000000" w:themeColor="text1"/>
          <w:sz w:val="20"/>
          <w:szCs w:val="28"/>
        </w:rPr>
        <w:t xml:space="preserve"> </w:t>
      </w:r>
      <w:r w:rsidRPr="00490B2A">
        <w:rPr>
          <w:noProof/>
          <w:color w:val="000000" w:themeColor="text1"/>
          <w:sz w:val="20"/>
          <w:szCs w:val="28"/>
        </w:rPr>
        <w:t>UNISDR</w:t>
      </w:r>
      <w:r w:rsidR="00700A18" w:rsidRPr="00490B2A">
        <w:rPr>
          <w:noProof/>
          <w:color w:val="000000" w:themeColor="text1"/>
          <w:sz w:val="20"/>
          <w:szCs w:val="28"/>
        </w:rPr>
        <w:t xml:space="preserve"> </w:t>
      </w:r>
      <w:r w:rsidRPr="00490B2A">
        <w:rPr>
          <w:noProof/>
          <w:color w:val="000000" w:themeColor="text1"/>
          <w:sz w:val="20"/>
          <w:szCs w:val="28"/>
        </w:rPr>
        <w:t>Terminology</w:t>
      </w:r>
      <w:r w:rsidR="00700A18" w:rsidRPr="00490B2A">
        <w:rPr>
          <w:noProof/>
          <w:color w:val="000000" w:themeColor="text1"/>
          <w:sz w:val="20"/>
          <w:szCs w:val="28"/>
        </w:rPr>
        <w:t xml:space="preserve"> </w:t>
      </w:r>
      <w:r w:rsidRPr="00490B2A">
        <w:rPr>
          <w:noProof/>
          <w:color w:val="000000" w:themeColor="text1"/>
          <w:sz w:val="20"/>
          <w:szCs w:val="28"/>
        </w:rPr>
        <w:t>on</w:t>
      </w:r>
      <w:r w:rsidR="00700A18" w:rsidRPr="00490B2A">
        <w:rPr>
          <w:noProof/>
          <w:color w:val="000000" w:themeColor="text1"/>
          <w:sz w:val="20"/>
          <w:szCs w:val="28"/>
        </w:rPr>
        <w:t xml:space="preserve"> </w:t>
      </w:r>
      <w:r w:rsidRPr="00490B2A">
        <w:rPr>
          <w:noProof/>
          <w:color w:val="000000" w:themeColor="text1"/>
          <w:sz w:val="20"/>
          <w:szCs w:val="28"/>
        </w:rPr>
        <w:t>Disaster</w:t>
      </w:r>
      <w:r w:rsidR="00700A18" w:rsidRPr="00490B2A">
        <w:rPr>
          <w:noProof/>
          <w:color w:val="000000" w:themeColor="text1"/>
          <w:sz w:val="20"/>
          <w:szCs w:val="28"/>
        </w:rPr>
        <w:t xml:space="preserve"> </w:t>
      </w:r>
      <w:r w:rsidRPr="00490B2A">
        <w:rPr>
          <w:noProof/>
          <w:color w:val="000000" w:themeColor="text1"/>
          <w:sz w:val="20"/>
          <w:szCs w:val="28"/>
        </w:rPr>
        <w:t>Risk</w:t>
      </w:r>
      <w:r w:rsidR="00700A18" w:rsidRPr="00490B2A">
        <w:rPr>
          <w:noProof/>
          <w:color w:val="000000" w:themeColor="text1"/>
          <w:sz w:val="20"/>
          <w:szCs w:val="28"/>
        </w:rPr>
        <w:t xml:space="preserve"> </w:t>
      </w:r>
      <w:r w:rsidRPr="00490B2A">
        <w:rPr>
          <w:noProof/>
          <w:color w:val="000000" w:themeColor="text1"/>
          <w:sz w:val="20"/>
          <w:szCs w:val="28"/>
        </w:rPr>
        <w:t>Reduction.</w:t>
      </w:r>
      <w:r w:rsidR="00700A18" w:rsidRPr="00490B2A">
        <w:rPr>
          <w:noProof/>
          <w:color w:val="000000" w:themeColor="text1"/>
          <w:sz w:val="20"/>
          <w:szCs w:val="28"/>
        </w:rPr>
        <w:t xml:space="preserve"> </w:t>
      </w:r>
      <w:r w:rsidRPr="00490B2A">
        <w:rPr>
          <w:i/>
          <w:iCs/>
          <w:noProof/>
          <w:color w:val="000000" w:themeColor="text1"/>
          <w:sz w:val="20"/>
          <w:szCs w:val="28"/>
        </w:rPr>
        <w:t>International</w:t>
      </w:r>
      <w:r w:rsidR="00700A18" w:rsidRPr="00490B2A">
        <w:rPr>
          <w:i/>
          <w:iCs/>
          <w:noProof/>
          <w:color w:val="000000" w:themeColor="text1"/>
          <w:sz w:val="20"/>
          <w:szCs w:val="28"/>
        </w:rPr>
        <w:t xml:space="preserve"> </w:t>
      </w:r>
      <w:r w:rsidRPr="00490B2A">
        <w:rPr>
          <w:i/>
          <w:iCs/>
          <w:noProof/>
          <w:color w:val="000000" w:themeColor="text1"/>
          <w:sz w:val="20"/>
          <w:szCs w:val="28"/>
        </w:rPr>
        <w:t>Stratergy</w:t>
      </w:r>
      <w:r w:rsidR="00700A18" w:rsidRPr="00490B2A">
        <w:rPr>
          <w:i/>
          <w:iCs/>
          <w:noProof/>
          <w:color w:val="000000" w:themeColor="text1"/>
          <w:sz w:val="20"/>
          <w:szCs w:val="28"/>
        </w:rPr>
        <w:t xml:space="preserve"> </w:t>
      </w:r>
      <w:r w:rsidRPr="00490B2A">
        <w:rPr>
          <w:i/>
          <w:iCs/>
          <w:noProof/>
          <w:color w:val="000000" w:themeColor="text1"/>
          <w:sz w:val="20"/>
          <w:szCs w:val="28"/>
        </w:rPr>
        <w:t>for</w:t>
      </w:r>
      <w:r w:rsidR="00700A18" w:rsidRPr="00490B2A">
        <w:rPr>
          <w:i/>
          <w:iCs/>
          <w:noProof/>
          <w:color w:val="000000" w:themeColor="text1"/>
          <w:sz w:val="20"/>
          <w:szCs w:val="28"/>
        </w:rPr>
        <w:t xml:space="preserve"> </w:t>
      </w:r>
      <w:r w:rsidRPr="00490B2A">
        <w:rPr>
          <w:i/>
          <w:iCs/>
          <w:noProof/>
          <w:color w:val="000000" w:themeColor="text1"/>
          <w:sz w:val="20"/>
          <w:szCs w:val="28"/>
        </w:rPr>
        <w:t>Disaster</w:t>
      </w:r>
      <w:r w:rsidR="00700A18" w:rsidRPr="00490B2A">
        <w:rPr>
          <w:i/>
          <w:iCs/>
          <w:noProof/>
          <w:color w:val="000000" w:themeColor="text1"/>
          <w:sz w:val="20"/>
          <w:szCs w:val="28"/>
        </w:rPr>
        <w:t xml:space="preserve"> </w:t>
      </w:r>
      <w:r w:rsidRPr="00490B2A">
        <w:rPr>
          <w:i/>
          <w:iCs/>
          <w:noProof/>
          <w:color w:val="000000" w:themeColor="text1"/>
          <w:sz w:val="20"/>
          <w:szCs w:val="28"/>
        </w:rPr>
        <w:t>Reduction</w:t>
      </w:r>
      <w:r w:rsidR="00700A18" w:rsidRPr="00490B2A">
        <w:rPr>
          <w:i/>
          <w:iCs/>
          <w:noProof/>
          <w:color w:val="000000" w:themeColor="text1"/>
          <w:sz w:val="20"/>
          <w:szCs w:val="28"/>
        </w:rPr>
        <w:t xml:space="preserve"> </w:t>
      </w:r>
      <w:r w:rsidRPr="00490B2A">
        <w:rPr>
          <w:i/>
          <w:iCs/>
          <w:noProof/>
          <w:color w:val="000000" w:themeColor="text1"/>
          <w:sz w:val="20"/>
          <w:szCs w:val="28"/>
        </w:rPr>
        <w:t>(ISDR)</w:t>
      </w:r>
      <w:r w:rsidRPr="00490B2A">
        <w:rPr>
          <w:noProof/>
          <w:color w:val="000000" w:themeColor="text1"/>
          <w:sz w:val="20"/>
          <w:szCs w:val="28"/>
        </w:rPr>
        <w:t>,</w:t>
      </w:r>
      <w:r w:rsidR="00700A18" w:rsidRPr="00490B2A">
        <w:rPr>
          <w:noProof/>
          <w:color w:val="000000" w:themeColor="text1"/>
          <w:sz w:val="20"/>
          <w:szCs w:val="28"/>
        </w:rPr>
        <w:t xml:space="preserve"> </w:t>
      </w:r>
      <w:r w:rsidRPr="00490B2A">
        <w:rPr>
          <w:noProof/>
          <w:color w:val="000000" w:themeColor="text1"/>
          <w:sz w:val="20"/>
          <w:szCs w:val="28"/>
        </w:rPr>
        <w:t>1–30.</w:t>
      </w:r>
      <w:r w:rsidR="00700A18" w:rsidRPr="00490B2A">
        <w:rPr>
          <w:noProof/>
          <w:color w:val="000000" w:themeColor="text1"/>
          <w:sz w:val="20"/>
          <w:szCs w:val="28"/>
        </w:rPr>
        <w:t xml:space="preserve"> </w:t>
      </w:r>
      <w:r w:rsidRPr="00490B2A">
        <w:rPr>
          <w:noProof/>
          <w:color w:val="000000" w:themeColor="text1"/>
          <w:sz w:val="20"/>
          <w:szCs w:val="28"/>
        </w:rPr>
        <w:t>https://doi.org/978-600-6937-11-3</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Wisner,</w:t>
      </w:r>
      <w:r w:rsidR="00700A18" w:rsidRPr="00490B2A">
        <w:rPr>
          <w:noProof/>
          <w:color w:val="000000" w:themeColor="text1"/>
          <w:sz w:val="20"/>
          <w:szCs w:val="28"/>
        </w:rPr>
        <w:t xml:space="preserve"> </w:t>
      </w:r>
      <w:r w:rsidRPr="00490B2A">
        <w:rPr>
          <w:noProof/>
          <w:color w:val="000000" w:themeColor="text1"/>
          <w:sz w:val="20"/>
          <w:szCs w:val="28"/>
        </w:rPr>
        <w:t>B.,</w:t>
      </w:r>
      <w:r w:rsidR="00700A18" w:rsidRPr="00490B2A">
        <w:rPr>
          <w:noProof/>
          <w:color w:val="000000" w:themeColor="text1"/>
          <w:sz w:val="20"/>
          <w:szCs w:val="28"/>
        </w:rPr>
        <w:t xml:space="preserve"> </w:t>
      </w:r>
      <w:r w:rsidRPr="00490B2A">
        <w:rPr>
          <w:noProof/>
          <w:color w:val="000000" w:themeColor="text1"/>
          <w:sz w:val="20"/>
          <w:szCs w:val="28"/>
        </w:rPr>
        <w:t>Blaikie,</w:t>
      </w:r>
      <w:r w:rsidR="00700A18" w:rsidRPr="00490B2A">
        <w:rPr>
          <w:noProof/>
          <w:color w:val="000000" w:themeColor="text1"/>
          <w:sz w:val="20"/>
          <w:szCs w:val="28"/>
        </w:rPr>
        <w:t xml:space="preserve"> </w:t>
      </w:r>
      <w:r w:rsidRPr="00490B2A">
        <w:rPr>
          <w:noProof/>
          <w:color w:val="000000" w:themeColor="text1"/>
          <w:sz w:val="20"/>
          <w:szCs w:val="28"/>
        </w:rPr>
        <w:t>P.,</w:t>
      </w:r>
      <w:r w:rsidR="00700A18" w:rsidRPr="00490B2A">
        <w:rPr>
          <w:noProof/>
          <w:color w:val="000000" w:themeColor="text1"/>
          <w:sz w:val="20"/>
          <w:szCs w:val="28"/>
        </w:rPr>
        <w:t xml:space="preserve"> </w:t>
      </w:r>
      <w:r w:rsidRPr="00490B2A">
        <w:rPr>
          <w:noProof/>
          <w:color w:val="000000" w:themeColor="text1"/>
          <w:sz w:val="20"/>
          <w:szCs w:val="28"/>
        </w:rPr>
        <w:t>Cannon,</w:t>
      </w:r>
      <w:r w:rsidR="00700A18" w:rsidRPr="00490B2A">
        <w:rPr>
          <w:noProof/>
          <w:color w:val="000000" w:themeColor="text1"/>
          <w:sz w:val="20"/>
          <w:szCs w:val="28"/>
        </w:rPr>
        <w:t xml:space="preserve"> </w:t>
      </w:r>
      <w:r w:rsidRPr="00490B2A">
        <w:rPr>
          <w:noProof/>
          <w:color w:val="000000" w:themeColor="text1"/>
          <w:sz w:val="20"/>
          <w:szCs w:val="28"/>
        </w:rPr>
        <w:t>T.,</w:t>
      </w:r>
      <w:r w:rsidR="00700A18" w:rsidRPr="00490B2A">
        <w:rPr>
          <w:noProof/>
          <w:color w:val="000000" w:themeColor="text1"/>
          <w:sz w:val="20"/>
          <w:szCs w:val="28"/>
        </w:rPr>
        <w:t xml:space="preserve"> &amp; </w:t>
      </w:r>
      <w:r w:rsidRPr="00490B2A">
        <w:rPr>
          <w:noProof/>
          <w:color w:val="000000" w:themeColor="text1"/>
          <w:sz w:val="20"/>
          <w:szCs w:val="28"/>
        </w:rPr>
        <w:t>Davis,</w:t>
      </w:r>
      <w:r w:rsidR="00700A18" w:rsidRPr="00490B2A">
        <w:rPr>
          <w:noProof/>
          <w:color w:val="000000" w:themeColor="text1"/>
          <w:sz w:val="20"/>
          <w:szCs w:val="28"/>
        </w:rPr>
        <w:t xml:space="preserve"> </w:t>
      </w:r>
      <w:r w:rsidRPr="00490B2A">
        <w:rPr>
          <w:noProof/>
          <w:color w:val="000000" w:themeColor="text1"/>
          <w:sz w:val="20"/>
          <w:szCs w:val="28"/>
        </w:rPr>
        <w:t>I.</w:t>
      </w:r>
      <w:r w:rsidR="00700A18" w:rsidRPr="00490B2A">
        <w:rPr>
          <w:noProof/>
          <w:color w:val="000000" w:themeColor="text1"/>
          <w:sz w:val="20"/>
          <w:szCs w:val="28"/>
        </w:rPr>
        <w:t xml:space="preserve"> </w:t>
      </w:r>
      <w:r w:rsidRPr="00490B2A">
        <w:rPr>
          <w:noProof/>
          <w:color w:val="000000" w:themeColor="text1"/>
          <w:sz w:val="20"/>
          <w:szCs w:val="28"/>
        </w:rPr>
        <w:t>(2004).</w:t>
      </w:r>
      <w:r w:rsidR="00700A18" w:rsidRPr="00490B2A">
        <w:rPr>
          <w:noProof/>
          <w:color w:val="000000" w:themeColor="text1"/>
          <w:sz w:val="20"/>
          <w:szCs w:val="28"/>
        </w:rPr>
        <w:t xml:space="preserve"> </w:t>
      </w:r>
      <w:r w:rsidRPr="00490B2A">
        <w:rPr>
          <w:noProof/>
          <w:color w:val="000000" w:themeColor="text1"/>
          <w:sz w:val="20"/>
          <w:szCs w:val="28"/>
        </w:rPr>
        <w:t>At</w:t>
      </w:r>
      <w:r w:rsidR="00700A18" w:rsidRPr="00490B2A">
        <w:rPr>
          <w:noProof/>
          <w:color w:val="000000" w:themeColor="text1"/>
          <w:sz w:val="20"/>
          <w:szCs w:val="28"/>
        </w:rPr>
        <w:t xml:space="preserve"> </w:t>
      </w:r>
      <w:r w:rsidRPr="00490B2A">
        <w:rPr>
          <w:noProof/>
          <w:color w:val="000000" w:themeColor="text1"/>
          <w:sz w:val="20"/>
          <w:szCs w:val="28"/>
        </w:rPr>
        <w:t>Risk</w:t>
      </w:r>
      <w:r w:rsidR="00700A18" w:rsidRPr="00490B2A">
        <w:rPr>
          <w:noProof/>
          <w:color w:val="000000" w:themeColor="text1"/>
          <w:sz w:val="20"/>
          <w:szCs w:val="28"/>
        </w:rPr>
        <w:t xml:space="preserve"> </w:t>
      </w:r>
      <w:r w:rsidRPr="00490B2A">
        <w:rPr>
          <w:noProof/>
          <w:color w:val="000000" w:themeColor="text1"/>
          <w:sz w:val="20"/>
          <w:szCs w:val="28"/>
        </w:rPr>
        <w:t>–</w:t>
      </w:r>
      <w:r w:rsidR="00700A18" w:rsidRPr="00490B2A">
        <w:rPr>
          <w:noProof/>
          <w:color w:val="000000" w:themeColor="text1"/>
          <w:sz w:val="20"/>
          <w:szCs w:val="28"/>
        </w:rPr>
        <w:t xml:space="preserve"> </w:t>
      </w:r>
      <w:r w:rsidRPr="00490B2A">
        <w:rPr>
          <w:noProof/>
          <w:color w:val="000000" w:themeColor="text1"/>
          <w:sz w:val="20"/>
          <w:szCs w:val="28"/>
        </w:rPr>
        <w:t>Natural</w:t>
      </w:r>
      <w:r w:rsidR="00700A18" w:rsidRPr="00490B2A">
        <w:rPr>
          <w:noProof/>
          <w:color w:val="000000" w:themeColor="text1"/>
          <w:sz w:val="20"/>
          <w:szCs w:val="28"/>
        </w:rPr>
        <w:t xml:space="preserve"> </w:t>
      </w:r>
      <w:r w:rsidRPr="00490B2A">
        <w:rPr>
          <w:noProof/>
          <w:color w:val="000000" w:themeColor="text1"/>
          <w:sz w:val="20"/>
          <w:szCs w:val="28"/>
        </w:rPr>
        <w:t>Hazards,</w:t>
      </w:r>
      <w:r w:rsidR="00700A18" w:rsidRPr="00490B2A">
        <w:rPr>
          <w:noProof/>
          <w:color w:val="000000" w:themeColor="text1"/>
          <w:sz w:val="20"/>
          <w:szCs w:val="28"/>
        </w:rPr>
        <w:t xml:space="preserve"> </w:t>
      </w:r>
      <w:r w:rsidRPr="00490B2A">
        <w:rPr>
          <w:noProof/>
          <w:color w:val="000000" w:themeColor="text1"/>
          <w:sz w:val="20"/>
          <w:szCs w:val="28"/>
        </w:rPr>
        <w:t>People’s</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and</w:t>
      </w:r>
      <w:r w:rsidR="00700A18" w:rsidRPr="00490B2A">
        <w:rPr>
          <w:noProof/>
          <w:color w:val="000000" w:themeColor="text1"/>
          <w:sz w:val="20"/>
          <w:szCs w:val="28"/>
        </w:rPr>
        <w:t xml:space="preserve"> </w:t>
      </w:r>
      <w:r w:rsidRPr="00490B2A">
        <w:rPr>
          <w:noProof/>
          <w:color w:val="000000" w:themeColor="text1"/>
          <w:sz w:val="20"/>
          <w:szCs w:val="28"/>
        </w:rPr>
        <w:t>Disasters</w:t>
      </w:r>
      <w:r w:rsidR="00700A18" w:rsidRPr="00490B2A">
        <w:rPr>
          <w:noProof/>
          <w:color w:val="000000" w:themeColor="text1"/>
          <w:sz w:val="20"/>
          <w:szCs w:val="28"/>
        </w:rPr>
        <w:t xml:space="preserve"> </w:t>
      </w:r>
      <w:r w:rsidRPr="00490B2A">
        <w:rPr>
          <w:noProof/>
          <w:color w:val="000000" w:themeColor="text1"/>
          <w:sz w:val="20"/>
          <w:szCs w:val="28"/>
        </w:rPr>
        <w:t>second</w:t>
      </w:r>
      <w:r w:rsidR="00700A18" w:rsidRPr="00490B2A">
        <w:rPr>
          <w:noProof/>
          <w:color w:val="000000" w:themeColor="text1"/>
          <w:sz w:val="20"/>
          <w:szCs w:val="28"/>
        </w:rPr>
        <w:t xml:space="preserve"> </w:t>
      </w:r>
      <w:r w:rsidRPr="00490B2A">
        <w:rPr>
          <w:noProof/>
          <w:color w:val="000000" w:themeColor="text1"/>
          <w:sz w:val="20"/>
          <w:szCs w:val="28"/>
        </w:rPr>
        <w:t>edition:</w:t>
      </w:r>
      <w:r w:rsidR="00700A18" w:rsidRPr="00490B2A">
        <w:rPr>
          <w:noProof/>
          <w:color w:val="000000" w:themeColor="text1"/>
          <w:sz w:val="20"/>
          <w:szCs w:val="28"/>
        </w:rPr>
        <w:t xml:space="preserve"> </w:t>
      </w:r>
      <w:r w:rsidRPr="00490B2A">
        <w:rPr>
          <w:noProof/>
          <w:color w:val="000000" w:themeColor="text1"/>
          <w:sz w:val="20"/>
          <w:szCs w:val="28"/>
        </w:rPr>
        <w:t>Routledge,</w:t>
      </w:r>
      <w:r w:rsidR="00700A18" w:rsidRPr="00490B2A">
        <w:rPr>
          <w:noProof/>
          <w:color w:val="000000" w:themeColor="text1"/>
          <w:sz w:val="20"/>
          <w:szCs w:val="28"/>
        </w:rPr>
        <w:t xml:space="preserve"> </w:t>
      </w:r>
      <w:r w:rsidRPr="00490B2A">
        <w:rPr>
          <w:noProof/>
          <w:color w:val="000000" w:themeColor="text1"/>
          <w:sz w:val="20"/>
          <w:szCs w:val="28"/>
        </w:rPr>
        <w:t>London.</w:t>
      </w:r>
      <w:r w:rsidR="00700A18" w:rsidRPr="00490B2A">
        <w:rPr>
          <w:noProof/>
          <w:color w:val="000000" w:themeColor="text1"/>
          <w:sz w:val="20"/>
          <w:szCs w:val="28"/>
        </w:rPr>
        <w:t xml:space="preserve"> </w:t>
      </w:r>
      <w:r w:rsidRPr="00490B2A">
        <w:rPr>
          <w:i/>
          <w:iCs/>
          <w:noProof/>
          <w:color w:val="000000" w:themeColor="text1"/>
          <w:sz w:val="20"/>
          <w:szCs w:val="28"/>
        </w:rPr>
        <w:t>Journal</w:t>
      </w:r>
      <w:r w:rsidR="00700A18" w:rsidRPr="00490B2A">
        <w:rPr>
          <w:i/>
          <w:iCs/>
          <w:noProof/>
          <w:color w:val="000000" w:themeColor="text1"/>
          <w:sz w:val="20"/>
          <w:szCs w:val="28"/>
        </w:rPr>
        <w:t xml:space="preserve"> </w:t>
      </w:r>
      <w:r w:rsidRPr="00490B2A">
        <w:rPr>
          <w:i/>
          <w:iCs/>
          <w:noProof/>
          <w:color w:val="000000" w:themeColor="text1"/>
          <w:sz w:val="20"/>
          <w:szCs w:val="28"/>
        </w:rPr>
        <w:t>of</w:t>
      </w:r>
      <w:r w:rsidR="00700A18" w:rsidRPr="00490B2A">
        <w:rPr>
          <w:i/>
          <w:iCs/>
          <w:noProof/>
          <w:color w:val="000000" w:themeColor="text1"/>
          <w:sz w:val="20"/>
          <w:szCs w:val="28"/>
        </w:rPr>
        <w:t xml:space="preserve"> </w:t>
      </w:r>
      <w:r w:rsidRPr="00490B2A">
        <w:rPr>
          <w:i/>
          <w:iCs/>
          <w:noProof/>
          <w:color w:val="000000" w:themeColor="text1"/>
          <w:sz w:val="20"/>
          <w:szCs w:val="28"/>
        </w:rPr>
        <w:t>Homeland</w:t>
      </w:r>
      <w:r w:rsidR="00700A18" w:rsidRPr="00490B2A">
        <w:rPr>
          <w:i/>
          <w:iCs/>
          <w:noProof/>
          <w:color w:val="000000" w:themeColor="text1"/>
          <w:sz w:val="20"/>
          <w:szCs w:val="28"/>
        </w:rPr>
        <w:t xml:space="preserve"> </w:t>
      </w:r>
      <w:r w:rsidRPr="00490B2A">
        <w:rPr>
          <w:i/>
          <w:iCs/>
          <w:noProof/>
          <w:color w:val="000000" w:themeColor="text1"/>
          <w:sz w:val="20"/>
          <w:szCs w:val="28"/>
        </w:rPr>
        <w:t>Security</w:t>
      </w:r>
      <w:r w:rsidR="00700A18" w:rsidRPr="00490B2A">
        <w:rPr>
          <w:i/>
          <w:iCs/>
          <w:noProof/>
          <w:color w:val="000000" w:themeColor="text1"/>
          <w:sz w:val="20"/>
          <w:szCs w:val="28"/>
        </w:rPr>
        <w:t xml:space="preserve"> </w:t>
      </w:r>
      <w:r w:rsidRPr="00490B2A">
        <w:rPr>
          <w:i/>
          <w:iCs/>
          <w:noProof/>
          <w:color w:val="000000" w:themeColor="text1"/>
          <w:sz w:val="20"/>
          <w:szCs w:val="28"/>
        </w:rPr>
        <w:t>and</w:t>
      </w:r>
      <w:r w:rsidR="00700A18" w:rsidRPr="00490B2A">
        <w:rPr>
          <w:i/>
          <w:iCs/>
          <w:noProof/>
          <w:color w:val="000000" w:themeColor="text1"/>
          <w:sz w:val="20"/>
          <w:szCs w:val="28"/>
        </w:rPr>
        <w:t xml:space="preserve"> </w:t>
      </w:r>
      <w:r w:rsidRPr="00490B2A">
        <w:rPr>
          <w:i/>
          <w:iCs/>
          <w:noProof/>
          <w:color w:val="000000" w:themeColor="text1"/>
          <w:sz w:val="20"/>
          <w:szCs w:val="28"/>
        </w:rPr>
        <w:t>Emergency</w:t>
      </w:r>
      <w:r w:rsidR="00700A18" w:rsidRPr="00490B2A">
        <w:rPr>
          <w:i/>
          <w:iCs/>
          <w:noProof/>
          <w:color w:val="000000" w:themeColor="text1"/>
          <w:sz w:val="20"/>
          <w:szCs w:val="28"/>
        </w:rPr>
        <w:t xml:space="preserve"> </w:t>
      </w:r>
      <w:r w:rsidRPr="00490B2A">
        <w:rPr>
          <w:i/>
          <w:iCs/>
          <w:noProof/>
          <w:color w:val="000000" w:themeColor="text1"/>
          <w:sz w:val="20"/>
          <w:szCs w:val="28"/>
        </w:rPr>
        <w:t>Management</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2</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https://doi.org/https://doi.org/10.2202/1547-7355.1131</w:t>
      </w:r>
      <w:r w:rsidR="00CA0430">
        <w:rPr>
          <w:rFonts w:eastAsiaTheme="minorEastAsia" w:hint="eastAsia"/>
          <w:noProof/>
          <w:color w:val="000000" w:themeColor="text1"/>
          <w:sz w:val="20"/>
          <w:szCs w:val="28"/>
          <w:lang w:eastAsia="zh-CN"/>
        </w:rPr>
        <w:t>.</w:t>
      </w:r>
    </w:p>
    <w:p w:rsidR="00AC1CFF" w:rsidRPr="00490B2A" w:rsidRDefault="00AC1CFF" w:rsidP="00490B2A">
      <w:pPr>
        <w:pStyle w:val="ListParagraph"/>
        <w:widowControl w:val="0"/>
        <w:numPr>
          <w:ilvl w:val="0"/>
          <w:numId w:val="9"/>
        </w:numPr>
        <w:autoSpaceDE w:val="0"/>
        <w:autoSpaceDN w:val="0"/>
        <w:adjustRightInd w:val="0"/>
        <w:snapToGrid w:val="0"/>
        <w:spacing w:after="0" w:line="240" w:lineRule="auto"/>
        <w:ind w:left="425" w:hanging="425"/>
        <w:rPr>
          <w:noProof/>
          <w:color w:val="000000" w:themeColor="text1"/>
          <w:sz w:val="20"/>
          <w:szCs w:val="28"/>
        </w:rPr>
      </w:pPr>
      <w:r w:rsidRPr="00490B2A">
        <w:rPr>
          <w:noProof/>
          <w:color w:val="000000" w:themeColor="text1"/>
          <w:sz w:val="20"/>
          <w:szCs w:val="28"/>
        </w:rPr>
        <w:t>Wood,</w:t>
      </w:r>
      <w:r w:rsidR="00700A18" w:rsidRPr="00490B2A">
        <w:rPr>
          <w:noProof/>
          <w:color w:val="000000" w:themeColor="text1"/>
          <w:sz w:val="20"/>
          <w:szCs w:val="28"/>
        </w:rPr>
        <w:t xml:space="preserve"> </w:t>
      </w:r>
      <w:r w:rsidRPr="00490B2A">
        <w:rPr>
          <w:noProof/>
          <w:color w:val="000000" w:themeColor="text1"/>
          <w:sz w:val="20"/>
          <w:szCs w:val="28"/>
        </w:rPr>
        <w:t>N.</w:t>
      </w:r>
      <w:r w:rsidR="00700A18" w:rsidRPr="00490B2A">
        <w:rPr>
          <w:noProof/>
          <w:color w:val="000000" w:themeColor="text1"/>
          <w:sz w:val="20"/>
          <w:szCs w:val="28"/>
        </w:rPr>
        <w:t xml:space="preserve"> </w:t>
      </w:r>
      <w:r w:rsidRPr="00490B2A">
        <w:rPr>
          <w:noProof/>
          <w:color w:val="000000" w:themeColor="text1"/>
          <w:sz w:val="20"/>
          <w:szCs w:val="28"/>
        </w:rPr>
        <w:t>J.,</w:t>
      </w:r>
      <w:r w:rsidR="00700A18" w:rsidRPr="00490B2A">
        <w:rPr>
          <w:noProof/>
          <w:color w:val="000000" w:themeColor="text1"/>
          <w:sz w:val="20"/>
          <w:szCs w:val="28"/>
        </w:rPr>
        <w:t xml:space="preserve"> </w:t>
      </w:r>
      <w:r w:rsidRPr="00490B2A">
        <w:rPr>
          <w:noProof/>
          <w:color w:val="000000" w:themeColor="text1"/>
          <w:sz w:val="20"/>
          <w:szCs w:val="28"/>
        </w:rPr>
        <w:t>Burton,</w:t>
      </w:r>
      <w:r w:rsidR="00700A18" w:rsidRPr="00490B2A">
        <w:rPr>
          <w:noProof/>
          <w:color w:val="000000" w:themeColor="text1"/>
          <w:sz w:val="20"/>
          <w:szCs w:val="28"/>
        </w:rPr>
        <w:t xml:space="preserve"> </w:t>
      </w:r>
      <w:r w:rsidRPr="00490B2A">
        <w:rPr>
          <w:noProof/>
          <w:color w:val="000000" w:themeColor="text1"/>
          <w:sz w:val="20"/>
          <w:szCs w:val="28"/>
        </w:rPr>
        <w:t>C.</w:t>
      </w:r>
      <w:r w:rsidR="00700A18" w:rsidRPr="00490B2A">
        <w:rPr>
          <w:noProof/>
          <w:color w:val="000000" w:themeColor="text1"/>
          <w:sz w:val="20"/>
          <w:szCs w:val="28"/>
        </w:rPr>
        <w:t xml:space="preserve"> </w:t>
      </w:r>
      <w:r w:rsidRPr="00490B2A">
        <w:rPr>
          <w:noProof/>
          <w:color w:val="000000" w:themeColor="text1"/>
          <w:sz w:val="20"/>
          <w:szCs w:val="28"/>
        </w:rPr>
        <w:t>G.,</w:t>
      </w:r>
      <w:r w:rsidR="00700A18" w:rsidRPr="00490B2A">
        <w:rPr>
          <w:noProof/>
          <w:color w:val="000000" w:themeColor="text1"/>
          <w:sz w:val="20"/>
          <w:szCs w:val="28"/>
        </w:rPr>
        <w:t xml:space="preserve"> &amp; </w:t>
      </w:r>
      <w:r w:rsidRPr="00490B2A">
        <w:rPr>
          <w:noProof/>
          <w:color w:val="000000" w:themeColor="text1"/>
          <w:sz w:val="20"/>
          <w:szCs w:val="28"/>
        </w:rPr>
        <w:t>Cutter,</w:t>
      </w:r>
      <w:r w:rsidR="00700A18" w:rsidRPr="00490B2A">
        <w:rPr>
          <w:noProof/>
          <w:color w:val="000000" w:themeColor="text1"/>
          <w:sz w:val="20"/>
          <w:szCs w:val="28"/>
        </w:rPr>
        <w:t xml:space="preserve"> </w:t>
      </w:r>
      <w:r w:rsidRPr="00490B2A">
        <w:rPr>
          <w:noProof/>
          <w:color w:val="000000" w:themeColor="text1"/>
          <w:sz w:val="20"/>
          <w:szCs w:val="28"/>
        </w:rPr>
        <w:t>S.</w:t>
      </w:r>
      <w:r w:rsidR="00700A18" w:rsidRPr="00490B2A">
        <w:rPr>
          <w:noProof/>
          <w:color w:val="000000" w:themeColor="text1"/>
          <w:sz w:val="20"/>
          <w:szCs w:val="28"/>
        </w:rPr>
        <w:t xml:space="preserve"> </w:t>
      </w:r>
      <w:r w:rsidRPr="00490B2A">
        <w:rPr>
          <w:noProof/>
          <w:color w:val="000000" w:themeColor="text1"/>
          <w:sz w:val="20"/>
          <w:szCs w:val="28"/>
        </w:rPr>
        <w:t>L.</w:t>
      </w:r>
      <w:r w:rsidR="00700A18" w:rsidRPr="00490B2A">
        <w:rPr>
          <w:noProof/>
          <w:color w:val="000000" w:themeColor="text1"/>
          <w:sz w:val="20"/>
          <w:szCs w:val="28"/>
        </w:rPr>
        <w:t xml:space="preserve"> </w:t>
      </w:r>
      <w:r w:rsidRPr="00490B2A">
        <w:rPr>
          <w:noProof/>
          <w:color w:val="000000" w:themeColor="text1"/>
          <w:sz w:val="20"/>
          <w:szCs w:val="28"/>
        </w:rPr>
        <w:t>(2010).</w:t>
      </w:r>
      <w:r w:rsidR="00700A18" w:rsidRPr="00490B2A">
        <w:rPr>
          <w:noProof/>
          <w:color w:val="000000" w:themeColor="text1"/>
          <w:sz w:val="20"/>
          <w:szCs w:val="28"/>
        </w:rPr>
        <w:t xml:space="preserve"> </w:t>
      </w:r>
      <w:r w:rsidRPr="00490B2A">
        <w:rPr>
          <w:noProof/>
          <w:color w:val="000000" w:themeColor="text1"/>
          <w:sz w:val="20"/>
          <w:szCs w:val="28"/>
        </w:rPr>
        <w:t>Community</w:t>
      </w:r>
      <w:r w:rsidR="00700A18" w:rsidRPr="00490B2A">
        <w:rPr>
          <w:noProof/>
          <w:color w:val="000000" w:themeColor="text1"/>
          <w:sz w:val="20"/>
          <w:szCs w:val="28"/>
        </w:rPr>
        <w:t xml:space="preserve"> </w:t>
      </w:r>
      <w:r w:rsidRPr="00490B2A">
        <w:rPr>
          <w:noProof/>
          <w:color w:val="000000" w:themeColor="text1"/>
          <w:sz w:val="20"/>
          <w:szCs w:val="28"/>
        </w:rPr>
        <w:t>variations</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social</w:t>
      </w:r>
      <w:r w:rsidR="00700A18" w:rsidRPr="00490B2A">
        <w:rPr>
          <w:noProof/>
          <w:color w:val="000000" w:themeColor="text1"/>
          <w:sz w:val="20"/>
          <w:szCs w:val="28"/>
        </w:rPr>
        <w:t xml:space="preserve"> </w:t>
      </w:r>
      <w:r w:rsidRPr="00490B2A">
        <w:rPr>
          <w:noProof/>
          <w:color w:val="000000" w:themeColor="text1"/>
          <w:sz w:val="20"/>
          <w:szCs w:val="28"/>
        </w:rPr>
        <w:t>vulnerability</w:t>
      </w:r>
      <w:r w:rsidR="00700A18" w:rsidRPr="00490B2A">
        <w:rPr>
          <w:noProof/>
          <w:color w:val="000000" w:themeColor="text1"/>
          <w:sz w:val="20"/>
          <w:szCs w:val="28"/>
        </w:rPr>
        <w:t xml:space="preserve"> </w:t>
      </w:r>
      <w:r w:rsidRPr="00490B2A">
        <w:rPr>
          <w:noProof/>
          <w:color w:val="000000" w:themeColor="text1"/>
          <w:sz w:val="20"/>
          <w:szCs w:val="28"/>
        </w:rPr>
        <w:t>to</w:t>
      </w:r>
      <w:r w:rsidR="00700A18" w:rsidRPr="00490B2A">
        <w:rPr>
          <w:noProof/>
          <w:color w:val="000000" w:themeColor="text1"/>
          <w:sz w:val="20"/>
          <w:szCs w:val="28"/>
        </w:rPr>
        <w:t xml:space="preserve"> </w:t>
      </w:r>
      <w:r w:rsidRPr="00490B2A">
        <w:rPr>
          <w:noProof/>
          <w:color w:val="000000" w:themeColor="text1"/>
          <w:sz w:val="20"/>
          <w:szCs w:val="28"/>
        </w:rPr>
        <w:t>Cascadia-related</w:t>
      </w:r>
      <w:r w:rsidR="00700A18" w:rsidRPr="00490B2A">
        <w:rPr>
          <w:noProof/>
          <w:color w:val="000000" w:themeColor="text1"/>
          <w:sz w:val="20"/>
          <w:szCs w:val="28"/>
        </w:rPr>
        <w:t xml:space="preserve"> </w:t>
      </w:r>
      <w:r w:rsidRPr="00490B2A">
        <w:rPr>
          <w:noProof/>
          <w:color w:val="000000" w:themeColor="text1"/>
          <w:sz w:val="20"/>
          <w:szCs w:val="28"/>
        </w:rPr>
        <w:t>tsunamis</w:t>
      </w:r>
      <w:r w:rsidR="00700A18" w:rsidRPr="00490B2A">
        <w:rPr>
          <w:noProof/>
          <w:color w:val="000000" w:themeColor="text1"/>
          <w:sz w:val="20"/>
          <w:szCs w:val="28"/>
        </w:rPr>
        <w:t xml:space="preserve"> </w:t>
      </w:r>
      <w:r w:rsidRPr="00490B2A">
        <w:rPr>
          <w:noProof/>
          <w:color w:val="000000" w:themeColor="text1"/>
          <w:sz w:val="20"/>
          <w:szCs w:val="28"/>
        </w:rPr>
        <w:t>in</w:t>
      </w:r>
      <w:r w:rsidR="00700A18" w:rsidRPr="00490B2A">
        <w:rPr>
          <w:noProof/>
          <w:color w:val="000000" w:themeColor="text1"/>
          <w:sz w:val="20"/>
          <w:szCs w:val="28"/>
        </w:rPr>
        <w:t xml:space="preserve"> </w:t>
      </w:r>
      <w:r w:rsidRPr="00490B2A">
        <w:rPr>
          <w:noProof/>
          <w:color w:val="000000" w:themeColor="text1"/>
          <w:sz w:val="20"/>
          <w:szCs w:val="28"/>
        </w:rPr>
        <w:t>the</w:t>
      </w:r>
      <w:r w:rsidR="00700A18" w:rsidRPr="00490B2A">
        <w:rPr>
          <w:noProof/>
          <w:color w:val="000000" w:themeColor="text1"/>
          <w:sz w:val="20"/>
          <w:szCs w:val="28"/>
        </w:rPr>
        <w:t xml:space="preserve"> </w:t>
      </w:r>
      <w:r w:rsidRPr="00490B2A">
        <w:rPr>
          <w:noProof/>
          <w:color w:val="000000" w:themeColor="text1"/>
          <w:sz w:val="20"/>
          <w:szCs w:val="28"/>
        </w:rPr>
        <w:t>U.S.</w:t>
      </w:r>
      <w:r w:rsidR="00700A18" w:rsidRPr="00490B2A">
        <w:rPr>
          <w:noProof/>
          <w:color w:val="000000" w:themeColor="text1"/>
          <w:sz w:val="20"/>
          <w:szCs w:val="28"/>
        </w:rPr>
        <w:t xml:space="preserve"> </w:t>
      </w:r>
      <w:r w:rsidRPr="00490B2A">
        <w:rPr>
          <w:noProof/>
          <w:color w:val="000000" w:themeColor="text1"/>
          <w:sz w:val="20"/>
          <w:szCs w:val="28"/>
        </w:rPr>
        <w:t>Pacific</w:t>
      </w:r>
      <w:r w:rsidR="00700A18" w:rsidRPr="00490B2A">
        <w:rPr>
          <w:noProof/>
          <w:color w:val="000000" w:themeColor="text1"/>
          <w:sz w:val="20"/>
          <w:szCs w:val="28"/>
        </w:rPr>
        <w:t xml:space="preserve"> </w:t>
      </w:r>
      <w:r w:rsidRPr="00490B2A">
        <w:rPr>
          <w:noProof/>
          <w:color w:val="000000" w:themeColor="text1"/>
          <w:sz w:val="20"/>
          <w:szCs w:val="28"/>
        </w:rPr>
        <w:t>Northwest.</w:t>
      </w:r>
      <w:r w:rsidR="00700A18" w:rsidRPr="00490B2A">
        <w:rPr>
          <w:noProof/>
          <w:color w:val="000000" w:themeColor="text1"/>
          <w:sz w:val="20"/>
          <w:szCs w:val="28"/>
        </w:rPr>
        <w:t xml:space="preserve"> </w:t>
      </w:r>
      <w:r w:rsidRPr="00490B2A">
        <w:rPr>
          <w:i/>
          <w:iCs/>
          <w:noProof/>
          <w:color w:val="000000" w:themeColor="text1"/>
          <w:sz w:val="20"/>
          <w:szCs w:val="28"/>
        </w:rPr>
        <w:t>Natural</w:t>
      </w:r>
      <w:r w:rsidR="00700A18" w:rsidRPr="00490B2A">
        <w:rPr>
          <w:i/>
          <w:iCs/>
          <w:noProof/>
          <w:color w:val="000000" w:themeColor="text1"/>
          <w:sz w:val="20"/>
          <w:szCs w:val="28"/>
        </w:rPr>
        <w:t xml:space="preserve"> </w:t>
      </w:r>
      <w:r w:rsidRPr="00490B2A">
        <w:rPr>
          <w:i/>
          <w:iCs/>
          <w:noProof/>
          <w:color w:val="000000" w:themeColor="text1"/>
          <w:sz w:val="20"/>
          <w:szCs w:val="28"/>
        </w:rPr>
        <w:t>Hazards</w:t>
      </w:r>
      <w:r w:rsidRPr="00490B2A">
        <w:rPr>
          <w:noProof/>
          <w:color w:val="000000" w:themeColor="text1"/>
          <w:sz w:val="20"/>
          <w:szCs w:val="28"/>
        </w:rPr>
        <w:t>,</w:t>
      </w:r>
      <w:r w:rsidR="00700A18" w:rsidRPr="00490B2A">
        <w:rPr>
          <w:noProof/>
          <w:color w:val="000000" w:themeColor="text1"/>
          <w:sz w:val="20"/>
          <w:szCs w:val="28"/>
        </w:rPr>
        <w:t xml:space="preserve"> </w:t>
      </w:r>
      <w:r w:rsidRPr="00490B2A">
        <w:rPr>
          <w:i/>
          <w:iCs/>
          <w:noProof/>
          <w:color w:val="000000" w:themeColor="text1"/>
          <w:sz w:val="20"/>
          <w:szCs w:val="28"/>
        </w:rPr>
        <w:t>52</w:t>
      </w:r>
      <w:r w:rsidRPr="00490B2A">
        <w:rPr>
          <w:noProof/>
          <w:color w:val="000000" w:themeColor="text1"/>
          <w:sz w:val="20"/>
          <w:szCs w:val="28"/>
        </w:rPr>
        <w:t>(2),</w:t>
      </w:r>
      <w:r w:rsidR="00700A18" w:rsidRPr="00490B2A">
        <w:rPr>
          <w:noProof/>
          <w:color w:val="000000" w:themeColor="text1"/>
          <w:sz w:val="20"/>
          <w:szCs w:val="28"/>
        </w:rPr>
        <w:t xml:space="preserve"> </w:t>
      </w:r>
      <w:r w:rsidRPr="00490B2A">
        <w:rPr>
          <w:noProof/>
          <w:color w:val="000000" w:themeColor="text1"/>
          <w:sz w:val="20"/>
          <w:szCs w:val="28"/>
        </w:rPr>
        <w:t>369–389.</w:t>
      </w:r>
      <w:r w:rsidR="00700A18" w:rsidRPr="00490B2A">
        <w:rPr>
          <w:noProof/>
          <w:color w:val="000000" w:themeColor="text1"/>
          <w:sz w:val="20"/>
          <w:szCs w:val="28"/>
        </w:rPr>
        <w:t xml:space="preserve"> </w:t>
      </w:r>
      <w:r w:rsidRPr="00490B2A">
        <w:rPr>
          <w:noProof/>
          <w:color w:val="000000" w:themeColor="text1"/>
          <w:sz w:val="20"/>
          <w:szCs w:val="28"/>
        </w:rPr>
        <w:t>https://doi.org/10.1007/s11069-009-9376-1</w:t>
      </w:r>
      <w:r w:rsidR="00CA0430">
        <w:rPr>
          <w:rFonts w:eastAsiaTheme="minorEastAsia" w:hint="eastAsia"/>
          <w:noProof/>
          <w:color w:val="000000" w:themeColor="text1"/>
          <w:sz w:val="20"/>
          <w:szCs w:val="28"/>
          <w:lang w:eastAsia="zh-CN"/>
        </w:rPr>
        <w:t>.</w:t>
      </w:r>
    </w:p>
    <w:p w:rsidR="00490B2A" w:rsidRPr="00490B2A" w:rsidRDefault="00490B2A" w:rsidP="00490B2A">
      <w:pPr>
        <w:widowControl w:val="0"/>
        <w:autoSpaceDE w:val="0"/>
        <w:autoSpaceDN w:val="0"/>
        <w:adjustRightInd w:val="0"/>
        <w:snapToGrid w:val="0"/>
        <w:spacing w:after="0" w:line="240" w:lineRule="auto"/>
        <w:ind w:left="425" w:hanging="425"/>
        <w:rPr>
          <w:noProof/>
          <w:color w:val="000000" w:themeColor="text1"/>
          <w:sz w:val="20"/>
          <w:szCs w:val="28"/>
        </w:rPr>
        <w:sectPr w:rsidR="00490B2A" w:rsidRPr="00490B2A" w:rsidSect="00490B2A">
          <w:type w:val="continuous"/>
          <w:pgSz w:w="12240" w:h="15840"/>
          <w:pgMar w:top="1440" w:right="1440" w:bottom="1440" w:left="1440" w:header="720" w:footer="720" w:gutter="0"/>
          <w:cols w:num="2" w:space="600"/>
          <w:docGrid w:linePitch="360"/>
        </w:sectPr>
      </w:pPr>
    </w:p>
    <w:p w:rsidR="00AC1CFF" w:rsidRPr="00490B2A" w:rsidRDefault="00AC1CFF" w:rsidP="00490B2A">
      <w:pPr>
        <w:widowControl w:val="0"/>
        <w:autoSpaceDE w:val="0"/>
        <w:autoSpaceDN w:val="0"/>
        <w:adjustRightInd w:val="0"/>
        <w:snapToGrid w:val="0"/>
        <w:spacing w:after="0" w:line="240" w:lineRule="auto"/>
        <w:ind w:left="425" w:hanging="425"/>
        <w:rPr>
          <w:noProof/>
          <w:color w:val="000000" w:themeColor="text1"/>
          <w:sz w:val="20"/>
          <w:szCs w:val="28"/>
        </w:rPr>
      </w:pPr>
    </w:p>
    <w:p w:rsidR="00AC1CFF" w:rsidRPr="00490B2A" w:rsidRDefault="00490B2A" w:rsidP="00490B2A">
      <w:pPr>
        <w:widowControl w:val="0"/>
        <w:autoSpaceDE w:val="0"/>
        <w:autoSpaceDN w:val="0"/>
        <w:adjustRightInd w:val="0"/>
        <w:snapToGrid w:val="0"/>
        <w:spacing w:after="0" w:line="240" w:lineRule="auto"/>
        <w:ind w:left="425" w:hanging="425"/>
        <w:rPr>
          <w:rFonts w:eastAsiaTheme="minorEastAsia"/>
          <w:noProof/>
          <w:color w:val="000000" w:themeColor="text1"/>
          <w:sz w:val="20"/>
          <w:szCs w:val="28"/>
          <w:lang w:eastAsia="zh-CN"/>
        </w:rPr>
      </w:pPr>
      <w:r>
        <w:rPr>
          <w:rFonts w:eastAsiaTheme="minorEastAsia" w:hint="eastAsia"/>
          <w:noProof/>
          <w:color w:val="000000" w:themeColor="text1"/>
          <w:sz w:val="20"/>
          <w:szCs w:val="28"/>
          <w:lang w:eastAsia="zh-CN"/>
        </w:rPr>
        <w:t xml:space="preserve"> </w:t>
      </w:r>
    </w:p>
    <w:p w:rsidR="00700A18" w:rsidRPr="00490B2A" w:rsidRDefault="00700A18" w:rsidP="00490B2A">
      <w:pPr>
        <w:snapToGrid w:val="0"/>
        <w:spacing w:after="0" w:line="240" w:lineRule="auto"/>
        <w:ind w:firstLine="425"/>
        <w:rPr>
          <w:sz w:val="20"/>
        </w:rPr>
      </w:pPr>
    </w:p>
    <w:p w:rsidR="00E15101" w:rsidRPr="00490B2A" w:rsidRDefault="00700A18" w:rsidP="00490B2A">
      <w:pPr>
        <w:snapToGrid w:val="0"/>
        <w:spacing w:after="0" w:line="240" w:lineRule="auto"/>
        <w:rPr>
          <w:sz w:val="20"/>
        </w:rPr>
      </w:pPr>
      <w:r w:rsidRPr="00490B2A">
        <w:rPr>
          <w:sz w:val="20"/>
        </w:rPr>
        <w:t>10/21/2019</w:t>
      </w:r>
    </w:p>
    <w:sectPr w:rsidR="00E15101" w:rsidRPr="00490B2A" w:rsidSect="00700A1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70" w:rsidRDefault="00780670" w:rsidP="00700A18">
      <w:pPr>
        <w:spacing w:after="0" w:line="240" w:lineRule="auto"/>
      </w:pPr>
      <w:r>
        <w:separator/>
      </w:r>
    </w:p>
  </w:endnote>
  <w:endnote w:type="continuationSeparator" w:id="0">
    <w:p w:rsidR="00780670" w:rsidRDefault="00780670" w:rsidP="0070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2A" w:rsidRPr="00C823C7" w:rsidRDefault="00B21E1C" w:rsidP="00C823C7">
    <w:pPr>
      <w:spacing w:after="0" w:line="240" w:lineRule="auto"/>
      <w:jc w:val="center"/>
      <w:rPr>
        <w:sz w:val="20"/>
      </w:rPr>
    </w:pPr>
    <w:r w:rsidRPr="00C823C7">
      <w:rPr>
        <w:sz w:val="20"/>
      </w:rPr>
      <w:fldChar w:fldCharType="begin"/>
    </w:r>
    <w:r w:rsidR="00C823C7" w:rsidRPr="00C823C7">
      <w:rPr>
        <w:sz w:val="20"/>
      </w:rPr>
      <w:instrText xml:space="preserve"> page </w:instrText>
    </w:r>
    <w:r w:rsidRPr="00C823C7">
      <w:rPr>
        <w:sz w:val="20"/>
      </w:rPr>
      <w:fldChar w:fldCharType="separate"/>
    </w:r>
    <w:r w:rsidR="00D87F12">
      <w:rPr>
        <w:noProof/>
        <w:sz w:val="20"/>
      </w:rPr>
      <w:t>62</w:t>
    </w:r>
    <w:r w:rsidRPr="00C823C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70" w:rsidRDefault="00780670" w:rsidP="00700A18">
      <w:pPr>
        <w:spacing w:after="0" w:line="240" w:lineRule="auto"/>
      </w:pPr>
      <w:r>
        <w:separator/>
      </w:r>
    </w:p>
  </w:footnote>
  <w:footnote w:type="continuationSeparator" w:id="0">
    <w:p w:rsidR="00780670" w:rsidRDefault="00780670" w:rsidP="00700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C7" w:rsidRPr="00C823C7" w:rsidRDefault="00C823C7" w:rsidP="00C823C7">
    <w:pPr>
      <w:pBdr>
        <w:bottom w:val="thinThickMediumGap" w:sz="12" w:space="1" w:color="auto"/>
      </w:pBdr>
      <w:tabs>
        <w:tab w:val="left" w:pos="851"/>
        <w:tab w:val="right" w:pos="8364"/>
      </w:tabs>
      <w:adjustRightInd w:val="0"/>
      <w:snapToGrid w:val="0"/>
      <w:spacing w:after="0" w:line="240" w:lineRule="auto"/>
      <w:rPr>
        <w:iCs/>
        <w:sz w:val="20"/>
        <w:szCs w:val="20"/>
      </w:rPr>
    </w:pPr>
    <w:r w:rsidRPr="00C823C7">
      <w:rPr>
        <w:rFonts w:hint="eastAsia"/>
        <w:iCs/>
        <w:color w:val="000000"/>
        <w:sz w:val="20"/>
        <w:szCs w:val="20"/>
      </w:rPr>
      <w:tab/>
    </w:r>
    <w:r w:rsidRPr="00C823C7">
      <w:rPr>
        <w:iCs/>
        <w:color w:val="000000"/>
        <w:sz w:val="20"/>
        <w:szCs w:val="20"/>
      </w:rPr>
      <w:t xml:space="preserve">Researcher </w:t>
    </w:r>
    <w:r w:rsidRPr="00C823C7">
      <w:rPr>
        <w:iCs/>
        <w:sz w:val="20"/>
        <w:szCs w:val="20"/>
      </w:rPr>
      <w:t>201</w:t>
    </w:r>
    <w:r w:rsidRPr="00C823C7">
      <w:rPr>
        <w:rFonts w:hint="eastAsia"/>
        <w:iCs/>
        <w:sz w:val="20"/>
        <w:szCs w:val="20"/>
      </w:rPr>
      <w:t>9</w:t>
    </w:r>
    <w:r w:rsidRPr="00C823C7">
      <w:rPr>
        <w:iCs/>
        <w:sz w:val="20"/>
        <w:szCs w:val="20"/>
      </w:rPr>
      <w:t>;</w:t>
    </w:r>
    <w:r w:rsidRPr="00C823C7">
      <w:rPr>
        <w:rFonts w:hint="eastAsia"/>
        <w:iCs/>
        <w:sz w:val="20"/>
        <w:szCs w:val="20"/>
      </w:rPr>
      <w:t>11</w:t>
    </w:r>
    <w:r w:rsidRPr="00C823C7">
      <w:rPr>
        <w:iCs/>
        <w:sz w:val="20"/>
        <w:szCs w:val="20"/>
      </w:rPr>
      <w:t>(</w:t>
    </w:r>
    <w:r w:rsidRPr="00C823C7">
      <w:rPr>
        <w:rFonts w:hint="eastAsia"/>
        <w:iCs/>
        <w:sz w:val="20"/>
        <w:szCs w:val="20"/>
      </w:rPr>
      <w:t>10</w:t>
    </w:r>
    <w:r w:rsidRPr="00C823C7">
      <w:rPr>
        <w:iCs/>
        <w:sz w:val="20"/>
        <w:szCs w:val="20"/>
      </w:rPr>
      <w:t xml:space="preserve">)  </w:t>
    </w:r>
    <w:r w:rsidRPr="00C823C7">
      <w:rPr>
        <w:rFonts w:hint="eastAsia"/>
        <w:iCs/>
        <w:sz w:val="20"/>
        <w:szCs w:val="20"/>
      </w:rPr>
      <w:t xml:space="preserve"> </w:t>
    </w:r>
    <w:r w:rsidRPr="00C823C7">
      <w:rPr>
        <w:iCs/>
        <w:sz w:val="20"/>
        <w:szCs w:val="20"/>
      </w:rPr>
      <w:t xml:space="preserve"> </w:t>
    </w:r>
    <w:r w:rsidRPr="00C823C7">
      <w:rPr>
        <w:rFonts w:hint="eastAsia"/>
        <w:iCs/>
        <w:sz w:val="20"/>
        <w:szCs w:val="20"/>
      </w:rPr>
      <w:tab/>
    </w:r>
    <w:r w:rsidRPr="00C823C7">
      <w:rPr>
        <w:iCs/>
        <w:sz w:val="20"/>
        <w:szCs w:val="20"/>
      </w:rPr>
      <w:t xml:space="preserve">    </w:t>
    </w:r>
    <w:r w:rsidRPr="00C823C7">
      <w:rPr>
        <w:sz w:val="20"/>
        <w:szCs w:val="20"/>
      </w:rPr>
      <w:t xml:space="preserve"> </w:t>
    </w:r>
    <w:hyperlink r:id="rId1" w:history="1">
      <w:r w:rsidRPr="00C823C7">
        <w:rPr>
          <w:rStyle w:val="Hyperlink"/>
          <w:color w:val="0000FF"/>
          <w:sz w:val="20"/>
          <w:szCs w:val="20"/>
        </w:rPr>
        <w:t>http://www.sciencepub.net/researcher</w:t>
      </w:r>
    </w:hyperlink>
    <w:r w:rsidRPr="00C823C7">
      <w:rPr>
        <w:rFonts w:hint="eastAsia"/>
        <w:sz w:val="20"/>
      </w:rPr>
      <w:t xml:space="preserve">   </w:t>
    </w:r>
    <w:r w:rsidRPr="00C823C7">
      <w:rPr>
        <w:rFonts w:hint="eastAsia"/>
        <w:b/>
        <w:i/>
        <w:color w:val="FF0000"/>
        <w:sz w:val="20"/>
        <w:szCs w:val="20"/>
        <w:bdr w:val="single" w:sz="4" w:space="0" w:color="FF0000"/>
      </w:rPr>
      <w:t>RSJ</w:t>
    </w:r>
  </w:p>
  <w:p w:rsidR="00C823C7" w:rsidRPr="00C823C7" w:rsidRDefault="00C823C7" w:rsidP="00C823C7">
    <w:pPr>
      <w:tabs>
        <w:tab w:val="left" w:pos="851"/>
        <w:tab w:val="right" w:pos="8364"/>
      </w:tabs>
      <w:adjustRightInd w:val="0"/>
      <w:snapToGrid w:val="0"/>
      <w:spacing w:after="0" w:line="24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96A"/>
    <w:multiLevelType w:val="hybridMultilevel"/>
    <w:tmpl w:val="8B2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32809"/>
    <w:multiLevelType w:val="hybridMultilevel"/>
    <w:tmpl w:val="C5D4DB22"/>
    <w:lvl w:ilvl="0" w:tplc="40EE364E">
      <w:start w:val="1"/>
      <w:numFmt w:val="decimal"/>
      <w:lvlText w:val="%1"/>
      <w:lvlJc w:val="left"/>
      <w:pPr>
        <w:ind w:left="5760" w:hanging="360"/>
      </w:pPr>
      <w:rPr>
        <w:rFonts w:ascii="Times New Roman" w:eastAsia="Calibri" w:hAnsi="Times New Roman" w:cs="Times New Roman"/>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380F4455"/>
    <w:multiLevelType w:val="multilevel"/>
    <w:tmpl w:val="B120AC7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41084D"/>
    <w:multiLevelType w:val="hybridMultilevel"/>
    <w:tmpl w:val="4DA2C1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D22868"/>
    <w:multiLevelType w:val="hybridMultilevel"/>
    <w:tmpl w:val="AF3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27B40"/>
    <w:multiLevelType w:val="hybridMultilevel"/>
    <w:tmpl w:val="34E4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737A3"/>
    <w:multiLevelType w:val="multilevel"/>
    <w:tmpl w:val="C0FC0F20"/>
    <w:lvl w:ilvl="0">
      <w:start w:val="1"/>
      <w:numFmt w:val="decimal"/>
      <w:pStyle w:val="Heading1"/>
      <w:lvlText w:val="%1"/>
      <w:lvlJc w:val="left"/>
      <w:pPr>
        <w:ind w:left="432" w:hanging="432"/>
      </w:pPr>
      <w:rPr>
        <w:color w:val="FFFFFF"/>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C144F56"/>
    <w:multiLevelType w:val="multilevel"/>
    <w:tmpl w:val="D8F4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C1CFF"/>
    <w:rsid w:val="000221F3"/>
    <w:rsid w:val="00067491"/>
    <w:rsid w:val="00096B66"/>
    <w:rsid w:val="000F1902"/>
    <w:rsid w:val="001E06FD"/>
    <w:rsid w:val="00256F5A"/>
    <w:rsid w:val="00311E9E"/>
    <w:rsid w:val="00325175"/>
    <w:rsid w:val="0035077F"/>
    <w:rsid w:val="003603C6"/>
    <w:rsid w:val="0036437E"/>
    <w:rsid w:val="003D6293"/>
    <w:rsid w:val="004176B1"/>
    <w:rsid w:val="00490B2A"/>
    <w:rsid w:val="00542B83"/>
    <w:rsid w:val="00561AE2"/>
    <w:rsid w:val="005829AA"/>
    <w:rsid w:val="005B5420"/>
    <w:rsid w:val="00616165"/>
    <w:rsid w:val="00671B77"/>
    <w:rsid w:val="00692900"/>
    <w:rsid w:val="00700A18"/>
    <w:rsid w:val="00780670"/>
    <w:rsid w:val="00792503"/>
    <w:rsid w:val="007D23DE"/>
    <w:rsid w:val="00802500"/>
    <w:rsid w:val="00831A24"/>
    <w:rsid w:val="00865EED"/>
    <w:rsid w:val="008957A6"/>
    <w:rsid w:val="008B02DD"/>
    <w:rsid w:val="009225CA"/>
    <w:rsid w:val="009B5F7C"/>
    <w:rsid w:val="009D5595"/>
    <w:rsid w:val="00A736BF"/>
    <w:rsid w:val="00AC1CFF"/>
    <w:rsid w:val="00AF6858"/>
    <w:rsid w:val="00B01D4D"/>
    <w:rsid w:val="00B17450"/>
    <w:rsid w:val="00B21E1C"/>
    <w:rsid w:val="00B24A1D"/>
    <w:rsid w:val="00B36E21"/>
    <w:rsid w:val="00B56E90"/>
    <w:rsid w:val="00B81063"/>
    <w:rsid w:val="00B92A42"/>
    <w:rsid w:val="00BF723E"/>
    <w:rsid w:val="00C24234"/>
    <w:rsid w:val="00C823C7"/>
    <w:rsid w:val="00CA0430"/>
    <w:rsid w:val="00D031B1"/>
    <w:rsid w:val="00D16889"/>
    <w:rsid w:val="00D87F12"/>
    <w:rsid w:val="00E15101"/>
    <w:rsid w:val="00E95E8F"/>
    <w:rsid w:val="00F30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FF"/>
    <w:pPr>
      <w:spacing w:line="36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AC1CFF"/>
    <w:pPr>
      <w:numPr>
        <w:numId w:val="1"/>
      </w:numPr>
      <w:spacing w:after="120"/>
      <w:jc w:val="center"/>
      <w:outlineLvl w:val="0"/>
    </w:pPr>
    <w:rPr>
      <w:b/>
    </w:rPr>
  </w:style>
  <w:style w:type="paragraph" w:styleId="Heading2">
    <w:name w:val="heading 2"/>
    <w:basedOn w:val="Heading1"/>
    <w:next w:val="Normal"/>
    <w:link w:val="Heading2Char"/>
    <w:uiPriority w:val="9"/>
    <w:unhideWhenUsed/>
    <w:qFormat/>
    <w:rsid w:val="00AC1CFF"/>
    <w:pPr>
      <w:numPr>
        <w:ilvl w:val="1"/>
      </w:numPr>
      <w:spacing w:after="240"/>
      <w:jc w:val="left"/>
      <w:outlineLvl w:val="1"/>
    </w:pPr>
    <w:rPr>
      <w:bCs/>
    </w:rPr>
  </w:style>
  <w:style w:type="paragraph" w:styleId="Heading3">
    <w:name w:val="heading 3"/>
    <w:basedOn w:val="Normal"/>
    <w:next w:val="Normal"/>
    <w:link w:val="Heading3Char"/>
    <w:uiPriority w:val="9"/>
    <w:unhideWhenUsed/>
    <w:qFormat/>
    <w:rsid w:val="00AC1CFF"/>
    <w:pPr>
      <w:keepNext/>
      <w:keepLines/>
      <w:numPr>
        <w:ilvl w:val="2"/>
        <w:numId w:val="1"/>
      </w:numPr>
      <w:spacing w:after="120"/>
      <w:outlineLvl w:val="2"/>
    </w:pPr>
    <w:rPr>
      <w:rFonts w:eastAsia="Times New Roman"/>
      <w:b/>
      <w:bCs/>
    </w:rPr>
  </w:style>
  <w:style w:type="paragraph" w:styleId="Heading4">
    <w:name w:val="heading 4"/>
    <w:basedOn w:val="Normal"/>
    <w:next w:val="Normal"/>
    <w:link w:val="Heading4Char"/>
    <w:uiPriority w:val="9"/>
    <w:unhideWhenUsed/>
    <w:qFormat/>
    <w:rsid w:val="00AC1CFF"/>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1CFF"/>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1CFF"/>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1CFF"/>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1CFF"/>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1CF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CFF"/>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AC1CFF"/>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rsid w:val="00AC1CF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AC1CF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AC1CFF"/>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AC1CFF"/>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AC1CF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AC1CF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1CFF"/>
    <w:rPr>
      <w:rFonts w:ascii="Cambria" w:eastAsia="Times New Roman" w:hAnsi="Cambria" w:cs="Times New Roman"/>
      <w:i/>
      <w:iCs/>
      <w:color w:val="404040"/>
      <w:sz w:val="20"/>
      <w:szCs w:val="20"/>
    </w:rPr>
  </w:style>
  <w:style w:type="paragraph" w:styleId="ListParagraph">
    <w:name w:val="List Paragraph"/>
    <w:basedOn w:val="Normal"/>
    <w:uiPriority w:val="34"/>
    <w:qFormat/>
    <w:rsid w:val="00AC1CFF"/>
    <w:pPr>
      <w:ind w:left="720"/>
      <w:contextualSpacing/>
    </w:pPr>
  </w:style>
  <w:style w:type="character" w:customStyle="1" w:styleId="apple-converted-space">
    <w:name w:val="apple-converted-space"/>
    <w:basedOn w:val="DefaultParagraphFont"/>
    <w:rsid w:val="00AC1CFF"/>
  </w:style>
  <w:style w:type="paragraph" w:styleId="Caption">
    <w:name w:val="caption"/>
    <w:basedOn w:val="Normal"/>
    <w:next w:val="Normal"/>
    <w:uiPriority w:val="35"/>
    <w:unhideWhenUsed/>
    <w:qFormat/>
    <w:rsid w:val="00AC1CFF"/>
    <w:pPr>
      <w:spacing w:line="240" w:lineRule="auto"/>
    </w:pPr>
  </w:style>
  <w:style w:type="paragraph" w:styleId="BalloonText">
    <w:name w:val="Balloon Text"/>
    <w:basedOn w:val="Normal"/>
    <w:link w:val="BalloonTextChar"/>
    <w:uiPriority w:val="99"/>
    <w:semiHidden/>
    <w:unhideWhenUsed/>
    <w:rsid w:val="00AC1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FF"/>
    <w:rPr>
      <w:rFonts w:ascii="Tahoma" w:eastAsia="Calibri" w:hAnsi="Tahoma" w:cs="Tahoma"/>
      <w:sz w:val="16"/>
      <w:szCs w:val="16"/>
    </w:rPr>
  </w:style>
  <w:style w:type="character" w:styleId="Hyperlink">
    <w:name w:val="Hyperlink"/>
    <w:uiPriority w:val="99"/>
    <w:unhideWhenUsed/>
    <w:rsid w:val="00AC1CFF"/>
    <w:rPr>
      <w:color w:val="0563C1"/>
      <w:u w:val="single"/>
    </w:rPr>
  </w:style>
  <w:style w:type="paragraph" w:styleId="Header">
    <w:name w:val="header"/>
    <w:basedOn w:val="Normal"/>
    <w:link w:val="HeaderChar"/>
    <w:uiPriority w:val="99"/>
    <w:semiHidden/>
    <w:unhideWhenUsed/>
    <w:rsid w:val="00AC1CFF"/>
    <w:pPr>
      <w:tabs>
        <w:tab w:val="center" w:pos="4680"/>
        <w:tab w:val="right" w:pos="9360"/>
      </w:tabs>
    </w:pPr>
  </w:style>
  <w:style w:type="character" w:customStyle="1" w:styleId="HeaderChar">
    <w:name w:val="Header Char"/>
    <w:basedOn w:val="DefaultParagraphFont"/>
    <w:link w:val="Header"/>
    <w:uiPriority w:val="99"/>
    <w:semiHidden/>
    <w:rsid w:val="00AC1CFF"/>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AC1CFF"/>
    <w:pPr>
      <w:tabs>
        <w:tab w:val="center" w:pos="4680"/>
        <w:tab w:val="right" w:pos="9360"/>
      </w:tabs>
    </w:pPr>
  </w:style>
  <w:style w:type="character" w:customStyle="1" w:styleId="FooterChar">
    <w:name w:val="Footer Char"/>
    <w:basedOn w:val="DefaultParagraphFont"/>
    <w:link w:val="Footer"/>
    <w:uiPriority w:val="99"/>
    <w:semiHidden/>
    <w:rsid w:val="00AC1CFF"/>
    <w:rPr>
      <w:rFonts w:ascii="Times New Roman" w:eastAsia="Calibri" w:hAnsi="Times New Roman" w:cs="Times New Roman"/>
      <w:sz w:val="24"/>
      <w:szCs w:val="24"/>
    </w:rPr>
  </w:style>
  <w:style w:type="table" w:styleId="TableGrid">
    <w:name w:val="Table Grid"/>
    <w:basedOn w:val="TableNormal"/>
    <w:uiPriority w:val="59"/>
    <w:rsid w:val="00AC1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1CFF"/>
    <w:pPr>
      <w:spacing w:after="0" w:line="240" w:lineRule="auto"/>
      <w:jc w:val="both"/>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AC1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CF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C1CFF"/>
    <w:rPr>
      <w:vertAlign w:val="superscript"/>
    </w:rPr>
  </w:style>
  <w:style w:type="paragraph" w:customStyle="1" w:styleId="EndNoteBibliographyTitle">
    <w:name w:val="EndNote Bibliography Title"/>
    <w:basedOn w:val="Normal"/>
    <w:link w:val="EndNoteBibliographyTitleChar"/>
    <w:rsid w:val="00AC1CFF"/>
    <w:pPr>
      <w:spacing w:after="0"/>
      <w:jc w:val="center"/>
    </w:pPr>
    <w:rPr>
      <w:noProof/>
    </w:rPr>
  </w:style>
  <w:style w:type="character" w:customStyle="1" w:styleId="EndNoteBibliographyTitleChar">
    <w:name w:val="EndNote Bibliography Title Char"/>
    <w:basedOn w:val="DefaultParagraphFont"/>
    <w:link w:val="EndNoteBibliographyTitle"/>
    <w:rsid w:val="00AC1CFF"/>
    <w:rPr>
      <w:rFonts w:ascii="Times New Roman" w:eastAsia="Calibri" w:hAnsi="Times New Roman" w:cs="Times New Roman"/>
      <w:noProof/>
      <w:sz w:val="24"/>
      <w:szCs w:val="24"/>
    </w:rPr>
  </w:style>
  <w:style w:type="paragraph" w:customStyle="1" w:styleId="EndNoteBibliography">
    <w:name w:val="EndNote Bibliography"/>
    <w:basedOn w:val="Normal"/>
    <w:link w:val="EndNoteBibliographyChar"/>
    <w:rsid w:val="00AC1CFF"/>
    <w:pPr>
      <w:spacing w:line="240" w:lineRule="auto"/>
    </w:pPr>
    <w:rPr>
      <w:noProof/>
    </w:rPr>
  </w:style>
  <w:style w:type="character" w:customStyle="1" w:styleId="EndNoteBibliographyChar">
    <w:name w:val="EndNote Bibliography Char"/>
    <w:basedOn w:val="DefaultParagraphFont"/>
    <w:link w:val="EndNoteBibliography"/>
    <w:rsid w:val="00AC1CFF"/>
    <w:rPr>
      <w:rFonts w:ascii="Times New Roman" w:eastAsia="Calibri" w:hAnsi="Times New Roman" w:cs="Times New Roman"/>
      <w:noProof/>
      <w:sz w:val="24"/>
      <w:szCs w:val="24"/>
    </w:rPr>
  </w:style>
  <w:style w:type="character" w:styleId="PlaceholderText">
    <w:name w:val="Placeholder Text"/>
    <w:basedOn w:val="DefaultParagraphFont"/>
    <w:uiPriority w:val="99"/>
    <w:semiHidden/>
    <w:rsid w:val="00AC1CFF"/>
    <w:rPr>
      <w:color w:val="808080"/>
    </w:rPr>
  </w:style>
  <w:style w:type="character" w:styleId="Strong">
    <w:name w:val="Strong"/>
    <w:basedOn w:val="DefaultParagraphFont"/>
    <w:uiPriority w:val="22"/>
    <w:qFormat/>
    <w:rsid w:val="00AC1C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FF"/>
    <w:pPr>
      <w:spacing w:line="36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AC1CFF"/>
    <w:pPr>
      <w:numPr>
        <w:numId w:val="1"/>
      </w:numPr>
      <w:spacing w:after="120"/>
      <w:jc w:val="center"/>
      <w:outlineLvl w:val="0"/>
    </w:pPr>
    <w:rPr>
      <w:b/>
    </w:rPr>
  </w:style>
  <w:style w:type="paragraph" w:styleId="Heading2">
    <w:name w:val="heading 2"/>
    <w:basedOn w:val="Heading1"/>
    <w:next w:val="Normal"/>
    <w:link w:val="Heading2Char"/>
    <w:uiPriority w:val="9"/>
    <w:unhideWhenUsed/>
    <w:qFormat/>
    <w:rsid w:val="00AC1CFF"/>
    <w:pPr>
      <w:numPr>
        <w:ilvl w:val="1"/>
      </w:numPr>
      <w:spacing w:after="240"/>
      <w:jc w:val="left"/>
      <w:outlineLvl w:val="1"/>
    </w:pPr>
    <w:rPr>
      <w:bCs/>
    </w:rPr>
  </w:style>
  <w:style w:type="paragraph" w:styleId="Heading3">
    <w:name w:val="heading 3"/>
    <w:basedOn w:val="Normal"/>
    <w:next w:val="Normal"/>
    <w:link w:val="Heading3Char"/>
    <w:uiPriority w:val="9"/>
    <w:unhideWhenUsed/>
    <w:qFormat/>
    <w:rsid w:val="00AC1CFF"/>
    <w:pPr>
      <w:keepNext/>
      <w:keepLines/>
      <w:numPr>
        <w:ilvl w:val="2"/>
        <w:numId w:val="1"/>
      </w:numPr>
      <w:spacing w:after="120"/>
      <w:outlineLvl w:val="2"/>
    </w:pPr>
    <w:rPr>
      <w:rFonts w:eastAsia="Times New Roman"/>
      <w:b/>
      <w:bCs/>
    </w:rPr>
  </w:style>
  <w:style w:type="paragraph" w:styleId="Heading4">
    <w:name w:val="heading 4"/>
    <w:basedOn w:val="Normal"/>
    <w:next w:val="Normal"/>
    <w:link w:val="Heading4Char"/>
    <w:uiPriority w:val="9"/>
    <w:unhideWhenUsed/>
    <w:qFormat/>
    <w:rsid w:val="00AC1CFF"/>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1CFF"/>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1CFF"/>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1CFF"/>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1CFF"/>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1CF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CFF"/>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AC1CFF"/>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rsid w:val="00AC1CF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AC1CF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AC1CFF"/>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AC1CFF"/>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AC1CF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AC1CF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1CFF"/>
    <w:rPr>
      <w:rFonts w:ascii="Cambria" w:eastAsia="Times New Roman" w:hAnsi="Cambria" w:cs="Times New Roman"/>
      <w:i/>
      <w:iCs/>
      <w:color w:val="404040"/>
      <w:sz w:val="20"/>
      <w:szCs w:val="20"/>
    </w:rPr>
  </w:style>
  <w:style w:type="paragraph" w:styleId="ListParagraph">
    <w:name w:val="List Paragraph"/>
    <w:basedOn w:val="Normal"/>
    <w:uiPriority w:val="34"/>
    <w:qFormat/>
    <w:rsid w:val="00AC1CFF"/>
    <w:pPr>
      <w:ind w:left="720"/>
      <w:contextualSpacing/>
    </w:pPr>
  </w:style>
  <w:style w:type="character" w:customStyle="1" w:styleId="apple-converted-space">
    <w:name w:val="apple-converted-space"/>
    <w:basedOn w:val="DefaultParagraphFont"/>
    <w:rsid w:val="00AC1CFF"/>
  </w:style>
  <w:style w:type="paragraph" w:styleId="Caption">
    <w:name w:val="caption"/>
    <w:basedOn w:val="Normal"/>
    <w:next w:val="Normal"/>
    <w:uiPriority w:val="35"/>
    <w:unhideWhenUsed/>
    <w:qFormat/>
    <w:rsid w:val="00AC1CFF"/>
    <w:pPr>
      <w:spacing w:line="240" w:lineRule="auto"/>
    </w:pPr>
  </w:style>
  <w:style w:type="paragraph" w:styleId="BalloonText">
    <w:name w:val="Balloon Text"/>
    <w:basedOn w:val="Normal"/>
    <w:link w:val="BalloonTextChar"/>
    <w:uiPriority w:val="99"/>
    <w:semiHidden/>
    <w:unhideWhenUsed/>
    <w:rsid w:val="00AC1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FF"/>
    <w:rPr>
      <w:rFonts w:ascii="Tahoma" w:eastAsia="Calibri" w:hAnsi="Tahoma" w:cs="Tahoma"/>
      <w:sz w:val="16"/>
      <w:szCs w:val="16"/>
    </w:rPr>
  </w:style>
  <w:style w:type="character" w:styleId="Hyperlink">
    <w:name w:val="Hyperlink"/>
    <w:uiPriority w:val="99"/>
    <w:unhideWhenUsed/>
    <w:rsid w:val="00AC1CFF"/>
    <w:rPr>
      <w:color w:val="0563C1"/>
      <w:u w:val="single"/>
    </w:rPr>
  </w:style>
  <w:style w:type="paragraph" w:styleId="Header">
    <w:name w:val="header"/>
    <w:basedOn w:val="Normal"/>
    <w:link w:val="HeaderChar"/>
    <w:uiPriority w:val="99"/>
    <w:semiHidden/>
    <w:unhideWhenUsed/>
    <w:rsid w:val="00AC1CFF"/>
    <w:pPr>
      <w:tabs>
        <w:tab w:val="center" w:pos="4680"/>
        <w:tab w:val="right" w:pos="9360"/>
      </w:tabs>
    </w:pPr>
  </w:style>
  <w:style w:type="character" w:customStyle="1" w:styleId="HeaderChar">
    <w:name w:val="Header Char"/>
    <w:basedOn w:val="DefaultParagraphFont"/>
    <w:link w:val="Header"/>
    <w:uiPriority w:val="99"/>
    <w:semiHidden/>
    <w:rsid w:val="00AC1CFF"/>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AC1CFF"/>
    <w:pPr>
      <w:tabs>
        <w:tab w:val="center" w:pos="4680"/>
        <w:tab w:val="right" w:pos="9360"/>
      </w:tabs>
    </w:pPr>
  </w:style>
  <w:style w:type="character" w:customStyle="1" w:styleId="FooterChar">
    <w:name w:val="Footer Char"/>
    <w:basedOn w:val="DefaultParagraphFont"/>
    <w:link w:val="Footer"/>
    <w:uiPriority w:val="99"/>
    <w:semiHidden/>
    <w:rsid w:val="00AC1CFF"/>
    <w:rPr>
      <w:rFonts w:ascii="Times New Roman" w:eastAsia="Calibri" w:hAnsi="Times New Roman" w:cs="Times New Roman"/>
      <w:sz w:val="24"/>
      <w:szCs w:val="24"/>
    </w:rPr>
  </w:style>
  <w:style w:type="table" w:styleId="TableGrid">
    <w:name w:val="Table Grid"/>
    <w:basedOn w:val="TableNormal"/>
    <w:uiPriority w:val="59"/>
    <w:rsid w:val="00AC1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1CFF"/>
    <w:pPr>
      <w:spacing w:after="0" w:line="240" w:lineRule="auto"/>
      <w:jc w:val="both"/>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AC1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CF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C1CFF"/>
    <w:rPr>
      <w:vertAlign w:val="superscript"/>
    </w:rPr>
  </w:style>
  <w:style w:type="paragraph" w:customStyle="1" w:styleId="EndNoteBibliographyTitle">
    <w:name w:val="EndNote Bibliography Title"/>
    <w:basedOn w:val="Normal"/>
    <w:link w:val="EndNoteBibliographyTitleChar"/>
    <w:rsid w:val="00AC1CFF"/>
    <w:pPr>
      <w:spacing w:after="0"/>
      <w:jc w:val="center"/>
    </w:pPr>
    <w:rPr>
      <w:noProof/>
    </w:rPr>
  </w:style>
  <w:style w:type="character" w:customStyle="1" w:styleId="EndNoteBibliographyTitleChar">
    <w:name w:val="EndNote Bibliography Title Char"/>
    <w:basedOn w:val="DefaultParagraphFont"/>
    <w:link w:val="EndNoteBibliographyTitle"/>
    <w:rsid w:val="00AC1CFF"/>
    <w:rPr>
      <w:rFonts w:ascii="Times New Roman" w:eastAsia="Calibri" w:hAnsi="Times New Roman" w:cs="Times New Roman"/>
      <w:noProof/>
      <w:sz w:val="24"/>
      <w:szCs w:val="24"/>
    </w:rPr>
  </w:style>
  <w:style w:type="paragraph" w:customStyle="1" w:styleId="EndNoteBibliography">
    <w:name w:val="EndNote Bibliography"/>
    <w:basedOn w:val="Normal"/>
    <w:link w:val="EndNoteBibliographyChar"/>
    <w:rsid w:val="00AC1CFF"/>
    <w:pPr>
      <w:spacing w:line="240" w:lineRule="auto"/>
    </w:pPr>
    <w:rPr>
      <w:noProof/>
    </w:rPr>
  </w:style>
  <w:style w:type="character" w:customStyle="1" w:styleId="EndNoteBibliographyChar">
    <w:name w:val="EndNote Bibliography Char"/>
    <w:basedOn w:val="DefaultParagraphFont"/>
    <w:link w:val="EndNoteBibliography"/>
    <w:rsid w:val="00AC1CFF"/>
    <w:rPr>
      <w:rFonts w:ascii="Times New Roman" w:eastAsia="Calibri" w:hAnsi="Times New Roman" w:cs="Times New Roman"/>
      <w:noProof/>
      <w:sz w:val="24"/>
      <w:szCs w:val="24"/>
    </w:rPr>
  </w:style>
  <w:style w:type="character" w:styleId="PlaceholderText">
    <w:name w:val="Placeholder Text"/>
    <w:basedOn w:val="DefaultParagraphFont"/>
    <w:uiPriority w:val="99"/>
    <w:semiHidden/>
    <w:rsid w:val="00AC1CFF"/>
    <w:rPr>
      <w:color w:val="808080"/>
    </w:rPr>
  </w:style>
  <w:style w:type="character" w:styleId="Strong">
    <w:name w:val="Strong"/>
    <w:basedOn w:val="DefaultParagraphFont"/>
    <w:uiPriority w:val="22"/>
    <w:qFormat/>
    <w:rsid w:val="00AC1CFF"/>
    <w:rPr>
      <w:b/>
      <w:bCs/>
    </w:rPr>
  </w:style>
</w:styles>
</file>

<file path=word/webSettings.xml><?xml version="1.0" encoding="utf-8"?>
<w:webSettings xmlns:r="http://schemas.openxmlformats.org/officeDocument/2006/relationships" xmlns:w="http://schemas.openxmlformats.org/wordprocessingml/2006/main">
  <w:divs>
    <w:div w:id="5977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uddin.syed77@gmail.com" TargetMode="External"/><Relationship Id="rId13" Type="http://schemas.openxmlformats.org/officeDocument/2006/relationships/hyperlink" Target="http://www.sciencepub.net/research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alkakar333@gmail.com" TargetMode="External"/><Relationship Id="rId12" Type="http://schemas.openxmlformats.org/officeDocument/2006/relationships/hyperlink" Target="mailto:sher.abid78@gmail.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hrafh75@gmail.co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habana.faiz@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amach100@gmail.com" TargetMode="External"/><Relationship Id="rId14" Type="http://schemas.openxmlformats.org/officeDocument/2006/relationships/hyperlink" Target="http://www.dx.doi.org/10.7537/marsrsj111019.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31572</Words>
  <Characters>179963</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kakar</dc:creator>
  <cp:lastModifiedBy>Administrator</cp:lastModifiedBy>
  <cp:revision>5</cp:revision>
  <dcterms:created xsi:type="dcterms:W3CDTF">2019-10-23T15:18:00Z</dcterms:created>
  <dcterms:modified xsi:type="dcterms:W3CDTF">2019-10-24T02:52:00Z</dcterms:modified>
</cp:coreProperties>
</file>