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77" w:rsidRDefault="000F2DE9" w:rsidP="00EF21BF">
      <w:pPr>
        <w:snapToGrid w:val="0"/>
        <w:jc w:val="center"/>
        <w:rPr>
          <w:rFonts w:eastAsia="Calibri"/>
          <w:b/>
        </w:rPr>
      </w:pPr>
      <w:r w:rsidRPr="00EF21BF">
        <w:rPr>
          <w:rFonts w:eastAsia="Calibri"/>
          <w:b/>
        </w:rPr>
        <w:t>Comparison between Different Types of Intranasal Packing after</w:t>
      </w:r>
      <w:r w:rsidR="00FB728F" w:rsidRPr="00EF21BF">
        <w:rPr>
          <w:rFonts w:eastAsia="Calibri"/>
          <w:b/>
        </w:rPr>
        <w:t xml:space="preserve"> </w:t>
      </w:r>
      <w:r w:rsidRPr="00EF21BF">
        <w:rPr>
          <w:rFonts w:eastAsia="Calibri"/>
          <w:b/>
        </w:rPr>
        <w:t>Endoscopic Sinus Surgery</w:t>
      </w:r>
    </w:p>
    <w:p w:rsidR="007A4777" w:rsidRDefault="007A4777" w:rsidP="00EF21BF">
      <w:pPr>
        <w:snapToGrid w:val="0"/>
        <w:jc w:val="center"/>
        <w:rPr>
          <w:rFonts w:eastAsia="Calibri"/>
        </w:rPr>
      </w:pPr>
    </w:p>
    <w:p w:rsidR="007A4777" w:rsidRDefault="000F2DE9" w:rsidP="00EF21BF">
      <w:pPr>
        <w:snapToGrid w:val="0"/>
        <w:jc w:val="center"/>
        <w:rPr>
          <w:rFonts w:eastAsia="Calibri"/>
          <w:bCs/>
        </w:rPr>
      </w:pPr>
      <w:r w:rsidRPr="00EF21BF">
        <w:rPr>
          <w:rFonts w:eastAsia="Calibri"/>
          <w:bCs/>
        </w:rPr>
        <w:t xml:space="preserve">Prof. Dr. Ahmed </w:t>
      </w:r>
      <w:proofErr w:type="spellStart"/>
      <w:r w:rsidRPr="00EF21BF">
        <w:rPr>
          <w:rFonts w:eastAsia="Calibri"/>
          <w:bCs/>
        </w:rPr>
        <w:t>Mahmoud</w:t>
      </w:r>
      <w:proofErr w:type="spellEnd"/>
      <w:r w:rsidRPr="00EF21BF">
        <w:rPr>
          <w:rFonts w:eastAsia="Calibri"/>
          <w:bCs/>
        </w:rPr>
        <w:t xml:space="preserve"> </w:t>
      </w:r>
      <w:proofErr w:type="spellStart"/>
      <w:r w:rsidRPr="00EF21BF">
        <w:rPr>
          <w:rFonts w:eastAsia="Calibri"/>
          <w:bCs/>
        </w:rPr>
        <w:t>Khalifa</w:t>
      </w:r>
      <w:proofErr w:type="spellEnd"/>
      <w:r w:rsidRPr="00EF21BF">
        <w:rPr>
          <w:rFonts w:eastAsia="Calibri"/>
          <w:bCs/>
        </w:rPr>
        <w:t xml:space="preserve">, Dr. </w:t>
      </w:r>
      <w:proofErr w:type="spellStart"/>
      <w:r w:rsidRPr="00EF21BF">
        <w:rPr>
          <w:rFonts w:eastAsia="Calibri"/>
          <w:bCs/>
        </w:rPr>
        <w:t>Yahia</w:t>
      </w:r>
      <w:proofErr w:type="spellEnd"/>
      <w:r w:rsidRPr="00EF21BF">
        <w:rPr>
          <w:rFonts w:eastAsia="Calibri"/>
          <w:bCs/>
        </w:rPr>
        <w:t xml:space="preserve"> Mohammed </w:t>
      </w:r>
      <w:proofErr w:type="spellStart"/>
      <w:r w:rsidRPr="00EF21BF">
        <w:rPr>
          <w:rFonts w:eastAsia="Calibri"/>
          <w:bCs/>
        </w:rPr>
        <w:t>Dawood</w:t>
      </w:r>
      <w:proofErr w:type="spellEnd"/>
      <w:r w:rsidRPr="00EF21BF">
        <w:rPr>
          <w:rFonts w:eastAsia="Calibri"/>
          <w:bCs/>
        </w:rPr>
        <w:t>, Dr.</w:t>
      </w:r>
      <w:r w:rsidR="00FB728F" w:rsidRPr="00EF21BF">
        <w:rPr>
          <w:rFonts w:eastAsia="Calibri"/>
          <w:bCs/>
        </w:rPr>
        <w:t xml:space="preserve"> </w:t>
      </w:r>
      <w:r w:rsidRPr="00EF21BF">
        <w:rPr>
          <w:rFonts w:eastAsia="Calibri"/>
          <w:bCs/>
        </w:rPr>
        <w:t xml:space="preserve">Mohammed Ahmed El </w:t>
      </w:r>
      <w:proofErr w:type="spellStart"/>
      <w:r w:rsidRPr="00EF21BF">
        <w:rPr>
          <w:rFonts w:eastAsia="Calibri"/>
          <w:bCs/>
        </w:rPr>
        <w:t>Sharkawy</w:t>
      </w:r>
      <w:proofErr w:type="spellEnd"/>
      <w:r w:rsidRPr="00EF21BF">
        <w:rPr>
          <w:rFonts w:eastAsia="Calibri"/>
          <w:bCs/>
        </w:rPr>
        <w:t xml:space="preserve">, </w:t>
      </w:r>
      <w:proofErr w:type="spellStart"/>
      <w:r w:rsidRPr="00EF21BF">
        <w:rPr>
          <w:rFonts w:eastAsia="Calibri"/>
          <w:bCs/>
        </w:rPr>
        <w:t>Mostafa</w:t>
      </w:r>
      <w:proofErr w:type="spellEnd"/>
      <w:r w:rsidRPr="00EF21BF">
        <w:rPr>
          <w:rFonts w:eastAsia="Calibri"/>
          <w:bCs/>
        </w:rPr>
        <w:t xml:space="preserve"> </w:t>
      </w:r>
      <w:proofErr w:type="spellStart"/>
      <w:r w:rsidRPr="00EF21BF">
        <w:rPr>
          <w:rFonts w:eastAsia="Calibri"/>
          <w:bCs/>
        </w:rPr>
        <w:t>Fadl</w:t>
      </w:r>
      <w:proofErr w:type="spellEnd"/>
      <w:r w:rsidRPr="00EF21BF">
        <w:rPr>
          <w:rFonts w:eastAsia="Calibri"/>
          <w:bCs/>
        </w:rPr>
        <w:t xml:space="preserve"> El </w:t>
      </w:r>
      <w:proofErr w:type="spellStart"/>
      <w:r w:rsidRPr="00EF21BF">
        <w:rPr>
          <w:rFonts w:eastAsia="Calibri"/>
          <w:bCs/>
        </w:rPr>
        <w:t>Deeb</w:t>
      </w:r>
      <w:proofErr w:type="spellEnd"/>
    </w:p>
    <w:p w:rsidR="007A4777" w:rsidRDefault="007A4777" w:rsidP="00EF21BF">
      <w:pPr>
        <w:snapToGrid w:val="0"/>
        <w:jc w:val="center"/>
        <w:rPr>
          <w:rFonts w:eastAsia="Calibri"/>
          <w:bCs/>
        </w:rPr>
      </w:pPr>
    </w:p>
    <w:p w:rsidR="007A4777" w:rsidRDefault="000F2DE9" w:rsidP="00EF21BF">
      <w:pPr>
        <w:snapToGrid w:val="0"/>
        <w:jc w:val="center"/>
        <w:rPr>
          <w:rFonts w:eastAsia="Calibri"/>
        </w:rPr>
      </w:pPr>
      <w:proofErr w:type="spellStart"/>
      <w:r w:rsidRPr="00EF21BF">
        <w:rPr>
          <w:rFonts w:eastAsia="Calibri"/>
        </w:rPr>
        <w:t>Otorhinolaryngology</w:t>
      </w:r>
      <w:proofErr w:type="spellEnd"/>
      <w:r w:rsidRPr="00EF21BF">
        <w:rPr>
          <w:rFonts w:eastAsia="Calibri"/>
        </w:rPr>
        <w:t xml:space="preserve"> Department, Faculty of Medicine, Al </w:t>
      </w:r>
      <w:proofErr w:type="spellStart"/>
      <w:r w:rsidRPr="00EF21BF">
        <w:rPr>
          <w:rFonts w:eastAsia="Calibri"/>
        </w:rPr>
        <w:t>Azhar</w:t>
      </w:r>
      <w:proofErr w:type="spellEnd"/>
      <w:r w:rsidRPr="00EF21BF">
        <w:rPr>
          <w:rFonts w:eastAsia="Calibri"/>
        </w:rPr>
        <w:t xml:space="preserve"> University</w:t>
      </w:r>
      <w:r w:rsidR="00FB728F" w:rsidRPr="00EF21BF">
        <w:rPr>
          <w:rFonts w:eastAsia="Calibri"/>
        </w:rPr>
        <w:t>, Egypt.</w:t>
      </w:r>
    </w:p>
    <w:p w:rsidR="007A4777" w:rsidRDefault="001F472E" w:rsidP="00EF21BF">
      <w:pPr>
        <w:snapToGrid w:val="0"/>
        <w:jc w:val="center"/>
        <w:rPr>
          <w:rFonts w:eastAsia="Calibri"/>
          <w:color w:val="0000CC"/>
        </w:rPr>
      </w:pPr>
      <w:hyperlink r:id="rId7">
        <w:r w:rsidR="000F2DE9" w:rsidRPr="00EF21BF">
          <w:rPr>
            <w:rFonts w:eastAsia="Calibri"/>
            <w:color w:val="0000CC"/>
          </w:rPr>
          <w:t>drmostafaeldeeb1988@gmail.com</w:t>
        </w:r>
      </w:hyperlink>
    </w:p>
    <w:p w:rsidR="007A4777" w:rsidRDefault="007A4777" w:rsidP="00EF21BF">
      <w:pPr>
        <w:snapToGrid w:val="0"/>
        <w:jc w:val="center"/>
        <w:rPr>
          <w:rFonts w:eastAsia="Calibri"/>
          <w:color w:val="0000CC"/>
        </w:rPr>
      </w:pPr>
    </w:p>
    <w:p w:rsidR="007A4777" w:rsidRDefault="00FB728F" w:rsidP="00EF21BF">
      <w:pPr>
        <w:snapToGrid w:val="0"/>
        <w:jc w:val="both"/>
        <w:rPr>
          <w:rFonts w:eastAsia="Calibri"/>
        </w:rPr>
      </w:pPr>
      <w:r w:rsidRPr="00EF21BF">
        <w:rPr>
          <w:rFonts w:eastAsia="Calibri"/>
          <w:b/>
        </w:rPr>
        <w:t>Abstract</w:t>
      </w:r>
      <w:r w:rsidRPr="00EF21BF">
        <w:rPr>
          <w:rFonts w:eastAsia="Calibri"/>
        </w:rPr>
        <w:t xml:space="preserve">: </w:t>
      </w:r>
      <w:r w:rsidR="000F2DE9" w:rsidRPr="00EF21BF">
        <w:rPr>
          <w:rFonts w:eastAsia="Calibri"/>
          <w:b/>
        </w:rPr>
        <w:t xml:space="preserve">Background: </w:t>
      </w:r>
      <w:r w:rsidR="000F2DE9" w:rsidRPr="00EF21BF">
        <w:rPr>
          <w:rFonts w:eastAsia="Calibri"/>
        </w:rPr>
        <w:t xml:space="preserve">endoscopic sinus surgery (ESS) is the mainstay of surgical management for sinus pathology in the modern age. The most common reason for performing ESS is for chronic </w:t>
      </w:r>
      <w:proofErr w:type="spellStart"/>
      <w:r w:rsidR="000F2DE9" w:rsidRPr="00EF21BF">
        <w:rPr>
          <w:rFonts w:eastAsia="Calibri"/>
        </w:rPr>
        <w:t>rhinosinusitis</w:t>
      </w:r>
      <w:proofErr w:type="spellEnd"/>
      <w:r w:rsidR="000F2DE9" w:rsidRPr="00EF21BF">
        <w:rPr>
          <w:rFonts w:eastAsia="Calibri"/>
        </w:rPr>
        <w:t xml:space="preserve">, with or without polyps. However, the extended applications of ESS include closure of CSF leaks, resection of </w:t>
      </w:r>
      <w:proofErr w:type="spellStart"/>
      <w:r w:rsidR="000F2DE9" w:rsidRPr="00EF21BF">
        <w:rPr>
          <w:rFonts w:eastAsia="Calibri"/>
        </w:rPr>
        <w:t>sinonasal</w:t>
      </w:r>
      <w:proofErr w:type="spellEnd"/>
      <w:r w:rsidR="000F2DE9" w:rsidRPr="00EF21BF">
        <w:rPr>
          <w:rFonts w:eastAsia="Calibri"/>
        </w:rPr>
        <w:t xml:space="preserve"> tumors, </w:t>
      </w:r>
      <w:proofErr w:type="spellStart"/>
      <w:r w:rsidR="000F2DE9" w:rsidRPr="00EF21BF">
        <w:rPr>
          <w:rFonts w:eastAsia="Calibri"/>
        </w:rPr>
        <w:t>nasolacrimal</w:t>
      </w:r>
      <w:proofErr w:type="spellEnd"/>
      <w:r w:rsidR="000F2DE9" w:rsidRPr="00EF21BF">
        <w:rPr>
          <w:rFonts w:eastAsia="Calibri"/>
        </w:rPr>
        <w:t xml:space="preserve"> duct surgery, orbital decompression, and a means of approach to the skull base and intracranial cavity.</w:t>
      </w:r>
      <w:r w:rsidRPr="00EF21BF">
        <w:rPr>
          <w:rFonts w:eastAsia="Calibri"/>
        </w:rPr>
        <w:t xml:space="preserve"> </w:t>
      </w:r>
      <w:r w:rsidR="000F2DE9" w:rsidRPr="00EF21BF">
        <w:rPr>
          <w:rFonts w:eastAsia="Calibri"/>
          <w:b/>
        </w:rPr>
        <w:t xml:space="preserve">Aim of the Work: </w:t>
      </w:r>
      <w:r w:rsidR="000F2DE9" w:rsidRPr="00EF21BF">
        <w:rPr>
          <w:rFonts w:eastAsia="Calibri"/>
        </w:rPr>
        <w:t>the aim of this study is to compare different types of nasal packing and non- packing after endoscopic sinus surgery.</w:t>
      </w:r>
      <w:r w:rsidRPr="00EF21BF">
        <w:rPr>
          <w:rFonts w:eastAsia="Calibri"/>
        </w:rPr>
        <w:t xml:space="preserve"> </w:t>
      </w:r>
      <w:r w:rsidR="000F2DE9" w:rsidRPr="00EF21BF">
        <w:rPr>
          <w:rFonts w:eastAsia="Calibri"/>
          <w:b/>
        </w:rPr>
        <w:t xml:space="preserve">Patients and Methods: </w:t>
      </w:r>
      <w:r w:rsidR="000F2DE9" w:rsidRPr="00EF21BF">
        <w:rPr>
          <w:rFonts w:eastAsia="Calibri"/>
        </w:rPr>
        <w:t>in this study, forty patients with sinus pathology presented to police hospital, Nasr city. Patients presented during the period from September 2016 to April 2018, seeking for management of their problem. (40) patients that had been diagnosed before as chronic</w:t>
      </w:r>
      <w:r w:rsidR="00780B8B" w:rsidRPr="00EF21BF">
        <w:rPr>
          <w:rFonts w:eastAsia="Calibri"/>
        </w:rPr>
        <w:t xml:space="preserve"> </w:t>
      </w:r>
      <w:r w:rsidR="000F2DE9" w:rsidRPr="00EF21BF">
        <w:rPr>
          <w:rFonts w:eastAsia="Calibri"/>
        </w:rPr>
        <w:t>rhino-sinusitis according</w:t>
      </w:r>
      <w:r w:rsidR="00780B8B" w:rsidRPr="00EF21BF">
        <w:rPr>
          <w:rFonts w:eastAsia="Calibri"/>
        </w:rPr>
        <w:t xml:space="preserve"> </w:t>
      </w:r>
      <w:r w:rsidR="000F2DE9" w:rsidRPr="00EF21BF">
        <w:rPr>
          <w:rFonts w:eastAsia="Calibri"/>
        </w:rPr>
        <w:t>to</w:t>
      </w:r>
      <w:r w:rsidR="00780B8B" w:rsidRPr="00EF21BF">
        <w:rPr>
          <w:rFonts w:eastAsia="Calibri"/>
        </w:rPr>
        <w:t xml:space="preserve"> </w:t>
      </w:r>
      <w:r w:rsidR="000F2DE9" w:rsidRPr="00EF21BF">
        <w:rPr>
          <w:rFonts w:eastAsia="Calibri"/>
        </w:rPr>
        <w:t>history,</w:t>
      </w:r>
      <w:r w:rsidR="00780B8B" w:rsidRPr="00EF21BF">
        <w:rPr>
          <w:rFonts w:eastAsia="Calibri"/>
        </w:rPr>
        <w:t xml:space="preserve"> </w:t>
      </w:r>
      <w:r w:rsidR="000F2DE9" w:rsidRPr="00EF21BF">
        <w:rPr>
          <w:rFonts w:eastAsia="Calibri"/>
        </w:rPr>
        <w:t>symptoms</w:t>
      </w:r>
      <w:r w:rsidR="00780B8B" w:rsidRPr="00EF21BF">
        <w:rPr>
          <w:rFonts w:eastAsia="Calibri"/>
        </w:rPr>
        <w:t xml:space="preserve"> </w:t>
      </w:r>
      <w:r w:rsidR="000F2DE9" w:rsidRPr="00EF21BF">
        <w:rPr>
          <w:rFonts w:eastAsia="Calibri"/>
        </w:rPr>
        <w:t>and examination (naked eye</w:t>
      </w:r>
      <w:r w:rsidR="00780B8B" w:rsidRPr="00EF21BF">
        <w:rPr>
          <w:rFonts w:eastAsia="Calibri"/>
        </w:rPr>
        <w:t xml:space="preserve"> </w:t>
      </w:r>
      <w:r w:rsidR="000F2DE9" w:rsidRPr="00EF21BF">
        <w:rPr>
          <w:rFonts w:eastAsia="Calibri"/>
        </w:rPr>
        <w:t xml:space="preserve">and endoscopic) were randomly divided into (4) equal groups: </w:t>
      </w:r>
      <w:r w:rsidR="000F2DE9" w:rsidRPr="00EF21BF">
        <w:rPr>
          <w:rFonts w:eastAsia="Calibri"/>
          <w:b/>
        </w:rPr>
        <w:t xml:space="preserve">Group (A): </w:t>
      </w:r>
      <w:r w:rsidR="000F2DE9" w:rsidRPr="00EF21BF">
        <w:rPr>
          <w:rFonts w:eastAsia="Calibri"/>
        </w:rPr>
        <w:t>10 patients not packe</w:t>
      </w:r>
      <w:r w:rsidR="00780B8B" w:rsidRPr="00EF21BF">
        <w:rPr>
          <w:rFonts w:eastAsia="Calibri"/>
        </w:rPr>
        <w:t>d (</w:t>
      </w:r>
      <w:r w:rsidR="000F2DE9" w:rsidRPr="00EF21BF">
        <w:rPr>
          <w:rFonts w:eastAsia="Calibri"/>
        </w:rPr>
        <w:t xml:space="preserve">control group), </w:t>
      </w:r>
      <w:r w:rsidR="000F2DE9" w:rsidRPr="00EF21BF">
        <w:rPr>
          <w:rFonts w:eastAsia="Calibri"/>
          <w:b/>
        </w:rPr>
        <w:t xml:space="preserve">Group (B): </w:t>
      </w:r>
      <w:r w:rsidR="000F2DE9" w:rsidRPr="00EF21BF">
        <w:rPr>
          <w:rFonts w:eastAsia="Calibri"/>
        </w:rPr>
        <w:t>10 patients</w:t>
      </w:r>
      <w:r w:rsidR="00780B8B" w:rsidRPr="00EF21BF">
        <w:rPr>
          <w:rFonts w:eastAsia="Calibri"/>
        </w:rPr>
        <w:t xml:space="preserve"> </w:t>
      </w:r>
      <w:r w:rsidR="000F2DE9" w:rsidRPr="00EF21BF">
        <w:rPr>
          <w:rFonts w:eastAsia="Calibri"/>
        </w:rPr>
        <w:t>packed with non absorbable tampon</w:t>
      </w:r>
      <w:r w:rsidR="00780B8B" w:rsidRPr="00EF21BF">
        <w:rPr>
          <w:rFonts w:eastAsia="Calibri"/>
        </w:rPr>
        <w:t>,</w:t>
      </w:r>
      <w:r w:rsidR="000F2DE9" w:rsidRPr="00EF21BF">
        <w:rPr>
          <w:rFonts w:eastAsia="Calibri"/>
        </w:rPr>
        <w:t xml:space="preserve"> </w:t>
      </w:r>
      <w:r w:rsidR="000F2DE9" w:rsidRPr="00EF21BF">
        <w:rPr>
          <w:rFonts w:eastAsia="Calibri"/>
          <w:b/>
        </w:rPr>
        <w:t xml:space="preserve">Group (C): </w:t>
      </w:r>
      <w:r w:rsidR="000F2DE9" w:rsidRPr="00EF21BF">
        <w:rPr>
          <w:rFonts w:eastAsia="Calibri"/>
        </w:rPr>
        <w:t>10 patients</w:t>
      </w:r>
      <w:r w:rsidR="00780B8B" w:rsidRPr="00EF21BF">
        <w:rPr>
          <w:rFonts w:eastAsia="Calibri"/>
        </w:rPr>
        <w:t xml:space="preserve"> </w:t>
      </w:r>
      <w:r w:rsidR="000F2DE9" w:rsidRPr="00EF21BF">
        <w:rPr>
          <w:rFonts w:eastAsia="Calibri"/>
        </w:rPr>
        <w:t xml:space="preserve">packed with absorbable gel foam, </w:t>
      </w:r>
      <w:r w:rsidR="000F2DE9" w:rsidRPr="00EF21BF">
        <w:rPr>
          <w:rFonts w:eastAsia="Calibri"/>
          <w:b/>
        </w:rPr>
        <w:t xml:space="preserve">Group (D): </w:t>
      </w:r>
      <w:r w:rsidR="000F2DE9" w:rsidRPr="00EF21BF">
        <w:rPr>
          <w:rFonts w:eastAsia="Calibri"/>
        </w:rPr>
        <w:t xml:space="preserve">10 patients packed with absorbable </w:t>
      </w:r>
      <w:proofErr w:type="spellStart"/>
      <w:r w:rsidR="000F2DE9" w:rsidRPr="00EF21BF">
        <w:rPr>
          <w:rFonts w:eastAsia="Calibri"/>
        </w:rPr>
        <w:t>nasopore</w:t>
      </w:r>
      <w:proofErr w:type="spellEnd"/>
      <w:r w:rsidR="000F2DE9" w:rsidRPr="00EF21BF">
        <w:rPr>
          <w:rFonts w:eastAsia="Calibri"/>
        </w:rPr>
        <w:t xml:space="preserve">. Patients examined post-operatively for pain, bleeding, </w:t>
      </w:r>
      <w:proofErr w:type="spellStart"/>
      <w:r w:rsidR="000F2DE9" w:rsidRPr="00EF21BF">
        <w:rPr>
          <w:rFonts w:eastAsia="Calibri"/>
        </w:rPr>
        <w:t>crustaion</w:t>
      </w:r>
      <w:proofErr w:type="spellEnd"/>
      <w:r w:rsidR="000F2DE9" w:rsidRPr="00EF21BF">
        <w:rPr>
          <w:rFonts w:eastAsia="Calibri"/>
        </w:rPr>
        <w:t xml:space="preserve">, and </w:t>
      </w:r>
      <w:proofErr w:type="spellStart"/>
      <w:r w:rsidR="000F2DE9" w:rsidRPr="00EF21BF">
        <w:rPr>
          <w:rFonts w:eastAsia="Calibri"/>
        </w:rPr>
        <w:t>synechia</w:t>
      </w:r>
      <w:proofErr w:type="spellEnd"/>
      <w:r w:rsidR="000F2DE9" w:rsidRPr="00EF21BF">
        <w:rPr>
          <w:rFonts w:eastAsia="Calibri"/>
        </w:rPr>
        <w:t>.</w:t>
      </w:r>
      <w:r w:rsidRPr="00EF21BF">
        <w:rPr>
          <w:rFonts w:eastAsia="Calibri"/>
        </w:rPr>
        <w:t xml:space="preserve"> </w:t>
      </w:r>
      <w:r w:rsidR="000F2DE9" w:rsidRPr="00EF21BF">
        <w:rPr>
          <w:rFonts w:eastAsia="Calibri"/>
          <w:b/>
        </w:rPr>
        <w:t xml:space="preserve">Results: </w:t>
      </w:r>
      <w:r w:rsidR="000F2DE9" w:rsidRPr="00EF21BF">
        <w:rPr>
          <w:rFonts w:eastAsia="Calibri"/>
        </w:rPr>
        <w:t xml:space="preserve">no significant difference in subjective assessment of pain and headache, </w:t>
      </w:r>
      <w:proofErr w:type="spellStart"/>
      <w:r w:rsidR="000F2DE9" w:rsidRPr="00EF21BF">
        <w:rPr>
          <w:rFonts w:eastAsia="Calibri"/>
        </w:rPr>
        <w:t>crustations</w:t>
      </w:r>
      <w:proofErr w:type="spellEnd"/>
      <w:r w:rsidR="000F2DE9" w:rsidRPr="00EF21BF">
        <w:rPr>
          <w:rFonts w:eastAsia="Calibri"/>
        </w:rPr>
        <w:t xml:space="preserve"> and nasal blockage between absorbable nasal pack group and the unpacked one. Also no significant difference between endoscopic assessment of postoperative edema, nasal secretions and presence of granulation tissue in the middle </w:t>
      </w:r>
      <w:proofErr w:type="spellStart"/>
      <w:r w:rsidR="000F2DE9" w:rsidRPr="00EF21BF">
        <w:rPr>
          <w:rFonts w:eastAsia="Calibri"/>
        </w:rPr>
        <w:t>meatus</w:t>
      </w:r>
      <w:proofErr w:type="spellEnd"/>
      <w:r w:rsidR="000F2DE9" w:rsidRPr="00EF21BF">
        <w:rPr>
          <w:rFonts w:eastAsia="Calibri"/>
        </w:rPr>
        <w:t>.</w:t>
      </w:r>
      <w:r w:rsidRPr="00EF21BF">
        <w:rPr>
          <w:rFonts w:eastAsia="Calibri"/>
        </w:rPr>
        <w:t xml:space="preserve"> </w:t>
      </w:r>
      <w:r w:rsidR="000F2DE9" w:rsidRPr="00EF21BF">
        <w:rPr>
          <w:rFonts w:eastAsia="Calibri"/>
          <w:b/>
        </w:rPr>
        <w:t xml:space="preserve">Conclusion: </w:t>
      </w:r>
      <w:r w:rsidR="000F2DE9" w:rsidRPr="00EF21BF">
        <w:rPr>
          <w:rFonts w:eastAsia="Calibri"/>
        </w:rPr>
        <w:t>the</w:t>
      </w:r>
      <w:r w:rsidR="00780B8B" w:rsidRPr="00EF21BF">
        <w:rPr>
          <w:rFonts w:eastAsia="Calibri"/>
        </w:rPr>
        <w:t xml:space="preserve"> </w:t>
      </w:r>
      <w:r w:rsidR="000F2DE9" w:rsidRPr="00EF21BF">
        <w:rPr>
          <w:rFonts w:eastAsia="Calibri"/>
        </w:rPr>
        <w:t>use</w:t>
      </w:r>
      <w:r w:rsidR="00780B8B" w:rsidRPr="00EF21BF">
        <w:rPr>
          <w:rFonts w:eastAsia="Calibri"/>
        </w:rPr>
        <w:t xml:space="preserve"> </w:t>
      </w:r>
      <w:r w:rsidR="000F2DE9" w:rsidRPr="00EF21BF">
        <w:rPr>
          <w:rFonts w:eastAsia="Calibri"/>
        </w:rPr>
        <w:t>of absorbable</w:t>
      </w:r>
      <w:r w:rsidR="00780B8B" w:rsidRPr="00EF21BF">
        <w:rPr>
          <w:rFonts w:eastAsia="Calibri"/>
        </w:rPr>
        <w:t xml:space="preserve"> </w:t>
      </w:r>
      <w:r w:rsidR="000F2DE9" w:rsidRPr="00EF21BF">
        <w:rPr>
          <w:rFonts w:eastAsia="Calibri"/>
        </w:rPr>
        <w:t>nasal pack after</w:t>
      </w:r>
      <w:r w:rsidR="00780B8B" w:rsidRPr="00EF21BF">
        <w:rPr>
          <w:rFonts w:eastAsia="Calibri"/>
        </w:rPr>
        <w:t xml:space="preserve"> </w:t>
      </w:r>
      <w:r w:rsidR="000F2DE9" w:rsidRPr="00EF21BF">
        <w:rPr>
          <w:rFonts w:eastAsia="Calibri"/>
        </w:rPr>
        <w:t>functional endoscopic</w:t>
      </w:r>
      <w:r w:rsidR="00780B8B" w:rsidRPr="00EF21BF">
        <w:rPr>
          <w:rFonts w:eastAsia="Calibri"/>
        </w:rPr>
        <w:t xml:space="preserve"> </w:t>
      </w:r>
      <w:r w:rsidR="000F2DE9" w:rsidRPr="00EF21BF">
        <w:rPr>
          <w:rFonts w:eastAsia="Calibri"/>
        </w:rPr>
        <w:t xml:space="preserve">sinus surgery resulted in less bleeding, less </w:t>
      </w:r>
      <w:proofErr w:type="spellStart"/>
      <w:r w:rsidR="000F2DE9" w:rsidRPr="00EF21BF">
        <w:rPr>
          <w:rFonts w:eastAsia="Calibri"/>
        </w:rPr>
        <w:t>crustations</w:t>
      </w:r>
      <w:proofErr w:type="spellEnd"/>
      <w:r w:rsidR="000F2DE9" w:rsidRPr="00EF21BF">
        <w:rPr>
          <w:rFonts w:eastAsia="Calibri"/>
        </w:rPr>
        <w:t>, decreasing the incidence of lateralization of middle turbinate and adhesions on long term and better mucosal healing.</w:t>
      </w:r>
    </w:p>
    <w:p w:rsidR="007A4777" w:rsidRDefault="00FB728F" w:rsidP="007A4777">
      <w:pPr>
        <w:snapToGrid w:val="0"/>
        <w:jc w:val="both"/>
        <w:rPr>
          <w:rFonts w:eastAsia="Calibri"/>
          <w:bCs/>
        </w:rPr>
      </w:pPr>
      <w:r w:rsidRPr="00EF21BF">
        <w:t>[</w:t>
      </w:r>
      <w:r w:rsidR="006712E7" w:rsidRPr="00EF21BF">
        <w:rPr>
          <w:rFonts w:eastAsia="Calibri"/>
          <w:bCs/>
        </w:rPr>
        <w:t xml:space="preserve">Ahmed </w:t>
      </w:r>
      <w:proofErr w:type="spellStart"/>
      <w:r w:rsidR="006712E7" w:rsidRPr="00EF21BF">
        <w:rPr>
          <w:rFonts w:eastAsia="Calibri"/>
          <w:bCs/>
        </w:rPr>
        <w:t>Mahmoud</w:t>
      </w:r>
      <w:proofErr w:type="spellEnd"/>
      <w:r w:rsidR="006712E7" w:rsidRPr="00EF21BF">
        <w:rPr>
          <w:rFonts w:eastAsia="Calibri"/>
          <w:bCs/>
        </w:rPr>
        <w:t xml:space="preserve"> </w:t>
      </w:r>
      <w:proofErr w:type="spellStart"/>
      <w:r w:rsidR="006712E7" w:rsidRPr="00EF21BF">
        <w:rPr>
          <w:rFonts w:eastAsia="Calibri"/>
          <w:bCs/>
        </w:rPr>
        <w:t>Khalifa</w:t>
      </w:r>
      <w:proofErr w:type="spellEnd"/>
      <w:r w:rsidR="006712E7" w:rsidRPr="00EF21BF">
        <w:rPr>
          <w:rFonts w:eastAsia="Calibri"/>
          <w:bCs/>
        </w:rPr>
        <w:t xml:space="preserve">, </w:t>
      </w:r>
      <w:proofErr w:type="spellStart"/>
      <w:r w:rsidR="006712E7" w:rsidRPr="00EF21BF">
        <w:rPr>
          <w:rFonts w:eastAsia="Calibri"/>
          <w:bCs/>
        </w:rPr>
        <w:t>Yahia</w:t>
      </w:r>
      <w:proofErr w:type="spellEnd"/>
      <w:r w:rsidR="006712E7" w:rsidRPr="00EF21BF">
        <w:rPr>
          <w:rFonts w:eastAsia="Calibri"/>
          <w:bCs/>
        </w:rPr>
        <w:t xml:space="preserve"> Mohammed </w:t>
      </w:r>
      <w:proofErr w:type="spellStart"/>
      <w:r w:rsidR="006712E7" w:rsidRPr="00EF21BF">
        <w:rPr>
          <w:rFonts w:eastAsia="Calibri"/>
          <w:bCs/>
        </w:rPr>
        <w:t>Dawood</w:t>
      </w:r>
      <w:proofErr w:type="spellEnd"/>
      <w:r w:rsidR="006712E7" w:rsidRPr="00EF21BF">
        <w:rPr>
          <w:rFonts w:eastAsia="Calibri"/>
          <w:bCs/>
        </w:rPr>
        <w:t xml:space="preserve">, Mohammed Ahmed El </w:t>
      </w:r>
      <w:proofErr w:type="spellStart"/>
      <w:r w:rsidR="006712E7" w:rsidRPr="00EF21BF">
        <w:rPr>
          <w:rFonts w:eastAsia="Calibri"/>
          <w:bCs/>
        </w:rPr>
        <w:t>Sharkawy</w:t>
      </w:r>
      <w:proofErr w:type="spellEnd"/>
      <w:r w:rsidR="006712E7" w:rsidRPr="00EF21BF">
        <w:rPr>
          <w:rFonts w:eastAsia="Calibri"/>
          <w:bCs/>
        </w:rPr>
        <w:t xml:space="preserve">, </w:t>
      </w:r>
      <w:proofErr w:type="spellStart"/>
      <w:r w:rsidR="006712E7" w:rsidRPr="00EF21BF">
        <w:rPr>
          <w:rFonts w:eastAsia="Calibri"/>
          <w:bCs/>
        </w:rPr>
        <w:t>Mostafa</w:t>
      </w:r>
      <w:proofErr w:type="spellEnd"/>
      <w:r w:rsidR="006712E7" w:rsidRPr="00EF21BF">
        <w:rPr>
          <w:rFonts w:eastAsia="Calibri"/>
          <w:bCs/>
        </w:rPr>
        <w:t xml:space="preserve"> </w:t>
      </w:r>
      <w:proofErr w:type="spellStart"/>
      <w:r w:rsidR="006712E7" w:rsidRPr="00EF21BF">
        <w:rPr>
          <w:rFonts w:eastAsia="Calibri"/>
          <w:bCs/>
        </w:rPr>
        <w:t>Fadl</w:t>
      </w:r>
      <w:proofErr w:type="spellEnd"/>
      <w:r w:rsidR="006712E7" w:rsidRPr="00EF21BF">
        <w:rPr>
          <w:rFonts w:eastAsia="Calibri"/>
          <w:bCs/>
        </w:rPr>
        <w:t xml:space="preserve"> El </w:t>
      </w:r>
      <w:proofErr w:type="spellStart"/>
      <w:r w:rsidR="006712E7" w:rsidRPr="00EF21BF">
        <w:rPr>
          <w:rFonts w:eastAsia="Calibri"/>
          <w:bCs/>
        </w:rPr>
        <w:t>Deeb</w:t>
      </w:r>
      <w:proofErr w:type="spellEnd"/>
      <w:r w:rsidR="006712E7" w:rsidRPr="00EF21BF">
        <w:rPr>
          <w:rFonts w:eastAsia="Calibri"/>
          <w:bCs/>
        </w:rPr>
        <w:t xml:space="preserve">. </w:t>
      </w:r>
      <w:r w:rsidR="006712E7" w:rsidRPr="00EF21BF">
        <w:rPr>
          <w:rFonts w:eastAsia="Calibri"/>
          <w:b/>
        </w:rPr>
        <w:t>Comparison between Different Types of Intranasal Packing after</w:t>
      </w:r>
      <w:r w:rsidR="006712E7" w:rsidRPr="00EF21BF">
        <w:rPr>
          <w:rFonts w:eastAsia="Calibri"/>
        </w:rPr>
        <w:t xml:space="preserve"> </w:t>
      </w:r>
      <w:r w:rsidR="006712E7" w:rsidRPr="00EF21BF">
        <w:rPr>
          <w:rFonts w:eastAsia="Calibri"/>
          <w:b/>
        </w:rPr>
        <w:t>Endoscopic Sinus Surgery</w:t>
      </w:r>
      <w:r w:rsidR="00EF21BF" w:rsidRPr="00EF21BF">
        <w:rPr>
          <w:rFonts w:eastAsia="Times New Roman"/>
          <w:b/>
          <w:bCs/>
          <w:lang w:bidi="fa-IR"/>
        </w:rPr>
        <w:t>.</w:t>
      </w:r>
      <w:r w:rsidR="00EF21BF" w:rsidRPr="00EF21BF">
        <w:rPr>
          <w:bCs/>
          <w:i/>
        </w:rPr>
        <w:t xml:space="preserve"> Researcher</w:t>
      </w:r>
      <w:r w:rsidR="00EF21BF" w:rsidRPr="00EF21BF">
        <w:rPr>
          <w:bCs/>
        </w:rPr>
        <w:t xml:space="preserve"> 201</w:t>
      </w:r>
      <w:r w:rsidR="00EF21BF" w:rsidRPr="00EF21BF">
        <w:rPr>
          <w:rFonts w:hint="eastAsia"/>
          <w:bCs/>
        </w:rPr>
        <w:t>9</w:t>
      </w:r>
      <w:r w:rsidR="00EF21BF" w:rsidRPr="00EF21BF">
        <w:rPr>
          <w:bCs/>
        </w:rPr>
        <w:t>;</w:t>
      </w:r>
      <w:r w:rsidR="00EF21BF" w:rsidRPr="00EF21BF">
        <w:rPr>
          <w:rFonts w:hint="eastAsia"/>
          <w:bCs/>
        </w:rPr>
        <w:t>11</w:t>
      </w:r>
      <w:r w:rsidR="00EF21BF" w:rsidRPr="00EF21BF">
        <w:rPr>
          <w:bCs/>
        </w:rPr>
        <w:t>(</w:t>
      </w:r>
      <w:r w:rsidR="00EF21BF" w:rsidRPr="00EF21BF">
        <w:rPr>
          <w:rFonts w:hint="eastAsia"/>
          <w:bCs/>
        </w:rPr>
        <w:t>4</w:t>
      </w:r>
      <w:r w:rsidR="00EF21BF" w:rsidRPr="00EF21BF">
        <w:rPr>
          <w:bCs/>
        </w:rPr>
        <w:t>):</w:t>
      </w:r>
      <w:r w:rsidR="00C94FE4">
        <w:rPr>
          <w:noProof/>
          <w:color w:val="000000"/>
        </w:rPr>
        <w:t>43-47</w:t>
      </w:r>
      <w:r w:rsidR="00EF21BF" w:rsidRPr="00EF21BF">
        <w:rPr>
          <w:bCs/>
        </w:rPr>
        <w:t xml:space="preserve">]. </w:t>
      </w:r>
      <w:r w:rsidR="00EF21BF" w:rsidRPr="00EF21BF">
        <w:t>ISSN 1553-9865 (print); ISSN 2163-8950 (online)</w:t>
      </w:r>
      <w:r w:rsidR="00EF21BF" w:rsidRPr="00EF21BF">
        <w:rPr>
          <w:bCs/>
        </w:rPr>
        <w:t xml:space="preserve">. </w:t>
      </w:r>
      <w:hyperlink r:id="rId8" w:history="1">
        <w:r w:rsidR="00EF21BF" w:rsidRPr="00EF21BF">
          <w:rPr>
            <w:rStyle w:val="Hyperlink"/>
          </w:rPr>
          <w:t>http://www.sciencepub.net/researcher</w:t>
        </w:r>
      </w:hyperlink>
      <w:r w:rsidR="00EF21BF" w:rsidRPr="00EF21BF">
        <w:rPr>
          <w:bCs/>
        </w:rPr>
        <w:t>.</w:t>
      </w:r>
      <w:r w:rsidR="00EF21BF" w:rsidRPr="00EF21BF">
        <w:rPr>
          <w:rFonts w:hint="eastAsia"/>
          <w:bCs/>
        </w:rPr>
        <w:t xml:space="preserve"> </w:t>
      </w:r>
      <w:r w:rsidR="007A4777">
        <w:rPr>
          <w:rFonts w:hint="eastAsia"/>
          <w:bCs/>
          <w:lang w:eastAsia="zh-CN"/>
        </w:rPr>
        <w:t>7</w:t>
      </w:r>
      <w:r w:rsidR="00EF21BF" w:rsidRPr="00EF21BF">
        <w:rPr>
          <w:rFonts w:hint="eastAsia"/>
          <w:bCs/>
        </w:rPr>
        <w:t xml:space="preserve">. </w:t>
      </w:r>
      <w:r w:rsidR="00EF21BF" w:rsidRPr="00EF21BF">
        <w:rPr>
          <w:color w:val="000000"/>
          <w:shd w:val="clear" w:color="auto" w:fill="FFFFFF"/>
        </w:rPr>
        <w:t>doi:</w:t>
      </w:r>
      <w:hyperlink r:id="rId9" w:history="1">
        <w:r w:rsidR="00EF21BF" w:rsidRPr="00EF21BF">
          <w:rPr>
            <w:rStyle w:val="Hyperlink"/>
            <w:shd w:val="clear" w:color="auto" w:fill="FFFFFF"/>
          </w:rPr>
          <w:t>10.7537/mars</w:t>
        </w:r>
        <w:r w:rsidR="00EF21BF" w:rsidRPr="00EF21BF">
          <w:rPr>
            <w:rStyle w:val="Hyperlink"/>
            <w:rFonts w:hint="eastAsia"/>
            <w:shd w:val="clear" w:color="auto" w:fill="FFFFFF"/>
          </w:rPr>
          <w:t>r</w:t>
        </w:r>
        <w:r w:rsidR="00EF21BF" w:rsidRPr="00EF21BF">
          <w:rPr>
            <w:rStyle w:val="Hyperlink"/>
            <w:shd w:val="clear" w:color="auto" w:fill="FFFFFF"/>
          </w:rPr>
          <w:t>sj</w:t>
        </w:r>
        <w:r w:rsidR="00EF21BF" w:rsidRPr="00EF21BF">
          <w:rPr>
            <w:rStyle w:val="Hyperlink"/>
            <w:rFonts w:hint="eastAsia"/>
            <w:shd w:val="clear" w:color="auto" w:fill="FFFFFF"/>
          </w:rPr>
          <w:t>110419.</w:t>
        </w:r>
        <w:r w:rsidR="00EF21BF" w:rsidRPr="00EF21BF">
          <w:rPr>
            <w:rStyle w:val="Hyperlink"/>
            <w:shd w:val="clear" w:color="auto" w:fill="FFFFFF"/>
          </w:rPr>
          <w:t>0</w:t>
        </w:r>
        <w:r w:rsidR="007A4777">
          <w:rPr>
            <w:rStyle w:val="Hyperlink"/>
            <w:rFonts w:hint="eastAsia"/>
            <w:shd w:val="clear" w:color="auto" w:fill="FFFFFF"/>
            <w:lang w:eastAsia="zh-CN"/>
          </w:rPr>
          <w:t>7</w:t>
        </w:r>
      </w:hyperlink>
      <w:r w:rsidR="00EF21BF" w:rsidRPr="00EF21BF">
        <w:rPr>
          <w:color w:val="000000"/>
          <w:shd w:val="clear" w:color="auto" w:fill="FFFFFF"/>
        </w:rPr>
        <w:t>.</w:t>
      </w:r>
    </w:p>
    <w:p w:rsidR="007A4777" w:rsidRDefault="007A4777" w:rsidP="00EF21BF">
      <w:pPr>
        <w:snapToGrid w:val="0"/>
        <w:jc w:val="both"/>
      </w:pPr>
    </w:p>
    <w:p w:rsidR="007A4777" w:rsidRDefault="000F2DE9" w:rsidP="00EF21BF">
      <w:pPr>
        <w:snapToGrid w:val="0"/>
        <w:jc w:val="both"/>
        <w:rPr>
          <w:rFonts w:eastAsia="Calibri"/>
        </w:rPr>
      </w:pPr>
      <w:r w:rsidRPr="00780B8B">
        <w:rPr>
          <w:rFonts w:eastAsia="Calibri"/>
          <w:b/>
        </w:rPr>
        <w:t xml:space="preserve">Keywords: </w:t>
      </w:r>
      <w:r w:rsidRPr="00780B8B">
        <w:rPr>
          <w:rFonts w:eastAsia="Calibri"/>
        </w:rPr>
        <w:t>Packing, Endoscopic,</w:t>
      </w:r>
      <w:r w:rsidR="00641FFD" w:rsidRPr="00780B8B">
        <w:rPr>
          <w:rFonts w:hint="eastAsia"/>
          <w:lang w:eastAsia="zh-CN"/>
        </w:rPr>
        <w:t xml:space="preserve"> </w:t>
      </w:r>
      <w:proofErr w:type="spellStart"/>
      <w:r w:rsidRPr="00780B8B">
        <w:rPr>
          <w:rFonts w:eastAsia="Calibri"/>
        </w:rPr>
        <w:t>synechia</w:t>
      </w:r>
      <w:proofErr w:type="spellEnd"/>
      <w:r w:rsidRPr="00780B8B">
        <w:rPr>
          <w:rFonts w:eastAsia="Calibri"/>
        </w:rPr>
        <w:t>,</w:t>
      </w:r>
      <w:r w:rsidR="00641FFD" w:rsidRPr="00780B8B">
        <w:rPr>
          <w:rFonts w:hint="eastAsia"/>
          <w:lang w:eastAsia="zh-CN"/>
        </w:rPr>
        <w:t xml:space="preserve"> </w:t>
      </w:r>
      <w:r w:rsidRPr="00780B8B">
        <w:rPr>
          <w:rFonts w:eastAsia="Calibri"/>
        </w:rPr>
        <w:t>lateralization.</w:t>
      </w:r>
    </w:p>
    <w:p w:rsidR="007A4777" w:rsidRDefault="007A4777" w:rsidP="00EF21BF">
      <w:pPr>
        <w:snapToGrid w:val="0"/>
        <w:jc w:val="both"/>
        <w:rPr>
          <w:rFonts w:eastAsia="Calibri"/>
          <w:b/>
        </w:rPr>
      </w:pPr>
    </w:p>
    <w:p w:rsidR="007A4777" w:rsidRDefault="007A4777" w:rsidP="00EF21BF">
      <w:pPr>
        <w:snapToGrid w:val="0"/>
        <w:jc w:val="both"/>
        <w:rPr>
          <w:rFonts w:eastAsia="Calibri"/>
          <w:b/>
        </w:rPr>
        <w:sectPr w:rsidR="007A4777" w:rsidSect="00C94FE4">
          <w:headerReference w:type="default" r:id="rId10"/>
          <w:footerReference w:type="default" r:id="rId11"/>
          <w:type w:val="continuous"/>
          <w:pgSz w:w="12240" w:h="15840" w:code="9"/>
          <w:pgMar w:top="1440" w:right="1440" w:bottom="1440" w:left="1440" w:header="720" w:footer="720" w:gutter="0"/>
          <w:pgNumType w:start="43"/>
          <w:cols w:space="720"/>
          <w:docGrid w:linePitch="272"/>
        </w:sectPr>
      </w:pPr>
    </w:p>
    <w:p w:rsidR="007A4777" w:rsidRDefault="00FB728F" w:rsidP="00EF21BF">
      <w:pPr>
        <w:snapToGrid w:val="0"/>
        <w:jc w:val="both"/>
        <w:rPr>
          <w:rFonts w:eastAsia="Calibri"/>
        </w:rPr>
      </w:pPr>
      <w:r w:rsidRPr="00780B8B">
        <w:rPr>
          <w:rFonts w:eastAsia="Calibri"/>
          <w:b/>
        </w:rPr>
        <w:lastRenderedPageBreak/>
        <w:t>1. Introduction</w:t>
      </w:r>
    </w:p>
    <w:p w:rsidR="007A4777" w:rsidRDefault="000F2DE9" w:rsidP="00EF21BF">
      <w:pPr>
        <w:snapToGrid w:val="0"/>
        <w:ind w:firstLine="425"/>
        <w:jc w:val="both"/>
        <w:rPr>
          <w:rFonts w:eastAsia="Calibri"/>
        </w:rPr>
      </w:pPr>
      <w:r w:rsidRPr="00780B8B">
        <w:rPr>
          <w:rFonts w:eastAsia="Calibri"/>
        </w:rPr>
        <w:t xml:space="preserve">Endoscopic sinus surgery (ESS) is the mainstay of surgical management for sinus pathology in the modern age. The most common reason for performing ESS is for chronic </w:t>
      </w:r>
      <w:proofErr w:type="spellStart"/>
      <w:r w:rsidRPr="00780B8B">
        <w:rPr>
          <w:rFonts w:eastAsia="Calibri"/>
        </w:rPr>
        <w:t>rhinosinusitis</w:t>
      </w:r>
      <w:proofErr w:type="spellEnd"/>
      <w:r w:rsidRPr="00780B8B">
        <w:rPr>
          <w:rFonts w:eastAsia="Calibri"/>
        </w:rPr>
        <w:t xml:space="preserve">, with or without polyps. However, the extended applications of ESS include closure of CSF leaks, resection of </w:t>
      </w:r>
      <w:proofErr w:type="spellStart"/>
      <w:r w:rsidRPr="00780B8B">
        <w:rPr>
          <w:rFonts w:eastAsia="Calibri"/>
        </w:rPr>
        <w:t>sinonasal</w:t>
      </w:r>
      <w:proofErr w:type="spellEnd"/>
      <w:r w:rsidRPr="00780B8B">
        <w:rPr>
          <w:rFonts w:eastAsia="Calibri"/>
        </w:rPr>
        <w:t xml:space="preserve"> tumors, </w:t>
      </w:r>
      <w:proofErr w:type="spellStart"/>
      <w:r w:rsidRPr="00780B8B">
        <w:rPr>
          <w:rFonts w:eastAsia="Calibri"/>
        </w:rPr>
        <w:t>nasolacrimal</w:t>
      </w:r>
      <w:proofErr w:type="spellEnd"/>
      <w:r w:rsidRPr="00780B8B">
        <w:rPr>
          <w:rFonts w:eastAsia="Calibri"/>
        </w:rPr>
        <w:t xml:space="preserve"> duct surgery, orbital decompression, and a means of approach to the skull base and intracranial cavity [1]</w:t>
      </w:r>
      <w:r w:rsidRPr="00780B8B">
        <w:rPr>
          <w:rFonts w:eastAsia="Calibri"/>
          <w:b/>
          <w:i/>
        </w:rPr>
        <w:t>.</w:t>
      </w:r>
    </w:p>
    <w:p w:rsidR="007A4777" w:rsidRDefault="000F2DE9" w:rsidP="00EF21BF">
      <w:pPr>
        <w:snapToGrid w:val="0"/>
        <w:ind w:firstLine="425"/>
        <w:jc w:val="both"/>
        <w:rPr>
          <w:rFonts w:eastAsia="Calibri"/>
        </w:rPr>
      </w:pPr>
      <w:r w:rsidRPr="00780B8B">
        <w:rPr>
          <w:rFonts w:eastAsia="Calibri"/>
        </w:rPr>
        <w:t xml:space="preserve">However, despite numerous advances in surgical techniques and equipment, complications during the postoperative period remains obvious. Disappointing results can occur for a variety of reasons. Scarring can manifest in numerous ways, including </w:t>
      </w:r>
      <w:proofErr w:type="spellStart"/>
      <w:r w:rsidRPr="00780B8B">
        <w:rPr>
          <w:rFonts w:eastAsia="Calibri"/>
        </w:rPr>
        <w:t>stenosis</w:t>
      </w:r>
      <w:proofErr w:type="spellEnd"/>
      <w:r w:rsidRPr="00780B8B">
        <w:rPr>
          <w:rFonts w:eastAsia="Calibri"/>
        </w:rPr>
        <w:t xml:space="preserve"> of the sinus </w:t>
      </w:r>
      <w:proofErr w:type="spellStart"/>
      <w:r w:rsidRPr="00780B8B">
        <w:rPr>
          <w:rFonts w:eastAsia="Calibri"/>
        </w:rPr>
        <w:t>ostia</w:t>
      </w:r>
      <w:proofErr w:type="spellEnd"/>
      <w:r w:rsidRPr="00780B8B">
        <w:rPr>
          <w:rFonts w:eastAsia="Calibri"/>
        </w:rPr>
        <w:t xml:space="preserve"> or adhesions/</w:t>
      </w:r>
      <w:proofErr w:type="spellStart"/>
      <w:r w:rsidRPr="00780B8B">
        <w:rPr>
          <w:rFonts w:eastAsia="Calibri"/>
        </w:rPr>
        <w:t>synechiae</w:t>
      </w:r>
      <w:proofErr w:type="spellEnd"/>
      <w:r w:rsidRPr="00780B8B">
        <w:rPr>
          <w:rFonts w:eastAsia="Calibri"/>
        </w:rPr>
        <w:t xml:space="preserve"> with subsequent middle turbinate lateralization </w:t>
      </w:r>
      <w:r w:rsidRPr="00780B8B">
        <w:rPr>
          <w:rFonts w:eastAsia="Calibri"/>
          <w:b/>
          <w:i/>
        </w:rPr>
        <w:t>[2].</w:t>
      </w:r>
    </w:p>
    <w:p w:rsidR="007A4777" w:rsidRDefault="000F2DE9" w:rsidP="00EF21BF">
      <w:pPr>
        <w:snapToGrid w:val="0"/>
        <w:ind w:firstLine="425"/>
        <w:jc w:val="both"/>
        <w:rPr>
          <w:rFonts w:eastAsia="Calibri"/>
        </w:rPr>
      </w:pPr>
      <w:r w:rsidRPr="00780B8B">
        <w:rPr>
          <w:rFonts w:eastAsia="Calibri"/>
        </w:rPr>
        <w:t xml:space="preserve">The middle </w:t>
      </w:r>
      <w:proofErr w:type="spellStart"/>
      <w:r w:rsidRPr="00780B8B">
        <w:rPr>
          <w:rFonts w:eastAsia="Calibri"/>
        </w:rPr>
        <w:t>meatal</w:t>
      </w:r>
      <w:proofErr w:type="spellEnd"/>
      <w:r w:rsidRPr="00780B8B">
        <w:rPr>
          <w:rFonts w:eastAsia="Calibri"/>
        </w:rPr>
        <w:t xml:space="preserve"> packing post-ESS is common among sinus surgeons. A middle </w:t>
      </w:r>
      <w:proofErr w:type="spellStart"/>
      <w:r w:rsidRPr="00780B8B">
        <w:rPr>
          <w:rFonts w:eastAsia="Calibri"/>
        </w:rPr>
        <w:t>meatal</w:t>
      </w:r>
      <w:proofErr w:type="spellEnd"/>
      <w:r w:rsidRPr="00780B8B">
        <w:rPr>
          <w:rFonts w:eastAsia="Calibri"/>
        </w:rPr>
        <w:t xml:space="preserve"> pack promotes homeostasis and behaves as a stent to prevent middle turbinate lateralization and as a spacer to prevent blood or mucus accumulation in the cavity postoperatively. Packing may also prevent </w:t>
      </w:r>
      <w:proofErr w:type="spellStart"/>
      <w:r w:rsidRPr="00780B8B">
        <w:rPr>
          <w:rFonts w:eastAsia="Calibri"/>
        </w:rPr>
        <w:t>synechia</w:t>
      </w:r>
      <w:proofErr w:type="spellEnd"/>
      <w:r w:rsidRPr="00780B8B">
        <w:rPr>
          <w:rFonts w:eastAsia="Calibri"/>
        </w:rPr>
        <w:t xml:space="preserve"> development and reduce the risk of </w:t>
      </w:r>
      <w:proofErr w:type="spellStart"/>
      <w:r w:rsidRPr="00780B8B">
        <w:rPr>
          <w:rFonts w:eastAsia="Calibri"/>
        </w:rPr>
        <w:t>restenosis</w:t>
      </w:r>
      <w:proofErr w:type="spellEnd"/>
      <w:r w:rsidRPr="00780B8B">
        <w:rPr>
          <w:rFonts w:eastAsia="Calibri"/>
        </w:rPr>
        <w:t xml:space="preserve"> </w:t>
      </w:r>
      <w:r w:rsidRPr="00780B8B">
        <w:rPr>
          <w:rFonts w:eastAsia="Calibri"/>
          <w:b/>
          <w:i/>
        </w:rPr>
        <w:t>[3].</w:t>
      </w:r>
    </w:p>
    <w:p w:rsidR="007A4777" w:rsidRDefault="000F2DE9" w:rsidP="00EF21BF">
      <w:pPr>
        <w:snapToGrid w:val="0"/>
        <w:ind w:firstLine="425"/>
        <w:jc w:val="both"/>
        <w:rPr>
          <w:rFonts w:eastAsia="Calibri"/>
        </w:rPr>
      </w:pPr>
      <w:r w:rsidRPr="00780B8B">
        <w:rPr>
          <w:rFonts w:eastAsia="Calibri"/>
        </w:rPr>
        <w:lastRenderedPageBreak/>
        <w:t xml:space="preserve">The use of removable nasal packing is highly uncomfortable and induces local pain and pressure </w:t>
      </w:r>
      <w:r w:rsidRPr="00780B8B">
        <w:rPr>
          <w:rFonts w:eastAsia="Calibri"/>
          <w:b/>
          <w:i/>
        </w:rPr>
        <w:t>[4].</w:t>
      </w:r>
    </w:p>
    <w:p w:rsidR="007A4777" w:rsidRDefault="000F2DE9" w:rsidP="00EF21BF">
      <w:pPr>
        <w:snapToGrid w:val="0"/>
        <w:ind w:firstLine="425"/>
        <w:jc w:val="both"/>
        <w:rPr>
          <w:rFonts w:eastAsia="Calibri"/>
        </w:rPr>
      </w:pPr>
      <w:r w:rsidRPr="00780B8B">
        <w:rPr>
          <w:rFonts w:eastAsia="Calibri"/>
        </w:rPr>
        <w:t xml:space="preserve">The removal of nasal packing has been described as the most painful part of the whole treatment </w:t>
      </w:r>
      <w:r w:rsidRPr="00780B8B">
        <w:rPr>
          <w:rFonts w:eastAsia="Calibri"/>
          <w:b/>
          <w:i/>
        </w:rPr>
        <w:t>[5]</w:t>
      </w:r>
      <w:r w:rsidRPr="00780B8B">
        <w:rPr>
          <w:rFonts w:eastAsia="Calibri"/>
          <w:b/>
        </w:rPr>
        <w:t>.</w:t>
      </w:r>
    </w:p>
    <w:p w:rsidR="007A4777" w:rsidRDefault="000F2DE9" w:rsidP="00EF21BF">
      <w:pPr>
        <w:snapToGrid w:val="0"/>
        <w:ind w:firstLine="425"/>
        <w:jc w:val="both"/>
        <w:rPr>
          <w:rFonts w:eastAsia="Calibri"/>
        </w:rPr>
      </w:pPr>
      <w:r w:rsidRPr="00780B8B">
        <w:rPr>
          <w:rFonts w:eastAsia="Calibri"/>
        </w:rPr>
        <w:t xml:space="preserve">Therefore, there has been an increasing tendency to move away from removable nasal packing due to the discomfort and bleeding experienced on removal. The use of an absorbable packing material following ESS obviates some of the drawbacks of removable nasal packing. Due to their excellent haemostatic properties and superior patient comfort, a number of absorbable materials have been developed and are now routinely used after ESS </w:t>
      </w:r>
      <w:r w:rsidRPr="00780B8B">
        <w:rPr>
          <w:rFonts w:eastAsia="Calibri"/>
          <w:b/>
          <w:i/>
        </w:rPr>
        <w:t>[6].</w:t>
      </w:r>
    </w:p>
    <w:p w:rsidR="007A4777" w:rsidRDefault="000F2DE9" w:rsidP="00EF21BF">
      <w:pPr>
        <w:snapToGrid w:val="0"/>
        <w:ind w:firstLine="425"/>
        <w:jc w:val="both"/>
        <w:rPr>
          <w:rFonts w:eastAsia="Calibri"/>
        </w:rPr>
      </w:pPr>
      <w:r w:rsidRPr="00780B8B">
        <w:rPr>
          <w:rFonts w:eastAsia="Calibri"/>
        </w:rPr>
        <w:t xml:space="preserve">These materials differ substantially in their mechanisms of action, composition, method of delivery, clearance profile, and cost </w:t>
      </w:r>
      <w:r w:rsidRPr="00780B8B">
        <w:rPr>
          <w:rFonts w:eastAsia="Calibri"/>
          <w:b/>
          <w:i/>
        </w:rPr>
        <w:t>[7].</w:t>
      </w:r>
    </w:p>
    <w:p w:rsidR="007A4777" w:rsidRDefault="00FB728F" w:rsidP="00EF21BF">
      <w:pPr>
        <w:snapToGrid w:val="0"/>
        <w:jc w:val="both"/>
        <w:rPr>
          <w:rFonts w:eastAsia="Calibri"/>
        </w:rPr>
      </w:pPr>
      <w:r w:rsidRPr="00780B8B">
        <w:rPr>
          <w:rFonts w:eastAsia="Calibri"/>
          <w:b/>
        </w:rPr>
        <w:t>Aim of the Work</w:t>
      </w:r>
    </w:p>
    <w:p w:rsidR="007A4777" w:rsidRDefault="000F2DE9" w:rsidP="00EF21BF">
      <w:pPr>
        <w:snapToGrid w:val="0"/>
        <w:ind w:firstLine="425"/>
        <w:jc w:val="both"/>
        <w:rPr>
          <w:rFonts w:eastAsia="Calibri"/>
        </w:rPr>
      </w:pPr>
      <w:r w:rsidRPr="00780B8B">
        <w:rPr>
          <w:rFonts w:eastAsia="Calibri"/>
        </w:rPr>
        <w:t>The aim of this study is to compare different types of nasal packing and</w:t>
      </w:r>
      <w:r w:rsidR="00780B8B" w:rsidRPr="00780B8B">
        <w:rPr>
          <w:rFonts w:eastAsia="Calibri"/>
        </w:rPr>
        <w:t xml:space="preserve"> </w:t>
      </w:r>
      <w:r w:rsidRPr="00780B8B">
        <w:rPr>
          <w:rFonts w:eastAsia="Calibri"/>
        </w:rPr>
        <w:t>non-packing after endoscopic sinus surgery.</w:t>
      </w:r>
    </w:p>
    <w:p w:rsidR="007A4777" w:rsidRDefault="007A4777" w:rsidP="00EF21BF">
      <w:pPr>
        <w:snapToGrid w:val="0"/>
        <w:ind w:firstLine="425"/>
        <w:jc w:val="both"/>
      </w:pPr>
    </w:p>
    <w:p w:rsidR="007A4777" w:rsidRDefault="00FB728F" w:rsidP="00EF21BF">
      <w:pPr>
        <w:snapToGrid w:val="0"/>
        <w:jc w:val="both"/>
        <w:rPr>
          <w:rFonts w:eastAsia="Calibri"/>
        </w:rPr>
      </w:pPr>
      <w:r w:rsidRPr="00780B8B">
        <w:rPr>
          <w:rFonts w:eastAsia="Calibri"/>
          <w:b/>
        </w:rPr>
        <w:t>2. Patients and Methods</w:t>
      </w:r>
    </w:p>
    <w:p w:rsidR="007A4777" w:rsidRDefault="000F2DE9" w:rsidP="00EF21BF">
      <w:pPr>
        <w:snapToGrid w:val="0"/>
        <w:ind w:firstLine="425"/>
        <w:jc w:val="both"/>
        <w:rPr>
          <w:rFonts w:eastAsia="Calibri"/>
        </w:rPr>
      </w:pPr>
      <w:r w:rsidRPr="00780B8B">
        <w:rPr>
          <w:rFonts w:eastAsia="Calibri"/>
        </w:rPr>
        <w:t xml:space="preserve">In this study, forty patients with sinus pathology presented to police hospital, Nasr city. Patients </w:t>
      </w:r>
      <w:r w:rsidRPr="00780B8B">
        <w:rPr>
          <w:rFonts w:eastAsia="Calibri"/>
        </w:rPr>
        <w:lastRenderedPageBreak/>
        <w:t>presented during the period from September 2016 to April 2018, seeking for management for their problem. (40) patients that had been diagnosed before as chronic rhino-sinusitis according to history, symptoms and examination (naked eye and endoscopic) were randomly divided into (4) equal groups:</w:t>
      </w:r>
    </w:p>
    <w:p w:rsidR="007A4777" w:rsidRDefault="000F2DE9" w:rsidP="00EF21BF">
      <w:pPr>
        <w:snapToGrid w:val="0"/>
        <w:ind w:firstLine="425"/>
        <w:jc w:val="both"/>
        <w:rPr>
          <w:rFonts w:eastAsia="Calibri"/>
        </w:rPr>
      </w:pPr>
      <w:r w:rsidRPr="00780B8B">
        <w:t>▪</w:t>
      </w:r>
      <w:r w:rsidR="00780B8B" w:rsidRPr="00780B8B">
        <w:t xml:space="preserve"> </w:t>
      </w:r>
      <w:r w:rsidRPr="00780B8B">
        <w:rPr>
          <w:rFonts w:eastAsia="Calibri"/>
          <w:b/>
        </w:rPr>
        <w:t xml:space="preserve">Group (A): </w:t>
      </w:r>
      <w:r w:rsidRPr="00780B8B">
        <w:rPr>
          <w:rFonts w:eastAsia="Calibri"/>
        </w:rPr>
        <w:t>10 patients will not be packed</w:t>
      </w:r>
      <w:r w:rsidR="00780B8B" w:rsidRPr="00780B8B">
        <w:rPr>
          <w:rFonts w:eastAsia="Calibri"/>
        </w:rPr>
        <w:t>. (</w:t>
      </w:r>
      <w:r w:rsidRPr="00780B8B">
        <w:rPr>
          <w:rFonts w:eastAsia="Calibri"/>
        </w:rPr>
        <w:t>control group)</w:t>
      </w:r>
    </w:p>
    <w:p w:rsidR="007A4777" w:rsidRDefault="000F2DE9" w:rsidP="00EF21BF">
      <w:pPr>
        <w:snapToGrid w:val="0"/>
        <w:ind w:firstLine="425"/>
        <w:jc w:val="both"/>
        <w:rPr>
          <w:rFonts w:eastAsia="Calibri"/>
        </w:rPr>
      </w:pPr>
      <w:r w:rsidRPr="00780B8B">
        <w:t>▪</w:t>
      </w:r>
      <w:r w:rsidR="00780B8B" w:rsidRPr="00780B8B">
        <w:t xml:space="preserve"> </w:t>
      </w:r>
      <w:r w:rsidRPr="00780B8B">
        <w:rPr>
          <w:rFonts w:eastAsia="Calibri"/>
          <w:b/>
        </w:rPr>
        <w:t xml:space="preserve">Group (B): </w:t>
      </w:r>
      <w:r w:rsidRPr="00780B8B">
        <w:rPr>
          <w:rFonts w:eastAsia="Calibri"/>
        </w:rPr>
        <w:t>10 patients will be packed with non absorbable tampon.</w:t>
      </w:r>
    </w:p>
    <w:p w:rsidR="007A4777" w:rsidRDefault="000F2DE9" w:rsidP="00EF21BF">
      <w:pPr>
        <w:snapToGrid w:val="0"/>
        <w:ind w:firstLine="425"/>
        <w:jc w:val="both"/>
        <w:rPr>
          <w:rFonts w:eastAsia="Calibri"/>
        </w:rPr>
      </w:pPr>
      <w:r w:rsidRPr="00780B8B">
        <w:t>▪</w:t>
      </w:r>
      <w:r w:rsidR="00780B8B" w:rsidRPr="00780B8B">
        <w:t xml:space="preserve"> </w:t>
      </w:r>
      <w:r w:rsidRPr="00780B8B">
        <w:rPr>
          <w:rFonts w:eastAsia="Calibri"/>
          <w:b/>
        </w:rPr>
        <w:t xml:space="preserve">Group (C): </w:t>
      </w:r>
      <w:r w:rsidRPr="00780B8B">
        <w:rPr>
          <w:rFonts w:eastAsia="Calibri"/>
        </w:rPr>
        <w:t>10 patients will be packed with absorbable gel foam.</w:t>
      </w:r>
    </w:p>
    <w:p w:rsidR="007A4777" w:rsidRDefault="000F2DE9" w:rsidP="00EF21BF">
      <w:pPr>
        <w:snapToGrid w:val="0"/>
        <w:ind w:firstLine="425"/>
        <w:jc w:val="both"/>
        <w:rPr>
          <w:rFonts w:eastAsia="Calibri"/>
        </w:rPr>
      </w:pPr>
      <w:r w:rsidRPr="00780B8B">
        <w:t>▪</w:t>
      </w:r>
      <w:r w:rsidR="00780B8B" w:rsidRPr="00780B8B">
        <w:t xml:space="preserve"> </w:t>
      </w:r>
      <w:r w:rsidRPr="00780B8B">
        <w:rPr>
          <w:rFonts w:eastAsia="Calibri"/>
          <w:b/>
        </w:rPr>
        <w:t xml:space="preserve">Group (D): </w:t>
      </w:r>
      <w:r w:rsidRPr="00780B8B">
        <w:rPr>
          <w:rFonts w:eastAsia="Calibri"/>
        </w:rPr>
        <w:t xml:space="preserve">10 patients will be packed with absorbable </w:t>
      </w:r>
      <w:proofErr w:type="spellStart"/>
      <w:r w:rsidRPr="00780B8B">
        <w:rPr>
          <w:rFonts w:eastAsia="Calibri"/>
        </w:rPr>
        <w:t>nasopore</w:t>
      </w:r>
      <w:proofErr w:type="spellEnd"/>
      <w:r w:rsidRPr="00780B8B">
        <w:rPr>
          <w:rFonts w:eastAsia="Calibri"/>
        </w:rPr>
        <w:t>.</w:t>
      </w:r>
    </w:p>
    <w:p w:rsidR="007A4777" w:rsidRDefault="000F2DE9" w:rsidP="00EF21BF">
      <w:pPr>
        <w:snapToGrid w:val="0"/>
        <w:ind w:firstLine="425"/>
        <w:jc w:val="both"/>
        <w:rPr>
          <w:rFonts w:eastAsia="Calibri"/>
        </w:rPr>
      </w:pPr>
      <w:r w:rsidRPr="00780B8B">
        <w:rPr>
          <w:rFonts w:eastAsia="Calibri"/>
        </w:rPr>
        <w:t>Patients will be examined post-operatively for pain,</w:t>
      </w:r>
      <w:r w:rsidR="00780B8B" w:rsidRPr="00780B8B">
        <w:rPr>
          <w:rFonts w:eastAsia="Calibri"/>
        </w:rPr>
        <w:t xml:space="preserve"> </w:t>
      </w:r>
      <w:r w:rsidRPr="00780B8B">
        <w:rPr>
          <w:rFonts w:eastAsia="Calibri"/>
        </w:rPr>
        <w:t xml:space="preserve">bleeding, </w:t>
      </w:r>
      <w:proofErr w:type="spellStart"/>
      <w:r w:rsidRPr="00780B8B">
        <w:rPr>
          <w:rFonts w:eastAsia="Calibri"/>
        </w:rPr>
        <w:t>crustaion</w:t>
      </w:r>
      <w:proofErr w:type="spellEnd"/>
      <w:r w:rsidRPr="00780B8B">
        <w:rPr>
          <w:rFonts w:eastAsia="Calibri"/>
        </w:rPr>
        <w:t xml:space="preserve">, and </w:t>
      </w:r>
      <w:proofErr w:type="spellStart"/>
      <w:r w:rsidRPr="00780B8B">
        <w:rPr>
          <w:rFonts w:eastAsia="Calibri"/>
        </w:rPr>
        <w:t>synechia</w:t>
      </w:r>
      <w:proofErr w:type="spellEnd"/>
      <w:r w:rsidRPr="00780B8B">
        <w:rPr>
          <w:rFonts w:eastAsia="Calibri"/>
        </w:rPr>
        <w:t>.</w:t>
      </w:r>
    </w:p>
    <w:p w:rsidR="007A4777" w:rsidRDefault="000F2DE9" w:rsidP="00EF21BF">
      <w:pPr>
        <w:snapToGrid w:val="0"/>
        <w:jc w:val="both"/>
        <w:rPr>
          <w:rFonts w:eastAsia="Calibri"/>
          <w:iCs/>
        </w:rPr>
      </w:pPr>
      <w:r w:rsidRPr="00780B8B">
        <w:rPr>
          <w:rFonts w:eastAsia="Calibri"/>
          <w:b/>
          <w:iCs/>
        </w:rPr>
        <w:t>Inclusion criteria:</w:t>
      </w:r>
    </w:p>
    <w:p w:rsidR="007A4777" w:rsidRDefault="000F2DE9" w:rsidP="00EF21BF">
      <w:pPr>
        <w:snapToGrid w:val="0"/>
        <w:ind w:firstLine="425"/>
        <w:jc w:val="both"/>
        <w:rPr>
          <w:rFonts w:eastAsia="Calibri"/>
        </w:rPr>
      </w:pPr>
      <w:r w:rsidRPr="00780B8B">
        <w:rPr>
          <w:rFonts w:eastAsia="Calibri"/>
        </w:rPr>
        <w:t>1.</w:t>
      </w:r>
      <w:r w:rsidR="00780B8B" w:rsidRPr="00780B8B">
        <w:rPr>
          <w:rFonts w:eastAsia="Calibri"/>
        </w:rPr>
        <w:t xml:space="preserve"> </w:t>
      </w:r>
      <w:r w:rsidRPr="00780B8B">
        <w:rPr>
          <w:rFonts w:eastAsia="Calibri"/>
        </w:rPr>
        <w:t>Patients age between 18 and 55years old</w:t>
      </w:r>
    </w:p>
    <w:p w:rsidR="007A4777" w:rsidRDefault="000F2DE9" w:rsidP="00EF21BF">
      <w:pPr>
        <w:snapToGrid w:val="0"/>
        <w:ind w:firstLine="425"/>
        <w:jc w:val="both"/>
        <w:rPr>
          <w:rFonts w:eastAsia="Calibri"/>
        </w:rPr>
      </w:pPr>
      <w:r w:rsidRPr="00780B8B">
        <w:rPr>
          <w:rFonts w:eastAsia="Calibri"/>
        </w:rPr>
        <w:t>2.</w:t>
      </w:r>
      <w:r w:rsidR="00780B8B" w:rsidRPr="00780B8B">
        <w:rPr>
          <w:rFonts w:eastAsia="Calibri"/>
        </w:rPr>
        <w:t xml:space="preserve"> </w:t>
      </w:r>
      <w:r w:rsidRPr="00780B8B">
        <w:rPr>
          <w:rFonts w:eastAsia="Calibri"/>
        </w:rPr>
        <w:t xml:space="preserve">Chronic or recurrent acute </w:t>
      </w:r>
      <w:proofErr w:type="spellStart"/>
      <w:r w:rsidRPr="00780B8B">
        <w:rPr>
          <w:rFonts w:eastAsia="Calibri"/>
        </w:rPr>
        <w:t>rhinosinusitis</w:t>
      </w:r>
      <w:proofErr w:type="spellEnd"/>
      <w:r w:rsidRPr="00780B8B">
        <w:rPr>
          <w:rFonts w:eastAsia="Calibri"/>
        </w:rPr>
        <w:t xml:space="preserve"> in patients candidate for surgery.</w:t>
      </w:r>
    </w:p>
    <w:p w:rsidR="007A4777" w:rsidRDefault="000F2DE9" w:rsidP="00EF21BF">
      <w:pPr>
        <w:snapToGrid w:val="0"/>
        <w:ind w:firstLine="425"/>
        <w:jc w:val="both"/>
        <w:rPr>
          <w:rFonts w:eastAsia="Calibri"/>
        </w:rPr>
      </w:pPr>
      <w:r w:rsidRPr="00780B8B">
        <w:rPr>
          <w:rFonts w:eastAsia="Calibri"/>
        </w:rPr>
        <w:t>3.</w:t>
      </w:r>
      <w:r w:rsidR="00780B8B" w:rsidRPr="00780B8B">
        <w:rPr>
          <w:rFonts w:eastAsia="Calibri"/>
        </w:rPr>
        <w:t xml:space="preserve"> </w:t>
      </w:r>
      <w:proofErr w:type="spellStart"/>
      <w:r w:rsidRPr="00780B8B">
        <w:rPr>
          <w:rFonts w:eastAsia="Calibri"/>
        </w:rPr>
        <w:t>Sinonasal</w:t>
      </w:r>
      <w:proofErr w:type="spellEnd"/>
      <w:r w:rsidRPr="00780B8B">
        <w:rPr>
          <w:rFonts w:eastAsia="Calibri"/>
        </w:rPr>
        <w:t xml:space="preserve"> </w:t>
      </w:r>
      <w:proofErr w:type="spellStart"/>
      <w:r w:rsidRPr="00780B8B">
        <w:rPr>
          <w:rFonts w:eastAsia="Calibri"/>
        </w:rPr>
        <w:t>polyposis</w:t>
      </w:r>
      <w:proofErr w:type="spellEnd"/>
      <w:r w:rsidRPr="00780B8B">
        <w:rPr>
          <w:rFonts w:eastAsia="Calibri"/>
        </w:rPr>
        <w:t xml:space="preserve"> with </w:t>
      </w:r>
      <w:proofErr w:type="spellStart"/>
      <w:r w:rsidRPr="00780B8B">
        <w:rPr>
          <w:rFonts w:eastAsia="Calibri"/>
        </w:rPr>
        <w:t>radiologically</w:t>
      </w:r>
      <w:proofErr w:type="spellEnd"/>
      <w:r w:rsidRPr="00780B8B">
        <w:rPr>
          <w:rFonts w:eastAsia="Calibri"/>
        </w:rPr>
        <w:t xml:space="preserve"> preserved middle turbinate.</w:t>
      </w:r>
    </w:p>
    <w:p w:rsidR="007A4777" w:rsidRDefault="000F2DE9" w:rsidP="00EF21BF">
      <w:pPr>
        <w:snapToGrid w:val="0"/>
        <w:jc w:val="both"/>
        <w:rPr>
          <w:rFonts w:eastAsia="Calibri"/>
          <w:iCs/>
        </w:rPr>
      </w:pPr>
      <w:r w:rsidRPr="00780B8B">
        <w:rPr>
          <w:rFonts w:eastAsia="Calibri"/>
          <w:b/>
          <w:iCs/>
        </w:rPr>
        <w:t>Exclusion criteria:</w:t>
      </w:r>
    </w:p>
    <w:p w:rsidR="007A4777" w:rsidRDefault="000F2DE9" w:rsidP="00EF21BF">
      <w:pPr>
        <w:snapToGrid w:val="0"/>
        <w:ind w:firstLine="425"/>
        <w:jc w:val="both"/>
        <w:rPr>
          <w:rFonts w:eastAsia="Calibri"/>
        </w:rPr>
      </w:pPr>
      <w:r w:rsidRPr="00780B8B">
        <w:rPr>
          <w:rFonts w:eastAsia="Calibri"/>
        </w:rPr>
        <w:t>1. Patients with complicated chronic diseases e.g. DM, hypertension, liver disease.</w:t>
      </w:r>
    </w:p>
    <w:p w:rsidR="007A4777" w:rsidRDefault="000F2DE9" w:rsidP="00EF21BF">
      <w:pPr>
        <w:snapToGrid w:val="0"/>
        <w:ind w:firstLine="425"/>
        <w:jc w:val="both"/>
        <w:rPr>
          <w:rFonts w:eastAsia="Calibri"/>
        </w:rPr>
      </w:pPr>
      <w:r w:rsidRPr="00780B8B">
        <w:rPr>
          <w:rFonts w:eastAsia="Calibri"/>
        </w:rPr>
        <w:t>2. Recurrent cases.</w:t>
      </w:r>
    </w:p>
    <w:p w:rsidR="007A4777" w:rsidRDefault="000F2DE9" w:rsidP="00EF21BF">
      <w:pPr>
        <w:snapToGrid w:val="0"/>
        <w:ind w:firstLine="425"/>
        <w:jc w:val="both"/>
        <w:rPr>
          <w:rFonts w:eastAsia="Calibri"/>
        </w:rPr>
      </w:pPr>
      <w:r w:rsidRPr="00780B8B">
        <w:rPr>
          <w:rFonts w:eastAsia="Calibri"/>
        </w:rPr>
        <w:t>3. Patient complicated during surgery by flail middle turbinate.</w:t>
      </w:r>
    </w:p>
    <w:p w:rsidR="007A4777" w:rsidRDefault="000F2DE9" w:rsidP="00EF21BF">
      <w:pPr>
        <w:snapToGrid w:val="0"/>
        <w:ind w:firstLine="425"/>
        <w:jc w:val="both"/>
        <w:rPr>
          <w:rFonts w:eastAsia="Calibri"/>
        </w:rPr>
      </w:pPr>
      <w:r w:rsidRPr="00780B8B">
        <w:rPr>
          <w:rFonts w:eastAsia="Calibri"/>
        </w:rPr>
        <w:t>4. Infants, children, uncooperative or neurotic patients.</w:t>
      </w:r>
    </w:p>
    <w:p w:rsidR="007A4777" w:rsidRDefault="000F2DE9" w:rsidP="00EF21BF">
      <w:pPr>
        <w:snapToGrid w:val="0"/>
        <w:ind w:firstLine="425"/>
        <w:jc w:val="both"/>
        <w:rPr>
          <w:rFonts w:eastAsia="Calibri"/>
        </w:rPr>
      </w:pPr>
      <w:r w:rsidRPr="00780B8B">
        <w:rPr>
          <w:rFonts w:eastAsia="Calibri"/>
        </w:rPr>
        <w:t>5. Marked DNS.</w:t>
      </w:r>
    </w:p>
    <w:p w:rsidR="007A4777" w:rsidRDefault="000F2DE9" w:rsidP="00EF21BF">
      <w:pPr>
        <w:snapToGrid w:val="0"/>
        <w:jc w:val="both"/>
        <w:rPr>
          <w:rFonts w:eastAsia="Calibri"/>
        </w:rPr>
      </w:pPr>
      <w:r w:rsidRPr="00780B8B">
        <w:rPr>
          <w:rFonts w:eastAsia="Calibri"/>
          <w:b/>
        </w:rPr>
        <w:t>Preoperative preparation:</w:t>
      </w:r>
    </w:p>
    <w:p w:rsidR="007A4777" w:rsidRDefault="000F2DE9" w:rsidP="00EF21BF">
      <w:pPr>
        <w:snapToGrid w:val="0"/>
        <w:jc w:val="both"/>
        <w:rPr>
          <w:rFonts w:eastAsia="Calibri"/>
        </w:rPr>
      </w:pPr>
      <w:r w:rsidRPr="00780B8B">
        <w:rPr>
          <w:rFonts w:eastAsia="Calibri"/>
          <w:b/>
        </w:rPr>
        <w:t>Preoperative diagnosis was established by</w:t>
      </w:r>
    </w:p>
    <w:p w:rsidR="007A4777" w:rsidRDefault="000F2DE9" w:rsidP="00EF21BF">
      <w:pPr>
        <w:pStyle w:val="ListParagraph"/>
        <w:numPr>
          <w:ilvl w:val="0"/>
          <w:numId w:val="2"/>
        </w:numPr>
        <w:snapToGrid w:val="0"/>
        <w:ind w:left="0" w:firstLine="425"/>
        <w:jc w:val="both"/>
        <w:rPr>
          <w:rFonts w:eastAsia="Calibri"/>
        </w:rPr>
      </w:pPr>
      <w:r w:rsidRPr="00780B8B">
        <w:rPr>
          <w:rFonts w:eastAsia="Calibri"/>
        </w:rPr>
        <w:t xml:space="preserve">Clinical history, nasal endoscopy, and computed tomography (CT) of </w:t>
      </w:r>
      <w:proofErr w:type="spellStart"/>
      <w:r w:rsidRPr="00780B8B">
        <w:rPr>
          <w:rFonts w:eastAsia="Calibri"/>
        </w:rPr>
        <w:t>paranasal</w:t>
      </w:r>
      <w:proofErr w:type="spellEnd"/>
      <w:r w:rsidRPr="00780B8B">
        <w:rPr>
          <w:rFonts w:eastAsia="Calibri"/>
        </w:rPr>
        <w:t xml:space="preserve"> sinuses.</w:t>
      </w:r>
    </w:p>
    <w:p w:rsidR="007A4777" w:rsidRDefault="000F2DE9" w:rsidP="00EF21BF">
      <w:pPr>
        <w:pStyle w:val="ListParagraph"/>
        <w:numPr>
          <w:ilvl w:val="0"/>
          <w:numId w:val="2"/>
        </w:numPr>
        <w:snapToGrid w:val="0"/>
        <w:ind w:left="0" w:firstLine="425"/>
        <w:jc w:val="both"/>
        <w:rPr>
          <w:rFonts w:eastAsia="Calibri"/>
        </w:rPr>
      </w:pPr>
      <w:r w:rsidRPr="00780B8B">
        <w:rPr>
          <w:rFonts w:eastAsia="Calibri"/>
        </w:rPr>
        <w:t>A written informed consent for the surgery was obtained from all patients.</w:t>
      </w:r>
    </w:p>
    <w:p w:rsidR="007A4777" w:rsidRDefault="000F2DE9" w:rsidP="00EF21BF">
      <w:pPr>
        <w:pStyle w:val="ListParagraph"/>
        <w:numPr>
          <w:ilvl w:val="0"/>
          <w:numId w:val="2"/>
        </w:numPr>
        <w:snapToGrid w:val="0"/>
        <w:ind w:left="0" w:firstLine="425"/>
        <w:jc w:val="both"/>
        <w:rPr>
          <w:rFonts w:eastAsia="Calibri"/>
        </w:rPr>
      </w:pPr>
      <w:r w:rsidRPr="00780B8B">
        <w:rPr>
          <w:rFonts w:eastAsia="Calibri"/>
        </w:rPr>
        <w:t>Preoperatively, the 40 patients had their nasal cavities randomized by a closed envelope system to determine which type of pack related to the patient. Patients were under general anesthesia during the placement of the nasal pack and therefore blinded to the site where the spacer was inserted.</w:t>
      </w:r>
    </w:p>
    <w:p w:rsidR="007A4777" w:rsidRDefault="000F2DE9" w:rsidP="00EF21BF">
      <w:pPr>
        <w:snapToGrid w:val="0"/>
        <w:jc w:val="both"/>
        <w:rPr>
          <w:rFonts w:eastAsia="Calibri"/>
        </w:rPr>
      </w:pPr>
      <w:r w:rsidRPr="00780B8B">
        <w:rPr>
          <w:rFonts w:eastAsia="Calibri"/>
          <w:b/>
        </w:rPr>
        <w:t>Operative Procedure:</w:t>
      </w:r>
    </w:p>
    <w:p w:rsidR="007A4777" w:rsidRDefault="000F2DE9" w:rsidP="00EF21BF">
      <w:pPr>
        <w:snapToGrid w:val="0"/>
        <w:ind w:firstLine="425"/>
        <w:jc w:val="both"/>
        <w:rPr>
          <w:rFonts w:eastAsia="Calibri"/>
        </w:rPr>
      </w:pPr>
      <w:r w:rsidRPr="00780B8B">
        <w:rPr>
          <w:rFonts w:eastAsia="Calibri"/>
        </w:rPr>
        <w:t xml:space="preserve">Surgical procedures were performed under general anesthesia for all patients; nasal packs soaked with Adrenaline with concentration 1:10,000 were used for homeostasis. FESS was then performed with the sinuses addressed using conventional techniques. </w:t>
      </w:r>
      <w:r w:rsidRPr="00780B8B">
        <w:rPr>
          <w:rFonts w:eastAsia="Calibri"/>
        </w:rPr>
        <w:lastRenderedPageBreak/>
        <w:t xml:space="preserve">At the end of the procedure, each group would be packed with its type of nasal packing which was cut according to the size of the middle </w:t>
      </w:r>
      <w:proofErr w:type="spellStart"/>
      <w:r w:rsidRPr="00780B8B">
        <w:rPr>
          <w:rFonts w:eastAsia="Calibri"/>
        </w:rPr>
        <w:t>meatus</w:t>
      </w:r>
      <w:proofErr w:type="spellEnd"/>
      <w:r w:rsidRPr="00780B8B">
        <w:rPr>
          <w:rFonts w:eastAsia="Calibri"/>
        </w:rPr>
        <w:t xml:space="preserve"> and placed between the middle turbinate and the lateral nasal wall. In the control group, the cavity was left with no pack according to a randomized assignment.</w:t>
      </w:r>
    </w:p>
    <w:p w:rsidR="007A4777" w:rsidRDefault="000F2DE9" w:rsidP="00EF21BF">
      <w:pPr>
        <w:snapToGrid w:val="0"/>
        <w:jc w:val="both"/>
        <w:rPr>
          <w:rFonts w:eastAsia="Calibri"/>
        </w:rPr>
      </w:pPr>
      <w:r w:rsidRPr="00780B8B">
        <w:rPr>
          <w:rFonts w:eastAsia="Calibri"/>
          <w:b/>
        </w:rPr>
        <w:t>Postoperative</w:t>
      </w:r>
    </w:p>
    <w:p w:rsidR="007A4777" w:rsidRDefault="000F2DE9" w:rsidP="00EF21BF">
      <w:pPr>
        <w:snapToGrid w:val="0"/>
        <w:jc w:val="both"/>
        <w:rPr>
          <w:rFonts w:eastAsia="Calibri"/>
          <w:iCs/>
        </w:rPr>
      </w:pPr>
      <w:r w:rsidRPr="00780B8B">
        <w:rPr>
          <w:rFonts w:eastAsia="Calibri"/>
          <w:b/>
          <w:iCs/>
        </w:rPr>
        <w:t>All patients were given the same medical treatment in the form of:</w:t>
      </w:r>
    </w:p>
    <w:p w:rsidR="007A4777" w:rsidRDefault="000F2DE9" w:rsidP="00EF21BF">
      <w:pPr>
        <w:pStyle w:val="ListParagraph"/>
        <w:numPr>
          <w:ilvl w:val="0"/>
          <w:numId w:val="5"/>
        </w:numPr>
        <w:snapToGrid w:val="0"/>
        <w:ind w:left="0" w:firstLine="425"/>
        <w:jc w:val="both"/>
        <w:rPr>
          <w:rFonts w:eastAsia="Calibri"/>
        </w:rPr>
      </w:pPr>
      <w:r w:rsidRPr="00780B8B">
        <w:rPr>
          <w:rFonts w:eastAsia="Calibri"/>
        </w:rPr>
        <w:t>Oral Amoxicillin-</w:t>
      </w:r>
      <w:proofErr w:type="spellStart"/>
      <w:r w:rsidRPr="00780B8B">
        <w:rPr>
          <w:rFonts w:eastAsia="Calibri"/>
        </w:rPr>
        <w:t>clavulanic</w:t>
      </w:r>
      <w:proofErr w:type="spellEnd"/>
      <w:r w:rsidRPr="00780B8B">
        <w:rPr>
          <w:rFonts w:eastAsia="Calibri"/>
        </w:rPr>
        <w:t xml:space="preserve"> acid for 10 days.</w:t>
      </w:r>
    </w:p>
    <w:p w:rsidR="007A4777" w:rsidRDefault="000F2DE9" w:rsidP="00EF21BF">
      <w:pPr>
        <w:pStyle w:val="ListParagraph"/>
        <w:numPr>
          <w:ilvl w:val="0"/>
          <w:numId w:val="5"/>
        </w:numPr>
        <w:snapToGrid w:val="0"/>
        <w:ind w:left="0" w:firstLine="425"/>
        <w:jc w:val="both"/>
        <w:rPr>
          <w:rFonts w:eastAsia="Calibri"/>
        </w:rPr>
      </w:pPr>
      <w:r w:rsidRPr="00780B8B">
        <w:rPr>
          <w:rFonts w:eastAsia="Calibri"/>
        </w:rPr>
        <w:t xml:space="preserve">Oral </w:t>
      </w:r>
      <w:proofErr w:type="spellStart"/>
      <w:r w:rsidRPr="00780B8B">
        <w:rPr>
          <w:rFonts w:eastAsia="Calibri"/>
        </w:rPr>
        <w:t>macrolides</w:t>
      </w:r>
      <w:proofErr w:type="spellEnd"/>
      <w:r w:rsidRPr="00780B8B">
        <w:rPr>
          <w:rFonts w:eastAsia="Calibri"/>
        </w:rPr>
        <w:t xml:space="preserve"> were used in cases of amoxicillin allergy.</w:t>
      </w:r>
    </w:p>
    <w:p w:rsidR="007A4777" w:rsidRDefault="000F2DE9" w:rsidP="00EF21BF">
      <w:pPr>
        <w:pStyle w:val="ListParagraph"/>
        <w:numPr>
          <w:ilvl w:val="0"/>
          <w:numId w:val="5"/>
        </w:numPr>
        <w:snapToGrid w:val="0"/>
        <w:ind w:left="0" w:firstLine="425"/>
        <w:jc w:val="both"/>
        <w:rPr>
          <w:rFonts w:eastAsia="Calibri"/>
        </w:rPr>
      </w:pPr>
      <w:r w:rsidRPr="00780B8B">
        <w:rPr>
          <w:rFonts w:eastAsia="Calibri"/>
        </w:rPr>
        <w:t xml:space="preserve">Oral </w:t>
      </w:r>
      <w:proofErr w:type="spellStart"/>
      <w:r w:rsidRPr="00780B8B">
        <w:rPr>
          <w:rFonts w:eastAsia="Calibri"/>
        </w:rPr>
        <w:t>Acetamenophin</w:t>
      </w:r>
      <w:proofErr w:type="spellEnd"/>
      <w:r w:rsidRPr="00780B8B">
        <w:rPr>
          <w:rFonts w:eastAsia="Calibri"/>
        </w:rPr>
        <w:t xml:space="preserve"> for 5 days.</w:t>
      </w:r>
    </w:p>
    <w:p w:rsidR="007A4777" w:rsidRDefault="000F2DE9" w:rsidP="00EF21BF">
      <w:pPr>
        <w:pStyle w:val="ListParagraph"/>
        <w:numPr>
          <w:ilvl w:val="0"/>
          <w:numId w:val="5"/>
        </w:numPr>
        <w:snapToGrid w:val="0"/>
        <w:ind w:left="0" w:firstLine="425"/>
        <w:jc w:val="both"/>
        <w:rPr>
          <w:rFonts w:eastAsia="Calibri"/>
        </w:rPr>
      </w:pPr>
      <w:r w:rsidRPr="00780B8B">
        <w:rPr>
          <w:rFonts w:eastAsia="Calibri"/>
        </w:rPr>
        <w:t xml:space="preserve">Local nasal decongestant; </w:t>
      </w:r>
      <w:proofErr w:type="spellStart"/>
      <w:r w:rsidRPr="00780B8B">
        <w:rPr>
          <w:rFonts w:eastAsia="Calibri"/>
        </w:rPr>
        <w:t>Xylometazoline</w:t>
      </w:r>
      <w:proofErr w:type="spellEnd"/>
      <w:r w:rsidRPr="00780B8B">
        <w:rPr>
          <w:rFonts w:eastAsia="Calibri"/>
        </w:rPr>
        <w:t xml:space="preserve"> 0.5 mg/ml for 5 days.</w:t>
      </w:r>
    </w:p>
    <w:p w:rsidR="007A4777" w:rsidRDefault="000F2DE9" w:rsidP="00EF21BF">
      <w:pPr>
        <w:pStyle w:val="ListParagraph"/>
        <w:numPr>
          <w:ilvl w:val="0"/>
          <w:numId w:val="5"/>
        </w:numPr>
        <w:snapToGrid w:val="0"/>
        <w:ind w:left="0" w:firstLine="425"/>
        <w:jc w:val="both"/>
        <w:rPr>
          <w:rFonts w:eastAsia="Calibri"/>
        </w:rPr>
      </w:pPr>
      <w:r w:rsidRPr="00780B8B">
        <w:rPr>
          <w:rFonts w:eastAsia="Calibri"/>
        </w:rPr>
        <w:t>Nasal packs were removed 48 hours after the operation.</w:t>
      </w:r>
    </w:p>
    <w:p w:rsidR="007A4777" w:rsidRDefault="000F2DE9" w:rsidP="00EF21BF">
      <w:pPr>
        <w:pStyle w:val="ListParagraph"/>
        <w:numPr>
          <w:ilvl w:val="0"/>
          <w:numId w:val="5"/>
        </w:numPr>
        <w:snapToGrid w:val="0"/>
        <w:ind w:left="0" w:firstLine="425"/>
        <w:jc w:val="both"/>
        <w:rPr>
          <w:rFonts w:eastAsia="Calibri"/>
        </w:rPr>
      </w:pPr>
      <w:r w:rsidRPr="00780B8B">
        <w:rPr>
          <w:rFonts w:eastAsia="Calibri"/>
        </w:rPr>
        <w:t>All the patients were discharged 2 days after surgery.</w:t>
      </w:r>
    </w:p>
    <w:p w:rsidR="007A4777" w:rsidRDefault="000F2DE9" w:rsidP="00EF21BF">
      <w:pPr>
        <w:pStyle w:val="ListParagraph"/>
        <w:numPr>
          <w:ilvl w:val="0"/>
          <w:numId w:val="4"/>
        </w:numPr>
        <w:snapToGrid w:val="0"/>
        <w:ind w:left="0" w:firstLine="425"/>
        <w:jc w:val="both"/>
        <w:rPr>
          <w:rFonts w:eastAsia="Calibri"/>
        </w:rPr>
      </w:pPr>
      <w:r w:rsidRPr="00780B8B">
        <w:rPr>
          <w:rFonts w:eastAsia="Calibri"/>
        </w:rPr>
        <w:t>Patients were instructed to perform a nasal irrigation using normal saline three times per day after removal of the packs.</w:t>
      </w:r>
    </w:p>
    <w:p w:rsidR="007A4777" w:rsidRDefault="000F2DE9" w:rsidP="00EF21BF">
      <w:pPr>
        <w:tabs>
          <w:tab w:val="left" w:pos="460"/>
        </w:tabs>
        <w:snapToGrid w:val="0"/>
        <w:ind w:firstLine="425"/>
        <w:jc w:val="both"/>
        <w:rPr>
          <w:rFonts w:eastAsia="Calibri"/>
        </w:rPr>
      </w:pPr>
      <w:r w:rsidRPr="00780B8B">
        <w:t>▪</w:t>
      </w:r>
      <w:r w:rsidRPr="00780B8B">
        <w:tab/>
      </w:r>
      <w:r w:rsidRPr="00780B8B">
        <w:rPr>
          <w:rFonts w:eastAsia="Calibri"/>
        </w:rPr>
        <w:t>All patients applied steroid nasal spray in each nostril twice daily following</w:t>
      </w:r>
      <w:r w:rsidR="00780B8B" w:rsidRPr="00780B8B">
        <w:rPr>
          <w:rFonts w:eastAsia="Calibri"/>
        </w:rPr>
        <w:t xml:space="preserve"> </w:t>
      </w:r>
      <w:r w:rsidRPr="00780B8B">
        <w:rPr>
          <w:rFonts w:eastAsia="Calibri"/>
        </w:rPr>
        <w:t>the nasal irrigation 1 week post-operatively.</w:t>
      </w:r>
    </w:p>
    <w:p w:rsidR="007A4777" w:rsidRDefault="000F2DE9" w:rsidP="00EF21BF">
      <w:pPr>
        <w:snapToGrid w:val="0"/>
        <w:ind w:firstLine="425"/>
        <w:jc w:val="both"/>
        <w:rPr>
          <w:rFonts w:eastAsia="Calibri"/>
        </w:rPr>
      </w:pPr>
      <w:r w:rsidRPr="00780B8B">
        <w:t>•</w:t>
      </w:r>
      <w:r w:rsidR="00780B8B" w:rsidRPr="00780B8B">
        <w:t xml:space="preserve"> </w:t>
      </w:r>
      <w:r w:rsidRPr="00780B8B">
        <w:rPr>
          <w:rFonts w:eastAsia="Calibri"/>
          <w:b/>
        </w:rPr>
        <w:t>Post-operative assessment:</w:t>
      </w:r>
    </w:p>
    <w:p w:rsidR="007A4777" w:rsidRDefault="000F2DE9" w:rsidP="00EF21BF">
      <w:pPr>
        <w:snapToGrid w:val="0"/>
        <w:ind w:firstLine="425"/>
        <w:jc w:val="both"/>
        <w:rPr>
          <w:rFonts w:eastAsia="Calibri"/>
        </w:rPr>
      </w:pPr>
      <w:r w:rsidRPr="00780B8B">
        <w:rPr>
          <w:rFonts w:eastAsia="Calibri"/>
        </w:rPr>
        <w:t>Clinical follow-up visits were performed 2, 4, 8, and 12 weeks after surgery, the assessment was focused on comparing groups with pack (absorbable and non absorbable) and the other group with no pack.</w:t>
      </w:r>
    </w:p>
    <w:p w:rsidR="007A4777" w:rsidRDefault="000F2DE9" w:rsidP="00EF21BF">
      <w:pPr>
        <w:snapToGrid w:val="0"/>
        <w:ind w:firstLine="425"/>
        <w:jc w:val="both"/>
        <w:rPr>
          <w:rFonts w:eastAsia="Calibri"/>
        </w:rPr>
      </w:pPr>
      <w:r w:rsidRPr="00780B8B">
        <w:rPr>
          <w:rFonts w:eastAsia="Calibri"/>
        </w:rPr>
        <w:t>In</w:t>
      </w:r>
      <w:r w:rsidR="00780B8B" w:rsidRPr="00780B8B">
        <w:rPr>
          <w:rFonts w:eastAsia="Calibri"/>
        </w:rPr>
        <w:t xml:space="preserve"> </w:t>
      </w:r>
      <w:r w:rsidRPr="00780B8B">
        <w:rPr>
          <w:rFonts w:eastAsia="Calibri"/>
        </w:rPr>
        <w:t>the</w:t>
      </w:r>
      <w:r w:rsidR="00780B8B" w:rsidRPr="00780B8B">
        <w:rPr>
          <w:rFonts w:eastAsia="Calibri"/>
        </w:rPr>
        <w:t xml:space="preserve"> </w:t>
      </w:r>
      <w:r w:rsidRPr="00780B8B">
        <w:rPr>
          <w:rFonts w:eastAsia="Calibri"/>
        </w:rPr>
        <w:t>first</w:t>
      </w:r>
      <w:r w:rsidR="00780B8B" w:rsidRPr="00780B8B">
        <w:rPr>
          <w:rFonts w:eastAsia="Calibri"/>
        </w:rPr>
        <w:t xml:space="preserve"> </w:t>
      </w:r>
      <w:r w:rsidRPr="00780B8B">
        <w:rPr>
          <w:rFonts w:eastAsia="Calibri"/>
        </w:rPr>
        <w:t>visit,</w:t>
      </w:r>
      <w:r w:rsidR="00780B8B" w:rsidRPr="00780B8B">
        <w:rPr>
          <w:rFonts w:eastAsia="Calibri"/>
        </w:rPr>
        <w:t xml:space="preserve"> </w:t>
      </w:r>
      <w:r w:rsidRPr="00780B8B">
        <w:rPr>
          <w:rFonts w:eastAsia="Calibri"/>
        </w:rPr>
        <w:t>Patients</w:t>
      </w:r>
      <w:r w:rsidR="00780B8B" w:rsidRPr="00780B8B">
        <w:rPr>
          <w:rFonts w:eastAsia="Calibri"/>
        </w:rPr>
        <w:t xml:space="preserve"> </w:t>
      </w:r>
      <w:r w:rsidRPr="00780B8B">
        <w:rPr>
          <w:rFonts w:eastAsia="Calibri"/>
        </w:rPr>
        <w:t>were</w:t>
      </w:r>
      <w:r w:rsidR="00780B8B" w:rsidRPr="00780B8B">
        <w:rPr>
          <w:rFonts w:eastAsia="Calibri"/>
        </w:rPr>
        <w:t xml:space="preserve"> </w:t>
      </w:r>
      <w:r w:rsidRPr="00780B8B">
        <w:rPr>
          <w:rFonts w:eastAsia="Calibri"/>
        </w:rPr>
        <w:t>asked to</w:t>
      </w:r>
      <w:r w:rsidR="00780B8B" w:rsidRPr="00780B8B">
        <w:rPr>
          <w:rFonts w:eastAsia="Calibri"/>
        </w:rPr>
        <w:t xml:space="preserve"> </w:t>
      </w:r>
      <w:r w:rsidRPr="00780B8B">
        <w:rPr>
          <w:rFonts w:eastAsia="Calibri"/>
        </w:rPr>
        <w:t>complete</w:t>
      </w:r>
      <w:r w:rsidR="00780B8B" w:rsidRPr="00780B8B">
        <w:rPr>
          <w:rFonts w:eastAsia="Calibri"/>
        </w:rPr>
        <w:t xml:space="preserve"> </w:t>
      </w:r>
      <w:r w:rsidRPr="00780B8B">
        <w:rPr>
          <w:rFonts w:eastAsia="Calibri"/>
        </w:rPr>
        <w:t>a</w:t>
      </w:r>
      <w:r w:rsidR="00780B8B" w:rsidRPr="00780B8B">
        <w:rPr>
          <w:rFonts w:eastAsia="Calibri"/>
        </w:rPr>
        <w:t xml:space="preserve"> </w:t>
      </w:r>
      <w:r w:rsidRPr="00780B8B">
        <w:rPr>
          <w:rFonts w:eastAsia="Calibri"/>
        </w:rPr>
        <w:t>questionnaire</w:t>
      </w:r>
      <w:r w:rsidR="00780B8B" w:rsidRPr="00780B8B">
        <w:rPr>
          <w:rFonts w:eastAsia="Calibri"/>
        </w:rPr>
        <w:t xml:space="preserve"> </w:t>
      </w:r>
      <w:r w:rsidRPr="00780B8B">
        <w:rPr>
          <w:rFonts w:eastAsia="Calibri"/>
        </w:rPr>
        <w:t>in</w:t>
      </w:r>
      <w:r w:rsidR="00780B8B" w:rsidRPr="00780B8B">
        <w:rPr>
          <w:rFonts w:eastAsia="Calibri"/>
        </w:rPr>
        <w:t xml:space="preserve"> </w:t>
      </w:r>
      <w:r w:rsidRPr="00780B8B">
        <w:rPr>
          <w:rFonts w:eastAsia="Calibri"/>
        </w:rPr>
        <w:t>their</w:t>
      </w:r>
      <w:r w:rsidR="00780B8B" w:rsidRPr="00780B8B">
        <w:rPr>
          <w:rFonts w:eastAsia="Calibri"/>
        </w:rPr>
        <w:t xml:space="preserve"> </w:t>
      </w:r>
      <w:r w:rsidRPr="00780B8B">
        <w:rPr>
          <w:rFonts w:eastAsia="Calibri"/>
        </w:rPr>
        <w:t xml:space="preserve">first postoperative visit; this questionnaire was related to their subjective assessment of four criteria: pain, nasal blockage, nasal </w:t>
      </w:r>
      <w:proofErr w:type="spellStart"/>
      <w:r w:rsidRPr="00780B8B">
        <w:rPr>
          <w:rFonts w:eastAsia="Calibri"/>
        </w:rPr>
        <w:t>crustations</w:t>
      </w:r>
      <w:proofErr w:type="spellEnd"/>
      <w:r w:rsidRPr="00780B8B">
        <w:rPr>
          <w:rFonts w:eastAsia="Calibri"/>
        </w:rPr>
        <w:t xml:space="preserve"> and bleeding. For each of these criteria, and for each side, the patients were asked to give a score: 0 (no symptom), 1 (mild symptom),</w:t>
      </w:r>
      <w:r w:rsidR="007A4777">
        <w:rPr>
          <w:rFonts w:hint="eastAsia"/>
          <w:lang w:eastAsia="zh-CN"/>
        </w:rPr>
        <w:t xml:space="preserve"> </w:t>
      </w:r>
      <w:r w:rsidRPr="00780B8B">
        <w:rPr>
          <w:rFonts w:eastAsia="Calibri"/>
        </w:rPr>
        <w:t>2(moderate symptom), 3 (maximal symptom). This questionnaire was repeated in the next visits.</w:t>
      </w:r>
    </w:p>
    <w:p w:rsidR="007A4777" w:rsidRDefault="000F2DE9" w:rsidP="00EF21BF">
      <w:pPr>
        <w:snapToGrid w:val="0"/>
        <w:jc w:val="both"/>
        <w:rPr>
          <w:rFonts w:eastAsia="Calibri"/>
        </w:rPr>
      </w:pPr>
      <w:r w:rsidRPr="00780B8B">
        <w:rPr>
          <w:rFonts w:eastAsia="Calibri"/>
          <w:b/>
        </w:rPr>
        <w:t>Statistical methods</w:t>
      </w:r>
    </w:p>
    <w:p w:rsidR="007A4777" w:rsidRDefault="000F2DE9" w:rsidP="00EF21BF">
      <w:pPr>
        <w:snapToGrid w:val="0"/>
        <w:ind w:firstLine="425"/>
        <w:jc w:val="both"/>
        <w:rPr>
          <w:rFonts w:eastAsia="Calibri"/>
        </w:rPr>
      </w:pPr>
      <w:r w:rsidRPr="00780B8B">
        <w:rPr>
          <w:rFonts w:eastAsia="Calibri"/>
        </w:rPr>
        <w:t>The collected data were coded, tabulated, and statistically analyzed using IBM SPSS statistics (Statistical Package for Social Sciences) software version 18.0, IBM Corp., Chicago, USA, 2009. The level of significance was taken at P value &lt; 0.050 is significant, otherwise is non-significant.</w:t>
      </w:r>
    </w:p>
    <w:p w:rsidR="007A4777" w:rsidRDefault="007A4777" w:rsidP="00EF21BF">
      <w:pPr>
        <w:snapToGrid w:val="0"/>
        <w:ind w:firstLine="425"/>
        <w:jc w:val="both"/>
      </w:pPr>
    </w:p>
    <w:p w:rsidR="007A4777" w:rsidRDefault="00FB728F" w:rsidP="00EF21BF">
      <w:pPr>
        <w:snapToGrid w:val="0"/>
        <w:jc w:val="both"/>
        <w:rPr>
          <w:rFonts w:eastAsia="Calibri"/>
        </w:rPr>
      </w:pPr>
      <w:r w:rsidRPr="00780B8B">
        <w:rPr>
          <w:rFonts w:eastAsia="Calibri"/>
          <w:b/>
        </w:rPr>
        <w:t>3. Results</w:t>
      </w:r>
    </w:p>
    <w:p w:rsidR="007A4777" w:rsidRDefault="007A4777" w:rsidP="00EF21BF">
      <w:pPr>
        <w:snapToGrid w:val="0"/>
        <w:ind w:firstLine="425"/>
        <w:jc w:val="both"/>
        <w:sectPr w:rsidR="007A4777" w:rsidSect="007A4777">
          <w:type w:val="continuous"/>
          <w:pgSz w:w="12240" w:h="15840" w:code="9"/>
          <w:pgMar w:top="1440" w:right="1440" w:bottom="1440" w:left="1440" w:header="720" w:footer="720" w:gutter="0"/>
          <w:cols w:num="2" w:space="500"/>
          <w:docGrid w:linePitch="272"/>
        </w:sectPr>
      </w:pPr>
    </w:p>
    <w:p w:rsidR="007A4777" w:rsidRDefault="007A4777" w:rsidP="007A4777">
      <w:pPr>
        <w:snapToGrid w:val="0"/>
        <w:jc w:val="center"/>
        <w:rPr>
          <w:sz w:val="17"/>
          <w:szCs w:val="17"/>
        </w:rPr>
      </w:pPr>
    </w:p>
    <w:p w:rsidR="006712E7" w:rsidRPr="007A4777" w:rsidRDefault="006712E7" w:rsidP="007A4777">
      <w:pPr>
        <w:snapToGrid w:val="0"/>
        <w:jc w:val="center"/>
        <w:rPr>
          <w:rFonts w:eastAsia="Calibri"/>
          <w:szCs w:val="17"/>
        </w:rPr>
      </w:pPr>
      <w:r w:rsidRPr="007A4777">
        <w:rPr>
          <w:rFonts w:eastAsia="Calibri"/>
          <w:b/>
          <w:szCs w:val="17"/>
        </w:rPr>
        <w:t xml:space="preserve">Table (1): </w:t>
      </w:r>
      <w:r w:rsidRPr="007A4777">
        <w:rPr>
          <w:rFonts w:eastAsia="Calibri"/>
          <w:szCs w:val="17"/>
        </w:rPr>
        <w:t>Facial pain severity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04"/>
        <w:gridCol w:w="1518"/>
        <w:gridCol w:w="1702"/>
        <w:gridCol w:w="1406"/>
        <w:gridCol w:w="1450"/>
        <w:gridCol w:w="1311"/>
        <w:gridCol w:w="883"/>
      </w:tblGrid>
      <w:tr w:rsidR="00780B8B" w:rsidRPr="007A4777" w:rsidTr="00780B8B">
        <w:trPr>
          <w:jc w:val="center"/>
        </w:trPr>
        <w:tc>
          <w:tcPr>
            <w:tcW w:w="636" w:type="pct"/>
            <w:vAlign w:val="center"/>
          </w:tcPr>
          <w:p w:rsidR="006712E7" w:rsidRPr="007A4777" w:rsidRDefault="006712E7" w:rsidP="00EF21BF">
            <w:pPr>
              <w:snapToGrid w:val="0"/>
              <w:jc w:val="both"/>
              <w:rPr>
                <w:rFonts w:eastAsia="Calibri"/>
                <w:sz w:val="17"/>
                <w:szCs w:val="17"/>
              </w:rPr>
            </w:pPr>
            <w:r w:rsidRPr="007A4777">
              <w:rPr>
                <w:rFonts w:eastAsia="Calibri"/>
                <w:b/>
                <w:sz w:val="17"/>
                <w:szCs w:val="17"/>
              </w:rPr>
              <w:t>Time</w:t>
            </w:r>
          </w:p>
        </w:tc>
        <w:tc>
          <w:tcPr>
            <w:tcW w:w="801" w:type="pct"/>
            <w:vAlign w:val="center"/>
          </w:tcPr>
          <w:p w:rsidR="006712E7" w:rsidRPr="007A4777" w:rsidRDefault="006712E7" w:rsidP="00EF21BF">
            <w:pPr>
              <w:snapToGrid w:val="0"/>
              <w:jc w:val="both"/>
              <w:rPr>
                <w:rFonts w:eastAsia="Calibri"/>
                <w:sz w:val="17"/>
                <w:szCs w:val="17"/>
              </w:rPr>
            </w:pPr>
            <w:r w:rsidRPr="007A4777">
              <w:rPr>
                <w:rFonts w:eastAsia="Calibri"/>
                <w:b/>
                <w:sz w:val="17"/>
                <w:szCs w:val="17"/>
              </w:rPr>
              <w:t>Measure</w:t>
            </w:r>
          </w:p>
        </w:tc>
        <w:tc>
          <w:tcPr>
            <w:tcW w:w="898" w:type="pct"/>
            <w:vAlign w:val="center"/>
          </w:tcPr>
          <w:p w:rsidR="006712E7" w:rsidRPr="007A4777" w:rsidRDefault="006712E7" w:rsidP="00EF21BF">
            <w:pPr>
              <w:snapToGrid w:val="0"/>
              <w:jc w:val="both"/>
              <w:rPr>
                <w:rFonts w:eastAsia="Calibri"/>
                <w:sz w:val="17"/>
                <w:szCs w:val="17"/>
              </w:rPr>
            </w:pPr>
            <w:r w:rsidRPr="007A4777">
              <w:rPr>
                <w:rFonts w:eastAsia="Calibri"/>
                <w:b/>
                <w:sz w:val="17"/>
                <w:szCs w:val="17"/>
              </w:rPr>
              <w:t>No packing</w:t>
            </w:r>
          </w:p>
        </w:tc>
        <w:tc>
          <w:tcPr>
            <w:tcW w:w="742" w:type="pct"/>
            <w:vAlign w:val="center"/>
          </w:tcPr>
          <w:p w:rsidR="006712E7" w:rsidRPr="007A4777" w:rsidRDefault="006712E7" w:rsidP="00EF21BF">
            <w:pPr>
              <w:snapToGrid w:val="0"/>
              <w:jc w:val="both"/>
              <w:rPr>
                <w:rFonts w:eastAsia="Calibri"/>
                <w:sz w:val="17"/>
                <w:szCs w:val="17"/>
              </w:rPr>
            </w:pPr>
            <w:r w:rsidRPr="007A4777">
              <w:rPr>
                <w:rFonts w:eastAsia="Calibri"/>
                <w:b/>
                <w:sz w:val="17"/>
                <w:szCs w:val="17"/>
              </w:rPr>
              <w:t>Gel foam</w:t>
            </w:r>
          </w:p>
        </w:tc>
        <w:tc>
          <w:tcPr>
            <w:tcW w:w="765" w:type="pct"/>
            <w:vAlign w:val="center"/>
          </w:tcPr>
          <w:p w:rsidR="006712E7" w:rsidRPr="007A4777" w:rsidRDefault="006712E7" w:rsidP="00EF21BF">
            <w:pPr>
              <w:snapToGrid w:val="0"/>
              <w:jc w:val="both"/>
              <w:rPr>
                <w:rFonts w:eastAsia="Calibri"/>
                <w:sz w:val="17"/>
                <w:szCs w:val="17"/>
              </w:rPr>
            </w:pPr>
            <w:proofErr w:type="spellStart"/>
            <w:r w:rsidRPr="007A4777">
              <w:rPr>
                <w:rFonts w:eastAsia="Calibri"/>
                <w:b/>
                <w:sz w:val="17"/>
                <w:szCs w:val="17"/>
              </w:rPr>
              <w:t>Nasopore</w:t>
            </w:r>
            <w:proofErr w:type="spellEnd"/>
          </w:p>
        </w:tc>
        <w:tc>
          <w:tcPr>
            <w:tcW w:w="692" w:type="pct"/>
            <w:vAlign w:val="center"/>
          </w:tcPr>
          <w:p w:rsidR="006712E7" w:rsidRPr="007A4777" w:rsidRDefault="006712E7" w:rsidP="00EF21BF">
            <w:pPr>
              <w:snapToGrid w:val="0"/>
              <w:jc w:val="both"/>
              <w:rPr>
                <w:rFonts w:eastAsia="Calibri"/>
                <w:sz w:val="17"/>
                <w:szCs w:val="17"/>
              </w:rPr>
            </w:pPr>
            <w:r w:rsidRPr="007A4777">
              <w:rPr>
                <w:rFonts w:eastAsia="Calibri"/>
                <w:b/>
                <w:sz w:val="17"/>
                <w:szCs w:val="17"/>
              </w:rPr>
              <w:t>Tampon</w:t>
            </w:r>
          </w:p>
        </w:tc>
        <w:tc>
          <w:tcPr>
            <w:tcW w:w="466" w:type="pct"/>
            <w:vAlign w:val="center"/>
          </w:tcPr>
          <w:p w:rsidR="006712E7" w:rsidRPr="007A4777" w:rsidRDefault="006712E7" w:rsidP="00EF21BF">
            <w:pPr>
              <w:snapToGrid w:val="0"/>
              <w:jc w:val="both"/>
              <w:rPr>
                <w:rFonts w:eastAsia="Calibri"/>
                <w:sz w:val="17"/>
                <w:szCs w:val="17"/>
              </w:rPr>
            </w:pPr>
            <w:r w:rsidRPr="007A4777">
              <w:rPr>
                <w:rFonts w:eastAsia="Calibri"/>
                <w:b/>
                <w:sz w:val="17"/>
                <w:szCs w:val="17"/>
              </w:rPr>
              <w:t>^P</w:t>
            </w:r>
          </w:p>
        </w:tc>
      </w:tr>
      <w:tr w:rsidR="00780B8B" w:rsidRPr="007A4777" w:rsidTr="00780B8B">
        <w:trPr>
          <w:jc w:val="center"/>
        </w:trPr>
        <w:tc>
          <w:tcPr>
            <w:tcW w:w="636" w:type="pct"/>
            <w:vMerge w:val="restart"/>
            <w:vAlign w:val="center"/>
          </w:tcPr>
          <w:p w:rsidR="007A4777" w:rsidRDefault="007A4777" w:rsidP="00EF21BF">
            <w:pPr>
              <w:snapToGrid w:val="0"/>
              <w:jc w:val="both"/>
              <w:rPr>
                <w:sz w:val="17"/>
                <w:szCs w:val="17"/>
              </w:rPr>
            </w:pPr>
          </w:p>
          <w:p w:rsidR="006712E7" w:rsidRPr="007A4777" w:rsidRDefault="006712E7" w:rsidP="00EF21BF">
            <w:pPr>
              <w:snapToGrid w:val="0"/>
              <w:jc w:val="both"/>
              <w:rPr>
                <w:rFonts w:eastAsia="Calibri"/>
                <w:sz w:val="17"/>
                <w:szCs w:val="17"/>
              </w:rPr>
            </w:pPr>
            <w:r w:rsidRPr="007A4777">
              <w:rPr>
                <w:rFonts w:eastAsia="Calibri"/>
                <w:b/>
                <w:sz w:val="17"/>
                <w:szCs w:val="17"/>
              </w:rPr>
              <w:t>Day-2</w:t>
            </w:r>
          </w:p>
        </w:tc>
        <w:tc>
          <w:tcPr>
            <w:tcW w:w="801" w:type="pct"/>
            <w:vAlign w:val="center"/>
          </w:tcPr>
          <w:p w:rsidR="006712E7" w:rsidRPr="007A4777" w:rsidRDefault="006712E7" w:rsidP="00EF21BF">
            <w:pPr>
              <w:snapToGrid w:val="0"/>
              <w:jc w:val="both"/>
              <w:rPr>
                <w:rFonts w:eastAsia="Calibri"/>
                <w:sz w:val="17"/>
                <w:szCs w:val="17"/>
              </w:rPr>
            </w:pPr>
            <w:proofErr w:type="spellStart"/>
            <w:r w:rsidRPr="007A4777">
              <w:rPr>
                <w:rFonts w:eastAsia="Calibri"/>
                <w:b/>
                <w:sz w:val="17"/>
                <w:szCs w:val="17"/>
              </w:rPr>
              <w:t>Mean±SD</w:t>
            </w:r>
            <w:proofErr w:type="spellEnd"/>
          </w:p>
        </w:tc>
        <w:tc>
          <w:tcPr>
            <w:tcW w:w="898"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2.9±0.7</w:t>
            </w:r>
          </w:p>
        </w:tc>
        <w:tc>
          <w:tcPr>
            <w:tcW w:w="742"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2.7±0.8</w:t>
            </w:r>
          </w:p>
        </w:tc>
        <w:tc>
          <w:tcPr>
            <w:tcW w:w="765"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3.2±0.6</w:t>
            </w:r>
          </w:p>
        </w:tc>
        <w:tc>
          <w:tcPr>
            <w:tcW w:w="692"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3.5±0.5</w:t>
            </w:r>
          </w:p>
        </w:tc>
        <w:tc>
          <w:tcPr>
            <w:tcW w:w="466" w:type="pct"/>
            <w:vMerge w:val="restart"/>
            <w:vAlign w:val="center"/>
          </w:tcPr>
          <w:p w:rsidR="007A4777" w:rsidRDefault="007A4777" w:rsidP="00EF21BF">
            <w:pPr>
              <w:snapToGrid w:val="0"/>
              <w:jc w:val="both"/>
              <w:rPr>
                <w:sz w:val="17"/>
                <w:szCs w:val="17"/>
              </w:rPr>
            </w:pPr>
          </w:p>
          <w:p w:rsidR="006712E7" w:rsidRPr="007A4777" w:rsidRDefault="006712E7" w:rsidP="00EF21BF">
            <w:pPr>
              <w:snapToGrid w:val="0"/>
              <w:jc w:val="both"/>
              <w:rPr>
                <w:rFonts w:eastAsia="Calibri"/>
                <w:sz w:val="17"/>
                <w:szCs w:val="17"/>
              </w:rPr>
            </w:pPr>
            <w:r w:rsidRPr="007A4777">
              <w:rPr>
                <w:rFonts w:eastAsia="Calibri"/>
                <w:sz w:val="17"/>
                <w:szCs w:val="17"/>
              </w:rPr>
              <w:t>0.069</w:t>
            </w:r>
          </w:p>
        </w:tc>
      </w:tr>
      <w:tr w:rsidR="00780B8B" w:rsidRPr="007A4777" w:rsidTr="00780B8B">
        <w:trPr>
          <w:jc w:val="center"/>
        </w:trPr>
        <w:tc>
          <w:tcPr>
            <w:tcW w:w="636" w:type="pct"/>
            <w:vMerge/>
            <w:vAlign w:val="center"/>
          </w:tcPr>
          <w:p w:rsidR="006712E7" w:rsidRPr="007A4777" w:rsidRDefault="006712E7" w:rsidP="00EF21BF">
            <w:pPr>
              <w:snapToGrid w:val="0"/>
              <w:jc w:val="both"/>
              <w:rPr>
                <w:sz w:val="17"/>
                <w:szCs w:val="17"/>
              </w:rPr>
            </w:pPr>
          </w:p>
        </w:tc>
        <w:tc>
          <w:tcPr>
            <w:tcW w:w="801" w:type="pct"/>
            <w:vAlign w:val="center"/>
          </w:tcPr>
          <w:p w:rsidR="006712E7" w:rsidRPr="007A4777" w:rsidRDefault="006712E7" w:rsidP="00EF21BF">
            <w:pPr>
              <w:snapToGrid w:val="0"/>
              <w:jc w:val="both"/>
              <w:rPr>
                <w:rFonts w:eastAsia="Calibri"/>
                <w:sz w:val="17"/>
                <w:szCs w:val="17"/>
              </w:rPr>
            </w:pPr>
            <w:r w:rsidRPr="007A4777">
              <w:rPr>
                <w:rFonts w:eastAsia="Calibri"/>
                <w:b/>
                <w:sz w:val="17"/>
                <w:szCs w:val="17"/>
              </w:rPr>
              <w:t>Range</w:t>
            </w:r>
          </w:p>
        </w:tc>
        <w:tc>
          <w:tcPr>
            <w:tcW w:w="898"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2.0–4.0</w:t>
            </w:r>
          </w:p>
        </w:tc>
        <w:tc>
          <w:tcPr>
            <w:tcW w:w="742"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2.0–4.0</w:t>
            </w:r>
          </w:p>
        </w:tc>
        <w:tc>
          <w:tcPr>
            <w:tcW w:w="765"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2.0–4.0</w:t>
            </w:r>
          </w:p>
        </w:tc>
        <w:tc>
          <w:tcPr>
            <w:tcW w:w="692"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3.0–4.0</w:t>
            </w:r>
          </w:p>
        </w:tc>
        <w:tc>
          <w:tcPr>
            <w:tcW w:w="466" w:type="pct"/>
            <w:vMerge/>
            <w:vAlign w:val="center"/>
          </w:tcPr>
          <w:p w:rsidR="006712E7" w:rsidRPr="007A4777" w:rsidRDefault="006712E7" w:rsidP="00EF21BF">
            <w:pPr>
              <w:snapToGrid w:val="0"/>
              <w:jc w:val="both"/>
              <w:rPr>
                <w:sz w:val="17"/>
                <w:szCs w:val="17"/>
              </w:rPr>
            </w:pPr>
          </w:p>
        </w:tc>
      </w:tr>
      <w:tr w:rsidR="00780B8B" w:rsidRPr="007A4777" w:rsidTr="00780B8B">
        <w:trPr>
          <w:jc w:val="center"/>
        </w:trPr>
        <w:tc>
          <w:tcPr>
            <w:tcW w:w="636" w:type="pct"/>
            <w:vMerge w:val="restart"/>
            <w:vAlign w:val="center"/>
          </w:tcPr>
          <w:p w:rsidR="007A4777" w:rsidRDefault="007A4777" w:rsidP="00EF21BF">
            <w:pPr>
              <w:snapToGrid w:val="0"/>
              <w:jc w:val="both"/>
              <w:rPr>
                <w:sz w:val="17"/>
                <w:szCs w:val="17"/>
              </w:rPr>
            </w:pPr>
          </w:p>
          <w:p w:rsidR="006712E7" w:rsidRPr="007A4777" w:rsidRDefault="006712E7" w:rsidP="00EF21BF">
            <w:pPr>
              <w:snapToGrid w:val="0"/>
              <w:jc w:val="both"/>
              <w:rPr>
                <w:rFonts w:eastAsia="Calibri"/>
                <w:sz w:val="17"/>
                <w:szCs w:val="17"/>
              </w:rPr>
            </w:pPr>
            <w:r w:rsidRPr="007A4777">
              <w:rPr>
                <w:rFonts w:eastAsia="Calibri"/>
                <w:b/>
                <w:sz w:val="17"/>
                <w:szCs w:val="17"/>
              </w:rPr>
              <w:t>Week-2</w:t>
            </w:r>
          </w:p>
        </w:tc>
        <w:tc>
          <w:tcPr>
            <w:tcW w:w="801" w:type="pct"/>
            <w:vAlign w:val="center"/>
          </w:tcPr>
          <w:p w:rsidR="006712E7" w:rsidRPr="007A4777" w:rsidRDefault="006712E7" w:rsidP="00EF21BF">
            <w:pPr>
              <w:snapToGrid w:val="0"/>
              <w:jc w:val="both"/>
              <w:rPr>
                <w:rFonts w:eastAsia="Calibri"/>
                <w:sz w:val="17"/>
                <w:szCs w:val="17"/>
              </w:rPr>
            </w:pPr>
            <w:proofErr w:type="spellStart"/>
            <w:r w:rsidRPr="007A4777">
              <w:rPr>
                <w:rFonts w:eastAsia="Calibri"/>
                <w:b/>
                <w:sz w:val="17"/>
                <w:szCs w:val="17"/>
              </w:rPr>
              <w:t>Mean±SD</w:t>
            </w:r>
            <w:proofErr w:type="spellEnd"/>
          </w:p>
        </w:tc>
        <w:tc>
          <w:tcPr>
            <w:tcW w:w="898"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0.6±0.5</w:t>
            </w:r>
          </w:p>
        </w:tc>
        <w:tc>
          <w:tcPr>
            <w:tcW w:w="742"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0.3±0.5</w:t>
            </w:r>
          </w:p>
        </w:tc>
        <w:tc>
          <w:tcPr>
            <w:tcW w:w="765"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0.9±0.7</w:t>
            </w:r>
          </w:p>
        </w:tc>
        <w:tc>
          <w:tcPr>
            <w:tcW w:w="692"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1.1±1.0</w:t>
            </w:r>
          </w:p>
        </w:tc>
        <w:tc>
          <w:tcPr>
            <w:tcW w:w="466" w:type="pct"/>
            <w:vMerge w:val="restart"/>
            <w:vAlign w:val="center"/>
          </w:tcPr>
          <w:p w:rsidR="007A4777" w:rsidRDefault="007A4777" w:rsidP="00EF21BF">
            <w:pPr>
              <w:snapToGrid w:val="0"/>
              <w:jc w:val="both"/>
              <w:rPr>
                <w:sz w:val="17"/>
                <w:szCs w:val="17"/>
              </w:rPr>
            </w:pPr>
          </w:p>
          <w:p w:rsidR="006712E7" w:rsidRPr="007A4777" w:rsidRDefault="006712E7" w:rsidP="00EF21BF">
            <w:pPr>
              <w:snapToGrid w:val="0"/>
              <w:jc w:val="both"/>
              <w:rPr>
                <w:rFonts w:eastAsia="Calibri"/>
                <w:sz w:val="17"/>
                <w:szCs w:val="17"/>
              </w:rPr>
            </w:pPr>
            <w:r w:rsidRPr="007A4777">
              <w:rPr>
                <w:rFonts w:eastAsia="Calibri"/>
                <w:sz w:val="17"/>
                <w:szCs w:val="17"/>
              </w:rPr>
              <w:t>0.083</w:t>
            </w:r>
          </w:p>
        </w:tc>
      </w:tr>
      <w:tr w:rsidR="00780B8B" w:rsidRPr="007A4777" w:rsidTr="00780B8B">
        <w:trPr>
          <w:jc w:val="center"/>
        </w:trPr>
        <w:tc>
          <w:tcPr>
            <w:tcW w:w="636" w:type="pct"/>
            <w:vMerge/>
            <w:vAlign w:val="center"/>
          </w:tcPr>
          <w:p w:rsidR="006712E7" w:rsidRPr="007A4777" w:rsidRDefault="006712E7" w:rsidP="00EF21BF">
            <w:pPr>
              <w:snapToGrid w:val="0"/>
              <w:jc w:val="both"/>
              <w:rPr>
                <w:sz w:val="17"/>
                <w:szCs w:val="17"/>
              </w:rPr>
            </w:pPr>
          </w:p>
        </w:tc>
        <w:tc>
          <w:tcPr>
            <w:tcW w:w="801" w:type="pct"/>
            <w:vAlign w:val="center"/>
          </w:tcPr>
          <w:p w:rsidR="006712E7" w:rsidRPr="007A4777" w:rsidRDefault="006712E7" w:rsidP="00EF21BF">
            <w:pPr>
              <w:snapToGrid w:val="0"/>
              <w:jc w:val="both"/>
              <w:rPr>
                <w:rFonts w:eastAsia="Calibri"/>
                <w:sz w:val="17"/>
                <w:szCs w:val="17"/>
              </w:rPr>
            </w:pPr>
            <w:r w:rsidRPr="007A4777">
              <w:rPr>
                <w:rFonts w:eastAsia="Calibri"/>
                <w:b/>
                <w:sz w:val="17"/>
                <w:szCs w:val="17"/>
              </w:rPr>
              <w:t>Range</w:t>
            </w:r>
          </w:p>
        </w:tc>
        <w:tc>
          <w:tcPr>
            <w:tcW w:w="898"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0.0–1.0</w:t>
            </w:r>
          </w:p>
        </w:tc>
        <w:tc>
          <w:tcPr>
            <w:tcW w:w="742"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0.0–1.0</w:t>
            </w:r>
          </w:p>
        </w:tc>
        <w:tc>
          <w:tcPr>
            <w:tcW w:w="765"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0.0–2.0</w:t>
            </w:r>
          </w:p>
        </w:tc>
        <w:tc>
          <w:tcPr>
            <w:tcW w:w="692" w:type="pct"/>
            <w:vAlign w:val="center"/>
          </w:tcPr>
          <w:p w:rsidR="006712E7" w:rsidRPr="007A4777" w:rsidRDefault="006712E7" w:rsidP="00EF21BF">
            <w:pPr>
              <w:snapToGrid w:val="0"/>
              <w:jc w:val="both"/>
              <w:rPr>
                <w:rFonts w:eastAsia="Calibri"/>
                <w:sz w:val="17"/>
                <w:szCs w:val="17"/>
              </w:rPr>
            </w:pPr>
            <w:r w:rsidRPr="007A4777">
              <w:rPr>
                <w:rFonts w:eastAsia="Calibri"/>
                <w:sz w:val="17"/>
                <w:szCs w:val="17"/>
              </w:rPr>
              <w:t>0.0–3.0</w:t>
            </w:r>
          </w:p>
        </w:tc>
        <w:tc>
          <w:tcPr>
            <w:tcW w:w="466" w:type="pct"/>
            <w:vMerge/>
            <w:vAlign w:val="center"/>
          </w:tcPr>
          <w:p w:rsidR="006712E7" w:rsidRPr="007A4777" w:rsidRDefault="006712E7" w:rsidP="00EF21BF">
            <w:pPr>
              <w:snapToGrid w:val="0"/>
              <w:jc w:val="both"/>
              <w:rPr>
                <w:sz w:val="17"/>
                <w:szCs w:val="17"/>
              </w:rPr>
            </w:pPr>
          </w:p>
        </w:tc>
      </w:tr>
    </w:tbl>
    <w:p w:rsidR="007A4777" w:rsidRDefault="000F2DE9" w:rsidP="00EF21BF">
      <w:pPr>
        <w:snapToGrid w:val="0"/>
        <w:ind w:firstLine="425"/>
        <w:jc w:val="both"/>
        <w:rPr>
          <w:rFonts w:eastAsia="Calibri"/>
          <w:szCs w:val="18"/>
        </w:rPr>
      </w:pPr>
      <w:r w:rsidRPr="00780B8B">
        <w:rPr>
          <w:rFonts w:eastAsia="Calibri"/>
          <w:szCs w:val="18"/>
        </w:rPr>
        <w:lastRenderedPageBreak/>
        <w:t>Table (1) show that:</w:t>
      </w:r>
      <w:r w:rsidR="00780B8B" w:rsidRPr="00780B8B">
        <w:rPr>
          <w:rFonts w:eastAsia="Calibri"/>
          <w:szCs w:val="18"/>
        </w:rPr>
        <w:t xml:space="preserve"> </w:t>
      </w:r>
      <w:r w:rsidRPr="00780B8B">
        <w:rPr>
          <w:rFonts w:eastAsia="Calibri"/>
          <w:szCs w:val="18"/>
        </w:rPr>
        <w:t>Regarding</w:t>
      </w:r>
      <w:r w:rsidR="00780B8B" w:rsidRPr="00780B8B">
        <w:rPr>
          <w:rFonts w:eastAsia="Calibri"/>
          <w:szCs w:val="18"/>
        </w:rPr>
        <w:t xml:space="preserve"> </w:t>
      </w:r>
      <w:r w:rsidRPr="00780B8B">
        <w:rPr>
          <w:rFonts w:eastAsia="Calibri"/>
          <w:b/>
          <w:szCs w:val="18"/>
        </w:rPr>
        <w:t>facial</w:t>
      </w:r>
      <w:r w:rsidR="00780B8B" w:rsidRPr="00780B8B">
        <w:rPr>
          <w:rFonts w:eastAsia="Calibri"/>
          <w:b/>
          <w:szCs w:val="18"/>
        </w:rPr>
        <w:t xml:space="preserve"> </w:t>
      </w:r>
      <w:r w:rsidRPr="00780B8B">
        <w:rPr>
          <w:rFonts w:eastAsia="Calibri"/>
          <w:b/>
          <w:szCs w:val="18"/>
        </w:rPr>
        <w:t>pain</w:t>
      </w:r>
      <w:r w:rsidR="00780B8B" w:rsidRPr="00780B8B">
        <w:rPr>
          <w:rFonts w:eastAsia="Calibri"/>
          <w:b/>
          <w:szCs w:val="18"/>
        </w:rPr>
        <w:t xml:space="preserve"> </w:t>
      </w:r>
      <w:r w:rsidRPr="00780B8B">
        <w:rPr>
          <w:rFonts w:eastAsia="Calibri"/>
          <w:b/>
          <w:szCs w:val="18"/>
        </w:rPr>
        <w:t>severity</w:t>
      </w:r>
      <w:r w:rsidRPr="00780B8B">
        <w:rPr>
          <w:rFonts w:eastAsia="Calibri"/>
          <w:szCs w:val="18"/>
        </w:rPr>
        <w:t>;</w:t>
      </w:r>
      <w:r w:rsidR="00780B8B" w:rsidRPr="00780B8B">
        <w:rPr>
          <w:rFonts w:eastAsia="Calibri"/>
          <w:szCs w:val="18"/>
        </w:rPr>
        <w:t xml:space="preserve"> </w:t>
      </w:r>
      <w:r w:rsidRPr="00780B8B">
        <w:rPr>
          <w:rFonts w:eastAsia="Calibri"/>
          <w:szCs w:val="18"/>
        </w:rPr>
        <w:t>gel foam has best</w:t>
      </w:r>
      <w:r w:rsidR="00780B8B" w:rsidRPr="00780B8B">
        <w:rPr>
          <w:rFonts w:eastAsia="Calibri"/>
          <w:szCs w:val="18"/>
        </w:rPr>
        <w:t xml:space="preserve"> </w:t>
      </w:r>
      <w:r w:rsidRPr="00780B8B">
        <w:rPr>
          <w:rFonts w:eastAsia="Calibri"/>
          <w:szCs w:val="18"/>
        </w:rPr>
        <w:t xml:space="preserve">findings, followed by no packing, then </w:t>
      </w:r>
      <w:proofErr w:type="spellStart"/>
      <w:r w:rsidRPr="00780B8B">
        <w:rPr>
          <w:rFonts w:eastAsia="Calibri"/>
          <w:szCs w:val="18"/>
        </w:rPr>
        <w:t>nasopore</w:t>
      </w:r>
      <w:proofErr w:type="spellEnd"/>
      <w:r w:rsidRPr="00780B8B">
        <w:rPr>
          <w:rFonts w:eastAsia="Calibri"/>
          <w:szCs w:val="18"/>
        </w:rPr>
        <w:t>, while tampon has worst findings with no significant statistical difference between them.</w:t>
      </w:r>
    </w:p>
    <w:p w:rsidR="007A4777" w:rsidRDefault="007A4777" w:rsidP="00EF21BF">
      <w:pPr>
        <w:snapToGrid w:val="0"/>
        <w:jc w:val="center"/>
        <w:rPr>
          <w:szCs w:val="18"/>
        </w:rPr>
      </w:pPr>
    </w:p>
    <w:p w:rsidR="00555F5A" w:rsidRPr="00780B8B" w:rsidRDefault="000F2DE9" w:rsidP="00EF21BF">
      <w:pPr>
        <w:snapToGrid w:val="0"/>
        <w:jc w:val="center"/>
        <w:rPr>
          <w:rFonts w:eastAsia="Calibri"/>
          <w:szCs w:val="18"/>
        </w:rPr>
      </w:pPr>
      <w:r w:rsidRPr="00780B8B">
        <w:rPr>
          <w:rFonts w:eastAsia="Calibri"/>
          <w:b/>
          <w:szCs w:val="18"/>
        </w:rPr>
        <w:t xml:space="preserve">Table (2): </w:t>
      </w:r>
      <w:r w:rsidRPr="00780B8B">
        <w:rPr>
          <w:rFonts w:eastAsia="Calibri"/>
          <w:szCs w:val="18"/>
        </w:rPr>
        <w:t>Nasal block severity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04"/>
        <w:gridCol w:w="1518"/>
        <w:gridCol w:w="1702"/>
        <w:gridCol w:w="1406"/>
        <w:gridCol w:w="1450"/>
        <w:gridCol w:w="1311"/>
        <w:gridCol w:w="883"/>
      </w:tblGrid>
      <w:tr w:rsidR="00780B8B" w:rsidRPr="00780B8B" w:rsidTr="00780B8B">
        <w:trPr>
          <w:jc w:val="center"/>
        </w:trPr>
        <w:tc>
          <w:tcPr>
            <w:tcW w:w="636" w:type="pct"/>
            <w:vAlign w:val="center"/>
          </w:tcPr>
          <w:p w:rsidR="00555F5A" w:rsidRPr="00780B8B" w:rsidRDefault="000F2DE9" w:rsidP="00EF21BF">
            <w:pPr>
              <w:snapToGrid w:val="0"/>
              <w:jc w:val="both"/>
              <w:rPr>
                <w:rFonts w:eastAsia="Calibri"/>
                <w:szCs w:val="18"/>
              </w:rPr>
            </w:pPr>
            <w:r w:rsidRPr="00780B8B">
              <w:rPr>
                <w:rFonts w:eastAsia="Calibri"/>
                <w:b/>
                <w:szCs w:val="18"/>
              </w:rPr>
              <w:t>Time</w:t>
            </w:r>
          </w:p>
        </w:tc>
        <w:tc>
          <w:tcPr>
            <w:tcW w:w="801" w:type="pct"/>
            <w:vAlign w:val="center"/>
          </w:tcPr>
          <w:p w:rsidR="00555F5A" w:rsidRPr="00780B8B" w:rsidRDefault="000F2DE9" w:rsidP="00EF21BF">
            <w:pPr>
              <w:snapToGrid w:val="0"/>
              <w:jc w:val="both"/>
              <w:rPr>
                <w:rFonts w:eastAsia="Calibri"/>
                <w:szCs w:val="18"/>
              </w:rPr>
            </w:pPr>
            <w:r w:rsidRPr="00780B8B">
              <w:rPr>
                <w:rFonts w:eastAsia="Calibri"/>
                <w:b/>
                <w:szCs w:val="18"/>
              </w:rPr>
              <w:t>Measure</w:t>
            </w:r>
          </w:p>
        </w:tc>
        <w:tc>
          <w:tcPr>
            <w:tcW w:w="898" w:type="pct"/>
            <w:vAlign w:val="center"/>
          </w:tcPr>
          <w:p w:rsidR="00555F5A" w:rsidRPr="00780B8B" w:rsidRDefault="000F2DE9" w:rsidP="00EF21BF">
            <w:pPr>
              <w:snapToGrid w:val="0"/>
              <w:jc w:val="both"/>
              <w:rPr>
                <w:rFonts w:eastAsia="Calibri"/>
                <w:szCs w:val="18"/>
              </w:rPr>
            </w:pPr>
            <w:r w:rsidRPr="00780B8B">
              <w:rPr>
                <w:rFonts w:eastAsia="Calibri"/>
                <w:b/>
                <w:szCs w:val="18"/>
              </w:rPr>
              <w:t>No packing</w:t>
            </w:r>
          </w:p>
        </w:tc>
        <w:tc>
          <w:tcPr>
            <w:tcW w:w="742" w:type="pct"/>
            <w:vAlign w:val="center"/>
          </w:tcPr>
          <w:p w:rsidR="00555F5A" w:rsidRPr="00780B8B" w:rsidRDefault="000F2DE9" w:rsidP="00EF21BF">
            <w:pPr>
              <w:snapToGrid w:val="0"/>
              <w:jc w:val="both"/>
              <w:rPr>
                <w:rFonts w:eastAsia="Calibri"/>
                <w:szCs w:val="18"/>
              </w:rPr>
            </w:pPr>
            <w:r w:rsidRPr="00780B8B">
              <w:rPr>
                <w:rFonts w:eastAsia="Calibri"/>
                <w:b/>
                <w:szCs w:val="18"/>
              </w:rPr>
              <w:t>Gel foam</w:t>
            </w:r>
          </w:p>
        </w:tc>
        <w:tc>
          <w:tcPr>
            <w:tcW w:w="765" w:type="pct"/>
            <w:vAlign w:val="center"/>
          </w:tcPr>
          <w:p w:rsidR="00555F5A" w:rsidRPr="00780B8B" w:rsidRDefault="000F2DE9" w:rsidP="00EF21BF">
            <w:pPr>
              <w:snapToGrid w:val="0"/>
              <w:jc w:val="both"/>
              <w:rPr>
                <w:rFonts w:eastAsia="Calibri"/>
                <w:szCs w:val="18"/>
              </w:rPr>
            </w:pPr>
            <w:proofErr w:type="spellStart"/>
            <w:r w:rsidRPr="00780B8B">
              <w:rPr>
                <w:rFonts w:eastAsia="Calibri"/>
                <w:b/>
                <w:szCs w:val="18"/>
              </w:rPr>
              <w:t>Nasopore</w:t>
            </w:r>
            <w:proofErr w:type="spellEnd"/>
          </w:p>
        </w:tc>
        <w:tc>
          <w:tcPr>
            <w:tcW w:w="692" w:type="pct"/>
            <w:vAlign w:val="center"/>
          </w:tcPr>
          <w:p w:rsidR="00555F5A" w:rsidRPr="00780B8B" w:rsidRDefault="000F2DE9" w:rsidP="00EF21BF">
            <w:pPr>
              <w:snapToGrid w:val="0"/>
              <w:jc w:val="both"/>
              <w:rPr>
                <w:rFonts w:eastAsia="Calibri"/>
                <w:szCs w:val="18"/>
              </w:rPr>
            </w:pPr>
            <w:r w:rsidRPr="00780B8B">
              <w:rPr>
                <w:rFonts w:eastAsia="Calibri"/>
                <w:b/>
                <w:szCs w:val="18"/>
              </w:rPr>
              <w:t>Tampon</w:t>
            </w:r>
          </w:p>
        </w:tc>
        <w:tc>
          <w:tcPr>
            <w:tcW w:w="466" w:type="pct"/>
            <w:vAlign w:val="center"/>
          </w:tcPr>
          <w:p w:rsidR="00555F5A" w:rsidRPr="00780B8B" w:rsidRDefault="000F2DE9" w:rsidP="00EF21BF">
            <w:pPr>
              <w:snapToGrid w:val="0"/>
              <w:jc w:val="both"/>
              <w:rPr>
                <w:rFonts w:eastAsia="Calibri"/>
                <w:szCs w:val="18"/>
              </w:rPr>
            </w:pPr>
            <w:r w:rsidRPr="00780B8B">
              <w:rPr>
                <w:rFonts w:eastAsia="Calibri"/>
                <w:b/>
                <w:szCs w:val="18"/>
              </w:rPr>
              <w:t>^P</w:t>
            </w:r>
          </w:p>
        </w:tc>
      </w:tr>
      <w:tr w:rsidR="00780B8B" w:rsidRPr="00780B8B" w:rsidTr="00780B8B">
        <w:trPr>
          <w:jc w:val="center"/>
        </w:trPr>
        <w:tc>
          <w:tcPr>
            <w:tcW w:w="636" w:type="pct"/>
            <w:vMerge w:val="restart"/>
            <w:vAlign w:val="center"/>
          </w:tcPr>
          <w:p w:rsidR="007A4777" w:rsidRDefault="007A4777" w:rsidP="00EF21BF">
            <w:pPr>
              <w:snapToGrid w:val="0"/>
              <w:jc w:val="both"/>
              <w:rPr>
                <w:szCs w:val="18"/>
              </w:rPr>
            </w:pPr>
          </w:p>
          <w:p w:rsidR="00555F5A" w:rsidRPr="00780B8B" w:rsidRDefault="000F2DE9" w:rsidP="00EF21BF">
            <w:pPr>
              <w:snapToGrid w:val="0"/>
              <w:jc w:val="both"/>
              <w:rPr>
                <w:rFonts w:eastAsia="Calibri"/>
                <w:szCs w:val="18"/>
              </w:rPr>
            </w:pPr>
            <w:r w:rsidRPr="00780B8B">
              <w:rPr>
                <w:rFonts w:eastAsia="Calibri"/>
                <w:b/>
                <w:szCs w:val="18"/>
              </w:rPr>
              <w:t>Day-2</w:t>
            </w:r>
          </w:p>
        </w:tc>
        <w:tc>
          <w:tcPr>
            <w:tcW w:w="801" w:type="pct"/>
            <w:vAlign w:val="center"/>
          </w:tcPr>
          <w:p w:rsidR="00555F5A" w:rsidRPr="00780B8B" w:rsidRDefault="000F2DE9" w:rsidP="00EF21BF">
            <w:pPr>
              <w:snapToGrid w:val="0"/>
              <w:jc w:val="both"/>
              <w:rPr>
                <w:rFonts w:eastAsia="Calibri"/>
                <w:szCs w:val="18"/>
              </w:rPr>
            </w:pPr>
            <w:proofErr w:type="spellStart"/>
            <w:r w:rsidRPr="00780B8B">
              <w:rPr>
                <w:rFonts w:eastAsia="Calibri"/>
                <w:b/>
                <w:szCs w:val="18"/>
              </w:rPr>
              <w:t>Mean±SD</w:t>
            </w:r>
            <w:proofErr w:type="spellEnd"/>
          </w:p>
        </w:tc>
        <w:tc>
          <w:tcPr>
            <w:tcW w:w="898" w:type="pct"/>
            <w:vAlign w:val="center"/>
          </w:tcPr>
          <w:p w:rsidR="00555F5A" w:rsidRPr="00780B8B" w:rsidRDefault="000F2DE9" w:rsidP="00EF21BF">
            <w:pPr>
              <w:snapToGrid w:val="0"/>
              <w:jc w:val="both"/>
              <w:rPr>
                <w:rFonts w:eastAsia="Calibri"/>
                <w:szCs w:val="18"/>
              </w:rPr>
            </w:pPr>
            <w:r w:rsidRPr="00780B8B">
              <w:rPr>
                <w:rFonts w:eastAsia="Calibri"/>
                <w:szCs w:val="18"/>
              </w:rPr>
              <w:t>2.7±0.7</w:t>
            </w:r>
          </w:p>
        </w:tc>
        <w:tc>
          <w:tcPr>
            <w:tcW w:w="742" w:type="pct"/>
            <w:vAlign w:val="center"/>
          </w:tcPr>
          <w:p w:rsidR="00555F5A" w:rsidRPr="00780B8B" w:rsidRDefault="000F2DE9" w:rsidP="00EF21BF">
            <w:pPr>
              <w:snapToGrid w:val="0"/>
              <w:jc w:val="both"/>
              <w:rPr>
                <w:rFonts w:eastAsia="Calibri"/>
                <w:szCs w:val="18"/>
              </w:rPr>
            </w:pPr>
            <w:r w:rsidRPr="00780B8B">
              <w:rPr>
                <w:rFonts w:eastAsia="Calibri"/>
                <w:szCs w:val="18"/>
              </w:rPr>
              <w:t>2.6±0.7</w:t>
            </w:r>
          </w:p>
        </w:tc>
        <w:tc>
          <w:tcPr>
            <w:tcW w:w="765" w:type="pct"/>
            <w:vAlign w:val="center"/>
          </w:tcPr>
          <w:p w:rsidR="00555F5A" w:rsidRPr="00780B8B" w:rsidRDefault="000F2DE9" w:rsidP="00EF21BF">
            <w:pPr>
              <w:snapToGrid w:val="0"/>
              <w:jc w:val="both"/>
              <w:rPr>
                <w:rFonts w:eastAsia="Calibri"/>
                <w:szCs w:val="18"/>
              </w:rPr>
            </w:pPr>
            <w:r w:rsidRPr="00780B8B">
              <w:rPr>
                <w:rFonts w:eastAsia="Calibri"/>
                <w:szCs w:val="18"/>
              </w:rPr>
              <w:t>3.1±0.6</w:t>
            </w:r>
          </w:p>
        </w:tc>
        <w:tc>
          <w:tcPr>
            <w:tcW w:w="692" w:type="pct"/>
            <w:vAlign w:val="center"/>
          </w:tcPr>
          <w:p w:rsidR="00555F5A" w:rsidRPr="00780B8B" w:rsidRDefault="000F2DE9" w:rsidP="00EF21BF">
            <w:pPr>
              <w:snapToGrid w:val="0"/>
              <w:jc w:val="both"/>
              <w:rPr>
                <w:rFonts w:eastAsia="Calibri"/>
                <w:szCs w:val="18"/>
              </w:rPr>
            </w:pPr>
            <w:r w:rsidRPr="00780B8B">
              <w:rPr>
                <w:rFonts w:eastAsia="Calibri"/>
                <w:szCs w:val="18"/>
              </w:rPr>
              <w:t>3.2±0.4</w:t>
            </w:r>
          </w:p>
        </w:tc>
        <w:tc>
          <w:tcPr>
            <w:tcW w:w="466" w:type="pct"/>
            <w:vMerge w:val="restart"/>
            <w:vAlign w:val="center"/>
          </w:tcPr>
          <w:p w:rsidR="007A4777" w:rsidRDefault="007A4777" w:rsidP="00EF21BF">
            <w:pPr>
              <w:snapToGrid w:val="0"/>
              <w:jc w:val="both"/>
              <w:rPr>
                <w:szCs w:val="18"/>
              </w:rPr>
            </w:pPr>
          </w:p>
          <w:p w:rsidR="00555F5A" w:rsidRPr="00780B8B" w:rsidRDefault="000F2DE9" w:rsidP="00EF21BF">
            <w:pPr>
              <w:snapToGrid w:val="0"/>
              <w:jc w:val="both"/>
              <w:rPr>
                <w:rFonts w:eastAsia="Calibri"/>
                <w:szCs w:val="18"/>
              </w:rPr>
            </w:pPr>
            <w:r w:rsidRPr="00780B8B">
              <w:rPr>
                <w:rFonts w:eastAsia="Calibri"/>
                <w:szCs w:val="18"/>
              </w:rPr>
              <w:t>0.084</w:t>
            </w:r>
          </w:p>
        </w:tc>
      </w:tr>
      <w:tr w:rsidR="00780B8B" w:rsidRPr="00780B8B" w:rsidTr="00780B8B">
        <w:trPr>
          <w:jc w:val="center"/>
        </w:trPr>
        <w:tc>
          <w:tcPr>
            <w:tcW w:w="636" w:type="pct"/>
            <w:vMerge/>
            <w:vAlign w:val="center"/>
          </w:tcPr>
          <w:p w:rsidR="00555F5A" w:rsidRPr="00780B8B" w:rsidRDefault="00555F5A" w:rsidP="00EF21BF">
            <w:pPr>
              <w:snapToGrid w:val="0"/>
              <w:jc w:val="both"/>
              <w:rPr>
                <w:szCs w:val="18"/>
              </w:rPr>
            </w:pPr>
          </w:p>
        </w:tc>
        <w:tc>
          <w:tcPr>
            <w:tcW w:w="801" w:type="pct"/>
            <w:vAlign w:val="center"/>
          </w:tcPr>
          <w:p w:rsidR="00555F5A" w:rsidRPr="00780B8B" w:rsidRDefault="000F2DE9" w:rsidP="00EF21BF">
            <w:pPr>
              <w:snapToGrid w:val="0"/>
              <w:jc w:val="both"/>
              <w:rPr>
                <w:rFonts w:eastAsia="Calibri"/>
                <w:szCs w:val="18"/>
              </w:rPr>
            </w:pPr>
            <w:r w:rsidRPr="00780B8B">
              <w:rPr>
                <w:rFonts w:eastAsia="Calibri"/>
                <w:b/>
                <w:szCs w:val="18"/>
              </w:rPr>
              <w:t>Range</w:t>
            </w:r>
          </w:p>
        </w:tc>
        <w:tc>
          <w:tcPr>
            <w:tcW w:w="898" w:type="pct"/>
            <w:vAlign w:val="center"/>
          </w:tcPr>
          <w:p w:rsidR="00555F5A" w:rsidRPr="00780B8B" w:rsidRDefault="000F2DE9" w:rsidP="00EF21BF">
            <w:pPr>
              <w:snapToGrid w:val="0"/>
              <w:jc w:val="both"/>
              <w:rPr>
                <w:rFonts w:eastAsia="Calibri"/>
                <w:szCs w:val="18"/>
              </w:rPr>
            </w:pPr>
            <w:r w:rsidRPr="00780B8B">
              <w:rPr>
                <w:rFonts w:eastAsia="Calibri"/>
                <w:szCs w:val="18"/>
              </w:rPr>
              <w:t>2.0–4.0</w:t>
            </w:r>
          </w:p>
        </w:tc>
        <w:tc>
          <w:tcPr>
            <w:tcW w:w="742" w:type="pct"/>
            <w:vAlign w:val="center"/>
          </w:tcPr>
          <w:p w:rsidR="00555F5A" w:rsidRPr="00780B8B" w:rsidRDefault="000F2DE9" w:rsidP="00EF21BF">
            <w:pPr>
              <w:snapToGrid w:val="0"/>
              <w:jc w:val="both"/>
              <w:rPr>
                <w:rFonts w:eastAsia="Calibri"/>
                <w:szCs w:val="18"/>
              </w:rPr>
            </w:pPr>
            <w:r w:rsidRPr="00780B8B">
              <w:rPr>
                <w:rFonts w:eastAsia="Calibri"/>
                <w:szCs w:val="18"/>
              </w:rPr>
              <w:t>2.0–4.0</w:t>
            </w:r>
          </w:p>
        </w:tc>
        <w:tc>
          <w:tcPr>
            <w:tcW w:w="765" w:type="pct"/>
            <w:vAlign w:val="center"/>
          </w:tcPr>
          <w:p w:rsidR="00555F5A" w:rsidRPr="00780B8B" w:rsidRDefault="000F2DE9" w:rsidP="00EF21BF">
            <w:pPr>
              <w:snapToGrid w:val="0"/>
              <w:jc w:val="both"/>
              <w:rPr>
                <w:rFonts w:eastAsia="Calibri"/>
                <w:szCs w:val="18"/>
              </w:rPr>
            </w:pPr>
            <w:r w:rsidRPr="00780B8B">
              <w:rPr>
                <w:rFonts w:eastAsia="Calibri"/>
                <w:szCs w:val="18"/>
              </w:rPr>
              <w:t>2.0–4.0</w:t>
            </w:r>
          </w:p>
        </w:tc>
        <w:tc>
          <w:tcPr>
            <w:tcW w:w="692" w:type="pct"/>
            <w:vAlign w:val="center"/>
          </w:tcPr>
          <w:p w:rsidR="00555F5A" w:rsidRPr="00780B8B" w:rsidRDefault="000F2DE9" w:rsidP="00EF21BF">
            <w:pPr>
              <w:snapToGrid w:val="0"/>
              <w:jc w:val="both"/>
              <w:rPr>
                <w:rFonts w:eastAsia="Calibri"/>
                <w:szCs w:val="18"/>
              </w:rPr>
            </w:pPr>
            <w:r w:rsidRPr="00780B8B">
              <w:rPr>
                <w:rFonts w:eastAsia="Calibri"/>
                <w:szCs w:val="18"/>
              </w:rPr>
              <w:t>3.0–4.0</w:t>
            </w:r>
          </w:p>
        </w:tc>
        <w:tc>
          <w:tcPr>
            <w:tcW w:w="466" w:type="pct"/>
            <w:vMerge/>
            <w:vAlign w:val="center"/>
          </w:tcPr>
          <w:p w:rsidR="00555F5A" w:rsidRPr="00780B8B" w:rsidRDefault="00555F5A" w:rsidP="00EF21BF">
            <w:pPr>
              <w:snapToGrid w:val="0"/>
              <w:jc w:val="both"/>
              <w:rPr>
                <w:szCs w:val="18"/>
              </w:rPr>
            </w:pPr>
          </w:p>
        </w:tc>
      </w:tr>
      <w:tr w:rsidR="00780B8B" w:rsidRPr="00780B8B" w:rsidTr="00780B8B">
        <w:trPr>
          <w:jc w:val="center"/>
        </w:trPr>
        <w:tc>
          <w:tcPr>
            <w:tcW w:w="636" w:type="pct"/>
            <w:vMerge w:val="restart"/>
            <w:vAlign w:val="center"/>
          </w:tcPr>
          <w:p w:rsidR="007A4777" w:rsidRDefault="007A4777" w:rsidP="00EF21BF">
            <w:pPr>
              <w:snapToGrid w:val="0"/>
              <w:jc w:val="both"/>
              <w:rPr>
                <w:szCs w:val="18"/>
              </w:rPr>
            </w:pPr>
          </w:p>
          <w:p w:rsidR="00555F5A" w:rsidRPr="00780B8B" w:rsidRDefault="000F2DE9" w:rsidP="00EF21BF">
            <w:pPr>
              <w:snapToGrid w:val="0"/>
              <w:jc w:val="both"/>
              <w:rPr>
                <w:rFonts w:eastAsia="Calibri"/>
                <w:szCs w:val="18"/>
              </w:rPr>
            </w:pPr>
            <w:r w:rsidRPr="00780B8B">
              <w:rPr>
                <w:rFonts w:eastAsia="Calibri"/>
                <w:b/>
                <w:szCs w:val="18"/>
              </w:rPr>
              <w:t>Week-2</w:t>
            </w:r>
          </w:p>
        </w:tc>
        <w:tc>
          <w:tcPr>
            <w:tcW w:w="801" w:type="pct"/>
            <w:vAlign w:val="center"/>
          </w:tcPr>
          <w:p w:rsidR="00555F5A" w:rsidRPr="00780B8B" w:rsidRDefault="000F2DE9" w:rsidP="00EF21BF">
            <w:pPr>
              <w:snapToGrid w:val="0"/>
              <w:jc w:val="both"/>
              <w:rPr>
                <w:rFonts w:eastAsia="Calibri"/>
                <w:szCs w:val="18"/>
              </w:rPr>
            </w:pPr>
            <w:proofErr w:type="spellStart"/>
            <w:r w:rsidRPr="00780B8B">
              <w:rPr>
                <w:rFonts w:eastAsia="Calibri"/>
                <w:b/>
                <w:szCs w:val="18"/>
              </w:rPr>
              <w:t>Mean±SD</w:t>
            </w:r>
            <w:proofErr w:type="spellEnd"/>
          </w:p>
        </w:tc>
        <w:tc>
          <w:tcPr>
            <w:tcW w:w="898" w:type="pct"/>
            <w:vAlign w:val="center"/>
          </w:tcPr>
          <w:p w:rsidR="00555F5A" w:rsidRPr="00780B8B" w:rsidRDefault="000F2DE9" w:rsidP="00EF21BF">
            <w:pPr>
              <w:snapToGrid w:val="0"/>
              <w:jc w:val="both"/>
              <w:rPr>
                <w:rFonts w:eastAsia="Calibri"/>
                <w:szCs w:val="18"/>
              </w:rPr>
            </w:pPr>
            <w:r w:rsidRPr="00780B8B">
              <w:rPr>
                <w:rFonts w:eastAsia="Calibri"/>
                <w:szCs w:val="18"/>
              </w:rPr>
              <w:t>0.8±0.4</w:t>
            </w:r>
          </w:p>
        </w:tc>
        <w:tc>
          <w:tcPr>
            <w:tcW w:w="742" w:type="pct"/>
            <w:vAlign w:val="center"/>
          </w:tcPr>
          <w:p w:rsidR="00555F5A" w:rsidRPr="00780B8B" w:rsidRDefault="000F2DE9" w:rsidP="00EF21BF">
            <w:pPr>
              <w:snapToGrid w:val="0"/>
              <w:jc w:val="both"/>
              <w:rPr>
                <w:rFonts w:eastAsia="Calibri"/>
                <w:szCs w:val="18"/>
              </w:rPr>
            </w:pPr>
            <w:r w:rsidRPr="00780B8B">
              <w:rPr>
                <w:rFonts w:eastAsia="Calibri"/>
                <w:szCs w:val="18"/>
              </w:rPr>
              <w:t>0.5±0.5</w:t>
            </w:r>
          </w:p>
        </w:tc>
        <w:tc>
          <w:tcPr>
            <w:tcW w:w="765" w:type="pct"/>
            <w:vAlign w:val="center"/>
          </w:tcPr>
          <w:p w:rsidR="00555F5A" w:rsidRPr="00780B8B" w:rsidRDefault="000F2DE9" w:rsidP="00EF21BF">
            <w:pPr>
              <w:snapToGrid w:val="0"/>
              <w:jc w:val="both"/>
              <w:rPr>
                <w:rFonts w:eastAsia="Calibri"/>
                <w:szCs w:val="18"/>
              </w:rPr>
            </w:pPr>
            <w:r w:rsidRPr="00780B8B">
              <w:rPr>
                <w:rFonts w:eastAsia="Calibri"/>
                <w:szCs w:val="18"/>
              </w:rPr>
              <w:t>1.1±0.9</w:t>
            </w:r>
          </w:p>
        </w:tc>
        <w:tc>
          <w:tcPr>
            <w:tcW w:w="692" w:type="pct"/>
            <w:vAlign w:val="center"/>
          </w:tcPr>
          <w:p w:rsidR="00555F5A" w:rsidRPr="00780B8B" w:rsidRDefault="000F2DE9" w:rsidP="00EF21BF">
            <w:pPr>
              <w:snapToGrid w:val="0"/>
              <w:jc w:val="both"/>
              <w:rPr>
                <w:rFonts w:eastAsia="Calibri"/>
                <w:szCs w:val="18"/>
              </w:rPr>
            </w:pPr>
            <w:r w:rsidRPr="00780B8B">
              <w:rPr>
                <w:rFonts w:eastAsia="Calibri"/>
                <w:szCs w:val="18"/>
              </w:rPr>
              <w:t>1.5±1.2</w:t>
            </w:r>
          </w:p>
        </w:tc>
        <w:tc>
          <w:tcPr>
            <w:tcW w:w="466" w:type="pct"/>
            <w:vMerge w:val="restart"/>
            <w:vAlign w:val="center"/>
          </w:tcPr>
          <w:p w:rsidR="007A4777" w:rsidRDefault="007A4777" w:rsidP="00EF21BF">
            <w:pPr>
              <w:snapToGrid w:val="0"/>
              <w:jc w:val="both"/>
              <w:rPr>
                <w:szCs w:val="18"/>
              </w:rPr>
            </w:pPr>
          </w:p>
          <w:p w:rsidR="00555F5A" w:rsidRPr="00780B8B" w:rsidRDefault="000F2DE9" w:rsidP="00EF21BF">
            <w:pPr>
              <w:snapToGrid w:val="0"/>
              <w:jc w:val="both"/>
              <w:rPr>
                <w:rFonts w:eastAsia="Calibri"/>
                <w:szCs w:val="18"/>
              </w:rPr>
            </w:pPr>
            <w:r w:rsidRPr="00780B8B">
              <w:rPr>
                <w:rFonts w:eastAsia="Calibri"/>
                <w:szCs w:val="18"/>
              </w:rPr>
              <w:t>0.054</w:t>
            </w:r>
          </w:p>
        </w:tc>
      </w:tr>
      <w:tr w:rsidR="00780B8B" w:rsidRPr="00780B8B" w:rsidTr="00780B8B">
        <w:trPr>
          <w:jc w:val="center"/>
        </w:trPr>
        <w:tc>
          <w:tcPr>
            <w:tcW w:w="636" w:type="pct"/>
            <w:vMerge/>
            <w:vAlign w:val="center"/>
          </w:tcPr>
          <w:p w:rsidR="00555F5A" w:rsidRPr="00780B8B" w:rsidRDefault="00555F5A" w:rsidP="00EF21BF">
            <w:pPr>
              <w:snapToGrid w:val="0"/>
              <w:jc w:val="both"/>
              <w:rPr>
                <w:szCs w:val="18"/>
              </w:rPr>
            </w:pPr>
          </w:p>
        </w:tc>
        <w:tc>
          <w:tcPr>
            <w:tcW w:w="801" w:type="pct"/>
            <w:vAlign w:val="center"/>
          </w:tcPr>
          <w:p w:rsidR="00555F5A" w:rsidRPr="00780B8B" w:rsidRDefault="000F2DE9" w:rsidP="00EF21BF">
            <w:pPr>
              <w:snapToGrid w:val="0"/>
              <w:jc w:val="both"/>
              <w:rPr>
                <w:rFonts w:eastAsia="Calibri"/>
                <w:szCs w:val="18"/>
              </w:rPr>
            </w:pPr>
            <w:r w:rsidRPr="00780B8B">
              <w:rPr>
                <w:rFonts w:eastAsia="Calibri"/>
                <w:b/>
                <w:szCs w:val="18"/>
              </w:rPr>
              <w:t>Range</w:t>
            </w:r>
          </w:p>
        </w:tc>
        <w:tc>
          <w:tcPr>
            <w:tcW w:w="898" w:type="pct"/>
            <w:vAlign w:val="center"/>
          </w:tcPr>
          <w:p w:rsidR="00555F5A" w:rsidRPr="00780B8B" w:rsidRDefault="000F2DE9" w:rsidP="00EF21BF">
            <w:pPr>
              <w:snapToGrid w:val="0"/>
              <w:jc w:val="both"/>
              <w:rPr>
                <w:rFonts w:eastAsia="Calibri"/>
                <w:szCs w:val="18"/>
              </w:rPr>
            </w:pPr>
            <w:r w:rsidRPr="00780B8B">
              <w:rPr>
                <w:rFonts w:eastAsia="Calibri"/>
                <w:szCs w:val="18"/>
              </w:rPr>
              <w:t>0.0–1.0</w:t>
            </w:r>
          </w:p>
        </w:tc>
        <w:tc>
          <w:tcPr>
            <w:tcW w:w="742" w:type="pct"/>
            <w:vAlign w:val="center"/>
          </w:tcPr>
          <w:p w:rsidR="00555F5A" w:rsidRPr="00780B8B" w:rsidRDefault="000F2DE9" w:rsidP="00EF21BF">
            <w:pPr>
              <w:snapToGrid w:val="0"/>
              <w:jc w:val="both"/>
              <w:rPr>
                <w:rFonts w:eastAsia="Calibri"/>
                <w:szCs w:val="18"/>
              </w:rPr>
            </w:pPr>
            <w:r w:rsidRPr="00780B8B">
              <w:rPr>
                <w:rFonts w:eastAsia="Calibri"/>
                <w:szCs w:val="18"/>
              </w:rPr>
              <w:t>0.0–1.0</w:t>
            </w:r>
          </w:p>
        </w:tc>
        <w:tc>
          <w:tcPr>
            <w:tcW w:w="765" w:type="pct"/>
            <w:vAlign w:val="center"/>
          </w:tcPr>
          <w:p w:rsidR="00555F5A" w:rsidRPr="00780B8B" w:rsidRDefault="000F2DE9" w:rsidP="00EF21BF">
            <w:pPr>
              <w:snapToGrid w:val="0"/>
              <w:jc w:val="both"/>
              <w:rPr>
                <w:rFonts w:eastAsia="Calibri"/>
                <w:szCs w:val="18"/>
              </w:rPr>
            </w:pPr>
            <w:r w:rsidRPr="00780B8B">
              <w:rPr>
                <w:rFonts w:eastAsia="Calibri"/>
                <w:szCs w:val="18"/>
              </w:rPr>
              <w:t>0.0–2.0</w:t>
            </w:r>
          </w:p>
        </w:tc>
        <w:tc>
          <w:tcPr>
            <w:tcW w:w="692" w:type="pct"/>
            <w:vAlign w:val="center"/>
          </w:tcPr>
          <w:p w:rsidR="00555F5A" w:rsidRPr="00780B8B" w:rsidRDefault="000F2DE9" w:rsidP="00EF21BF">
            <w:pPr>
              <w:snapToGrid w:val="0"/>
              <w:jc w:val="both"/>
              <w:rPr>
                <w:rFonts w:eastAsia="Calibri"/>
                <w:szCs w:val="18"/>
              </w:rPr>
            </w:pPr>
            <w:r w:rsidRPr="00780B8B">
              <w:rPr>
                <w:rFonts w:eastAsia="Calibri"/>
                <w:szCs w:val="18"/>
              </w:rPr>
              <w:t>0.0–3.0</w:t>
            </w:r>
          </w:p>
        </w:tc>
        <w:tc>
          <w:tcPr>
            <w:tcW w:w="466" w:type="pct"/>
            <w:vMerge/>
            <w:vAlign w:val="center"/>
          </w:tcPr>
          <w:p w:rsidR="00555F5A" w:rsidRPr="00780B8B" w:rsidRDefault="00555F5A" w:rsidP="00EF21BF">
            <w:pPr>
              <w:snapToGrid w:val="0"/>
              <w:jc w:val="both"/>
              <w:rPr>
                <w:szCs w:val="18"/>
              </w:rPr>
            </w:pPr>
          </w:p>
        </w:tc>
      </w:tr>
    </w:tbl>
    <w:p w:rsidR="007A4777" w:rsidRDefault="007A4777" w:rsidP="00EF21BF">
      <w:pPr>
        <w:snapToGrid w:val="0"/>
        <w:ind w:firstLine="425"/>
        <w:jc w:val="both"/>
        <w:rPr>
          <w:rFonts w:eastAsia="Calibri"/>
        </w:rPr>
      </w:pPr>
    </w:p>
    <w:p w:rsidR="007A4777" w:rsidRDefault="000F2DE9" w:rsidP="00EF21BF">
      <w:pPr>
        <w:snapToGrid w:val="0"/>
        <w:ind w:firstLine="425"/>
        <w:jc w:val="both"/>
        <w:rPr>
          <w:rFonts w:eastAsia="Calibri"/>
        </w:rPr>
      </w:pPr>
      <w:r w:rsidRPr="00780B8B">
        <w:rPr>
          <w:rFonts w:eastAsia="Calibri"/>
        </w:rPr>
        <w:t xml:space="preserve">Table (2) show that: Regarding </w:t>
      </w:r>
      <w:r w:rsidRPr="00780B8B">
        <w:rPr>
          <w:rFonts w:eastAsia="Calibri"/>
          <w:b/>
        </w:rPr>
        <w:t>nasal block severity</w:t>
      </w:r>
      <w:r w:rsidRPr="00780B8B">
        <w:rPr>
          <w:rFonts w:eastAsia="Calibri"/>
        </w:rPr>
        <w:t xml:space="preserve">; gel foam has best findings, followed by no packing, then </w:t>
      </w:r>
      <w:proofErr w:type="spellStart"/>
      <w:r w:rsidRPr="00780B8B">
        <w:rPr>
          <w:rFonts w:eastAsia="Calibri"/>
        </w:rPr>
        <w:t>nasopore</w:t>
      </w:r>
      <w:proofErr w:type="spellEnd"/>
      <w:r w:rsidRPr="00780B8B">
        <w:rPr>
          <w:rFonts w:eastAsia="Calibri"/>
        </w:rPr>
        <w:t>, while tampon has worst findings with no significant statistical difference between them.</w:t>
      </w:r>
    </w:p>
    <w:p w:rsidR="007A4777" w:rsidRDefault="007A4777" w:rsidP="00EF21BF">
      <w:pPr>
        <w:snapToGrid w:val="0"/>
        <w:ind w:firstLine="425"/>
        <w:jc w:val="both"/>
      </w:pPr>
    </w:p>
    <w:p w:rsidR="00555F5A" w:rsidRPr="00780B8B" w:rsidRDefault="000F2DE9" w:rsidP="00EF21BF">
      <w:pPr>
        <w:snapToGrid w:val="0"/>
        <w:jc w:val="center"/>
        <w:rPr>
          <w:rFonts w:eastAsia="Calibri"/>
        </w:rPr>
      </w:pPr>
      <w:r w:rsidRPr="00780B8B">
        <w:rPr>
          <w:rFonts w:eastAsia="Calibri"/>
          <w:b/>
        </w:rPr>
        <w:t xml:space="preserve">Table (3): </w:t>
      </w:r>
      <w:r w:rsidRPr="00780B8B">
        <w:rPr>
          <w:rFonts w:eastAsia="Calibri"/>
        </w:rPr>
        <w:t>Nasal discharge severity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04"/>
        <w:gridCol w:w="1518"/>
        <w:gridCol w:w="1702"/>
        <w:gridCol w:w="1406"/>
        <w:gridCol w:w="1450"/>
        <w:gridCol w:w="1311"/>
        <w:gridCol w:w="883"/>
      </w:tblGrid>
      <w:tr w:rsidR="00780B8B" w:rsidRPr="00780B8B" w:rsidTr="00780B8B">
        <w:trPr>
          <w:jc w:val="center"/>
        </w:trPr>
        <w:tc>
          <w:tcPr>
            <w:tcW w:w="636" w:type="pct"/>
            <w:vAlign w:val="center"/>
          </w:tcPr>
          <w:p w:rsidR="00555F5A" w:rsidRPr="00780B8B" w:rsidRDefault="000F2DE9" w:rsidP="00EF21BF">
            <w:pPr>
              <w:snapToGrid w:val="0"/>
              <w:jc w:val="both"/>
              <w:rPr>
                <w:rFonts w:eastAsia="Calibri"/>
              </w:rPr>
            </w:pPr>
            <w:r w:rsidRPr="00780B8B">
              <w:rPr>
                <w:rFonts w:eastAsia="Calibri"/>
                <w:b/>
              </w:rPr>
              <w:t>Time</w:t>
            </w:r>
          </w:p>
        </w:tc>
        <w:tc>
          <w:tcPr>
            <w:tcW w:w="801" w:type="pct"/>
            <w:vAlign w:val="center"/>
          </w:tcPr>
          <w:p w:rsidR="00555F5A" w:rsidRPr="00780B8B" w:rsidRDefault="000F2DE9" w:rsidP="00EF21BF">
            <w:pPr>
              <w:snapToGrid w:val="0"/>
              <w:jc w:val="both"/>
              <w:rPr>
                <w:rFonts w:eastAsia="Calibri"/>
              </w:rPr>
            </w:pPr>
            <w:r w:rsidRPr="00780B8B">
              <w:rPr>
                <w:rFonts w:eastAsia="Calibri"/>
                <w:b/>
              </w:rPr>
              <w:t>Measure</w:t>
            </w:r>
          </w:p>
        </w:tc>
        <w:tc>
          <w:tcPr>
            <w:tcW w:w="898" w:type="pct"/>
            <w:vAlign w:val="center"/>
          </w:tcPr>
          <w:p w:rsidR="00555F5A" w:rsidRPr="00780B8B" w:rsidRDefault="000F2DE9" w:rsidP="00EF21BF">
            <w:pPr>
              <w:snapToGrid w:val="0"/>
              <w:jc w:val="both"/>
              <w:rPr>
                <w:rFonts w:eastAsia="Calibri"/>
              </w:rPr>
            </w:pPr>
            <w:r w:rsidRPr="00780B8B">
              <w:rPr>
                <w:rFonts w:eastAsia="Calibri"/>
                <w:b/>
              </w:rPr>
              <w:t>No packing</w:t>
            </w:r>
          </w:p>
        </w:tc>
        <w:tc>
          <w:tcPr>
            <w:tcW w:w="742" w:type="pct"/>
            <w:vAlign w:val="center"/>
          </w:tcPr>
          <w:p w:rsidR="00555F5A" w:rsidRPr="00780B8B" w:rsidRDefault="000F2DE9" w:rsidP="00EF21BF">
            <w:pPr>
              <w:snapToGrid w:val="0"/>
              <w:jc w:val="both"/>
              <w:rPr>
                <w:rFonts w:eastAsia="Calibri"/>
              </w:rPr>
            </w:pPr>
            <w:r w:rsidRPr="00780B8B">
              <w:rPr>
                <w:rFonts w:eastAsia="Calibri"/>
                <w:b/>
              </w:rPr>
              <w:t>Gel foam</w:t>
            </w:r>
          </w:p>
        </w:tc>
        <w:tc>
          <w:tcPr>
            <w:tcW w:w="765" w:type="pct"/>
            <w:vAlign w:val="center"/>
          </w:tcPr>
          <w:p w:rsidR="00555F5A" w:rsidRPr="00780B8B" w:rsidRDefault="000F2DE9" w:rsidP="00EF21BF">
            <w:pPr>
              <w:snapToGrid w:val="0"/>
              <w:jc w:val="both"/>
              <w:rPr>
                <w:rFonts w:eastAsia="Calibri"/>
              </w:rPr>
            </w:pPr>
            <w:proofErr w:type="spellStart"/>
            <w:r w:rsidRPr="00780B8B">
              <w:rPr>
                <w:rFonts w:eastAsia="Calibri"/>
                <w:b/>
              </w:rPr>
              <w:t>Nasopore</w:t>
            </w:r>
            <w:proofErr w:type="spellEnd"/>
          </w:p>
        </w:tc>
        <w:tc>
          <w:tcPr>
            <w:tcW w:w="692" w:type="pct"/>
            <w:vAlign w:val="center"/>
          </w:tcPr>
          <w:p w:rsidR="00555F5A" w:rsidRPr="00780B8B" w:rsidRDefault="000F2DE9" w:rsidP="00EF21BF">
            <w:pPr>
              <w:snapToGrid w:val="0"/>
              <w:jc w:val="both"/>
              <w:rPr>
                <w:rFonts w:eastAsia="Calibri"/>
              </w:rPr>
            </w:pPr>
            <w:r w:rsidRPr="00780B8B">
              <w:rPr>
                <w:rFonts w:eastAsia="Calibri"/>
                <w:b/>
              </w:rPr>
              <w:t>Tampon</w:t>
            </w:r>
          </w:p>
        </w:tc>
        <w:tc>
          <w:tcPr>
            <w:tcW w:w="466" w:type="pct"/>
            <w:vAlign w:val="center"/>
          </w:tcPr>
          <w:p w:rsidR="00555F5A" w:rsidRPr="00780B8B" w:rsidRDefault="000F2DE9" w:rsidP="00EF21BF">
            <w:pPr>
              <w:snapToGrid w:val="0"/>
              <w:jc w:val="both"/>
              <w:rPr>
                <w:rFonts w:eastAsia="Calibri"/>
              </w:rPr>
            </w:pPr>
            <w:r w:rsidRPr="00780B8B">
              <w:rPr>
                <w:rFonts w:eastAsia="Calibri"/>
                <w:b/>
              </w:rPr>
              <w:t>^P</w:t>
            </w:r>
          </w:p>
        </w:tc>
      </w:tr>
      <w:tr w:rsidR="00780B8B" w:rsidRPr="00780B8B" w:rsidTr="00780B8B">
        <w:trPr>
          <w:jc w:val="center"/>
        </w:trPr>
        <w:tc>
          <w:tcPr>
            <w:tcW w:w="63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b/>
              </w:rPr>
              <w:t>Day-2</w:t>
            </w:r>
          </w:p>
        </w:tc>
        <w:tc>
          <w:tcPr>
            <w:tcW w:w="801" w:type="pct"/>
            <w:vAlign w:val="center"/>
          </w:tcPr>
          <w:p w:rsidR="00555F5A" w:rsidRPr="00780B8B" w:rsidRDefault="000F2DE9" w:rsidP="00EF21BF">
            <w:pPr>
              <w:snapToGrid w:val="0"/>
              <w:jc w:val="both"/>
              <w:rPr>
                <w:rFonts w:eastAsia="Calibri"/>
              </w:rPr>
            </w:pPr>
            <w:proofErr w:type="spellStart"/>
            <w:r w:rsidRPr="00780B8B">
              <w:rPr>
                <w:rFonts w:eastAsia="Calibri"/>
                <w:b/>
              </w:rPr>
              <w:t>Mean±SD</w:t>
            </w:r>
            <w:proofErr w:type="spellEnd"/>
          </w:p>
        </w:tc>
        <w:tc>
          <w:tcPr>
            <w:tcW w:w="898" w:type="pct"/>
            <w:vAlign w:val="center"/>
          </w:tcPr>
          <w:p w:rsidR="00555F5A" w:rsidRPr="00780B8B" w:rsidRDefault="000F2DE9" w:rsidP="00EF21BF">
            <w:pPr>
              <w:snapToGrid w:val="0"/>
              <w:jc w:val="both"/>
              <w:rPr>
                <w:rFonts w:eastAsia="Calibri"/>
              </w:rPr>
            </w:pPr>
            <w:r w:rsidRPr="00780B8B">
              <w:rPr>
                <w:rFonts w:eastAsia="Calibri"/>
              </w:rPr>
              <w:t>1.9±0.7</w:t>
            </w:r>
          </w:p>
        </w:tc>
        <w:tc>
          <w:tcPr>
            <w:tcW w:w="742" w:type="pct"/>
            <w:vAlign w:val="center"/>
          </w:tcPr>
          <w:p w:rsidR="00555F5A" w:rsidRPr="00780B8B" w:rsidRDefault="000F2DE9" w:rsidP="00EF21BF">
            <w:pPr>
              <w:snapToGrid w:val="0"/>
              <w:jc w:val="both"/>
              <w:rPr>
                <w:rFonts w:eastAsia="Calibri"/>
              </w:rPr>
            </w:pPr>
            <w:r w:rsidRPr="00780B8B">
              <w:rPr>
                <w:rFonts w:eastAsia="Calibri"/>
              </w:rPr>
              <w:t>1.7±0.8</w:t>
            </w:r>
          </w:p>
        </w:tc>
        <w:tc>
          <w:tcPr>
            <w:tcW w:w="765" w:type="pct"/>
            <w:vAlign w:val="center"/>
          </w:tcPr>
          <w:p w:rsidR="00555F5A" w:rsidRPr="00780B8B" w:rsidRDefault="000F2DE9" w:rsidP="00EF21BF">
            <w:pPr>
              <w:snapToGrid w:val="0"/>
              <w:jc w:val="both"/>
              <w:rPr>
                <w:rFonts w:eastAsia="Calibri"/>
              </w:rPr>
            </w:pPr>
            <w:r w:rsidRPr="00780B8B">
              <w:rPr>
                <w:rFonts w:eastAsia="Calibri"/>
              </w:rPr>
              <w:t>2.2±0.6</w:t>
            </w:r>
          </w:p>
        </w:tc>
        <w:tc>
          <w:tcPr>
            <w:tcW w:w="692" w:type="pct"/>
            <w:vAlign w:val="center"/>
          </w:tcPr>
          <w:p w:rsidR="00555F5A" w:rsidRPr="00780B8B" w:rsidRDefault="000F2DE9" w:rsidP="00EF21BF">
            <w:pPr>
              <w:snapToGrid w:val="0"/>
              <w:jc w:val="both"/>
              <w:rPr>
                <w:rFonts w:eastAsia="Calibri"/>
              </w:rPr>
            </w:pPr>
            <w:r w:rsidRPr="00780B8B">
              <w:rPr>
                <w:rFonts w:eastAsia="Calibri"/>
              </w:rPr>
              <w:t>2.5±0.5</w:t>
            </w:r>
          </w:p>
        </w:tc>
        <w:tc>
          <w:tcPr>
            <w:tcW w:w="46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rPr>
              <w:t>0.069</w:t>
            </w:r>
          </w:p>
        </w:tc>
      </w:tr>
      <w:tr w:rsidR="00780B8B" w:rsidRPr="00780B8B" w:rsidTr="00780B8B">
        <w:trPr>
          <w:jc w:val="center"/>
        </w:trPr>
        <w:tc>
          <w:tcPr>
            <w:tcW w:w="636" w:type="pct"/>
            <w:vMerge/>
            <w:vAlign w:val="center"/>
          </w:tcPr>
          <w:p w:rsidR="00555F5A" w:rsidRPr="00780B8B" w:rsidRDefault="00555F5A" w:rsidP="00EF21BF">
            <w:pPr>
              <w:snapToGrid w:val="0"/>
              <w:jc w:val="both"/>
            </w:pPr>
          </w:p>
        </w:tc>
        <w:tc>
          <w:tcPr>
            <w:tcW w:w="801" w:type="pct"/>
            <w:vAlign w:val="center"/>
          </w:tcPr>
          <w:p w:rsidR="00555F5A" w:rsidRPr="00780B8B" w:rsidRDefault="000F2DE9" w:rsidP="00EF21BF">
            <w:pPr>
              <w:snapToGrid w:val="0"/>
              <w:jc w:val="both"/>
              <w:rPr>
                <w:rFonts w:eastAsia="Calibri"/>
              </w:rPr>
            </w:pPr>
            <w:r w:rsidRPr="00780B8B">
              <w:rPr>
                <w:rFonts w:eastAsia="Calibri"/>
                <w:b/>
              </w:rPr>
              <w:t>Range</w:t>
            </w:r>
          </w:p>
        </w:tc>
        <w:tc>
          <w:tcPr>
            <w:tcW w:w="898" w:type="pct"/>
            <w:vAlign w:val="center"/>
          </w:tcPr>
          <w:p w:rsidR="00555F5A" w:rsidRPr="00780B8B" w:rsidRDefault="000F2DE9" w:rsidP="00EF21BF">
            <w:pPr>
              <w:snapToGrid w:val="0"/>
              <w:jc w:val="both"/>
              <w:rPr>
                <w:rFonts w:eastAsia="Calibri"/>
              </w:rPr>
            </w:pPr>
            <w:r w:rsidRPr="00780B8B">
              <w:rPr>
                <w:rFonts w:eastAsia="Calibri"/>
              </w:rPr>
              <w:t>1.0–3.0</w:t>
            </w:r>
          </w:p>
        </w:tc>
        <w:tc>
          <w:tcPr>
            <w:tcW w:w="742" w:type="pct"/>
            <w:vAlign w:val="center"/>
          </w:tcPr>
          <w:p w:rsidR="00555F5A" w:rsidRPr="00780B8B" w:rsidRDefault="000F2DE9" w:rsidP="00EF21BF">
            <w:pPr>
              <w:snapToGrid w:val="0"/>
              <w:jc w:val="both"/>
              <w:rPr>
                <w:rFonts w:eastAsia="Calibri"/>
              </w:rPr>
            </w:pPr>
            <w:r w:rsidRPr="00780B8B">
              <w:rPr>
                <w:rFonts w:eastAsia="Calibri"/>
              </w:rPr>
              <w:t>1.0–3.0</w:t>
            </w:r>
          </w:p>
        </w:tc>
        <w:tc>
          <w:tcPr>
            <w:tcW w:w="765" w:type="pct"/>
            <w:vAlign w:val="center"/>
          </w:tcPr>
          <w:p w:rsidR="00555F5A" w:rsidRPr="00780B8B" w:rsidRDefault="000F2DE9" w:rsidP="00EF21BF">
            <w:pPr>
              <w:snapToGrid w:val="0"/>
              <w:jc w:val="both"/>
              <w:rPr>
                <w:rFonts w:eastAsia="Calibri"/>
              </w:rPr>
            </w:pPr>
            <w:r w:rsidRPr="00780B8B">
              <w:rPr>
                <w:rFonts w:eastAsia="Calibri"/>
              </w:rPr>
              <w:t>1.0–3.0</w:t>
            </w:r>
          </w:p>
        </w:tc>
        <w:tc>
          <w:tcPr>
            <w:tcW w:w="692" w:type="pct"/>
            <w:vAlign w:val="center"/>
          </w:tcPr>
          <w:p w:rsidR="00555F5A" w:rsidRPr="00780B8B" w:rsidRDefault="000F2DE9" w:rsidP="00EF21BF">
            <w:pPr>
              <w:snapToGrid w:val="0"/>
              <w:jc w:val="both"/>
              <w:rPr>
                <w:rFonts w:eastAsia="Calibri"/>
              </w:rPr>
            </w:pPr>
            <w:r w:rsidRPr="00780B8B">
              <w:rPr>
                <w:rFonts w:eastAsia="Calibri"/>
              </w:rPr>
              <w:t>2.0–3.0</w:t>
            </w:r>
          </w:p>
        </w:tc>
        <w:tc>
          <w:tcPr>
            <w:tcW w:w="466" w:type="pct"/>
            <w:vMerge/>
            <w:vAlign w:val="center"/>
          </w:tcPr>
          <w:p w:rsidR="00555F5A" w:rsidRPr="00780B8B" w:rsidRDefault="00555F5A" w:rsidP="00EF21BF">
            <w:pPr>
              <w:snapToGrid w:val="0"/>
              <w:jc w:val="both"/>
            </w:pPr>
          </w:p>
        </w:tc>
      </w:tr>
      <w:tr w:rsidR="00780B8B" w:rsidRPr="00780B8B" w:rsidTr="00780B8B">
        <w:trPr>
          <w:jc w:val="center"/>
        </w:trPr>
        <w:tc>
          <w:tcPr>
            <w:tcW w:w="63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b/>
              </w:rPr>
              <w:t>Week-2</w:t>
            </w:r>
          </w:p>
        </w:tc>
        <w:tc>
          <w:tcPr>
            <w:tcW w:w="801" w:type="pct"/>
            <w:vAlign w:val="center"/>
          </w:tcPr>
          <w:p w:rsidR="00555F5A" w:rsidRPr="00780B8B" w:rsidRDefault="000F2DE9" w:rsidP="00EF21BF">
            <w:pPr>
              <w:snapToGrid w:val="0"/>
              <w:jc w:val="both"/>
              <w:rPr>
                <w:rFonts w:eastAsia="Calibri"/>
              </w:rPr>
            </w:pPr>
            <w:proofErr w:type="spellStart"/>
            <w:r w:rsidRPr="00780B8B">
              <w:rPr>
                <w:rFonts w:eastAsia="Calibri"/>
                <w:b/>
              </w:rPr>
              <w:t>Mean±SD</w:t>
            </w:r>
            <w:proofErr w:type="spellEnd"/>
          </w:p>
        </w:tc>
        <w:tc>
          <w:tcPr>
            <w:tcW w:w="898" w:type="pct"/>
            <w:vAlign w:val="center"/>
          </w:tcPr>
          <w:p w:rsidR="00555F5A" w:rsidRPr="00780B8B" w:rsidRDefault="000F2DE9" w:rsidP="00EF21BF">
            <w:pPr>
              <w:snapToGrid w:val="0"/>
              <w:jc w:val="both"/>
              <w:rPr>
                <w:rFonts w:eastAsia="Calibri"/>
              </w:rPr>
            </w:pPr>
            <w:r w:rsidRPr="00780B8B">
              <w:rPr>
                <w:rFonts w:eastAsia="Calibri"/>
              </w:rPr>
              <w:t>0.4±0.5</w:t>
            </w:r>
          </w:p>
        </w:tc>
        <w:tc>
          <w:tcPr>
            <w:tcW w:w="742" w:type="pct"/>
            <w:vAlign w:val="center"/>
          </w:tcPr>
          <w:p w:rsidR="00555F5A" w:rsidRPr="00780B8B" w:rsidRDefault="000F2DE9" w:rsidP="00EF21BF">
            <w:pPr>
              <w:snapToGrid w:val="0"/>
              <w:jc w:val="both"/>
              <w:rPr>
                <w:rFonts w:eastAsia="Calibri"/>
              </w:rPr>
            </w:pPr>
            <w:r w:rsidRPr="00780B8B">
              <w:rPr>
                <w:rFonts w:eastAsia="Calibri"/>
              </w:rPr>
              <w:t>0.1±0.3</w:t>
            </w:r>
          </w:p>
        </w:tc>
        <w:tc>
          <w:tcPr>
            <w:tcW w:w="765" w:type="pct"/>
            <w:vAlign w:val="center"/>
          </w:tcPr>
          <w:p w:rsidR="00555F5A" w:rsidRPr="00780B8B" w:rsidRDefault="000F2DE9" w:rsidP="00EF21BF">
            <w:pPr>
              <w:snapToGrid w:val="0"/>
              <w:jc w:val="both"/>
              <w:rPr>
                <w:rFonts w:eastAsia="Calibri"/>
              </w:rPr>
            </w:pPr>
            <w:r w:rsidRPr="00780B8B">
              <w:rPr>
                <w:rFonts w:eastAsia="Calibri"/>
              </w:rPr>
              <w:t>0.7±0.8</w:t>
            </w:r>
          </w:p>
        </w:tc>
        <w:tc>
          <w:tcPr>
            <w:tcW w:w="692" w:type="pct"/>
            <w:vAlign w:val="center"/>
          </w:tcPr>
          <w:p w:rsidR="00555F5A" w:rsidRPr="00780B8B" w:rsidRDefault="000F2DE9" w:rsidP="00EF21BF">
            <w:pPr>
              <w:snapToGrid w:val="0"/>
              <w:jc w:val="both"/>
              <w:rPr>
                <w:rFonts w:eastAsia="Calibri"/>
              </w:rPr>
            </w:pPr>
            <w:r w:rsidRPr="00780B8B">
              <w:rPr>
                <w:rFonts w:eastAsia="Calibri"/>
              </w:rPr>
              <w:t>1.0±1.1</w:t>
            </w:r>
          </w:p>
        </w:tc>
        <w:tc>
          <w:tcPr>
            <w:tcW w:w="46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rPr>
              <w:t>0.055</w:t>
            </w:r>
          </w:p>
        </w:tc>
      </w:tr>
      <w:tr w:rsidR="00780B8B" w:rsidRPr="00780B8B" w:rsidTr="00780B8B">
        <w:trPr>
          <w:jc w:val="center"/>
        </w:trPr>
        <w:tc>
          <w:tcPr>
            <w:tcW w:w="636" w:type="pct"/>
            <w:vMerge/>
            <w:vAlign w:val="center"/>
          </w:tcPr>
          <w:p w:rsidR="00555F5A" w:rsidRPr="00780B8B" w:rsidRDefault="00555F5A" w:rsidP="00EF21BF">
            <w:pPr>
              <w:snapToGrid w:val="0"/>
              <w:jc w:val="both"/>
            </w:pPr>
          </w:p>
        </w:tc>
        <w:tc>
          <w:tcPr>
            <w:tcW w:w="801" w:type="pct"/>
            <w:vAlign w:val="center"/>
          </w:tcPr>
          <w:p w:rsidR="00555F5A" w:rsidRPr="00780B8B" w:rsidRDefault="000F2DE9" w:rsidP="00EF21BF">
            <w:pPr>
              <w:snapToGrid w:val="0"/>
              <w:jc w:val="both"/>
              <w:rPr>
                <w:rFonts w:eastAsia="Calibri"/>
              </w:rPr>
            </w:pPr>
            <w:r w:rsidRPr="00780B8B">
              <w:rPr>
                <w:rFonts w:eastAsia="Calibri"/>
                <w:b/>
              </w:rPr>
              <w:t>Range</w:t>
            </w:r>
          </w:p>
        </w:tc>
        <w:tc>
          <w:tcPr>
            <w:tcW w:w="898" w:type="pct"/>
            <w:vAlign w:val="center"/>
          </w:tcPr>
          <w:p w:rsidR="00555F5A" w:rsidRPr="00780B8B" w:rsidRDefault="006712E7" w:rsidP="00EF21BF">
            <w:pPr>
              <w:snapToGrid w:val="0"/>
              <w:jc w:val="both"/>
              <w:rPr>
                <w:rFonts w:eastAsia="Calibri"/>
              </w:rPr>
            </w:pPr>
            <w:r w:rsidRPr="00780B8B">
              <w:rPr>
                <w:rFonts w:eastAsia="Calibri"/>
              </w:rPr>
              <w:t>0</w:t>
            </w:r>
          </w:p>
        </w:tc>
        <w:tc>
          <w:tcPr>
            <w:tcW w:w="742" w:type="pct"/>
            <w:vAlign w:val="center"/>
          </w:tcPr>
          <w:p w:rsidR="00555F5A" w:rsidRPr="00780B8B" w:rsidRDefault="000F2DE9" w:rsidP="00EF21BF">
            <w:pPr>
              <w:snapToGrid w:val="0"/>
              <w:jc w:val="both"/>
              <w:rPr>
                <w:rFonts w:eastAsia="Calibri"/>
              </w:rPr>
            </w:pPr>
            <w:r w:rsidRPr="00780B8B">
              <w:rPr>
                <w:rFonts w:eastAsia="Calibri"/>
              </w:rPr>
              <w:t>0.0–1.0</w:t>
            </w:r>
          </w:p>
        </w:tc>
        <w:tc>
          <w:tcPr>
            <w:tcW w:w="765" w:type="pct"/>
            <w:vAlign w:val="center"/>
          </w:tcPr>
          <w:p w:rsidR="00555F5A" w:rsidRPr="00780B8B" w:rsidRDefault="000F2DE9" w:rsidP="00EF21BF">
            <w:pPr>
              <w:snapToGrid w:val="0"/>
              <w:jc w:val="both"/>
              <w:rPr>
                <w:rFonts w:eastAsia="Calibri"/>
              </w:rPr>
            </w:pPr>
            <w:r w:rsidRPr="00780B8B">
              <w:rPr>
                <w:rFonts w:eastAsia="Calibri"/>
              </w:rPr>
              <w:t>0.0–2.0</w:t>
            </w:r>
          </w:p>
        </w:tc>
        <w:tc>
          <w:tcPr>
            <w:tcW w:w="692" w:type="pct"/>
            <w:vAlign w:val="center"/>
          </w:tcPr>
          <w:p w:rsidR="00555F5A" w:rsidRPr="00780B8B" w:rsidRDefault="000F2DE9" w:rsidP="00EF21BF">
            <w:pPr>
              <w:snapToGrid w:val="0"/>
              <w:jc w:val="both"/>
              <w:rPr>
                <w:rFonts w:eastAsia="Calibri"/>
              </w:rPr>
            </w:pPr>
            <w:r w:rsidRPr="00780B8B">
              <w:rPr>
                <w:rFonts w:eastAsia="Calibri"/>
              </w:rPr>
              <w:t>0.0–3.0</w:t>
            </w:r>
          </w:p>
        </w:tc>
        <w:tc>
          <w:tcPr>
            <w:tcW w:w="466" w:type="pct"/>
            <w:vMerge/>
            <w:vAlign w:val="center"/>
          </w:tcPr>
          <w:p w:rsidR="00555F5A" w:rsidRPr="00780B8B" w:rsidRDefault="00555F5A" w:rsidP="00EF21BF">
            <w:pPr>
              <w:snapToGrid w:val="0"/>
              <w:jc w:val="both"/>
            </w:pPr>
          </w:p>
        </w:tc>
      </w:tr>
    </w:tbl>
    <w:p w:rsidR="007A4777" w:rsidRDefault="007A4777" w:rsidP="00EF21BF">
      <w:pPr>
        <w:snapToGrid w:val="0"/>
        <w:ind w:firstLine="425"/>
        <w:jc w:val="both"/>
        <w:rPr>
          <w:rFonts w:eastAsia="Calibri"/>
        </w:rPr>
      </w:pPr>
    </w:p>
    <w:p w:rsidR="007A4777" w:rsidRDefault="000F2DE9" w:rsidP="00EF21BF">
      <w:pPr>
        <w:snapToGrid w:val="0"/>
        <w:ind w:firstLine="425"/>
        <w:jc w:val="both"/>
        <w:rPr>
          <w:rFonts w:eastAsia="Calibri"/>
        </w:rPr>
      </w:pPr>
      <w:r w:rsidRPr="00780B8B">
        <w:rPr>
          <w:rFonts w:eastAsia="Calibri"/>
        </w:rPr>
        <w:t xml:space="preserve">Table (3) show that: Regarding </w:t>
      </w:r>
      <w:r w:rsidRPr="00780B8B">
        <w:rPr>
          <w:rFonts w:eastAsia="Calibri"/>
          <w:b/>
        </w:rPr>
        <w:t>nasal discharge severity</w:t>
      </w:r>
      <w:r w:rsidRPr="00780B8B">
        <w:rPr>
          <w:rFonts w:eastAsia="Calibri"/>
        </w:rPr>
        <w:t xml:space="preserve">; gel foam has best findings, followed by no packing, then </w:t>
      </w:r>
      <w:proofErr w:type="spellStart"/>
      <w:r w:rsidRPr="00780B8B">
        <w:rPr>
          <w:rFonts w:eastAsia="Calibri"/>
        </w:rPr>
        <w:t>nasopore</w:t>
      </w:r>
      <w:proofErr w:type="spellEnd"/>
      <w:r w:rsidRPr="00780B8B">
        <w:rPr>
          <w:rFonts w:eastAsia="Calibri"/>
        </w:rPr>
        <w:t>, while tampon has worst findings with no significant statistical difference between them.</w:t>
      </w:r>
    </w:p>
    <w:p w:rsidR="007A4777" w:rsidRDefault="007A4777" w:rsidP="00EF21BF">
      <w:pPr>
        <w:snapToGrid w:val="0"/>
        <w:ind w:firstLine="425"/>
        <w:jc w:val="both"/>
      </w:pPr>
    </w:p>
    <w:p w:rsidR="00555F5A" w:rsidRPr="00780B8B" w:rsidRDefault="000F2DE9" w:rsidP="00EF21BF">
      <w:pPr>
        <w:snapToGrid w:val="0"/>
        <w:jc w:val="center"/>
        <w:rPr>
          <w:rFonts w:eastAsia="Calibri"/>
        </w:rPr>
      </w:pPr>
      <w:r w:rsidRPr="00780B8B">
        <w:rPr>
          <w:rFonts w:eastAsia="Calibri"/>
          <w:b/>
        </w:rPr>
        <w:t xml:space="preserve">Table (4): </w:t>
      </w:r>
      <w:r w:rsidRPr="00780B8B">
        <w:rPr>
          <w:rFonts w:eastAsia="Calibri"/>
        </w:rPr>
        <w:t>Postnasal discharge severity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04"/>
        <w:gridCol w:w="1518"/>
        <w:gridCol w:w="1702"/>
        <w:gridCol w:w="1406"/>
        <w:gridCol w:w="1450"/>
        <w:gridCol w:w="1311"/>
        <w:gridCol w:w="883"/>
      </w:tblGrid>
      <w:tr w:rsidR="00780B8B" w:rsidRPr="00780B8B" w:rsidTr="00780B8B">
        <w:trPr>
          <w:jc w:val="center"/>
        </w:trPr>
        <w:tc>
          <w:tcPr>
            <w:tcW w:w="636" w:type="pct"/>
            <w:vAlign w:val="center"/>
          </w:tcPr>
          <w:p w:rsidR="00555F5A" w:rsidRPr="00780B8B" w:rsidRDefault="000F2DE9" w:rsidP="00EF21BF">
            <w:pPr>
              <w:snapToGrid w:val="0"/>
              <w:jc w:val="both"/>
              <w:rPr>
                <w:rFonts w:eastAsia="Calibri"/>
              </w:rPr>
            </w:pPr>
            <w:r w:rsidRPr="00780B8B">
              <w:rPr>
                <w:rFonts w:eastAsia="Calibri"/>
                <w:b/>
              </w:rPr>
              <w:t>Time</w:t>
            </w:r>
          </w:p>
        </w:tc>
        <w:tc>
          <w:tcPr>
            <w:tcW w:w="801" w:type="pct"/>
            <w:vAlign w:val="center"/>
          </w:tcPr>
          <w:p w:rsidR="00555F5A" w:rsidRPr="00780B8B" w:rsidRDefault="000F2DE9" w:rsidP="00EF21BF">
            <w:pPr>
              <w:snapToGrid w:val="0"/>
              <w:jc w:val="both"/>
              <w:rPr>
                <w:rFonts w:eastAsia="Calibri"/>
              </w:rPr>
            </w:pPr>
            <w:r w:rsidRPr="00780B8B">
              <w:rPr>
                <w:rFonts w:eastAsia="Calibri"/>
                <w:b/>
              </w:rPr>
              <w:t>Measure</w:t>
            </w:r>
          </w:p>
        </w:tc>
        <w:tc>
          <w:tcPr>
            <w:tcW w:w="898" w:type="pct"/>
            <w:vAlign w:val="center"/>
          </w:tcPr>
          <w:p w:rsidR="00555F5A" w:rsidRPr="00780B8B" w:rsidRDefault="000F2DE9" w:rsidP="00EF21BF">
            <w:pPr>
              <w:snapToGrid w:val="0"/>
              <w:jc w:val="both"/>
              <w:rPr>
                <w:rFonts w:eastAsia="Calibri"/>
              </w:rPr>
            </w:pPr>
            <w:r w:rsidRPr="00780B8B">
              <w:rPr>
                <w:rFonts w:eastAsia="Calibri"/>
                <w:b/>
              </w:rPr>
              <w:t>No packing</w:t>
            </w:r>
          </w:p>
        </w:tc>
        <w:tc>
          <w:tcPr>
            <w:tcW w:w="742" w:type="pct"/>
            <w:vAlign w:val="center"/>
          </w:tcPr>
          <w:p w:rsidR="00555F5A" w:rsidRPr="00780B8B" w:rsidRDefault="000F2DE9" w:rsidP="00EF21BF">
            <w:pPr>
              <w:snapToGrid w:val="0"/>
              <w:jc w:val="both"/>
              <w:rPr>
                <w:rFonts w:eastAsia="Calibri"/>
              </w:rPr>
            </w:pPr>
            <w:r w:rsidRPr="00780B8B">
              <w:rPr>
                <w:rFonts w:eastAsia="Calibri"/>
                <w:b/>
              </w:rPr>
              <w:t>Gel foam</w:t>
            </w:r>
          </w:p>
        </w:tc>
        <w:tc>
          <w:tcPr>
            <w:tcW w:w="765" w:type="pct"/>
            <w:vAlign w:val="center"/>
          </w:tcPr>
          <w:p w:rsidR="00555F5A" w:rsidRPr="00780B8B" w:rsidRDefault="000F2DE9" w:rsidP="00EF21BF">
            <w:pPr>
              <w:snapToGrid w:val="0"/>
              <w:jc w:val="both"/>
              <w:rPr>
                <w:rFonts w:eastAsia="Calibri"/>
              </w:rPr>
            </w:pPr>
            <w:proofErr w:type="spellStart"/>
            <w:r w:rsidRPr="00780B8B">
              <w:rPr>
                <w:rFonts w:eastAsia="Calibri"/>
                <w:b/>
              </w:rPr>
              <w:t>Nasopore</w:t>
            </w:r>
            <w:proofErr w:type="spellEnd"/>
          </w:p>
        </w:tc>
        <w:tc>
          <w:tcPr>
            <w:tcW w:w="692" w:type="pct"/>
            <w:vAlign w:val="center"/>
          </w:tcPr>
          <w:p w:rsidR="00555F5A" w:rsidRPr="00780B8B" w:rsidRDefault="000F2DE9" w:rsidP="00EF21BF">
            <w:pPr>
              <w:snapToGrid w:val="0"/>
              <w:jc w:val="both"/>
              <w:rPr>
                <w:rFonts w:eastAsia="Calibri"/>
              </w:rPr>
            </w:pPr>
            <w:r w:rsidRPr="00780B8B">
              <w:rPr>
                <w:rFonts w:eastAsia="Calibri"/>
                <w:b/>
              </w:rPr>
              <w:t>Tampon</w:t>
            </w:r>
          </w:p>
        </w:tc>
        <w:tc>
          <w:tcPr>
            <w:tcW w:w="466" w:type="pct"/>
            <w:vAlign w:val="center"/>
          </w:tcPr>
          <w:p w:rsidR="00555F5A" w:rsidRPr="00780B8B" w:rsidRDefault="000F2DE9" w:rsidP="00EF21BF">
            <w:pPr>
              <w:snapToGrid w:val="0"/>
              <w:jc w:val="both"/>
              <w:rPr>
                <w:rFonts w:eastAsia="Calibri"/>
              </w:rPr>
            </w:pPr>
            <w:r w:rsidRPr="00780B8B">
              <w:rPr>
                <w:rFonts w:eastAsia="Calibri"/>
                <w:b/>
              </w:rPr>
              <w:t>^P</w:t>
            </w:r>
          </w:p>
        </w:tc>
      </w:tr>
      <w:tr w:rsidR="00780B8B" w:rsidRPr="00780B8B" w:rsidTr="00780B8B">
        <w:trPr>
          <w:jc w:val="center"/>
        </w:trPr>
        <w:tc>
          <w:tcPr>
            <w:tcW w:w="63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b/>
              </w:rPr>
              <w:t>Day-2</w:t>
            </w:r>
          </w:p>
        </w:tc>
        <w:tc>
          <w:tcPr>
            <w:tcW w:w="801" w:type="pct"/>
            <w:vAlign w:val="center"/>
          </w:tcPr>
          <w:p w:rsidR="00555F5A" w:rsidRPr="00780B8B" w:rsidRDefault="000F2DE9" w:rsidP="00EF21BF">
            <w:pPr>
              <w:snapToGrid w:val="0"/>
              <w:jc w:val="both"/>
              <w:rPr>
                <w:rFonts w:eastAsia="Calibri"/>
              </w:rPr>
            </w:pPr>
            <w:proofErr w:type="spellStart"/>
            <w:r w:rsidRPr="00780B8B">
              <w:rPr>
                <w:rFonts w:eastAsia="Calibri"/>
                <w:b/>
              </w:rPr>
              <w:t>Mean±SD</w:t>
            </w:r>
            <w:proofErr w:type="spellEnd"/>
          </w:p>
        </w:tc>
        <w:tc>
          <w:tcPr>
            <w:tcW w:w="898" w:type="pct"/>
            <w:vAlign w:val="center"/>
          </w:tcPr>
          <w:p w:rsidR="00555F5A" w:rsidRPr="00780B8B" w:rsidRDefault="000F2DE9" w:rsidP="00EF21BF">
            <w:pPr>
              <w:snapToGrid w:val="0"/>
              <w:jc w:val="both"/>
              <w:rPr>
                <w:rFonts w:eastAsia="Calibri"/>
              </w:rPr>
            </w:pPr>
            <w:r w:rsidRPr="00780B8B">
              <w:rPr>
                <w:rFonts w:eastAsia="Calibri"/>
              </w:rPr>
              <w:t>2.1±0.6</w:t>
            </w:r>
          </w:p>
        </w:tc>
        <w:tc>
          <w:tcPr>
            <w:tcW w:w="742" w:type="pct"/>
            <w:vAlign w:val="center"/>
          </w:tcPr>
          <w:p w:rsidR="00555F5A" w:rsidRPr="00780B8B" w:rsidRDefault="000F2DE9" w:rsidP="00EF21BF">
            <w:pPr>
              <w:snapToGrid w:val="0"/>
              <w:jc w:val="both"/>
              <w:rPr>
                <w:rFonts w:eastAsia="Calibri"/>
              </w:rPr>
            </w:pPr>
            <w:r w:rsidRPr="00780B8B">
              <w:rPr>
                <w:rFonts w:eastAsia="Calibri"/>
              </w:rPr>
              <w:t>1.9±0.7</w:t>
            </w:r>
          </w:p>
        </w:tc>
        <w:tc>
          <w:tcPr>
            <w:tcW w:w="765" w:type="pct"/>
            <w:vAlign w:val="center"/>
          </w:tcPr>
          <w:p w:rsidR="00555F5A" w:rsidRPr="00780B8B" w:rsidRDefault="000F2DE9" w:rsidP="00EF21BF">
            <w:pPr>
              <w:snapToGrid w:val="0"/>
              <w:jc w:val="both"/>
              <w:rPr>
                <w:rFonts w:eastAsia="Calibri"/>
              </w:rPr>
            </w:pPr>
            <w:r w:rsidRPr="00780B8B">
              <w:rPr>
                <w:rFonts w:eastAsia="Calibri"/>
              </w:rPr>
              <w:t>2.3±0.7</w:t>
            </w:r>
          </w:p>
        </w:tc>
        <w:tc>
          <w:tcPr>
            <w:tcW w:w="692" w:type="pct"/>
            <w:vAlign w:val="center"/>
          </w:tcPr>
          <w:p w:rsidR="00555F5A" w:rsidRPr="00780B8B" w:rsidRDefault="000F2DE9" w:rsidP="00EF21BF">
            <w:pPr>
              <w:snapToGrid w:val="0"/>
              <w:jc w:val="both"/>
              <w:rPr>
                <w:rFonts w:eastAsia="Calibri"/>
              </w:rPr>
            </w:pPr>
            <w:r w:rsidRPr="00780B8B">
              <w:rPr>
                <w:rFonts w:eastAsia="Calibri"/>
              </w:rPr>
              <w:t>2.6±0.5</w:t>
            </w:r>
          </w:p>
        </w:tc>
        <w:tc>
          <w:tcPr>
            <w:tcW w:w="46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rPr>
              <w:t>0.100</w:t>
            </w:r>
          </w:p>
        </w:tc>
      </w:tr>
      <w:tr w:rsidR="00780B8B" w:rsidRPr="00780B8B" w:rsidTr="00780B8B">
        <w:trPr>
          <w:jc w:val="center"/>
        </w:trPr>
        <w:tc>
          <w:tcPr>
            <w:tcW w:w="636" w:type="pct"/>
            <w:vMerge/>
            <w:vAlign w:val="center"/>
          </w:tcPr>
          <w:p w:rsidR="00555F5A" w:rsidRPr="00780B8B" w:rsidRDefault="00555F5A" w:rsidP="00EF21BF">
            <w:pPr>
              <w:snapToGrid w:val="0"/>
              <w:jc w:val="both"/>
            </w:pPr>
          </w:p>
        </w:tc>
        <w:tc>
          <w:tcPr>
            <w:tcW w:w="801" w:type="pct"/>
            <w:vAlign w:val="center"/>
          </w:tcPr>
          <w:p w:rsidR="00555F5A" w:rsidRPr="00780B8B" w:rsidRDefault="000F2DE9" w:rsidP="00EF21BF">
            <w:pPr>
              <w:snapToGrid w:val="0"/>
              <w:jc w:val="both"/>
              <w:rPr>
                <w:rFonts w:eastAsia="Calibri"/>
              </w:rPr>
            </w:pPr>
            <w:r w:rsidRPr="00780B8B">
              <w:rPr>
                <w:rFonts w:eastAsia="Calibri"/>
                <w:b/>
              </w:rPr>
              <w:t>Range</w:t>
            </w:r>
          </w:p>
        </w:tc>
        <w:tc>
          <w:tcPr>
            <w:tcW w:w="898" w:type="pct"/>
            <w:vAlign w:val="center"/>
          </w:tcPr>
          <w:p w:rsidR="00555F5A" w:rsidRPr="00780B8B" w:rsidRDefault="000F2DE9" w:rsidP="00EF21BF">
            <w:pPr>
              <w:snapToGrid w:val="0"/>
              <w:jc w:val="both"/>
              <w:rPr>
                <w:rFonts w:eastAsia="Calibri"/>
              </w:rPr>
            </w:pPr>
            <w:r w:rsidRPr="00780B8B">
              <w:rPr>
                <w:rFonts w:eastAsia="Calibri"/>
              </w:rPr>
              <w:t>1.0–3.0</w:t>
            </w:r>
          </w:p>
        </w:tc>
        <w:tc>
          <w:tcPr>
            <w:tcW w:w="742" w:type="pct"/>
            <w:vAlign w:val="center"/>
          </w:tcPr>
          <w:p w:rsidR="00555F5A" w:rsidRPr="00780B8B" w:rsidRDefault="000F2DE9" w:rsidP="00EF21BF">
            <w:pPr>
              <w:snapToGrid w:val="0"/>
              <w:jc w:val="both"/>
              <w:rPr>
                <w:rFonts w:eastAsia="Calibri"/>
              </w:rPr>
            </w:pPr>
            <w:r w:rsidRPr="00780B8B">
              <w:rPr>
                <w:rFonts w:eastAsia="Calibri"/>
              </w:rPr>
              <w:t>1.0–3.0</w:t>
            </w:r>
          </w:p>
        </w:tc>
        <w:tc>
          <w:tcPr>
            <w:tcW w:w="765" w:type="pct"/>
            <w:vAlign w:val="center"/>
          </w:tcPr>
          <w:p w:rsidR="00555F5A" w:rsidRPr="00780B8B" w:rsidRDefault="000F2DE9" w:rsidP="00EF21BF">
            <w:pPr>
              <w:snapToGrid w:val="0"/>
              <w:jc w:val="both"/>
              <w:rPr>
                <w:rFonts w:eastAsia="Calibri"/>
              </w:rPr>
            </w:pPr>
            <w:r w:rsidRPr="00780B8B">
              <w:rPr>
                <w:rFonts w:eastAsia="Calibri"/>
              </w:rPr>
              <w:t>1.0–3.0</w:t>
            </w:r>
          </w:p>
        </w:tc>
        <w:tc>
          <w:tcPr>
            <w:tcW w:w="692" w:type="pct"/>
            <w:vAlign w:val="center"/>
          </w:tcPr>
          <w:p w:rsidR="00555F5A" w:rsidRPr="00780B8B" w:rsidRDefault="000F2DE9" w:rsidP="00EF21BF">
            <w:pPr>
              <w:snapToGrid w:val="0"/>
              <w:jc w:val="both"/>
              <w:rPr>
                <w:rFonts w:eastAsia="Calibri"/>
              </w:rPr>
            </w:pPr>
            <w:r w:rsidRPr="00780B8B">
              <w:rPr>
                <w:rFonts w:eastAsia="Calibri"/>
              </w:rPr>
              <w:t>2.0–3.0</w:t>
            </w:r>
          </w:p>
        </w:tc>
        <w:tc>
          <w:tcPr>
            <w:tcW w:w="466" w:type="pct"/>
            <w:vMerge/>
            <w:vAlign w:val="center"/>
          </w:tcPr>
          <w:p w:rsidR="00555F5A" w:rsidRPr="00780B8B" w:rsidRDefault="00555F5A" w:rsidP="00EF21BF">
            <w:pPr>
              <w:snapToGrid w:val="0"/>
              <w:jc w:val="both"/>
            </w:pPr>
          </w:p>
        </w:tc>
      </w:tr>
      <w:tr w:rsidR="00780B8B" w:rsidRPr="00780B8B" w:rsidTr="00780B8B">
        <w:trPr>
          <w:jc w:val="center"/>
        </w:trPr>
        <w:tc>
          <w:tcPr>
            <w:tcW w:w="63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b/>
              </w:rPr>
              <w:t>Week-2</w:t>
            </w:r>
          </w:p>
        </w:tc>
        <w:tc>
          <w:tcPr>
            <w:tcW w:w="801" w:type="pct"/>
            <w:vAlign w:val="center"/>
          </w:tcPr>
          <w:p w:rsidR="00555F5A" w:rsidRPr="00780B8B" w:rsidRDefault="000F2DE9" w:rsidP="00EF21BF">
            <w:pPr>
              <w:snapToGrid w:val="0"/>
              <w:jc w:val="both"/>
              <w:rPr>
                <w:rFonts w:eastAsia="Calibri"/>
              </w:rPr>
            </w:pPr>
            <w:proofErr w:type="spellStart"/>
            <w:r w:rsidRPr="00780B8B">
              <w:rPr>
                <w:rFonts w:eastAsia="Calibri"/>
                <w:b/>
              </w:rPr>
              <w:t>Mean±SD</w:t>
            </w:r>
            <w:proofErr w:type="spellEnd"/>
          </w:p>
        </w:tc>
        <w:tc>
          <w:tcPr>
            <w:tcW w:w="898" w:type="pct"/>
            <w:vAlign w:val="center"/>
          </w:tcPr>
          <w:p w:rsidR="00555F5A" w:rsidRPr="00780B8B" w:rsidRDefault="000F2DE9" w:rsidP="00EF21BF">
            <w:pPr>
              <w:snapToGrid w:val="0"/>
              <w:jc w:val="both"/>
              <w:rPr>
                <w:rFonts w:eastAsia="Calibri"/>
              </w:rPr>
            </w:pPr>
            <w:r w:rsidRPr="00780B8B">
              <w:rPr>
                <w:rFonts w:eastAsia="Calibri"/>
              </w:rPr>
              <w:t>0.5±0.5</w:t>
            </w:r>
          </w:p>
        </w:tc>
        <w:tc>
          <w:tcPr>
            <w:tcW w:w="742" w:type="pct"/>
            <w:vAlign w:val="center"/>
          </w:tcPr>
          <w:p w:rsidR="00555F5A" w:rsidRPr="00780B8B" w:rsidRDefault="000F2DE9" w:rsidP="00EF21BF">
            <w:pPr>
              <w:snapToGrid w:val="0"/>
              <w:jc w:val="both"/>
              <w:rPr>
                <w:rFonts w:eastAsia="Calibri"/>
              </w:rPr>
            </w:pPr>
            <w:r w:rsidRPr="00780B8B">
              <w:rPr>
                <w:rFonts w:eastAsia="Calibri"/>
              </w:rPr>
              <w:t>0.2±0.4</w:t>
            </w:r>
          </w:p>
        </w:tc>
        <w:tc>
          <w:tcPr>
            <w:tcW w:w="765" w:type="pct"/>
            <w:vAlign w:val="center"/>
          </w:tcPr>
          <w:p w:rsidR="00555F5A" w:rsidRPr="00780B8B" w:rsidRDefault="000F2DE9" w:rsidP="00EF21BF">
            <w:pPr>
              <w:snapToGrid w:val="0"/>
              <w:jc w:val="both"/>
              <w:rPr>
                <w:rFonts w:eastAsia="Calibri"/>
              </w:rPr>
            </w:pPr>
            <w:r w:rsidRPr="00780B8B">
              <w:rPr>
                <w:rFonts w:eastAsia="Calibri"/>
              </w:rPr>
              <w:t>0.8±0.8</w:t>
            </w:r>
          </w:p>
        </w:tc>
        <w:tc>
          <w:tcPr>
            <w:tcW w:w="692" w:type="pct"/>
            <w:vAlign w:val="center"/>
          </w:tcPr>
          <w:p w:rsidR="00555F5A" w:rsidRPr="00780B8B" w:rsidRDefault="000F2DE9" w:rsidP="00EF21BF">
            <w:pPr>
              <w:snapToGrid w:val="0"/>
              <w:jc w:val="both"/>
              <w:rPr>
                <w:rFonts w:eastAsia="Calibri"/>
              </w:rPr>
            </w:pPr>
            <w:r w:rsidRPr="00780B8B">
              <w:rPr>
                <w:rFonts w:eastAsia="Calibri"/>
              </w:rPr>
              <w:t>1.0±0.9</w:t>
            </w:r>
          </w:p>
        </w:tc>
        <w:tc>
          <w:tcPr>
            <w:tcW w:w="46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rPr>
              <w:t>0.076</w:t>
            </w:r>
          </w:p>
        </w:tc>
      </w:tr>
      <w:tr w:rsidR="00780B8B" w:rsidRPr="00780B8B" w:rsidTr="00780B8B">
        <w:trPr>
          <w:jc w:val="center"/>
        </w:trPr>
        <w:tc>
          <w:tcPr>
            <w:tcW w:w="636" w:type="pct"/>
            <w:vMerge/>
            <w:vAlign w:val="center"/>
          </w:tcPr>
          <w:p w:rsidR="00555F5A" w:rsidRPr="00780B8B" w:rsidRDefault="00555F5A" w:rsidP="00EF21BF">
            <w:pPr>
              <w:snapToGrid w:val="0"/>
              <w:jc w:val="both"/>
            </w:pPr>
          </w:p>
        </w:tc>
        <w:tc>
          <w:tcPr>
            <w:tcW w:w="801" w:type="pct"/>
            <w:vAlign w:val="center"/>
          </w:tcPr>
          <w:p w:rsidR="00555F5A" w:rsidRPr="00780B8B" w:rsidRDefault="000F2DE9" w:rsidP="00EF21BF">
            <w:pPr>
              <w:snapToGrid w:val="0"/>
              <w:jc w:val="both"/>
              <w:rPr>
                <w:rFonts w:eastAsia="Calibri"/>
              </w:rPr>
            </w:pPr>
            <w:r w:rsidRPr="00780B8B">
              <w:rPr>
                <w:rFonts w:eastAsia="Calibri"/>
                <w:b/>
              </w:rPr>
              <w:t>Range</w:t>
            </w:r>
          </w:p>
        </w:tc>
        <w:tc>
          <w:tcPr>
            <w:tcW w:w="898" w:type="pct"/>
            <w:vAlign w:val="center"/>
          </w:tcPr>
          <w:p w:rsidR="00555F5A" w:rsidRPr="00780B8B" w:rsidRDefault="000F2DE9" w:rsidP="00EF21BF">
            <w:pPr>
              <w:snapToGrid w:val="0"/>
              <w:jc w:val="both"/>
              <w:rPr>
                <w:rFonts w:eastAsia="Calibri"/>
              </w:rPr>
            </w:pPr>
            <w:r w:rsidRPr="00780B8B">
              <w:rPr>
                <w:rFonts w:eastAsia="Calibri"/>
              </w:rPr>
              <w:t>0.0–1.0</w:t>
            </w:r>
          </w:p>
        </w:tc>
        <w:tc>
          <w:tcPr>
            <w:tcW w:w="742" w:type="pct"/>
            <w:vAlign w:val="center"/>
          </w:tcPr>
          <w:p w:rsidR="00555F5A" w:rsidRPr="00780B8B" w:rsidRDefault="000F2DE9" w:rsidP="00EF21BF">
            <w:pPr>
              <w:snapToGrid w:val="0"/>
              <w:jc w:val="both"/>
              <w:rPr>
                <w:rFonts w:eastAsia="Calibri"/>
              </w:rPr>
            </w:pPr>
            <w:r w:rsidRPr="00780B8B">
              <w:rPr>
                <w:rFonts w:eastAsia="Calibri"/>
              </w:rPr>
              <w:t>0.0–1.0</w:t>
            </w:r>
          </w:p>
        </w:tc>
        <w:tc>
          <w:tcPr>
            <w:tcW w:w="765" w:type="pct"/>
            <w:vAlign w:val="center"/>
          </w:tcPr>
          <w:p w:rsidR="00555F5A" w:rsidRPr="00780B8B" w:rsidRDefault="000F2DE9" w:rsidP="00EF21BF">
            <w:pPr>
              <w:snapToGrid w:val="0"/>
              <w:jc w:val="both"/>
              <w:rPr>
                <w:rFonts w:eastAsia="Calibri"/>
              </w:rPr>
            </w:pPr>
            <w:r w:rsidRPr="00780B8B">
              <w:rPr>
                <w:rFonts w:eastAsia="Calibri"/>
              </w:rPr>
              <w:t>0.0–2.0</w:t>
            </w:r>
          </w:p>
        </w:tc>
        <w:tc>
          <w:tcPr>
            <w:tcW w:w="692" w:type="pct"/>
            <w:vAlign w:val="center"/>
          </w:tcPr>
          <w:p w:rsidR="00555F5A" w:rsidRPr="00780B8B" w:rsidRDefault="000F2DE9" w:rsidP="00EF21BF">
            <w:pPr>
              <w:snapToGrid w:val="0"/>
              <w:jc w:val="both"/>
              <w:rPr>
                <w:rFonts w:eastAsia="Calibri"/>
              </w:rPr>
            </w:pPr>
            <w:r w:rsidRPr="00780B8B">
              <w:rPr>
                <w:rFonts w:eastAsia="Calibri"/>
              </w:rPr>
              <w:t>0.0–3.0</w:t>
            </w:r>
          </w:p>
        </w:tc>
        <w:tc>
          <w:tcPr>
            <w:tcW w:w="466" w:type="pct"/>
            <w:vMerge/>
            <w:vAlign w:val="center"/>
          </w:tcPr>
          <w:p w:rsidR="00555F5A" w:rsidRPr="00780B8B" w:rsidRDefault="00555F5A" w:rsidP="00EF21BF">
            <w:pPr>
              <w:snapToGrid w:val="0"/>
              <w:jc w:val="both"/>
            </w:pPr>
          </w:p>
        </w:tc>
      </w:tr>
    </w:tbl>
    <w:p w:rsidR="007A4777" w:rsidRDefault="000F2DE9" w:rsidP="007A4777">
      <w:pPr>
        <w:snapToGrid w:val="0"/>
        <w:jc w:val="both"/>
        <w:rPr>
          <w:rFonts w:eastAsia="Calibri"/>
        </w:rPr>
      </w:pPr>
      <w:r w:rsidRPr="00780B8B">
        <w:rPr>
          <w:rFonts w:eastAsia="Calibri"/>
        </w:rPr>
        <w:t>ANOVA test</w:t>
      </w:r>
    </w:p>
    <w:p w:rsidR="007A4777" w:rsidRDefault="007A4777" w:rsidP="00EF21BF">
      <w:pPr>
        <w:snapToGrid w:val="0"/>
        <w:ind w:firstLine="425"/>
        <w:jc w:val="both"/>
        <w:rPr>
          <w:rFonts w:eastAsia="Calibri"/>
          <w:szCs w:val="18"/>
        </w:rPr>
      </w:pPr>
    </w:p>
    <w:p w:rsidR="007A4777" w:rsidRDefault="000F2DE9" w:rsidP="00EF21BF">
      <w:pPr>
        <w:snapToGrid w:val="0"/>
        <w:ind w:firstLine="425"/>
        <w:jc w:val="both"/>
        <w:rPr>
          <w:rFonts w:eastAsia="Calibri"/>
        </w:rPr>
      </w:pPr>
      <w:r w:rsidRPr="00780B8B">
        <w:rPr>
          <w:rFonts w:eastAsia="Calibri"/>
        </w:rPr>
        <w:t>Table (4) show that:</w:t>
      </w:r>
      <w:r w:rsidR="00780B8B" w:rsidRPr="00780B8B">
        <w:rPr>
          <w:rFonts w:eastAsia="Calibri"/>
        </w:rPr>
        <w:t xml:space="preserve"> </w:t>
      </w:r>
      <w:r w:rsidRPr="00780B8B">
        <w:rPr>
          <w:rFonts w:eastAsia="Calibri"/>
        </w:rPr>
        <w:t>Regarding</w:t>
      </w:r>
      <w:r w:rsidR="00780B8B" w:rsidRPr="00780B8B">
        <w:rPr>
          <w:rFonts w:eastAsia="Calibri"/>
        </w:rPr>
        <w:t xml:space="preserve"> </w:t>
      </w:r>
      <w:r w:rsidRPr="00780B8B">
        <w:rPr>
          <w:rFonts w:eastAsia="Calibri"/>
          <w:b/>
        </w:rPr>
        <w:t>postnasal</w:t>
      </w:r>
      <w:r w:rsidR="00780B8B" w:rsidRPr="00780B8B">
        <w:rPr>
          <w:rFonts w:eastAsia="Calibri"/>
          <w:b/>
        </w:rPr>
        <w:t xml:space="preserve"> </w:t>
      </w:r>
      <w:r w:rsidRPr="00780B8B">
        <w:rPr>
          <w:rFonts w:eastAsia="Calibri"/>
          <w:b/>
        </w:rPr>
        <w:t>discharge severity</w:t>
      </w:r>
      <w:r w:rsidRPr="00780B8B">
        <w:rPr>
          <w:rFonts w:eastAsia="Calibri"/>
        </w:rPr>
        <w:t>;</w:t>
      </w:r>
      <w:r w:rsidR="00780B8B" w:rsidRPr="00780B8B">
        <w:rPr>
          <w:rFonts w:eastAsia="Calibri"/>
        </w:rPr>
        <w:t xml:space="preserve"> </w:t>
      </w:r>
      <w:r w:rsidRPr="00780B8B">
        <w:rPr>
          <w:rFonts w:eastAsia="Calibri"/>
        </w:rPr>
        <w:t xml:space="preserve">gel foam has best findings, followed by no packing, then </w:t>
      </w:r>
      <w:proofErr w:type="spellStart"/>
      <w:r w:rsidRPr="00780B8B">
        <w:rPr>
          <w:rFonts w:eastAsia="Calibri"/>
        </w:rPr>
        <w:t>nasopore</w:t>
      </w:r>
      <w:proofErr w:type="spellEnd"/>
      <w:r w:rsidRPr="00780B8B">
        <w:rPr>
          <w:rFonts w:eastAsia="Calibri"/>
        </w:rPr>
        <w:t>, while tampon has worst findings with no significant statistical difference between them.</w:t>
      </w:r>
    </w:p>
    <w:p w:rsidR="007A4777" w:rsidRDefault="007A4777" w:rsidP="00EF21BF">
      <w:pPr>
        <w:snapToGrid w:val="0"/>
        <w:jc w:val="center"/>
      </w:pPr>
    </w:p>
    <w:p w:rsidR="00555F5A" w:rsidRPr="00780B8B" w:rsidRDefault="000F2DE9" w:rsidP="00EF21BF">
      <w:pPr>
        <w:snapToGrid w:val="0"/>
        <w:jc w:val="center"/>
        <w:rPr>
          <w:rFonts w:eastAsia="Calibri"/>
        </w:rPr>
      </w:pPr>
      <w:r w:rsidRPr="00780B8B">
        <w:rPr>
          <w:rFonts w:eastAsia="Calibri"/>
          <w:b/>
        </w:rPr>
        <w:t xml:space="preserve">Table (5): </w:t>
      </w:r>
      <w:r w:rsidRPr="00780B8B">
        <w:rPr>
          <w:rFonts w:eastAsia="Calibri"/>
        </w:rPr>
        <w:t>Olfactory disturbances severity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04"/>
        <w:gridCol w:w="1518"/>
        <w:gridCol w:w="1702"/>
        <w:gridCol w:w="1406"/>
        <w:gridCol w:w="1450"/>
        <w:gridCol w:w="1311"/>
        <w:gridCol w:w="883"/>
      </w:tblGrid>
      <w:tr w:rsidR="00780B8B" w:rsidRPr="00780B8B" w:rsidTr="00780B8B">
        <w:trPr>
          <w:jc w:val="center"/>
        </w:trPr>
        <w:tc>
          <w:tcPr>
            <w:tcW w:w="636" w:type="pct"/>
            <w:vAlign w:val="center"/>
          </w:tcPr>
          <w:p w:rsidR="00555F5A" w:rsidRPr="00780B8B" w:rsidRDefault="000F2DE9" w:rsidP="00EF21BF">
            <w:pPr>
              <w:snapToGrid w:val="0"/>
              <w:jc w:val="both"/>
              <w:rPr>
                <w:rFonts w:eastAsia="Calibri"/>
              </w:rPr>
            </w:pPr>
            <w:r w:rsidRPr="00780B8B">
              <w:rPr>
                <w:rFonts w:eastAsia="Calibri"/>
                <w:b/>
              </w:rPr>
              <w:t>Time</w:t>
            </w:r>
          </w:p>
        </w:tc>
        <w:tc>
          <w:tcPr>
            <w:tcW w:w="801" w:type="pct"/>
            <w:vAlign w:val="center"/>
          </w:tcPr>
          <w:p w:rsidR="00555F5A" w:rsidRPr="00780B8B" w:rsidRDefault="000F2DE9" w:rsidP="00EF21BF">
            <w:pPr>
              <w:snapToGrid w:val="0"/>
              <w:jc w:val="both"/>
              <w:rPr>
                <w:rFonts w:eastAsia="Calibri"/>
              </w:rPr>
            </w:pPr>
            <w:r w:rsidRPr="00780B8B">
              <w:rPr>
                <w:rFonts w:eastAsia="Calibri"/>
                <w:b/>
              </w:rPr>
              <w:t>Measure</w:t>
            </w:r>
          </w:p>
        </w:tc>
        <w:tc>
          <w:tcPr>
            <w:tcW w:w="898" w:type="pct"/>
            <w:vAlign w:val="center"/>
          </w:tcPr>
          <w:p w:rsidR="00555F5A" w:rsidRPr="00780B8B" w:rsidRDefault="000F2DE9" w:rsidP="00EF21BF">
            <w:pPr>
              <w:snapToGrid w:val="0"/>
              <w:jc w:val="both"/>
              <w:rPr>
                <w:rFonts w:eastAsia="Calibri"/>
              </w:rPr>
            </w:pPr>
            <w:r w:rsidRPr="00780B8B">
              <w:rPr>
                <w:rFonts w:eastAsia="Calibri"/>
                <w:b/>
              </w:rPr>
              <w:t>No packing</w:t>
            </w:r>
          </w:p>
        </w:tc>
        <w:tc>
          <w:tcPr>
            <w:tcW w:w="742" w:type="pct"/>
            <w:vAlign w:val="center"/>
          </w:tcPr>
          <w:p w:rsidR="00555F5A" w:rsidRPr="00780B8B" w:rsidRDefault="000F2DE9" w:rsidP="00EF21BF">
            <w:pPr>
              <w:snapToGrid w:val="0"/>
              <w:jc w:val="both"/>
              <w:rPr>
                <w:rFonts w:eastAsia="Calibri"/>
              </w:rPr>
            </w:pPr>
            <w:r w:rsidRPr="00780B8B">
              <w:rPr>
                <w:rFonts w:eastAsia="Calibri"/>
                <w:b/>
              </w:rPr>
              <w:t>Gel foam</w:t>
            </w:r>
          </w:p>
        </w:tc>
        <w:tc>
          <w:tcPr>
            <w:tcW w:w="765" w:type="pct"/>
            <w:vAlign w:val="center"/>
          </w:tcPr>
          <w:p w:rsidR="00555F5A" w:rsidRPr="00780B8B" w:rsidRDefault="000F2DE9" w:rsidP="00EF21BF">
            <w:pPr>
              <w:snapToGrid w:val="0"/>
              <w:jc w:val="both"/>
              <w:rPr>
                <w:rFonts w:eastAsia="Calibri"/>
              </w:rPr>
            </w:pPr>
            <w:proofErr w:type="spellStart"/>
            <w:r w:rsidRPr="00780B8B">
              <w:rPr>
                <w:rFonts w:eastAsia="Calibri"/>
                <w:b/>
              </w:rPr>
              <w:t>Nasopore</w:t>
            </w:r>
            <w:proofErr w:type="spellEnd"/>
          </w:p>
        </w:tc>
        <w:tc>
          <w:tcPr>
            <w:tcW w:w="692" w:type="pct"/>
            <w:vAlign w:val="center"/>
          </w:tcPr>
          <w:p w:rsidR="00555F5A" w:rsidRPr="00780B8B" w:rsidRDefault="000F2DE9" w:rsidP="00EF21BF">
            <w:pPr>
              <w:snapToGrid w:val="0"/>
              <w:jc w:val="both"/>
              <w:rPr>
                <w:rFonts w:eastAsia="Calibri"/>
              </w:rPr>
            </w:pPr>
            <w:r w:rsidRPr="00780B8B">
              <w:rPr>
                <w:rFonts w:eastAsia="Calibri"/>
                <w:b/>
              </w:rPr>
              <w:t>Tampon</w:t>
            </w:r>
          </w:p>
        </w:tc>
        <w:tc>
          <w:tcPr>
            <w:tcW w:w="466" w:type="pct"/>
            <w:vAlign w:val="center"/>
          </w:tcPr>
          <w:p w:rsidR="00555F5A" w:rsidRPr="00780B8B" w:rsidRDefault="000F2DE9" w:rsidP="00EF21BF">
            <w:pPr>
              <w:snapToGrid w:val="0"/>
              <w:jc w:val="both"/>
              <w:rPr>
                <w:rFonts w:eastAsia="Calibri"/>
              </w:rPr>
            </w:pPr>
            <w:r w:rsidRPr="00780B8B">
              <w:rPr>
                <w:rFonts w:eastAsia="Calibri"/>
                <w:b/>
              </w:rPr>
              <w:t>^P</w:t>
            </w:r>
          </w:p>
        </w:tc>
      </w:tr>
      <w:tr w:rsidR="00780B8B" w:rsidRPr="00780B8B" w:rsidTr="00780B8B">
        <w:trPr>
          <w:jc w:val="center"/>
        </w:trPr>
        <w:tc>
          <w:tcPr>
            <w:tcW w:w="63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b/>
              </w:rPr>
              <w:t>Day-2</w:t>
            </w:r>
          </w:p>
        </w:tc>
        <w:tc>
          <w:tcPr>
            <w:tcW w:w="801" w:type="pct"/>
            <w:vAlign w:val="center"/>
          </w:tcPr>
          <w:p w:rsidR="00555F5A" w:rsidRPr="00780B8B" w:rsidRDefault="000F2DE9" w:rsidP="00EF21BF">
            <w:pPr>
              <w:snapToGrid w:val="0"/>
              <w:jc w:val="both"/>
              <w:rPr>
                <w:rFonts w:eastAsia="Calibri"/>
              </w:rPr>
            </w:pPr>
            <w:proofErr w:type="spellStart"/>
            <w:r w:rsidRPr="00780B8B">
              <w:rPr>
                <w:rFonts w:eastAsia="Calibri"/>
                <w:b/>
              </w:rPr>
              <w:t>Mean±SD</w:t>
            </w:r>
            <w:proofErr w:type="spellEnd"/>
          </w:p>
        </w:tc>
        <w:tc>
          <w:tcPr>
            <w:tcW w:w="898" w:type="pct"/>
            <w:vAlign w:val="center"/>
          </w:tcPr>
          <w:p w:rsidR="00555F5A" w:rsidRPr="00780B8B" w:rsidRDefault="000F2DE9" w:rsidP="00EF21BF">
            <w:pPr>
              <w:snapToGrid w:val="0"/>
              <w:jc w:val="both"/>
              <w:rPr>
                <w:rFonts w:eastAsia="Calibri"/>
              </w:rPr>
            </w:pPr>
            <w:r w:rsidRPr="00780B8B">
              <w:rPr>
                <w:rFonts w:eastAsia="Calibri"/>
              </w:rPr>
              <w:t>1.8±0.8</w:t>
            </w:r>
          </w:p>
        </w:tc>
        <w:tc>
          <w:tcPr>
            <w:tcW w:w="742" w:type="pct"/>
            <w:vAlign w:val="center"/>
          </w:tcPr>
          <w:p w:rsidR="00555F5A" w:rsidRPr="00780B8B" w:rsidRDefault="000F2DE9" w:rsidP="00EF21BF">
            <w:pPr>
              <w:snapToGrid w:val="0"/>
              <w:jc w:val="both"/>
              <w:rPr>
                <w:rFonts w:eastAsia="Calibri"/>
              </w:rPr>
            </w:pPr>
            <w:r w:rsidRPr="00780B8B">
              <w:rPr>
                <w:rFonts w:eastAsia="Calibri"/>
              </w:rPr>
              <w:t>1.6±0.8</w:t>
            </w:r>
          </w:p>
        </w:tc>
        <w:tc>
          <w:tcPr>
            <w:tcW w:w="765" w:type="pct"/>
            <w:vAlign w:val="center"/>
          </w:tcPr>
          <w:p w:rsidR="00555F5A" w:rsidRPr="00780B8B" w:rsidRDefault="000F2DE9" w:rsidP="00EF21BF">
            <w:pPr>
              <w:snapToGrid w:val="0"/>
              <w:jc w:val="both"/>
              <w:rPr>
                <w:rFonts w:eastAsia="Calibri"/>
              </w:rPr>
            </w:pPr>
            <w:r w:rsidRPr="00780B8B">
              <w:rPr>
                <w:rFonts w:eastAsia="Calibri"/>
              </w:rPr>
              <w:t>2.1±0.7</w:t>
            </w:r>
          </w:p>
        </w:tc>
        <w:tc>
          <w:tcPr>
            <w:tcW w:w="692" w:type="pct"/>
            <w:vAlign w:val="center"/>
          </w:tcPr>
          <w:p w:rsidR="00555F5A" w:rsidRPr="00780B8B" w:rsidRDefault="000F2DE9" w:rsidP="00EF21BF">
            <w:pPr>
              <w:snapToGrid w:val="0"/>
              <w:jc w:val="both"/>
              <w:rPr>
                <w:rFonts w:eastAsia="Calibri"/>
              </w:rPr>
            </w:pPr>
            <w:r w:rsidRPr="00780B8B">
              <w:rPr>
                <w:rFonts w:eastAsia="Calibri"/>
              </w:rPr>
              <w:t>2.5±0.7</w:t>
            </w:r>
          </w:p>
        </w:tc>
        <w:tc>
          <w:tcPr>
            <w:tcW w:w="46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rPr>
              <w:t>0.69</w:t>
            </w:r>
          </w:p>
        </w:tc>
      </w:tr>
      <w:tr w:rsidR="00780B8B" w:rsidRPr="00780B8B" w:rsidTr="00780B8B">
        <w:trPr>
          <w:jc w:val="center"/>
        </w:trPr>
        <w:tc>
          <w:tcPr>
            <w:tcW w:w="636" w:type="pct"/>
            <w:vMerge/>
            <w:vAlign w:val="center"/>
          </w:tcPr>
          <w:p w:rsidR="00555F5A" w:rsidRPr="00780B8B" w:rsidRDefault="00555F5A" w:rsidP="00EF21BF">
            <w:pPr>
              <w:snapToGrid w:val="0"/>
              <w:jc w:val="both"/>
            </w:pPr>
          </w:p>
        </w:tc>
        <w:tc>
          <w:tcPr>
            <w:tcW w:w="801" w:type="pct"/>
            <w:vAlign w:val="center"/>
          </w:tcPr>
          <w:p w:rsidR="00555F5A" w:rsidRPr="00780B8B" w:rsidRDefault="000F2DE9" w:rsidP="00EF21BF">
            <w:pPr>
              <w:snapToGrid w:val="0"/>
              <w:jc w:val="both"/>
              <w:rPr>
                <w:rFonts w:eastAsia="Calibri"/>
              </w:rPr>
            </w:pPr>
            <w:r w:rsidRPr="00780B8B">
              <w:rPr>
                <w:rFonts w:eastAsia="Calibri"/>
                <w:b/>
              </w:rPr>
              <w:t>Range</w:t>
            </w:r>
          </w:p>
        </w:tc>
        <w:tc>
          <w:tcPr>
            <w:tcW w:w="898" w:type="pct"/>
            <w:vAlign w:val="center"/>
          </w:tcPr>
          <w:p w:rsidR="00555F5A" w:rsidRPr="00780B8B" w:rsidRDefault="000F2DE9" w:rsidP="00EF21BF">
            <w:pPr>
              <w:snapToGrid w:val="0"/>
              <w:jc w:val="both"/>
              <w:rPr>
                <w:rFonts w:eastAsia="Calibri"/>
              </w:rPr>
            </w:pPr>
            <w:r w:rsidRPr="00780B8B">
              <w:rPr>
                <w:rFonts w:eastAsia="Calibri"/>
              </w:rPr>
              <w:t>1.0–3.0</w:t>
            </w:r>
          </w:p>
        </w:tc>
        <w:tc>
          <w:tcPr>
            <w:tcW w:w="742" w:type="pct"/>
            <w:vAlign w:val="center"/>
          </w:tcPr>
          <w:p w:rsidR="00555F5A" w:rsidRPr="00780B8B" w:rsidRDefault="000F2DE9" w:rsidP="00EF21BF">
            <w:pPr>
              <w:snapToGrid w:val="0"/>
              <w:jc w:val="both"/>
              <w:rPr>
                <w:rFonts w:eastAsia="Calibri"/>
              </w:rPr>
            </w:pPr>
            <w:r w:rsidRPr="00780B8B">
              <w:rPr>
                <w:rFonts w:eastAsia="Calibri"/>
              </w:rPr>
              <w:t>1.0–3.0</w:t>
            </w:r>
          </w:p>
        </w:tc>
        <w:tc>
          <w:tcPr>
            <w:tcW w:w="765" w:type="pct"/>
            <w:vAlign w:val="center"/>
          </w:tcPr>
          <w:p w:rsidR="00555F5A" w:rsidRPr="00780B8B" w:rsidRDefault="000F2DE9" w:rsidP="00EF21BF">
            <w:pPr>
              <w:snapToGrid w:val="0"/>
              <w:jc w:val="both"/>
              <w:rPr>
                <w:rFonts w:eastAsia="Calibri"/>
              </w:rPr>
            </w:pPr>
            <w:r w:rsidRPr="00780B8B">
              <w:rPr>
                <w:rFonts w:eastAsia="Calibri"/>
              </w:rPr>
              <w:t>1.0–3.0</w:t>
            </w:r>
          </w:p>
        </w:tc>
        <w:tc>
          <w:tcPr>
            <w:tcW w:w="692" w:type="pct"/>
            <w:vAlign w:val="center"/>
          </w:tcPr>
          <w:p w:rsidR="00555F5A" w:rsidRPr="00780B8B" w:rsidRDefault="000F2DE9" w:rsidP="00EF21BF">
            <w:pPr>
              <w:snapToGrid w:val="0"/>
              <w:jc w:val="both"/>
              <w:rPr>
                <w:rFonts w:eastAsia="Calibri"/>
              </w:rPr>
            </w:pPr>
            <w:r w:rsidRPr="00780B8B">
              <w:rPr>
                <w:rFonts w:eastAsia="Calibri"/>
              </w:rPr>
              <w:t>1.0–3.0</w:t>
            </w:r>
          </w:p>
        </w:tc>
        <w:tc>
          <w:tcPr>
            <w:tcW w:w="466" w:type="pct"/>
            <w:vMerge/>
            <w:vAlign w:val="center"/>
          </w:tcPr>
          <w:p w:rsidR="00555F5A" w:rsidRPr="00780B8B" w:rsidRDefault="00555F5A" w:rsidP="00EF21BF">
            <w:pPr>
              <w:snapToGrid w:val="0"/>
              <w:jc w:val="both"/>
            </w:pPr>
          </w:p>
        </w:tc>
      </w:tr>
      <w:tr w:rsidR="00780B8B" w:rsidRPr="00780B8B" w:rsidTr="00780B8B">
        <w:trPr>
          <w:jc w:val="center"/>
        </w:trPr>
        <w:tc>
          <w:tcPr>
            <w:tcW w:w="63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b/>
              </w:rPr>
              <w:t>Week-2</w:t>
            </w:r>
          </w:p>
        </w:tc>
        <w:tc>
          <w:tcPr>
            <w:tcW w:w="801" w:type="pct"/>
            <w:vAlign w:val="center"/>
          </w:tcPr>
          <w:p w:rsidR="00555F5A" w:rsidRPr="00780B8B" w:rsidRDefault="000F2DE9" w:rsidP="00EF21BF">
            <w:pPr>
              <w:snapToGrid w:val="0"/>
              <w:jc w:val="both"/>
              <w:rPr>
                <w:rFonts w:eastAsia="Calibri"/>
              </w:rPr>
            </w:pPr>
            <w:proofErr w:type="spellStart"/>
            <w:r w:rsidRPr="00780B8B">
              <w:rPr>
                <w:rFonts w:eastAsia="Calibri"/>
                <w:b/>
              </w:rPr>
              <w:t>Mean±SD</w:t>
            </w:r>
            <w:proofErr w:type="spellEnd"/>
          </w:p>
        </w:tc>
        <w:tc>
          <w:tcPr>
            <w:tcW w:w="898" w:type="pct"/>
            <w:vAlign w:val="center"/>
          </w:tcPr>
          <w:p w:rsidR="00555F5A" w:rsidRPr="00780B8B" w:rsidRDefault="000F2DE9" w:rsidP="00EF21BF">
            <w:pPr>
              <w:snapToGrid w:val="0"/>
              <w:jc w:val="both"/>
              <w:rPr>
                <w:rFonts w:eastAsia="Calibri"/>
              </w:rPr>
            </w:pPr>
            <w:r w:rsidRPr="00780B8B">
              <w:rPr>
                <w:rFonts w:eastAsia="Calibri"/>
              </w:rPr>
              <w:t>0.5±0.5</w:t>
            </w:r>
          </w:p>
        </w:tc>
        <w:tc>
          <w:tcPr>
            <w:tcW w:w="742" w:type="pct"/>
            <w:vAlign w:val="center"/>
          </w:tcPr>
          <w:p w:rsidR="00555F5A" w:rsidRPr="00780B8B" w:rsidRDefault="000F2DE9" w:rsidP="00EF21BF">
            <w:pPr>
              <w:snapToGrid w:val="0"/>
              <w:jc w:val="both"/>
              <w:rPr>
                <w:rFonts w:eastAsia="Calibri"/>
              </w:rPr>
            </w:pPr>
            <w:r w:rsidRPr="00780B8B">
              <w:rPr>
                <w:rFonts w:eastAsia="Calibri"/>
              </w:rPr>
              <w:t>0.1±0.3</w:t>
            </w:r>
          </w:p>
        </w:tc>
        <w:tc>
          <w:tcPr>
            <w:tcW w:w="765" w:type="pct"/>
            <w:vAlign w:val="center"/>
          </w:tcPr>
          <w:p w:rsidR="00555F5A" w:rsidRPr="00780B8B" w:rsidRDefault="000F2DE9" w:rsidP="00EF21BF">
            <w:pPr>
              <w:snapToGrid w:val="0"/>
              <w:jc w:val="both"/>
              <w:rPr>
                <w:rFonts w:eastAsia="Calibri"/>
              </w:rPr>
            </w:pPr>
            <w:r w:rsidRPr="00780B8B">
              <w:rPr>
                <w:rFonts w:eastAsia="Calibri"/>
              </w:rPr>
              <w:t>0.8±0.8</w:t>
            </w:r>
          </w:p>
        </w:tc>
        <w:tc>
          <w:tcPr>
            <w:tcW w:w="692" w:type="pct"/>
            <w:vAlign w:val="center"/>
          </w:tcPr>
          <w:p w:rsidR="00555F5A" w:rsidRPr="00780B8B" w:rsidRDefault="000F2DE9" w:rsidP="00EF21BF">
            <w:pPr>
              <w:snapToGrid w:val="0"/>
              <w:jc w:val="both"/>
              <w:rPr>
                <w:rFonts w:eastAsia="Calibri"/>
              </w:rPr>
            </w:pPr>
            <w:r w:rsidRPr="00780B8B">
              <w:rPr>
                <w:rFonts w:eastAsia="Calibri"/>
              </w:rPr>
              <w:t>0.8±0.8</w:t>
            </w:r>
          </w:p>
        </w:tc>
        <w:tc>
          <w:tcPr>
            <w:tcW w:w="466" w:type="pct"/>
            <w:vMerge w:val="restart"/>
            <w:vAlign w:val="center"/>
          </w:tcPr>
          <w:p w:rsidR="007A4777" w:rsidRDefault="007A4777" w:rsidP="00EF21BF">
            <w:pPr>
              <w:snapToGrid w:val="0"/>
              <w:jc w:val="both"/>
            </w:pPr>
          </w:p>
          <w:p w:rsidR="00555F5A" w:rsidRPr="00780B8B" w:rsidRDefault="000F2DE9" w:rsidP="00EF21BF">
            <w:pPr>
              <w:snapToGrid w:val="0"/>
              <w:jc w:val="both"/>
              <w:rPr>
                <w:rFonts w:eastAsia="Calibri"/>
              </w:rPr>
            </w:pPr>
            <w:r w:rsidRPr="00780B8B">
              <w:rPr>
                <w:rFonts w:eastAsia="Calibri"/>
              </w:rPr>
              <w:t>0.059</w:t>
            </w:r>
          </w:p>
        </w:tc>
      </w:tr>
      <w:tr w:rsidR="00780B8B" w:rsidRPr="00780B8B" w:rsidTr="00780B8B">
        <w:trPr>
          <w:jc w:val="center"/>
        </w:trPr>
        <w:tc>
          <w:tcPr>
            <w:tcW w:w="636" w:type="pct"/>
            <w:vMerge/>
            <w:vAlign w:val="center"/>
          </w:tcPr>
          <w:p w:rsidR="00555F5A" w:rsidRPr="00780B8B" w:rsidRDefault="00555F5A" w:rsidP="00EF21BF">
            <w:pPr>
              <w:snapToGrid w:val="0"/>
              <w:jc w:val="both"/>
            </w:pPr>
          </w:p>
        </w:tc>
        <w:tc>
          <w:tcPr>
            <w:tcW w:w="801" w:type="pct"/>
            <w:vAlign w:val="center"/>
          </w:tcPr>
          <w:p w:rsidR="00555F5A" w:rsidRPr="00780B8B" w:rsidRDefault="000F2DE9" w:rsidP="00EF21BF">
            <w:pPr>
              <w:snapToGrid w:val="0"/>
              <w:jc w:val="both"/>
              <w:rPr>
                <w:rFonts w:eastAsia="Calibri"/>
              </w:rPr>
            </w:pPr>
            <w:r w:rsidRPr="00780B8B">
              <w:rPr>
                <w:rFonts w:eastAsia="Calibri"/>
                <w:b/>
              </w:rPr>
              <w:t>Range</w:t>
            </w:r>
          </w:p>
        </w:tc>
        <w:tc>
          <w:tcPr>
            <w:tcW w:w="898" w:type="pct"/>
            <w:vAlign w:val="center"/>
          </w:tcPr>
          <w:p w:rsidR="00555F5A" w:rsidRPr="00780B8B" w:rsidRDefault="000F2DE9" w:rsidP="00EF21BF">
            <w:pPr>
              <w:snapToGrid w:val="0"/>
              <w:jc w:val="both"/>
              <w:rPr>
                <w:rFonts w:eastAsia="Calibri"/>
              </w:rPr>
            </w:pPr>
            <w:r w:rsidRPr="00780B8B">
              <w:rPr>
                <w:rFonts w:eastAsia="Calibri"/>
              </w:rPr>
              <w:t>0.0–1.0</w:t>
            </w:r>
          </w:p>
        </w:tc>
        <w:tc>
          <w:tcPr>
            <w:tcW w:w="742" w:type="pct"/>
            <w:vAlign w:val="center"/>
          </w:tcPr>
          <w:p w:rsidR="00555F5A" w:rsidRPr="00780B8B" w:rsidRDefault="000F2DE9" w:rsidP="00EF21BF">
            <w:pPr>
              <w:snapToGrid w:val="0"/>
              <w:jc w:val="both"/>
              <w:rPr>
                <w:rFonts w:eastAsia="Calibri"/>
              </w:rPr>
            </w:pPr>
            <w:r w:rsidRPr="00780B8B">
              <w:rPr>
                <w:rFonts w:eastAsia="Calibri"/>
              </w:rPr>
              <w:t>0.0–1.0</w:t>
            </w:r>
          </w:p>
        </w:tc>
        <w:tc>
          <w:tcPr>
            <w:tcW w:w="765" w:type="pct"/>
            <w:vAlign w:val="center"/>
          </w:tcPr>
          <w:p w:rsidR="00555F5A" w:rsidRPr="00780B8B" w:rsidRDefault="000F2DE9" w:rsidP="00EF21BF">
            <w:pPr>
              <w:snapToGrid w:val="0"/>
              <w:jc w:val="both"/>
              <w:rPr>
                <w:rFonts w:eastAsia="Calibri"/>
              </w:rPr>
            </w:pPr>
            <w:r w:rsidRPr="00780B8B">
              <w:rPr>
                <w:rFonts w:eastAsia="Calibri"/>
              </w:rPr>
              <w:t>0.0–2.0</w:t>
            </w:r>
          </w:p>
        </w:tc>
        <w:tc>
          <w:tcPr>
            <w:tcW w:w="692" w:type="pct"/>
            <w:vAlign w:val="center"/>
          </w:tcPr>
          <w:p w:rsidR="00555F5A" w:rsidRPr="00780B8B" w:rsidRDefault="000F2DE9" w:rsidP="00EF21BF">
            <w:pPr>
              <w:snapToGrid w:val="0"/>
              <w:jc w:val="both"/>
              <w:rPr>
                <w:rFonts w:eastAsia="Calibri"/>
              </w:rPr>
            </w:pPr>
            <w:r w:rsidRPr="00780B8B">
              <w:rPr>
                <w:rFonts w:eastAsia="Calibri"/>
              </w:rPr>
              <w:t>0.0–2.0</w:t>
            </w:r>
          </w:p>
        </w:tc>
        <w:tc>
          <w:tcPr>
            <w:tcW w:w="466" w:type="pct"/>
            <w:vMerge/>
            <w:vAlign w:val="center"/>
          </w:tcPr>
          <w:p w:rsidR="00555F5A" w:rsidRPr="00780B8B" w:rsidRDefault="00555F5A" w:rsidP="00EF21BF">
            <w:pPr>
              <w:snapToGrid w:val="0"/>
              <w:jc w:val="both"/>
            </w:pPr>
          </w:p>
        </w:tc>
      </w:tr>
    </w:tbl>
    <w:p w:rsidR="007A4777" w:rsidRDefault="000F2DE9" w:rsidP="007A4777">
      <w:pPr>
        <w:snapToGrid w:val="0"/>
        <w:jc w:val="both"/>
        <w:rPr>
          <w:rFonts w:eastAsia="Calibri"/>
        </w:rPr>
      </w:pPr>
      <w:r w:rsidRPr="00780B8B">
        <w:rPr>
          <w:rFonts w:eastAsia="Calibri"/>
        </w:rPr>
        <w:t>ANOVA test</w:t>
      </w:r>
      <w:r w:rsidR="006712E7" w:rsidRPr="00780B8B">
        <w:rPr>
          <w:rFonts w:eastAsia="Calibri"/>
        </w:rPr>
        <w:t>.</w:t>
      </w:r>
    </w:p>
    <w:p w:rsidR="007A4777" w:rsidRDefault="007A4777" w:rsidP="00EF21BF">
      <w:pPr>
        <w:snapToGrid w:val="0"/>
        <w:ind w:firstLine="425"/>
        <w:jc w:val="both"/>
        <w:rPr>
          <w:rFonts w:eastAsia="Calibri"/>
        </w:rPr>
      </w:pPr>
    </w:p>
    <w:p w:rsidR="007A4777" w:rsidRDefault="007A4777" w:rsidP="00EF21BF">
      <w:pPr>
        <w:snapToGrid w:val="0"/>
        <w:ind w:firstLine="425"/>
        <w:jc w:val="both"/>
        <w:rPr>
          <w:rFonts w:eastAsia="Calibri"/>
        </w:rPr>
        <w:sectPr w:rsidR="007A4777" w:rsidSect="00780B8B">
          <w:type w:val="continuous"/>
          <w:pgSz w:w="12240" w:h="15840" w:code="9"/>
          <w:pgMar w:top="1440" w:right="1440" w:bottom="1440" w:left="1440" w:header="720" w:footer="720" w:gutter="0"/>
          <w:cols w:space="720"/>
          <w:docGrid w:linePitch="272"/>
        </w:sectPr>
      </w:pPr>
    </w:p>
    <w:p w:rsidR="007A4777" w:rsidRDefault="006712E7" w:rsidP="00EF21BF">
      <w:pPr>
        <w:snapToGrid w:val="0"/>
        <w:ind w:firstLine="425"/>
        <w:jc w:val="both"/>
        <w:rPr>
          <w:rFonts w:eastAsia="Calibri"/>
        </w:rPr>
      </w:pPr>
      <w:r w:rsidRPr="00780B8B">
        <w:rPr>
          <w:rFonts w:eastAsia="Calibri"/>
        </w:rPr>
        <w:lastRenderedPageBreak/>
        <w:t xml:space="preserve">Table (5) show that: Regarding olfactory disturbances severity; gel foam has best findings, followed by no packing, then </w:t>
      </w:r>
      <w:proofErr w:type="spellStart"/>
      <w:r w:rsidRPr="00780B8B">
        <w:rPr>
          <w:rFonts w:eastAsia="Calibri"/>
        </w:rPr>
        <w:t>nasopore</w:t>
      </w:r>
      <w:proofErr w:type="spellEnd"/>
      <w:r w:rsidRPr="00780B8B">
        <w:rPr>
          <w:rFonts w:eastAsia="Calibri"/>
        </w:rPr>
        <w:t>, while tampon has worst findings with no significant statistical difference between them.</w:t>
      </w:r>
    </w:p>
    <w:p w:rsidR="007A4777" w:rsidRDefault="007A4777" w:rsidP="00EF21BF">
      <w:pPr>
        <w:snapToGrid w:val="0"/>
        <w:ind w:firstLine="425"/>
        <w:jc w:val="both"/>
      </w:pPr>
    </w:p>
    <w:p w:rsidR="007A4777" w:rsidRDefault="006712E7" w:rsidP="00EF21BF">
      <w:pPr>
        <w:snapToGrid w:val="0"/>
        <w:jc w:val="both"/>
        <w:rPr>
          <w:rFonts w:eastAsia="Calibri"/>
        </w:rPr>
      </w:pPr>
      <w:r w:rsidRPr="00780B8B">
        <w:rPr>
          <w:rFonts w:eastAsia="Calibri"/>
          <w:b/>
        </w:rPr>
        <w:t>4. Discussion</w:t>
      </w:r>
    </w:p>
    <w:p w:rsidR="007A4777" w:rsidRDefault="006712E7" w:rsidP="00EF21BF">
      <w:pPr>
        <w:snapToGrid w:val="0"/>
        <w:ind w:firstLine="425"/>
        <w:jc w:val="both"/>
        <w:rPr>
          <w:rFonts w:eastAsia="Calibri"/>
        </w:rPr>
      </w:pPr>
      <w:r w:rsidRPr="00780B8B">
        <w:rPr>
          <w:rFonts w:eastAsia="Calibri"/>
        </w:rPr>
        <w:t xml:space="preserve">Lateralization of the MT seems to be the most common complication encountered after ESS and can results in occlusion of the sinus drainage pathway. In addition, adhesion can result in recurrent symptoms and subsequent surgical failure. Studies have shown </w:t>
      </w:r>
      <w:r w:rsidRPr="00780B8B">
        <w:rPr>
          <w:rFonts w:eastAsia="Calibri"/>
        </w:rPr>
        <w:lastRenderedPageBreak/>
        <w:t>that up to</w:t>
      </w:r>
      <w:r w:rsidR="007A4777">
        <w:rPr>
          <w:rFonts w:hint="eastAsia"/>
          <w:lang w:eastAsia="zh-CN"/>
        </w:rPr>
        <w:t xml:space="preserve"> </w:t>
      </w:r>
      <w:r w:rsidRPr="00780B8B">
        <w:rPr>
          <w:rFonts w:eastAsia="Calibri"/>
        </w:rPr>
        <w:t>25% of patients who experience adhesion formation will require revision surgery in the future</w:t>
      </w:r>
      <w:r w:rsidRPr="00780B8B">
        <w:rPr>
          <w:rFonts w:eastAsia="Calibri"/>
          <w:i/>
        </w:rPr>
        <w:t>.</w:t>
      </w:r>
    </w:p>
    <w:p w:rsidR="007A4777" w:rsidRDefault="006712E7" w:rsidP="00EF21BF">
      <w:pPr>
        <w:snapToGrid w:val="0"/>
        <w:ind w:firstLine="425"/>
        <w:jc w:val="both"/>
        <w:rPr>
          <w:rFonts w:eastAsia="Calibri"/>
        </w:rPr>
      </w:pPr>
      <w:r w:rsidRPr="00780B8B">
        <w:rPr>
          <w:rFonts w:eastAsia="Calibri"/>
        </w:rPr>
        <w:t xml:space="preserve">Patency of the middle </w:t>
      </w:r>
      <w:proofErr w:type="spellStart"/>
      <w:r w:rsidRPr="00780B8B">
        <w:rPr>
          <w:rFonts w:eastAsia="Calibri"/>
        </w:rPr>
        <w:t>meatus</w:t>
      </w:r>
      <w:proofErr w:type="spellEnd"/>
      <w:r w:rsidRPr="00780B8B">
        <w:rPr>
          <w:rFonts w:eastAsia="Calibri"/>
        </w:rPr>
        <w:t xml:space="preserve"> with a well-healed mucosa in addition to good surgical technique is the mainstays of optimal surgical outcomes. Given the fragile attachment of the middle turbinate and the potential for granulation tissue formation during the healing, nasal packing and postoperative care play crucial roles in overcoming disease recurrence</w:t>
      </w:r>
      <w:r w:rsidRPr="00780B8B">
        <w:rPr>
          <w:rFonts w:eastAsia="Calibri"/>
          <w:i/>
        </w:rPr>
        <w:t>.</w:t>
      </w:r>
    </w:p>
    <w:p w:rsidR="007A4777" w:rsidRDefault="006712E7" w:rsidP="00EF21BF">
      <w:pPr>
        <w:snapToGrid w:val="0"/>
        <w:ind w:firstLine="425"/>
        <w:jc w:val="both"/>
        <w:rPr>
          <w:rFonts w:eastAsia="Calibri"/>
        </w:rPr>
      </w:pPr>
      <w:r w:rsidRPr="00780B8B">
        <w:rPr>
          <w:rFonts w:eastAsia="Calibri"/>
        </w:rPr>
        <w:t xml:space="preserve">There are ongoing debates about the ideal material that should be used for packing. Basic criteria that a product should meet to be eligible to be used as nasal pack include: good haemostatic property, middle </w:t>
      </w:r>
      <w:r w:rsidRPr="00780B8B">
        <w:rPr>
          <w:rFonts w:eastAsia="Calibri"/>
        </w:rPr>
        <w:lastRenderedPageBreak/>
        <w:t>turbinate stabilizer effect, promotion of wound healing, resistance to bacterial colonization, and easy removal with minimal discomfort to the patient. Pack removal should not impede the patient’s psychological status</w:t>
      </w:r>
      <w:r w:rsidRPr="00780B8B">
        <w:rPr>
          <w:rFonts w:eastAsia="Calibri"/>
          <w:i/>
        </w:rPr>
        <w:t>.</w:t>
      </w:r>
    </w:p>
    <w:p w:rsidR="007A4777" w:rsidRDefault="006712E7" w:rsidP="00EF21BF">
      <w:pPr>
        <w:snapToGrid w:val="0"/>
        <w:ind w:firstLine="425"/>
        <w:jc w:val="both"/>
        <w:rPr>
          <w:rFonts w:eastAsia="Calibri"/>
        </w:rPr>
      </w:pPr>
      <w:r w:rsidRPr="00780B8B">
        <w:rPr>
          <w:rFonts w:eastAsia="Calibri"/>
        </w:rPr>
        <w:t>This</w:t>
      </w:r>
      <w:r w:rsidR="00780B8B" w:rsidRPr="00780B8B">
        <w:rPr>
          <w:rFonts w:eastAsia="Calibri"/>
        </w:rPr>
        <w:t xml:space="preserve"> </w:t>
      </w:r>
      <w:r w:rsidRPr="00780B8B">
        <w:rPr>
          <w:rFonts w:eastAsia="Calibri"/>
        </w:rPr>
        <w:t>study is designed to evaluate the effect of nasal pack on the patient’s comfort (pain</w:t>
      </w:r>
      <w:r w:rsidR="007A4777" w:rsidRPr="00780B8B">
        <w:rPr>
          <w:rFonts w:eastAsia="Calibri"/>
        </w:rPr>
        <w:t>,</w:t>
      </w:r>
      <w:r w:rsidR="007A4777">
        <w:rPr>
          <w:rFonts w:eastAsia="Calibri"/>
        </w:rPr>
        <w:t xml:space="preserve"> </w:t>
      </w:r>
      <w:r w:rsidR="007A4777" w:rsidRPr="00780B8B">
        <w:rPr>
          <w:rFonts w:eastAsia="Calibri"/>
        </w:rPr>
        <w:t>h</w:t>
      </w:r>
      <w:r w:rsidRPr="00780B8B">
        <w:rPr>
          <w:rFonts w:eastAsia="Calibri"/>
        </w:rPr>
        <w:t>eadache</w:t>
      </w:r>
      <w:r w:rsidR="007A4777" w:rsidRPr="00780B8B">
        <w:rPr>
          <w:rFonts w:eastAsia="Calibri"/>
        </w:rPr>
        <w:t>,</w:t>
      </w:r>
      <w:r w:rsidR="007A4777">
        <w:rPr>
          <w:rFonts w:eastAsia="Calibri"/>
        </w:rPr>
        <w:t xml:space="preserve"> </w:t>
      </w:r>
      <w:r w:rsidR="007A4777" w:rsidRPr="00780B8B">
        <w:rPr>
          <w:rFonts w:eastAsia="Calibri"/>
        </w:rPr>
        <w:t>n</w:t>
      </w:r>
      <w:r w:rsidRPr="00780B8B">
        <w:rPr>
          <w:rFonts w:eastAsia="Calibri"/>
        </w:rPr>
        <w:t xml:space="preserve">asal blockage), bleeding, </w:t>
      </w:r>
      <w:proofErr w:type="spellStart"/>
      <w:r w:rsidRPr="00780B8B">
        <w:rPr>
          <w:rFonts w:eastAsia="Calibri"/>
        </w:rPr>
        <w:t>crustatio</w:t>
      </w:r>
      <w:r w:rsidR="00780B8B" w:rsidRPr="00780B8B">
        <w:rPr>
          <w:rFonts w:eastAsia="Calibri"/>
        </w:rPr>
        <w:t>n</w:t>
      </w:r>
      <w:proofErr w:type="spellEnd"/>
      <w:r w:rsidR="00780B8B" w:rsidRPr="00780B8B">
        <w:rPr>
          <w:rFonts w:eastAsia="Calibri"/>
        </w:rPr>
        <w:t xml:space="preserve"> (</w:t>
      </w:r>
      <w:r w:rsidRPr="00780B8B">
        <w:rPr>
          <w:rFonts w:eastAsia="Calibri"/>
        </w:rPr>
        <w:t xml:space="preserve">healing) and </w:t>
      </w:r>
      <w:proofErr w:type="spellStart"/>
      <w:r w:rsidRPr="00780B8B">
        <w:rPr>
          <w:rFonts w:eastAsia="Calibri"/>
        </w:rPr>
        <w:t>synechia</w:t>
      </w:r>
      <w:proofErr w:type="spellEnd"/>
      <w:r w:rsidRPr="00780B8B">
        <w:rPr>
          <w:rFonts w:eastAsia="Calibri"/>
        </w:rPr>
        <w:t xml:space="preserve"> formation. Forty patients underwent ESS, packing was placed at the end of the surgery in the middle </w:t>
      </w:r>
      <w:proofErr w:type="spellStart"/>
      <w:r w:rsidRPr="00780B8B">
        <w:rPr>
          <w:rFonts w:eastAsia="Calibri"/>
        </w:rPr>
        <w:t>meatus</w:t>
      </w:r>
      <w:proofErr w:type="spellEnd"/>
      <w:r w:rsidRPr="00780B8B">
        <w:rPr>
          <w:rFonts w:eastAsia="Calibri"/>
        </w:rPr>
        <w:t xml:space="preserve"> of the nasal cavity of</w:t>
      </w:r>
      <w:r w:rsidR="00780B8B" w:rsidRPr="00780B8B">
        <w:rPr>
          <w:rFonts w:eastAsia="Calibri"/>
        </w:rPr>
        <w:t xml:space="preserve"> </w:t>
      </w:r>
      <w:r w:rsidRPr="00780B8B">
        <w:rPr>
          <w:rFonts w:eastAsia="Calibri"/>
        </w:rPr>
        <w:t xml:space="preserve">3 groups while the middle </w:t>
      </w:r>
      <w:proofErr w:type="spellStart"/>
      <w:r w:rsidRPr="00780B8B">
        <w:rPr>
          <w:rFonts w:eastAsia="Calibri"/>
        </w:rPr>
        <w:t>meatus</w:t>
      </w:r>
      <w:proofErr w:type="spellEnd"/>
      <w:r w:rsidRPr="00780B8B">
        <w:rPr>
          <w:rFonts w:eastAsia="Calibri"/>
        </w:rPr>
        <w:t xml:space="preserve"> of the last group was left with no packing. The non-packed group represents the control one</w:t>
      </w:r>
      <w:r w:rsidR="00780B8B" w:rsidRPr="00780B8B">
        <w:rPr>
          <w:rFonts w:eastAsia="Calibri"/>
        </w:rPr>
        <w:t>.</w:t>
      </w:r>
      <w:r w:rsidRPr="00780B8B">
        <w:rPr>
          <w:rFonts w:eastAsia="Calibri"/>
        </w:rPr>
        <w:t xml:space="preserve"> Assessment of bleeding on pack removal was performed at day 2 before discharging the patient. Endoscopic assessment of both middle </w:t>
      </w:r>
      <w:proofErr w:type="spellStart"/>
      <w:r w:rsidRPr="00780B8B">
        <w:rPr>
          <w:rFonts w:eastAsia="Calibri"/>
        </w:rPr>
        <w:t>meati</w:t>
      </w:r>
      <w:proofErr w:type="spellEnd"/>
      <w:r w:rsidRPr="00780B8B">
        <w:rPr>
          <w:rFonts w:eastAsia="Calibri"/>
        </w:rPr>
        <w:t xml:space="preserve"> was performed at 2, 4,8,12, weeks after the surgery.</w:t>
      </w:r>
    </w:p>
    <w:p w:rsidR="007A4777" w:rsidRDefault="006712E7" w:rsidP="00EF21BF">
      <w:pPr>
        <w:snapToGrid w:val="0"/>
        <w:ind w:firstLine="425"/>
        <w:jc w:val="both"/>
        <w:rPr>
          <w:rFonts w:eastAsia="Calibri"/>
        </w:rPr>
      </w:pPr>
      <w:r w:rsidRPr="00780B8B">
        <w:rPr>
          <w:rFonts w:eastAsia="Calibri"/>
          <w:b/>
        </w:rPr>
        <w:t xml:space="preserve">In This study, </w:t>
      </w:r>
      <w:r w:rsidRPr="00780B8B">
        <w:rPr>
          <w:rFonts w:eastAsia="Calibri"/>
        </w:rPr>
        <w:t xml:space="preserve">evaluation of the middle </w:t>
      </w:r>
      <w:proofErr w:type="spellStart"/>
      <w:r w:rsidRPr="00780B8B">
        <w:rPr>
          <w:rFonts w:eastAsia="Calibri"/>
        </w:rPr>
        <w:t>meatus</w:t>
      </w:r>
      <w:proofErr w:type="spellEnd"/>
      <w:r w:rsidRPr="00780B8B">
        <w:rPr>
          <w:rFonts w:eastAsia="Calibri"/>
        </w:rPr>
        <w:t xml:space="preserve"> showed no difference in </w:t>
      </w:r>
      <w:proofErr w:type="spellStart"/>
      <w:r w:rsidRPr="00780B8B">
        <w:rPr>
          <w:rFonts w:eastAsia="Calibri"/>
        </w:rPr>
        <w:t>synechia</w:t>
      </w:r>
      <w:proofErr w:type="spellEnd"/>
      <w:r w:rsidRPr="00780B8B">
        <w:rPr>
          <w:rFonts w:eastAsia="Calibri"/>
        </w:rPr>
        <w:t xml:space="preserve"> formation and lateralization of middle turbinate between groups in the early visit at 2 weeks, </w:t>
      </w:r>
      <w:proofErr w:type="spellStart"/>
      <w:r w:rsidRPr="00780B8B">
        <w:rPr>
          <w:rFonts w:eastAsia="Calibri"/>
        </w:rPr>
        <w:t>synechiae</w:t>
      </w:r>
      <w:proofErr w:type="spellEnd"/>
      <w:r w:rsidRPr="00780B8B">
        <w:rPr>
          <w:rFonts w:eastAsia="Calibri"/>
        </w:rPr>
        <w:t xml:space="preserve"> formation was less with better results in the groups with nasal pack in the late visits at 4, 8, 12 weeks but the difference was statically significant in the third and fourth visits only</w:t>
      </w:r>
      <w:r w:rsidR="007A4777" w:rsidRPr="00780B8B">
        <w:rPr>
          <w:rFonts w:eastAsia="Calibri"/>
        </w:rPr>
        <w:t>,</w:t>
      </w:r>
      <w:r w:rsidR="007A4777">
        <w:rPr>
          <w:rFonts w:eastAsia="Calibri"/>
        </w:rPr>
        <w:t xml:space="preserve"> </w:t>
      </w:r>
      <w:r w:rsidR="007A4777" w:rsidRPr="00780B8B">
        <w:rPr>
          <w:rFonts w:eastAsia="Calibri"/>
          <w:b/>
        </w:rPr>
        <w:t>w</w:t>
      </w:r>
      <w:r w:rsidRPr="00780B8B">
        <w:rPr>
          <w:rFonts w:eastAsia="Calibri"/>
          <w:b/>
        </w:rPr>
        <w:t xml:space="preserve">hich agree with </w:t>
      </w:r>
      <w:r w:rsidRPr="00780B8B">
        <w:rPr>
          <w:rFonts w:eastAsia="Calibri"/>
          <w:b/>
          <w:i/>
        </w:rPr>
        <w:t>(</w:t>
      </w:r>
      <w:proofErr w:type="spellStart"/>
      <w:r w:rsidRPr="00780B8B">
        <w:rPr>
          <w:rFonts w:eastAsia="Calibri"/>
          <w:b/>
          <w:i/>
        </w:rPr>
        <w:t>Kimmelman</w:t>
      </w:r>
      <w:proofErr w:type="spellEnd"/>
      <w:r w:rsidRPr="00780B8B">
        <w:rPr>
          <w:rFonts w:eastAsia="Calibri"/>
          <w:b/>
          <w:i/>
        </w:rPr>
        <w:t xml:space="preserve"> et al., 2001 </w:t>
      </w:r>
      <w:r w:rsidR="00780B8B" w:rsidRPr="00780B8B">
        <w:rPr>
          <w:rFonts w:eastAsia="Calibri"/>
          <w:b/>
          <w:i/>
        </w:rPr>
        <w:t>) [</w:t>
      </w:r>
      <w:r w:rsidRPr="00780B8B">
        <w:rPr>
          <w:rFonts w:eastAsia="Calibri"/>
          <w:b/>
          <w:i/>
        </w:rPr>
        <w:t>8</w:t>
      </w:r>
      <w:r w:rsidR="007A4777" w:rsidRPr="00780B8B">
        <w:rPr>
          <w:rFonts w:eastAsia="Calibri"/>
          <w:b/>
          <w:i/>
        </w:rPr>
        <w:t>]</w:t>
      </w:r>
      <w:r w:rsidR="007A4777">
        <w:rPr>
          <w:rFonts w:eastAsia="Calibri"/>
          <w:b/>
          <w:i/>
        </w:rPr>
        <w:t xml:space="preserve"> </w:t>
      </w:r>
      <w:r w:rsidR="007A4777" w:rsidRPr="00780B8B">
        <w:rPr>
          <w:rFonts w:eastAsia="Calibri"/>
          <w:b/>
          <w:i/>
        </w:rPr>
        <w:t>w</w:t>
      </w:r>
      <w:r w:rsidRPr="00780B8B">
        <w:rPr>
          <w:rFonts w:eastAsia="Calibri"/>
          <w:b/>
          <w:i/>
        </w:rPr>
        <w:t xml:space="preserve">ho studied that </w:t>
      </w:r>
      <w:r w:rsidRPr="00780B8B">
        <w:rPr>
          <w:rFonts w:eastAsia="Calibri"/>
        </w:rPr>
        <w:t xml:space="preserve">safety and efficacy of </w:t>
      </w:r>
      <w:proofErr w:type="spellStart"/>
      <w:r w:rsidRPr="00780B8B">
        <w:rPr>
          <w:rFonts w:eastAsia="Calibri"/>
        </w:rPr>
        <w:t>Sepragel</w:t>
      </w:r>
      <w:proofErr w:type="spellEnd"/>
      <w:r w:rsidRPr="00780B8B">
        <w:rPr>
          <w:rFonts w:eastAsia="Calibri"/>
        </w:rPr>
        <w:t xml:space="preserve"> Sinus® (absorbable nasal dressing), when used as a postoperative dressing after endoscopic sinus surgery as a facilitator of healing and a preventative for scarring and </w:t>
      </w:r>
      <w:proofErr w:type="spellStart"/>
      <w:r w:rsidRPr="00780B8B">
        <w:rPr>
          <w:rFonts w:eastAsia="Calibri"/>
        </w:rPr>
        <w:t>stenosis</w:t>
      </w:r>
      <w:proofErr w:type="spellEnd"/>
      <w:r w:rsidRPr="00780B8B">
        <w:rPr>
          <w:rFonts w:eastAsia="Calibri"/>
        </w:rPr>
        <w:t xml:space="preserve"> in ten patients undergoing bilateral endoscopic </w:t>
      </w:r>
      <w:proofErr w:type="spellStart"/>
      <w:r w:rsidRPr="00780B8B">
        <w:rPr>
          <w:rFonts w:eastAsia="Calibri"/>
        </w:rPr>
        <w:t>ethmoidectomy</w:t>
      </w:r>
      <w:proofErr w:type="spellEnd"/>
      <w:r w:rsidR="00780B8B" w:rsidRPr="00780B8B">
        <w:rPr>
          <w:rFonts w:eastAsia="Calibri"/>
        </w:rPr>
        <w:t>.</w:t>
      </w:r>
      <w:r w:rsidRPr="00780B8B">
        <w:rPr>
          <w:rFonts w:eastAsia="Calibri"/>
        </w:rPr>
        <w:t xml:space="preserve"> </w:t>
      </w:r>
      <w:proofErr w:type="spellStart"/>
      <w:r w:rsidRPr="00780B8B">
        <w:rPr>
          <w:rFonts w:eastAsia="Calibri"/>
        </w:rPr>
        <w:t>Sepragel</w:t>
      </w:r>
      <w:proofErr w:type="spellEnd"/>
      <w:r w:rsidRPr="00780B8B">
        <w:rPr>
          <w:rFonts w:eastAsia="Calibri"/>
        </w:rPr>
        <w:t xml:space="preserve"> Sinus® significantly improved all outcome measures by week 2 and remained statistically significant for reduction of </w:t>
      </w:r>
      <w:proofErr w:type="spellStart"/>
      <w:r w:rsidRPr="00780B8B">
        <w:rPr>
          <w:rFonts w:eastAsia="Calibri"/>
        </w:rPr>
        <w:t>synechiae</w:t>
      </w:r>
      <w:proofErr w:type="spellEnd"/>
      <w:r w:rsidRPr="00780B8B">
        <w:rPr>
          <w:rFonts w:eastAsia="Calibri"/>
        </w:rPr>
        <w:t xml:space="preserve"> and </w:t>
      </w:r>
      <w:proofErr w:type="spellStart"/>
      <w:r w:rsidRPr="00780B8B">
        <w:rPr>
          <w:rFonts w:eastAsia="Calibri"/>
        </w:rPr>
        <w:t>stenosis</w:t>
      </w:r>
      <w:proofErr w:type="spellEnd"/>
      <w:r w:rsidRPr="00780B8B">
        <w:rPr>
          <w:rFonts w:eastAsia="Calibri"/>
        </w:rPr>
        <w:t>.</w:t>
      </w:r>
    </w:p>
    <w:p w:rsidR="007A4777" w:rsidRDefault="006712E7" w:rsidP="00EF21BF">
      <w:pPr>
        <w:snapToGrid w:val="0"/>
        <w:ind w:firstLine="425"/>
        <w:jc w:val="both"/>
        <w:rPr>
          <w:rFonts w:eastAsia="Calibri"/>
        </w:rPr>
      </w:pPr>
      <w:r w:rsidRPr="00780B8B">
        <w:rPr>
          <w:rFonts w:eastAsia="Calibri"/>
          <w:b/>
        </w:rPr>
        <w:t xml:space="preserve">Also agree with </w:t>
      </w:r>
      <w:r w:rsidRPr="00780B8B">
        <w:rPr>
          <w:rFonts w:eastAsia="Calibri"/>
          <w:b/>
          <w:i/>
        </w:rPr>
        <w:t xml:space="preserve">(Catalano and </w:t>
      </w:r>
      <w:proofErr w:type="spellStart"/>
      <w:r w:rsidRPr="00780B8B">
        <w:rPr>
          <w:rFonts w:eastAsia="Calibri"/>
          <w:b/>
          <w:i/>
        </w:rPr>
        <w:t>Roffman</w:t>
      </w:r>
      <w:proofErr w:type="spellEnd"/>
      <w:r w:rsidRPr="00780B8B">
        <w:rPr>
          <w:rFonts w:eastAsia="Calibri"/>
          <w:b/>
          <w:i/>
        </w:rPr>
        <w:t xml:space="preserve"> 2003</w:t>
      </w:r>
      <w:r w:rsidR="00780B8B" w:rsidRPr="00780B8B">
        <w:rPr>
          <w:rFonts w:eastAsia="Calibri"/>
          <w:b/>
          <w:i/>
        </w:rPr>
        <w:t>) [</w:t>
      </w:r>
      <w:r w:rsidRPr="00780B8B">
        <w:rPr>
          <w:rFonts w:eastAsia="Calibri"/>
          <w:b/>
          <w:i/>
        </w:rPr>
        <w:t>9]</w:t>
      </w:r>
      <w:r w:rsidR="007A4777" w:rsidRPr="00780B8B">
        <w:rPr>
          <w:rFonts w:eastAsia="Calibri"/>
          <w:b/>
          <w:i/>
        </w:rPr>
        <w:t>.</w:t>
      </w:r>
      <w:r w:rsidR="007A4777">
        <w:rPr>
          <w:rFonts w:eastAsia="Calibri"/>
          <w:b/>
          <w:i/>
        </w:rPr>
        <w:t xml:space="preserve"> </w:t>
      </w:r>
      <w:r w:rsidR="007A4777" w:rsidRPr="00780B8B">
        <w:rPr>
          <w:rFonts w:eastAsia="Calibri"/>
          <w:b/>
          <w:i/>
        </w:rPr>
        <w:t>w</w:t>
      </w:r>
      <w:r w:rsidRPr="00780B8B">
        <w:rPr>
          <w:rFonts w:eastAsia="Calibri"/>
          <w:b/>
          <w:i/>
        </w:rPr>
        <w:t xml:space="preserve">ho </w:t>
      </w:r>
      <w:r w:rsidRPr="00780B8B">
        <w:rPr>
          <w:rFonts w:eastAsia="Calibri"/>
        </w:rPr>
        <w:t xml:space="preserve">compared postoperative </w:t>
      </w:r>
      <w:proofErr w:type="spellStart"/>
      <w:r w:rsidRPr="00780B8B">
        <w:rPr>
          <w:rFonts w:eastAsia="Calibri"/>
        </w:rPr>
        <w:t>synechia</w:t>
      </w:r>
      <w:proofErr w:type="spellEnd"/>
      <w:r w:rsidRPr="00780B8B">
        <w:rPr>
          <w:rFonts w:eastAsia="Calibri"/>
        </w:rPr>
        <w:t xml:space="preserve"> rates between two self-absorbing stents (</w:t>
      </w:r>
      <w:proofErr w:type="spellStart"/>
      <w:r w:rsidRPr="00780B8B">
        <w:rPr>
          <w:rFonts w:eastAsia="Calibri"/>
        </w:rPr>
        <w:t>Gelfilm</w:t>
      </w:r>
      <w:proofErr w:type="spellEnd"/>
      <w:r w:rsidRPr="00780B8B">
        <w:rPr>
          <w:rFonts w:eastAsia="Calibri"/>
        </w:rPr>
        <w:t xml:space="preserve">® and </w:t>
      </w:r>
      <w:proofErr w:type="spellStart"/>
      <w:r w:rsidRPr="00780B8B">
        <w:rPr>
          <w:rFonts w:eastAsia="Calibri"/>
        </w:rPr>
        <w:t>MeroGel</w:t>
      </w:r>
      <w:proofErr w:type="spellEnd"/>
      <w:r w:rsidRPr="00780B8B">
        <w:rPr>
          <w:rFonts w:eastAsia="Calibri"/>
        </w:rPr>
        <w:t xml:space="preserve">®) in 100 patients undergoing bilateral minimally invasive sinus techniques. Follow-up consisted of three postoperative visits the first was at week 1 and the last at week 12. Compared with </w:t>
      </w:r>
      <w:proofErr w:type="spellStart"/>
      <w:r w:rsidRPr="00780B8B">
        <w:rPr>
          <w:rFonts w:eastAsia="Calibri"/>
        </w:rPr>
        <w:t>Gelfilm</w:t>
      </w:r>
      <w:proofErr w:type="spellEnd"/>
      <w:r w:rsidRPr="00780B8B">
        <w:rPr>
          <w:rFonts w:eastAsia="Calibri"/>
        </w:rPr>
        <w:t xml:space="preserve">, </w:t>
      </w:r>
      <w:proofErr w:type="spellStart"/>
      <w:r w:rsidRPr="00780B8B">
        <w:rPr>
          <w:rFonts w:eastAsia="Calibri"/>
        </w:rPr>
        <w:t>MeroGel</w:t>
      </w:r>
      <w:proofErr w:type="spellEnd"/>
      <w:r w:rsidRPr="00780B8B">
        <w:rPr>
          <w:rFonts w:eastAsia="Calibri"/>
        </w:rPr>
        <w:t xml:space="preserve">® stents produced significantly less </w:t>
      </w:r>
      <w:proofErr w:type="spellStart"/>
      <w:r w:rsidRPr="00780B8B">
        <w:rPr>
          <w:rFonts w:eastAsia="Calibri"/>
        </w:rPr>
        <w:t>synechia</w:t>
      </w:r>
      <w:proofErr w:type="spellEnd"/>
      <w:r w:rsidRPr="00780B8B">
        <w:rPr>
          <w:rFonts w:eastAsia="Calibri"/>
        </w:rPr>
        <w:t>.</w:t>
      </w:r>
    </w:p>
    <w:p w:rsidR="007A4777" w:rsidRDefault="006712E7" w:rsidP="00EF21BF">
      <w:pPr>
        <w:snapToGrid w:val="0"/>
        <w:ind w:firstLine="425"/>
        <w:jc w:val="both"/>
        <w:rPr>
          <w:rFonts w:eastAsia="Calibri"/>
        </w:rPr>
      </w:pPr>
      <w:r w:rsidRPr="00780B8B">
        <w:rPr>
          <w:rFonts w:eastAsia="Calibri"/>
          <w:b/>
        </w:rPr>
        <w:t xml:space="preserve">Also this study agree with </w:t>
      </w:r>
      <w:r w:rsidRPr="00780B8B">
        <w:rPr>
          <w:rFonts w:eastAsia="Calibri"/>
          <w:b/>
          <w:i/>
        </w:rPr>
        <w:t>(</w:t>
      </w:r>
      <w:proofErr w:type="spellStart"/>
      <w:r w:rsidRPr="00780B8B">
        <w:rPr>
          <w:rFonts w:eastAsia="Calibri"/>
          <w:b/>
          <w:i/>
        </w:rPr>
        <w:t>Berlucchi</w:t>
      </w:r>
      <w:proofErr w:type="spellEnd"/>
      <w:r w:rsidRPr="00780B8B">
        <w:rPr>
          <w:rFonts w:eastAsia="Calibri"/>
          <w:b/>
          <w:i/>
        </w:rPr>
        <w:t xml:space="preserve"> et al., 2009</w:t>
      </w:r>
      <w:r w:rsidR="00780B8B" w:rsidRPr="00780B8B">
        <w:rPr>
          <w:rFonts w:eastAsia="Calibri"/>
          <w:b/>
          <w:i/>
        </w:rPr>
        <w:t>) [</w:t>
      </w:r>
      <w:r w:rsidRPr="00780B8B">
        <w:rPr>
          <w:rFonts w:eastAsia="Calibri"/>
          <w:b/>
          <w:i/>
        </w:rPr>
        <w:t xml:space="preserve">10] who </w:t>
      </w:r>
      <w:r w:rsidRPr="00780B8B">
        <w:rPr>
          <w:rFonts w:eastAsia="Calibri"/>
        </w:rPr>
        <w:t xml:space="preserve">performed a randomized, controlled, multicenter clinical study to assess efficacy of absorbable middle </w:t>
      </w:r>
      <w:proofErr w:type="spellStart"/>
      <w:r w:rsidRPr="00780B8B">
        <w:rPr>
          <w:rFonts w:eastAsia="Calibri"/>
        </w:rPr>
        <w:t>meatal</w:t>
      </w:r>
      <w:proofErr w:type="spellEnd"/>
      <w:r w:rsidRPr="00780B8B">
        <w:rPr>
          <w:rFonts w:eastAsia="Calibri"/>
        </w:rPr>
        <w:t xml:space="preserve"> packing in</w:t>
      </w:r>
      <w:r w:rsidR="00780B8B" w:rsidRPr="00780B8B">
        <w:rPr>
          <w:rFonts w:eastAsia="Calibri"/>
        </w:rPr>
        <w:t xml:space="preserve"> </w:t>
      </w:r>
      <w:r w:rsidRPr="00780B8B">
        <w:rPr>
          <w:rFonts w:eastAsia="Calibri"/>
        </w:rPr>
        <w:t>patients</w:t>
      </w:r>
      <w:r w:rsidR="00780B8B" w:rsidRPr="00780B8B">
        <w:rPr>
          <w:rFonts w:eastAsia="Calibri"/>
        </w:rPr>
        <w:t xml:space="preserve"> </w:t>
      </w:r>
      <w:r w:rsidRPr="00780B8B">
        <w:rPr>
          <w:rFonts w:eastAsia="Calibri"/>
        </w:rPr>
        <w:t>undergoing</w:t>
      </w:r>
      <w:r w:rsidR="00780B8B" w:rsidRPr="00780B8B">
        <w:rPr>
          <w:rFonts w:eastAsia="Calibri"/>
        </w:rPr>
        <w:t xml:space="preserve"> </w:t>
      </w:r>
      <w:r w:rsidRPr="00780B8B">
        <w:rPr>
          <w:rFonts w:eastAsia="Calibri"/>
        </w:rPr>
        <w:t>FESS.</w:t>
      </w:r>
      <w:r w:rsidR="00780B8B" w:rsidRPr="00780B8B">
        <w:rPr>
          <w:rFonts w:eastAsia="Calibri"/>
        </w:rPr>
        <w:t xml:space="preserve"> </w:t>
      </w:r>
      <w:r w:rsidRPr="00780B8B">
        <w:rPr>
          <w:rFonts w:eastAsia="Calibri"/>
        </w:rPr>
        <w:t>66</w:t>
      </w:r>
      <w:r w:rsidR="00780B8B" w:rsidRPr="00780B8B">
        <w:rPr>
          <w:rFonts w:eastAsia="Calibri"/>
        </w:rPr>
        <w:t xml:space="preserve"> </w:t>
      </w:r>
      <w:r w:rsidRPr="00780B8B">
        <w:rPr>
          <w:rFonts w:eastAsia="Calibri"/>
        </w:rPr>
        <w:t>patients</w:t>
      </w:r>
      <w:r w:rsidR="00780B8B" w:rsidRPr="00780B8B">
        <w:rPr>
          <w:rFonts w:eastAsia="Calibri"/>
        </w:rPr>
        <w:t xml:space="preserve"> </w:t>
      </w:r>
      <w:r w:rsidRPr="00780B8B">
        <w:rPr>
          <w:rFonts w:eastAsia="Calibri"/>
        </w:rPr>
        <w:t>were</w:t>
      </w:r>
      <w:r w:rsidR="00780B8B" w:rsidRPr="00780B8B">
        <w:rPr>
          <w:rFonts w:eastAsia="Calibri"/>
        </w:rPr>
        <w:t xml:space="preserve"> </w:t>
      </w:r>
      <w:r w:rsidRPr="00780B8B">
        <w:rPr>
          <w:rFonts w:eastAsia="Calibri"/>
        </w:rPr>
        <w:t>randomized</w:t>
      </w:r>
      <w:r w:rsidR="00780B8B" w:rsidRPr="00780B8B">
        <w:rPr>
          <w:rFonts w:eastAsia="Calibri"/>
        </w:rPr>
        <w:t xml:space="preserve"> </w:t>
      </w:r>
      <w:r w:rsidRPr="00780B8B">
        <w:rPr>
          <w:rFonts w:eastAsia="Calibri"/>
        </w:rPr>
        <w:t>to</w:t>
      </w:r>
      <w:r w:rsidR="00780B8B" w:rsidRPr="00780B8B">
        <w:rPr>
          <w:rFonts w:eastAsia="Calibri"/>
        </w:rPr>
        <w:t xml:space="preserve"> </w:t>
      </w:r>
      <w:r w:rsidRPr="00780B8B">
        <w:rPr>
          <w:rFonts w:eastAsia="Calibri"/>
        </w:rPr>
        <w:t>receive</w:t>
      </w:r>
      <w:r w:rsidR="00780B8B" w:rsidRPr="00780B8B">
        <w:rPr>
          <w:rFonts w:eastAsia="Calibri"/>
        </w:rPr>
        <w:t xml:space="preserve"> </w:t>
      </w:r>
      <w:r w:rsidRPr="00780B8B">
        <w:rPr>
          <w:rFonts w:eastAsia="Calibri"/>
        </w:rPr>
        <w:t>either</w:t>
      </w:r>
      <w:r w:rsidR="00780B8B" w:rsidRPr="00780B8B">
        <w:rPr>
          <w:rFonts w:eastAsia="Calibri"/>
        </w:rPr>
        <w:t xml:space="preserve"> </w:t>
      </w:r>
      <w:proofErr w:type="spellStart"/>
      <w:r w:rsidRPr="00780B8B">
        <w:rPr>
          <w:rFonts w:eastAsia="Calibri"/>
        </w:rPr>
        <w:t>MeroGel</w:t>
      </w:r>
      <w:proofErr w:type="spellEnd"/>
      <w:r w:rsidRPr="00780B8B">
        <w:rPr>
          <w:rFonts w:eastAsia="Calibri"/>
        </w:rPr>
        <w:t>® (absorbable nasal dressing) or standard non absorbable nasal pack with antibiotic coating at the end of FESS. All</w:t>
      </w:r>
      <w:r w:rsidR="00780B8B" w:rsidRPr="00780B8B">
        <w:rPr>
          <w:rFonts w:eastAsia="Calibri"/>
        </w:rPr>
        <w:t xml:space="preserve"> </w:t>
      </w:r>
      <w:r w:rsidRPr="00780B8B">
        <w:rPr>
          <w:rFonts w:eastAsia="Calibri"/>
        </w:rPr>
        <w:t xml:space="preserve">were reassessed by </w:t>
      </w:r>
      <w:proofErr w:type="spellStart"/>
      <w:r w:rsidRPr="00780B8B">
        <w:rPr>
          <w:rFonts w:eastAsia="Calibri"/>
        </w:rPr>
        <w:t>rhinoscopy</w:t>
      </w:r>
      <w:proofErr w:type="spellEnd"/>
      <w:r w:rsidRPr="00780B8B">
        <w:rPr>
          <w:rFonts w:eastAsia="Calibri"/>
        </w:rPr>
        <w:t xml:space="preserve"> at 2, 4, and 12 weeks in blinded fashion</w:t>
      </w:r>
      <w:r w:rsidR="00780B8B" w:rsidRPr="00780B8B">
        <w:rPr>
          <w:rFonts w:eastAsia="Calibri"/>
        </w:rPr>
        <w:t>.</w:t>
      </w:r>
      <w:r w:rsidRPr="00780B8B">
        <w:rPr>
          <w:rFonts w:eastAsia="Calibri"/>
        </w:rPr>
        <w:t xml:space="preserve"> Follow-up endoscopy showed a lower proportion of nasal adhesions in </w:t>
      </w:r>
      <w:proofErr w:type="spellStart"/>
      <w:r w:rsidRPr="00780B8B">
        <w:rPr>
          <w:rFonts w:eastAsia="Calibri"/>
        </w:rPr>
        <w:t>MeroGel</w:t>
      </w:r>
      <w:proofErr w:type="spellEnd"/>
      <w:r w:rsidRPr="00780B8B">
        <w:rPr>
          <w:rFonts w:eastAsia="Calibri"/>
        </w:rPr>
        <w:t>® group at both 4 and 12 weeks.</w:t>
      </w:r>
    </w:p>
    <w:p w:rsidR="007A4777" w:rsidRDefault="006712E7" w:rsidP="00EF21BF">
      <w:pPr>
        <w:snapToGrid w:val="0"/>
        <w:ind w:firstLine="425"/>
        <w:jc w:val="both"/>
        <w:rPr>
          <w:rFonts w:eastAsia="Calibri"/>
        </w:rPr>
      </w:pPr>
      <w:r w:rsidRPr="00780B8B">
        <w:rPr>
          <w:rFonts w:eastAsia="Calibri"/>
          <w:b/>
        </w:rPr>
        <w:lastRenderedPageBreak/>
        <w:t xml:space="preserve">And Contrary to </w:t>
      </w:r>
      <w:r w:rsidRPr="00780B8B">
        <w:rPr>
          <w:rFonts w:eastAsia="Calibri"/>
          <w:b/>
          <w:i/>
        </w:rPr>
        <w:t>(Chandra et al., 2003</w:t>
      </w:r>
      <w:r w:rsidR="00780B8B" w:rsidRPr="00780B8B">
        <w:rPr>
          <w:rFonts w:eastAsia="Calibri"/>
          <w:b/>
          <w:i/>
        </w:rPr>
        <w:t>) [</w:t>
      </w:r>
      <w:r w:rsidRPr="00780B8B">
        <w:rPr>
          <w:rFonts w:eastAsia="Calibri"/>
          <w:b/>
          <w:i/>
        </w:rPr>
        <w:t>11]</w:t>
      </w:r>
      <w:r w:rsidR="007A4777" w:rsidRPr="00780B8B">
        <w:rPr>
          <w:rFonts w:eastAsia="Calibri"/>
          <w:b/>
          <w:i/>
        </w:rPr>
        <w:t>.</w:t>
      </w:r>
      <w:r w:rsidR="007A4777">
        <w:rPr>
          <w:rFonts w:eastAsia="Calibri"/>
          <w:b/>
          <w:i/>
        </w:rPr>
        <w:t xml:space="preserve"> </w:t>
      </w:r>
      <w:r w:rsidR="007A4777" w:rsidRPr="00780B8B">
        <w:rPr>
          <w:rFonts w:eastAsia="Calibri"/>
          <w:b/>
          <w:i/>
        </w:rPr>
        <w:t>w</w:t>
      </w:r>
      <w:r w:rsidRPr="00780B8B">
        <w:rPr>
          <w:rFonts w:eastAsia="Calibri"/>
          <w:b/>
          <w:i/>
        </w:rPr>
        <w:t xml:space="preserve">ho </w:t>
      </w:r>
      <w:r w:rsidRPr="00780B8B">
        <w:rPr>
          <w:rFonts w:eastAsia="Calibri"/>
        </w:rPr>
        <w:t xml:space="preserve">evaluated the effects of </w:t>
      </w:r>
      <w:proofErr w:type="spellStart"/>
      <w:r w:rsidRPr="00780B8B">
        <w:rPr>
          <w:rFonts w:eastAsia="Calibri"/>
        </w:rPr>
        <w:t>Floseal</w:t>
      </w:r>
      <w:proofErr w:type="spellEnd"/>
      <w:r w:rsidRPr="00780B8B">
        <w:rPr>
          <w:rFonts w:eastAsia="Calibri"/>
        </w:rPr>
        <w:t xml:space="preserve"> ® on mucosal healing in ESS.</w:t>
      </w:r>
      <w:r w:rsidR="00780B8B" w:rsidRPr="00780B8B">
        <w:rPr>
          <w:rFonts w:eastAsia="Calibri"/>
        </w:rPr>
        <w:t xml:space="preserve"> </w:t>
      </w:r>
      <w:r w:rsidRPr="00780B8B">
        <w:rPr>
          <w:rFonts w:eastAsia="Calibri"/>
        </w:rPr>
        <w:t xml:space="preserve">Twenty patients underwent bilateral ESS. For each patient, one </w:t>
      </w:r>
      <w:proofErr w:type="spellStart"/>
      <w:r w:rsidRPr="00780B8B">
        <w:rPr>
          <w:rFonts w:eastAsia="Calibri"/>
        </w:rPr>
        <w:t>ethmoid</w:t>
      </w:r>
      <w:proofErr w:type="spellEnd"/>
      <w:r w:rsidRPr="00780B8B">
        <w:rPr>
          <w:rFonts w:eastAsia="Calibri"/>
        </w:rPr>
        <w:t xml:space="preserve"> cavity was randomized to receive </w:t>
      </w:r>
      <w:proofErr w:type="spellStart"/>
      <w:r w:rsidRPr="00780B8B">
        <w:rPr>
          <w:rFonts w:eastAsia="Calibri"/>
        </w:rPr>
        <w:t>Floseal</w:t>
      </w:r>
      <w:proofErr w:type="spellEnd"/>
      <w:r w:rsidRPr="00780B8B">
        <w:rPr>
          <w:rFonts w:eastAsia="Calibri"/>
        </w:rPr>
        <w:t xml:space="preserve"> ® and the other received thrombin-soaked gelatin foam. The extent of granulation tissue and </w:t>
      </w:r>
      <w:proofErr w:type="spellStart"/>
      <w:r w:rsidRPr="00780B8B">
        <w:rPr>
          <w:rFonts w:eastAsia="Calibri"/>
        </w:rPr>
        <w:t>synechia</w:t>
      </w:r>
      <w:proofErr w:type="spellEnd"/>
      <w:r w:rsidRPr="00780B8B">
        <w:rPr>
          <w:rFonts w:eastAsia="Calibri"/>
        </w:rPr>
        <w:t xml:space="preserve"> formation was evaluated at 6-8 weeks after surgery. The </w:t>
      </w:r>
      <w:proofErr w:type="spellStart"/>
      <w:r w:rsidRPr="00780B8B">
        <w:rPr>
          <w:rFonts w:eastAsia="Calibri"/>
        </w:rPr>
        <w:t>Floseal</w:t>
      </w:r>
      <w:proofErr w:type="spellEnd"/>
      <w:r w:rsidRPr="00780B8B">
        <w:rPr>
          <w:rFonts w:eastAsia="Calibri"/>
        </w:rPr>
        <w:t xml:space="preserve"> ®group showed clear trends toward increased granulation tissue and </w:t>
      </w:r>
      <w:proofErr w:type="spellStart"/>
      <w:r w:rsidRPr="00780B8B">
        <w:rPr>
          <w:rFonts w:eastAsia="Calibri"/>
        </w:rPr>
        <w:t>synechia</w:t>
      </w:r>
      <w:proofErr w:type="spellEnd"/>
      <w:r w:rsidRPr="00780B8B">
        <w:rPr>
          <w:rFonts w:eastAsia="Calibri"/>
        </w:rPr>
        <w:t xml:space="preserve"> formation compared with thrombin soaked gelatin foam group</w:t>
      </w:r>
      <w:r w:rsidR="00780B8B" w:rsidRPr="00780B8B">
        <w:rPr>
          <w:rFonts w:eastAsia="Calibri"/>
        </w:rPr>
        <w:t xml:space="preserve">, </w:t>
      </w:r>
      <w:r w:rsidRPr="00780B8B">
        <w:rPr>
          <w:rFonts w:eastAsia="Calibri"/>
        </w:rPr>
        <w:t>which may be due to different</w:t>
      </w:r>
      <w:r w:rsidR="00780B8B" w:rsidRPr="00780B8B">
        <w:rPr>
          <w:rFonts w:eastAsia="Calibri"/>
        </w:rPr>
        <w:t xml:space="preserve"> </w:t>
      </w:r>
      <w:r w:rsidRPr="00780B8B">
        <w:rPr>
          <w:rFonts w:eastAsia="Calibri"/>
        </w:rPr>
        <w:t>type of pack used.</w:t>
      </w:r>
    </w:p>
    <w:p w:rsidR="007A4777" w:rsidRDefault="006712E7" w:rsidP="00EF21BF">
      <w:pPr>
        <w:snapToGrid w:val="0"/>
        <w:ind w:firstLine="425"/>
        <w:jc w:val="both"/>
        <w:rPr>
          <w:rFonts w:eastAsia="Calibri"/>
        </w:rPr>
      </w:pPr>
      <w:r w:rsidRPr="00780B8B">
        <w:rPr>
          <w:rFonts w:eastAsia="Calibri"/>
          <w:b/>
        </w:rPr>
        <w:t>In this study</w:t>
      </w:r>
      <w:r w:rsidRPr="00780B8B">
        <w:rPr>
          <w:rFonts w:eastAsia="Calibri"/>
        </w:rPr>
        <w:t>, subjective assessment showed better results in the nasal cavity with absorbable pack as regarding bleeding, patient comfort</w:t>
      </w:r>
      <w:r w:rsidR="00780B8B" w:rsidRPr="00780B8B">
        <w:rPr>
          <w:rFonts w:eastAsia="Calibri"/>
        </w:rPr>
        <w:t xml:space="preserve"> </w:t>
      </w:r>
      <w:r w:rsidRPr="00780B8B">
        <w:rPr>
          <w:rFonts w:eastAsia="Calibri"/>
        </w:rPr>
        <w:t>(pain</w:t>
      </w:r>
      <w:r w:rsidR="007A4777" w:rsidRPr="00780B8B">
        <w:rPr>
          <w:rFonts w:eastAsia="Calibri"/>
        </w:rPr>
        <w:t>,</w:t>
      </w:r>
      <w:r w:rsidR="007A4777">
        <w:rPr>
          <w:rFonts w:eastAsia="Calibri"/>
        </w:rPr>
        <w:t xml:space="preserve"> </w:t>
      </w:r>
      <w:r w:rsidR="007A4777" w:rsidRPr="00780B8B">
        <w:rPr>
          <w:rFonts w:eastAsia="Calibri"/>
        </w:rPr>
        <w:t>h</w:t>
      </w:r>
      <w:r w:rsidRPr="00780B8B">
        <w:rPr>
          <w:rFonts w:eastAsia="Calibri"/>
        </w:rPr>
        <w:t xml:space="preserve">eadache and nasal blockage), nasal </w:t>
      </w:r>
      <w:proofErr w:type="spellStart"/>
      <w:r w:rsidRPr="00780B8B">
        <w:rPr>
          <w:rFonts w:eastAsia="Calibri"/>
        </w:rPr>
        <w:t>crustations</w:t>
      </w:r>
      <w:proofErr w:type="spellEnd"/>
      <w:r w:rsidRPr="00780B8B">
        <w:rPr>
          <w:rFonts w:eastAsia="Calibri"/>
        </w:rPr>
        <w:t xml:space="preserve"> and healing. </w:t>
      </w:r>
    </w:p>
    <w:p w:rsidR="007A4777" w:rsidRDefault="006712E7" w:rsidP="00EF21BF">
      <w:pPr>
        <w:snapToGrid w:val="0"/>
        <w:ind w:firstLine="425"/>
        <w:jc w:val="both"/>
        <w:rPr>
          <w:rFonts w:eastAsia="Calibri"/>
        </w:rPr>
      </w:pPr>
      <w:r w:rsidRPr="00780B8B">
        <w:rPr>
          <w:rFonts w:eastAsia="Calibri"/>
        </w:rPr>
        <w:t>However, there is no statically significant difference. Bleeding assessment on pack removal on day 2 also showed statically significant difference between the groups with better results in the groups with absorbable pack. This means that bleeding was less in the</w:t>
      </w:r>
      <w:r w:rsidR="00780B8B" w:rsidRPr="00780B8B">
        <w:rPr>
          <w:rFonts w:eastAsia="Calibri"/>
        </w:rPr>
        <w:t xml:space="preserve"> </w:t>
      </w:r>
      <w:r w:rsidRPr="00780B8B">
        <w:rPr>
          <w:rFonts w:eastAsia="Calibri"/>
        </w:rPr>
        <w:t>group with absorbable</w:t>
      </w:r>
      <w:r w:rsidR="00780B8B" w:rsidRPr="00780B8B">
        <w:rPr>
          <w:rFonts w:eastAsia="Calibri"/>
        </w:rPr>
        <w:t xml:space="preserve"> </w:t>
      </w:r>
      <w:r w:rsidRPr="00780B8B">
        <w:rPr>
          <w:rFonts w:eastAsia="Calibri"/>
        </w:rPr>
        <w:t>pack</w:t>
      </w:r>
      <w:r w:rsidR="007A4777" w:rsidRPr="00780B8B">
        <w:rPr>
          <w:rFonts w:eastAsia="Calibri"/>
        </w:rPr>
        <w:t>,</w:t>
      </w:r>
      <w:r w:rsidR="007A4777">
        <w:rPr>
          <w:rFonts w:eastAsia="Calibri"/>
        </w:rPr>
        <w:t xml:space="preserve"> </w:t>
      </w:r>
      <w:r w:rsidR="007A4777" w:rsidRPr="00780B8B">
        <w:rPr>
          <w:rFonts w:eastAsia="Calibri"/>
          <w:b/>
        </w:rPr>
        <w:t>w</w:t>
      </w:r>
      <w:r w:rsidRPr="00780B8B">
        <w:rPr>
          <w:rFonts w:eastAsia="Calibri"/>
          <w:b/>
        </w:rPr>
        <w:t xml:space="preserve">hich agree with </w:t>
      </w:r>
      <w:r w:rsidRPr="00780B8B">
        <w:rPr>
          <w:rFonts w:eastAsia="Calibri"/>
          <w:b/>
          <w:i/>
        </w:rPr>
        <w:t>(Cho et al., 2013</w:t>
      </w:r>
      <w:r w:rsidR="00780B8B" w:rsidRPr="00780B8B">
        <w:rPr>
          <w:rFonts w:eastAsia="Calibri"/>
          <w:b/>
          <w:i/>
        </w:rPr>
        <w:t>) [</w:t>
      </w:r>
      <w:r w:rsidRPr="00780B8B">
        <w:rPr>
          <w:rFonts w:eastAsia="Calibri"/>
          <w:b/>
          <w:i/>
        </w:rPr>
        <w:t>12]</w:t>
      </w:r>
      <w:r w:rsidR="007A4777" w:rsidRPr="00780B8B">
        <w:rPr>
          <w:rFonts w:eastAsia="Calibri"/>
          <w:b/>
          <w:i/>
        </w:rPr>
        <w:t>.</w:t>
      </w:r>
      <w:r w:rsidR="007A4777">
        <w:rPr>
          <w:rFonts w:eastAsia="Calibri"/>
          <w:b/>
          <w:i/>
        </w:rPr>
        <w:t xml:space="preserve"> </w:t>
      </w:r>
      <w:r w:rsidR="007A4777" w:rsidRPr="00780B8B">
        <w:rPr>
          <w:rFonts w:eastAsia="Calibri"/>
          <w:b/>
          <w:i/>
        </w:rPr>
        <w:t>w</w:t>
      </w:r>
      <w:r w:rsidRPr="00780B8B">
        <w:rPr>
          <w:rFonts w:eastAsia="Calibri"/>
          <w:b/>
          <w:i/>
        </w:rPr>
        <w:t xml:space="preserve">ho </w:t>
      </w:r>
      <w:r w:rsidRPr="00780B8B">
        <w:rPr>
          <w:rFonts w:eastAsia="Calibri"/>
        </w:rPr>
        <w:t>conducted multicenter, prospective, randomized, double-blind and controlled study. 100 patients with chronic sinusitis requiring the same extent of ESS were included. Following surgery;</w:t>
      </w:r>
      <w:r w:rsidR="00780B8B" w:rsidRPr="00780B8B">
        <w:rPr>
          <w:rFonts w:eastAsia="Calibri"/>
        </w:rPr>
        <w:t xml:space="preserve"> </w:t>
      </w:r>
      <w:r w:rsidRPr="00780B8B">
        <w:rPr>
          <w:rFonts w:eastAsia="Calibri"/>
        </w:rPr>
        <w:t xml:space="preserve">one </w:t>
      </w:r>
      <w:proofErr w:type="spellStart"/>
      <w:r w:rsidRPr="00780B8B">
        <w:rPr>
          <w:rFonts w:eastAsia="Calibri"/>
        </w:rPr>
        <w:t>ethmoid</w:t>
      </w:r>
      <w:proofErr w:type="spellEnd"/>
      <w:r w:rsidRPr="00780B8B">
        <w:rPr>
          <w:rFonts w:eastAsia="Calibri"/>
        </w:rPr>
        <w:t xml:space="preserve"> cavity was packed with a </w:t>
      </w:r>
      <w:proofErr w:type="spellStart"/>
      <w:r w:rsidRPr="00780B8B">
        <w:rPr>
          <w:rFonts w:eastAsia="Calibri"/>
        </w:rPr>
        <w:t>Cutanplast</w:t>
      </w:r>
      <w:proofErr w:type="spellEnd"/>
      <w:r w:rsidRPr="00780B8B">
        <w:rPr>
          <w:rFonts w:eastAsia="Calibri"/>
        </w:rPr>
        <w:t>® (absorbable</w:t>
      </w:r>
      <w:r w:rsidR="00780B8B" w:rsidRPr="00780B8B">
        <w:rPr>
          <w:rFonts w:eastAsia="Calibri"/>
        </w:rPr>
        <w:t xml:space="preserve"> </w:t>
      </w:r>
      <w:r w:rsidRPr="00780B8B">
        <w:rPr>
          <w:rFonts w:eastAsia="Calibri"/>
        </w:rPr>
        <w:t xml:space="preserve">nasal dressing) haemostatic sponge and the other with a </w:t>
      </w:r>
      <w:proofErr w:type="spellStart"/>
      <w:r w:rsidRPr="00780B8B">
        <w:rPr>
          <w:rFonts w:eastAsia="Calibri"/>
        </w:rPr>
        <w:t>Merocel</w:t>
      </w:r>
      <w:proofErr w:type="spellEnd"/>
      <w:r w:rsidRPr="00780B8B">
        <w:rPr>
          <w:rFonts w:eastAsia="Calibri"/>
        </w:rPr>
        <w:t xml:space="preserve">® (non absorbable nasal pack) according to a randomized assignment. All nasal packs were removed the day after. Both packs were effective at preventing postoperative hemorrhage. However, </w:t>
      </w:r>
      <w:proofErr w:type="spellStart"/>
      <w:r w:rsidRPr="00780B8B">
        <w:rPr>
          <w:rFonts w:eastAsia="Calibri"/>
        </w:rPr>
        <w:t>Cutanplast</w:t>
      </w:r>
      <w:proofErr w:type="spellEnd"/>
      <w:r w:rsidRPr="00780B8B">
        <w:rPr>
          <w:rFonts w:eastAsia="Calibri"/>
        </w:rPr>
        <w:t xml:space="preserve">® was significantly more comfortable while in situ and less painful on removal of the pack. The </w:t>
      </w:r>
      <w:proofErr w:type="spellStart"/>
      <w:r w:rsidRPr="00780B8B">
        <w:rPr>
          <w:rFonts w:eastAsia="Calibri"/>
        </w:rPr>
        <w:t>Merocel</w:t>
      </w:r>
      <w:proofErr w:type="spellEnd"/>
      <w:r w:rsidRPr="00780B8B">
        <w:rPr>
          <w:rFonts w:eastAsia="Calibri"/>
        </w:rPr>
        <w:t xml:space="preserve"> pack was associated with significantly more bleeding on removal; therefore much time was needed to control hemorrhage. </w:t>
      </w:r>
      <w:proofErr w:type="spellStart"/>
      <w:r w:rsidRPr="00780B8B">
        <w:rPr>
          <w:rFonts w:eastAsia="Calibri"/>
        </w:rPr>
        <w:t>Cutanplast</w:t>
      </w:r>
      <w:proofErr w:type="spellEnd"/>
      <w:r w:rsidRPr="00780B8B">
        <w:rPr>
          <w:rFonts w:eastAsia="Calibri"/>
        </w:rPr>
        <w:t xml:space="preserve"> pack results in significantly less pain and less bleeding compared to </w:t>
      </w:r>
      <w:proofErr w:type="spellStart"/>
      <w:r w:rsidRPr="00780B8B">
        <w:rPr>
          <w:rFonts w:eastAsia="Calibri"/>
        </w:rPr>
        <w:t>Merocel</w:t>
      </w:r>
      <w:proofErr w:type="spellEnd"/>
      <w:r w:rsidRPr="00780B8B">
        <w:rPr>
          <w:rFonts w:eastAsia="Calibri"/>
        </w:rPr>
        <w:t xml:space="preserve"> pack.</w:t>
      </w:r>
    </w:p>
    <w:p w:rsidR="007A4777" w:rsidRDefault="006712E7" w:rsidP="00EF21BF">
      <w:pPr>
        <w:snapToGrid w:val="0"/>
        <w:ind w:firstLine="425"/>
        <w:jc w:val="both"/>
        <w:rPr>
          <w:rFonts w:eastAsia="Calibri"/>
        </w:rPr>
      </w:pPr>
      <w:r w:rsidRPr="00780B8B">
        <w:rPr>
          <w:rFonts w:eastAsia="Calibri"/>
          <w:b/>
        </w:rPr>
        <w:t xml:space="preserve">And Contrary to </w:t>
      </w:r>
      <w:r w:rsidRPr="00780B8B">
        <w:rPr>
          <w:rFonts w:eastAsia="Calibri"/>
          <w:b/>
          <w:i/>
        </w:rPr>
        <w:t>(</w:t>
      </w:r>
      <w:proofErr w:type="spellStart"/>
      <w:r w:rsidRPr="00780B8B">
        <w:rPr>
          <w:rFonts w:eastAsia="Calibri"/>
          <w:b/>
          <w:i/>
        </w:rPr>
        <w:t>Shoman</w:t>
      </w:r>
      <w:proofErr w:type="spellEnd"/>
      <w:r w:rsidRPr="00780B8B">
        <w:rPr>
          <w:rFonts w:eastAsia="Calibri"/>
          <w:b/>
          <w:i/>
        </w:rPr>
        <w:t xml:space="preserve"> et al., 2009</w:t>
      </w:r>
      <w:r w:rsidR="00780B8B" w:rsidRPr="00780B8B">
        <w:rPr>
          <w:rFonts w:eastAsia="Calibri"/>
          <w:b/>
          <w:i/>
        </w:rPr>
        <w:t>) [</w:t>
      </w:r>
      <w:r w:rsidRPr="00780B8B">
        <w:rPr>
          <w:rFonts w:eastAsia="Calibri"/>
          <w:b/>
          <w:i/>
        </w:rPr>
        <w:t xml:space="preserve">13] who </w:t>
      </w:r>
      <w:r w:rsidRPr="00780B8B">
        <w:rPr>
          <w:rFonts w:eastAsia="Calibri"/>
        </w:rPr>
        <w:t xml:space="preserve">conducted a prospective, double- blind, randomized study of 30 patients undergoing bilateral FESS to compare </w:t>
      </w:r>
      <w:proofErr w:type="spellStart"/>
      <w:r w:rsidRPr="00780B8B">
        <w:rPr>
          <w:rFonts w:eastAsia="Calibri"/>
        </w:rPr>
        <w:t>NasoPore</w:t>
      </w:r>
      <w:proofErr w:type="spellEnd"/>
      <w:r w:rsidRPr="00780B8B">
        <w:rPr>
          <w:rFonts w:eastAsia="Calibri"/>
        </w:rPr>
        <w:t xml:space="preserve">® (absorbable nasal dressing) and vinyl gloved </w:t>
      </w:r>
      <w:proofErr w:type="spellStart"/>
      <w:r w:rsidRPr="00780B8B">
        <w:rPr>
          <w:rFonts w:eastAsia="Calibri"/>
        </w:rPr>
        <w:t>Merocel</w:t>
      </w:r>
      <w:proofErr w:type="spellEnd"/>
      <w:r w:rsidRPr="00780B8B">
        <w:rPr>
          <w:rFonts w:eastAsia="Calibri"/>
        </w:rPr>
        <w:t>® (non absorbable nasal pack). Patients were evaluated 1 week postoperatively for pack removal and debridement, and associated discomfort and bleeding with the removal, as well as overall preference for either pack</w:t>
      </w:r>
      <w:r w:rsidR="007A4777">
        <w:rPr>
          <w:rFonts w:hint="eastAsia"/>
          <w:lang w:eastAsia="zh-CN"/>
        </w:rPr>
        <w:t>.</w:t>
      </w:r>
      <w:r w:rsidRPr="00780B8B">
        <w:rPr>
          <w:rFonts w:eastAsia="Calibri"/>
        </w:rPr>
        <w:t xml:space="preserve"> Postoperatively, there was no significant difference between both groups with regard to patients’ pain, pressure, blockage, swelling, bleeding, or discomfort on packing removal. There was no statistical difference in the amount of bleeding associated with packing removal.</w:t>
      </w:r>
    </w:p>
    <w:p w:rsidR="007A4777" w:rsidRDefault="006712E7" w:rsidP="00EF21BF">
      <w:pPr>
        <w:snapToGrid w:val="0"/>
        <w:ind w:firstLine="425"/>
        <w:jc w:val="both"/>
        <w:rPr>
          <w:rFonts w:eastAsia="Calibri"/>
        </w:rPr>
      </w:pPr>
      <w:r w:rsidRPr="00780B8B">
        <w:rPr>
          <w:rFonts w:eastAsia="Calibri"/>
        </w:rPr>
        <w:lastRenderedPageBreak/>
        <w:t>This non-matching may be due to type of non-absorbable pack used</w:t>
      </w:r>
      <w:r w:rsidR="007A4777" w:rsidRPr="00780B8B">
        <w:rPr>
          <w:rFonts w:eastAsia="Calibri"/>
        </w:rPr>
        <w:t>,</w:t>
      </w:r>
      <w:r w:rsidR="007A4777">
        <w:rPr>
          <w:rFonts w:eastAsia="Calibri"/>
        </w:rPr>
        <w:t xml:space="preserve"> </w:t>
      </w:r>
      <w:r w:rsidR="007A4777" w:rsidRPr="00780B8B">
        <w:rPr>
          <w:rFonts w:eastAsia="Calibri"/>
        </w:rPr>
        <w:t>o</w:t>
      </w:r>
      <w:r w:rsidRPr="00780B8B">
        <w:rPr>
          <w:rFonts w:eastAsia="Calibri"/>
        </w:rPr>
        <w:t>r may be due to change in time of visits.</w:t>
      </w:r>
    </w:p>
    <w:p w:rsidR="007A4777" w:rsidRDefault="006712E7" w:rsidP="00EF21BF">
      <w:pPr>
        <w:snapToGrid w:val="0"/>
        <w:ind w:firstLine="425"/>
        <w:jc w:val="both"/>
        <w:rPr>
          <w:rFonts w:eastAsia="Calibri"/>
        </w:rPr>
      </w:pPr>
      <w:r w:rsidRPr="00780B8B">
        <w:rPr>
          <w:rFonts w:eastAsia="Calibri"/>
          <w:b/>
          <w:i/>
        </w:rPr>
        <w:t>Also contrary to (Wang et al., 2011</w:t>
      </w:r>
      <w:r w:rsidR="00780B8B" w:rsidRPr="00780B8B">
        <w:rPr>
          <w:rFonts w:eastAsia="Calibri"/>
          <w:b/>
          <w:i/>
        </w:rPr>
        <w:t>) [</w:t>
      </w:r>
      <w:r w:rsidRPr="00780B8B">
        <w:rPr>
          <w:rFonts w:eastAsia="Calibri"/>
          <w:b/>
          <w:i/>
        </w:rPr>
        <w:t xml:space="preserve">14] who </w:t>
      </w:r>
      <w:r w:rsidRPr="00780B8B">
        <w:rPr>
          <w:rFonts w:eastAsia="Calibri"/>
        </w:rPr>
        <w:t xml:space="preserve">evaluated the effects of three different nasal packing materials: Vaseline gauze strip, </w:t>
      </w:r>
      <w:proofErr w:type="spellStart"/>
      <w:r w:rsidRPr="00780B8B">
        <w:rPr>
          <w:rFonts w:eastAsia="Calibri"/>
        </w:rPr>
        <w:t>Merocel</w:t>
      </w:r>
      <w:proofErr w:type="spellEnd"/>
      <w:r w:rsidRPr="00780B8B">
        <w:rPr>
          <w:rFonts w:eastAsia="Calibri"/>
        </w:rPr>
        <w:t xml:space="preserve">® (non absorbable nasal packs) and </w:t>
      </w:r>
      <w:proofErr w:type="spellStart"/>
      <w:r w:rsidRPr="00780B8B">
        <w:rPr>
          <w:rFonts w:eastAsia="Calibri"/>
        </w:rPr>
        <w:t>Nasopore</w:t>
      </w:r>
      <w:proofErr w:type="spellEnd"/>
      <w:r w:rsidRPr="00780B8B">
        <w:rPr>
          <w:rFonts w:eastAsia="Calibri"/>
        </w:rPr>
        <w:t>® (absorbable nasal dressing)</w:t>
      </w:r>
      <w:r w:rsidR="00780B8B" w:rsidRPr="00780B8B">
        <w:rPr>
          <w:rFonts w:eastAsia="Calibri"/>
        </w:rPr>
        <w:t>.</w:t>
      </w:r>
      <w:r w:rsidRPr="00780B8B">
        <w:rPr>
          <w:rFonts w:eastAsia="Calibri"/>
        </w:rPr>
        <w:t xml:space="preserve"> All patients were admitted to undergo the appropriate ESS, and at the end of the surgery, the chosen packing material was impregnated with antibiotics and introduced in the middle </w:t>
      </w:r>
      <w:proofErr w:type="spellStart"/>
      <w:r w:rsidRPr="00780B8B">
        <w:rPr>
          <w:rFonts w:eastAsia="Calibri"/>
        </w:rPr>
        <w:t>meatus</w:t>
      </w:r>
      <w:proofErr w:type="spellEnd"/>
      <w:r w:rsidRPr="00780B8B">
        <w:rPr>
          <w:rFonts w:eastAsia="Calibri"/>
        </w:rPr>
        <w:t xml:space="preserve">. The Vaseline gauze strip and </w:t>
      </w:r>
      <w:proofErr w:type="spellStart"/>
      <w:r w:rsidRPr="00780B8B">
        <w:rPr>
          <w:rFonts w:eastAsia="Calibri"/>
        </w:rPr>
        <w:t>Merocel</w:t>
      </w:r>
      <w:proofErr w:type="spellEnd"/>
      <w:r w:rsidRPr="00780B8B">
        <w:rPr>
          <w:rFonts w:eastAsia="Calibri"/>
        </w:rPr>
        <w:t xml:space="preserve"> packing were removed 48-72 hours after surgery. In contrast, </w:t>
      </w:r>
      <w:proofErr w:type="spellStart"/>
      <w:r w:rsidRPr="00780B8B">
        <w:rPr>
          <w:rFonts w:eastAsia="Calibri"/>
        </w:rPr>
        <w:t>Nasopore</w:t>
      </w:r>
      <w:proofErr w:type="spellEnd"/>
      <w:r w:rsidRPr="00780B8B">
        <w:rPr>
          <w:rFonts w:eastAsia="Calibri"/>
        </w:rPr>
        <w:t xml:space="preserve"> was left in place until it was suctioned out 5-10 days after discharge. </w:t>
      </w:r>
      <w:proofErr w:type="spellStart"/>
      <w:r w:rsidRPr="00780B8B">
        <w:rPr>
          <w:rFonts w:eastAsia="Calibri"/>
        </w:rPr>
        <w:t>Nasopore</w:t>
      </w:r>
      <w:proofErr w:type="spellEnd"/>
      <w:r w:rsidRPr="00780B8B">
        <w:rPr>
          <w:rFonts w:eastAsia="Calibri"/>
        </w:rPr>
        <w:t xml:space="preserve"> showed a significantly greater association with bleeding related admission and additional nasal packing. Overall, the outcome measures in the patients who received Vaseline gauze were equivalent to those in the patients who received </w:t>
      </w:r>
      <w:proofErr w:type="spellStart"/>
      <w:r w:rsidRPr="00780B8B">
        <w:rPr>
          <w:rFonts w:eastAsia="Calibri"/>
        </w:rPr>
        <w:t>Merocel</w:t>
      </w:r>
      <w:proofErr w:type="spellEnd"/>
      <w:r w:rsidRPr="00780B8B">
        <w:rPr>
          <w:rFonts w:eastAsia="Calibri"/>
        </w:rPr>
        <w:t xml:space="preserve">. However, </w:t>
      </w:r>
      <w:proofErr w:type="spellStart"/>
      <w:r w:rsidRPr="00780B8B">
        <w:rPr>
          <w:rFonts w:eastAsia="Calibri"/>
        </w:rPr>
        <w:t>Nasopore</w:t>
      </w:r>
      <w:proofErr w:type="spellEnd"/>
      <w:r w:rsidRPr="00780B8B">
        <w:rPr>
          <w:rFonts w:eastAsia="Calibri"/>
        </w:rPr>
        <w:t xml:space="preserve"> was not superior to the two </w:t>
      </w:r>
      <w:proofErr w:type="spellStart"/>
      <w:r w:rsidRPr="00780B8B">
        <w:rPr>
          <w:rFonts w:eastAsia="Calibri"/>
        </w:rPr>
        <w:t>nonabsorbable</w:t>
      </w:r>
      <w:proofErr w:type="spellEnd"/>
      <w:r w:rsidRPr="00780B8B">
        <w:rPr>
          <w:rFonts w:eastAsia="Calibri"/>
        </w:rPr>
        <w:t xml:space="preserve"> packing materials in this study</w:t>
      </w:r>
      <w:r w:rsidR="007A4777" w:rsidRPr="00780B8B">
        <w:rPr>
          <w:rFonts w:eastAsia="Calibri"/>
        </w:rPr>
        <w:t>.</w:t>
      </w:r>
      <w:r w:rsidR="007A4777">
        <w:rPr>
          <w:rFonts w:eastAsia="Calibri"/>
        </w:rPr>
        <w:t xml:space="preserve"> </w:t>
      </w:r>
      <w:r w:rsidR="007A4777" w:rsidRPr="00780B8B">
        <w:rPr>
          <w:rFonts w:eastAsia="Calibri"/>
        </w:rPr>
        <w:t>T</w:t>
      </w:r>
      <w:r w:rsidRPr="00780B8B">
        <w:rPr>
          <w:rFonts w:eastAsia="Calibri"/>
        </w:rPr>
        <w:t>his difference may be due change in type of pack used or time of pack removal</w:t>
      </w:r>
      <w:r w:rsidR="00780B8B" w:rsidRPr="00780B8B">
        <w:rPr>
          <w:rFonts w:eastAsia="Calibri"/>
        </w:rPr>
        <w:t>.</w:t>
      </w:r>
    </w:p>
    <w:p w:rsidR="007A4777" w:rsidRDefault="006712E7" w:rsidP="00EF21BF">
      <w:pPr>
        <w:snapToGrid w:val="0"/>
        <w:ind w:firstLine="425"/>
        <w:jc w:val="both"/>
        <w:rPr>
          <w:rFonts w:eastAsia="Calibri"/>
        </w:rPr>
      </w:pPr>
      <w:r w:rsidRPr="00780B8B">
        <w:rPr>
          <w:rFonts w:eastAsia="Calibri"/>
        </w:rPr>
        <w:t xml:space="preserve">The previous studies showed that each absorbable middle </w:t>
      </w:r>
      <w:proofErr w:type="spellStart"/>
      <w:r w:rsidRPr="00780B8B">
        <w:rPr>
          <w:rFonts w:eastAsia="Calibri"/>
        </w:rPr>
        <w:t>meatal</w:t>
      </w:r>
      <w:proofErr w:type="spellEnd"/>
      <w:r w:rsidRPr="00780B8B">
        <w:rPr>
          <w:rFonts w:eastAsia="Calibri"/>
        </w:rPr>
        <w:t xml:space="preserve"> material has its own advantages and disadvantages. Some studies recommended the use of absorbable middle </w:t>
      </w:r>
      <w:proofErr w:type="spellStart"/>
      <w:r w:rsidRPr="00780B8B">
        <w:rPr>
          <w:rFonts w:eastAsia="Calibri"/>
        </w:rPr>
        <w:t>meatal</w:t>
      </w:r>
      <w:proofErr w:type="spellEnd"/>
      <w:r w:rsidRPr="00780B8B">
        <w:rPr>
          <w:rFonts w:eastAsia="Calibri"/>
        </w:rPr>
        <w:t xml:space="preserve"> pack at the end of endoscopic sinus surgery to decrease the incidence of postoperative lateralization of middle turbinate and bleeding while others didn’t recommend it. However, this study recommends that using absorbable middle </w:t>
      </w:r>
      <w:proofErr w:type="spellStart"/>
      <w:r w:rsidRPr="00780B8B">
        <w:rPr>
          <w:rFonts w:eastAsia="Calibri"/>
        </w:rPr>
        <w:t>meatal</w:t>
      </w:r>
      <w:proofErr w:type="spellEnd"/>
      <w:r w:rsidRPr="00780B8B">
        <w:rPr>
          <w:rFonts w:eastAsia="Calibri"/>
        </w:rPr>
        <w:t xml:space="preserve"> pack is better than not using it at all.</w:t>
      </w:r>
    </w:p>
    <w:p w:rsidR="007A4777" w:rsidRDefault="007A4777" w:rsidP="00EF21BF">
      <w:pPr>
        <w:snapToGrid w:val="0"/>
        <w:ind w:firstLine="425"/>
        <w:jc w:val="both"/>
      </w:pPr>
    </w:p>
    <w:p w:rsidR="007A4777" w:rsidRDefault="006712E7" w:rsidP="00EF21BF">
      <w:pPr>
        <w:snapToGrid w:val="0"/>
        <w:jc w:val="both"/>
        <w:rPr>
          <w:rFonts w:eastAsia="Calibri"/>
        </w:rPr>
      </w:pPr>
      <w:r w:rsidRPr="00780B8B">
        <w:rPr>
          <w:rFonts w:eastAsia="Calibri"/>
          <w:b/>
        </w:rPr>
        <w:t>5. Conclusion</w:t>
      </w:r>
    </w:p>
    <w:p w:rsidR="007A4777" w:rsidRDefault="006712E7" w:rsidP="00EF21BF">
      <w:pPr>
        <w:snapToGrid w:val="0"/>
        <w:ind w:firstLine="425"/>
        <w:jc w:val="both"/>
        <w:rPr>
          <w:rFonts w:eastAsia="Calibri"/>
        </w:rPr>
      </w:pPr>
      <w:r w:rsidRPr="00780B8B">
        <w:rPr>
          <w:rFonts w:eastAsia="Calibri"/>
        </w:rPr>
        <w:t xml:space="preserve">The use of absorbable nasal pack after functional endoscopic sinus surgery resulted in less bleeding, less </w:t>
      </w:r>
      <w:proofErr w:type="spellStart"/>
      <w:r w:rsidRPr="00780B8B">
        <w:rPr>
          <w:rFonts w:eastAsia="Calibri"/>
        </w:rPr>
        <w:t>crustations</w:t>
      </w:r>
      <w:proofErr w:type="spellEnd"/>
      <w:r w:rsidRPr="00780B8B">
        <w:rPr>
          <w:rFonts w:eastAsia="Calibri"/>
        </w:rPr>
        <w:t>, decreasing the incidence of lateralization of middle turbinate and adhesions on long term and better mucosal healing.</w:t>
      </w:r>
    </w:p>
    <w:p w:rsidR="007A4777" w:rsidRDefault="007A4777" w:rsidP="00EF21BF">
      <w:pPr>
        <w:snapToGrid w:val="0"/>
        <w:ind w:firstLine="425"/>
        <w:jc w:val="both"/>
      </w:pPr>
    </w:p>
    <w:p w:rsidR="007A4777" w:rsidRPr="007A4777" w:rsidRDefault="006712E7" w:rsidP="00EF21BF">
      <w:pPr>
        <w:snapToGrid w:val="0"/>
        <w:jc w:val="both"/>
        <w:rPr>
          <w:rFonts w:eastAsia="Calibri"/>
          <w:sz w:val="19"/>
          <w:szCs w:val="19"/>
        </w:rPr>
      </w:pPr>
      <w:r w:rsidRPr="00780B8B">
        <w:rPr>
          <w:rFonts w:eastAsia="Calibri"/>
          <w:b/>
        </w:rPr>
        <w:t>References</w:t>
      </w:r>
    </w:p>
    <w:p w:rsidR="007A4777" w:rsidRPr="007A4777" w:rsidRDefault="006712E7" w:rsidP="007A4777">
      <w:pPr>
        <w:pStyle w:val="ListParagraph"/>
        <w:numPr>
          <w:ilvl w:val="0"/>
          <w:numId w:val="7"/>
        </w:numPr>
        <w:snapToGrid w:val="0"/>
        <w:ind w:left="425" w:hanging="425"/>
        <w:jc w:val="both"/>
        <w:rPr>
          <w:rFonts w:eastAsia="Calibri"/>
          <w:sz w:val="19"/>
          <w:szCs w:val="19"/>
        </w:rPr>
      </w:pPr>
      <w:r w:rsidRPr="007A4777">
        <w:rPr>
          <w:rFonts w:eastAsia="Calibri"/>
          <w:sz w:val="19"/>
          <w:szCs w:val="19"/>
        </w:rPr>
        <w:t>Palmer,</w:t>
      </w:r>
      <w:r w:rsidR="00780B8B" w:rsidRPr="007A4777">
        <w:rPr>
          <w:rFonts w:eastAsia="Calibri"/>
          <w:sz w:val="19"/>
          <w:szCs w:val="19"/>
        </w:rPr>
        <w:t xml:space="preserve"> </w:t>
      </w:r>
      <w:r w:rsidRPr="007A4777">
        <w:rPr>
          <w:rFonts w:eastAsia="Calibri"/>
          <w:sz w:val="19"/>
          <w:szCs w:val="19"/>
        </w:rPr>
        <w:t>J.N.;</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r w:rsidRPr="007A4777">
        <w:rPr>
          <w:rFonts w:eastAsia="Calibri"/>
          <w:sz w:val="19"/>
          <w:szCs w:val="19"/>
        </w:rPr>
        <w:t>Kennedy,</w:t>
      </w:r>
      <w:r w:rsidR="00780B8B" w:rsidRPr="007A4777">
        <w:rPr>
          <w:rFonts w:eastAsia="Calibri"/>
          <w:sz w:val="19"/>
          <w:szCs w:val="19"/>
        </w:rPr>
        <w:t xml:space="preserve"> </w:t>
      </w:r>
      <w:r w:rsidRPr="007A4777">
        <w:rPr>
          <w:rFonts w:eastAsia="Calibri"/>
          <w:sz w:val="19"/>
          <w:szCs w:val="19"/>
        </w:rPr>
        <w:t>D.W.:</w:t>
      </w:r>
      <w:r w:rsidR="00780B8B" w:rsidRPr="007A4777">
        <w:rPr>
          <w:rFonts w:eastAsia="Calibri"/>
          <w:sz w:val="19"/>
          <w:szCs w:val="19"/>
        </w:rPr>
        <w:t xml:space="preserve"> </w:t>
      </w:r>
      <w:r w:rsidRPr="007A4777">
        <w:rPr>
          <w:rFonts w:eastAsia="Calibri"/>
          <w:sz w:val="19"/>
          <w:szCs w:val="19"/>
        </w:rPr>
        <w:t>(2005):</w:t>
      </w:r>
      <w:r w:rsidR="00780B8B" w:rsidRPr="007A4777">
        <w:rPr>
          <w:rFonts w:eastAsia="Calibri"/>
          <w:sz w:val="19"/>
          <w:szCs w:val="19"/>
        </w:rPr>
        <w:t xml:space="preserve"> </w:t>
      </w:r>
      <w:r w:rsidRPr="007A4777">
        <w:rPr>
          <w:rFonts w:eastAsia="Calibri"/>
          <w:sz w:val="19"/>
          <w:szCs w:val="19"/>
        </w:rPr>
        <w:t>Concepts</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r w:rsidRPr="007A4777">
        <w:rPr>
          <w:rFonts w:eastAsia="Calibri"/>
          <w:sz w:val="19"/>
          <w:szCs w:val="19"/>
        </w:rPr>
        <w:t>Endoscopic</w:t>
      </w:r>
      <w:r w:rsidR="00780B8B" w:rsidRPr="007A4777">
        <w:rPr>
          <w:rFonts w:eastAsia="Calibri"/>
          <w:sz w:val="19"/>
          <w:szCs w:val="19"/>
        </w:rPr>
        <w:t xml:space="preserve"> </w:t>
      </w:r>
      <w:r w:rsidRPr="007A4777">
        <w:rPr>
          <w:rFonts w:eastAsia="Calibri"/>
          <w:sz w:val="19"/>
          <w:szCs w:val="19"/>
        </w:rPr>
        <w:t>Sinus</w:t>
      </w:r>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r w:rsidRPr="007A4777">
        <w:rPr>
          <w:rFonts w:eastAsia="Calibri"/>
          <w:sz w:val="19"/>
          <w:szCs w:val="19"/>
        </w:rPr>
        <w:t>Causes</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r w:rsidRPr="007A4777">
        <w:rPr>
          <w:rFonts w:eastAsia="Calibri"/>
          <w:sz w:val="19"/>
          <w:szCs w:val="19"/>
        </w:rPr>
        <w:t>Failure.</w:t>
      </w:r>
      <w:r w:rsidR="00780B8B" w:rsidRPr="007A4777">
        <w:rPr>
          <w:rFonts w:eastAsia="Calibri"/>
          <w:sz w:val="19"/>
          <w:szCs w:val="19"/>
        </w:rPr>
        <w:t xml:space="preserve"> </w:t>
      </w:r>
      <w:r w:rsidRPr="007A4777">
        <w:rPr>
          <w:rFonts w:eastAsia="Calibri"/>
          <w:sz w:val="19"/>
          <w:szCs w:val="19"/>
        </w:rPr>
        <w:t>In</w:t>
      </w:r>
      <w:r w:rsidR="00780B8B" w:rsidRPr="007A4777">
        <w:rPr>
          <w:rFonts w:eastAsia="Calibri"/>
          <w:sz w:val="19"/>
          <w:szCs w:val="19"/>
        </w:rPr>
        <w:t xml:space="preserve"> </w:t>
      </w:r>
      <w:r w:rsidRPr="007A4777">
        <w:rPr>
          <w:rFonts w:eastAsia="Calibri"/>
          <w:sz w:val="19"/>
          <w:szCs w:val="19"/>
        </w:rPr>
        <w:t>Cummings</w:t>
      </w:r>
      <w:r w:rsidR="00780B8B" w:rsidRPr="007A4777">
        <w:rPr>
          <w:rFonts w:eastAsia="Calibri"/>
          <w:sz w:val="19"/>
          <w:szCs w:val="19"/>
        </w:rPr>
        <w:t xml:space="preserve"> </w:t>
      </w:r>
      <w:r w:rsidRPr="007A4777">
        <w:rPr>
          <w:rFonts w:eastAsia="Calibri"/>
          <w:sz w:val="19"/>
          <w:szCs w:val="19"/>
        </w:rPr>
        <w:t>CW,</w:t>
      </w:r>
      <w:r w:rsidR="00780B8B" w:rsidRPr="007A4777">
        <w:rPr>
          <w:rFonts w:eastAsia="Calibri"/>
          <w:sz w:val="19"/>
          <w:szCs w:val="19"/>
        </w:rPr>
        <w:t xml:space="preserve"> </w:t>
      </w:r>
      <w:r w:rsidRPr="007A4777">
        <w:rPr>
          <w:rFonts w:eastAsia="Calibri"/>
          <w:sz w:val="19"/>
          <w:szCs w:val="19"/>
        </w:rPr>
        <w:t>Flint</w:t>
      </w:r>
      <w:r w:rsidR="00780B8B" w:rsidRPr="007A4777">
        <w:rPr>
          <w:rFonts w:eastAsia="Calibri"/>
          <w:sz w:val="19"/>
          <w:szCs w:val="19"/>
        </w:rPr>
        <w:t xml:space="preserve"> </w:t>
      </w:r>
      <w:r w:rsidRPr="007A4777">
        <w:rPr>
          <w:rFonts w:eastAsia="Calibri"/>
          <w:sz w:val="19"/>
          <w:szCs w:val="19"/>
        </w:rPr>
        <w:t>PW,</w:t>
      </w:r>
      <w:r w:rsidR="00780B8B" w:rsidRPr="007A4777">
        <w:rPr>
          <w:rFonts w:eastAsia="Calibri"/>
          <w:sz w:val="19"/>
          <w:szCs w:val="19"/>
        </w:rPr>
        <w:t xml:space="preserve"> </w:t>
      </w:r>
      <w:proofErr w:type="spellStart"/>
      <w:r w:rsidRPr="007A4777">
        <w:rPr>
          <w:rFonts w:eastAsia="Calibri"/>
          <w:sz w:val="19"/>
          <w:szCs w:val="19"/>
        </w:rPr>
        <w:t>Harker</w:t>
      </w:r>
      <w:proofErr w:type="spellEnd"/>
      <w:r w:rsidR="00780B8B" w:rsidRPr="007A4777">
        <w:rPr>
          <w:rFonts w:eastAsia="Calibri"/>
          <w:sz w:val="19"/>
          <w:szCs w:val="19"/>
        </w:rPr>
        <w:t xml:space="preserve"> </w:t>
      </w:r>
      <w:r w:rsidRPr="007A4777">
        <w:rPr>
          <w:rFonts w:eastAsia="Calibri"/>
          <w:sz w:val="19"/>
          <w:szCs w:val="19"/>
        </w:rPr>
        <w:t>LA,</w:t>
      </w:r>
      <w:r w:rsidR="00780B8B" w:rsidRPr="007A4777">
        <w:rPr>
          <w:rFonts w:eastAsia="Calibri"/>
          <w:sz w:val="19"/>
          <w:szCs w:val="19"/>
        </w:rPr>
        <w:t xml:space="preserve"> </w:t>
      </w:r>
      <w:r w:rsidRPr="007A4777">
        <w:rPr>
          <w:rFonts w:eastAsia="Calibri"/>
          <w:sz w:val="19"/>
          <w:szCs w:val="19"/>
        </w:rPr>
        <w:t>et</w:t>
      </w:r>
      <w:r w:rsidR="00780B8B" w:rsidRPr="007A4777">
        <w:rPr>
          <w:rFonts w:eastAsia="Calibri"/>
          <w:sz w:val="19"/>
          <w:szCs w:val="19"/>
        </w:rPr>
        <w:t xml:space="preserve"> </w:t>
      </w:r>
      <w:r w:rsidRPr="007A4777">
        <w:rPr>
          <w:rFonts w:eastAsia="Calibri"/>
          <w:sz w:val="19"/>
          <w:szCs w:val="19"/>
        </w:rPr>
        <w:t>al</w:t>
      </w:r>
      <w:r w:rsidR="00780B8B" w:rsidRPr="007A4777">
        <w:rPr>
          <w:rFonts w:eastAsia="Calibri"/>
          <w:sz w:val="19"/>
          <w:szCs w:val="19"/>
        </w:rPr>
        <w:t xml:space="preserve"> </w:t>
      </w:r>
      <w:r w:rsidRPr="007A4777">
        <w:rPr>
          <w:rFonts w:eastAsia="Calibri"/>
          <w:sz w:val="19"/>
          <w:szCs w:val="19"/>
        </w:rPr>
        <w:t>ed.</w:t>
      </w:r>
      <w:r w:rsidR="00780B8B" w:rsidRPr="007A4777">
        <w:rPr>
          <w:rFonts w:eastAsia="Calibri"/>
          <w:sz w:val="19"/>
          <w:szCs w:val="19"/>
        </w:rPr>
        <w:t xml:space="preserve"> </w:t>
      </w:r>
      <w:r w:rsidRPr="007A4777">
        <w:rPr>
          <w:rFonts w:eastAsia="Calibri"/>
          <w:sz w:val="19"/>
          <w:szCs w:val="19"/>
        </w:rPr>
        <w:t>Otolaryngology</w:t>
      </w:r>
      <w:r w:rsidR="00780B8B" w:rsidRPr="007A4777">
        <w:rPr>
          <w:rFonts w:eastAsia="Calibri"/>
          <w:sz w:val="19"/>
          <w:szCs w:val="19"/>
        </w:rPr>
        <w:t xml:space="preserve"> </w:t>
      </w:r>
      <w:r w:rsidRPr="007A4777">
        <w:rPr>
          <w:rFonts w:eastAsia="Calibri"/>
          <w:sz w:val="19"/>
          <w:szCs w:val="19"/>
        </w:rPr>
        <w:t>Head</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r w:rsidRPr="007A4777">
        <w:rPr>
          <w:rFonts w:eastAsia="Calibri"/>
          <w:sz w:val="19"/>
          <w:szCs w:val="19"/>
        </w:rPr>
        <w:t>Neck</w:t>
      </w:r>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r w:rsidRPr="007A4777">
        <w:rPr>
          <w:rFonts w:eastAsia="Calibri"/>
          <w:sz w:val="19"/>
          <w:szCs w:val="19"/>
        </w:rPr>
        <w:t>4th</w:t>
      </w:r>
      <w:r w:rsidR="00780B8B" w:rsidRPr="007A4777">
        <w:rPr>
          <w:rFonts w:eastAsia="Calibri"/>
          <w:sz w:val="19"/>
          <w:szCs w:val="19"/>
        </w:rPr>
        <w:t xml:space="preserve"> </w:t>
      </w:r>
      <w:r w:rsidRPr="007A4777">
        <w:rPr>
          <w:rFonts w:eastAsia="Calibri"/>
          <w:sz w:val="19"/>
          <w:szCs w:val="19"/>
        </w:rPr>
        <w:t>ed.</w:t>
      </w:r>
      <w:r w:rsidR="00780B8B" w:rsidRPr="007A4777">
        <w:rPr>
          <w:rFonts w:eastAsia="Calibri"/>
          <w:sz w:val="19"/>
          <w:szCs w:val="19"/>
        </w:rPr>
        <w:t xml:space="preserve"> </w:t>
      </w:r>
      <w:r w:rsidRPr="007A4777">
        <w:rPr>
          <w:rFonts w:eastAsia="Calibri"/>
          <w:sz w:val="19"/>
          <w:szCs w:val="19"/>
        </w:rPr>
        <w:t>Philadelphia:</w:t>
      </w:r>
      <w:r w:rsidR="00780B8B" w:rsidRPr="007A4777">
        <w:rPr>
          <w:rFonts w:eastAsia="Calibri"/>
          <w:sz w:val="19"/>
          <w:szCs w:val="19"/>
        </w:rPr>
        <w:t xml:space="preserve"> </w:t>
      </w:r>
      <w:r w:rsidRPr="007A4777">
        <w:rPr>
          <w:rFonts w:eastAsia="Calibri"/>
          <w:sz w:val="19"/>
          <w:szCs w:val="19"/>
        </w:rPr>
        <w:t>Elsevier</w:t>
      </w:r>
      <w:r w:rsidR="00780B8B" w:rsidRPr="007A4777">
        <w:rPr>
          <w:rFonts w:eastAsia="Calibri"/>
          <w:sz w:val="19"/>
          <w:szCs w:val="19"/>
        </w:rPr>
        <w:t xml:space="preserve"> </w:t>
      </w:r>
      <w:r w:rsidRPr="007A4777">
        <w:rPr>
          <w:rFonts w:eastAsia="Calibri"/>
          <w:sz w:val="19"/>
          <w:szCs w:val="19"/>
        </w:rPr>
        <w:t>Mosby;</w:t>
      </w:r>
      <w:r w:rsidR="00780B8B" w:rsidRPr="007A4777">
        <w:rPr>
          <w:rFonts w:eastAsia="Calibri"/>
          <w:sz w:val="19"/>
          <w:szCs w:val="19"/>
        </w:rPr>
        <w:t xml:space="preserve"> </w:t>
      </w:r>
      <w:r w:rsidRPr="007A4777">
        <w:rPr>
          <w:rFonts w:eastAsia="Calibri"/>
          <w:sz w:val="19"/>
          <w:szCs w:val="19"/>
        </w:rPr>
        <w:t>52.759-773</w:t>
      </w:r>
    </w:p>
    <w:p w:rsidR="007A4777" w:rsidRPr="007A4777" w:rsidRDefault="006712E7" w:rsidP="007A4777">
      <w:pPr>
        <w:pStyle w:val="ListParagraph"/>
        <w:numPr>
          <w:ilvl w:val="0"/>
          <w:numId w:val="7"/>
        </w:numPr>
        <w:snapToGrid w:val="0"/>
        <w:ind w:left="425" w:hanging="425"/>
        <w:jc w:val="both"/>
        <w:rPr>
          <w:rFonts w:eastAsia="Calibri"/>
          <w:sz w:val="19"/>
          <w:szCs w:val="19"/>
        </w:rPr>
      </w:pPr>
      <w:r w:rsidRPr="007A4777">
        <w:rPr>
          <w:rFonts w:eastAsia="Calibri"/>
          <w:sz w:val="19"/>
          <w:szCs w:val="19"/>
        </w:rPr>
        <w:t>Otto,</w:t>
      </w:r>
      <w:r w:rsidR="00780B8B" w:rsidRPr="007A4777">
        <w:rPr>
          <w:rFonts w:eastAsia="Calibri"/>
          <w:sz w:val="19"/>
          <w:szCs w:val="19"/>
        </w:rPr>
        <w:t xml:space="preserve"> </w:t>
      </w:r>
      <w:r w:rsidRPr="007A4777">
        <w:rPr>
          <w:rFonts w:eastAsia="Calibri"/>
          <w:sz w:val="19"/>
          <w:szCs w:val="19"/>
        </w:rPr>
        <w:t>K.J.;</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proofErr w:type="spellStart"/>
      <w:r w:rsidRPr="007A4777">
        <w:rPr>
          <w:rFonts w:eastAsia="Calibri"/>
          <w:sz w:val="19"/>
          <w:szCs w:val="19"/>
        </w:rPr>
        <w:t>DelGaudio</w:t>
      </w:r>
      <w:proofErr w:type="spellEnd"/>
      <w:r w:rsidR="00780B8B" w:rsidRPr="007A4777">
        <w:rPr>
          <w:rFonts w:eastAsia="Calibri"/>
          <w:sz w:val="19"/>
          <w:szCs w:val="19"/>
        </w:rPr>
        <w:t xml:space="preserve"> </w:t>
      </w:r>
      <w:r w:rsidRPr="007A4777">
        <w:rPr>
          <w:rFonts w:eastAsia="Calibri"/>
          <w:sz w:val="19"/>
          <w:szCs w:val="19"/>
        </w:rPr>
        <w:t>JM.:</w:t>
      </w:r>
      <w:r w:rsidR="00780B8B" w:rsidRPr="007A4777">
        <w:rPr>
          <w:rFonts w:eastAsia="Calibri"/>
          <w:sz w:val="19"/>
          <w:szCs w:val="19"/>
        </w:rPr>
        <w:t xml:space="preserve"> </w:t>
      </w:r>
      <w:r w:rsidRPr="007A4777">
        <w:rPr>
          <w:rFonts w:eastAsia="Calibri"/>
          <w:sz w:val="19"/>
          <w:szCs w:val="19"/>
        </w:rPr>
        <w:t>(2010):</w:t>
      </w:r>
      <w:r w:rsidR="00780B8B" w:rsidRPr="007A4777">
        <w:rPr>
          <w:rFonts w:eastAsia="Calibri"/>
          <w:sz w:val="19"/>
          <w:szCs w:val="19"/>
        </w:rPr>
        <w:t xml:space="preserve"> </w:t>
      </w:r>
      <w:r w:rsidRPr="007A4777">
        <w:rPr>
          <w:rFonts w:eastAsia="Calibri"/>
          <w:sz w:val="19"/>
          <w:szCs w:val="19"/>
        </w:rPr>
        <w:t>Operative</w:t>
      </w:r>
      <w:r w:rsidR="00780B8B" w:rsidRPr="007A4777">
        <w:rPr>
          <w:rFonts w:eastAsia="Calibri"/>
          <w:sz w:val="19"/>
          <w:szCs w:val="19"/>
        </w:rPr>
        <w:t xml:space="preserve"> </w:t>
      </w:r>
      <w:r w:rsidRPr="007A4777">
        <w:rPr>
          <w:rFonts w:eastAsia="Calibri"/>
          <w:sz w:val="19"/>
          <w:szCs w:val="19"/>
        </w:rPr>
        <w:t>Findings</w:t>
      </w:r>
      <w:r w:rsidR="00780B8B" w:rsidRPr="007A4777">
        <w:rPr>
          <w:rFonts w:eastAsia="Calibri"/>
          <w:sz w:val="19"/>
          <w:szCs w:val="19"/>
        </w:rPr>
        <w:t xml:space="preserve"> </w:t>
      </w:r>
      <w:r w:rsidRPr="007A4777">
        <w:rPr>
          <w:rFonts w:eastAsia="Calibri"/>
          <w:sz w:val="19"/>
          <w:szCs w:val="19"/>
        </w:rPr>
        <w:t>in</w:t>
      </w:r>
      <w:r w:rsidR="00780B8B" w:rsidRPr="007A4777">
        <w:rPr>
          <w:rFonts w:eastAsia="Calibri"/>
          <w:sz w:val="19"/>
          <w:szCs w:val="19"/>
        </w:rPr>
        <w:t xml:space="preserve"> </w:t>
      </w:r>
      <w:r w:rsidRPr="007A4777">
        <w:rPr>
          <w:rFonts w:eastAsia="Calibri"/>
          <w:sz w:val="19"/>
          <w:szCs w:val="19"/>
        </w:rPr>
        <w:t>the</w:t>
      </w:r>
      <w:r w:rsidR="00780B8B" w:rsidRPr="007A4777">
        <w:rPr>
          <w:rFonts w:eastAsia="Calibri"/>
          <w:sz w:val="19"/>
          <w:szCs w:val="19"/>
        </w:rPr>
        <w:t xml:space="preserve"> </w:t>
      </w:r>
      <w:r w:rsidRPr="007A4777">
        <w:rPr>
          <w:rFonts w:eastAsia="Calibri"/>
          <w:sz w:val="19"/>
          <w:szCs w:val="19"/>
        </w:rPr>
        <w:t>Frontal</w:t>
      </w:r>
      <w:r w:rsidR="00780B8B" w:rsidRPr="007A4777">
        <w:rPr>
          <w:rFonts w:eastAsia="Calibri"/>
          <w:sz w:val="19"/>
          <w:szCs w:val="19"/>
        </w:rPr>
        <w:t xml:space="preserve"> </w:t>
      </w:r>
      <w:r w:rsidRPr="007A4777">
        <w:rPr>
          <w:rFonts w:eastAsia="Calibri"/>
          <w:sz w:val="19"/>
          <w:szCs w:val="19"/>
        </w:rPr>
        <w:t>Recess</w:t>
      </w:r>
      <w:r w:rsidR="00780B8B" w:rsidRPr="007A4777">
        <w:rPr>
          <w:rFonts w:eastAsia="Calibri"/>
          <w:sz w:val="19"/>
          <w:szCs w:val="19"/>
        </w:rPr>
        <w:t xml:space="preserve"> </w:t>
      </w:r>
      <w:r w:rsidRPr="007A4777">
        <w:rPr>
          <w:rFonts w:eastAsia="Calibri"/>
          <w:sz w:val="19"/>
          <w:szCs w:val="19"/>
        </w:rPr>
        <w:t>at</w:t>
      </w:r>
      <w:r w:rsidR="00780B8B" w:rsidRPr="007A4777">
        <w:rPr>
          <w:rFonts w:eastAsia="Calibri"/>
          <w:sz w:val="19"/>
          <w:szCs w:val="19"/>
        </w:rPr>
        <w:t xml:space="preserve"> </w:t>
      </w:r>
      <w:r w:rsidRPr="007A4777">
        <w:rPr>
          <w:rFonts w:eastAsia="Calibri"/>
          <w:sz w:val="19"/>
          <w:szCs w:val="19"/>
        </w:rPr>
        <w:t>Time</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r w:rsidRPr="007A4777">
        <w:rPr>
          <w:rFonts w:eastAsia="Calibri"/>
          <w:sz w:val="19"/>
          <w:szCs w:val="19"/>
        </w:rPr>
        <w:t>Revision</w:t>
      </w:r>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r w:rsidRPr="007A4777">
        <w:rPr>
          <w:rFonts w:eastAsia="Calibri"/>
          <w:sz w:val="19"/>
          <w:szCs w:val="19"/>
        </w:rPr>
        <w:t>Am</w:t>
      </w:r>
      <w:r w:rsidR="00780B8B" w:rsidRPr="007A4777">
        <w:rPr>
          <w:rFonts w:eastAsia="Calibri"/>
          <w:sz w:val="19"/>
          <w:szCs w:val="19"/>
        </w:rPr>
        <w:t xml:space="preserve"> </w:t>
      </w:r>
      <w:r w:rsidRPr="007A4777">
        <w:rPr>
          <w:rFonts w:eastAsia="Calibri"/>
          <w:sz w:val="19"/>
          <w:szCs w:val="19"/>
        </w:rPr>
        <w:t>J</w:t>
      </w:r>
      <w:r w:rsidR="00780B8B" w:rsidRPr="007A4777">
        <w:rPr>
          <w:rFonts w:eastAsia="Calibri"/>
          <w:sz w:val="19"/>
          <w:szCs w:val="19"/>
        </w:rPr>
        <w:t xml:space="preserve"> </w:t>
      </w:r>
      <w:proofErr w:type="spellStart"/>
      <w:r w:rsidRPr="007A4777">
        <w:rPr>
          <w:rFonts w:eastAsia="Calibri"/>
          <w:sz w:val="19"/>
          <w:szCs w:val="19"/>
        </w:rPr>
        <w:t>Otolaryngol</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31(3):175–180.</w:t>
      </w:r>
    </w:p>
    <w:p w:rsidR="007A4777" w:rsidRPr="007A4777" w:rsidRDefault="006712E7" w:rsidP="007A4777">
      <w:pPr>
        <w:pStyle w:val="ListParagraph"/>
        <w:numPr>
          <w:ilvl w:val="0"/>
          <w:numId w:val="7"/>
        </w:numPr>
        <w:snapToGrid w:val="0"/>
        <w:ind w:left="425" w:hanging="425"/>
        <w:jc w:val="both"/>
        <w:rPr>
          <w:rFonts w:eastAsia="Calibri"/>
          <w:sz w:val="19"/>
          <w:szCs w:val="19"/>
        </w:rPr>
      </w:pPr>
      <w:proofErr w:type="spellStart"/>
      <w:r w:rsidRPr="007A4777">
        <w:rPr>
          <w:rFonts w:eastAsia="Calibri"/>
          <w:sz w:val="19"/>
          <w:szCs w:val="19"/>
        </w:rPr>
        <w:t>Bugten</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V.;</w:t>
      </w:r>
      <w:r w:rsidR="00780B8B" w:rsidRPr="007A4777">
        <w:rPr>
          <w:rFonts w:eastAsia="Calibri"/>
          <w:sz w:val="19"/>
          <w:szCs w:val="19"/>
        </w:rPr>
        <w:t xml:space="preserve"> </w:t>
      </w:r>
      <w:proofErr w:type="spellStart"/>
      <w:r w:rsidRPr="007A4777">
        <w:rPr>
          <w:rFonts w:eastAsia="Calibri"/>
          <w:sz w:val="19"/>
          <w:szCs w:val="19"/>
        </w:rPr>
        <w:t>Nordgard</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S;</w:t>
      </w:r>
      <w:r w:rsidR="00780B8B" w:rsidRPr="007A4777">
        <w:rPr>
          <w:rFonts w:eastAsia="Calibri"/>
          <w:sz w:val="19"/>
          <w:szCs w:val="19"/>
        </w:rPr>
        <w:t xml:space="preserve"> </w:t>
      </w:r>
      <w:proofErr w:type="spellStart"/>
      <w:r w:rsidRPr="007A4777">
        <w:rPr>
          <w:rFonts w:eastAsia="Calibri"/>
          <w:sz w:val="19"/>
          <w:szCs w:val="19"/>
        </w:rPr>
        <w:t>Skogvoll</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E.;</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proofErr w:type="spellStart"/>
      <w:r w:rsidRPr="007A4777">
        <w:rPr>
          <w:rFonts w:eastAsia="Calibri"/>
          <w:sz w:val="19"/>
          <w:szCs w:val="19"/>
        </w:rPr>
        <w:t>Steinsvåg</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S.:</w:t>
      </w:r>
      <w:r w:rsidR="00780B8B" w:rsidRPr="007A4777">
        <w:rPr>
          <w:rFonts w:eastAsia="Calibri"/>
          <w:sz w:val="19"/>
          <w:szCs w:val="19"/>
        </w:rPr>
        <w:t xml:space="preserve"> </w:t>
      </w:r>
      <w:r w:rsidRPr="007A4777">
        <w:rPr>
          <w:rFonts w:eastAsia="Calibri"/>
          <w:sz w:val="19"/>
          <w:szCs w:val="19"/>
        </w:rPr>
        <w:t>(2006):</w:t>
      </w:r>
      <w:r w:rsidR="00780B8B" w:rsidRPr="007A4777">
        <w:rPr>
          <w:rFonts w:eastAsia="Calibri"/>
          <w:sz w:val="19"/>
          <w:szCs w:val="19"/>
        </w:rPr>
        <w:t xml:space="preserve"> </w:t>
      </w:r>
      <w:r w:rsidRPr="007A4777">
        <w:rPr>
          <w:rFonts w:eastAsia="Calibri"/>
          <w:sz w:val="19"/>
          <w:szCs w:val="19"/>
        </w:rPr>
        <w:t>Effects</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proofErr w:type="spellStart"/>
      <w:r w:rsidRPr="007A4777">
        <w:rPr>
          <w:rFonts w:eastAsia="Calibri"/>
          <w:sz w:val="19"/>
          <w:szCs w:val="19"/>
        </w:rPr>
        <w:t>Nonabsorbable</w:t>
      </w:r>
      <w:proofErr w:type="spellEnd"/>
      <w:r w:rsidR="00780B8B" w:rsidRPr="007A4777">
        <w:rPr>
          <w:rFonts w:eastAsia="Calibri"/>
          <w:sz w:val="19"/>
          <w:szCs w:val="19"/>
        </w:rPr>
        <w:t xml:space="preserve"> </w:t>
      </w:r>
      <w:r w:rsidRPr="007A4777">
        <w:rPr>
          <w:rFonts w:eastAsia="Calibri"/>
          <w:sz w:val="19"/>
          <w:szCs w:val="19"/>
        </w:rPr>
        <w:t>Packing</w:t>
      </w:r>
      <w:r w:rsidR="00780B8B" w:rsidRPr="007A4777">
        <w:rPr>
          <w:rFonts w:eastAsia="Calibri"/>
          <w:sz w:val="19"/>
          <w:szCs w:val="19"/>
        </w:rPr>
        <w:t xml:space="preserve"> </w:t>
      </w:r>
      <w:r w:rsidRPr="007A4777">
        <w:rPr>
          <w:rFonts w:eastAsia="Calibri"/>
          <w:sz w:val="19"/>
          <w:szCs w:val="19"/>
        </w:rPr>
        <w:t>in</w:t>
      </w:r>
      <w:r w:rsidR="00780B8B" w:rsidRPr="007A4777">
        <w:rPr>
          <w:rFonts w:eastAsia="Calibri"/>
          <w:sz w:val="19"/>
          <w:szCs w:val="19"/>
        </w:rPr>
        <w:t xml:space="preserve"> </w:t>
      </w:r>
      <w:r w:rsidRPr="007A4777">
        <w:rPr>
          <w:rFonts w:eastAsia="Calibri"/>
          <w:sz w:val="19"/>
          <w:szCs w:val="19"/>
        </w:rPr>
        <w:t>Middle</w:t>
      </w:r>
      <w:r w:rsidR="00780B8B" w:rsidRPr="007A4777">
        <w:rPr>
          <w:rFonts w:eastAsia="Calibri"/>
          <w:sz w:val="19"/>
          <w:szCs w:val="19"/>
        </w:rPr>
        <w:t xml:space="preserve"> </w:t>
      </w:r>
      <w:proofErr w:type="spellStart"/>
      <w:r w:rsidRPr="007A4777">
        <w:rPr>
          <w:rFonts w:eastAsia="Calibri"/>
          <w:sz w:val="19"/>
          <w:szCs w:val="19"/>
        </w:rPr>
        <w:t>Meatus</w:t>
      </w:r>
      <w:proofErr w:type="spellEnd"/>
      <w:r w:rsidR="00780B8B" w:rsidRPr="007A4777">
        <w:rPr>
          <w:rFonts w:eastAsia="Calibri"/>
          <w:sz w:val="19"/>
          <w:szCs w:val="19"/>
        </w:rPr>
        <w:t xml:space="preserve"> </w:t>
      </w:r>
      <w:r w:rsidRPr="007A4777">
        <w:rPr>
          <w:rFonts w:eastAsia="Calibri"/>
          <w:sz w:val="19"/>
          <w:szCs w:val="19"/>
        </w:rPr>
        <w:t>after</w:t>
      </w:r>
      <w:r w:rsidR="00780B8B" w:rsidRPr="007A4777">
        <w:rPr>
          <w:rFonts w:eastAsia="Calibri"/>
          <w:sz w:val="19"/>
          <w:szCs w:val="19"/>
        </w:rPr>
        <w:t xml:space="preserve"> </w:t>
      </w:r>
      <w:r w:rsidRPr="007A4777">
        <w:rPr>
          <w:rFonts w:eastAsia="Calibri"/>
          <w:sz w:val="19"/>
          <w:szCs w:val="19"/>
        </w:rPr>
        <w:t>Sinus</w:t>
      </w:r>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r w:rsidRPr="007A4777">
        <w:rPr>
          <w:rFonts w:eastAsia="Calibri"/>
          <w:sz w:val="19"/>
          <w:szCs w:val="19"/>
        </w:rPr>
        <w:t>Laryngoscope.</w:t>
      </w:r>
      <w:r w:rsidR="00780B8B" w:rsidRPr="007A4777">
        <w:rPr>
          <w:rFonts w:eastAsia="Calibri"/>
          <w:sz w:val="19"/>
          <w:szCs w:val="19"/>
        </w:rPr>
        <w:t xml:space="preserve"> </w:t>
      </w:r>
      <w:r w:rsidRPr="007A4777">
        <w:rPr>
          <w:rFonts w:eastAsia="Calibri"/>
          <w:sz w:val="19"/>
          <w:szCs w:val="19"/>
        </w:rPr>
        <w:t>116(1):83–88.</w:t>
      </w:r>
    </w:p>
    <w:p w:rsidR="007A4777" w:rsidRPr="007A4777" w:rsidRDefault="006712E7" w:rsidP="007A4777">
      <w:pPr>
        <w:pStyle w:val="ListParagraph"/>
        <w:numPr>
          <w:ilvl w:val="0"/>
          <w:numId w:val="7"/>
        </w:numPr>
        <w:snapToGrid w:val="0"/>
        <w:ind w:left="425" w:hanging="425"/>
        <w:jc w:val="both"/>
        <w:rPr>
          <w:rFonts w:eastAsia="Calibri"/>
          <w:sz w:val="19"/>
          <w:szCs w:val="19"/>
        </w:rPr>
      </w:pPr>
      <w:proofErr w:type="spellStart"/>
      <w:r w:rsidRPr="007A4777">
        <w:rPr>
          <w:rFonts w:eastAsia="Calibri"/>
          <w:sz w:val="19"/>
          <w:szCs w:val="19"/>
        </w:rPr>
        <w:lastRenderedPageBreak/>
        <w:t>Pomerantz</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J.;</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r w:rsidRPr="007A4777">
        <w:rPr>
          <w:rFonts w:eastAsia="Calibri"/>
          <w:sz w:val="19"/>
          <w:szCs w:val="19"/>
        </w:rPr>
        <w:t>Dutton</w:t>
      </w:r>
      <w:r w:rsidR="00780B8B" w:rsidRPr="007A4777">
        <w:rPr>
          <w:rFonts w:eastAsia="Calibri"/>
          <w:sz w:val="19"/>
          <w:szCs w:val="19"/>
        </w:rPr>
        <w:t xml:space="preserve"> </w:t>
      </w:r>
      <w:r w:rsidRPr="007A4777">
        <w:rPr>
          <w:rFonts w:eastAsia="Calibri"/>
          <w:sz w:val="19"/>
          <w:szCs w:val="19"/>
        </w:rPr>
        <w:t>J.M.:</w:t>
      </w:r>
      <w:r w:rsidR="00780B8B" w:rsidRPr="007A4777">
        <w:rPr>
          <w:rFonts w:eastAsia="Calibri"/>
          <w:sz w:val="19"/>
          <w:szCs w:val="19"/>
        </w:rPr>
        <w:t xml:space="preserve"> </w:t>
      </w:r>
      <w:r w:rsidRPr="007A4777">
        <w:rPr>
          <w:rFonts w:eastAsia="Calibri"/>
          <w:sz w:val="19"/>
          <w:szCs w:val="19"/>
        </w:rPr>
        <w:t>(2005):</w:t>
      </w:r>
      <w:r w:rsidR="00780B8B" w:rsidRPr="007A4777">
        <w:rPr>
          <w:rFonts w:eastAsia="Calibri"/>
          <w:sz w:val="19"/>
          <w:szCs w:val="19"/>
        </w:rPr>
        <w:t xml:space="preserve"> </w:t>
      </w:r>
      <w:r w:rsidRPr="007A4777">
        <w:rPr>
          <w:rFonts w:eastAsia="Calibri"/>
          <w:sz w:val="19"/>
          <w:szCs w:val="19"/>
        </w:rPr>
        <w:t>Platelet</w:t>
      </w:r>
      <w:r w:rsidR="00780B8B" w:rsidRPr="007A4777">
        <w:rPr>
          <w:rFonts w:eastAsia="Calibri"/>
          <w:sz w:val="19"/>
          <w:szCs w:val="19"/>
        </w:rPr>
        <w:t xml:space="preserve"> </w:t>
      </w:r>
      <w:r w:rsidRPr="007A4777">
        <w:rPr>
          <w:rFonts w:eastAsia="Calibri"/>
          <w:sz w:val="19"/>
          <w:szCs w:val="19"/>
        </w:rPr>
        <w:t>Gel</w:t>
      </w:r>
      <w:r w:rsidR="00780B8B" w:rsidRPr="007A4777">
        <w:rPr>
          <w:rFonts w:eastAsia="Calibri"/>
          <w:sz w:val="19"/>
          <w:szCs w:val="19"/>
        </w:rPr>
        <w:t xml:space="preserve"> </w:t>
      </w:r>
      <w:r w:rsidRPr="007A4777">
        <w:rPr>
          <w:rFonts w:eastAsia="Calibri"/>
          <w:sz w:val="19"/>
          <w:szCs w:val="19"/>
        </w:rPr>
        <w:t>for</w:t>
      </w:r>
      <w:r w:rsidR="00780B8B" w:rsidRPr="007A4777">
        <w:rPr>
          <w:rFonts w:eastAsia="Calibri"/>
          <w:sz w:val="19"/>
          <w:szCs w:val="19"/>
        </w:rPr>
        <w:t xml:space="preserve"> </w:t>
      </w:r>
      <w:r w:rsidRPr="007A4777">
        <w:rPr>
          <w:rFonts w:eastAsia="Calibri"/>
          <w:sz w:val="19"/>
          <w:szCs w:val="19"/>
        </w:rPr>
        <w:t>Endoscopic</w:t>
      </w:r>
      <w:r w:rsidR="00780B8B" w:rsidRPr="007A4777">
        <w:rPr>
          <w:rFonts w:eastAsia="Calibri"/>
          <w:sz w:val="19"/>
          <w:szCs w:val="19"/>
        </w:rPr>
        <w:t xml:space="preserve"> </w:t>
      </w:r>
      <w:r w:rsidRPr="007A4777">
        <w:rPr>
          <w:rFonts w:eastAsia="Calibri"/>
          <w:sz w:val="19"/>
          <w:szCs w:val="19"/>
        </w:rPr>
        <w:t>Sinus</w:t>
      </w:r>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r w:rsidRPr="007A4777">
        <w:rPr>
          <w:rFonts w:eastAsia="Calibri"/>
          <w:sz w:val="19"/>
          <w:szCs w:val="19"/>
        </w:rPr>
        <w:t>Ann</w:t>
      </w:r>
      <w:r w:rsidR="00780B8B" w:rsidRPr="007A4777">
        <w:rPr>
          <w:rFonts w:eastAsia="Calibri"/>
          <w:sz w:val="19"/>
          <w:szCs w:val="19"/>
        </w:rPr>
        <w:t xml:space="preserve"> </w:t>
      </w:r>
      <w:proofErr w:type="spellStart"/>
      <w:r w:rsidRPr="007A4777">
        <w:rPr>
          <w:rFonts w:eastAsia="Calibri"/>
          <w:sz w:val="19"/>
          <w:szCs w:val="19"/>
        </w:rPr>
        <w:t>Otol</w:t>
      </w:r>
      <w:proofErr w:type="spellEnd"/>
      <w:r w:rsidR="00780B8B" w:rsidRPr="007A4777">
        <w:rPr>
          <w:rFonts w:eastAsia="Calibri"/>
          <w:sz w:val="19"/>
          <w:szCs w:val="19"/>
        </w:rPr>
        <w:t xml:space="preserve"> </w:t>
      </w:r>
      <w:proofErr w:type="spellStart"/>
      <w:r w:rsidRPr="007A4777">
        <w:rPr>
          <w:rFonts w:eastAsia="Calibri"/>
          <w:sz w:val="19"/>
          <w:szCs w:val="19"/>
        </w:rPr>
        <w:t>Rhinol</w:t>
      </w:r>
      <w:proofErr w:type="spellEnd"/>
      <w:r w:rsidR="00780B8B" w:rsidRPr="007A4777">
        <w:rPr>
          <w:rFonts w:eastAsia="Calibri"/>
          <w:sz w:val="19"/>
          <w:szCs w:val="19"/>
        </w:rPr>
        <w:t xml:space="preserve"> </w:t>
      </w:r>
      <w:proofErr w:type="spellStart"/>
      <w:r w:rsidRPr="007A4777">
        <w:rPr>
          <w:rFonts w:eastAsia="Calibri"/>
          <w:sz w:val="19"/>
          <w:szCs w:val="19"/>
        </w:rPr>
        <w:t>Laryngol</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114(9):</w:t>
      </w:r>
      <w:r w:rsidR="00780B8B" w:rsidRPr="007A4777">
        <w:rPr>
          <w:rFonts w:eastAsia="Calibri"/>
          <w:sz w:val="19"/>
          <w:szCs w:val="19"/>
        </w:rPr>
        <w:t xml:space="preserve"> </w:t>
      </w:r>
      <w:r w:rsidRPr="007A4777">
        <w:rPr>
          <w:rFonts w:eastAsia="Calibri"/>
          <w:sz w:val="19"/>
          <w:szCs w:val="19"/>
        </w:rPr>
        <w:t>699-704.</w:t>
      </w:r>
    </w:p>
    <w:p w:rsidR="007A4777" w:rsidRPr="007A4777" w:rsidRDefault="006712E7" w:rsidP="007A4777">
      <w:pPr>
        <w:pStyle w:val="ListParagraph"/>
        <w:numPr>
          <w:ilvl w:val="0"/>
          <w:numId w:val="7"/>
        </w:numPr>
        <w:snapToGrid w:val="0"/>
        <w:ind w:left="425" w:hanging="425"/>
        <w:jc w:val="both"/>
        <w:rPr>
          <w:rFonts w:eastAsia="Calibri"/>
          <w:sz w:val="19"/>
          <w:szCs w:val="19"/>
        </w:rPr>
      </w:pPr>
      <w:proofErr w:type="spellStart"/>
      <w:r w:rsidRPr="007A4777">
        <w:rPr>
          <w:rFonts w:eastAsia="Calibri"/>
          <w:sz w:val="19"/>
          <w:szCs w:val="19"/>
        </w:rPr>
        <w:t>Ozcan</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C.;</w:t>
      </w:r>
      <w:r w:rsidR="00780B8B" w:rsidRPr="007A4777">
        <w:rPr>
          <w:rFonts w:eastAsia="Calibri"/>
          <w:sz w:val="19"/>
          <w:szCs w:val="19"/>
        </w:rPr>
        <w:t xml:space="preserve"> </w:t>
      </w:r>
      <w:proofErr w:type="spellStart"/>
      <w:r w:rsidRPr="007A4777">
        <w:rPr>
          <w:rFonts w:eastAsia="Calibri"/>
          <w:sz w:val="19"/>
          <w:szCs w:val="19"/>
        </w:rPr>
        <w:t>Vayisoglu</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Y.;</w:t>
      </w:r>
      <w:r w:rsidR="00780B8B" w:rsidRPr="007A4777">
        <w:rPr>
          <w:rFonts w:eastAsia="Calibri"/>
          <w:sz w:val="19"/>
          <w:szCs w:val="19"/>
        </w:rPr>
        <w:t xml:space="preserve"> </w:t>
      </w:r>
      <w:proofErr w:type="spellStart"/>
      <w:r w:rsidRPr="007A4777">
        <w:rPr>
          <w:rFonts w:eastAsia="Calibri"/>
          <w:sz w:val="19"/>
          <w:szCs w:val="19"/>
        </w:rPr>
        <w:t>Kilic</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S.;</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proofErr w:type="spellStart"/>
      <w:r w:rsidRPr="007A4777">
        <w:rPr>
          <w:rFonts w:eastAsia="Calibri"/>
          <w:sz w:val="19"/>
          <w:szCs w:val="19"/>
        </w:rPr>
        <w:t>Gorur</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K.:</w:t>
      </w:r>
      <w:r w:rsidR="00780B8B" w:rsidRPr="007A4777">
        <w:rPr>
          <w:rFonts w:eastAsia="Calibri"/>
          <w:sz w:val="19"/>
          <w:szCs w:val="19"/>
        </w:rPr>
        <w:t xml:space="preserve"> </w:t>
      </w:r>
      <w:r w:rsidRPr="007A4777">
        <w:rPr>
          <w:rFonts w:eastAsia="Calibri"/>
          <w:sz w:val="19"/>
          <w:szCs w:val="19"/>
        </w:rPr>
        <w:t>(2008):</w:t>
      </w:r>
      <w:r w:rsidR="00780B8B" w:rsidRPr="007A4777">
        <w:rPr>
          <w:rFonts w:eastAsia="Calibri"/>
          <w:sz w:val="19"/>
          <w:szCs w:val="19"/>
        </w:rPr>
        <w:t xml:space="preserve"> </w:t>
      </w:r>
      <w:r w:rsidRPr="007A4777">
        <w:rPr>
          <w:rFonts w:eastAsia="Calibri"/>
          <w:sz w:val="19"/>
          <w:szCs w:val="19"/>
        </w:rPr>
        <w:t>Comparison</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r w:rsidRPr="007A4777">
        <w:rPr>
          <w:rFonts w:eastAsia="Calibri"/>
          <w:sz w:val="19"/>
          <w:szCs w:val="19"/>
        </w:rPr>
        <w:t>Rapid</w:t>
      </w:r>
      <w:r w:rsidR="00780B8B" w:rsidRPr="007A4777">
        <w:rPr>
          <w:rFonts w:eastAsia="Calibri"/>
          <w:sz w:val="19"/>
          <w:szCs w:val="19"/>
        </w:rPr>
        <w:t xml:space="preserve"> </w:t>
      </w:r>
      <w:r w:rsidRPr="007A4777">
        <w:rPr>
          <w:rFonts w:eastAsia="Calibri"/>
          <w:sz w:val="19"/>
          <w:szCs w:val="19"/>
        </w:rPr>
        <w:t>Rhino</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proofErr w:type="spellStart"/>
      <w:r w:rsidRPr="007A4777">
        <w:rPr>
          <w:rFonts w:eastAsia="Calibri"/>
          <w:sz w:val="19"/>
          <w:szCs w:val="19"/>
        </w:rPr>
        <w:t>Merocel</w:t>
      </w:r>
      <w:proofErr w:type="spellEnd"/>
      <w:r w:rsidR="00780B8B" w:rsidRPr="007A4777">
        <w:rPr>
          <w:rFonts w:eastAsia="Calibri"/>
          <w:sz w:val="19"/>
          <w:szCs w:val="19"/>
        </w:rPr>
        <w:t xml:space="preserve"> </w:t>
      </w:r>
      <w:r w:rsidRPr="007A4777">
        <w:rPr>
          <w:rFonts w:eastAsia="Calibri"/>
          <w:sz w:val="19"/>
          <w:szCs w:val="19"/>
        </w:rPr>
        <w:t>Nasal</w:t>
      </w:r>
      <w:r w:rsidR="00780B8B" w:rsidRPr="007A4777">
        <w:rPr>
          <w:rFonts w:eastAsia="Calibri"/>
          <w:sz w:val="19"/>
          <w:szCs w:val="19"/>
        </w:rPr>
        <w:t xml:space="preserve"> </w:t>
      </w:r>
      <w:r w:rsidRPr="007A4777">
        <w:rPr>
          <w:rFonts w:eastAsia="Calibri"/>
          <w:sz w:val="19"/>
          <w:szCs w:val="19"/>
        </w:rPr>
        <w:t>Packs</w:t>
      </w:r>
      <w:r w:rsidR="00780B8B" w:rsidRPr="007A4777">
        <w:rPr>
          <w:rFonts w:eastAsia="Calibri"/>
          <w:sz w:val="19"/>
          <w:szCs w:val="19"/>
        </w:rPr>
        <w:t xml:space="preserve"> </w:t>
      </w:r>
      <w:r w:rsidRPr="007A4777">
        <w:rPr>
          <w:rFonts w:eastAsia="Calibri"/>
          <w:sz w:val="19"/>
          <w:szCs w:val="19"/>
        </w:rPr>
        <w:t>in</w:t>
      </w:r>
      <w:r w:rsidR="00780B8B" w:rsidRPr="007A4777">
        <w:rPr>
          <w:rFonts w:eastAsia="Calibri"/>
          <w:sz w:val="19"/>
          <w:szCs w:val="19"/>
        </w:rPr>
        <w:t xml:space="preserve"> </w:t>
      </w:r>
      <w:proofErr w:type="spellStart"/>
      <w:r w:rsidRPr="007A4777">
        <w:rPr>
          <w:rFonts w:eastAsia="Calibri"/>
          <w:sz w:val="19"/>
          <w:szCs w:val="19"/>
        </w:rPr>
        <w:t>Endonasal</w:t>
      </w:r>
      <w:proofErr w:type="spellEnd"/>
      <w:r w:rsidR="00780B8B" w:rsidRPr="007A4777">
        <w:rPr>
          <w:rFonts w:eastAsia="Calibri"/>
          <w:sz w:val="19"/>
          <w:szCs w:val="19"/>
        </w:rPr>
        <w:t xml:space="preserve"> </w:t>
      </w:r>
      <w:proofErr w:type="spellStart"/>
      <w:r w:rsidRPr="007A4777">
        <w:rPr>
          <w:rFonts w:eastAsia="Calibri"/>
          <w:sz w:val="19"/>
          <w:szCs w:val="19"/>
        </w:rPr>
        <w:t>Septal</w:t>
      </w:r>
      <w:proofErr w:type="spellEnd"/>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r w:rsidRPr="007A4777">
        <w:rPr>
          <w:rFonts w:eastAsia="Calibri"/>
          <w:sz w:val="19"/>
          <w:szCs w:val="19"/>
        </w:rPr>
        <w:t>J</w:t>
      </w:r>
      <w:r w:rsidR="00780B8B" w:rsidRPr="007A4777">
        <w:rPr>
          <w:rFonts w:eastAsia="Calibri"/>
          <w:sz w:val="19"/>
          <w:szCs w:val="19"/>
        </w:rPr>
        <w:t xml:space="preserve"> </w:t>
      </w:r>
      <w:proofErr w:type="spellStart"/>
      <w:r w:rsidRPr="007A4777">
        <w:rPr>
          <w:rFonts w:eastAsia="Calibri"/>
          <w:sz w:val="19"/>
          <w:szCs w:val="19"/>
        </w:rPr>
        <w:t>Otolaryngol</w:t>
      </w:r>
      <w:proofErr w:type="spellEnd"/>
      <w:r w:rsidR="00780B8B" w:rsidRPr="007A4777">
        <w:rPr>
          <w:rFonts w:eastAsia="Calibri"/>
          <w:sz w:val="19"/>
          <w:szCs w:val="19"/>
        </w:rPr>
        <w:t xml:space="preserve"> </w:t>
      </w:r>
      <w:r w:rsidRPr="007A4777">
        <w:rPr>
          <w:rFonts w:eastAsia="Calibri"/>
          <w:sz w:val="19"/>
          <w:szCs w:val="19"/>
        </w:rPr>
        <w:t>Head</w:t>
      </w:r>
      <w:r w:rsidR="00780B8B" w:rsidRPr="007A4777">
        <w:rPr>
          <w:rFonts w:eastAsia="Calibri"/>
          <w:sz w:val="19"/>
          <w:szCs w:val="19"/>
        </w:rPr>
        <w:t xml:space="preserve"> </w:t>
      </w:r>
      <w:r w:rsidRPr="007A4777">
        <w:rPr>
          <w:rFonts w:eastAsia="Calibri"/>
          <w:sz w:val="19"/>
          <w:szCs w:val="19"/>
        </w:rPr>
        <w:t>Neck</w:t>
      </w:r>
      <w:r w:rsidR="00780B8B" w:rsidRPr="007A4777">
        <w:rPr>
          <w:rFonts w:eastAsia="Calibri"/>
          <w:sz w:val="19"/>
          <w:szCs w:val="19"/>
        </w:rPr>
        <w:t xml:space="preserve"> </w:t>
      </w:r>
      <w:r w:rsidRPr="007A4777">
        <w:rPr>
          <w:rFonts w:eastAsia="Calibri"/>
          <w:sz w:val="19"/>
          <w:szCs w:val="19"/>
        </w:rPr>
        <w:t>Surg.</w:t>
      </w:r>
      <w:r w:rsidR="00780B8B" w:rsidRPr="007A4777">
        <w:rPr>
          <w:rFonts w:eastAsia="Calibri"/>
          <w:sz w:val="19"/>
          <w:szCs w:val="19"/>
        </w:rPr>
        <w:t xml:space="preserve"> </w:t>
      </w:r>
      <w:r w:rsidRPr="007A4777">
        <w:rPr>
          <w:rFonts w:eastAsia="Calibri"/>
          <w:sz w:val="19"/>
          <w:szCs w:val="19"/>
        </w:rPr>
        <w:t>37(6):826–831.</w:t>
      </w:r>
    </w:p>
    <w:p w:rsidR="007A4777" w:rsidRPr="007A4777" w:rsidRDefault="006712E7" w:rsidP="007A4777">
      <w:pPr>
        <w:pStyle w:val="ListParagraph"/>
        <w:numPr>
          <w:ilvl w:val="0"/>
          <w:numId w:val="7"/>
        </w:numPr>
        <w:snapToGrid w:val="0"/>
        <w:ind w:left="425" w:hanging="425"/>
        <w:jc w:val="both"/>
        <w:rPr>
          <w:rFonts w:eastAsia="Calibri"/>
          <w:sz w:val="19"/>
          <w:szCs w:val="19"/>
        </w:rPr>
      </w:pPr>
      <w:r w:rsidRPr="007A4777">
        <w:rPr>
          <w:rFonts w:eastAsia="Calibri"/>
          <w:sz w:val="19"/>
          <w:szCs w:val="19"/>
        </w:rPr>
        <w:t>Franklin,</w:t>
      </w:r>
      <w:r w:rsidR="00780B8B" w:rsidRPr="007A4777">
        <w:rPr>
          <w:rFonts w:eastAsia="Calibri"/>
          <w:sz w:val="19"/>
          <w:szCs w:val="19"/>
        </w:rPr>
        <w:t xml:space="preserve"> </w:t>
      </w:r>
      <w:r w:rsidRPr="007A4777">
        <w:rPr>
          <w:rFonts w:eastAsia="Calibri"/>
          <w:sz w:val="19"/>
          <w:szCs w:val="19"/>
        </w:rPr>
        <w:t>J.H.;</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r w:rsidRPr="007A4777">
        <w:rPr>
          <w:rFonts w:eastAsia="Calibri"/>
          <w:sz w:val="19"/>
          <w:szCs w:val="19"/>
        </w:rPr>
        <w:t>Wright,</w:t>
      </w:r>
      <w:r w:rsidR="00780B8B" w:rsidRPr="007A4777">
        <w:rPr>
          <w:rFonts w:eastAsia="Calibri"/>
          <w:sz w:val="19"/>
          <w:szCs w:val="19"/>
        </w:rPr>
        <w:t xml:space="preserve"> </w:t>
      </w:r>
      <w:r w:rsidRPr="007A4777">
        <w:rPr>
          <w:rFonts w:eastAsia="Calibri"/>
          <w:sz w:val="19"/>
          <w:szCs w:val="19"/>
        </w:rPr>
        <w:t>E.D.:</w:t>
      </w:r>
      <w:r w:rsidR="00780B8B" w:rsidRPr="007A4777">
        <w:rPr>
          <w:rFonts w:eastAsia="Calibri"/>
          <w:sz w:val="19"/>
          <w:szCs w:val="19"/>
        </w:rPr>
        <w:t xml:space="preserve"> </w:t>
      </w:r>
      <w:r w:rsidRPr="007A4777">
        <w:rPr>
          <w:rFonts w:eastAsia="Calibri"/>
          <w:sz w:val="19"/>
          <w:szCs w:val="19"/>
        </w:rPr>
        <w:t>(2007):</w:t>
      </w:r>
      <w:r w:rsidR="00780B8B" w:rsidRPr="007A4777">
        <w:rPr>
          <w:rFonts w:eastAsia="Calibri"/>
          <w:sz w:val="19"/>
          <w:szCs w:val="19"/>
        </w:rPr>
        <w:t xml:space="preserve"> </w:t>
      </w:r>
      <w:r w:rsidRPr="007A4777">
        <w:rPr>
          <w:rFonts w:eastAsia="Calibri"/>
          <w:sz w:val="19"/>
          <w:szCs w:val="19"/>
        </w:rPr>
        <w:t>Randomized,</w:t>
      </w:r>
      <w:r w:rsidR="00780B8B" w:rsidRPr="007A4777">
        <w:rPr>
          <w:rFonts w:eastAsia="Calibri"/>
          <w:sz w:val="19"/>
          <w:szCs w:val="19"/>
        </w:rPr>
        <w:t xml:space="preserve"> </w:t>
      </w:r>
      <w:r w:rsidRPr="007A4777">
        <w:rPr>
          <w:rFonts w:eastAsia="Calibri"/>
          <w:sz w:val="19"/>
          <w:szCs w:val="19"/>
        </w:rPr>
        <w:t>Controlled,</w:t>
      </w:r>
      <w:r w:rsidR="00780B8B" w:rsidRPr="007A4777">
        <w:rPr>
          <w:rFonts w:eastAsia="Calibri"/>
          <w:sz w:val="19"/>
          <w:szCs w:val="19"/>
        </w:rPr>
        <w:t xml:space="preserve"> </w:t>
      </w:r>
      <w:r w:rsidRPr="007A4777">
        <w:rPr>
          <w:rFonts w:eastAsia="Calibri"/>
          <w:sz w:val="19"/>
          <w:szCs w:val="19"/>
        </w:rPr>
        <w:t>Study</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r w:rsidRPr="007A4777">
        <w:rPr>
          <w:rFonts w:eastAsia="Calibri"/>
          <w:sz w:val="19"/>
          <w:szCs w:val="19"/>
        </w:rPr>
        <w:t>Absorbable</w:t>
      </w:r>
      <w:r w:rsidR="00780B8B" w:rsidRPr="007A4777">
        <w:rPr>
          <w:rFonts w:eastAsia="Calibri"/>
          <w:sz w:val="19"/>
          <w:szCs w:val="19"/>
        </w:rPr>
        <w:t xml:space="preserve"> </w:t>
      </w:r>
      <w:r w:rsidRPr="007A4777">
        <w:rPr>
          <w:rFonts w:eastAsia="Calibri"/>
          <w:sz w:val="19"/>
          <w:szCs w:val="19"/>
        </w:rPr>
        <w:t>Nasal</w:t>
      </w:r>
      <w:r w:rsidR="00780B8B" w:rsidRPr="007A4777">
        <w:rPr>
          <w:rFonts w:eastAsia="Calibri"/>
          <w:sz w:val="19"/>
          <w:szCs w:val="19"/>
        </w:rPr>
        <w:t xml:space="preserve"> </w:t>
      </w:r>
      <w:r w:rsidRPr="007A4777">
        <w:rPr>
          <w:rFonts w:eastAsia="Calibri"/>
          <w:sz w:val="19"/>
          <w:szCs w:val="19"/>
        </w:rPr>
        <w:t>Packing</w:t>
      </w:r>
      <w:r w:rsidR="00780B8B" w:rsidRPr="007A4777">
        <w:rPr>
          <w:rFonts w:eastAsia="Calibri"/>
          <w:sz w:val="19"/>
          <w:szCs w:val="19"/>
        </w:rPr>
        <w:t xml:space="preserve"> </w:t>
      </w:r>
      <w:r w:rsidRPr="007A4777">
        <w:rPr>
          <w:rFonts w:eastAsia="Calibri"/>
          <w:sz w:val="19"/>
          <w:szCs w:val="19"/>
        </w:rPr>
        <w:t>on</w:t>
      </w:r>
      <w:r w:rsidR="00780B8B" w:rsidRPr="007A4777">
        <w:rPr>
          <w:rFonts w:eastAsia="Calibri"/>
          <w:sz w:val="19"/>
          <w:szCs w:val="19"/>
        </w:rPr>
        <w:t xml:space="preserve"> </w:t>
      </w:r>
      <w:r w:rsidRPr="007A4777">
        <w:rPr>
          <w:rFonts w:eastAsia="Calibri"/>
          <w:sz w:val="19"/>
          <w:szCs w:val="19"/>
        </w:rPr>
        <w:t>Outcomes</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r w:rsidRPr="007A4777">
        <w:rPr>
          <w:rFonts w:eastAsia="Calibri"/>
          <w:sz w:val="19"/>
          <w:szCs w:val="19"/>
        </w:rPr>
        <w:t>Surgical</w:t>
      </w:r>
      <w:r w:rsidR="00780B8B" w:rsidRPr="007A4777">
        <w:rPr>
          <w:rFonts w:eastAsia="Calibri"/>
          <w:sz w:val="19"/>
          <w:szCs w:val="19"/>
        </w:rPr>
        <w:t xml:space="preserve"> </w:t>
      </w:r>
      <w:r w:rsidRPr="007A4777">
        <w:rPr>
          <w:rFonts w:eastAsia="Calibri"/>
          <w:sz w:val="19"/>
          <w:szCs w:val="19"/>
        </w:rPr>
        <w:t>Treatment</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proofErr w:type="spellStart"/>
      <w:r w:rsidRPr="007A4777">
        <w:rPr>
          <w:rFonts w:eastAsia="Calibri"/>
          <w:sz w:val="19"/>
          <w:szCs w:val="19"/>
        </w:rPr>
        <w:t>Rhinosinusitis</w:t>
      </w:r>
      <w:proofErr w:type="spellEnd"/>
      <w:r w:rsidR="00780B8B" w:rsidRPr="007A4777">
        <w:rPr>
          <w:rFonts w:eastAsia="Calibri"/>
          <w:sz w:val="19"/>
          <w:szCs w:val="19"/>
        </w:rPr>
        <w:t xml:space="preserve"> </w:t>
      </w:r>
      <w:r w:rsidRPr="007A4777">
        <w:rPr>
          <w:rFonts w:eastAsia="Calibri"/>
          <w:sz w:val="19"/>
          <w:szCs w:val="19"/>
        </w:rPr>
        <w:t>with</w:t>
      </w:r>
      <w:r w:rsidR="00780B8B" w:rsidRPr="007A4777">
        <w:rPr>
          <w:rFonts w:eastAsia="Calibri"/>
          <w:sz w:val="19"/>
          <w:szCs w:val="19"/>
        </w:rPr>
        <w:t xml:space="preserve"> </w:t>
      </w:r>
      <w:proofErr w:type="spellStart"/>
      <w:r w:rsidRPr="007A4777">
        <w:rPr>
          <w:rFonts w:eastAsia="Calibri"/>
          <w:sz w:val="19"/>
          <w:szCs w:val="19"/>
        </w:rPr>
        <w:t>Polyposis</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Am</w:t>
      </w:r>
      <w:r w:rsidR="00780B8B" w:rsidRPr="007A4777">
        <w:rPr>
          <w:rFonts w:eastAsia="Calibri"/>
          <w:sz w:val="19"/>
          <w:szCs w:val="19"/>
        </w:rPr>
        <w:t xml:space="preserve"> </w:t>
      </w:r>
      <w:r w:rsidRPr="007A4777">
        <w:rPr>
          <w:rFonts w:eastAsia="Calibri"/>
          <w:sz w:val="19"/>
          <w:szCs w:val="19"/>
        </w:rPr>
        <w:t>J</w:t>
      </w:r>
      <w:r w:rsidR="00780B8B" w:rsidRPr="007A4777">
        <w:rPr>
          <w:rFonts w:eastAsia="Calibri"/>
          <w:sz w:val="19"/>
          <w:szCs w:val="19"/>
        </w:rPr>
        <w:t xml:space="preserve"> </w:t>
      </w:r>
      <w:proofErr w:type="spellStart"/>
      <w:r w:rsidRPr="007A4777">
        <w:rPr>
          <w:rFonts w:eastAsia="Calibri"/>
          <w:sz w:val="19"/>
          <w:szCs w:val="19"/>
        </w:rPr>
        <w:t>Rhinol</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21:214–217.</w:t>
      </w:r>
    </w:p>
    <w:p w:rsidR="007A4777" w:rsidRPr="007A4777" w:rsidRDefault="006712E7" w:rsidP="007A4777">
      <w:pPr>
        <w:pStyle w:val="ListParagraph"/>
        <w:numPr>
          <w:ilvl w:val="0"/>
          <w:numId w:val="7"/>
        </w:numPr>
        <w:snapToGrid w:val="0"/>
        <w:ind w:left="425" w:hanging="425"/>
        <w:jc w:val="both"/>
        <w:rPr>
          <w:rFonts w:eastAsia="Calibri"/>
          <w:sz w:val="19"/>
          <w:szCs w:val="19"/>
        </w:rPr>
      </w:pPr>
      <w:r w:rsidRPr="007A4777">
        <w:rPr>
          <w:rFonts w:eastAsia="Calibri"/>
          <w:sz w:val="19"/>
          <w:szCs w:val="19"/>
        </w:rPr>
        <w:t>Valentine,</w:t>
      </w:r>
      <w:r w:rsidR="00780B8B" w:rsidRPr="007A4777">
        <w:rPr>
          <w:rFonts w:eastAsia="Calibri"/>
          <w:sz w:val="19"/>
          <w:szCs w:val="19"/>
        </w:rPr>
        <w:t xml:space="preserve"> </w:t>
      </w:r>
      <w:r w:rsidRPr="007A4777">
        <w:rPr>
          <w:rFonts w:eastAsia="Calibri"/>
          <w:sz w:val="19"/>
          <w:szCs w:val="19"/>
        </w:rPr>
        <w:t>R.;</w:t>
      </w:r>
      <w:r w:rsidR="00780B8B" w:rsidRPr="007A4777">
        <w:rPr>
          <w:rFonts w:eastAsia="Calibri"/>
          <w:sz w:val="19"/>
          <w:szCs w:val="19"/>
        </w:rPr>
        <w:t xml:space="preserve"> </w:t>
      </w:r>
      <w:proofErr w:type="spellStart"/>
      <w:r w:rsidRPr="007A4777">
        <w:rPr>
          <w:rFonts w:eastAsia="Calibri"/>
          <w:sz w:val="19"/>
          <w:szCs w:val="19"/>
        </w:rPr>
        <w:t>Wormald</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P.J.;</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proofErr w:type="spellStart"/>
      <w:r w:rsidRPr="007A4777">
        <w:rPr>
          <w:rFonts w:eastAsia="Calibri"/>
          <w:sz w:val="19"/>
          <w:szCs w:val="19"/>
        </w:rPr>
        <w:t>Sindwani</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R.:</w:t>
      </w:r>
      <w:r w:rsidR="00780B8B" w:rsidRPr="007A4777">
        <w:rPr>
          <w:rFonts w:eastAsia="Calibri"/>
          <w:sz w:val="19"/>
          <w:szCs w:val="19"/>
        </w:rPr>
        <w:t xml:space="preserve"> </w:t>
      </w:r>
      <w:r w:rsidRPr="007A4777">
        <w:rPr>
          <w:rFonts w:eastAsia="Calibri"/>
          <w:sz w:val="19"/>
          <w:szCs w:val="19"/>
        </w:rPr>
        <w:t>(2009):</w:t>
      </w:r>
      <w:r w:rsidR="00780B8B" w:rsidRPr="007A4777">
        <w:rPr>
          <w:rFonts w:eastAsia="Calibri"/>
          <w:sz w:val="19"/>
          <w:szCs w:val="19"/>
        </w:rPr>
        <w:t xml:space="preserve"> </w:t>
      </w:r>
      <w:r w:rsidRPr="007A4777">
        <w:rPr>
          <w:rFonts w:eastAsia="Calibri"/>
          <w:sz w:val="19"/>
          <w:szCs w:val="19"/>
        </w:rPr>
        <w:t>Advances</w:t>
      </w:r>
      <w:r w:rsidR="00780B8B" w:rsidRPr="007A4777">
        <w:rPr>
          <w:rFonts w:eastAsia="Calibri"/>
          <w:sz w:val="19"/>
          <w:szCs w:val="19"/>
        </w:rPr>
        <w:t xml:space="preserve"> </w:t>
      </w:r>
      <w:r w:rsidRPr="007A4777">
        <w:rPr>
          <w:rFonts w:eastAsia="Calibri"/>
          <w:sz w:val="19"/>
          <w:szCs w:val="19"/>
        </w:rPr>
        <w:t>in</w:t>
      </w:r>
      <w:r w:rsidR="00780B8B" w:rsidRPr="007A4777">
        <w:rPr>
          <w:rFonts w:eastAsia="Calibri"/>
          <w:sz w:val="19"/>
          <w:szCs w:val="19"/>
        </w:rPr>
        <w:t xml:space="preserve"> </w:t>
      </w:r>
      <w:r w:rsidRPr="007A4777">
        <w:rPr>
          <w:rFonts w:eastAsia="Calibri"/>
          <w:sz w:val="19"/>
          <w:szCs w:val="19"/>
        </w:rPr>
        <w:t>Absorbable</w:t>
      </w:r>
      <w:r w:rsidR="00780B8B" w:rsidRPr="007A4777">
        <w:rPr>
          <w:rFonts w:eastAsia="Calibri"/>
          <w:sz w:val="19"/>
          <w:szCs w:val="19"/>
        </w:rPr>
        <w:t xml:space="preserve"> </w:t>
      </w:r>
      <w:r w:rsidRPr="007A4777">
        <w:rPr>
          <w:rFonts w:eastAsia="Calibri"/>
          <w:sz w:val="19"/>
          <w:szCs w:val="19"/>
        </w:rPr>
        <w:t>Biomaterials</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r w:rsidRPr="007A4777">
        <w:rPr>
          <w:rFonts w:eastAsia="Calibri"/>
          <w:sz w:val="19"/>
          <w:szCs w:val="19"/>
        </w:rPr>
        <w:t>Nasal</w:t>
      </w:r>
      <w:r w:rsidR="00780B8B" w:rsidRPr="007A4777">
        <w:rPr>
          <w:rFonts w:eastAsia="Calibri"/>
          <w:sz w:val="19"/>
          <w:szCs w:val="19"/>
        </w:rPr>
        <w:t xml:space="preserve"> </w:t>
      </w:r>
      <w:r w:rsidRPr="007A4777">
        <w:rPr>
          <w:rFonts w:eastAsia="Calibri"/>
          <w:sz w:val="19"/>
          <w:szCs w:val="19"/>
        </w:rPr>
        <w:t>Packing.</w:t>
      </w:r>
      <w:r w:rsidR="00780B8B" w:rsidRPr="007A4777">
        <w:rPr>
          <w:rFonts w:eastAsia="Calibri"/>
          <w:sz w:val="19"/>
          <w:szCs w:val="19"/>
        </w:rPr>
        <w:t xml:space="preserve"> </w:t>
      </w:r>
      <w:proofErr w:type="spellStart"/>
      <w:r w:rsidRPr="007A4777">
        <w:rPr>
          <w:rFonts w:eastAsia="Calibri"/>
          <w:sz w:val="19"/>
          <w:szCs w:val="19"/>
        </w:rPr>
        <w:t>Otolaryngol</w:t>
      </w:r>
      <w:proofErr w:type="spellEnd"/>
      <w:r w:rsidR="00780B8B" w:rsidRPr="007A4777">
        <w:rPr>
          <w:rFonts w:eastAsia="Calibri"/>
          <w:sz w:val="19"/>
          <w:szCs w:val="19"/>
        </w:rPr>
        <w:t xml:space="preserve"> </w:t>
      </w:r>
      <w:proofErr w:type="spellStart"/>
      <w:r w:rsidRPr="007A4777">
        <w:rPr>
          <w:rFonts w:eastAsia="Calibri"/>
          <w:sz w:val="19"/>
          <w:szCs w:val="19"/>
        </w:rPr>
        <w:t>Clin</w:t>
      </w:r>
      <w:proofErr w:type="spellEnd"/>
      <w:r w:rsidR="00780B8B" w:rsidRPr="007A4777">
        <w:rPr>
          <w:rFonts w:eastAsia="Calibri"/>
          <w:sz w:val="19"/>
          <w:szCs w:val="19"/>
        </w:rPr>
        <w:t xml:space="preserve"> </w:t>
      </w:r>
      <w:r w:rsidRPr="007A4777">
        <w:rPr>
          <w:rFonts w:eastAsia="Calibri"/>
          <w:sz w:val="19"/>
          <w:szCs w:val="19"/>
        </w:rPr>
        <w:t>North</w:t>
      </w:r>
      <w:r w:rsidR="00780B8B" w:rsidRPr="007A4777">
        <w:rPr>
          <w:rFonts w:eastAsia="Calibri"/>
          <w:sz w:val="19"/>
          <w:szCs w:val="19"/>
        </w:rPr>
        <w:t xml:space="preserve"> </w:t>
      </w:r>
      <w:r w:rsidRPr="007A4777">
        <w:rPr>
          <w:rFonts w:eastAsia="Calibri"/>
          <w:sz w:val="19"/>
          <w:szCs w:val="19"/>
        </w:rPr>
        <w:t>Am.</w:t>
      </w:r>
      <w:r w:rsidR="00780B8B" w:rsidRPr="007A4777">
        <w:rPr>
          <w:rFonts w:eastAsia="Calibri"/>
          <w:sz w:val="19"/>
          <w:szCs w:val="19"/>
        </w:rPr>
        <w:t xml:space="preserve"> </w:t>
      </w:r>
      <w:r w:rsidRPr="007A4777">
        <w:rPr>
          <w:rFonts w:eastAsia="Calibri"/>
          <w:sz w:val="19"/>
          <w:szCs w:val="19"/>
        </w:rPr>
        <w:t>42(5):813–828.</w:t>
      </w:r>
    </w:p>
    <w:p w:rsidR="007A4777" w:rsidRPr="007A4777" w:rsidRDefault="006712E7" w:rsidP="007A4777">
      <w:pPr>
        <w:pStyle w:val="ListParagraph"/>
        <w:numPr>
          <w:ilvl w:val="0"/>
          <w:numId w:val="7"/>
        </w:numPr>
        <w:snapToGrid w:val="0"/>
        <w:ind w:left="425" w:hanging="425"/>
        <w:jc w:val="both"/>
        <w:rPr>
          <w:rFonts w:eastAsia="Calibri"/>
          <w:sz w:val="19"/>
          <w:szCs w:val="19"/>
        </w:rPr>
      </w:pPr>
      <w:proofErr w:type="spellStart"/>
      <w:r w:rsidRPr="007A4777">
        <w:rPr>
          <w:rFonts w:eastAsia="Calibri"/>
          <w:sz w:val="19"/>
          <w:szCs w:val="19"/>
        </w:rPr>
        <w:t>Kimmelman</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C.P.;</w:t>
      </w:r>
      <w:r w:rsidR="00780B8B" w:rsidRPr="007A4777">
        <w:rPr>
          <w:rFonts w:eastAsia="Calibri"/>
          <w:sz w:val="19"/>
          <w:szCs w:val="19"/>
        </w:rPr>
        <w:t xml:space="preserve"> </w:t>
      </w:r>
      <w:r w:rsidRPr="007A4777">
        <w:rPr>
          <w:rFonts w:eastAsia="Calibri"/>
          <w:sz w:val="19"/>
          <w:szCs w:val="19"/>
        </w:rPr>
        <w:t>Edelstein,</w:t>
      </w:r>
      <w:r w:rsidR="00780B8B" w:rsidRPr="007A4777">
        <w:rPr>
          <w:rFonts w:eastAsia="Calibri"/>
          <w:sz w:val="19"/>
          <w:szCs w:val="19"/>
        </w:rPr>
        <w:t xml:space="preserve"> </w:t>
      </w:r>
      <w:r w:rsidRPr="007A4777">
        <w:rPr>
          <w:rFonts w:eastAsia="Calibri"/>
          <w:sz w:val="19"/>
          <w:szCs w:val="19"/>
        </w:rPr>
        <w:t>D.R.;</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r w:rsidRPr="007A4777">
        <w:rPr>
          <w:rFonts w:eastAsia="Calibri"/>
          <w:sz w:val="19"/>
          <w:szCs w:val="19"/>
        </w:rPr>
        <w:t>Cheng,</w:t>
      </w:r>
      <w:r w:rsidR="00780B8B" w:rsidRPr="007A4777">
        <w:rPr>
          <w:rFonts w:eastAsia="Calibri"/>
          <w:sz w:val="19"/>
          <w:szCs w:val="19"/>
        </w:rPr>
        <w:t xml:space="preserve"> </w:t>
      </w:r>
      <w:r w:rsidRPr="007A4777">
        <w:rPr>
          <w:rFonts w:eastAsia="Calibri"/>
          <w:sz w:val="19"/>
          <w:szCs w:val="19"/>
        </w:rPr>
        <w:t>H.J.:</w:t>
      </w:r>
      <w:r w:rsidR="00780B8B" w:rsidRPr="007A4777">
        <w:rPr>
          <w:rFonts w:eastAsia="Calibri"/>
          <w:sz w:val="19"/>
          <w:szCs w:val="19"/>
        </w:rPr>
        <w:t xml:space="preserve"> </w:t>
      </w:r>
      <w:r w:rsidRPr="007A4777">
        <w:rPr>
          <w:rFonts w:eastAsia="Calibri"/>
          <w:sz w:val="19"/>
          <w:szCs w:val="19"/>
        </w:rPr>
        <w:t>(2001):</w:t>
      </w:r>
      <w:r w:rsidR="00780B8B" w:rsidRPr="007A4777">
        <w:rPr>
          <w:rFonts w:eastAsia="Calibri"/>
          <w:sz w:val="19"/>
          <w:szCs w:val="19"/>
        </w:rPr>
        <w:t xml:space="preserve"> </w:t>
      </w:r>
      <w:proofErr w:type="spellStart"/>
      <w:r w:rsidRPr="007A4777">
        <w:rPr>
          <w:rFonts w:eastAsia="Calibri"/>
          <w:sz w:val="19"/>
          <w:szCs w:val="19"/>
        </w:rPr>
        <w:t>Sepragel</w:t>
      </w:r>
      <w:proofErr w:type="spellEnd"/>
      <w:r w:rsidR="00780B8B" w:rsidRPr="007A4777">
        <w:rPr>
          <w:rFonts w:eastAsia="Calibri"/>
          <w:sz w:val="19"/>
          <w:szCs w:val="19"/>
        </w:rPr>
        <w:t xml:space="preserve"> </w:t>
      </w:r>
      <w:r w:rsidRPr="007A4777">
        <w:rPr>
          <w:rFonts w:eastAsia="Calibri"/>
          <w:sz w:val="19"/>
          <w:szCs w:val="19"/>
        </w:rPr>
        <w:t>Sinus</w:t>
      </w:r>
      <w:r w:rsidR="00780B8B" w:rsidRPr="007A4777">
        <w:rPr>
          <w:rFonts w:eastAsia="Calibri"/>
          <w:sz w:val="19"/>
          <w:szCs w:val="19"/>
        </w:rPr>
        <w:t xml:space="preserve"> </w:t>
      </w:r>
      <w:r w:rsidRPr="007A4777">
        <w:rPr>
          <w:rFonts w:eastAsia="Calibri"/>
          <w:sz w:val="19"/>
          <w:szCs w:val="19"/>
        </w:rPr>
        <w:t>(</w:t>
      </w:r>
      <w:proofErr w:type="spellStart"/>
      <w:r w:rsidRPr="007A4777">
        <w:rPr>
          <w:rFonts w:eastAsia="Calibri"/>
          <w:sz w:val="19"/>
          <w:szCs w:val="19"/>
        </w:rPr>
        <w:t>Hylan</w:t>
      </w:r>
      <w:proofErr w:type="spellEnd"/>
      <w:r w:rsidR="00780B8B" w:rsidRPr="007A4777">
        <w:rPr>
          <w:rFonts w:eastAsia="Calibri"/>
          <w:sz w:val="19"/>
          <w:szCs w:val="19"/>
        </w:rPr>
        <w:t xml:space="preserve"> </w:t>
      </w:r>
      <w:r w:rsidRPr="007A4777">
        <w:rPr>
          <w:rFonts w:eastAsia="Calibri"/>
          <w:sz w:val="19"/>
          <w:szCs w:val="19"/>
        </w:rPr>
        <w:t>B)</w:t>
      </w:r>
      <w:r w:rsidR="00780B8B" w:rsidRPr="007A4777">
        <w:rPr>
          <w:rFonts w:eastAsia="Calibri"/>
          <w:sz w:val="19"/>
          <w:szCs w:val="19"/>
        </w:rPr>
        <w:t xml:space="preserve"> </w:t>
      </w:r>
      <w:r w:rsidRPr="007A4777">
        <w:rPr>
          <w:rFonts w:eastAsia="Calibri"/>
          <w:sz w:val="19"/>
          <w:szCs w:val="19"/>
        </w:rPr>
        <w:t>as</w:t>
      </w:r>
      <w:r w:rsidR="00780B8B" w:rsidRPr="007A4777">
        <w:rPr>
          <w:rFonts w:eastAsia="Calibri"/>
          <w:sz w:val="19"/>
          <w:szCs w:val="19"/>
        </w:rPr>
        <w:t xml:space="preserve"> </w:t>
      </w:r>
      <w:r w:rsidRPr="007A4777">
        <w:rPr>
          <w:rFonts w:eastAsia="Calibri"/>
          <w:sz w:val="19"/>
          <w:szCs w:val="19"/>
        </w:rPr>
        <w:t>a</w:t>
      </w:r>
      <w:r w:rsidR="00780B8B" w:rsidRPr="007A4777">
        <w:rPr>
          <w:rFonts w:eastAsia="Calibri"/>
          <w:sz w:val="19"/>
          <w:szCs w:val="19"/>
        </w:rPr>
        <w:t xml:space="preserve"> </w:t>
      </w:r>
      <w:r w:rsidRPr="007A4777">
        <w:rPr>
          <w:rFonts w:eastAsia="Calibri"/>
          <w:sz w:val="19"/>
          <w:szCs w:val="19"/>
        </w:rPr>
        <w:t>Postsurgical</w:t>
      </w:r>
      <w:r w:rsidR="00780B8B" w:rsidRPr="007A4777">
        <w:rPr>
          <w:rFonts w:eastAsia="Calibri"/>
          <w:sz w:val="19"/>
          <w:szCs w:val="19"/>
        </w:rPr>
        <w:t xml:space="preserve"> </w:t>
      </w:r>
      <w:r w:rsidRPr="007A4777">
        <w:rPr>
          <w:rFonts w:eastAsia="Calibri"/>
          <w:sz w:val="19"/>
          <w:szCs w:val="19"/>
        </w:rPr>
        <w:t>Dressing</w:t>
      </w:r>
      <w:r w:rsidR="00780B8B" w:rsidRPr="007A4777">
        <w:rPr>
          <w:rFonts w:eastAsia="Calibri"/>
          <w:sz w:val="19"/>
          <w:szCs w:val="19"/>
        </w:rPr>
        <w:t xml:space="preserve"> </w:t>
      </w:r>
      <w:r w:rsidRPr="007A4777">
        <w:rPr>
          <w:rFonts w:eastAsia="Calibri"/>
          <w:sz w:val="19"/>
          <w:szCs w:val="19"/>
        </w:rPr>
        <w:t>for</w:t>
      </w:r>
      <w:r w:rsidR="00780B8B" w:rsidRPr="007A4777">
        <w:rPr>
          <w:rFonts w:eastAsia="Calibri"/>
          <w:sz w:val="19"/>
          <w:szCs w:val="19"/>
        </w:rPr>
        <w:t xml:space="preserve"> </w:t>
      </w:r>
      <w:r w:rsidRPr="007A4777">
        <w:rPr>
          <w:rFonts w:eastAsia="Calibri"/>
          <w:sz w:val="19"/>
          <w:szCs w:val="19"/>
        </w:rPr>
        <w:t>Endoscopic</w:t>
      </w:r>
      <w:r w:rsidR="00780B8B" w:rsidRPr="007A4777">
        <w:rPr>
          <w:rFonts w:eastAsia="Calibri"/>
          <w:sz w:val="19"/>
          <w:szCs w:val="19"/>
        </w:rPr>
        <w:t xml:space="preserve"> </w:t>
      </w:r>
      <w:r w:rsidRPr="007A4777">
        <w:rPr>
          <w:rFonts w:eastAsia="Calibri"/>
          <w:sz w:val="19"/>
          <w:szCs w:val="19"/>
        </w:rPr>
        <w:t>Sinus</w:t>
      </w:r>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proofErr w:type="spellStart"/>
      <w:r w:rsidRPr="007A4777">
        <w:rPr>
          <w:rFonts w:eastAsia="Calibri"/>
          <w:sz w:val="19"/>
          <w:szCs w:val="19"/>
        </w:rPr>
        <w:t>Otolaryngol</w:t>
      </w:r>
      <w:proofErr w:type="spellEnd"/>
      <w:r w:rsidR="00780B8B" w:rsidRPr="007A4777">
        <w:rPr>
          <w:rFonts w:eastAsia="Calibri"/>
          <w:sz w:val="19"/>
          <w:szCs w:val="19"/>
        </w:rPr>
        <w:t xml:space="preserve"> </w:t>
      </w:r>
      <w:r w:rsidRPr="007A4777">
        <w:rPr>
          <w:rFonts w:eastAsia="Calibri"/>
          <w:sz w:val="19"/>
          <w:szCs w:val="19"/>
        </w:rPr>
        <w:t>Head</w:t>
      </w:r>
      <w:r w:rsidR="00780B8B" w:rsidRPr="007A4777">
        <w:rPr>
          <w:rFonts w:eastAsia="Calibri"/>
          <w:sz w:val="19"/>
          <w:szCs w:val="19"/>
        </w:rPr>
        <w:t xml:space="preserve"> </w:t>
      </w:r>
      <w:r w:rsidRPr="007A4777">
        <w:rPr>
          <w:rFonts w:eastAsia="Calibri"/>
          <w:sz w:val="19"/>
          <w:szCs w:val="19"/>
        </w:rPr>
        <w:t>Neck</w:t>
      </w:r>
      <w:r w:rsidR="00780B8B" w:rsidRPr="007A4777">
        <w:rPr>
          <w:rFonts w:eastAsia="Calibri"/>
          <w:sz w:val="19"/>
          <w:szCs w:val="19"/>
        </w:rPr>
        <w:t xml:space="preserve"> </w:t>
      </w:r>
      <w:r w:rsidRPr="007A4777">
        <w:rPr>
          <w:rFonts w:eastAsia="Calibri"/>
          <w:sz w:val="19"/>
          <w:szCs w:val="19"/>
        </w:rPr>
        <w:t>Surg.</w:t>
      </w:r>
      <w:r w:rsidR="00780B8B" w:rsidRPr="007A4777">
        <w:rPr>
          <w:rFonts w:eastAsia="Calibri"/>
          <w:sz w:val="19"/>
          <w:szCs w:val="19"/>
        </w:rPr>
        <w:t xml:space="preserve"> </w:t>
      </w:r>
      <w:r w:rsidRPr="007A4777">
        <w:rPr>
          <w:rFonts w:eastAsia="Calibri"/>
          <w:sz w:val="19"/>
          <w:szCs w:val="19"/>
        </w:rPr>
        <w:t>125(6):603-608.</w:t>
      </w:r>
    </w:p>
    <w:p w:rsidR="007A4777" w:rsidRPr="007A4777" w:rsidRDefault="006712E7" w:rsidP="007A4777">
      <w:pPr>
        <w:pStyle w:val="ListParagraph"/>
        <w:numPr>
          <w:ilvl w:val="0"/>
          <w:numId w:val="7"/>
        </w:numPr>
        <w:snapToGrid w:val="0"/>
        <w:ind w:left="425" w:hanging="425"/>
        <w:jc w:val="both"/>
        <w:rPr>
          <w:rFonts w:eastAsia="Calibri"/>
          <w:sz w:val="19"/>
          <w:szCs w:val="19"/>
        </w:rPr>
      </w:pPr>
      <w:r w:rsidRPr="007A4777">
        <w:rPr>
          <w:rFonts w:eastAsia="Calibri"/>
          <w:sz w:val="19"/>
          <w:szCs w:val="19"/>
        </w:rPr>
        <w:t>Catalano,</w:t>
      </w:r>
      <w:r w:rsidR="00780B8B" w:rsidRPr="007A4777">
        <w:rPr>
          <w:rFonts w:eastAsia="Calibri"/>
          <w:sz w:val="19"/>
          <w:szCs w:val="19"/>
        </w:rPr>
        <w:t xml:space="preserve"> </w:t>
      </w:r>
      <w:r w:rsidRPr="007A4777">
        <w:rPr>
          <w:rFonts w:eastAsia="Calibri"/>
          <w:sz w:val="19"/>
          <w:szCs w:val="19"/>
        </w:rPr>
        <w:t>P.J.;</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proofErr w:type="spellStart"/>
      <w:r w:rsidRPr="007A4777">
        <w:rPr>
          <w:rFonts w:eastAsia="Calibri"/>
          <w:sz w:val="19"/>
          <w:szCs w:val="19"/>
        </w:rPr>
        <w:t>Roffman</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E.J.:</w:t>
      </w:r>
      <w:r w:rsidR="00780B8B" w:rsidRPr="007A4777">
        <w:rPr>
          <w:rFonts w:eastAsia="Calibri"/>
          <w:sz w:val="19"/>
          <w:szCs w:val="19"/>
        </w:rPr>
        <w:t xml:space="preserve"> </w:t>
      </w:r>
      <w:r w:rsidRPr="007A4777">
        <w:rPr>
          <w:rFonts w:eastAsia="Calibri"/>
          <w:sz w:val="19"/>
          <w:szCs w:val="19"/>
        </w:rPr>
        <w:t>(2003):</w:t>
      </w:r>
      <w:r w:rsidR="00780B8B" w:rsidRPr="007A4777">
        <w:rPr>
          <w:rFonts w:eastAsia="Calibri"/>
          <w:sz w:val="19"/>
          <w:szCs w:val="19"/>
        </w:rPr>
        <w:t xml:space="preserve"> </w:t>
      </w:r>
      <w:r w:rsidRPr="007A4777">
        <w:rPr>
          <w:rFonts w:eastAsia="Calibri"/>
          <w:sz w:val="19"/>
          <w:szCs w:val="19"/>
        </w:rPr>
        <w:t>Evaluation</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r w:rsidRPr="007A4777">
        <w:rPr>
          <w:rFonts w:eastAsia="Calibri"/>
          <w:sz w:val="19"/>
          <w:szCs w:val="19"/>
        </w:rPr>
        <w:t>Middle</w:t>
      </w:r>
      <w:r w:rsidR="00780B8B" w:rsidRPr="007A4777">
        <w:rPr>
          <w:rFonts w:eastAsia="Calibri"/>
          <w:sz w:val="19"/>
          <w:szCs w:val="19"/>
        </w:rPr>
        <w:t xml:space="preserve"> </w:t>
      </w:r>
      <w:proofErr w:type="spellStart"/>
      <w:r w:rsidRPr="007A4777">
        <w:rPr>
          <w:rFonts w:eastAsia="Calibri"/>
          <w:sz w:val="19"/>
          <w:szCs w:val="19"/>
        </w:rPr>
        <w:t>Meatal</w:t>
      </w:r>
      <w:proofErr w:type="spellEnd"/>
      <w:r w:rsidR="00780B8B" w:rsidRPr="007A4777">
        <w:rPr>
          <w:rFonts w:eastAsia="Calibri"/>
          <w:sz w:val="19"/>
          <w:szCs w:val="19"/>
        </w:rPr>
        <w:t xml:space="preserve"> </w:t>
      </w:r>
      <w:proofErr w:type="spellStart"/>
      <w:r w:rsidRPr="007A4777">
        <w:rPr>
          <w:rFonts w:eastAsia="Calibri"/>
          <w:sz w:val="19"/>
          <w:szCs w:val="19"/>
        </w:rPr>
        <w:t>Stenting</w:t>
      </w:r>
      <w:proofErr w:type="spellEnd"/>
      <w:r w:rsidR="00780B8B" w:rsidRPr="007A4777">
        <w:rPr>
          <w:rFonts w:eastAsia="Calibri"/>
          <w:sz w:val="19"/>
          <w:szCs w:val="19"/>
        </w:rPr>
        <w:t xml:space="preserve"> </w:t>
      </w:r>
      <w:r w:rsidRPr="007A4777">
        <w:rPr>
          <w:rFonts w:eastAsia="Calibri"/>
          <w:sz w:val="19"/>
          <w:szCs w:val="19"/>
        </w:rPr>
        <w:t>after</w:t>
      </w:r>
      <w:r w:rsidR="00780B8B" w:rsidRPr="007A4777">
        <w:rPr>
          <w:rFonts w:eastAsia="Calibri"/>
          <w:sz w:val="19"/>
          <w:szCs w:val="19"/>
        </w:rPr>
        <w:t xml:space="preserve"> </w:t>
      </w:r>
      <w:r w:rsidRPr="007A4777">
        <w:rPr>
          <w:rFonts w:eastAsia="Calibri"/>
          <w:sz w:val="19"/>
          <w:szCs w:val="19"/>
        </w:rPr>
        <w:t>Minimally</w:t>
      </w:r>
      <w:r w:rsidR="00780B8B" w:rsidRPr="007A4777">
        <w:rPr>
          <w:rFonts w:eastAsia="Calibri"/>
          <w:sz w:val="19"/>
          <w:szCs w:val="19"/>
        </w:rPr>
        <w:t xml:space="preserve"> </w:t>
      </w:r>
      <w:r w:rsidRPr="007A4777">
        <w:rPr>
          <w:rFonts w:eastAsia="Calibri"/>
          <w:sz w:val="19"/>
          <w:szCs w:val="19"/>
        </w:rPr>
        <w:t>Invasive</w:t>
      </w:r>
      <w:r w:rsidR="00780B8B" w:rsidRPr="007A4777">
        <w:rPr>
          <w:rFonts w:eastAsia="Calibri"/>
          <w:sz w:val="19"/>
          <w:szCs w:val="19"/>
        </w:rPr>
        <w:t xml:space="preserve"> </w:t>
      </w:r>
      <w:r w:rsidRPr="007A4777">
        <w:rPr>
          <w:rFonts w:eastAsia="Calibri"/>
          <w:sz w:val="19"/>
          <w:szCs w:val="19"/>
        </w:rPr>
        <w:t>Sinus</w:t>
      </w:r>
      <w:r w:rsidR="00780B8B" w:rsidRPr="007A4777">
        <w:rPr>
          <w:rFonts w:eastAsia="Calibri"/>
          <w:sz w:val="19"/>
          <w:szCs w:val="19"/>
        </w:rPr>
        <w:t xml:space="preserve"> </w:t>
      </w:r>
      <w:r w:rsidRPr="007A4777">
        <w:rPr>
          <w:rFonts w:eastAsia="Calibri"/>
          <w:sz w:val="19"/>
          <w:szCs w:val="19"/>
        </w:rPr>
        <w:t>Techniques</w:t>
      </w:r>
      <w:r w:rsidR="00780B8B" w:rsidRPr="007A4777">
        <w:rPr>
          <w:rFonts w:eastAsia="Calibri"/>
          <w:sz w:val="19"/>
          <w:szCs w:val="19"/>
        </w:rPr>
        <w:t xml:space="preserve"> </w:t>
      </w:r>
      <w:r w:rsidRPr="007A4777">
        <w:rPr>
          <w:rFonts w:eastAsia="Calibri"/>
          <w:sz w:val="19"/>
          <w:szCs w:val="19"/>
        </w:rPr>
        <w:t>(MIST).</w:t>
      </w:r>
      <w:r w:rsidR="00780B8B" w:rsidRPr="007A4777">
        <w:rPr>
          <w:rFonts w:eastAsia="Calibri"/>
          <w:sz w:val="19"/>
          <w:szCs w:val="19"/>
        </w:rPr>
        <w:t xml:space="preserve"> </w:t>
      </w:r>
      <w:proofErr w:type="spellStart"/>
      <w:r w:rsidRPr="007A4777">
        <w:rPr>
          <w:rFonts w:eastAsia="Calibri"/>
          <w:sz w:val="19"/>
          <w:szCs w:val="19"/>
        </w:rPr>
        <w:t>Otolaryngol</w:t>
      </w:r>
      <w:proofErr w:type="spellEnd"/>
      <w:r w:rsidR="00780B8B" w:rsidRPr="007A4777">
        <w:rPr>
          <w:rFonts w:eastAsia="Calibri"/>
          <w:sz w:val="19"/>
          <w:szCs w:val="19"/>
        </w:rPr>
        <w:t xml:space="preserve"> </w:t>
      </w:r>
      <w:r w:rsidRPr="007A4777">
        <w:rPr>
          <w:rFonts w:eastAsia="Calibri"/>
          <w:sz w:val="19"/>
          <w:szCs w:val="19"/>
        </w:rPr>
        <w:t>Head</w:t>
      </w:r>
      <w:r w:rsidR="00780B8B" w:rsidRPr="007A4777">
        <w:rPr>
          <w:rFonts w:eastAsia="Calibri"/>
          <w:sz w:val="19"/>
          <w:szCs w:val="19"/>
        </w:rPr>
        <w:t xml:space="preserve"> </w:t>
      </w:r>
      <w:r w:rsidRPr="007A4777">
        <w:rPr>
          <w:rFonts w:eastAsia="Calibri"/>
          <w:sz w:val="19"/>
          <w:szCs w:val="19"/>
        </w:rPr>
        <w:t>Neck</w:t>
      </w:r>
      <w:r w:rsidR="00780B8B" w:rsidRPr="007A4777">
        <w:rPr>
          <w:rFonts w:eastAsia="Calibri"/>
          <w:sz w:val="19"/>
          <w:szCs w:val="19"/>
        </w:rPr>
        <w:t xml:space="preserve"> </w:t>
      </w:r>
      <w:r w:rsidRPr="007A4777">
        <w:rPr>
          <w:rFonts w:eastAsia="Calibri"/>
          <w:sz w:val="19"/>
          <w:szCs w:val="19"/>
        </w:rPr>
        <w:t>Surg.</w:t>
      </w:r>
      <w:r w:rsidR="00780B8B" w:rsidRPr="007A4777">
        <w:rPr>
          <w:rFonts w:eastAsia="Calibri"/>
          <w:sz w:val="19"/>
          <w:szCs w:val="19"/>
        </w:rPr>
        <w:t xml:space="preserve"> </w:t>
      </w:r>
      <w:r w:rsidRPr="007A4777">
        <w:rPr>
          <w:rFonts w:eastAsia="Calibri"/>
          <w:sz w:val="19"/>
          <w:szCs w:val="19"/>
        </w:rPr>
        <w:t>128:875–</w:t>
      </w:r>
      <w:r w:rsidR="00780B8B" w:rsidRPr="007A4777">
        <w:rPr>
          <w:rFonts w:eastAsia="Calibri"/>
          <w:sz w:val="19"/>
          <w:szCs w:val="19"/>
        </w:rPr>
        <w:t xml:space="preserve"> </w:t>
      </w:r>
      <w:r w:rsidRPr="007A4777">
        <w:rPr>
          <w:rFonts w:eastAsia="Calibri"/>
          <w:sz w:val="19"/>
          <w:szCs w:val="19"/>
        </w:rPr>
        <w:t>881.</w:t>
      </w:r>
    </w:p>
    <w:p w:rsidR="007A4777" w:rsidRPr="007A4777" w:rsidRDefault="006712E7" w:rsidP="007A4777">
      <w:pPr>
        <w:pStyle w:val="ListParagraph"/>
        <w:numPr>
          <w:ilvl w:val="0"/>
          <w:numId w:val="7"/>
        </w:numPr>
        <w:snapToGrid w:val="0"/>
        <w:ind w:left="425" w:hanging="425"/>
        <w:jc w:val="both"/>
        <w:rPr>
          <w:rFonts w:eastAsia="Calibri"/>
          <w:sz w:val="19"/>
          <w:szCs w:val="19"/>
        </w:rPr>
      </w:pPr>
      <w:proofErr w:type="spellStart"/>
      <w:r w:rsidRPr="007A4777">
        <w:rPr>
          <w:rFonts w:eastAsia="Calibri"/>
          <w:sz w:val="19"/>
          <w:szCs w:val="19"/>
        </w:rPr>
        <w:t>Berlucchi</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M.;</w:t>
      </w:r>
      <w:r w:rsidR="00780B8B" w:rsidRPr="007A4777">
        <w:rPr>
          <w:rFonts w:eastAsia="Calibri"/>
          <w:sz w:val="19"/>
          <w:szCs w:val="19"/>
        </w:rPr>
        <w:t xml:space="preserve"> </w:t>
      </w:r>
      <w:proofErr w:type="spellStart"/>
      <w:r w:rsidRPr="007A4777">
        <w:rPr>
          <w:rFonts w:eastAsia="Calibri"/>
          <w:sz w:val="19"/>
          <w:szCs w:val="19"/>
        </w:rPr>
        <w:t>Castelnuovo</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P.;</w:t>
      </w:r>
      <w:r w:rsidR="00780B8B" w:rsidRPr="007A4777">
        <w:rPr>
          <w:rFonts w:eastAsia="Calibri"/>
          <w:sz w:val="19"/>
          <w:szCs w:val="19"/>
        </w:rPr>
        <w:t xml:space="preserve"> </w:t>
      </w:r>
      <w:proofErr w:type="spellStart"/>
      <w:r w:rsidRPr="007A4777">
        <w:rPr>
          <w:rFonts w:eastAsia="Calibri"/>
          <w:sz w:val="19"/>
          <w:szCs w:val="19"/>
        </w:rPr>
        <w:t>Vincenzi</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A.;</w:t>
      </w:r>
      <w:r w:rsidR="00780B8B" w:rsidRPr="007A4777">
        <w:rPr>
          <w:rFonts w:eastAsia="Calibri"/>
          <w:sz w:val="19"/>
          <w:szCs w:val="19"/>
        </w:rPr>
        <w:t xml:space="preserve"> </w:t>
      </w:r>
      <w:proofErr w:type="spellStart"/>
      <w:r w:rsidRPr="007A4777">
        <w:rPr>
          <w:rFonts w:eastAsia="Calibri"/>
          <w:sz w:val="19"/>
          <w:szCs w:val="19"/>
        </w:rPr>
        <w:t>Morra</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B.;</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proofErr w:type="spellStart"/>
      <w:r w:rsidRPr="007A4777">
        <w:rPr>
          <w:rFonts w:eastAsia="Calibri"/>
          <w:sz w:val="19"/>
          <w:szCs w:val="19"/>
        </w:rPr>
        <w:t>Pasquini</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E.:</w:t>
      </w:r>
      <w:r w:rsidR="00780B8B" w:rsidRPr="007A4777">
        <w:rPr>
          <w:rFonts w:eastAsia="Calibri"/>
          <w:sz w:val="19"/>
          <w:szCs w:val="19"/>
        </w:rPr>
        <w:t xml:space="preserve"> </w:t>
      </w:r>
      <w:r w:rsidRPr="007A4777">
        <w:rPr>
          <w:rFonts w:eastAsia="Calibri"/>
          <w:sz w:val="19"/>
          <w:szCs w:val="19"/>
        </w:rPr>
        <w:t>(2009):</w:t>
      </w:r>
      <w:r w:rsidR="00780B8B" w:rsidRPr="007A4777">
        <w:rPr>
          <w:rFonts w:eastAsia="Calibri"/>
          <w:sz w:val="19"/>
          <w:szCs w:val="19"/>
        </w:rPr>
        <w:t xml:space="preserve"> </w:t>
      </w:r>
      <w:r w:rsidRPr="007A4777">
        <w:rPr>
          <w:rFonts w:eastAsia="Calibri"/>
          <w:sz w:val="19"/>
          <w:szCs w:val="19"/>
        </w:rPr>
        <w:t>Endoscopic</w:t>
      </w:r>
      <w:r w:rsidR="00780B8B" w:rsidRPr="007A4777">
        <w:rPr>
          <w:rFonts w:eastAsia="Calibri"/>
          <w:sz w:val="19"/>
          <w:szCs w:val="19"/>
        </w:rPr>
        <w:t xml:space="preserve"> </w:t>
      </w:r>
      <w:r w:rsidRPr="007A4777">
        <w:rPr>
          <w:rFonts w:eastAsia="Calibri"/>
          <w:sz w:val="19"/>
          <w:szCs w:val="19"/>
        </w:rPr>
        <w:t>Outcomes</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proofErr w:type="spellStart"/>
      <w:r w:rsidRPr="007A4777">
        <w:rPr>
          <w:rFonts w:eastAsia="Calibri"/>
          <w:sz w:val="19"/>
          <w:szCs w:val="19"/>
        </w:rPr>
        <w:t>Resorbable</w:t>
      </w:r>
      <w:proofErr w:type="spellEnd"/>
      <w:r w:rsidR="00780B8B" w:rsidRPr="007A4777">
        <w:rPr>
          <w:rFonts w:eastAsia="Calibri"/>
          <w:sz w:val="19"/>
          <w:szCs w:val="19"/>
        </w:rPr>
        <w:t xml:space="preserve"> </w:t>
      </w:r>
      <w:r w:rsidRPr="007A4777">
        <w:rPr>
          <w:rFonts w:eastAsia="Calibri"/>
          <w:sz w:val="19"/>
          <w:szCs w:val="19"/>
        </w:rPr>
        <w:t>Nasal</w:t>
      </w:r>
      <w:r w:rsidR="00780B8B" w:rsidRPr="007A4777">
        <w:rPr>
          <w:rFonts w:eastAsia="Calibri"/>
          <w:sz w:val="19"/>
          <w:szCs w:val="19"/>
        </w:rPr>
        <w:t xml:space="preserve"> </w:t>
      </w:r>
      <w:r w:rsidRPr="007A4777">
        <w:rPr>
          <w:rFonts w:eastAsia="Calibri"/>
          <w:sz w:val="19"/>
          <w:szCs w:val="19"/>
        </w:rPr>
        <w:t>Packing</w:t>
      </w:r>
      <w:r w:rsidR="00780B8B" w:rsidRPr="007A4777">
        <w:rPr>
          <w:rFonts w:eastAsia="Calibri"/>
          <w:sz w:val="19"/>
          <w:szCs w:val="19"/>
        </w:rPr>
        <w:t xml:space="preserve"> </w:t>
      </w:r>
      <w:r w:rsidRPr="007A4777">
        <w:rPr>
          <w:rFonts w:eastAsia="Calibri"/>
          <w:sz w:val="19"/>
          <w:szCs w:val="19"/>
        </w:rPr>
        <w:t>after</w:t>
      </w:r>
      <w:r w:rsidR="00780B8B" w:rsidRPr="007A4777">
        <w:rPr>
          <w:rFonts w:eastAsia="Calibri"/>
          <w:sz w:val="19"/>
          <w:szCs w:val="19"/>
        </w:rPr>
        <w:t xml:space="preserve"> </w:t>
      </w:r>
      <w:r w:rsidRPr="007A4777">
        <w:rPr>
          <w:rFonts w:eastAsia="Calibri"/>
          <w:sz w:val="19"/>
          <w:szCs w:val="19"/>
        </w:rPr>
        <w:t>Functional</w:t>
      </w:r>
      <w:r w:rsidR="00780B8B" w:rsidRPr="007A4777">
        <w:rPr>
          <w:rFonts w:eastAsia="Calibri"/>
          <w:sz w:val="19"/>
          <w:szCs w:val="19"/>
        </w:rPr>
        <w:t xml:space="preserve"> </w:t>
      </w:r>
      <w:r w:rsidRPr="007A4777">
        <w:rPr>
          <w:rFonts w:eastAsia="Calibri"/>
          <w:sz w:val="19"/>
          <w:szCs w:val="19"/>
        </w:rPr>
        <w:t>Endoscopic</w:t>
      </w:r>
      <w:r w:rsidR="00780B8B" w:rsidRPr="007A4777">
        <w:rPr>
          <w:rFonts w:eastAsia="Calibri"/>
          <w:sz w:val="19"/>
          <w:szCs w:val="19"/>
        </w:rPr>
        <w:t xml:space="preserve"> </w:t>
      </w:r>
      <w:r w:rsidRPr="007A4777">
        <w:rPr>
          <w:rFonts w:eastAsia="Calibri"/>
          <w:sz w:val="19"/>
          <w:szCs w:val="19"/>
        </w:rPr>
        <w:t>Sinus</w:t>
      </w:r>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r w:rsidRPr="007A4777">
        <w:rPr>
          <w:rFonts w:eastAsia="Calibri"/>
          <w:sz w:val="19"/>
          <w:szCs w:val="19"/>
        </w:rPr>
        <w:t>A</w:t>
      </w:r>
      <w:r w:rsidR="00780B8B" w:rsidRPr="007A4777">
        <w:rPr>
          <w:rFonts w:eastAsia="Calibri"/>
          <w:sz w:val="19"/>
          <w:szCs w:val="19"/>
        </w:rPr>
        <w:t xml:space="preserve"> </w:t>
      </w:r>
      <w:r w:rsidRPr="007A4777">
        <w:rPr>
          <w:rFonts w:eastAsia="Calibri"/>
          <w:sz w:val="19"/>
          <w:szCs w:val="19"/>
        </w:rPr>
        <w:t>Multicenter</w:t>
      </w:r>
      <w:r w:rsidR="00780B8B" w:rsidRPr="007A4777">
        <w:rPr>
          <w:rFonts w:eastAsia="Calibri"/>
          <w:sz w:val="19"/>
          <w:szCs w:val="19"/>
        </w:rPr>
        <w:t xml:space="preserve"> </w:t>
      </w:r>
      <w:r w:rsidRPr="007A4777">
        <w:rPr>
          <w:rFonts w:eastAsia="Calibri"/>
          <w:sz w:val="19"/>
          <w:szCs w:val="19"/>
        </w:rPr>
        <w:t>Prospective</w:t>
      </w:r>
      <w:r w:rsidR="00780B8B" w:rsidRPr="007A4777">
        <w:rPr>
          <w:rFonts w:eastAsia="Calibri"/>
          <w:sz w:val="19"/>
          <w:szCs w:val="19"/>
        </w:rPr>
        <w:t xml:space="preserve"> </w:t>
      </w:r>
      <w:r w:rsidRPr="007A4777">
        <w:rPr>
          <w:rFonts w:eastAsia="Calibri"/>
          <w:sz w:val="19"/>
          <w:szCs w:val="19"/>
        </w:rPr>
        <w:t>Randomized</w:t>
      </w:r>
      <w:r w:rsidR="00780B8B" w:rsidRPr="007A4777">
        <w:rPr>
          <w:rFonts w:eastAsia="Calibri"/>
          <w:sz w:val="19"/>
          <w:szCs w:val="19"/>
        </w:rPr>
        <w:t xml:space="preserve"> </w:t>
      </w:r>
      <w:r w:rsidRPr="007A4777">
        <w:rPr>
          <w:rFonts w:eastAsia="Calibri"/>
          <w:sz w:val="19"/>
          <w:szCs w:val="19"/>
        </w:rPr>
        <w:t>Controlled</w:t>
      </w:r>
      <w:r w:rsidR="00780B8B" w:rsidRPr="007A4777">
        <w:rPr>
          <w:rFonts w:eastAsia="Calibri"/>
          <w:sz w:val="19"/>
          <w:szCs w:val="19"/>
        </w:rPr>
        <w:t xml:space="preserve"> </w:t>
      </w:r>
      <w:r w:rsidRPr="007A4777">
        <w:rPr>
          <w:rFonts w:eastAsia="Calibri"/>
          <w:sz w:val="19"/>
          <w:szCs w:val="19"/>
        </w:rPr>
        <w:t>Study.</w:t>
      </w:r>
      <w:r w:rsidR="00780B8B" w:rsidRPr="007A4777">
        <w:rPr>
          <w:rFonts w:eastAsia="Calibri"/>
          <w:sz w:val="19"/>
          <w:szCs w:val="19"/>
        </w:rPr>
        <w:t xml:space="preserve"> </w:t>
      </w:r>
      <w:r w:rsidRPr="007A4777">
        <w:rPr>
          <w:rFonts w:eastAsia="Calibri"/>
          <w:sz w:val="19"/>
          <w:szCs w:val="19"/>
        </w:rPr>
        <w:t>European</w:t>
      </w:r>
      <w:r w:rsidR="00780B8B" w:rsidRPr="007A4777">
        <w:rPr>
          <w:rFonts w:eastAsia="Calibri"/>
          <w:sz w:val="19"/>
          <w:szCs w:val="19"/>
        </w:rPr>
        <w:t xml:space="preserve"> </w:t>
      </w:r>
      <w:r w:rsidRPr="007A4777">
        <w:rPr>
          <w:rFonts w:eastAsia="Calibri"/>
          <w:sz w:val="19"/>
          <w:szCs w:val="19"/>
        </w:rPr>
        <w:t>Archives</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proofErr w:type="spellStart"/>
      <w:r w:rsidRPr="007A4777">
        <w:rPr>
          <w:rFonts w:eastAsia="Calibri"/>
          <w:sz w:val="19"/>
          <w:szCs w:val="19"/>
        </w:rPr>
        <w:t>Otorhinolaryngoly</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266:839–845.</w:t>
      </w:r>
    </w:p>
    <w:p w:rsidR="007A4777" w:rsidRPr="007A4777" w:rsidRDefault="006712E7" w:rsidP="007A4777">
      <w:pPr>
        <w:pStyle w:val="ListParagraph"/>
        <w:numPr>
          <w:ilvl w:val="0"/>
          <w:numId w:val="7"/>
        </w:numPr>
        <w:snapToGrid w:val="0"/>
        <w:ind w:left="425" w:hanging="425"/>
        <w:jc w:val="both"/>
        <w:rPr>
          <w:rFonts w:eastAsia="Calibri"/>
          <w:sz w:val="19"/>
          <w:szCs w:val="19"/>
        </w:rPr>
      </w:pPr>
      <w:r w:rsidRPr="007A4777">
        <w:rPr>
          <w:rFonts w:eastAsia="Calibri"/>
          <w:sz w:val="19"/>
          <w:szCs w:val="19"/>
        </w:rPr>
        <w:t>Chandra,</w:t>
      </w:r>
      <w:r w:rsidR="00780B8B" w:rsidRPr="007A4777">
        <w:rPr>
          <w:rFonts w:eastAsia="Calibri"/>
          <w:sz w:val="19"/>
          <w:szCs w:val="19"/>
        </w:rPr>
        <w:t xml:space="preserve"> </w:t>
      </w:r>
      <w:r w:rsidRPr="007A4777">
        <w:rPr>
          <w:rFonts w:eastAsia="Calibri"/>
          <w:sz w:val="19"/>
          <w:szCs w:val="19"/>
        </w:rPr>
        <w:t>R.K.;</w:t>
      </w:r>
      <w:r w:rsidR="00780B8B" w:rsidRPr="007A4777">
        <w:rPr>
          <w:rFonts w:eastAsia="Calibri"/>
          <w:sz w:val="19"/>
          <w:szCs w:val="19"/>
        </w:rPr>
        <w:t xml:space="preserve"> </w:t>
      </w:r>
      <w:r w:rsidRPr="007A4777">
        <w:rPr>
          <w:rFonts w:eastAsia="Calibri"/>
          <w:sz w:val="19"/>
          <w:szCs w:val="19"/>
        </w:rPr>
        <w:t>Conley,</w:t>
      </w:r>
      <w:r w:rsidR="00780B8B" w:rsidRPr="007A4777">
        <w:rPr>
          <w:rFonts w:eastAsia="Calibri"/>
          <w:sz w:val="19"/>
          <w:szCs w:val="19"/>
        </w:rPr>
        <w:t xml:space="preserve"> </w:t>
      </w:r>
      <w:r w:rsidRPr="007A4777">
        <w:rPr>
          <w:rFonts w:eastAsia="Calibri"/>
          <w:sz w:val="19"/>
          <w:szCs w:val="19"/>
        </w:rPr>
        <w:t>D.B.;</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r w:rsidRPr="007A4777">
        <w:rPr>
          <w:rFonts w:eastAsia="Calibri"/>
          <w:sz w:val="19"/>
          <w:szCs w:val="19"/>
        </w:rPr>
        <w:t>Kern,</w:t>
      </w:r>
      <w:r w:rsidR="00780B8B" w:rsidRPr="007A4777">
        <w:rPr>
          <w:rFonts w:eastAsia="Calibri"/>
          <w:sz w:val="19"/>
          <w:szCs w:val="19"/>
        </w:rPr>
        <w:t xml:space="preserve"> </w:t>
      </w:r>
      <w:r w:rsidRPr="007A4777">
        <w:rPr>
          <w:rFonts w:eastAsia="Calibri"/>
          <w:sz w:val="19"/>
          <w:szCs w:val="19"/>
        </w:rPr>
        <w:t>R.C.:</w:t>
      </w:r>
      <w:r w:rsidR="00780B8B" w:rsidRPr="007A4777">
        <w:rPr>
          <w:rFonts w:eastAsia="Calibri"/>
          <w:sz w:val="19"/>
          <w:szCs w:val="19"/>
        </w:rPr>
        <w:t xml:space="preserve"> </w:t>
      </w:r>
      <w:r w:rsidRPr="007A4777">
        <w:rPr>
          <w:rFonts w:eastAsia="Calibri"/>
          <w:sz w:val="19"/>
          <w:szCs w:val="19"/>
        </w:rPr>
        <w:t>(2003):</w:t>
      </w:r>
      <w:r w:rsidR="00780B8B" w:rsidRPr="007A4777">
        <w:rPr>
          <w:rFonts w:eastAsia="Calibri"/>
          <w:sz w:val="19"/>
          <w:szCs w:val="19"/>
        </w:rPr>
        <w:t xml:space="preserve"> </w:t>
      </w:r>
      <w:r w:rsidRPr="007A4777">
        <w:rPr>
          <w:rFonts w:eastAsia="Calibri"/>
          <w:sz w:val="19"/>
          <w:szCs w:val="19"/>
        </w:rPr>
        <w:t>The</w:t>
      </w:r>
      <w:r w:rsidR="00780B8B" w:rsidRPr="007A4777">
        <w:rPr>
          <w:rFonts w:eastAsia="Calibri"/>
          <w:sz w:val="19"/>
          <w:szCs w:val="19"/>
        </w:rPr>
        <w:t xml:space="preserve"> </w:t>
      </w:r>
      <w:r w:rsidRPr="007A4777">
        <w:rPr>
          <w:rFonts w:eastAsia="Calibri"/>
          <w:sz w:val="19"/>
          <w:szCs w:val="19"/>
        </w:rPr>
        <w:t>Effect</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proofErr w:type="spellStart"/>
      <w:r w:rsidRPr="007A4777">
        <w:rPr>
          <w:rFonts w:eastAsia="Calibri"/>
          <w:sz w:val="19"/>
          <w:szCs w:val="19"/>
        </w:rPr>
        <w:t>FloSeal</w:t>
      </w:r>
      <w:proofErr w:type="spellEnd"/>
      <w:r w:rsidR="00780B8B" w:rsidRPr="007A4777">
        <w:rPr>
          <w:rFonts w:eastAsia="Calibri"/>
          <w:sz w:val="19"/>
          <w:szCs w:val="19"/>
        </w:rPr>
        <w:t xml:space="preserve"> </w:t>
      </w:r>
      <w:r w:rsidRPr="007A4777">
        <w:rPr>
          <w:rFonts w:eastAsia="Calibri"/>
          <w:sz w:val="19"/>
          <w:szCs w:val="19"/>
        </w:rPr>
        <w:t>on</w:t>
      </w:r>
      <w:r w:rsidR="00780B8B" w:rsidRPr="007A4777">
        <w:rPr>
          <w:rFonts w:eastAsia="Calibri"/>
          <w:sz w:val="19"/>
          <w:szCs w:val="19"/>
        </w:rPr>
        <w:t xml:space="preserve"> </w:t>
      </w:r>
      <w:r w:rsidRPr="007A4777">
        <w:rPr>
          <w:rFonts w:eastAsia="Calibri"/>
          <w:sz w:val="19"/>
          <w:szCs w:val="19"/>
        </w:rPr>
        <w:t>Mucosal</w:t>
      </w:r>
      <w:r w:rsidR="00780B8B" w:rsidRPr="007A4777">
        <w:rPr>
          <w:rFonts w:eastAsia="Calibri"/>
          <w:sz w:val="19"/>
          <w:szCs w:val="19"/>
        </w:rPr>
        <w:t xml:space="preserve"> </w:t>
      </w:r>
      <w:r w:rsidRPr="007A4777">
        <w:rPr>
          <w:rFonts w:eastAsia="Calibri"/>
          <w:sz w:val="19"/>
          <w:szCs w:val="19"/>
        </w:rPr>
        <w:t>Healing</w:t>
      </w:r>
      <w:r w:rsidR="00780B8B" w:rsidRPr="007A4777">
        <w:rPr>
          <w:rFonts w:eastAsia="Calibri"/>
          <w:sz w:val="19"/>
          <w:szCs w:val="19"/>
        </w:rPr>
        <w:t xml:space="preserve"> </w:t>
      </w:r>
      <w:r w:rsidRPr="007A4777">
        <w:rPr>
          <w:rFonts w:eastAsia="Calibri"/>
          <w:sz w:val="19"/>
          <w:szCs w:val="19"/>
        </w:rPr>
        <w:t>after</w:t>
      </w:r>
      <w:r w:rsidR="00780B8B" w:rsidRPr="007A4777">
        <w:rPr>
          <w:rFonts w:eastAsia="Calibri"/>
          <w:sz w:val="19"/>
          <w:szCs w:val="19"/>
        </w:rPr>
        <w:t xml:space="preserve"> </w:t>
      </w:r>
      <w:r w:rsidRPr="007A4777">
        <w:rPr>
          <w:rFonts w:eastAsia="Calibri"/>
          <w:sz w:val="19"/>
          <w:szCs w:val="19"/>
        </w:rPr>
        <w:t>Endoscopic</w:t>
      </w:r>
      <w:r w:rsidR="00780B8B" w:rsidRPr="007A4777">
        <w:rPr>
          <w:rFonts w:eastAsia="Calibri"/>
          <w:sz w:val="19"/>
          <w:szCs w:val="19"/>
        </w:rPr>
        <w:t xml:space="preserve"> </w:t>
      </w:r>
      <w:r w:rsidRPr="007A4777">
        <w:rPr>
          <w:rFonts w:eastAsia="Calibri"/>
          <w:sz w:val="19"/>
          <w:szCs w:val="19"/>
        </w:rPr>
        <w:t>Sinus</w:t>
      </w:r>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r w:rsidRPr="007A4777">
        <w:rPr>
          <w:rFonts w:eastAsia="Calibri"/>
          <w:sz w:val="19"/>
          <w:szCs w:val="19"/>
        </w:rPr>
        <w:t>A</w:t>
      </w:r>
      <w:r w:rsidR="00780B8B" w:rsidRPr="007A4777">
        <w:rPr>
          <w:rFonts w:eastAsia="Calibri"/>
          <w:sz w:val="19"/>
          <w:szCs w:val="19"/>
        </w:rPr>
        <w:t xml:space="preserve"> </w:t>
      </w:r>
      <w:r w:rsidRPr="007A4777">
        <w:rPr>
          <w:rFonts w:eastAsia="Calibri"/>
          <w:sz w:val="19"/>
          <w:szCs w:val="19"/>
        </w:rPr>
        <w:t>Comparison</w:t>
      </w:r>
      <w:r w:rsidR="00780B8B" w:rsidRPr="007A4777">
        <w:rPr>
          <w:rFonts w:eastAsia="Calibri"/>
          <w:sz w:val="19"/>
          <w:szCs w:val="19"/>
        </w:rPr>
        <w:t xml:space="preserve"> </w:t>
      </w:r>
      <w:r w:rsidRPr="007A4777">
        <w:rPr>
          <w:rFonts w:eastAsia="Calibri"/>
          <w:sz w:val="19"/>
          <w:szCs w:val="19"/>
        </w:rPr>
        <w:t>with</w:t>
      </w:r>
      <w:r w:rsidR="00780B8B" w:rsidRPr="007A4777">
        <w:rPr>
          <w:rFonts w:eastAsia="Calibri"/>
          <w:sz w:val="19"/>
          <w:szCs w:val="19"/>
        </w:rPr>
        <w:t xml:space="preserve"> </w:t>
      </w:r>
      <w:r w:rsidRPr="007A4777">
        <w:rPr>
          <w:rFonts w:eastAsia="Calibri"/>
          <w:sz w:val="19"/>
          <w:szCs w:val="19"/>
        </w:rPr>
        <w:t>Thrombin-Soaked</w:t>
      </w:r>
      <w:r w:rsidR="00780B8B" w:rsidRPr="007A4777">
        <w:rPr>
          <w:rFonts w:eastAsia="Calibri"/>
          <w:sz w:val="19"/>
          <w:szCs w:val="19"/>
        </w:rPr>
        <w:t xml:space="preserve"> </w:t>
      </w:r>
      <w:r w:rsidRPr="007A4777">
        <w:rPr>
          <w:rFonts w:eastAsia="Calibri"/>
          <w:sz w:val="19"/>
          <w:szCs w:val="19"/>
        </w:rPr>
        <w:t>Gelatin</w:t>
      </w:r>
      <w:r w:rsidR="00780B8B" w:rsidRPr="007A4777">
        <w:rPr>
          <w:rFonts w:eastAsia="Calibri"/>
          <w:sz w:val="19"/>
          <w:szCs w:val="19"/>
        </w:rPr>
        <w:t xml:space="preserve"> </w:t>
      </w:r>
      <w:r w:rsidRPr="007A4777">
        <w:rPr>
          <w:rFonts w:eastAsia="Calibri"/>
          <w:sz w:val="19"/>
          <w:szCs w:val="19"/>
        </w:rPr>
        <w:t>Foam.</w:t>
      </w:r>
      <w:r w:rsidR="00780B8B" w:rsidRPr="007A4777">
        <w:rPr>
          <w:rFonts w:eastAsia="Calibri"/>
          <w:sz w:val="19"/>
          <w:szCs w:val="19"/>
        </w:rPr>
        <w:t xml:space="preserve"> </w:t>
      </w:r>
      <w:r w:rsidRPr="007A4777">
        <w:rPr>
          <w:rFonts w:eastAsia="Calibri"/>
          <w:sz w:val="19"/>
          <w:szCs w:val="19"/>
        </w:rPr>
        <w:t>Am</w:t>
      </w:r>
      <w:r w:rsidR="00780B8B" w:rsidRPr="007A4777">
        <w:rPr>
          <w:rFonts w:eastAsia="Calibri"/>
          <w:sz w:val="19"/>
          <w:szCs w:val="19"/>
        </w:rPr>
        <w:t xml:space="preserve"> </w:t>
      </w:r>
      <w:r w:rsidRPr="007A4777">
        <w:rPr>
          <w:rFonts w:eastAsia="Calibri"/>
          <w:sz w:val="19"/>
          <w:szCs w:val="19"/>
        </w:rPr>
        <w:t>J</w:t>
      </w:r>
      <w:r w:rsidR="00780B8B" w:rsidRPr="007A4777">
        <w:rPr>
          <w:rFonts w:eastAsia="Calibri"/>
          <w:sz w:val="19"/>
          <w:szCs w:val="19"/>
        </w:rPr>
        <w:t xml:space="preserve"> </w:t>
      </w:r>
      <w:proofErr w:type="spellStart"/>
      <w:r w:rsidRPr="007A4777">
        <w:rPr>
          <w:rFonts w:eastAsia="Calibri"/>
          <w:sz w:val="19"/>
          <w:szCs w:val="19"/>
        </w:rPr>
        <w:t>Rhinol</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17:</w:t>
      </w:r>
      <w:r w:rsidR="00780B8B" w:rsidRPr="007A4777">
        <w:rPr>
          <w:rFonts w:eastAsia="Calibri"/>
          <w:sz w:val="19"/>
          <w:szCs w:val="19"/>
        </w:rPr>
        <w:t xml:space="preserve"> </w:t>
      </w:r>
      <w:r w:rsidRPr="007A4777">
        <w:rPr>
          <w:rFonts w:eastAsia="Calibri"/>
          <w:sz w:val="19"/>
          <w:szCs w:val="19"/>
        </w:rPr>
        <w:t>51-</w:t>
      </w:r>
      <w:r w:rsidR="00780B8B" w:rsidRPr="007A4777">
        <w:rPr>
          <w:rFonts w:eastAsia="Calibri"/>
          <w:sz w:val="19"/>
          <w:szCs w:val="19"/>
        </w:rPr>
        <w:t xml:space="preserve"> </w:t>
      </w:r>
      <w:r w:rsidRPr="007A4777">
        <w:rPr>
          <w:rFonts w:eastAsia="Calibri"/>
          <w:sz w:val="19"/>
          <w:szCs w:val="19"/>
        </w:rPr>
        <w:t>55.</w:t>
      </w:r>
    </w:p>
    <w:p w:rsidR="007A4777" w:rsidRPr="007A4777" w:rsidRDefault="006712E7" w:rsidP="007A4777">
      <w:pPr>
        <w:pStyle w:val="ListParagraph"/>
        <w:numPr>
          <w:ilvl w:val="0"/>
          <w:numId w:val="7"/>
        </w:numPr>
        <w:snapToGrid w:val="0"/>
        <w:ind w:left="425" w:hanging="425"/>
        <w:jc w:val="both"/>
        <w:rPr>
          <w:rFonts w:eastAsia="Calibri"/>
          <w:sz w:val="19"/>
          <w:szCs w:val="19"/>
        </w:rPr>
      </w:pPr>
      <w:r w:rsidRPr="007A4777">
        <w:rPr>
          <w:rFonts w:eastAsia="Calibri"/>
          <w:sz w:val="19"/>
          <w:szCs w:val="19"/>
        </w:rPr>
        <w:t>Cho,</w:t>
      </w:r>
      <w:r w:rsidR="00780B8B" w:rsidRPr="007A4777">
        <w:rPr>
          <w:rFonts w:eastAsia="Calibri"/>
          <w:sz w:val="19"/>
          <w:szCs w:val="19"/>
        </w:rPr>
        <w:t xml:space="preserve"> </w:t>
      </w:r>
      <w:r w:rsidRPr="007A4777">
        <w:rPr>
          <w:rFonts w:eastAsia="Calibri"/>
          <w:sz w:val="19"/>
          <w:szCs w:val="19"/>
        </w:rPr>
        <w:t>K.S.;</w:t>
      </w:r>
      <w:r w:rsidR="00780B8B" w:rsidRPr="007A4777">
        <w:rPr>
          <w:rFonts w:eastAsia="Calibri"/>
          <w:sz w:val="19"/>
          <w:szCs w:val="19"/>
        </w:rPr>
        <w:t xml:space="preserve"> </w:t>
      </w:r>
      <w:r w:rsidRPr="007A4777">
        <w:rPr>
          <w:rFonts w:eastAsia="Calibri"/>
          <w:sz w:val="19"/>
          <w:szCs w:val="19"/>
        </w:rPr>
        <w:t>Shin,</w:t>
      </w:r>
      <w:r w:rsidR="00780B8B" w:rsidRPr="007A4777">
        <w:rPr>
          <w:rFonts w:eastAsia="Calibri"/>
          <w:sz w:val="19"/>
          <w:szCs w:val="19"/>
        </w:rPr>
        <w:t xml:space="preserve"> </w:t>
      </w:r>
      <w:r w:rsidRPr="007A4777">
        <w:rPr>
          <w:rFonts w:eastAsia="Calibri"/>
          <w:sz w:val="19"/>
          <w:szCs w:val="19"/>
        </w:rPr>
        <w:t>S.K.;</w:t>
      </w:r>
      <w:r w:rsidR="00780B8B" w:rsidRPr="007A4777">
        <w:rPr>
          <w:rFonts w:eastAsia="Calibri"/>
          <w:sz w:val="19"/>
          <w:szCs w:val="19"/>
        </w:rPr>
        <w:t xml:space="preserve"> </w:t>
      </w:r>
      <w:r w:rsidRPr="007A4777">
        <w:rPr>
          <w:rFonts w:eastAsia="Calibri"/>
          <w:sz w:val="19"/>
          <w:szCs w:val="19"/>
        </w:rPr>
        <w:t>lee,</w:t>
      </w:r>
      <w:r w:rsidR="00780B8B" w:rsidRPr="007A4777">
        <w:rPr>
          <w:rFonts w:eastAsia="Calibri"/>
          <w:sz w:val="19"/>
          <w:szCs w:val="19"/>
        </w:rPr>
        <w:t xml:space="preserve"> </w:t>
      </w:r>
      <w:r w:rsidRPr="007A4777">
        <w:rPr>
          <w:rFonts w:eastAsia="Calibri"/>
          <w:sz w:val="19"/>
          <w:szCs w:val="19"/>
        </w:rPr>
        <w:t>J.H.;</w:t>
      </w:r>
      <w:r w:rsidR="00780B8B" w:rsidRPr="007A4777">
        <w:rPr>
          <w:rFonts w:eastAsia="Calibri"/>
          <w:sz w:val="19"/>
          <w:szCs w:val="19"/>
        </w:rPr>
        <w:t xml:space="preserve"> </w:t>
      </w:r>
      <w:r w:rsidRPr="007A4777">
        <w:rPr>
          <w:rFonts w:eastAsia="Calibri"/>
          <w:sz w:val="19"/>
          <w:szCs w:val="19"/>
        </w:rPr>
        <w:t>Kim,</w:t>
      </w:r>
      <w:r w:rsidR="00780B8B" w:rsidRPr="007A4777">
        <w:rPr>
          <w:rFonts w:eastAsia="Calibri"/>
          <w:sz w:val="19"/>
          <w:szCs w:val="19"/>
        </w:rPr>
        <w:t xml:space="preserve"> </w:t>
      </w:r>
      <w:r w:rsidRPr="007A4777">
        <w:rPr>
          <w:rFonts w:eastAsia="Calibri"/>
          <w:sz w:val="19"/>
          <w:szCs w:val="19"/>
        </w:rPr>
        <w:t>J.Y.;</w:t>
      </w:r>
      <w:r w:rsidR="00780B8B" w:rsidRPr="007A4777">
        <w:rPr>
          <w:rFonts w:eastAsia="Calibri"/>
          <w:sz w:val="19"/>
          <w:szCs w:val="19"/>
        </w:rPr>
        <w:t xml:space="preserve"> </w:t>
      </w:r>
      <w:r w:rsidRPr="007A4777">
        <w:rPr>
          <w:rFonts w:eastAsia="Calibri"/>
          <w:sz w:val="19"/>
          <w:szCs w:val="19"/>
        </w:rPr>
        <w:t>Koo,</w:t>
      </w:r>
      <w:r w:rsidR="00780B8B" w:rsidRPr="007A4777">
        <w:rPr>
          <w:rFonts w:eastAsia="Calibri"/>
          <w:sz w:val="19"/>
          <w:szCs w:val="19"/>
        </w:rPr>
        <w:t xml:space="preserve"> </w:t>
      </w:r>
      <w:r w:rsidRPr="007A4777">
        <w:rPr>
          <w:rFonts w:eastAsia="Calibri"/>
          <w:sz w:val="19"/>
          <w:szCs w:val="19"/>
        </w:rPr>
        <w:t>S.K.;</w:t>
      </w:r>
      <w:r w:rsidR="00780B8B" w:rsidRPr="007A4777">
        <w:rPr>
          <w:rFonts w:eastAsia="Calibri"/>
          <w:sz w:val="19"/>
          <w:szCs w:val="19"/>
        </w:rPr>
        <w:t xml:space="preserve"> </w:t>
      </w:r>
      <w:r w:rsidRPr="007A4777">
        <w:rPr>
          <w:rFonts w:eastAsia="Calibri"/>
          <w:sz w:val="19"/>
          <w:szCs w:val="19"/>
        </w:rPr>
        <w:t>Kim,</w:t>
      </w:r>
      <w:r w:rsidR="00780B8B" w:rsidRPr="007A4777">
        <w:rPr>
          <w:rFonts w:eastAsia="Calibri"/>
          <w:sz w:val="19"/>
          <w:szCs w:val="19"/>
        </w:rPr>
        <w:t xml:space="preserve"> </w:t>
      </w:r>
      <w:r w:rsidRPr="007A4777">
        <w:rPr>
          <w:rFonts w:eastAsia="Calibri"/>
          <w:sz w:val="19"/>
          <w:szCs w:val="19"/>
        </w:rPr>
        <w:t>Y.W.;</w:t>
      </w:r>
      <w:r w:rsidR="00780B8B" w:rsidRPr="007A4777">
        <w:rPr>
          <w:rFonts w:eastAsia="Calibri"/>
          <w:sz w:val="19"/>
          <w:szCs w:val="19"/>
        </w:rPr>
        <w:t xml:space="preserve"> </w:t>
      </w:r>
      <w:r w:rsidRPr="007A4777">
        <w:rPr>
          <w:rFonts w:eastAsia="Calibri"/>
          <w:sz w:val="19"/>
          <w:szCs w:val="19"/>
        </w:rPr>
        <w:t>Kim,</w:t>
      </w:r>
      <w:r w:rsidR="00780B8B" w:rsidRPr="007A4777">
        <w:rPr>
          <w:rFonts w:eastAsia="Calibri"/>
          <w:sz w:val="19"/>
          <w:szCs w:val="19"/>
        </w:rPr>
        <w:t xml:space="preserve"> </w:t>
      </w:r>
      <w:r w:rsidRPr="007A4777">
        <w:rPr>
          <w:rFonts w:eastAsia="Calibri"/>
          <w:sz w:val="19"/>
          <w:szCs w:val="19"/>
        </w:rPr>
        <w:t>M.J.;</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proofErr w:type="spellStart"/>
      <w:r w:rsidRPr="007A4777">
        <w:rPr>
          <w:rFonts w:eastAsia="Calibri"/>
          <w:sz w:val="19"/>
          <w:szCs w:val="19"/>
        </w:rPr>
        <w:t>Roh</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H.J.:</w:t>
      </w:r>
      <w:r w:rsidR="00780B8B" w:rsidRPr="007A4777">
        <w:rPr>
          <w:rFonts w:eastAsia="Calibri"/>
          <w:sz w:val="19"/>
          <w:szCs w:val="19"/>
        </w:rPr>
        <w:t xml:space="preserve"> </w:t>
      </w:r>
      <w:r w:rsidRPr="007A4777">
        <w:rPr>
          <w:rFonts w:eastAsia="Calibri"/>
          <w:sz w:val="19"/>
          <w:szCs w:val="19"/>
        </w:rPr>
        <w:t>(2013):</w:t>
      </w:r>
      <w:r w:rsidR="00780B8B" w:rsidRPr="007A4777">
        <w:rPr>
          <w:rFonts w:eastAsia="Calibri"/>
          <w:sz w:val="19"/>
          <w:szCs w:val="19"/>
        </w:rPr>
        <w:t xml:space="preserve"> </w:t>
      </w:r>
      <w:r w:rsidRPr="007A4777">
        <w:rPr>
          <w:rFonts w:eastAsia="Calibri"/>
          <w:sz w:val="19"/>
          <w:szCs w:val="19"/>
        </w:rPr>
        <w:t>The</w:t>
      </w:r>
      <w:r w:rsidR="00780B8B" w:rsidRPr="007A4777">
        <w:rPr>
          <w:rFonts w:eastAsia="Calibri"/>
          <w:sz w:val="19"/>
          <w:szCs w:val="19"/>
        </w:rPr>
        <w:t xml:space="preserve"> </w:t>
      </w:r>
      <w:r w:rsidRPr="007A4777">
        <w:rPr>
          <w:rFonts w:eastAsia="Calibri"/>
          <w:sz w:val="19"/>
          <w:szCs w:val="19"/>
        </w:rPr>
        <w:t>Efficacy</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proofErr w:type="spellStart"/>
      <w:r w:rsidRPr="007A4777">
        <w:rPr>
          <w:rFonts w:eastAsia="Calibri"/>
          <w:sz w:val="19"/>
          <w:szCs w:val="19"/>
        </w:rPr>
        <w:t>Cutanplast</w:t>
      </w:r>
      <w:proofErr w:type="spellEnd"/>
      <w:r w:rsidR="00780B8B" w:rsidRPr="007A4777">
        <w:rPr>
          <w:rFonts w:eastAsia="Calibri"/>
          <w:sz w:val="19"/>
          <w:szCs w:val="19"/>
        </w:rPr>
        <w:t xml:space="preserve"> </w:t>
      </w:r>
      <w:r w:rsidRPr="007A4777">
        <w:rPr>
          <w:rFonts w:eastAsia="Calibri"/>
          <w:sz w:val="19"/>
          <w:szCs w:val="19"/>
        </w:rPr>
        <w:t>Nasal</w:t>
      </w:r>
      <w:r w:rsidR="00780B8B" w:rsidRPr="007A4777">
        <w:rPr>
          <w:rFonts w:eastAsia="Calibri"/>
          <w:sz w:val="19"/>
          <w:szCs w:val="19"/>
        </w:rPr>
        <w:t xml:space="preserve"> </w:t>
      </w:r>
      <w:r w:rsidRPr="007A4777">
        <w:rPr>
          <w:rFonts w:eastAsia="Calibri"/>
          <w:sz w:val="19"/>
          <w:szCs w:val="19"/>
        </w:rPr>
        <w:t>Packing</w:t>
      </w:r>
      <w:r w:rsidR="00780B8B" w:rsidRPr="007A4777">
        <w:rPr>
          <w:rFonts w:eastAsia="Calibri"/>
          <w:sz w:val="19"/>
          <w:szCs w:val="19"/>
        </w:rPr>
        <w:t xml:space="preserve"> </w:t>
      </w:r>
      <w:r w:rsidRPr="007A4777">
        <w:rPr>
          <w:rFonts w:eastAsia="Calibri"/>
          <w:sz w:val="19"/>
          <w:szCs w:val="19"/>
        </w:rPr>
        <w:t>after</w:t>
      </w:r>
      <w:r w:rsidR="00780B8B" w:rsidRPr="007A4777">
        <w:rPr>
          <w:rFonts w:eastAsia="Calibri"/>
          <w:sz w:val="19"/>
          <w:szCs w:val="19"/>
        </w:rPr>
        <w:t xml:space="preserve"> </w:t>
      </w:r>
      <w:r w:rsidRPr="007A4777">
        <w:rPr>
          <w:rFonts w:eastAsia="Calibri"/>
          <w:sz w:val="19"/>
          <w:szCs w:val="19"/>
        </w:rPr>
        <w:t>Endoscopic</w:t>
      </w:r>
      <w:r w:rsidR="00780B8B" w:rsidRPr="007A4777">
        <w:rPr>
          <w:rFonts w:eastAsia="Calibri"/>
          <w:sz w:val="19"/>
          <w:szCs w:val="19"/>
        </w:rPr>
        <w:t xml:space="preserve"> </w:t>
      </w:r>
      <w:r w:rsidRPr="007A4777">
        <w:rPr>
          <w:rFonts w:eastAsia="Calibri"/>
          <w:sz w:val="19"/>
          <w:szCs w:val="19"/>
        </w:rPr>
        <w:t>Sinus</w:t>
      </w:r>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r w:rsidRPr="007A4777">
        <w:rPr>
          <w:rFonts w:eastAsia="Calibri"/>
          <w:sz w:val="19"/>
          <w:szCs w:val="19"/>
        </w:rPr>
        <w:t>A</w:t>
      </w:r>
      <w:r w:rsidR="00780B8B" w:rsidRPr="007A4777">
        <w:rPr>
          <w:rFonts w:eastAsia="Calibri"/>
          <w:sz w:val="19"/>
          <w:szCs w:val="19"/>
        </w:rPr>
        <w:t xml:space="preserve"> </w:t>
      </w:r>
      <w:r w:rsidRPr="007A4777">
        <w:rPr>
          <w:rFonts w:eastAsia="Calibri"/>
          <w:sz w:val="19"/>
          <w:szCs w:val="19"/>
        </w:rPr>
        <w:t>Prospective,</w:t>
      </w:r>
      <w:r w:rsidR="00780B8B" w:rsidRPr="007A4777">
        <w:rPr>
          <w:rFonts w:eastAsia="Calibri"/>
          <w:sz w:val="19"/>
          <w:szCs w:val="19"/>
        </w:rPr>
        <w:t xml:space="preserve"> </w:t>
      </w:r>
      <w:r w:rsidRPr="007A4777">
        <w:rPr>
          <w:rFonts w:eastAsia="Calibri"/>
          <w:sz w:val="19"/>
          <w:szCs w:val="19"/>
        </w:rPr>
        <w:t>Randomized,</w:t>
      </w:r>
      <w:r w:rsidR="00780B8B" w:rsidRPr="007A4777">
        <w:rPr>
          <w:rFonts w:eastAsia="Calibri"/>
          <w:sz w:val="19"/>
          <w:szCs w:val="19"/>
        </w:rPr>
        <w:t xml:space="preserve"> </w:t>
      </w:r>
      <w:r w:rsidRPr="007A4777">
        <w:rPr>
          <w:rFonts w:eastAsia="Calibri"/>
          <w:sz w:val="19"/>
          <w:szCs w:val="19"/>
        </w:rPr>
        <w:t>Controlled</w:t>
      </w:r>
      <w:r w:rsidR="00780B8B" w:rsidRPr="007A4777">
        <w:rPr>
          <w:rFonts w:eastAsia="Calibri"/>
          <w:sz w:val="19"/>
          <w:szCs w:val="19"/>
        </w:rPr>
        <w:t xml:space="preserve"> </w:t>
      </w:r>
      <w:r w:rsidRPr="007A4777">
        <w:rPr>
          <w:rFonts w:eastAsia="Calibri"/>
          <w:sz w:val="19"/>
          <w:szCs w:val="19"/>
        </w:rPr>
        <w:t>Trial.</w:t>
      </w:r>
      <w:r w:rsidR="00780B8B" w:rsidRPr="007A4777">
        <w:rPr>
          <w:rFonts w:eastAsia="Calibri"/>
          <w:sz w:val="19"/>
          <w:szCs w:val="19"/>
        </w:rPr>
        <w:t xml:space="preserve"> </w:t>
      </w:r>
      <w:r w:rsidRPr="007A4777">
        <w:rPr>
          <w:rFonts w:eastAsia="Calibri"/>
          <w:sz w:val="19"/>
          <w:szCs w:val="19"/>
        </w:rPr>
        <w:t>Laryngoscope.</w:t>
      </w:r>
      <w:r w:rsidR="00780B8B" w:rsidRPr="007A4777">
        <w:rPr>
          <w:rFonts w:eastAsia="Calibri"/>
          <w:sz w:val="19"/>
          <w:szCs w:val="19"/>
        </w:rPr>
        <w:t xml:space="preserve"> </w:t>
      </w:r>
      <w:r w:rsidRPr="007A4777">
        <w:rPr>
          <w:rFonts w:eastAsia="Calibri"/>
          <w:sz w:val="19"/>
          <w:szCs w:val="19"/>
        </w:rPr>
        <w:t>123(3):564–568.</w:t>
      </w:r>
    </w:p>
    <w:p w:rsidR="007A4777" w:rsidRPr="007A4777" w:rsidRDefault="006712E7" w:rsidP="007A4777">
      <w:pPr>
        <w:pStyle w:val="ListParagraph"/>
        <w:numPr>
          <w:ilvl w:val="0"/>
          <w:numId w:val="7"/>
        </w:numPr>
        <w:snapToGrid w:val="0"/>
        <w:ind w:left="425" w:hanging="425"/>
        <w:jc w:val="both"/>
        <w:rPr>
          <w:rFonts w:eastAsia="Calibri"/>
          <w:sz w:val="19"/>
          <w:szCs w:val="19"/>
        </w:rPr>
      </w:pPr>
      <w:proofErr w:type="spellStart"/>
      <w:r w:rsidRPr="007A4777">
        <w:rPr>
          <w:rFonts w:eastAsia="Calibri"/>
          <w:sz w:val="19"/>
          <w:szCs w:val="19"/>
        </w:rPr>
        <w:t>Shoman</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N.;</w:t>
      </w:r>
      <w:r w:rsidR="00780B8B" w:rsidRPr="007A4777">
        <w:rPr>
          <w:rFonts w:eastAsia="Calibri"/>
          <w:sz w:val="19"/>
          <w:szCs w:val="19"/>
        </w:rPr>
        <w:t xml:space="preserve"> </w:t>
      </w:r>
      <w:proofErr w:type="spellStart"/>
      <w:r w:rsidRPr="007A4777">
        <w:rPr>
          <w:rFonts w:eastAsia="Calibri"/>
          <w:sz w:val="19"/>
          <w:szCs w:val="19"/>
        </w:rPr>
        <w:t>Gheriani</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H.;</w:t>
      </w:r>
      <w:r w:rsidR="00780B8B" w:rsidRPr="007A4777">
        <w:rPr>
          <w:rFonts w:eastAsia="Calibri"/>
          <w:sz w:val="19"/>
          <w:szCs w:val="19"/>
        </w:rPr>
        <w:t xml:space="preserve"> </w:t>
      </w:r>
      <w:r w:rsidRPr="007A4777">
        <w:rPr>
          <w:rFonts w:eastAsia="Calibri"/>
          <w:sz w:val="19"/>
          <w:szCs w:val="19"/>
        </w:rPr>
        <w:t>Flamer,</w:t>
      </w:r>
      <w:r w:rsidR="00780B8B" w:rsidRPr="007A4777">
        <w:rPr>
          <w:rFonts w:eastAsia="Calibri"/>
          <w:sz w:val="19"/>
          <w:szCs w:val="19"/>
        </w:rPr>
        <w:t xml:space="preserve"> </w:t>
      </w:r>
      <w:r w:rsidRPr="007A4777">
        <w:rPr>
          <w:rFonts w:eastAsia="Calibri"/>
          <w:sz w:val="19"/>
          <w:szCs w:val="19"/>
        </w:rPr>
        <w:t>D.;</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proofErr w:type="spellStart"/>
      <w:r w:rsidRPr="007A4777">
        <w:rPr>
          <w:rFonts w:eastAsia="Calibri"/>
          <w:sz w:val="19"/>
          <w:szCs w:val="19"/>
        </w:rPr>
        <w:t>Javer</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A.:</w:t>
      </w:r>
      <w:r w:rsidR="00780B8B" w:rsidRPr="007A4777">
        <w:rPr>
          <w:rFonts w:eastAsia="Calibri"/>
          <w:sz w:val="19"/>
          <w:szCs w:val="19"/>
        </w:rPr>
        <w:t xml:space="preserve"> </w:t>
      </w:r>
      <w:r w:rsidRPr="007A4777">
        <w:rPr>
          <w:rFonts w:eastAsia="Calibri"/>
          <w:sz w:val="19"/>
          <w:szCs w:val="19"/>
        </w:rPr>
        <w:t>(2009):</w:t>
      </w:r>
      <w:r w:rsidR="00780B8B" w:rsidRPr="007A4777">
        <w:rPr>
          <w:rFonts w:eastAsia="Calibri"/>
          <w:sz w:val="19"/>
          <w:szCs w:val="19"/>
        </w:rPr>
        <w:t xml:space="preserve"> </w:t>
      </w:r>
      <w:r w:rsidRPr="007A4777">
        <w:rPr>
          <w:rFonts w:eastAsia="Calibri"/>
          <w:sz w:val="19"/>
          <w:szCs w:val="19"/>
        </w:rPr>
        <w:t>Effectiveness</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proofErr w:type="spellStart"/>
      <w:r w:rsidRPr="007A4777">
        <w:rPr>
          <w:rFonts w:eastAsia="Calibri"/>
          <w:sz w:val="19"/>
          <w:szCs w:val="19"/>
        </w:rPr>
        <w:t>NasoPore</w:t>
      </w:r>
      <w:proofErr w:type="spellEnd"/>
      <w:r w:rsidR="00780B8B" w:rsidRPr="007A4777">
        <w:rPr>
          <w:rFonts w:eastAsia="Calibri"/>
          <w:sz w:val="19"/>
          <w:szCs w:val="19"/>
        </w:rPr>
        <w:t xml:space="preserve"> </w:t>
      </w:r>
      <w:r w:rsidRPr="007A4777">
        <w:rPr>
          <w:rFonts w:eastAsia="Calibri"/>
          <w:sz w:val="19"/>
          <w:szCs w:val="19"/>
        </w:rPr>
        <w:t>as</w:t>
      </w:r>
      <w:r w:rsidR="00780B8B" w:rsidRPr="007A4777">
        <w:rPr>
          <w:rFonts w:eastAsia="Calibri"/>
          <w:sz w:val="19"/>
          <w:szCs w:val="19"/>
        </w:rPr>
        <w:t xml:space="preserve"> </w:t>
      </w:r>
      <w:r w:rsidRPr="007A4777">
        <w:rPr>
          <w:rFonts w:eastAsia="Calibri"/>
          <w:sz w:val="19"/>
          <w:szCs w:val="19"/>
        </w:rPr>
        <w:t>Middle</w:t>
      </w:r>
      <w:r w:rsidR="00780B8B" w:rsidRPr="007A4777">
        <w:rPr>
          <w:rFonts w:eastAsia="Calibri"/>
          <w:sz w:val="19"/>
          <w:szCs w:val="19"/>
        </w:rPr>
        <w:t xml:space="preserve"> </w:t>
      </w:r>
      <w:proofErr w:type="spellStart"/>
      <w:r w:rsidRPr="007A4777">
        <w:rPr>
          <w:rFonts w:eastAsia="Calibri"/>
          <w:sz w:val="19"/>
          <w:szCs w:val="19"/>
        </w:rPr>
        <w:t>Meatal</w:t>
      </w:r>
      <w:proofErr w:type="spellEnd"/>
      <w:r w:rsidR="00780B8B" w:rsidRPr="007A4777">
        <w:rPr>
          <w:rFonts w:eastAsia="Calibri"/>
          <w:sz w:val="19"/>
          <w:szCs w:val="19"/>
        </w:rPr>
        <w:t xml:space="preserve"> </w:t>
      </w:r>
      <w:r w:rsidRPr="007A4777">
        <w:rPr>
          <w:rFonts w:eastAsia="Calibri"/>
          <w:sz w:val="19"/>
          <w:szCs w:val="19"/>
        </w:rPr>
        <w:t>Spacer.</w:t>
      </w:r>
      <w:r w:rsidR="00780B8B" w:rsidRPr="007A4777">
        <w:rPr>
          <w:rFonts w:eastAsia="Calibri"/>
          <w:sz w:val="19"/>
          <w:szCs w:val="19"/>
        </w:rPr>
        <w:t xml:space="preserve"> </w:t>
      </w:r>
      <w:r w:rsidRPr="007A4777">
        <w:rPr>
          <w:rFonts w:eastAsia="Calibri"/>
          <w:sz w:val="19"/>
          <w:szCs w:val="19"/>
        </w:rPr>
        <w:t>Journal</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r w:rsidRPr="007A4777">
        <w:rPr>
          <w:rFonts w:eastAsia="Calibri"/>
          <w:sz w:val="19"/>
          <w:szCs w:val="19"/>
        </w:rPr>
        <w:t>Otolaryngology-Head</w:t>
      </w:r>
      <w:r w:rsidR="00780B8B" w:rsidRPr="007A4777">
        <w:rPr>
          <w:rFonts w:eastAsia="Calibri"/>
          <w:sz w:val="19"/>
          <w:szCs w:val="19"/>
        </w:rPr>
        <w:t xml:space="preserve"> &amp; </w:t>
      </w:r>
      <w:r w:rsidRPr="007A4777">
        <w:rPr>
          <w:rFonts w:eastAsia="Calibri"/>
          <w:sz w:val="19"/>
          <w:szCs w:val="19"/>
        </w:rPr>
        <w:t>Neck</w:t>
      </w:r>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r w:rsidRPr="007A4777">
        <w:rPr>
          <w:rFonts w:eastAsia="Calibri"/>
          <w:sz w:val="19"/>
          <w:szCs w:val="19"/>
        </w:rPr>
        <w:t>38(2):112–</w:t>
      </w:r>
      <w:r w:rsidR="00780B8B" w:rsidRPr="007A4777">
        <w:rPr>
          <w:rFonts w:eastAsia="Calibri"/>
          <w:sz w:val="19"/>
          <w:szCs w:val="19"/>
        </w:rPr>
        <w:t xml:space="preserve"> </w:t>
      </w:r>
      <w:r w:rsidRPr="007A4777">
        <w:rPr>
          <w:rFonts w:eastAsia="Calibri"/>
          <w:sz w:val="19"/>
          <w:szCs w:val="19"/>
        </w:rPr>
        <w:t>118.</w:t>
      </w:r>
    </w:p>
    <w:p w:rsidR="007A4777" w:rsidRDefault="006712E7" w:rsidP="007A4777">
      <w:pPr>
        <w:pStyle w:val="ListParagraph"/>
        <w:numPr>
          <w:ilvl w:val="0"/>
          <w:numId w:val="7"/>
        </w:numPr>
        <w:snapToGrid w:val="0"/>
        <w:ind w:left="425" w:hanging="425"/>
        <w:jc w:val="both"/>
        <w:rPr>
          <w:rFonts w:eastAsia="Calibri"/>
        </w:rPr>
      </w:pPr>
      <w:r w:rsidRPr="007A4777">
        <w:rPr>
          <w:rFonts w:eastAsia="Calibri"/>
          <w:sz w:val="19"/>
          <w:szCs w:val="19"/>
        </w:rPr>
        <w:t>Wang,</w:t>
      </w:r>
      <w:r w:rsidR="00780B8B" w:rsidRPr="007A4777">
        <w:rPr>
          <w:rFonts w:eastAsia="Calibri"/>
          <w:sz w:val="19"/>
          <w:szCs w:val="19"/>
        </w:rPr>
        <w:t xml:space="preserve"> </w:t>
      </w:r>
      <w:r w:rsidRPr="007A4777">
        <w:rPr>
          <w:rFonts w:eastAsia="Calibri"/>
          <w:sz w:val="19"/>
          <w:szCs w:val="19"/>
        </w:rPr>
        <w:t>Y.P.;</w:t>
      </w:r>
      <w:r w:rsidR="00780B8B" w:rsidRPr="007A4777">
        <w:rPr>
          <w:rFonts w:eastAsia="Calibri"/>
          <w:sz w:val="19"/>
          <w:szCs w:val="19"/>
        </w:rPr>
        <w:t xml:space="preserve"> </w:t>
      </w:r>
      <w:r w:rsidRPr="007A4777">
        <w:rPr>
          <w:rFonts w:eastAsia="Calibri"/>
          <w:sz w:val="19"/>
          <w:szCs w:val="19"/>
        </w:rPr>
        <w:t>Wang,</w:t>
      </w:r>
      <w:r w:rsidR="00780B8B" w:rsidRPr="007A4777">
        <w:rPr>
          <w:rFonts w:eastAsia="Calibri"/>
          <w:sz w:val="19"/>
          <w:szCs w:val="19"/>
        </w:rPr>
        <w:t xml:space="preserve"> </w:t>
      </w:r>
      <w:r w:rsidRPr="007A4777">
        <w:rPr>
          <w:rFonts w:eastAsia="Calibri"/>
          <w:sz w:val="19"/>
          <w:szCs w:val="19"/>
        </w:rPr>
        <w:t>M.C.;</w:t>
      </w:r>
      <w:r w:rsidR="00780B8B" w:rsidRPr="007A4777">
        <w:rPr>
          <w:rFonts w:eastAsia="Calibri"/>
          <w:sz w:val="19"/>
          <w:szCs w:val="19"/>
        </w:rPr>
        <w:t xml:space="preserve"> </w:t>
      </w:r>
      <w:r w:rsidRPr="007A4777">
        <w:rPr>
          <w:rFonts w:eastAsia="Calibri"/>
          <w:sz w:val="19"/>
          <w:szCs w:val="19"/>
        </w:rPr>
        <w:t>Chen,</w:t>
      </w:r>
      <w:r w:rsidR="00780B8B" w:rsidRPr="007A4777">
        <w:rPr>
          <w:rFonts w:eastAsia="Calibri"/>
          <w:sz w:val="19"/>
          <w:szCs w:val="19"/>
        </w:rPr>
        <w:t xml:space="preserve"> </w:t>
      </w:r>
      <w:r w:rsidRPr="007A4777">
        <w:rPr>
          <w:rFonts w:eastAsia="Calibri"/>
          <w:sz w:val="19"/>
          <w:szCs w:val="19"/>
        </w:rPr>
        <w:t>Y.C.;</w:t>
      </w:r>
      <w:r w:rsidR="00780B8B" w:rsidRPr="007A4777">
        <w:rPr>
          <w:rFonts w:eastAsia="Calibri"/>
          <w:sz w:val="19"/>
          <w:szCs w:val="19"/>
        </w:rPr>
        <w:t xml:space="preserve"> </w:t>
      </w:r>
      <w:proofErr w:type="spellStart"/>
      <w:r w:rsidRPr="007A4777">
        <w:rPr>
          <w:rFonts w:eastAsia="Calibri"/>
          <w:sz w:val="19"/>
          <w:szCs w:val="19"/>
        </w:rPr>
        <w:t>Leu</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Y.S.;</w:t>
      </w:r>
      <w:r w:rsidR="00780B8B" w:rsidRPr="007A4777">
        <w:rPr>
          <w:rFonts w:eastAsia="Calibri"/>
          <w:sz w:val="19"/>
          <w:szCs w:val="19"/>
        </w:rPr>
        <w:t xml:space="preserve"> </w:t>
      </w:r>
      <w:r w:rsidRPr="007A4777">
        <w:rPr>
          <w:rFonts w:eastAsia="Calibri"/>
          <w:sz w:val="19"/>
          <w:szCs w:val="19"/>
        </w:rPr>
        <w:t>Lin,</w:t>
      </w:r>
      <w:r w:rsidR="00780B8B" w:rsidRPr="007A4777">
        <w:rPr>
          <w:rFonts w:eastAsia="Calibri"/>
          <w:sz w:val="19"/>
          <w:szCs w:val="19"/>
        </w:rPr>
        <w:t xml:space="preserve"> </w:t>
      </w:r>
      <w:r w:rsidRPr="007A4777">
        <w:rPr>
          <w:rFonts w:eastAsia="Calibri"/>
          <w:sz w:val="19"/>
          <w:szCs w:val="19"/>
        </w:rPr>
        <w:t>H.C.;</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r w:rsidRPr="007A4777">
        <w:rPr>
          <w:rFonts w:eastAsia="Calibri"/>
          <w:sz w:val="19"/>
          <w:szCs w:val="19"/>
        </w:rPr>
        <w:t>Lee,</w:t>
      </w:r>
      <w:r w:rsidR="00780B8B" w:rsidRPr="007A4777">
        <w:rPr>
          <w:rFonts w:eastAsia="Calibri"/>
          <w:sz w:val="19"/>
          <w:szCs w:val="19"/>
        </w:rPr>
        <w:t xml:space="preserve"> </w:t>
      </w:r>
      <w:r w:rsidRPr="007A4777">
        <w:rPr>
          <w:rFonts w:eastAsia="Calibri"/>
          <w:sz w:val="19"/>
          <w:szCs w:val="19"/>
        </w:rPr>
        <w:t>K.S.:</w:t>
      </w:r>
      <w:r w:rsidR="00780B8B" w:rsidRPr="007A4777">
        <w:rPr>
          <w:rFonts w:eastAsia="Calibri"/>
          <w:sz w:val="19"/>
          <w:szCs w:val="19"/>
        </w:rPr>
        <w:t xml:space="preserve"> </w:t>
      </w:r>
      <w:r w:rsidRPr="007A4777">
        <w:rPr>
          <w:rFonts w:eastAsia="Calibri"/>
          <w:sz w:val="19"/>
          <w:szCs w:val="19"/>
        </w:rPr>
        <w:t>(2011):</w:t>
      </w:r>
      <w:r w:rsidR="00780B8B" w:rsidRPr="007A4777">
        <w:rPr>
          <w:rFonts w:eastAsia="Calibri"/>
          <w:sz w:val="19"/>
          <w:szCs w:val="19"/>
        </w:rPr>
        <w:t xml:space="preserve"> </w:t>
      </w:r>
      <w:r w:rsidRPr="007A4777">
        <w:rPr>
          <w:rFonts w:eastAsia="Calibri"/>
          <w:sz w:val="19"/>
          <w:szCs w:val="19"/>
        </w:rPr>
        <w:t>The</w:t>
      </w:r>
      <w:r w:rsidR="00780B8B" w:rsidRPr="007A4777">
        <w:rPr>
          <w:rFonts w:eastAsia="Calibri"/>
          <w:sz w:val="19"/>
          <w:szCs w:val="19"/>
        </w:rPr>
        <w:t xml:space="preserve"> </w:t>
      </w:r>
      <w:r w:rsidRPr="007A4777">
        <w:rPr>
          <w:rFonts w:eastAsia="Calibri"/>
          <w:sz w:val="19"/>
          <w:szCs w:val="19"/>
        </w:rPr>
        <w:t>Effects</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r w:rsidRPr="007A4777">
        <w:rPr>
          <w:rFonts w:eastAsia="Calibri"/>
          <w:sz w:val="19"/>
          <w:szCs w:val="19"/>
        </w:rPr>
        <w:t>Vaseline</w:t>
      </w:r>
      <w:r w:rsidR="00780B8B" w:rsidRPr="007A4777">
        <w:rPr>
          <w:rFonts w:eastAsia="Calibri"/>
          <w:sz w:val="19"/>
          <w:szCs w:val="19"/>
        </w:rPr>
        <w:t xml:space="preserve"> </w:t>
      </w:r>
      <w:r w:rsidRPr="007A4777">
        <w:rPr>
          <w:rFonts w:eastAsia="Calibri"/>
          <w:sz w:val="19"/>
          <w:szCs w:val="19"/>
        </w:rPr>
        <w:t>Gauze</w:t>
      </w:r>
      <w:r w:rsidR="00780B8B" w:rsidRPr="007A4777">
        <w:rPr>
          <w:rFonts w:eastAsia="Calibri"/>
          <w:sz w:val="19"/>
          <w:szCs w:val="19"/>
        </w:rPr>
        <w:t xml:space="preserve"> </w:t>
      </w:r>
      <w:r w:rsidRPr="007A4777">
        <w:rPr>
          <w:rFonts w:eastAsia="Calibri"/>
          <w:sz w:val="19"/>
          <w:szCs w:val="19"/>
        </w:rPr>
        <w:t>Strip,</w:t>
      </w:r>
      <w:r w:rsidR="00780B8B" w:rsidRPr="007A4777">
        <w:rPr>
          <w:rFonts w:eastAsia="Calibri"/>
          <w:sz w:val="19"/>
          <w:szCs w:val="19"/>
        </w:rPr>
        <w:t xml:space="preserve"> </w:t>
      </w:r>
      <w:proofErr w:type="spellStart"/>
      <w:r w:rsidRPr="007A4777">
        <w:rPr>
          <w:rFonts w:eastAsia="Calibri"/>
          <w:sz w:val="19"/>
          <w:szCs w:val="19"/>
        </w:rPr>
        <w:t>Merocel</w:t>
      </w:r>
      <w:proofErr w:type="spellEnd"/>
      <w:r w:rsidRPr="007A4777">
        <w:rPr>
          <w:rFonts w:eastAsia="Calibri"/>
          <w:sz w:val="19"/>
          <w:szCs w:val="19"/>
        </w:rPr>
        <w:t>,</w:t>
      </w:r>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proofErr w:type="spellStart"/>
      <w:r w:rsidRPr="007A4777">
        <w:rPr>
          <w:rFonts w:eastAsia="Calibri"/>
          <w:sz w:val="19"/>
          <w:szCs w:val="19"/>
        </w:rPr>
        <w:t>Nasopore</w:t>
      </w:r>
      <w:proofErr w:type="spellEnd"/>
      <w:r w:rsidR="00780B8B" w:rsidRPr="007A4777">
        <w:rPr>
          <w:rFonts w:eastAsia="Calibri"/>
          <w:sz w:val="19"/>
          <w:szCs w:val="19"/>
        </w:rPr>
        <w:t xml:space="preserve"> </w:t>
      </w:r>
      <w:r w:rsidRPr="007A4777">
        <w:rPr>
          <w:rFonts w:eastAsia="Calibri"/>
          <w:sz w:val="19"/>
          <w:szCs w:val="19"/>
        </w:rPr>
        <w:t>on</w:t>
      </w:r>
      <w:r w:rsidR="00780B8B" w:rsidRPr="007A4777">
        <w:rPr>
          <w:rFonts w:eastAsia="Calibri"/>
          <w:sz w:val="19"/>
          <w:szCs w:val="19"/>
        </w:rPr>
        <w:t xml:space="preserve"> </w:t>
      </w:r>
      <w:r w:rsidRPr="007A4777">
        <w:rPr>
          <w:rFonts w:eastAsia="Calibri"/>
          <w:sz w:val="19"/>
          <w:szCs w:val="19"/>
        </w:rPr>
        <w:t>the</w:t>
      </w:r>
      <w:r w:rsidR="00780B8B" w:rsidRPr="007A4777">
        <w:rPr>
          <w:rFonts w:eastAsia="Calibri"/>
          <w:sz w:val="19"/>
          <w:szCs w:val="19"/>
        </w:rPr>
        <w:t xml:space="preserve"> </w:t>
      </w:r>
      <w:r w:rsidRPr="007A4777">
        <w:rPr>
          <w:rFonts w:eastAsia="Calibri"/>
          <w:sz w:val="19"/>
          <w:szCs w:val="19"/>
        </w:rPr>
        <w:t>Formation</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proofErr w:type="spellStart"/>
      <w:r w:rsidRPr="007A4777">
        <w:rPr>
          <w:rFonts w:eastAsia="Calibri"/>
          <w:sz w:val="19"/>
          <w:szCs w:val="19"/>
        </w:rPr>
        <w:t>Synechiae</w:t>
      </w:r>
      <w:proofErr w:type="spellEnd"/>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r w:rsidRPr="007A4777">
        <w:rPr>
          <w:rFonts w:eastAsia="Calibri"/>
          <w:sz w:val="19"/>
          <w:szCs w:val="19"/>
        </w:rPr>
        <w:t>Excessive</w:t>
      </w:r>
      <w:r w:rsidR="00780B8B" w:rsidRPr="007A4777">
        <w:rPr>
          <w:rFonts w:eastAsia="Calibri"/>
          <w:sz w:val="19"/>
          <w:szCs w:val="19"/>
        </w:rPr>
        <w:t xml:space="preserve"> </w:t>
      </w:r>
      <w:r w:rsidRPr="007A4777">
        <w:rPr>
          <w:rFonts w:eastAsia="Calibri"/>
          <w:sz w:val="19"/>
          <w:szCs w:val="19"/>
        </w:rPr>
        <w:t>Granulation</w:t>
      </w:r>
      <w:r w:rsidR="00780B8B" w:rsidRPr="007A4777">
        <w:rPr>
          <w:rFonts w:eastAsia="Calibri"/>
          <w:sz w:val="19"/>
          <w:szCs w:val="19"/>
        </w:rPr>
        <w:t xml:space="preserve"> </w:t>
      </w:r>
      <w:r w:rsidRPr="007A4777">
        <w:rPr>
          <w:rFonts w:eastAsia="Calibri"/>
          <w:sz w:val="19"/>
          <w:szCs w:val="19"/>
        </w:rPr>
        <w:t>Tissue</w:t>
      </w:r>
      <w:r w:rsidR="00780B8B" w:rsidRPr="007A4777">
        <w:rPr>
          <w:rFonts w:eastAsia="Calibri"/>
          <w:sz w:val="19"/>
          <w:szCs w:val="19"/>
        </w:rPr>
        <w:t xml:space="preserve"> </w:t>
      </w:r>
      <w:r w:rsidRPr="007A4777">
        <w:rPr>
          <w:rFonts w:eastAsia="Calibri"/>
          <w:sz w:val="19"/>
          <w:szCs w:val="19"/>
        </w:rPr>
        <w:t>in</w:t>
      </w:r>
      <w:r w:rsidR="00780B8B" w:rsidRPr="007A4777">
        <w:rPr>
          <w:rFonts w:eastAsia="Calibri"/>
          <w:sz w:val="19"/>
          <w:szCs w:val="19"/>
        </w:rPr>
        <w:t xml:space="preserve"> </w:t>
      </w:r>
      <w:r w:rsidRPr="007A4777">
        <w:rPr>
          <w:rFonts w:eastAsia="Calibri"/>
          <w:sz w:val="19"/>
          <w:szCs w:val="19"/>
        </w:rPr>
        <w:t>the</w:t>
      </w:r>
      <w:r w:rsidR="00780B8B" w:rsidRPr="007A4777">
        <w:rPr>
          <w:rFonts w:eastAsia="Calibri"/>
          <w:sz w:val="19"/>
          <w:szCs w:val="19"/>
        </w:rPr>
        <w:t xml:space="preserve"> </w:t>
      </w:r>
      <w:r w:rsidRPr="007A4777">
        <w:rPr>
          <w:rFonts w:eastAsia="Calibri"/>
          <w:sz w:val="19"/>
          <w:szCs w:val="19"/>
        </w:rPr>
        <w:t>Middle</w:t>
      </w:r>
      <w:r w:rsidR="00780B8B" w:rsidRPr="007A4777">
        <w:rPr>
          <w:rFonts w:eastAsia="Calibri"/>
          <w:sz w:val="19"/>
          <w:szCs w:val="19"/>
        </w:rPr>
        <w:t xml:space="preserve"> </w:t>
      </w:r>
      <w:proofErr w:type="spellStart"/>
      <w:r w:rsidRPr="007A4777">
        <w:rPr>
          <w:rFonts w:eastAsia="Calibri"/>
          <w:sz w:val="19"/>
          <w:szCs w:val="19"/>
        </w:rPr>
        <w:t>Meatus</w:t>
      </w:r>
      <w:proofErr w:type="spellEnd"/>
      <w:r w:rsidR="00780B8B" w:rsidRPr="007A4777">
        <w:rPr>
          <w:rFonts w:eastAsia="Calibri"/>
          <w:sz w:val="19"/>
          <w:szCs w:val="19"/>
        </w:rPr>
        <w:t xml:space="preserve"> </w:t>
      </w:r>
      <w:r w:rsidRPr="007A4777">
        <w:rPr>
          <w:rFonts w:eastAsia="Calibri"/>
          <w:sz w:val="19"/>
          <w:szCs w:val="19"/>
        </w:rPr>
        <w:t>and</w:t>
      </w:r>
      <w:r w:rsidR="00780B8B" w:rsidRPr="007A4777">
        <w:rPr>
          <w:rFonts w:eastAsia="Calibri"/>
          <w:sz w:val="19"/>
          <w:szCs w:val="19"/>
        </w:rPr>
        <w:t xml:space="preserve"> </w:t>
      </w:r>
      <w:r w:rsidRPr="007A4777">
        <w:rPr>
          <w:rFonts w:eastAsia="Calibri"/>
          <w:sz w:val="19"/>
          <w:szCs w:val="19"/>
        </w:rPr>
        <w:t>the</w:t>
      </w:r>
      <w:r w:rsidR="00780B8B" w:rsidRPr="007A4777">
        <w:rPr>
          <w:rFonts w:eastAsia="Calibri"/>
          <w:sz w:val="19"/>
          <w:szCs w:val="19"/>
        </w:rPr>
        <w:t xml:space="preserve"> </w:t>
      </w:r>
      <w:r w:rsidRPr="007A4777">
        <w:rPr>
          <w:rFonts w:eastAsia="Calibri"/>
          <w:sz w:val="19"/>
          <w:szCs w:val="19"/>
        </w:rPr>
        <w:t>Incidence</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r w:rsidRPr="007A4777">
        <w:rPr>
          <w:rFonts w:eastAsia="Calibri"/>
          <w:sz w:val="19"/>
          <w:szCs w:val="19"/>
        </w:rPr>
        <w:t>Major</w:t>
      </w:r>
      <w:r w:rsidR="00780B8B" w:rsidRPr="007A4777">
        <w:rPr>
          <w:rFonts w:eastAsia="Calibri"/>
          <w:sz w:val="19"/>
          <w:szCs w:val="19"/>
        </w:rPr>
        <w:t xml:space="preserve"> </w:t>
      </w:r>
      <w:r w:rsidRPr="007A4777">
        <w:rPr>
          <w:rFonts w:eastAsia="Calibri"/>
          <w:sz w:val="19"/>
          <w:szCs w:val="19"/>
        </w:rPr>
        <w:t>Postoperative</w:t>
      </w:r>
      <w:r w:rsidR="00780B8B" w:rsidRPr="007A4777">
        <w:rPr>
          <w:rFonts w:eastAsia="Calibri"/>
          <w:sz w:val="19"/>
          <w:szCs w:val="19"/>
        </w:rPr>
        <w:t xml:space="preserve"> </w:t>
      </w:r>
      <w:r w:rsidRPr="007A4777">
        <w:rPr>
          <w:rFonts w:eastAsia="Calibri"/>
          <w:sz w:val="19"/>
          <w:szCs w:val="19"/>
        </w:rPr>
        <w:t>Bleeding</w:t>
      </w:r>
      <w:r w:rsidR="00780B8B" w:rsidRPr="007A4777">
        <w:rPr>
          <w:rFonts w:eastAsia="Calibri"/>
          <w:sz w:val="19"/>
          <w:szCs w:val="19"/>
        </w:rPr>
        <w:t xml:space="preserve"> </w:t>
      </w:r>
      <w:r w:rsidRPr="007A4777">
        <w:rPr>
          <w:rFonts w:eastAsia="Calibri"/>
          <w:sz w:val="19"/>
          <w:szCs w:val="19"/>
        </w:rPr>
        <w:t>after</w:t>
      </w:r>
      <w:r w:rsidR="00780B8B" w:rsidRPr="007A4777">
        <w:rPr>
          <w:rFonts w:eastAsia="Calibri"/>
          <w:sz w:val="19"/>
          <w:szCs w:val="19"/>
        </w:rPr>
        <w:t xml:space="preserve"> </w:t>
      </w:r>
      <w:r w:rsidRPr="007A4777">
        <w:rPr>
          <w:rFonts w:eastAsia="Calibri"/>
          <w:sz w:val="19"/>
          <w:szCs w:val="19"/>
        </w:rPr>
        <w:t>Endoscopic</w:t>
      </w:r>
      <w:r w:rsidR="00780B8B" w:rsidRPr="007A4777">
        <w:rPr>
          <w:rFonts w:eastAsia="Calibri"/>
          <w:sz w:val="19"/>
          <w:szCs w:val="19"/>
        </w:rPr>
        <w:t xml:space="preserve"> </w:t>
      </w:r>
      <w:r w:rsidRPr="007A4777">
        <w:rPr>
          <w:rFonts w:eastAsia="Calibri"/>
          <w:sz w:val="19"/>
          <w:szCs w:val="19"/>
        </w:rPr>
        <w:t>Sinus</w:t>
      </w:r>
      <w:r w:rsidR="00780B8B" w:rsidRPr="007A4777">
        <w:rPr>
          <w:rFonts w:eastAsia="Calibri"/>
          <w:sz w:val="19"/>
          <w:szCs w:val="19"/>
        </w:rPr>
        <w:t xml:space="preserve"> </w:t>
      </w:r>
      <w:r w:rsidRPr="007A4777">
        <w:rPr>
          <w:rFonts w:eastAsia="Calibri"/>
          <w:sz w:val="19"/>
          <w:szCs w:val="19"/>
        </w:rPr>
        <w:t>Surgery.</w:t>
      </w:r>
      <w:r w:rsidR="00780B8B" w:rsidRPr="007A4777">
        <w:rPr>
          <w:rFonts w:eastAsia="Calibri"/>
          <w:sz w:val="19"/>
          <w:szCs w:val="19"/>
        </w:rPr>
        <w:t xml:space="preserve"> </w:t>
      </w:r>
      <w:r w:rsidRPr="007A4777">
        <w:rPr>
          <w:rFonts w:eastAsia="Calibri"/>
          <w:sz w:val="19"/>
          <w:szCs w:val="19"/>
        </w:rPr>
        <w:t>Journal</w:t>
      </w:r>
      <w:r w:rsidR="00780B8B" w:rsidRPr="007A4777">
        <w:rPr>
          <w:rFonts w:eastAsia="Calibri"/>
          <w:sz w:val="19"/>
          <w:szCs w:val="19"/>
        </w:rPr>
        <w:t xml:space="preserve"> </w:t>
      </w:r>
      <w:r w:rsidRPr="007A4777">
        <w:rPr>
          <w:rFonts w:eastAsia="Calibri"/>
          <w:sz w:val="19"/>
          <w:szCs w:val="19"/>
        </w:rPr>
        <w:t>of</w:t>
      </w:r>
      <w:r w:rsidR="00780B8B" w:rsidRPr="007A4777">
        <w:rPr>
          <w:rFonts w:eastAsia="Calibri"/>
          <w:sz w:val="19"/>
          <w:szCs w:val="19"/>
        </w:rPr>
        <w:t xml:space="preserve"> </w:t>
      </w:r>
      <w:r w:rsidRPr="007A4777">
        <w:rPr>
          <w:rFonts w:eastAsia="Calibri"/>
          <w:sz w:val="19"/>
          <w:szCs w:val="19"/>
        </w:rPr>
        <w:t>the</w:t>
      </w:r>
      <w:r w:rsidR="00780B8B" w:rsidRPr="007A4777">
        <w:rPr>
          <w:rFonts w:eastAsia="Calibri"/>
          <w:sz w:val="19"/>
          <w:szCs w:val="19"/>
        </w:rPr>
        <w:t xml:space="preserve"> </w:t>
      </w:r>
      <w:r w:rsidRPr="007A4777">
        <w:rPr>
          <w:rFonts w:eastAsia="Calibri"/>
          <w:sz w:val="19"/>
          <w:szCs w:val="19"/>
        </w:rPr>
        <w:t>Chinese</w:t>
      </w:r>
      <w:r w:rsidR="00780B8B" w:rsidRPr="007A4777">
        <w:rPr>
          <w:rFonts w:eastAsia="Calibri"/>
          <w:sz w:val="19"/>
          <w:szCs w:val="19"/>
        </w:rPr>
        <w:t xml:space="preserve"> </w:t>
      </w:r>
      <w:r w:rsidRPr="007A4777">
        <w:rPr>
          <w:rFonts w:eastAsia="Calibri"/>
          <w:sz w:val="19"/>
          <w:szCs w:val="19"/>
        </w:rPr>
        <w:t>Medical</w:t>
      </w:r>
      <w:r w:rsidR="00780B8B" w:rsidRPr="007A4777">
        <w:rPr>
          <w:rFonts w:eastAsia="Calibri"/>
          <w:sz w:val="19"/>
          <w:szCs w:val="19"/>
        </w:rPr>
        <w:t xml:space="preserve"> </w:t>
      </w:r>
      <w:r w:rsidRPr="007A4777">
        <w:rPr>
          <w:rFonts w:eastAsia="Calibri"/>
          <w:sz w:val="19"/>
          <w:szCs w:val="19"/>
        </w:rPr>
        <w:t>Association.</w:t>
      </w:r>
      <w:r w:rsidR="00780B8B" w:rsidRPr="007A4777">
        <w:rPr>
          <w:rFonts w:eastAsia="Calibri"/>
          <w:sz w:val="19"/>
          <w:szCs w:val="19"/>
        </w:rPr>
        <w:t xml:space="preserve"> </w:t>
      </w:r>
      <w:r w:rsidRPr="007A4777">
        <w:rPr>
          <w:rFonts w:eastAsia="Calibri"/>
          <w:sz w:val="19"/>
          <w:szCs w:val="19"/>
        </w:rPr>
        <w:t>74(1):16-21.</w:t>
      </w:r>
    </w:p>
    <w:p w:rsidR="007A4777" w:rsidRPr="007A4777" w:rsidRDefault="007A4777" w:rsidP="007A4777">
      <w:pPr>
        <w:snapToGrid w:val="0"/>
        <w:ind w:left="425" w:hanging="425"/>
        <w:jc w:val="both"/>
        <w:rPr>
          <w:rFonts w:eastAsia="Calibri"/>
        </w:rPr>
        <w:sectPr w:rsidR="007A4777" w:rsidRPr="007A4777" w:rsidSect="007A4777">
          <w:type w:val="continuous"/>
          <w:pgSz w:w="12240" w:h="15840" w:code="9"/>
          <w:pgMar w:top="1440" w:right="1440" w:bottom="1440" w:left="1440" w:header="720" w:footer="720" w:gutter="0"/>
          <w:cols w:num="2" w:space="500"/>
          <w:docGrid w:linePitch="272"/>
        </w:sectPr>
      </w:pPr>
    </w:p>
    <w:p w:rsidR="007A4777" w:rsidRDefault="007A4777" w:rsidP="007A4777">
      <w:pPr>
        <w:snapToGrid w:val="0"/>
        <w:ind w:left="425" w:hanging="425"/>
        <w:jc w:val="both"/>
        <w:rPr>
          <w:rFonts w:eastAsia="Calibri"/>
        </w:rPr>
      </w:pPr>
    </w:p>
    <w:p w:rsidR="00555F5A" w:rsidRPr="00780B8B" w:rsidRDefault="00780B8B" w:rsidP="007A4777">
      <w:pPr>
        <w:snapToGrid w:val="0"/>
        <w:jc w:val="both"/>
      </w:pPr>
      <w:r w:rsidRPr="00780B8B">
        <w:t>4/23/2019</w:t>
      </w:r>
    </w:p>
    <w:sectPr w:rsidR="00555F5A" w:rsidRPr="00780B8B" w:rsidSect="00780B8B">
      <w:type w:val="continuous"/>
      <w:pgSz w:w="12240" w:h="15840" w:code="9"/>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610" w:rsidRPr="00231BCC" w:rsidRDefault="00782610" w:rsidP="00555F5A">
      <w:pPr>
        <w:rPr>
          <w:rFonts w:asciiTheme="minorHAnsi" w:eastAsiaTheme="minorHAnsi" w:hAnsiTheme="minorHAnsi" w:cstheme="minorBidi"/>
          <w:sz w:val="22"/>
          <w:szCs w:val="22"/>
        </w:rPr>
      </w:pPr>
      <w:r>
        <w:separator/>
      </w:r>
    </w:p>
  </w:endnote>
  <w:endnote w:type="continuationSeparator" w:id="0">
    <w:p w:rsidR="00782610" w:rsidRPr="00231BCC" w:rsidRDefault="00782610" w:rsidP="00555F5A">
      <w:pPr>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8F" w:rsidRPr="00867F17" w:rsidRDefault="001F472E" w:rsidP="00867F17">
    <w:pPr>
      <w:jc w:val="center"/>
    </w:pPr>
    <w:fldSimple w:instr=" page ">
      <w:r w:rsidR="00E819FF">
        <w:rPr>
          <w:noProof/>
        </w:rPr>
        <w:t>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610" w:rsidRPr="00231BCC" w:rsidRDefault="00782610" w:rsidP="00555F5A">
      <w:pPr>
        <w:rPr>
          <w:rFonts w:asciiTheme="minorHAnsi" w:eastAsiaTheme="minorHAnsi" w:hAnsiTheme="minorHAnsi" w:cstheme="minorBidi"/>
          <w:sz w:val="22"/>
          <w:szCs w:val="22"/>
        </w:rPr>
      </w:pPr>
      <w:r>
        <w:separator/>
      </w:r>
    </w:p>
  </w:footnote>
  <w:footnote w:type="continuationSeparator" w:id="0">
    <w:p w:rsidR="00782610" w:rsidRPr="00231BCC" w:rsidRDefault="00782610" w:rsidP="00555F5A">
      <w:pPr>
        <w:rPr>
          <w:rFonts w:asciiTheme="minorHAnsi" w:eastAsia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17" w:rsidRPr="00867F17" w:rsidRDefault="00867F17" w:rsidP="00867F17">
    <w:pPr>
      <w:pBdr>
        <w:bottom w:val="thinThickMediumGap" w:sz="12" w:space="1" w:color="auto"/>
      </w:pBdr>
      <w:tabs>
        <w:tab w:val="left" w:pos="851"/>
        <w:tab w:val="right" w:pos="8364"/>
      </w:tabs>
      <w:adjustRightInd w:val="0"/>
      <w:snapToGrid w:val="0"/>
      <w:jc w:val="both"/>
      <w:rPr>
        <w:iCs/>
      </w:rPr>
    </w:pPr>
    <w:r w:rsidRPr="00867F17">
      <w:rPr>
        <w:rFonts w:hint="eastAsia"/>
        <w:iCs/>
        <w:color w:val="000000"/>
      </w:rPr>
      <w:tab/>
    </w:r>
    <w:r w:rsidRPr="00867F17">
      <w:rPr>
        <w:iCs/>
        <w:color w:val="000000"/>
      </w:rPr>
      <w:t xml:space="preserve">Researcher </w:t>
    </w:r>
    <w:r w:rsidRPr="00867F17">
      <w:rPr>
        <w:iCs/>
      </w:rPr>
      <w:t>201</w:t>
    </w:r>
    <w:r w:rsidRPr="00867F17">
      <w:rPr>
        <w:rFonts w:hint="eastAsia"/>
        <w:iCs/>
      </w:rPr>
      <w:t>9</w:t>
    </w:r>
    <w:r w:rsidRPr="00867F17">
      <w:rPr>
        <w:iCs/>
      </w:rPr>
      <w:t>;</w:t>
    </w:r>
    <w:r w:rsidRPr="00867F17">
      <w:rPr>
        <w:rFonts w:hint="eastAsia"/>
        <w:iCs/>
      </w:rPr>
      <w:t>11</w:t>
    </w:r>
    <w:r w:rsidRPr="00867F17">
      <w:rPr>
        <w:iCs/>
      </w:rPr>
      <w:t>(</w:t>
    </w:r>
    <w:r w:rsidRPr="00867F17">
      <w:rPr>
        <w:rFonts w:hint="eastAsia"/>
        <w:iCs/>
      </w:rPr>
      <w:t>4</w:t>
    </w:r>
    <w:r w:rsidRPr="00867F17">
      <w:rPr>
        <w:iCs/>
      </w:rPr>
      <w:t xml:space="preserve">)  </w:t>
    </w:r>
    <w:r w:rsidRPr="00867F17">
      <w:rPr>
        <w:rFonts w:hint="eastAsia"/>
        <w:iCs/>
      </w:rPr>
      <w:t xml:space="preserve"> </w:t>
    </w:r>
    <w:r w:rsidRPr="00867F17">
      <w:rPr>
        <w:iCs/>
      </w:rPr>
      <w:t xml:space="preserve"> </w:t>
    </w:r>
    <w:r w:rsidRPr="00867F17">
      <w:rPr>
        <w:rFonts w:hint="eastAsia"/>
        <w:iCs/>
      </w:rPr>
      <w:tab/>
    </w:r>
    <w:r w:rsidRPr="00867F17">
      <w:rPr>
        <w:iCs/>
      </w:rPr>
      <w:t xml:space="preserve">    </w:t>
    </w:r>
    <w:r w:rsidRPr="00867F17">
      <w:t xml:space="preserve"> </w:t>
    </w:r>
    <w:hyperlink r:id="rId1" w:history="1">
      <w:r w:rsidRPr="00867F17">
        <w:rPr>
          <w:rStyle w:val="Hyperlink"/>
        </w:rPr>
        <w:t>http://www.sciencepub.net/researcher</w:t>
      </w:r>
    </w:hyperlink>
  </w:p>
  <w:p w:rsidR="00867F17" w:rsidRPr="00867F17" w:rsidRDefault="00867F17" w:rsidP="00867F17">
    <w:pPr>
      <w:tabs>
        <w:tab w:val="left" w:pos="851"/>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C22D6"/>
    <w:multiLevelType w:val="hybridMultilevel"/>
    <w:tmpl w:val="519A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F0C5E"/>
    <w:multiLevelType w:val="hybridMultilevel"/>
    <w:tmpl w:val="0D8E7BA4"/>
    <w:lvl w:ilvl="0" w:tplc="AD0415F0">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5A117A25"/>
    <w:multiLevelType w:val="hybridMultilevel"/>
    <w:tmpl w:val="6C0EC5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5C212153"/>
    <w:multiLevelType w:val="multilevel"/>
    <w:tmpl w:val="50E82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59D1402"/>
    <w:multiLevelType w:val="hybridMultilevel"/>
    <w:tmpl w:val="AAF8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8B4C0C"/>
    <w:multiLevelType w:val="hybridMultilevel"/>
    <w:tmpl w:val="698E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F95D24"/>
    <w:multiLevelType w:val="hybridMultilevel"/>
    <w:tmpl w:val="07DA9FA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555F5A"/>
    <w:rsid w:val="000C6C26"/>
    <w:rsid w:val="000F2DE9"/>
    <w:rsid w:val="001E4646"/>
    <w:rsid w:val="001F472E"/>
    <w:rsid w:val="00292752"/>
    <w:rsid w:val="003756A6"/>
    <w:rsid w:val="00555F5A"/>
    <w:rsid w:val="005D2667"/>
    <w:rsid w:val="005F458E"/>
    <w:rsid w:val="00641FFD"/>
    <w:rsid w:val="006712E7"/>
    <w:rsid w:val="00717845"/>
    <w:rsid w:val="00780B8B"/>
    <w:rsid w:val="00782610"/>
    <w:rsid w:val="007840FB"/>
    <w:rsid w:val="007A4777"/>
    <w:rsid w:val="00867F17"/>
    <w:rsid w:val="008D4B2B"/>
    <w:rsid w:val="00AE01F4"/>
    <w:rsid w:val="00B34A85"/>
    <w:rsid w:val="00C94FE4"/>
    <w:rsid w:val="00DE56B8"/>
    <w:rsid w:val="00E34D33"/>
    <w:rsid w:val="00E5791E"/>
    <w:rsid w:val="00E819FF"/>
    <w:rsid w:val="00EF21BF"/>
    <w:rsid w:val="00FB728F"/>
    <w:rsid w:val="00FD2E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FB728F"/>
    <w:pPr>
      <w:ind w:left="720"/>
      <w:contextualSpacing/>
    </w:pPr>
  </w:style>
  <w:style w:type="paragraph" w:styleId="Header">
    <w:name w:val="header"/>
    <w:basedOn w:val="Normal"/>
    <w:link w:val="HeaderChar"/>
    <w:uiPriority w:val="99"/>
    <w:semiHidden/>
    <w:unhideWhenUsed/>
    <w:rsid w:val="006712E7"/>
    <w:pPr>
      <w:tabs>
        <w:tab w:val="center" w:pos="4153"/>
        <w:tab w:val="right" w:pos="8306"/>
      </w:tabs>
    </w:pPr>
  </w:style>
  <w:style w:type="character" w:customStyle="1" w:styleId="HeaderChar">
    <w:name w:val="Header Char"/>
    <w:basedOn w:val="DefaultParagraphFont"/>
    <w:link w:val="Header"/>
    <w:uiPriority w:val="99"/>
    <w:semiHidden/>
    <w:rsid w:val="006712E7"/>
  </w:style>
  <w:style w:type="paragraph" w:styleId="Footer">
    <w:name w:val="footer"/>
    <w:basedOn w:val="Normal"/>
    <w:link w:val="FooterChar"/>
    <w:uiPriority w:val="99"/>
    <w:semiHidden/>
    <w:unhideWhenUsed/>
    <w:rsid w:val="006712E7"/>
    <w:pPr>
      <w:tabs>
        <w:tab w:val="center" w:pos="4153"/>
        <w:tab w:val="right" w:pos="8306"/>
      </w:tabs>
    </w:pPr>
  </w:style>
  <w:style w:type="character" w:customStyle="1" w:styleId="FooterChar">
    <w:name w:val="Footer Char"/>
    <w:basedOn w:val="DefaultParagraphFont"/>
    <w:link w:val="Footer"/>
    <w:uiPriority w:val="99"/>
    <w:semiHidden/>
    <w:rsid w:val="006712E7"/>
  </w:style>
  <w:style w:type="character" w:styleId="Hyperlink">
    <w:name w:val="Hyperlink"/>
    <w:basedOn w:val="DefaultParagraphFont"/>
    <w:uiPriority w:val="99"/>
    <w:rsid w:val="006712E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mostafaeldeeb1988@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419.0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mona</dc:creator>
  <cp:lastModifiedBy>Administrator</cp:lastModifiedBy>
  <cp:revision>3</cp:revision>
  <dcterms:created xsi:type="dcterms:W3CDTF">2019-04-25T14:21:00Z</dcterms:created>
  <dcterms:modified xsi:type="dcterms:W3CDTF">2019-04-26T04:35:00Z</dcterms:modified>
</cp:coreProperties>
</file>