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90" w:rsidRDefault="00E64BAB">
      <w:pPr>
        <w:pStyle w:val="normal0"/>
        <w:jc w:val="center"/>
        <w:rPr>
          <w:b/>
          <w:sz w:val="20"/>
          <w:szCs w:val="20"/>
        </w:rPr>
      </w:pPr>
      <w:proofErr w:type="spellStart"/>
      <w:r>
        <w:rPr>
          <w:b/>
          <w:sz w:val="20"/>
          <w:szCs w:val="20"/>
        </w:rPr>
        <w:t>Macroalgae</w:t>
      </w:r>
      <w:proofErr w:type="spellEnd"/>
      <w:r>
        <w:rPr>
          <w:b/>
          <w:sz w:val="20"/>
          <w:szCs w:val="20"/>
        </w:rPr>
        <w:t xml:space="preserve"> in marine fish farms at Egypt (Ismailia province)</w:t>
      </w:r>
    </w:p>
    <w:p w:rsidR="00867690" w:rsidRDefault="00867690">
      <w:pPr>
        <w:pStyle w:val="normal0"/>
        <w:jc w:val="center"/>
        <w:rPr>
          <w:b/>
          <w:sz w:val="20"/>
          <w:szCs w:val="20"/>
        </w:rPr>
      </w:pPr>
    </w:p>
    <w:p w:rsidR="00867690" w:rsidRDefault="00E64BAB">
      <w:pPr>
        <w:pStyle w:val="normal0"/>
        <w:widowControl w:val="0"/>
        <w:jc w:val="center"/>
        <w:rPr>
          <w:sz w:val="20"/>
          <w:szCs w:val="20"/>
        </w:rPr>
      </w:pPr>
      <w:proofErr w:type="spellStart"/>
      <w:r>
        <w:rPr>
          <w:sz w:val="20"/>
          <w:szCs w:val="20"/>
        </w:rPr>
        <w:t>Noor</w:t>
      </w:r>
      <w:proofErr w:type="spellEnd"/>
      <w:r>
        <w:rPr>
          <w:sz w:val="20"/>
          <w:szCs w:val="20"/>
        </w:rPr>
        <w:t xml:space="preserve"> El </w:t>
      </w:r>
      <w:proofErr w:type="spellStart"/>
      <w:r>
        <w:rPr>
          <w:sz w:val="20"/>
          <w:szCs w:val="20"/>
        </w:rPr>
        <w:t>Deen</w:t>
      </w:r>
      <w:proofErr w:type="spellEnd"/>
      <w:r>
        <w:rPr>
          <w:sz w:val="20"/>
          <w:szCs w:val="20"/>
        </w:rPr>
        <w:t xml:space="preserve"> A. I</w:t>
      </w:r>
      <w:r>
        <w:rPr>
          <w:sz w:val="20"/>
          <w:szCs w:val="20"/>
          <w:vertAlign w:val="superscript"/>
        </w:rPr>
        <w:t>1</w:t>
      </w:r>
      <w:r>
        <w:rPr>
          <w:sz w:val="20"/>
          <w:szCs w:val="20"/>
        </w:rPr>
        <w:t xml:space="preserve">; </w:t>
      </w:r>
      <w:proofErr w:type="spellStart"/>
      <w:r>
        <w:rPr>
          <w:sz w:val="20"/>
          <w:szCs w:val="20"/>
        </w:rPr>
        <w:t>Mosad</w:t>
      </w:r>
      <w:proofErr w:type="spellEnd"/>
      <w:r>
        <w:rPr>
          <w:sz w:val="20"/>
          <w:szCs w:val="20"/>
        </w:rPr>
        <w:t xml:space="preserve"> M</w:t>
      </w:r>
      <w:r>
        <w:rPr>
          <w:sz w:val="20"/>
          <w:szCs w:val="20"/>
          <w:vertAlign w:val="superscript"/>
        </w:rPr>
        <w:t>2</w:t>
      </w:r>
      <w:r>
        <w:rPr>
          <w:sz w:val="20"/>
          <w:szCs w:val="20"/>
        </w:rPr>
        <w:t xml:space="preserve"> and </w:t>
      </w:r>
      <w:proofErr w:type="spellStart"/>
      <w:r>
        <w:rPr>
          <w:sz w:val="20"/>
          <w:szCs w:val="20"/>
        </w:rPr>
        <w:t>Eissa</w:t>
      </w:r>
      <w:proofErr w:type="spellEnd"/>
      <w:r>
        <w:rPr>
          <w:sz w:val="20"/>
          <w:szCs w:val="20"/>
        </w:rPr>
        <w:t>, I A</w:t>
      </w:r>
      <w:r>
        <w:rPr>
          <w:sz w:val="20"/>
          <w:szCs w:val="20"/>
          <w:vertAlign w:val="superscript"/>
        </w:rPr>
        <w:t>3</w:t>
      </w:r>
      <w:r>
        <w:rPr>
          <w:sz w:val="20"/>
          <w:szCs w:val="20"/>
        </w:rPr>
        <w:t xml:space="preserve"> and Mona S. zaki</w:t>
      </w:r>
      <w:r>
        <w:rPr>
          <w:sz w:val="20"/>
          <w:szCs w:val="20"/>
          <w:vertAlign w:val="superscript"/>
        </w:rPr>
        <w:t>1</w:t>
      </w:r>
    </w:p>
    <w:p w:rsidR="00867690" w:rsidRDefault="00867690">
      <w:pPr>
        <w:pStyle w:val="normal0"/>
        <w:widowControl w:val="0"/>
        <w:jc w:val="center"/>
        <w:rPr>
          <w:sz w:val="20"/>
          <w:szCs w:val="20"/>
        </w:rPr>
      </w:pPr>
    </w:p>
    <w:p w:rsidR="00867690" w:rsidRDefault="00E64BAB">
      <w:pPr>
        <w:pStyle w:val="normal0"/>
        <w:widowControl w:val="0"/>
        <w:jc w:val="center"/>
        <w:rPr>
          <w:sz w:val="20"/>
          <w:szCs w:val="20"/>
        </w:rPr>
      </w:pPr>
      <w:r>
        <w:rPr>
          <w:sz w:val="20"/>
          <w:szCs w:val="20"/>
          <w:vertAlign w:val="superscript"/>
        </w:rPr>
        <w:t xml:space="preserve">1 </w:t>
      </w:r>
      <w:r>
        <w:rPr>
          <w:sz w:val="20"/>
          <w:szCs w:val="20"/>
        </w:rPr>
        <w:t>Hydrobiology Department, Veterinary Division, National Research Centre, Egypt.</w:t>
      </w:r>
    </w:p>
    <w:p w:rsidR="00867690" w:rsidRDefault="00E64BAB">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Pr>
          <w:color w:val="000000"/>
          <w:sz w:val="20"/>
          <w:szCs w:val="20"/>
          <w:vertAlign w:val="superscript"/>
        </w:rPr>
        <w:t xml:space="preserve">2 </w:t>
      </w:r>
      <w:r>
        <w:rPr>
          <w:color w:val="000000"/>
          <w:sz w:val="20"/>
          <w:szCs w:val="20"/>
        </w:rPr>
        <w:t xml:space="preserve">Department of Marine Sciences, Faculty of Science, </w:t>
      </w:r>
      <w:proofErr w:type="spellStart"/>
      <w:r>
        <w:rPr>
          <w:color w:val="000000"/>
          <w:sz w:val="20"/>
          <w:szCs w:val="20"/>
        </w:rPr>
        <w:t>Seuz</w:t>
      </w:r>
      <w:proofErr w:type="spellEnd"/>
      <w:r>
        <w:rPr>
          <w:color w:val="000000"/>
          <w:sz w:val="20"/>
          <w:szCs w:val="20"/>
        </w:rPr>
        <w:t xml:space="preserve"> Canal University, Egypt</w:t>
      </w:r>
    </w:p>
    <w:p w:rsidR="00867690" w:rsidRDefault="00E64BAB">
      <w:pPr>
        <w:pStyle w:val="normal0"/>
        <w:widowControl w:val="0"/>
        <w:jc w:val="center"/>
        <w:rPr>
          <w:sz w:val="20"/>
          <w:szCs w:val="20"/>
        </w:rPr>
      </w:pPr>
      <w:r>
        <w:rPr>
          <w:sz w:val="20"/>
          <w:szCs w:val="20"/>
          <w:vertAlign w:val="superscript"/>
        </w:rPr>
        <w:t>3</w:t>
      </w:r>
      <w:r>
        <w:rPr>
          <w:sz w:val="20"/>
          <w:szCs w:val="20"/>
        </w:rPr>
        <w:t xml:space="preserve">Fish diseases and breeding department, Veterinary Medicine. </w:t>
      </w:r>
      <w:proofErr w:type="spellStart"/>
      <w:r>
        <w:rPr>
          <w:sz w:val="20"/>
          <w:szCs w:val="20"/>
        </w:rPr>
        <w:t>Seuz</w:t>
      </w:r>
      <w:proofErr w:type="spellEnd"/>
      <w:r>
        <w:rPr>
          <w:sz w:val="20"/>
          <w:szCs w:val="20"/>
        </w:rPr>
        <w:t xml:space="preserve"> Canal University, Egypt.</w:t>
      </w:r>
    </w:p>
    <w:p w:rsidR="000356CD" w:rsidRPr="000356CD" w:rsidRDefault="000356CD" w:rsidP="000356CD">
      <w:pPr>
        <w:jc w:val="center"/>
        <w:rPr>
          <w:rFonts w:eastAsia="宋体"/>
          <w:lang w:val="en-US"/>
        </w:rPr>
      </w:pPr>
      <w:hyperlink r:id="rId7" w:history="1">
        <w:r w:rsidRPr="000356CD">
          <w:rPr>
            <w:rFonts w:eastAsia="宋体"/>
            <w:color w:val="0000FF"/>
            <w:sz w:val="20"/>
            <w:u w:val="single"/>
          </w:rPr>
          <w:t>drmonazaki@yahoo.com</w:t>
        </w:r>
      </w:hyperlink>
    </w:p>
    <w:p w:rsidR="000356CD" w:rsidRDefault="000356CD">
      <w:pPr>
        <w:pStyle w:val="normal0"/>
        <w:jc w:val="both"/>
        <w:rPr>
          <w:rFonts w:hint="eastAsia"/>
          <w:b/>
          <w:sz w:val="20"/>
          <w:szCs w:val="20"/>
        </w:rPr>
      </w:pPr>
    </w:p>
    <w:p w:rsidR="00867690" w:rsidRDefault="00E64BAB">
      <w:pPr>
        <w:pStyle w:val="normal0"/>
        <w:jc w:val="both"/>
        <w:rPr>
          <w:b/>
          <w:sz w:val="20"/>
          <w:szCs w:val="20"/>
        </w:rPr>
      </w:pPr>
      <w:r>
        <w:rPr>
          <w:b/>
          <w:sz w:val="20"/>
          <w:szCs w:val="20"/>
        </w:rPr>
        <w:t xml:space="preserve">Abstract: </w:t>
      </w:r>
      <w:r>
        <w:rPr>
          <w:sz w:val="20"/>
          <w:szCs w:val="20"/>
        </w:rPr>
        <w:t>The aim of this study is assessing the possibility of detection of the most predominant agents which causes high losses in some marine fishes. Identification the most appropriate algae to feed the marine fishes.</w:t>
      </w:r>
      <w:r>
        <w:rPr>
          <w:b/>
          <w:sz w:val="20"/>
          <w:szCs w:val="20"/>
        </w:rPr>
        <w:t xml:space="preserve"> </w:t>
      </w:r>
      <w:r>
        <w:rPr>
          <w:sz w:val="20"/>
          <w:szCs w:val="20"/>
        </w:rPr>
        <w:t>Many species of the Seaweeds of the Suez Canal are important and can be used as a marine resource of the area and being used as human food, fish feed and raw material for many industries.</w:t>
      </w:r>
    </w:p>
    <w:p w:rsidR="00867690" w:rsidRDefault="00E64BAB">
      <w:pPr>
        <w:pStyle w:val="normal0"/>
        <w:jc w:val="both"/>
        <w:rPr>
          <w:sz w:val="20"/>
          <w:szCs w:val="20"/>
        </w:rPr>
      </w:pPr>
      <w:r>
        <w:rPr>
          <w:b/>
          <w:sz w:val="20"/>
          <w:szCs w:val="20"/>
        </w:rPr>
        <w:t>[</w:t>
      </w:r>
      <w:proofErr w:type="spellStart"/>
      <w:r>
        <w:rPr>
          <w:sz w:val="20"/>
          <w:szCs w:val="20"/>
        </w:rPr>
        <w:t>Noor</w:t>
      </w:r>
      <w:proofErr w:type="spellEnd"/>
      <w:r>
        <w:rPr>
          <w:sz w:val="20"/>
          <w:szCs w:val="20"/>
        </w:rPr>
        <w:t xml:space="preserve"> El </w:t>
      </w:r>
      <w:proofErr w:type="spellStart"/>
      <w:r>
        <w:rPr>
          <w:sz w:val="20"/>
          <w:szCs w:val="20"/>
        </w:rPr>
        <w:t>Deen</w:t>
      </w:r>
      <w:proofErr w:type="spellEnd"/>
      <w:r>
        <w:rPr>
          <w:sz w:val="20"/>
          <w:szCs w:val="20"/>
        </w:rPr>
        <w:t xml:space="preserve"> A. I.; </w:t>
      </w:r>
      <w:proofErr w:type="spellStart"/>
      <w:r>
        <w:rPr>
          <w:sz w:val="20"/>
          <w:szCs w:val="20"/>
        </w:rPr>
        <w:t>Mosad</w:t>
      </w:r>
      <w:proofErr w:type="spellEnd"/>
      <w:r>
        <w:rPr>
          <w:sz w:val="20"/>
          <w:szCs w:val="20"/>
        </w:rPr>
        <w:t xml:space="preserve"> M. and </w:t>
      </w:r>
      <w:proofErr w:type="spellStart"/>
      <w:r>
        <w:rPr>
          <w:sz w:val="20"/>
          <w:szCs w:val="20"/>
        </w:rPr>
        <w:t>Eissa</w:t>
      </w:r>
      <w:proofErr w:type="spellEnd"/>
      <w:r>
        <w:rPr>
          <w:sz w:val="20"/>
          <w:szCs w:val="20"/>
        </w:rPr>
        <w:t xml:space="preserve">, I. A. and Mona S. </w:t>
      </w:r>
      <w:proofErr w:type="spellStart"/>
      <w:r>
        <w:rPr>
          <w:sz w:val="20"/>
          <w:szCs w:val="20"/>
        </w:rPr>
        <w:t>Zaki</w:t>
      </w:r>
      <w:proofErr w:type="spellEnd"/>
      <w:r>
        <w:rPr>
          <w:sz w:val="20"/>
          <w:szCs w:val="20"/>
        </w:rPr>
        <w:t>.</w:t>
      </w:r>
      <w:r>
        <w:rPr>
          <w:sz w:val="20"/>
          <w:szCs w:val="20"/>
          <w:vertAlign w:val="superscript"/>
        </w:rPr>
        <w:t xml:space="preserve"> </w:t>
      </w:r>
      <w:proofErr w:type="spellStart"/>
      <w:r>
        <w:rPr>
          <w:b/>
          <w:sz w:val="20"/>
          <w:szCs w:val="20"/>
        </w:rPr>
        <w:t>Macroalgae</w:t>
      </w:r>
      <w:proofErr w:type="spellEnd"/>
      <w:r>
        <w:rPr>
          <w:b/>
          <w:sz w:val="20"/>
          <w:szCs w:val="20"/>
        </w:rPr>
        <w:t xml:space="preserve"> in marine fish farms at Egypt (Ismailia province).</w:t>
      </w:r>
      <w:r>
        <w:rPr>
          <w:i/>
          <w:sz w:val="20"/>
          <w:szCs w:val="20"/>
        </w:rPr>
        <w:t xml:space="preserve"> Researcher</w:t>
      </w:r>
      <w:r>
        <w:rPr>
          <w:sz w:val="20"/>
          <w:szCs w:val="20"/>
        </w:rPr>
        <w:t xml:space="preserve"> 2019;11(4):</w:t>
      </w:r>
      <w:r>
        <w:rPr>
          <w:color w:val="000000"/>
          <w:sz w:val="20"/>
          <w:szCs w:val="20"/>
        </w:rPr>
        <w:t>23-31</w:t>
      </w:r>
      <w:r>
        <w:rPr>
          <w:sz w:val="20"/>
          <w:szCs w:val="20"/>
        </w:rPr>
        <w:t xml:space="preserve">]. ISSN 1553-9865 (print); ISSN 2163-8950 (online). </w:t>
      </w:r>
      <w:hyperlink r:id="rId8">
        <w:r>
          <w:rPr>
            <w:color w:val="0000FF"/>
            <w:sz w:val="20"/>
            <w:szCs w:val="20"/>
            <w:u w:val="single"/>
          </w:rPr>
          <w:t>http://www.sciencepub.net/researcher</w:t>
        </w:r>
      </w:hyperlink>
      <w:r>
        <w:rPr>
          <w:sz w:val="20"/>
          <w:szCs w:val="20"/>
        </w:rPr>
        <w:t xml:space="preserve">. 4. </w:t>
      </w:r>
      <w:r>
        <w:rPr>
          <w:color w:val="000000"/>
          <w:sz w:val="20"/>
          <w:szCs w:val="20"/>
          <w:highlight w:val="white"/>
        </w:rPr>
        <w:t>doi:</w:t>
      </w:r>
      <w:hyperlink r:id="rId9">
        <w:r>
          <w:rPr>
            <w:color w:val="0000FF"/>
            <w:sz w:val="20"/>
            <w:szCs w:val="20"/>
            <w:highlight w:val="white"/>
            <w:u w:val="single"/>
          </w:rPr>
          <w:t>10.7537/marsrsj110419.04</w:t>
        </w:r>
      </w:hyperlink>
      <w:r>
        <w:rPr>
          <w:color w:val="000000"/>
          <w:sz w:val="20"/>
          <w:szCs w:val="20"/>
          <w:highlight w:val="white"/>
        </w:rPr>
        <w:t>.</w:t>
      </w:r>
    </w:p>
    <w:p w:rsidR="00867690" w:rsidRDefault="00867690">
      <w:pPr>
        <w:pStyle w:val="normal0"/>
        <w:jc w:val="both"/>
        <w:rPr>
          <w:b/>
          <w:sz w:val="20"/>
          <w:szCs w:val="20"/>
        </w:rPr>
      </w:pPr>
    </w:p>
    <w:p w:rsidR="00867690" w:rsidRDefault="00E64BAB">
      <w:pPr>
        <w:pStyle w:val="normal0"/>
        <w:jc w:val="both"/>
        <w:rPr>
          <w:sz w:val="20"/>
          <w:szCs w:val="20"/>
        </w:rPr>
      </w:pPr>
      <w:bookmarkStart w:id="0" w:name="_gjdgxs" w:colFirst="0" w:colLast="0"/>
      <w:bookmarkEnd w:id="0"/>
      <w:r>
        <w:rPr>
          <w:b/>
          <w:sz w:val="20"/>
          <w:szCs w:val="20"/>
        </w:rPr>
        <w:t>Key words:</w:t>
      </w:r>
      <w:r>
        <w:rPr>
          <w:sz w:val="20"/>
          <w:szCs w:val="20"/>
        </w:rPr>
        <w:t xml:space="preserve"> Seaweeds, marine, Ismailia, improvement</w:t>
      </w:r>
    </w:p>
    <w:p w:rsidR="00867690" w:rsidRDefault="00867690">
      <w:pPr>
        <w:pStyle w:val="normal0"/>
        <w:jc w:val="both"/>
        <w:rPr>
          <w:b/>
          <w:sz w:val="20"/>
          <w:szCs w:val="20"/>
        </w:rPr>
        <w:sectPr w:rsidR="00867690">
          <w:headerReference w:type="default" r:id="rId10"/>
          <w:footerReference w:type="default" r:id="rId11"/>
          <w:pgSz w:w="12240" w:h="15840"/>
          <w:pgMar w:top="1440" w:right="1440" w:bottom="1440" w:left="1440" w:header="720" w:footer="720" w:gutter="0"/>
          <w:pgNumType w:start="23"/>
          <w:cols w:space="720"/>
        </w:sectPr>
      </w:pPr>
    </w:p>
    <w:p w:rsidR="00867690" w:rsidRDefault="00E64BAB">
      <w:pPr>
        <w:pStyle w:val="normal0"/>
        <w:jc w:val="both"/>
        <w:rPr>
          <w:b/>
          <w:sz w:val="20"/>
          <w:szCs w:val="20"/>
        </w:rPr>
      </w:pPr>
      <w:r>
        <w:rPr>
          <w:b/>
          <w:sz w:val="20"/>
          <w:szCs w:val="20"/>
        </w:rPr>
        <w:lastRenderedPageBreak/>
        <w:t>1. Introduction</w:t>
      </w:r>
    </w:p>
    <w:p w:rsidR="00867690" w:rsidRDefault="00E64BAB">
      <w:pPr>
        <w:pStyle w:val="normal0"/>
        <w:ind w:firstLine="425"/>
        <w:jc w:val="both"/>
        <w:rPr>
          <w:b/>
          <w:sz w:val="20"/>
          <w:szCs w:val="20"/>
        </w:rPr>
      </w:pPr>
      <w:r>
        <w:rPr>
          <w:sz w:val="20"/>
          <w:szCs w:val="20"/>
        </w:rPr>
        <w:t>Seaweeds are rich sources of structurally diverse bioactive compounds with various biological activities. Recently, their importance as a source of novel bioactive substances is growing rapidly and researchers have revealed that seaweeds originated compounds exhibit various biological activities. During the last years, many studies have been made on biological activities of the seaweed and could be potential rich sources of natural antioxidants (</w:t>
      </w:r>
      <w:proofErr w:type="spellStart"/>
      <w:r>
        <w:rPr>
          <w:sz w:val="20"/>
          <w:szCs w:val="20"/>
        </w:rPr>
        <w:t>Pulz</w:t>
      </w:r>
      <w:proofErr w:type="spellEnd"/>
      <w:r>
        <w:rPr>
          <w:sz w:val="20"/>
          <w:szCs w:val="20"/>
        </w:rPr>
        <w:t xml:space="preserve"> 2004)</w:t>
      </w:r>
      <w:r>
        <w:rPr>
          <w:b/>
          <w:sz w:val="20"/>
          <w:szCs w:val="20"/>
        </w:rPr>
        <w:t>.</w:t>
      </w:r>
    </w:p>
    <w:p w:rsidR="00867690" w:rsidRDefault="00E64BAB">
      <w:pPr>
        <w:pStyle w:val="normal0"/>
        <w:ind w:firstLine="425"/>
        <w:jc w:val="both"/>
        <w:rPr>
          <w:sz w:val="20"/>
          <w:szCs w:val="20"/>
        </w:rPr>
      </w:pPr>
      <w:r>
        <w:rPr>
          <w:sz w:val="20"/>
          <w:szCs w:val="20"/>
        </w:rPr>
        <w:t xml:space="preserve">The seaweeds are a diverse group of large marine </w:t>
      </w:r>
      <w:proofErr w:type="spellStart"/>
      <w:r>
        <w:rPr>
          <w:sz w:val="20"/>
          <w:szCs w:val="20"/>
        </w:rPr>
        <w:t>macroalgae</w:t>
      </w:r>
      <w:proofErr w:type="spellEnd"/>
      <w:r>
        <w:rPr>
          <w:sz w:val="20"/>
          <w:szCs w:val="20"/>
        </w:rPr>
        <w:t xml:space="preserve"> that are as important to our </w:t>
      </w:r>
      <w:proofErr w:type="spellStart"/>
      <w:r>
        <w:rPr>
          <w:sz w:val="20"/>
          <w:szCs w:val="20"/>
        </w:rPr>
        <w:t>nearshore</w:t>
      </w:r>
      <w:proofErr w:type="spellEnd"/>
      <w:r>
        <w:rPr>
          <w:sz w:val="20"/>
          <w:szCs w:val="20"/>
        </w:rPr>
        <w:t xml:space="preserve"> coastal marine world as land plants. Seaweeds were the evolutionary precursors to land plants, and like land plants they are critical primary producers, forming living links between the inorganic and the organic world, using photosynthesis to convert CO2 and nutrients into living biomass. These primary producers support other marine life through the production of oxygen, their contribution to marine food webs, and by providing structure and habitat for fish and invertebrates (Dawes, 1981 and </w:t>
      </w:r>
      <w:proofErr w:type="spellStart"/>
      <w:r>
        <w:rPr>
          <w:sz w:val="20"/>
          <w:szCs w:val="20"/>
        </w:rPr>
        <w:t>Smit</w:t>
      </w:r>
      <w:proofErr w:type="spellEnd"/>
      <w:r>
        <w:rPr>
          <w:sz w:val="20"/>
          <w:szCs w:val="20"/>
        </w:rPr>
        <w:t>, 2004).</w:t>
      </w:r>
    </w:p>
    <w:p w:rsidR="00867690" w:rsidRDefault="00E64BAB">
      <w:pPr>
        <w:pStyle w:val="normal0"/>
        <w:ind w:firstLine="425"/>
        <w:jc w:val="both"/>
        <w:rPr>
          <w:sz w:val="20"/>
          <w:szCs w:val="20"/>
        </w:rPr>
      </w:pPr>
      <w:r>
        <w:rPr>
          <w:sz w:val="20"/>
          <w:szCs w:val="20"/>
        </w:rPr>
        <w:t xml:space="preserve">Seaweeds can be cultivated in the sea on suspended lines, rafts, or nets, or on land in tank-­based culture systems. A sustainable, low impact process, seaweed culture can provide much-needed employment and independence to rural coastal communities. The development of a seaweed aquaculture industry can also encourage development of other </w:t>
      </w:r>
      <w:proofErr w:type="spellStart"/>
      <w:r>
        <w:rPr>
          <w:sz w:val="20"/>
          <w:szCs w:val="20"/>
        </w:rPr>
        <w:t>aquacultured</w:t>
      </w:r>
      <w:proofErr w:type="spellEnd"/>
      <w:r>
        <w:rPr>
          <w:sz w:val="20"/>
          <w:szCs w:val="20"/>
        </w:rPr>
        <w:t xml:space="preserve"> species that are higher up in the food chain (</w:t>
      </w:r>
      <w:proofErr w:type="spellStart"/>
      <w:r>
        <w:rPr>
          <w:sz w:val="20"/>
          <w:szCs w:val="20"/>
        </w:rPr>
        <w:t>Hoek</w:t>
      </w:r>
      <w:proofErr w:type="spellEnd"/>
      <w:r>
        <w:rPr>
          <w:sz w:val="20"/>
          <w:szCs w:val="20"/>
        </w:rPr>
        <w:t xml:space="preserve">,. </w:t>
      </w:r>
      <w:r>
        <w:rPr>
          <w:i/>
          <w:sz w:val="20"/>
          <w:szCs w:val="20"/>
        </w:rPr>
        <w:t>et al.,</w:t>
      </w:r>
      <w:r>
        <w:rPr>
          <w:sz w:val="20"/>
          <w:szCs w:val="20"/>
        </w:rPr>
        <w:t xml:space="preserve"> 1995 and </w:t>
      </w:r>
      <w:proofErr w:type="spellStart"/>
      <w:r>
        <w:rPr>
          <w:sz w:val="20"/>
          <w:szCs w:val="20"/>
        </w:rPr>
        <w:t>Dillehy</w:t>
      </w:r>
      <w:r>
        <w:rPr>
          <w:i/>
          <w:sz w:val="20"/>
          <w:szCs w:val="20"/>
        </w:rPr>
        <w:t>et</w:t>
      </w:r>
      <w:proofErr w:type="spellEnd"/>
      <w:r>
        <w:rPr>
          <w:i/>
          <w:sz w:val="20"/>
          <w:szCs w:val="20"/>
        </w:rPr>
        <w:t xml:space="preserve"> al</w:t>
      </w:r>
      <w:r>
        <w:rPr>
          <w:sz w:val="20"/>
          <w:szCs w:val="20"/>
        </w:rPr>
        <w:t>., 2008).</w:t>
      </w:r>
    </w:p>
    <w:p w:rsidR="00867690" w:rsidRDefault="00E64BAB">
      <w:pPr>
        <w:pStyle w:val="normal0"/>
        <w:ind w:firstLine="425"/>
        <w:jc w:val="both"/>
        <w:rPr>
          <w:sz w:val="20"/>
          <w:szCs w:val="20"/>
        </w:rPr>
      </w:pPr>
      <w:r>
        <w:rPr>
          <w:sz w:val="20"/>
          <w:szCs w:val="20"/>
        </w:rPr>
        <w:t xml:space="preserve">Global seaweed aquaculture production occupies approximately 20% of the total world marine aquaculture production by weight, with an annual </w:t>
      </w:r>
      <w:r>
        <w:rPr>
          <w:sz w:val="20"/>
          <w:szCs w:val="20"/>
        </w:rPr>
        <w:lastRenderedPageBreak/>
        <w:t>value of US $6.7 billion in 2013 (</w:t>
      </w:r>
      <w:proofErr w:type="spellStart"/>
      <w:r>
        <w:rPr>
          <w:sz w:val="20"/>
          <w:szCs w:val="20"/>
        </w:rPr>
        <w:t>Bjerregaard</w:t>
      </w:r>
      <w:proofErr w:type="spellEnd"/>
      <w:r>
        <w:rPr>
          <w:i/>
          <w:sz w:val="20"/>
          <w:szCs w:val="20"/>
        </w:rPr>
        <w:t xml:space="preserve"> et al</w:t>
      </w:r>
      <w:r>
        <w:rPr>
          <w:sz w:val="20"/>
          <w:szCs w:val="20"/>
        </w:rPr>
        <w:t xml:space="preserve">. 2016, </w:t>
      </w:r>
      <w:proofErr w:type="spellStart"/>
      <w:r>
        <w:rPr>
          <w:sz w:val="20"/>
          <w:szCs w:val="20"/>
        </w:rPr>
        <w:t>Cottier</w:t>
      </w:r>
      <w:proofErr w:type="spellEnd"/>
      <w:r>
        <w:rPr>
          <w:sz w:val="20"/>
          <w:szCs w:val="20"/>
        </w:rPr>
        <w:t xml:space="preserve">-Cook </w:t>
      </w:r>
      <w:r>
        <w:rPr>
          <w:i/>
          <w:sz w:val="20"/>
          <w:szCs w:val="20"/>
        </w:rPr>
        <w:t>et al.</w:t>
      </w:r>
      <w:r>
        <w:rPr>
          <w:sz w:val="20"/>
          <w:szCs w:val="20"/>
        </w:rPr>
        <w:t xml:space="preserve"> 2016 and FAO, 2017).</w:t>
      </w:r>
    </w:p>
    <w:p w:rsidR="00867690" w:rsidRDefault="00E64BAB">
      <w:pPr>
        <w:pStyle w:val="normal0"/>
        <w:ind w:firstLine="425"/>
        <w:jc w:val="both"/>
        <w:rPr>
          <w:sz w:val="20"/>
          <w:szCs w:val="20"/>
        </w:rPr>
      </w:pPr>
      <w:r>
        <w:rPr>
          <w:sz w:val="20"/>
          <w:szCs w:val="20"/>
        </w:rPr>
        <w:t xml:space="preserve">In fish farming, wet feed usually consists of meat waste and fish waste mixed with dry additives containing extra nutrients, all formed together in a doughy mass. When thrown into the fish ponds or cages it must hold together and not disintegrate or dissolve in the water. A binder is needed, sometimes a technical grade of alginate is used. It has also been used to bind formulated feeds for shrimp and abalone. However, cheaper still is the use of finely ground seaweed meal made from brown seaweeds; the alginate in the seaweed acts as the binder. The binder may be a significant proportion of the price of the feed so seaweed meal is a much better choice. However, since the trend is to move to dry feed rather than wet, this market is not expected to expand. Nakagawa </w:t>
      </w:r>
      <w:r>
        <w:rPr>
          <w:i/>
          <w:sz w:val="20"/>
          <w:szCs w:val="20"/>
        </w:rPr>
        <w:t>et al.</w:t>
      </w:r>
      <w:r>
        <w:rPr>
          <w:sz w:val="20"/>
          <w:szCs w:val="20"/>
        </w:rPr>
        <w:t xml:space="preserve"> (1997) indicated that dietary algal meal improved the physiological condition of fish and the muscle protein increased in response to the algal level. Feeding represents over 73 % of the operational costs of aquaculture (</w:t>
      </w:r>
      <w:proofErr w:type="spellStart"/>
      <w:r>
        <w:rPr>
          <w:sz w:val="20"/>
          <w:szCs w:val="20"/>
        </w:rPr>
        <w:t>Hanan</w:t>
      </w:r>
      <w:proofErr w:type="spellEnd"/>
      <w:r>
        <w:rPr>
          <w:sz w:val="20"/>
          <w:szCs w:val="20"/>
        </w:rPr>
        <w:t xml:space="preserve"> A. </w:t>
      </w:r>
      <w:proofErr w:type="spellStart"/>
      <w:r>
        <w:rPr>
          <w:sz w:val="20"/>
          <w:szCs w:val="20"/>
        </w:rPr>
        <w:t>Abo</w:t>
      </w:r>
      <w:proofErr w:type="spellEnd"/>
      <w:r>
        <w:rPr>
          <w:sz w:val="20"/>
          <w:szCs w:val="20"/>
        </w:rPr>
        <w:t xml:space="preserve">-State and </w:t>
      </w:r>
      <w:proofErr w:type="spellStart"/>
      <w:r>
        <w:rPr>
          <w:sz w:val="20"/>
          <w:szCs w:val="20"/>
        </w:rPr>
        <w:t>Noor</w:t>
      </w:r>
      <w:proofErr w:type="spellEnd"/>
      <w:r>
        <w:rPr>
          <w:sz w:val="20"/>
          <w:szCs w:val="20"/>
        </w:rPr>
        <w:t xml:space="preserve"> El-</w:t>
      </w:r>
      <w:proofErr w:type="spellStart"/>
      <w:r>
        <w:rPr>
          <w:sz w:val="20"/>
          <w:szCs w:val="20"/>
        </w:rPr>
        <w:t>Deen</w:t>
      </w:r>
      <w:proofErr w:type="spellEnd"/>
      <w:r>
        <w:rPr>
          <w:sz w:val="20"/>
          <w:szCs w:val="20"/>
        </w:rPr>
        <w:t xml:space="preserve"> (2017). Therefore, fish nutritionists have made several attempts to replace fish meal with less expensive, locally available protein source (Nakagawa </w:t>
      </w:r>
      <w:r>
        <w:rPr>
          <w:i/>
          <w:sz w:val="20"/>
          <w:szCs w:val="20"/>
        </w:rPr>
        <w:t>et al</w:t>
      </w:r>
      <w:r>
        <w:rPr>
          <w:sz w:val="20"/>
          <w:szCs w:val="20"/>
        </w:rPr>
        <w:t xml:space="preserve">., 1997, </w:t>
      </w:r>
      <w:proofErr w:type="spellStart"/>
      <w:r>
        <w:rPr>
          <w:sz w:val="20"/>
          <w:szCs w:val="20"/>
        </w:rPr>
        <w:t>Attia</w:t>
      </w:r>
      <w:proofErr w:type="spellEnd"/>
      <w:r>
        <w:rPr>
          <w:sz w:val="20"/>
          <w:szCs w:val="20"/>
        </w:rPr>
        <w:t xml:space="preserve">, 2001 and </w:t>
      </w:r>
      <w:proofErr w:type="spellStart"/>
      <w:r>
        <w:rPr>
          <w:sz w:val="20"/>
          <w:szCs w:val="20"/>
        </w:rPr>
        <w:t>Hegazi</w:t>
      </w:r>
      <w:proofErr w:type="spellEnd"/>
      <w:r>
        <w:rPr>
          <w:sz w:val="20"/>
          <w:szCs w:val="20"/>
        </w:rPr>
        <w:t xml:space="preserve">, </w:t>
      </w:r>
      <w:r>
        <w:rPr>
          <w:i/>
          <w:sz w:val="20"/>
          <w:szCs w:val="20"/>
        </w:rPr>
        <w:t>et al</w:t>
      </w:r>
      <w:r>
        <w:rPr>
          <w:sz w:val="20"/>
          <w:szCs w:val="20"/>
        </w:rPr>
        <w:t>., 2003).</w:t>
      </w:r>
    </w:p>
    <w:p w:rsidR="00867690" w:rsidRDefault="00E64BAB">
      <w:pPr>
        <w:pStyle w:val="normal0"/>
        <w:ind w:firstLine="425"/>
        <w:jc w:val="both"/>
        <w:rPr>
          <w:sz w:val="20"/>
          <w:szCs w:val="20"/>
        </w:rPr>
      </w:pPr>
      <w:r>
        <w:rPr>
          <w:sz w:val="20"/>
          <w:szCs w:val="20"/>
        </w:rPr>
        <w:t>The present study was planned to investigate the most prevailing Seaweeds in marine fish culture in third stage of project.</w:t>
      </w:r>
    </w:p>
    <w:p w:rsidR="00867690" w:rsidRDefault="00867690">
      <w:pPr>
        <w:pStyle w:val="normal0"/>
        <w:jc w:val="both"/>
        <w:rPr>
          <w:b/>
          <w:sz w:val="20"/>
          <w:szCs w:val="20"/>
        </w:rPr>
      </w:pPr>
    </w:p>
    <w:p w:rsidR="00867690" w:rsidRDefault="00E64BAB">
      <w:pPr>
        <w:pStyle w:val="normal0"/>
        <w:jc w:val="both"/>
        <w:rPr>
          <w:b/>
          <w:sz w:val="20"/>
          <w:szCs w:val="20"/>
        </w:rPr>
      </w:pPr>
      <w:r>
        <w:rPr>
          <w:b/>
          <w:sz w:val="20"/>
          <w:szCs w:val="20"/>
        </w:rPr>
        <w:t>2. Material and Methods</w:t>
      </w:r>
    </w:p>
    <w:p w:rsidR="00867690" w:rsidRDefault="00E64BAB">
      <w:pPr>
        <w:pStyle w:val="normal0"/>
        <w:jc w:val="both"/>
        <w:rPr>
          <w:b/>
          <w:sz w:val="20"/>
          <w:szCs w:val="20"/>
        </w:rPr>
      </w:pPr>
      <w:r>
        <w:rPr>
          <w:b/>
          <w:sz w:val="20"/>
          <w:szCs w:val="20"/>
        </w:rPr>
        <w:t>Seaweeds Collections</w:t>
      </w:r>
    </w:p>
    <w:p w:rsidR="00867690" w:rsidRDefault="00E64BAB">
      <w:pPr>
        <w:pStyle w:val="normal0"/>
        <w:ind w:firstLine="425"/>
        <w:jc w:val="both"/>
        <w:rPr>
          <w:sz w:val="20"/>
          <w:szCs w:val="20"/>
        </w:rPr>
      </w:pPr>
      <w:r>
        <w:rPr>
          <w:sz w:val="20"/>
          <w:szCs w:val="20"/>
        </w:rPr>
        <w:t xml:space="preserve">Private fish farms area in Ismailia governorate was studied during a number of reconnaissance field trips, intensive collections of seaweeds were done from different depths and habitats. The seaweeds collected by different methods in order to secure complete alga. The best time for collecting the </w:t>
      </w:r>
      <w:r>
        <w:rPr>
          <w:sz w:val="20"/>
          <w:szCs w:val="20"/>
        </w:rPr>
        <w:lastRenderedPageBreak/>
        <w:t>seaweeds was during the hours time level of water as low as possible.</w:t>
      </w:r>
    </w:p>
    <w:p w:rsidR="00867690" w:rsidRDefault="00E64BAB">
      <w:pPr>
        <w:pStyle w:val="normal0"/>
        <w:ind w:firstLine="425"/>
        <w:jc w:val="both"/>
        <w:rPr>
          <w:sz w:val="20"/>
          <w:szCs w:val="20"/>
        </w:rPr>
      </w:pPr>
      <w:r>
        <w:rPr>
          <w:sz w:val="20"/>
          <w:szCs w:val="20"/>
        </w:rPr>
        <w:t>This is allow to observe the algae in their natural habitat, to record such observations and to collect the specimens.</w:t>
      </w:r>
    </w:p>
    <w:p w:rsidR="00867690" w:rsidRDefault="00E64BAB">
      <w:pPr>
        <w:pStyle w:val="normal0"/>
        <w:jc w:val="both"/>
        <w:rPr>
          <w:sz w:val="20"/>
          <w:szCs w:val="20"/>
        </w:rPr>
      </w:pPr>
      <w:r>
        <w:rPr>
          <w:b/>
          <w:sz w:val="20"/>
          <w:szCs w:val="20"/>
        </w:rPr>
        <w:t>Field containers</w:t>
      </w:r>
      <w:r>
        <w:rPr>
          <w:sz w:val="20"/>
          <w:szCs w:val="20"/>
        </w:rPr>
        <w:t xml:space="preserve">: </w:t>
      </w:r>
    </w:p>
    <w:p w:rsidR="00867690" w:rsidRDefault="00E64BAB">
      <w:pPr>
        <w:pStyle w:val="normal0"/>
        <w:ind w:firstLine="425"/>
        <w:jc w:val="both"/>
        <w:rPr>
          <w:sz w:val="20"/>
          <w:szCs w:val="20"/>
        </w:rPr>
      </w:pPr>
      <w:r>
        <w:rPr>
          <w:sz w:val="20"/>
          <w:szCs w:val="20"/>
        </w:rPr>
        <w:t>Plastic containers were used, but for intertidal collection, buckets and bags for various sizes were used, and for the collection by SCUBA (self –contained –underwater breathing apparatus) diving perforated plastic bags were used.</w:t>
      </w:r>
    </w:p>
    <w:p w:rsidR="00867690" w:rsidRDefault="00E64BAB">
      <w:pPr>
        <w:pStyle w:val="normal0"/>
        <w:jc w:val="both"/>
        <w:rPr>
          <w:b/>
          <w:sz w:val="20"/>
          <w:szCs w:val="20"/>
        </w:rPr>
      </w:pPr>
      <w:r>
        <w:rPr>
          <w:b/>
          <w:sz w:val="20"/>
          <w:szCs w:val="20"/>
        </w:rPr>
        <w:t xml:space="preserve">Algal identification: </w:t>
      </w:r>
    </w:p>
    <w:p w:rsidR="00867690" w:rsidRDefault="00E64BAB">
      <w:pPr>
        <w:pStyle w:val="normal0"/>
        <w:ind w:firstLine="425"/>
        <w:jc w:val="both"/>
        <w:rPr>
          <w:sz w:val="20"/>
          <w:szCs w:val="20"/>
        </w:rPr>
      </w:pPr>
      <w:r>
        <w:rPr>
          <w:sz w:val="20"/>
          <w:szCs w:val="20"/>
        </w:rPr>
        <w:t xml:space="preserve">Species of common Seaweeds collected from private fish farms, all collected species were isolated and identified macroscopically. That had been identified and compared with materials in the Marine Botany Laboratory, Marine Science Department, Suez Canal University according to the methods described by </w:t>
      </w:r>
      <w:proofErr w:type="spellStart"/>
      <w:r>
        <w:rPr>
          <w:sz w:val="20"/>
          <w:szCs w:val="20"/>
        </w:rPr>
        <w:t>Hegazi</w:t>
      </w:r>
      <w:proofErr w:type="spellEnd"/>
      <w:r>
        <w:rPr>
          <w:sz w:val="20"/>
          <w:szCs w:val="20"/>
        </w:rPr>
        <w:t xml:space="preserve"> (2006) and Abdel-</w:t>
      </w:r>
      <w:proofErr w:type="spellStart"/>
      <w:r>
        <w:rPr>
          <w:sz w:val="20"/>
          <w:szCs w:val="20"/>
        </w:rPr>
        <w:t>Rahman</w:t>
      </w:r>
      <w:proofErr w:type="spellEnd"/>
      <w:r>
        <w:rPr>
          <w:sz w:val="20"/>
          <w:szCs w:val="20"/>
        </w:rPr>
        <w:t xml:space="preserve"> &amp; </w:t>
      </w:r>
      <w:proofErr w:type="spellStart"/>
      <w:r>
        <w:rPr>
          <w:sz w:val="20"/>
          <w:szCs w:val="20"/>
        </w:rPr>
        <w:t>Hegazi</w:t>
      </w:r>
      <w:proofErr w:type="spellEnd"/>
      <w:r>
        <w:rPr>
          <w:sz w:val="20"/>
          <w:szCs w:val="20"/>
        </w:rPr>
        <w:t xml:space="preserve"> (2006). Seaweeds were collected and transferred directly to the laboratory aquarium in ice box.</w:t>
      </w:r>
    </w:p>
    <w:p w:rsidR="00867690" w:rsidRDefault="00E64BAB">
      <w:pPr>
        <w:pStyle w:val="normal0"/>
        <w:jc w:val="both"/>
        <w:rPr>
          <w:b/>
          <w:sz w:val="20"/>
          <w:szCs w:val="20"/>
        </w:rPr>
      </w:pPr>
      <w:r>
        <w:rPr>
          <w:b/>
          <w:sz w:val="20"/>
          <w:szCs w:val="20"/>
        </w:rPr>
        <w:t>Cultivation Methods</w:t>
      </w:r>
    </w:p>
    <w:p w:rsidR="00867690" w:rsidRDefault="00E64BAB">
      <w:pPr>
        <w:pStyle w:val="normal0"/>
        <w:ind w:firstLine="425"/>
        <w:jc w:val="both"/>
        <w:rPr>
          <w:sz w:val="20"/>
          <w:szCs w:val="20"/>
        </w:rPr>
      </w:pPr>
      <w:r>
        <w:rPr>
          <w:sz w:val="20"/>
          <w:szCs w:val="20"/>
        </w:rPr>
        <w:t xml:space="preserve">The methods used for the cultivation of seaweeds in the present study were two dominant worldwide cultured species of algae </w:t>
      </w:r>
      <w:proofErr w:type="spellStart"/>
      <w:r>
        <w:rPr>
          <w:i/>
          <w:sz w:val="20"/>
          <w:szCs w:val="20"/>
        </w:rPr>
        <w:t>Gracilaria</w:t>
      </w:r>
      <w:proofErr w:type="spellEnd"/>
      <w:r>
        <w:rPr>
          <w:sz w:val="20"/>
          <w:szCs w:val="20"/>
        </w:rPr>
        <w:t xml:space="preserve">, </w:t>
      </w:r>
      <w:proofErr w:type="spellStart"/>
      <w:r>
        <w:rPr>
          <w:i/>
          <w:sz w:val="20"/>
          <w:szCs w:val="20"/>
        </w:rPr>
        <w:t>Sargassum</w:t>
      </w:r>
      <w:proofErr w:type="spellEnd"/>
      <w:r>
        <w:rPr>
          <w:sz w:val="20"/>
          <w:szCs w:val="20"/>
        </w:rPr>
        <w:t xml:space="preserve"> and </w:t>
      </w:r>
      <w:proofErr w:type="spellStart"/>
      <w:r>
        <w:rPr>
          <w:i/>
          <w:sz w:val="20"/>
          <w:szCs w:val="20"/>
        </w:rPr>
        <w:t>Ulvaas</w:t>
      </w:r>
      <w:proofErr w:type="spellEnd"/>
      <w:r>
        <w:rPr>
          <w:sz w:val="20"/>
          <w:szCs w:val="20"/>
        </w:rPr>
        <w:t xml:space="preserve"> a model and ideal specimen for cultivation in our private fish farms area in these period of the year. A </w:t>
      </w:r>
      <w:proofErr w:type="spellStart"/>
      <w:r>
        <w:rPr>
          <w:sz w:val="20"/>
          <w:szCs w:val="20"/>
        </w:rPr>
        <w:t>unialgal</w:t>
      </w:r>
      <w:proofErr w:type="spellEnd"/>
      <w:r>
        <w:rPr>
          <w:sz w:val="20"/>
          <w:szCs w:val="20"/>
        </w:rPr>
        <w:t xml:space="preserve"> culture was established by either spore or tip isolation. Clean, healthy, actively growing, reproductive ‘parent’ fronds exhibiting desirable characteristics were selected. Fronds were chosen from existing cultures. When making a wild collection, fronds were held and transported in an environment cooler than the one it was collected in to minimize stress. Clean plastic bags, plastic containers, or buckets can be used for collection and transport. </w:t>
      </w:r>
      <w:proofErr w:type="spellStart"/>
      <w:r>
        <w:rPr>
          <w:sz w:val="20"/>
          <w:szCs w:val="20"/>
        </w:rPr>
        <w:t>Gracilaria</w:t>
      </w:r>
      <w:proofErr w:type="spellEnd"/>
      <w:r>
        <w:rPr>
          <w:sz w:val="20"/>
          <w:szCs w:val="20"/>
        </w:rPr>
        <w:t xml:space="preserve"> was transported in moist paper towels and gauze to avoid drying and exposure.</w:t>
      </w:r>
    </w:p>
    <w:p w:rsidR="00867690" w:rsidRDefault="00E64BAB">
      <w:pPr>
        <w:pStyle w:val="normal0"/>
        <w:ind w:firstLine="425"/>
        <w:jc w:val="both"/>
        <w:rPr>
          <w:sz w:val="20"/>
          <w:szCs w:val="20"/>
        </w:rPr>
      </w:pPr>
      <w:r>
        <w:rPr>
          <w:sz w:val="20"/>
          <w:szCs w:val="20"/>
        </w:rPr>
        <w:t xml:space="preserve">The area of new and active growth was located at the tips of every branch on a </w:t>
      </w:r>
      <w:proofErr w:type="spellStart"/>
      <w:r>
        <w:rPr>
          <w:i/>
          <w:sz w:val="20"/>
          <w:szCs w:val="20"/>
        </w:rPr>
        <w:t>Gracilaria</w:t>
      </w:r>
      <w:proofErr w:type="spellEnd"/>
      <w:r>
        <w:rPr>
          <w:sz w:val="20"/>
          <w:szCs w:val="20"/>
        </w:rPr>
        <w:t xml:space="preserve"> frond, the apical tissue. New ‘starter plants’ were obtained to initiate a culture, tips was cut from the parent frond, cleaned thoroughly, and placed in </w:t>
      </w:r>
      <w:proofErr w:type="spellStart"/>
      <w:r>
        <w:rPr>
          <w:sz w:val="20"/>
          <w:szCs w:val="20"/>
        </w:rPr>
        <w:t>favorable</w:t>
      </w:r>
      <w:proofErr w:type="spellEnd"/>
      <w:r>
        <w:rPr>
          <w:sz w:val="20"/>
          <w:szCs w:val="20"/>
        </w:rPr>
        <w:t xml:space="preserve"> growing conditions. Each tip was then grow, elongate, and branched into a new frond. To prepare a tip for isolation, a clean working area was set up in a clean room with a draft-free, clean working space and a flame for sterilization of metal instruments to avoid any contamination of cultures. A small section of the frond was removed for tip isolation, and placed in a small dish with sterilized seawater and moved to the clean working space. The free contaminants tip was placed in sterilized seawater prepared with Von </w:t>
      </w:r>
      <w:proofErr w:type="spellStart"/>
      <w:r>
        <w:rPr>
          <w:sz w:val="20"/>
          <w:szCs w:val="20"/>
        </w:rPr>
        <w:t>Stosch’s</w:t>
      </w:r>
      <w:proofErr w:type="spellEnd"/>
      <w:r>
        <w:rPr>
          <w:sz w:val="20"/>
          <w:szCs w:val="20"/>
        </w:rPr>
        <w:t xml:space="preserve"> Enrichment medium (VSE) and germanium dioxide (GeO2). Multiple tips were isolated from each </w:t>
      </w:r>
      <w:r>
        <w:rPr>
          <w:sz w:val="20"/>
          <w:szCs w:val="20"/>
        </w:rPr>
        <w:lastRenderedPageBreak/>
        <w:t>frond in order to increase chances of obtaining a clean culture.</w:t>
      </w:r>
    </w:p>
    <w:p w:rsidR="00867690" w:rsidRDefault="00E64BAB">
      <w:pPr>
        <w:pStyle w:val="normal0"/>
        <w:ind w:firstLine="425"/>
        <w:jc w:val="both"/>
        <w:rPr>
          <w:sz w:val="20"/>
          <w:szCs w:val="20"/>
        </w:rPr>
      </w:pPr>
      <w:r>
        <w:rPr>
          <w:sz w:val="20"/>
          <w:szCs w:val="20"/>
        </w:rPr>
        <w:t>Individual tips were isolated and cultured separately in small Petri dishes and flasks. They should be placed in VSE seawater with GeO2 under low light (10-20 µmol photons m -2 s -1), with a 12:12, L:D photoperiod, at 20°C. Tips began to elongate in about a week or two. Once tips had begun to grow and appear clean, light aeration was applied to cultures to increase growth rates. Cultures were changed once every two weeks initially, then once per week as growth rates increase. Once tips began to elongate and branch into larger fronds, they were transferred to larger and larger containers to encourage growth. To preserve or maintain original culture strains over long periods of time in the laboratory, growing environments were minimized, reducing light, reducing temperature, space, and frequency of media changes (FAO,2017).</w:t>
      </w:r>
    </w:p>
    <w:p w:rsidR="00867690" w:rsidRDefault="00E64BAB">
      <w:pPr>
        <w:pStyle w:val="normal0"/>
        <w:jc w:val="both"/>
        <w:rPr>
          <w:b/>
          <w:sz w:val="20"/>
          <w:szCs w:val="20"/>
        </w:rPr>
      </w:pPr>
      <w:r>
        <w:rPr>
          <w:b/>
          <w:sz w:val="20"/>
          <w:szCs w:val="20"/>
        </w:rPr>
        <w:t>Spore Isolation:</w:t>
      </w:r>
    </w:p>
    <w:p w:rsidR="00867690" w:rsidRDefault="00E64BAB">
      <w:pPr>
        <w:pStyle w:val="normal0"/>
        <w:ind w:firstLine="425"/>
        <w:jc w:val="both"/>
        <w:rPr>
          <w:sz w:val="20"/>
          <w:szCs w:val="20"/>
        </w:rPr>
      </w:pPr>
      <w:r>
        <w:rPr>
          <w:sz w:val="20"/>
          <w:szCs w:val="20"/>
        </w:rPr>
        <w:t xml:space="preserve">Clean cultures were initiated from either carpospores or </w:t>
      </w:r>
      <w:proofErr w:type="spellStart"/>
      <w:r>
        <w:rPr>
          <w:sz w:val="20"/>
          <w:szCs w:val="20"/>
        </w:rPr>
        <w:t>tetraspores</w:t>
      </w:r>
      <w:proofErr w:type="spellEnd"/>
      <w:r>
        <w:rPr>
          <w:sz w:val="20"/>
          <w:szCs w:val="20"/>
        </w:rPr>
        <w:t xml:space="preserve">. Both types of spores were released and isolated in the same way, though each will give rise to a different phase in the life cycle. Carpospores were obtained from mature </w:t>
      </w:r>
      <w:proofErr w:type="spellStart"/>
      <w:r>
        <w:rPr>
          <w:sz w:val="20"/>
          <w:szCs w:val="20"/>
        </w:rPr>
        <w:t>cystocarps</w:t>
      </w:r>
      <w:proofErr w:type="spellEnd"/>
      <w:r>
        <w:rPr>
          <w:sz w:val="20"/>
          <w:szCs w:val="20"/>
        </w:rPr>
        <w:t xml:space="preserve">, which were apparent as bumps on the female </w:t>
      </w:r>
      <w:proofErr w:type="spellStart"/>
      <w:r>
        <w:rPr>
          <w:sz w:val="20"/>
          <w:szCs w:val="20"/>
        </w:rPr>
        <w:t>thallus</w:t>
      </w:r>
      <w:proofErr w:type="spellEnd"/>
      <w:r>
        <w:rPr>
          <w:sz w:val="20"/>
          <w:szCs w:val="20"/>
        </w:rPr>
        <w:t xml:space="preserve">. These were easily identifiable, being obvious without the aid of a microscope. A microscope, was only needed to observe the presence of the </w:t>
      </w:r>
      <w:proofErr w:type="spellStart"/>
      <w:r>
        <w:rPr>
          <w:sz w:val="20"/>
          <w:szCs w:val="20"/>
        </w:rPr>
        <w:t>tetrasporangium</w:t>
      </w:r>
      <w:proofErr w:type="spellEnd"/>
      <w:r>
        <w:rPr>
          <w:sz w:val="20"/>
          <w:szCs w:val="20"/>
        </w:rPr>
        <w:t xml:space="preserve"> on the </w:t>
      </w:r>
      <w:proofErr w:type="spellStart"/>
      <w:r>
        <w:rPr>
          <w:sz w:val="20"/>
          <w:szCs w:val="20"/>
        </w:rPr>
        <w:t>thallus</w:t>
      </w:r>
      <w:proofErr w:type="spellEnd"/>
      <w:r>
        <w:rPr>
          <w:sz w:val="20"/>
          <w:szCs w:val="20"/>
        </w:rPr>
        <w:t xml:space="preserve"> of the </w:t>
      </w:r>
      <w:proofErr w:type="spellStart"/>
      <w:r>
        <w:rPr>
          <w:sz w:val="20"/>
          <w:szCs w:val="20"/>
        </w:rPr>
        <w:t>tetrasporophyte</w:t>
      </w:r>
      <w:proofErr w:type="spellEnd"/>
      <w:r>
        <w:rPr>
          <w:sz w:val="20"/>
          <w:szCs w:val="20"/>
        </w:rPr>
        <w:t xml:space="preserve">. These appeared as small reddish spots scattered throughout the cortex of the </w:t>
      </w:r>
      <w:proofErr w:type="spellStart"/>
      <w:r>
        <w:rPr>
          <w:sz w:val="20"/>
          <w:szCs w:val="20"/>
        </w:rPr>
        <w:t>thallus</w:t>
      </w:r>
      <w:proofErr w:type="spellEnd"/>
      <w:r>
        <w:rPr>
          <w:sz w:val="20"/>
          <w:szCs w:val="20"/>
        </w:rPr>
        <w:t xml:space="preserve">. To release spores, short sections of the fronds were placed in sterilized seawater in a Petri dish over glass </w:t>
      </w:r>
      <w:proofErr w:type="spellStart"/>
      <w:r>
        <w:rPr>
          <w:sz w:val="20"/>
          <w:szCs w:val="20"/>
        </w:rPr>
        <w:t>slideskept</w:t>
      </w:r>
      <w:proofErr w:type="spellEnd"/>
      <w:r>
        <w:rPr>
          <w:sz w:val="20"/>
          <w:szCs w:val="20"/>
        </w:rPr>
        <w:t xml:space="preserve"> under low light at 20°C. Spore release was checked under a dissecting microscope. Once there are spores released in the water, a small sample can be removed from the Petri dish and placed in a fresh dish with new medium. Individual spores were selected with a very fine-tipped Pasteur pipette under a microscope. Selected spores were placed on cut glass slides (25mm x 25mm) or on cover slips in small Petri dishes with sterilized VSE seawater. Dishes can be kept undisturbed at 20°C under 30 µmol photons m -2 s -1 light, with a 12:12, L: D photoperiod. Spores were settled within 12-24 hours after release, adhere to the glass slide, and began to divide. After the initial division, the diameter began to increase as a multi-cellular disc was formed, a few days after settlement. The culture was easily expanded by breaking apart, or fragmenting, the fronds, that continued to branch and grow into new fronds.</w:t>
      </w:r>
    </w:p>
    <w:p w:rsidR="00867690" w:rsidRDefault="00E64BAB">
      <w:pPr>
        <w:pStyle w:val="normal0"/>
        <w:jc w:val="both"/>
        <w:rPr>
          <w:b/>
          <w:sz w:val="20"/>
          <w:szCs w:val="20"/>
        </w:rPr>
      </w:pPr>
      <w:r>
        <w:rPr>
          <w:b/>
          <w:sz w:val="20"/>
          <w:szCs w:val="20"/>
        </w:rPr>
        <w:t xml:space="preserve">Nutrient Medium </w:t>
      </w:r>
    </w:p>
    <w:p w:rsidR="00867690" w:rsidRDefault="00E64BAB">
      <w:pPr>
        <w:pStyle w:val="normal0"/>
        <w:jc w:val="both"/>
        <w:rPr>
          <w:b/>
          <w:sz w:val="20"/>
          <w:szCs w:val="20"/>
        </w:rPr>
      </w:pPr>
      <w:r>
        <w:rPr>
          <w:b/>
          <w:sz w:val="20"/>
          <w:szCs w:val="20"/>
        </w:rPr>
        <w:t xml:space="preserve">(von </w:t>
      </w:r>
      <w:proofErr w:type="spellStart"/>
      <w:r>
        <w:rPr>
          <w:b/>
          <w:sz w:val="20"/>
          <w:szCs w:val="20"/>
        </w:rPr>
        <w:t>stosch's</w:t>
      </w:r>
      <w:proofErr w:type="spellEnd"/>
      <w:r>
        <w:rPr>
          <w:b/>
          <w:sz w:val="20"/>
          <w:szCs w:val="20"/>
        </w:rPr>
        <w:t xml:space="preserve"> enriched seawater medium (</w:t>
      </w:r>
      <w:proofErr w:type="spellStart"/>
      <w:r>
        <w:rPr>
          <w:b/>
          <w:sz w:val="20"/>
          <w:szCs w:val="20"/>
        </w:rPr>
        <w:t>ott</w:t>
      </w:r>
      <w:proofErr w:type="spellEnd"/>
      <w:r>
        <w:rPr>
          <w:b/>
          <w:sz w:val="20"/>
          <w:szCs w:val="20"/>
        </w:rPr>
        <w:t>, 1965)</w:t>
      </w:r>
    </w:p>
    <w:p w:rsidR="00867690" w:rsidRDefault="00E64BAB">
      <w:pPr>
        <w:pStyle w:val="normal0"/>
        <w:ind w:firstLine="425"/>
        <w:jc w:val="both"/>
        <w:rPr>
          <w:sz w:val="20"/>
          <w:szCs w:val="20"/>
        </w:rPr>
      </w:pPr>
      <w:r>
        <w:rPr>
          <w:sz w:val="20"/>
          <w:szCs w:val="20"/>
        </w:rPr>
        <w:t xml:space="preserve">The seawater was filtered (What man's No.1) to remove large organic particles and sand. Then </w:t>
      </w:r>
      <w:r>
        <w:rPr>
          <w:sz w:val="20"/>
          <w:szCs w:val="20"/>
        </w:rPr>
        <w:lastRenderedPageBreak/>
        <w:t xml:space="preserve">sterilized by autoclaving (time: 100 ml required 10 minutes; 2 litters required 40 minutes; 3 litters required 50 minutes; and 5 </w:t>
      </w:r>
      <w:proofErr w:type="spellStart"/>
      <w:r>
        <w:rPr>
          <w:sz w:val="20"/>
          <w:szCs w:val="20"/>
        </w:rPr>
        <w:t>liters</w:t>
      </w:r>
      <w:proofErr w:type="spellEnd"/>
      <w:r>
        <w:rPr>
          <w:sz w:val="20"/>
          <w:szCs w:val="20"/>
        </w:rPr>
        <w:t xml:space="preserve"> required 70 minutes). A stock solution of each salt in distilled water was prepared; of such concentration that 1 ml of the stock solution gave the required concentration of each ingredient. The three vitamins were incorporated in </w:t>
      </w:r>
      <w:r>
        <w:rPr>
          <w:sz w:val="20"/>
          <w:szCs w:val="20"/>
        </w:rPr>
        <w:lastRenderedPageBreak/>
        <w:t xml:space="preserve">the same refrigerated stock solution. Stock solutions use </w:t>
      </w:r>
      <w:proofErr w:type="spellStart"/>
      <w:r>
        <w:rPr>
          <w:sz w:val="20"/>
          <w:szCs w:val="20"/>
        </w:rPr>
        <w:t>deionized</w:t>
      </w:r>
      <w:proofErr w:type="spellEnd"/>
      <w:r>
        <w:rPr>
          <w:sz w:val="20"/>
          <w:szCs w:val="20"/>
        </w:rPr>
        <w:t xml:space="preserve"> distilled water and clean volumetric flasks. The salts and vitamins after preparation into stock solutions were filter sterilized. Each stock solution was filtered through separate 0.22 um Millipore filters. Each solution will have to be sterilized separately.</w:t>
      </w:r>
    </w:p>
    <w:p w:rsidR="00867690" w:rsidRDefault="00867690">
      <w:pPr>
        <w:pStyle w:val="normal0"/>
        <w:jc w:val="center"/>
        <w:rPr>
          <w:sz w:val="20"/>
          <w:szCs w:val="20"/>
        </w:rPr>
        <w:sectPr w:rsidR="00867690">
          <w:type w:val="continuous"/>
          <w:pgSz w:w="12240" w:h="15840"/>
          <w:pgMar w:top="1440" w:right="1440" w:bottom="1440" w:left="1440" w:header="720" w:footer="720" w:gutter="0"/>
          <w:cols w:num="2" w:space="720" w:equalWidth="0">
            <w:col w:w="4380" w:space="600"/>
            <w:col w:w="4380" w:space="0"/>
          </w:cols>
        </w:sectPr>
      </w:pPr>
    </w:p>
    <w:p w:rsidR="00867690" w:rsidRDefault="00867690">
      <w:pPr>
        <w:pStyle w:val="normal0"/>
        <w:jc w:val="center"/>
        <w:rPr>
          <w:sz w:val="20"/>
          <w:szCs w:val="20"/>
        </w:rPr>
      </w:pPr>
    </w:p>
    <w:p w:rsidR="00867690" w:rsidRDefault="00E64BAB">
      <w:pPr>
        <w:pStyle w:val="normal0"/>
        <w:jc w:val="center"/>
        <w:rPr>
          <w:b/>
          <w:sz w:val="20"/>
          <w:szCs w:val="20"/>
        </w:rPr>
      </w:pPr>
      <w:r>
        <w:rPr>
          <w:b/>
          <w:sz w:val="20"/>
          <w:szCs w:val="20"/>
        </w:rPr>
        <w:t>Table (1): Showing ingredient of stock solution.</w:t>
      </w:r>
    </w:p>
    <w:tbl>
      <w:tblPr>
        <w:tblStyle w:val="a"/>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23"/>
        <w:gridCol w:w="3476"/>
        <w:gridCol w:w="3475"/>
      </w:tblGrid>
      <w:tr w:rsidR="00867690">
        <w:trPr>
          <w:jc w:val="center"/>
        </w:trPr>
        <w:tc>
          <w:tcPr>
            <w:tcW w:w="2523" w:type="dxa"/>
            <w:vAlign w:val="center"/>
          </w:tcPr>
          <w:p w:rsidR="00867690" w:rsidRDefault="00E64BAB">
            <w:pPr>
              <w:pStyle w:val="normal0"/>
              <w:jc w:val="both"/>
              <w:rPr>
                <w:b/>
                <w:sz w:val="20"/>
                <w:szCs w:val="20"/>
              </w:rPr>
            </w:pPr>
            <w:r>
              <w:rPr>
                <w:b/>
                <w:sz w:val="20"/>
                <w:szCs w:val="20"/>
              </w:rPr>
              <w:t>Salts</w:t>
            </w:r>
          </w:p>
        </w:tc>
        <w:tc>
          <w:tcPr>
            <w:tcW w:w="3476" w:type="dxa"/>
            <w:vAlign w:val="center"/>
          </w:tcPr>
          <w:p w:rsidR="00867690" w:rsidRDefault="00E64BAB">
            <w:pPr>
              <w:pStyle w:val="normal0"/>
              <w:jc w:val="both"/>
              <w:rPr>
                <w:b/>
                <w:sz w:val="20"/>
                <w:szCs w:val="20"/>
              </w:rPr>
            </w:pPr>
            <w:r>
              <w:rPr>
                <w:b/>
                <w:sz w:val="20"/>
                <w:szCs w:val="20"/>
              </w:rPr>
              <w:t xml:space="preserve">1 </w:t>
            </w:r>
            <w:proofErr w:type="spellStart"/>
            <w:r>
              <w:rPr>
                <w:b/>
                <w:sz w:val="20"/>
                <w:szCs w:val="20"/>
              </w:rPr>
              <w:t>liter</w:t>
            </w:r>
            <w:proofErr w:type="spellEnd"/>
            <w:r>
              <w:rPr>
                <w:b/>
                <w:sz w:val="20"/>
                <w:szCs w:val="20"/>
              </w:rPr>
              <w:t xml:space="preserve"> stock solution (g)</w:t>
            </w:r>
          </w:p>
        </w:tc>
        <w:tc>
          <w:tcPr>
            <w:tcW w:w="3475" w:type="dxa"/>
            <w:vAlign w:val="center"/>
          </w:tcPr>
          <w:p w:rsidR="00867690" w:rsidRDefault="00E64BAB">
            <w:pPr>
              <w:pStyle w:val="normal0"/>
              <w:jc w:val="both"/>
              <w:rPr>
                <w:b/>
                <w:sz w:val="20"/>
                <w:szCs w:val="20"/>
              </w:rPr>
            </w:pPr>
            <w:r>
              <w:rPr>
                <w:b/>
                <w:sz w:val="20"/>
                <w:szCs w:val="20"/>
              </w:rPr>
              <w:t xml:space="preserve">2 </w:t>
            </w:r>
            <w:proofErr w:type="spellStart"/>
            <w:r>
              <w:rPr>
                <w:b/>
                <w:sz w:val="20"/>
                <w:szCs w:val="20"/>
              </w:rPr>
              <w:t>liter</w:t>
            </w:r>
            <w:proofErr w:type="spellEnd"/>
            <w:r>
              <w:rPr>
                <w:b/>
                <w:sz w:val="20"/>
                <w:szCs w:val="20"/>
              </w:rPr>
              <w:t xml:space="preserve"> stock solution (g)</w:t>
            </w:r>
          </w:p>
        </w:tc>
      </w:tr>
      <w:tr w:rsidR="00867690">
        <w:trPr>
          <w:jc w:val="center"/>
        </w:trPr>
        <w:tc>
          <w:tcPr>
            <w:tcW w:w="2523" w:type="dxa"/>
            <w:vAlign w:val="center"/>
          </w:tcPr>
          <w:p w:rsidR="00867690" w:rsidRDefault="00E64BAB">
            <w:pPr>
              <w:pStyle w:val="normal0"/>
              <w:jc w:val="both"/>
              <w:rPr>
                <w:sz w:val="20"/>
                <w:szCs w:val="20"/>
              </w:rPr>
            </w:pPr>
            <w:r>
              <w:rPr>
                <w:sz w:val="20"/>
                <w:szCs w:val="20"/>
              </w:rPr>
              <w:t>Na N03</w:t>
            </w:r>
          </w:p>
        </w:tc>
        <w:tc>
          <w:tcPr>
            <w:tcW w:w="3476" w:type="dxa"/>
            <w:vAlign w:val="center"/>
          </w:tcPr>
          <w:p w:rsidR="00867690" w:rsidRDefault="00E64BAB">
            <w:pPr>
              <w:pStyle w:val="normal0"/>
              <w:jc w:val="both"/>
              <w:rPr>
                <w:sz w:val="20"/>
                <w:szCs w:val="20"/>
              </w:rPr>
            </w:pPr>
            <w:r>
              <w:rPr>
                <w:sz w:val="20"/>
                <w:szCs w:val="20"/>
              </w:rPr>
              <w:t xml:space="preserve">42.500 </w:t>
            </w:r>
          </w:p>
        </w:tc>
        <w:tc>
          <w:tcPr>
            <w:tcW w:w="3475" w:type="dxa"/>
            <w:vAlign w:val="center"/>
          </w:tcPr>
          <w:p w:rsidR="00867690" w:rsidRDefault="00E64BAB">
            <w:pPr>
              <w:pStyle w:val="normal0"/>
              <w:jc w:val="both"/>
              <w:rPr>
                <w:sz w:val="20"/>
                <w:szCs w:val="20"/>
              </w:rPr>
            </w:pPr>
            <w:r>
              <w:rPr>
                <w:sz w:val="20"/>
                <w:szCs w:val="20"/>
              </w:rPr>
              <w:t xml:space="preserve">85.000 </w:t>
            </w:r>
          </w:p>
        </w:tc>
      </w:tr>
      <w:tr w:rsidR="00867690">
        <w:trPr>
          <w:jc w:val="center"/>
        </w:trPr>
        <w:tc>
          <w:tcPr>
            <w:tcW w:w="2523" w:type="dxa"/>
            <w:vAlign w:val="center"/>
          </w:tcPr>
          <w:p w:rsidR="00867690" w:rsidRDefault="00E64BAB">
            <w:pPr>
              <w:pStyle w:val="normal0"/>
              <w:jc w:val="both"/>
              <w:rPr>
                <w:sz w:val="20"/>
                <w:szCs w:val="20"/>
              </w:rPr>
            </w:pPr>
            <w:r>
              <w:rPr>
                <w:sz w:val="20"/>
                <w:szCs w:val="20"/>
              </w:rPr>
              <w:t>Na2HP04 12H2O</w:t>
            </w:r>
          </w:p>
        </w:tc>
        <w:tc>
          <w:tcPr>
            <w:tcW w:w="3476" w:type="dxa"/>
            <w:vAlign w:val="center"/>
          </w:tcPr>
          <w:p w:rsidR="00867690" w:rsidRDefault="00E64BAB">
            <w:pPr>
              <w:pStyle w:val="normal0"/>
              <w:jc w:val="both"/>
              <w:rPr>
                <w:sz w:val="20"/>
                <w:szCs w:val="20"/>
              </w:rPr>
            </w:pPr>
            <w:r>
              <w:rPr>
                <w:sz w:val="20"/>
                <w:szCs w:val="20"/>
              </w:rPr>
              <w:t>10.750</w:t>
            </w:r>
          </w:p>
        </w:tc>
        <w:tc>
          <w:tcPr>
            <w:tcW w:w="3475" w:type="dxa"/>
            <w:vAlign w:val="center"/>
          </w:tcPr>
          <w:p w:rsidR="00867690" w:rsidRDefault="00E64BAB">
            <w:pPr>
              <w:pStyle w:val="normal0"/>
              <w:jc w:val="both"/>
              <w:rPr>
                <w:sz w:val="20"/>
                <w:szCs w:val="20"/>
              </w:rPr>
            </w:pPr>
            <w:r>
              <w:rPr>
                <w:sz w:val="20"/>
                <w:szCs w:val="20"/>
              </w:rPr>
              <w:t>21.500</w:t>
            </w:r>
          </w:p>
        </w:tc>
      </w:tr>
      <w:tr w:rsidR="00867690">
        <w:trPr>
          <w:jc w:val="center"/>
        </w:trPr>
        <w:tc>
          <w:tcPr>
            <w:tcW w:w="2523" w:type="dxa"/>
            <w:vAlign w:val="center"/>
          </w:tcPr>
          <w:p w:rsidR="00867690" w:rsidRDefault="00E64BAB">
            <w:pPr>
              <w:pStyle w:val="normal0"/>
              <w:jc w:val="both"/>
              <w:rPr>
                <w:sz w:val="20"/>
                <w:szCs w:val="20"/>
              </w:rPr>
            </w:pPr>
            <w:r>
              <w:rPr>
                <w:sz w:val="20"/>
                <w:szCs w:val="20"/>
              </w:rPr>
              <w:t>FeSO4 7H2O</w:t>
            </w:r>
          </w:p>
        </w:tc>
        <w:tc>
          <w:tcPr>
            <w:tcW w:w="3476" w:type="dxa"/>
            <w:vAlign w:val="center"/>
          </w:tcPr>
          <w:p w:rsidR="00867690" w:rsidRDefault="00E64BAB">
            <w:pPr>
              <w:pStyle w:val="normal0"/>
              <w:jc w:val="both"/>
              <w:rPr>
                <w:sz w:val="20"/>
                <w:szCs w:val="20"/>
              </w:rPr>
            </w:pPr>
            <w:r>
              <w:rPr>
                <w:sz w:val="20"/>
                <w:szCs w:val="20"/>
              </w:rPr>
              <w:t>0.278</w:t>
            </w:r>
          </w:p>
        </w:tc>
        <w:tc>
          <w:tcPr>
            <w:tcW w:w="3475" w:type="dxa"/>
            <w:vAlign w:val="center"/>
          </w:tcPr>
          <w:p w:rsidR="00867690" w:rsidRDefault="00E64BAB">
            <w:pPr>
              <w:pStyle w:val="normal0"/>
              <w:jc w:val="both"/>
              <w:rPr>
                <w:sz w:val="20"/>
                <w:szCs w:val="20"/>
              </w:rPr>
            </w:pPr>
            <w:r>
              <w:rPr>
                <w:sz w:val="20"/>
                <w:szCs w:val="20"/>
              </w:rPr>
              <w:t>0.556</w:t>
            </w:r>
          </w:p>
        </w:tc>
      </w:tr>
      <w:tr w:rsidR="00867690">
        <w:trPr>
          <w:jc w:val="center"/>
        </w:trPr>
        <w:tc>
          <w:tcPr>
            <w:tcW w:w="2523" w:type="dxa"/>
            <w:vAlign w:val="center"/>
          </w:tcPr>
          <w:p w:rsidR="00867690" w:rsidRDefault="00E64BAB">
            <w:pPr>
              <w:pStyle w:val="normal0"/>
              <w:jc w:val="both"/>
              <w:rPr>
                <w:sz w:val="20"/>
                <w:szCs w:val="20"/>
              </w:rPr>
            </w:pPr>
            <w:r>
              <w:rPr>
                <w:sz w:val="20"/>
                <w:szCs w:val="20"/>
              </w:rPr>
              <w:t>MnCl2 4H2O</w:t>
            </w:r>
          </w:p>
        </w:tc>
        <w:tc>
          <w:tcPr>
            <w:tcW w:w="3476" w:type="dxa"/>
            <w:vAlign w:val="center"/>
          </w:tcPr>
          <w:p w:rsidR="00867690" w:rsidRDefault="00E64BAB">
            <w:pPr>
              <w:pStyle w:val="normal0"/>
              <w:jc w:val="both"/>
              <w:rPr>
                <w:sz w:val="20"/>
                <w:szCs w:val="20"/>
              </w:rPr>
            </w:pPr>
            <w:r>
              <w:rPr>
                <w:sz w:val="20"/>
                <w:szCs w:val="20"/>
              </w:rPr>
              <w:t>0.0198</w:t>
            </w:r>
          </w:p>
        </w:tc>
        <w:tc>
          <w:tcPr>
            <w:tcW w:w="3475" w:type="dxa"/>
            <w:vAlign w:val="center"/>
          </w:tcPr>
          <w:p w:rsidR="00867690" w:rsidRDefault="00E64BAB">
            <w:pPr>
              <w:pStyle w:val="normal0"/>
              <w:jc w:val="both"/>
              <w:rPr>
                <w:sz w:val="20"/>
                <w:szCs w:val="20"/>
              </w:rPr>
            </w:pPr>
            <w:r>
              <w:rPr>
                <w:sz w:val="20"/>
                <w:szCs w:val="20"/>
              </w:rPr>
              <w:t>0.039</w:t>
            </w:r>
          </w:p>
        </w:tc>
      </w:tr>
      <w:tr w:rsidR="00867690">
        <w:trPr>
          <w:jc w:val="center"/>
        </w:trPr>
        <w:tc>
          <w:tcPr>
            <w:tcW w:w="2523" w:type="dxa"/>
            <w:vAlign w:val="center"/>
          </w:tcPr>
          <w:p w:rsidR="00867690" w:rsidRDefault="00E64BAB">
            <w:pPr>
              <w:pStyle w:val="normal0"/>
              <w:jc w:val="both"/>
              <w:rPr>
                <w:sz w:val="20"/>
                <w:szCs w:val="20"/>
              </w:rPr>
            </w:pPr>
            <w:r>
              <w:rPr>
                <w:sz w:val="20"/>
                <w:szCs w:val="20"/>
              </w:rPr>
              <w:t>Na2EDTA 2H2O</w:t>
            </w:r>
          </w:p>
        </w:tc>
        <w:tc>
          <w:tcPr>
            <w:tcW w:w="3476" w:type="dxa"/>
            <w:vAlign w:val="center"/>
          </w:tcPr>
          <w:p w:rsidR="00867690" w:rsidRDefault="00E64BAB">
            <w:pPr>
              <w:pStyle w:val="normal0"/>
              <w:jc w:val="both"/>
              <w:rPr>
                <w:sz w:val="20"/>
                <w:szCs w:val="20"/>
              </w:rPr>
            </w:pPr>
            <w:r>
              <w:rPr>
                <w:sz w:val="20"/>
                <w:szCs w:val="20"/>
              </w:rPr>
              <w:t>3.720</w:t>
            </w:r>
          </w:p>
        </w:tc>
        <w:tc>
          <w:tcPr>
            <w:tcW w:w="3475" w:type="dxa"/>
            <w:vAlign w:val="center"/>
          </w:tcPr>
          <w:p w:rsidR="00867690" w:rsidRDefault="00E64BAB">
            <w:pPr>
              <w:pStyle w:val="normal0"/>
              <w:jc w:val="both"/>
              <w:rPr>
                <w:sz w:val="20"/>
                <w:szCs w:val="20"/>
              </w:rPr>
            </w:pPr>
            <w:r>
              <w:rPr>
                <w:sz w:val="20"/>
                <w:szCs w:val="20"/>
              </w:rPr>
              <w:t>7.440</w:t>
            </w:r>
          </w:p>
        </w:tc>
      </w:tr>
      <w:tr w:rsidR="00867690">
        <w:trPr>
          <w:jc w:val="center"/>
        </w:trPr>
        <w:tc>
          <w:tcPr>
            <w:tcW w:w="2523" w:type="dxa"/>
            <w:vAlign w:val="center"/>
          </w:tcPr>
          <w:p w:rsidR="00867690" w:rsidRDefault="00E64BAB">
            <w:pPr>
              <w:pStyle w:val="normal0"/>
              <w:jc w:val="both"/>
              <w:rPr>
                <w:b/>
                <w:sz w:val="20"/>
                <w:szCs w:val="20"/>
              </w:rPr>
            </w:pPr>
            <w:r>
              <w:rPr>
                <w:b/>
                <w:sz w:val="20"/>
                <w:szCs w:val="20"/>
              </w:rPr>
              <w:t>Vitamins</w:t>
            </w:r>
          </w:p>
        </w:tc>
        <w:tc>
          <w:tcPr>
            <w:tcW w:w="3476" w:type="dxa"/>
            <w:vAlign w:val="center"/>
          </w:tcPr>
          <w:p w:rsidR="00867690" w:rsidRDefault="00867690">
            <w:pPr>
              <w:pStyle w:val="normal0"/>
              <w:jc w:val="both"/>
              <w:rPr>
                <w:sz w:val="20"/>
                <w:szCs w:val="20"/>
              </w:rPr>
            </w:pPr>
          </w:p>
        </w:tc>
        <w:tc>
          <w:tcPr>
            <w:tcW w:w="3475" w:type="dxa"/>
            <w:vAlign w:val="center"/>
          </w:tcPr>
          <w:p w:rsidR="00867690" w:rsidRDefault="00867690">
            <w:pPr>
              <w:pStyle w:val="normal0"/>
              <w:jc w:val="both"/>
              <w:rPr>
                <w:sz w:val="20"/>
                <w:szCs w:val="20"/>
              </w:rPr>
            </w:pPr>
          </w:p>
        </w:tc>
      </w:tr>
      <w:tr w:rsidR="00867690">
        <w:trPr>
          <w:jc w:val="center"/>
        </w:trPr>
        <w:tc>
          <w:tcPr>
            <w:tcW w:w="2523" w:type="dxa"/>
            <w:vAlign w:val="center"/>
          </w:tcPr>
          <w:p w:rsidR="00867690" w:rsidRDefault="00E64BAB">
            <w:pPr>
              <w:pStyle w:val="normal0"/>
              <w:jc w:val="both"/>
              <w:rPr>
                <w:sz w:val="20"/>
                <w:szCs w:val="20"/>
              </w:rPr>
            </w:pPr>
            <w:r>
              <w:rPr>
                <w:sz w:val="20"/>
                <w:szCs w:val="20"/>
              </w:rPr>
              <w:t>Thiamine-</w:t>
            </w:r>
            <w:proofErr w:type="spellStart"/>
            <w:r>
              <w:rPr>
                <w:sz w:val="20"/>
                <w:szCs w:val="20"/>
              </w:rPr>
              <w:t>HCl</w:t>
            </w:r>
            <w:proofErr w:type="spellEnd"/>
          </w:p>
        </w:tc>
        <w:tc>
          <w:tcPr>
            <w:tcW w:w="3476" w:type="dxa"/>
            <w:vAlign w:val="center"/>
          </w:tcPr>
          <w:p w:rsidR="00867690" w:rsidRDefault="00E64BAB">
            <w:pPr>
              <w:pStyle w:val="normal0"/>
              <w:jc w:val="both"/>
              <w:rPr>
                <w:sz w:val="20"/>
                <w:szCs w:val="20"/>
              </w:rPr>
            </w:pPr>
            <w:r>
              <w:rPr>
                <w:sz w:val="20"/>
                <w:szCs w:val="20"/>
              </w:rPr>
              <w:t>0.200</w:t>
            </w:r>
          </w:p>
        </w:tc>
        <w:tc>
          <w:tcPr>
            <w:tcW w:w="3475" w:type="dxa"/>
            <w:vAlign w:val="center"/>
          </w:tcPr>
          <w:p w:rsidR="00867690" w:rsidRDefault="00E64BAB">
            <w:pPr>
              <w:pStyle w:val="normal0"/>
              <w:jc w:val="both"/>
              <w:rPr>
                <w:sz w:val="20"/>
                <w:szCs w:val="20"/>
              </w:rPr>
            </w:pPr>
            <w:r>
              <w:rPr>
                <w:sz w:val="20"/>
                <w:szCs w:val="20"/>
              </w:rPr>
              <w:t>0.400</w:t>
            </w:r>
          </w:p>
        </w:tc>
      </w:tr>
      <w:tr w:rsidR="00867690">
        <w:trPr>
          <w:jc w:val="center"/>
        </w:trPr>
        <w:tc>
          <w:tcPr>
            <w:tcW w:w="2523" w:type="dxa"/>
            <w:vAlign w:val="center"/>
          </w:tcPr>
          <w:p w:rsidR="00867690" w:rsidRDefault="00E64BAB">
            <w:pPr>
              <w:pStyle w:val="normal0"/>
              <w:jc w:val="both"/>
              <w:rPr>
                <w:sz w:val="20"/>
                <w:szCs w:val="20"/>
              </w:rPr>
            </w:pPr>
            <w:r>
              <w:rPr>
                <w:sz w:val="20"/>
                <w:szCs w:val="20"/>
              </w:rPr>
              <w:t>Biotin</w:t>
            </w:r>
          </w:p>
        </w:tc>
        <w:tc>
          <w:tcPr>
            <w:tcW w:w="3476" w:type="dxa"/>
            <w:vAlign w:val="center"/>
          </w:tcPr>
          <w:p w:rsidR="00867690" w:rsidRDefault="00E64BAB">
            <w:pPr>
              <w:pStyle w:val="normal0"/>
              <w:jc w:val="both"/>
              <w:rPr>
                <w:sz w:val="20"/>
                <w:szCs w:val="20"/>
              </w:rPr>
            </w:pPr>
            <w:r>
              <w:rPr>
                <w:sz w:val="20"/>
                <w:szCs w:val="20"/>
              </w:rPr>
              <w:t>0.001</w:t>
            </w:r>
          </w:p>
        </w:tc>
        <w:tc>
          <w:tcPr>
            <w:tcW w:w="3475" w:type="dxa"/>
            <w:vAlign w:val="center"/>
          </w:tcPr>
          <w:p w:rsidR="00867690" w:rsidRDefault="00E64BAB">
            <w:pPr>
              <w:pStyle w:val="normal0"/>
              <w:jc w:val="both"/>
              <w:rPr>
                <w:sz w:val="20"/>
                <w:szCs w:val="20"/>
              </w:rPr>
            </w:pPr>
            <w:r>
              <w:rPr>
                <w:sz w:val="20"/>
                <w:szCs w:val="20"/>
              </w:rPr>
              <w:t>0.002</w:t>
            </w:r>
          </w:p>
        </w:tc>
      </w:tr>
      <w:tr w:rsidR="00867690">
        <w:trPr>
          <w:jc w:val="center"/>
        </w:trPr>
        <w:tc>
          <w:tcPr>
            <w:tcW w:w="2523" w:type="dxa"/>
            <w:vAlign w:val="center"/>
          </w:tcPr>
          <w:p w:rsidR="00867690" w:rsidRDefault="00E64BAB">
            <w:pPr>
              <w:pStyle w:val="normal0"/>
              <w:jc w:val="both"/>
              <w:rPr>
                <w:sz w:val="20"/>
                <w:szCs w:val="20"/>
              </w:rPr>
            </w:pPr>
            <w:r>
              <w:rPr>
                <w:sz w:val="20"/>
                <w:szCs w:val="20"/>
              </w:rPr>
              <w:t>B12</w:t>
            </w:r>
          </w:p>
        </w:tc>
        <w:tc>
          <w:tcPr>
            <w:tcW w:w="3476" w:type="dxa"/>
            <w:vAlign w:val="center"/>
          </w:tcPr>
          <w:p w:rsidR="00867690" w:rsidRDefault="00E64BAB">
            <w:pPr>
              <w:pStyle w:val="normal0"/>
              <w:jc w:val="both"/>
              <w:rPr>
                <w:sz w:val="20"/>
                <w:szCs w:val="20"/>
              </w:rPr>
            </w:pPr>
            <w:r>
              <w:rPr>
                <w:sz w:val="20"/>
                <w:szCs w:val="20"/>
              </w:rPr>
              <w:t>0.001</w:t>
            </w:r>
          </w:p>
        </w:tc>
        <w:tc>
          <w:tcPr>
            <w:tcW w:w="3475" w:type="dxa"/>
            <w:vAlign w:val="center"/>
          </w:tcPr>
          <w:p w:rsidR="00867690" w:rsidRDefault="00E64BAB">
            <w:pPr>
              <w:pStyle w:val="normal0"/>
              <w:jc w:val="both"/>
              <w:rPr>
                <w:sz w:val="20"/>
                <w:szCs w:val="20"/>
              </w:rPr>
            </w:pPr>
            <w:r>
              <w:rPr>
                <w:sz w:val="20"/>
                <w:szCs w:val="20"/>
              </w:rPr>
              <w:t>0.002</w:t>
            </w:r>
          </w:p>
        </w:tc>
      </w:tr>
    </w:tbl>
    <w:p w:rsidR="00867690" w:rsidRDefault="00867690">
      <w:pPr>
        <w:pStyle w:val="normal0"/>
        <w:ind w:firstLine="425"/>
        <w:jc w:val="both"/>
        <w:rPr>
          <w:sz w:val="20"/>
          <w:szCs w:val="20"/>
        </w:rPr>
      </w:pPr>
    </w:p>
    <w:p w:rsidR="00867690" w:rsidRDefault="00867690">
      <w:pPr>
        <w:pStyle w:val="normal0"/>
        <w:ind w:firstLine="425"/>
        <w:jc w:val="both"/>
        <w:rPr>
          <w:sz w:val="20"/>
          <w:szCs w:val="20"/>
        </w:rPr>
        <w:sectPr w:rsidR="00867690">
          <w:type w:val="continuous"/>
          <w:pgSz w:w="12240" w:h="15840"/>
          <w:pgMar w:top="1440" w:right="1440" w:bottom="1440" w:left="1440" w:header="720" w:footer="720" w:gutter="0"/>
          <w:cols w:space="720"/>
        </w:sectPr>
      </w:pPr>
    </w:p>
    <w:p w:rsidR="00867690" w:rsidRDefault="00E64BAB">
      <w:pPr>
        <w:pStyle w:val="normal0"/>
        <w:ind w:firstLine="425"/>
        <w:jc w:val="both"/>
        <w:rPr>
          <w:sz w:val="20"/>
          <w:szCs w:val="20"/>
        </w:rPr>
      </w:pPr>
      <w:r>
        <w:rPr>
          <w:sz w:val="20"/>
          <w:szCs w:val="20"/>
        </w:rPr>
        <w:lastRenderedPageBreak/>
        <w:t xml:space="preserve">All solutions prepared separately using clean sterilized volumetric flasks, clean pipettes, digital balance, and mixed with magnetic stirring bars. Filter sterilize was used in each solution using a 0.2 µm filter and a vacuum pump assembly. Vitamins should not be heat sterilized. Media solutions were stored in the refrigerator, while vitamins stored in the freezer and thawed before use. All chemicals were dated when received and when opened. All solutions were clearly </w:t>
      </w:r>
      <w:proofErr w:type="spellStart"/>
      <w:r>
        <w:rPr>
          <w:sz w:val="20"/>
          <w:szCs w:val="20"/>
        </w:rPr>
        <w:t>labeled</w:t>
      </w:r>
      <w:proofErr w:type="spellEnd"/>
      <w:r>
        <w:rPr>
          <w:sz w:val="20"/>
          <w:szCs w:val="20"/>
        </w:rPr>
        <w:t xml:space="preserve"> at every step, and aseptic technique was used in preparation.</w:t>
      </w:r>
    </w:p>
    <w:p w:rsidR="00867690" w:rsidRDefault="00E64BAB">
      <w:pPr>
        <w:pStyle w:val="normal0"/>
        <w:jc w:val="both"/>
        <w:rPr>
          <w:b/>
          <w:sz w:val="20"/>
          <w:szCs w:val="20"/>
        </w:rPr>
      </w:pPr>
      <w:r>
        <w:rPr>
          <w:b/>
          <w:sz w:val="20"/>
          <w:szCs w:val="20"/>
        </w:rPr>
        <w:t>Nutrient Media Supplies List:</w:t>
      </w:r>
    </w:p>
    <w:p w:rsidR="00867690" w:rsidRDefault="00E64BAB">
      <w:pPr>
        <w:pStyle w:val="normal0"/>
        <w:ind w:firstLine="425"/>
        <w:jc w:val="both"/>
        <w:rPr>
          <w:sz w:val="20"/>
          <w:szCs w:val="20"/>
        </w:rPr>
      </w:pPr>
      <w:r>
        <w:rPr>
          <w:sz w:val="20"/>
          <w:szCs w:val="20"/>
        </w:rPr>
        <w:t xml:space="preserve">Volumetric flask (1000mL; measuring), Erlenmeyer flasks (3000mL; mixing and storing), Graduated cylinders (500 or 1000 </w:t>
      </w:r>
      <w:proofErr w:type="spellStart"/>
      <w:r>
        <w:rPr>
          <w:sz w:val="20"/>
          <w:szCs w:val="20"/>
        </w:rPr>
        <w:t>mL</w:t>
      </w:r>
      <w:proofErr w:type="spellEnd"/>
      <w:r>
        <w:rPr>
          <w:sz w:val="20"/>
          <w:szCs w:val="20"/>
        </w:rPr>
        <w:t>), Storage flasks and bottles.</w:t>
      </w:r>
    </w:p>
    <w:p w:rsidR="00867690" w:rsidRDefault="00E64BAB">
      <w:pPr>
        <w:pStyle w:val="normal0"/>
        <w:ind w:firstLine="425"/>
        <w:jc w:val="both"/>
        <w:rPr>
          <w:sz w:val="20"/>
          <w:szCs w:val="20"/>
        </w:rPr>
      </w:pPr>
      <w:r>
        <w:rPr>
          <w:sz w:val="20"/>
          <w:szCs w:val="20"/>
        </w:rPr>
        <w:t xml:space="preserve">Digital scale (0.0001 g; 3 decimal places), Weigh paper/boats, Metal chemical spoon or spatula (measuring), Safety goggles and gloves, 0.2 micron filter for media sterilization (Corning Disposable Sterile Bottle Top Filter, 150mL Funnel, #25965-45), Pyrex screw-cap media storage bottles (media storage), Flame (for sterile technique; Bunsen burner, etc), Sterile pipettes, 10mL (measuring; disposable plastic or glass </w:t>
      </w:r>
      <w:proofErr w:type="spellStart"/>
      <w:r>
        <w:rPr>
          <w:sz w:val="20"/>
          <w:szCs w:val="20"/>
        </w:rPr>
        <w:t>autoclavable</w:t>
      </w:r>
      <w:proofErr w:type="spellEnd"/>
      <w:r>
        <w:rPr>
          <w:sz w:val="20"/>
          <w:szCs w:val="20"/>
        </w:rPr>
        <w:t xml:space="preserve">), Pipette bulb or motor, Potable pH meter and associated buffers, Stirring plate and magnetic stir bars and </w:t>
      </w:r>
      <w:proofErr w:type="spellStart"/>
      <w:r>
        <w:rPr>
          <w:sz w:val="20"/>
          <w:szCs w:val="20"/>
        </w:rPr>
        <w:t>Parafilm</w:t>
      </w:r>
      <w:proofErr w:type="spellEnd"/>
      <w:r>
        <w:rPr>
          <w:sz w:val="20"/>
          <w:szCs w:val="20"/>
        </w:rPr>
        <w:t>.</w:t>
      </w:r>
    </w:p>
    <w:p w:rsidR="00867690" w:rsidRDefault="00E64BAB">
      <w:pPr>
        <w:pStyle w:val="normal0"/>
        <w:jc w:val="both"/>
        <w:rPr>
          <w:b/>
          <w:sz w:val="20"/>
          <w:szCs w:val="20"/>
        </w:rPr>
      </w:pPr>
      <w:r>
        <w:rPr>
          <w:b/>
          <w:sz w:val="20"/>
          <w:szCs w:val="20"/>
        </w:rPr>
        <w:t>Growth rate:</w:t>
      </w:r>
    </w:p>
    <w:p w:rsidR="00867690" w:rsidRDefault="00E64BAB">
      <w:pPr>
        <w:pStyle w:val="normal0"/>
        <w:ind w:firstLine="425"/>
        <w:jc w:val="both"/>
        <w:rPr>
          <w:sz w:val="20"/>
          <w:szCs w:val="20"/>
        </w:rPr>
      </w:pPr>
      <w:r>
        <w:rPr>
          <w:sz w:val="20"/>
          <w:szCs w:val="20"/>
        </w:rPr>
        <w:t xml:space="preserve">Individual test seedlings were weighted before test planting. Actual planting was numbered tag sandals for identification purpose. The test plant was cleared daily. Test plant was tested individually with avoidance of direct exposure to sunlight or rain. Plants were weighted to get growth rate from the test plant with </w:t>
      </w:r>
      <w:proofErr w:type="spellStart"/>
      <w:r>
        <w:rPr>
          <w:sz w:val="20"/>
          <w:szCs w:val="20"/>
        </w:rPr>
        <w:t>aduration</w:t>
      </w:r>
      <w:proofErr w:type="spellEnd"/>
      <w:r>
        <w:rPr>
          <w:sz w:val="20"/>
          <w:szCs w:val="20"/>
        </w:rPr>
        <w:t xml:space="preserve"> of 6 weeks. Test plants were weighted </w:t>
      </w:r>
      <w:r>
        <w:rPr>
          <w:sz w:val="20"/>
          <w:szCs w:val="20"/>
        </w:rPr>
        <w:lastRenderedPageBreak/>
        <w:t>weekly or every 15 days to avoid stress on the plants. Test plants were checked and missing plants should be replaced immediately. The seedlings growing points was indicator of good growth. Triple beam balance/string balance or actual calculation was used in determining the incremental weight.</w:t>
      </w:r>
    </w:p>
    <w:p w:rsidR="00867690" w:rsidRDefault="00E64BAB">
      <w:pPr>
        <w:pStyle w:val="normal0"/>
        <w:jc w:val="both"/>
        <w:rPr>
          <w:b/>
          <w:sz w:val="20"/>
          <w:szCs w:val="20"/>
        </w:rPr>
      </w:pPr>
      <w:r>
        <w:rPr>
          <w:b/>
          <w:sz w:val="20"/>
          <w:szCs w:val="20"/>
        </w:rPr>
        <w:t>Formula for getting growth rate:</w:t>
      </w:r>
    </w:p>
    <w:p w:rsidR="00867690" w:rsidRDefault="00867690">
      <w:pPr>
        <w:pStyle w:val="normal0"/>
        <w:jc w:val="both"/>
        <w:rPr>
          <w:b/>
          <w:sz w:val="20"/>
          <w:szCs w:val="20"/>
        </w:rPr>
      </w:pPr>
    </w:p>
    <w:p w:rsidR="00867690" w:rsidRDefault="00703CB3">
      <w:pPr>
        <w:pStyle w:val="normal0"/>
        <w:ind w:firstLine="425"/>
        <w:jc w:val="both"/>
        <w:rPr>
          <w:b/>
          <w:sz w:val="20"/>
          <w:szCs w:val="20"/>
        </w:rPr>
      </w:pPr>
      <m:oMath>
        <m:f>
          <m:fPr>
            <m:ctrlPr>
              <w:rPr>
                <w:rFonts w:ascii="Cambria Math" w:hAnsi="Cambria Math"/>
                <w:sz w:val="20"/>
                <w:szCs w:val="20"/>
              </w:rPr>
            </m:ctrlPr>
          </m:fPr>
          <m:num>
            <m:r>
              <w:rPr>
                <w:sz w:val="20"/>
                <w:szCs w:val="20"/>
              </w:rPr>
              <m:t>TW – OW</m:t>
            </m:r>
          </m:num>
          <m:den>
            <m:r>
              <w:rPr>
                <w:sz w:val="20"/>
                <w:szCs w:val="20"/>
              </w:rPr>
              <m:t>No. of culture days</m:t>
            </m:r>
          </m:den>
        </m:f>
      </m:oMath>
      <w:r w:rsidR="00E64BAB">
        <w:rPr>
          <w:sz w:val="20"/>
          <w:szCs w:val="20"/>
        </w:rPr>
        <w:t xml:space="preserve"> = % daily growth rate (FAO,.2017)</w:t>
      </w:r>
    </w:p>
    <w:p w:rsidR="00867690" w:rsidRDefault="00867690">
      <w:pPr>
        <w:pStyle w:val="normal0"/>
        <w:jc w:val="both"/>
        <w:rPr>
          <w:b/>
          <w:sz w:val="20"/>
          <w:szCs w:val="20"/>
        </w:rPr>
      </w:pPr>
    </w:p>
    <w:p w:rsidR="00867690" w:rsidRDefault="00E64BAB">
      <w:pPr>
        <w:pStyle w:val="normal0"/>
        <w:ind w:firstLine="425"/>
        <w:jc w:val="both"/>
        <w:rPr>
          <w:sz w:val="20"/>
          <w:szCs w:val="20"/>
        </w:rPr>
      </w:pPr>
      <w:r>
        <w:rPr>
          <w:sz w:val="20"/>
          <w:szCs w:val="20"/>
        </w:rPr>
        <w:t>Where: TW = Total weight of plant after test planting, OW = Original weight of the plant before test planting and No. of culture days = Period of test planting.</w:t>
      </w:r>
    </w:p>
    <w:p w:rsidR="00867690" w:rsidRDefault="00E64BAB">
      <w:pPr>
        <w:pStyle w:val="normal0"/>
        <w:jc w:val="both"/>
        <w:rPr>
          <w:sz w:val="20"/>
          <w:szCs w:val="20"/>
        </w:rPr>
      </w:pPr>
      <w:proofErr w:type="spellStart"/>
      <w:r>
        <w:rPr>
          <w:b/>
          <w:sz w:val="20"/>
          <w:szCs w:val="20"/>
        </w:rPr>
        <w:t>Microscopical</w:t>
      </w:r>
      <w:proofErr w:type="spellEnd"/>
      <w:r>
        <w:rPr>
          <w:b/>
          <w:sz w:val="20"/>
          <w:szCs w:val="20"/>
        </w:rPr>
        <w:t xml:space="preserve"> examination:</w:t>
      </w:r>
    </w:p>
    <w:p w:rsidR="00867690" w:rsidRDefault="00E64BAB">
      <w:pPr>
        <w:pStyle w:val="normal0"/>
        <w:ind w:firstLine="425"/>
        <w:jc w:val="both"/>
        <w:rPr>
          <w:sz w:val="20"/>
          <w:szCs w:val="20"/>
        </w:rPr>
      </w:pPr>
      <w:r>
        <w:rPr>
          <w:sz w:val="20"/>
          <w:szCs w:val="20"/>
        </w:rPr>
        <w:t xml:space="preserve">According the morphological </w:t>
      </w:r>
      <w:proofErr w:type="spellStart"/>
      <w:r>
        <w:rPr>
          <w:sz w:val="20"/>
          <w:szCs w:val="20"/>
        </w:rPr>
        <w:t>characteries</w:t>
      </w:r>
      <w:proofErr w:type="spellEnd"/>
      <w:r>
        <w:rPr>
          <w:sz w:val="20"/>
          <w:szCs w:val="20"/>
        </w:rPr>
        <w:t xml:space="preserve">, the isolation and identification of </w:t>
      </w:r>
      <w:proofErr w:type="spellStart"/>
      <w:r>
        <w:rPr>
          <w:sz w:val="20"/>
          <w:szCs w:val="20"/>
        </w:rPr>
        <w:t>macroalge</w:t>
      </w:r>
      <w:proofErr w:type="spellEnd"/>
      <w:r>
        <w:rPr>
          <w:sz w:val="20"/>
          <w:szCs w:val="20"/>
        </w:rPr>
        <w:t xml:space="preserve"> as recorded by Dawes.1981and </w:t>
      </w:r>
      <w:proofErr w:type="spellStart"/>
      <w:r>
        <w:rPr>
          <w:sz w:val="20"/>
          <w:szCs w:val="20"/>
        </w:rPr>
        <w:t>Hoek</w:t>
      </w:r>
      <w:proofErr w:type="spellEnd"/>
      <w:r>
        <w:rPr>
          <w:sz w:val="20"/>
          <w:szCs w:val="20"/>
        </w:rPr>
        <w:t xml:space="preserve"> </w:t>
      </w:r>
      <w:r>
        <w:rPr>
          <w:i/>
          <w:sz w:val="20"/>
          <w:szCs w:val="20"/>
        </w:rPr>
        <w:t>et al</w:t>
      </w:r>
      <w:r>
        <w:rPr>
          <w:sz w:val="20"/>
          <w:szCs w:val="20"/>
        </w:rPr>
        <w:t>.,1995.</w:t>
      </w:r>
    </w:p>
    <w:p w:rsidR="00867690" w:rsidRDefault="00867690">
      <w:pPr>
        <w:pStyle w:val="normal0"/>
        <w:ind w:firstLine="425"/>
        <w:jc w:val="both"/>
        <w:rPr>
          <w:sz w:val="20"/>
          <w:szCs w:val="20"/>
        </w:rPr>
      </w:pPr>
    </w:p>
    <w:p w:rsidR="00867690" w:rsidRDefault="00E64BAB">
      <w:pPr>
        <w:pStyle w:val="normal0"/>
        <w:jc w:val="both"/>
        <w:rPr>
          <w:sz w:val="20"/>
          <w:szCs w:val="20"/>
        </w:rPr>
      </w:pPr>
      <w:r>
        <w:rPr>
          <w:b/>
          <w:sz w:val="20"/>
          <w:szCs w:val="20"/>
        </w:rPr>
        <w:t>3. Results and Discussion</w:t>
      </w:r>
    </w:p>
    <w:p w:rsidR="00867690" w:rsidRDefault="00E64BAB">
      <w:pPr>
        <w:pStyle w:val="normal0"/>
        <w:pBdr>
          <w:top w:val="nil"/>
          <w:left w:val="nil"/>
          <w:bottom w:val="nil"/>
          <w:right w:val="nil"/>
          <w:between w:val="nil"/>
        </w:pBdr>
        <w:ind w:firstLine="425"/>
        <w:jc w:val="both"/>
        <w:rPr>
          <w:color w:val="000000"/>
          <w:sz w:val="20"/>
          <w:szCs w:val="20"/>
        </w:rPr>
      </w:pPr>
      <w:r>
        <w:rPr>
          <w:color w:val="000000"/>
          <w:sz w:val="20"/>
          <w:szCs w:val="20"/>
        </w:rPr>
        <w:t xml:space="preserve">The aim of the Ismailia project is not an environmental study of seaweeds, which requires monthly or seasonal samples from both Suez Canal and fish farms to conduct statistical analysis of seaweeds distribution. </w:t>
      </w:r>
    </w:p>
    <w:p w:rsidR="00867690" w:rsidRDefault="00E64BAB">
      <w:pPr>
        <w:pStyle w:val="normal0"/>
        <w:pBdr>
          <w:top w:val="nil"/>
          <w:left w:val="nil"/>
          <w:bottom w:val="nil"/>
          <w:right w:val="nil"/>
          <w:between w:val="nil"/>
        </w:pBdr>
        <w:ind w:firstLine="425"/>
        <w:jc w:val="both"/>
        <w:rPr>
          <w:color w:val="000000"/>
          <w:sz w:val="20"/>
          <w:szCs w:val="20"/>
        </w:rPr>
      </w:pPr>
      <w:r>
        <w:rPr>
          <w:color w:val="000000"/>
          <w:sz w:val="20"/>
          <w:szCs w:val="20"/>
        </w:rPr>
        <w:t>Field trips that were carried out from the Suez Canal areas in the Ismailia are intensive collection according to the geographical and distribution of the seaweeds in this area and selection of some species suitable for aquaculture. The 50 x 50 cm square method was used to obtain the percentage covered of the seaweeds; the area was divided into the following zones:</w:t>
      </w:r>
    </w:p>
    <w:p w:rsidR="00867690" w:rsidRDefault="00E64BAB">
      <w:pPr>
        <w:pStyle w:val="normal0"/>
        <w:pBdr>
          <w:top w:val="nil"/>
          <w:left w:val="nil"/>
          <w:bottom w:val="nil"/>
          <w:right w:val="nil"/>
          <w:between w:val="nil"/>
        </w:pBdr>
        <w:ind w:firstLine="425"/>
        <w:jc w:val="both"/>
        <w:rPr>
          <w:color w:val="000000"/>
          <w:sz w:val="20"/>
          <w:szCs w:val="20"/>
        </w:rPr>
      </w:pPr>
      <w:r>
        <w:rPr>
          <w:color w:val="000000"/>
          <w:sz w:val="20"/>
          <w:szCs w:val="20"/>
        </w:rPr>
        <w:lastRenderedPageBreak/>
        <w:t xml:space="preserve">In which species of blue-green algae and percentage covered of green algae represented by </w:t>
      </w:r>
      <w:proofErr w:type="spellStart"/>
      <w:r>
        <w:rPr>
          <w:color w:val="000000"/>
          <w:sz w:val="20"/>
          <w:szCs w:val="20"/>
        </w:rPr>
        <w:t>Enteromorpha</w:t>
      </w:r>
      <w:proofErr w:type="spellEnd"/>
      <w:r>
        <w:rPr>
          <w:color w:val="000000"/>
          <w:sz w:val="20"/>
          <w:szCs w:val="20"/>
        </w:rPr>
        <w:t xml:space="preserve"> </w:t>
      </w:r>
      <w:proofErr w:type="spellStart"/>
      <w:r>
        <w:rPr>
          <w:color w:val="000000"/>
          <w:sz w:val="20"/>
          <w:szCs w:val="20"/>
        </w:rPr>
        <w:t>intestinalis</w:t>
      </w:r>
      <w:proofErr w:type="spellEnd"/>
      <w:r>
        <w:rPr>
          <w:color w:val="000000"/>
          <w:sz w:val="20"/>
          <w:szCs w:val="20"/>
        </w:rPr>
        <w:t xml:space="preserve"> and </w:t>
      </w:r>
      <w:proofErr w:type="spellStart"/>
      <w:r>
        <w:rPr>
          <w:color w:val="000000"/>
          <w:sz w:val="20"/>
          <w:szCs w:val="20"/>
        </w:rPr>
        <w:t>Ulva</w:t>
      </w:r>
      <w:proofErr w:type="spellEnd"/>
      <w:r>
        <w:rPr>
          <w:color w:val="000000"/>
          <w:sz w:val="20"/>
          <w:szCs w:val="20"/>
        </w:rPr>
        <w:t xml:space="preserve"> </w:t>
      </w:r>
      <w:proofErr w:type="spellStart"/>
      <w:r>
        <w:rPr>
          <w:color w:val="000000"/>
          <w:sz w:val="20"/>
          <w:szCs w:val="20"/>
        </w:rPr>
        <w:t>lactuca</w:t>
      </w:r>
      <w:proofErr w:type="spellEnd"/>
      <w:r>
        <w:rPr>
          <w:color w:val="000000"/>
          <w:sz w:val="20"/>
          <w:szCs w:val="20"/>
        </w:rPr>
        <w:t xml:space="preserve"> </w:t>
      </w:r>
      <w:r>
        <w:rPr>
          <w:color w:val="000000"/>
          <w:sz w:val="20"/>
          <w:szCs w:val="20"/>
        </w:rPr>
        <w:lastRenderedPageBreak/>
        <w:t xml:space="preserve">respectively, with a small percentage of red algae represented by </w:t>
      </w:r>
      <w:proofErr w:type="spellStart"/>
      <w:r>
        <w:rPr>
          <w:color w:val="000000"/>
          <w:sz w:val="20"/>
          <w:szCs w:val="20"/>
        </w:rPr>
        <w:t>Porphyraumbilicalis</w:t>
      </w:r>
      <w:proofErr w:type="spellEnd"/>
      <w:r>
        <w:rPr>
          <w:color w:val="000000"/>
          <w:sz w:val="20"/>
          <w:szCs w:val="20"/>
        </w:rPr>
        <w:t>. (Table 2)</w:t>
      </w:r>
    </w:p>
    <w:p w:rsidR="00867690" w:rsidRDefault="00E64BAB">
      <w:pPr>
        <w:pStyle w:val="normal0"/>
        <w:numPr>
          <w:ilvl w:val="0"/>
          <w:numId w:val="2"/>
        </w:numPr>
        <w:pBdr>
          <w:top w:val="nil"/>
          <w:left w:val="nil"/>
          <w:bottom w:val="nil"/>
          <w:right w:val="nil"/>
          <w:between w:val="nil"/>
        </w:pBdr>
        <w:ind w:left="0" w:firstLine="0"/>
        <w:jc w:val="both"/>
        <w:rPr>
          <w:b/>
          <w:color w:val="000000"/>
          <w:sz w:val="20"/>
          <w:szCs w:val="20"/>
        </w:rPr>
      </w:pPr>
      <w:r>
        <w:rPr>
          <w:b/>
          <w:color w:val="000000"/>
          <w:sz w:val="20"/>
          <w:szCs w:val="20"/>
        </w:rPr>
        <w:t>Supra Tidal zone</w:t>
      </w:r>
    </w:p>
    <w:p w:rsidR="00867690" w:rsidRDefault="00867690">
      <w:pPr>
        <w:pStyle w:val="normal0"/>
        <w:ind w:firstLine="425"/>
        <w:jc w:val="both"/>
        <w:rPr>
          <w:sz w:val="20"/>
          <w:szCs w:val="20"/>
        </w:rPr>
        <w:sectPr w:rsidR="00867690">
          <w:type w:val="continuous"/>
          <w:pgSz w:w="12240" w:h="15840"/>
          <w:pgMar w:top="1440" w:right="1440" w:bottom="1440" w:left="1440" w:header="720" w:footer="720" w:gutter="0"/>
          <w:cols w:num="2" w:space="720" w:equalWidth="0">
            <w:col w:w="4380" w:space="600"/>
            <w:col w:w="4380" w:space="0"/>
          </w:cols>
        </w:sectPr>
      </w:pPr>
    </w:p>
    <w:p w:rsidR="00867690" w:rsidRDefault="00867690">
      <w:pPr>
        <w:pStyle w:val="normal0"/>
        <w:ind w:firstLine="425"/>
        <w:jc w:val="both"/>
        <w:rPr>
          <w:sz w:val="20"/>
          <w:szCs w:val="20"/>
        </w:rPr>
      </w:pPr>
    </w:p>
    <w:tbl>
      <w:tblPr>
        <w:tblStyle w:val="a0"/>
        <w:tblW w:w="9474" w:type="dxa"/>
        <w:jc w:val="center"/>
        <w:tblBorders>
          <w:top w:val="nil"/>
          <w:left w:val="nil"/>
          <w:bottom w:val="nil"/>
          <w:right w:val="nil"/>
          <w:insideH w:val="nil"/>
          <w:insideV w:val="nil"/>
        </w:tblBorders>
        <w:tblLayout w:type="fixed"/>
        <w:tblLook w:val="0400"/>
      </w:tblPr>
      <w:tblGrid>
        <w:gridCol w:w="9474"/>
      </w:tblGrid>
      <w:tr w:rsidR="00867690">
        <w:trPr>
          <w:jc w:val="center"/>
        </w:trPr>
        <w:tc>
          <w:tcPr>
            <w:tcW w:w="9474" w:type="dxa"/>
            <w:vAlign w:val="center"/>
          </w:tcPr>
          <w:p w:rsidR="00867690" w:rsidRDefault="00867690">
            <w:pPr>
              <w:pStyle w:val="normal0"/>
              <w:widowControl w:val="0"/>
              <w:pBdr>
                <w:top w:val="nil"/>
                <w:left w:val="nil"/>
                <w:bottom w:val="nil"/>
                <w:right w:val="nil"/>
                <w:between w:val="nil"/>
              </w:pBdr>
              <w:spacing w:line="276" w:lineRule="auto"/>
              <w:rPr>
                <w:sz w:val="20"/>
                <w:szCs w:val="20"/>
              </w:rPr>
            </w:pPr>
          </w:p>
          <w:tbl>
            <w:tblPr>
              <w:tblStyle w:val="a1"/>
              <w:bidiVisual/>
              <w:tblW w:w="7442"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52"/>
              <w:gridCol w:w="3790"/>
            </w:tblGrid>
            <w:tr w:rsidR="00867690">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means</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Species</w:t>
                  </w:r>
                </w:p>
              </w:tc>
            </w:tr>
            <w:tr w:rsidR="00867690">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60</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Blue green algae</w:t>
                  </w:r>
                </w:p>
              </w:tc>
            </w:tr>
            <w:tr w:rsidR="00867690">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8</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Enteromorpha</w:t>
                  </w:r>
                  <w:proofErr w:type="spellEnd"/>
                  <w:r>
                    <w:rPr>
                      <w:color w:val="000000"/>
                      <w:sz w:val="20"/>
                      <w:szCs w:val="20"/>
                    </w:rPr>
                    <w:t xml:space="preserve"> </w:t>
                  </w:r>
                  <w:proofErr w:type="spellStart"/>
                  <w:r>
                    <w:rPr>
                      <w:color w:val="000000"/>
                      <w:sz w:val="20"/>
                      <w:szCs w:val="20"/>
                    </w:rPr>
                    <w:t>intestinalis</w:t>
                  </w:r>
                  <w:proofErr w:type="spellEnd"/>
                </w:p>
              </w:tc>
            </w:tr>
            <w:tr w:rsidR="00867690">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4</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Ulva</w:t>
                  </w:r>
                  <w:proofErr w:type="spellEnd"/>
                  <w:r>
                    <w:rPr>
                      <w:color w:val="000000"/>
                      <w:sz w:val="20"/>
                      <w:szCs w:val="20"/>
                    </w:rPr>
                    <w:t xml:space="preserve"> </w:t>
                  </w:r>
                  <w:proofErr w:type="spellStart"/>
                  <w:r>
                    <w:rPr>
                      <w:color w:val="000000"/>
                      <w:sz w:val="20"/>
                      <w:szCs w:val="20"/>
                    </w:rPr>
                    <w:t>lactuca</w:t>
                  </w:r>
                  <w:proofErr w:type="spellEnd"/>
                </w:p>
              </w:tc>
            </w:tr>
            <w:tr w:rsidR="00867690">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2</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Porphyraumbilicalis</w:t>
                  </w:r>
                  <w:proofErr w:type="spellEnd"/>
                </w:p>
              </w:tc>
            </w:tr>
            <w:tr w:rsidR="00867690">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26</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 xml:space="preserve">Sandy </w:t>
                  </w:r>
                  <w:proofErr w:type="spellStart"/>
                  <w:r>
                    <w:rPr>
                      <w:color w:val="000000"/>
                      <w:sz w:val="20"/>
                      <w:szCs w:val="20"/>
                    </w:rPr>
                    <w:t>Fil</w:t>
                  </w:r>
                  <w:proofErr w:type="spellEnd"/>
                </w:p>
              </w:tc>
            </w:tr>
          </w:tbl>
          <w:p w:rsidR="00867690" w:rsidRDefault="00867690">
            <w:pPr>
              <w:pStyle w:val="normal0"/>
              <w:pBdr>
                <w:top w:val="nil"/>
                <w:left w:val="nil"/>
                <w:bottom w:val="nil"/>
                <w:right w:val="nil"/>
                <w:between w:val="nil"/>
              </w:pBdr>
              <w:jc w:val="both"/>
              <w:rPr>
                <w:color w:val="000000"/>
                <w:sz w:val="20"/>
                <w:szCs w:val="20"/>
              </w:rPr>
            </w:pPr>
          </w:p>
        </w:tc>
      </w:tr>
      <w:tr w:rsidR="00867690">
        <w:trPr>
          <w:jc w:val="center"/>
        </w:trPr>
        <w:tc>
          <w:tcPr>
            <w:tcW w:w="9474" w:type="dxa"/>
            <w:vAlign w:val="center"/>
          </w:tcPr>
          <w:p w:rsidR="00867690" w:rsidRDefault="00E64BAB">
            <w:pPr>
              <w:pStyle w:val="normal0"/>
              <w:pBdr>
                <w:top w:val="nil"/>
                <w:left w:val="nil"/>
                <w:bottom w:val="nil"/>
                <w:right w:val="nil"/>
                <w:between w:val="nil"/>
              </w:pBdr>
              <w:jc w:val="center"/>
              <w:rPr>
                <w:color w:val="000000"/>
                <w:sz w:val="20"/>
                <w:szCs w:val="20"/>
              </w:rPr>
            </w:pPr>
            <w:r>
              <w:rPr>
                <w:noProof/>
                <w:color w:val="000000"/>
                <w:sz w:val="20"/>
                <w:szCs w:val="20"/>
                <w:lang w:val="en-US"/>
              </w:rPr>
              <w:drawing>
                <wp:inline distT="0" distB="0" distL="0" distR="0">
                  <wp:extent cx="4401875" cy="2973788"/>
                  <wp:effectExtent l="1905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a:stretch>
                            <a:fillRect/>
                          </a:stretch>
                        </pic:blipFill>
                        <pic:spPr>
                          <a:xfrm>
                            <a:off x="0" y="0"/>
                            <a:ext cx="4401877" cy="2973789"/>
                          </a:xfrm>
                          <a:prstGeom prst="rect">
                            <a:avLst/>
                          </a:prstGeom>
                          <a:ln/>
                        </pic:spPr>
                      </pic:pic>
                    </a:graphicData>
                  </a:graphic>
                </wp:inline>
              </w:drawing>
            </w:r>
          </w:p>
        </w:tc>
      </w:tr>
    </w:tbl>
    <w:p w:rsidR="00867690" w:rsidRDefault="00867690">
      <w:pPr>
        <w:pStyle w:val="normal0"/>
        <w:pBdr>
          <w:top w:val="nil"/>
          <w:left w:val="nil"/>
          <w:bottom w:val="nil"/>
          <w:right w:val="nil"/>
          <w:between w:val="nil"/>
        </w:pBdr>
        <w:jc w:val="both"/>
        <w:rPr>
          <w:b/>
          <w:color w:val="000000"/>
          <w:sz w:val="20"/>
          <w:szCs w:val="20"/>
        </w:rPr>
      </w:pPr>
    </w:p>
    <w:p w:rsidR="002D5209" w:rsidRDefault="002D5209">
      <w:pPr>
        <w:pStyle w:val="normal0"/>
        <w:pBdr>
          <w:top w:val="nil"/>
          <w:left w:val="nil"/>
          <w:bottom w:val="nil"/>
          <w:right w:val="nil"/>
          <w:between w:val="nil"/>
        </w:pBdr>
        <w:jc w:val="both"/>
        <w:rPr>
          <w:b/>
          <w:color w:val="000000"/>
          <w:sz w:val="20"/>
          <w:szCs w:val="20"/>
        </w:rPr>
      </w:pPr>
    </w:p>
    <w:p w:rsidR="002D5209" w:rsidRPr="002D5209" w:rsidRDefault="002D5209">
      <w:pPr>
        <w:pStyle w:val="normal0"/>
        <w:pBdr>
          <w:top w:val="nil"/>
          <w:left w:val="nil"/>
          <w:bottom w:val="nil"/>
          <w:right w:val="nil"/>
          <w:between w:val="nil"/>
        </w:pBdr>
        <w:jc w:val="both"/>
        <w:rPr>
          <w:b/>
          <w:color w:val="000000"/>
          <w:sz w:val="20"/>
          <w:szCs w:val="20"/>
        </w:rPr>
      </w:pPr>
    </w:p>
    <w:p w:rsidR="00867690" w:rsidRDefault="00E64BAB">
      <w:pPr>
        <w:pStyle w:val="normal0"/>
        <w:numPr>
          <w:ilvl w:val="0"/>
          <w:numId w:val="2"/>
        </w:numPr>
        <w:pBdr>
          <w:top w:val="nil"/>
          <w:left w:val="nil"/>
          <w:bottom w:val="nil"/>
          <w:right w:val="nil"/>
          <w:between w:val="nil"/>
        </w:pBdr>
        <w:ind w:left="0" w:firstLine="0"/>
        <w:jc w:val="both"/>
        <w:rPr>
          <w:b/>
          <w:color w:val="000000"/>
          <w:sz w:val="20"/>
          <w:szCs w:val="20"/>
        </w:rPr>
      </w:pPr>
      <w:r>
        <w:rPr>
          <w:b/>
          <w:color w:val="000000"/>
          <w:sz w:val="20"/>
          <w:szCs w:val="20"/>
        </w:rPr>
        <w:t>Intertidal Zone</w:t>
      </w:r>
    </w:p>
    <w:p w:rsidR="00867690" w:rsidRDefault="00E64BAB">
      <w:pPr>
        <w:pStyle w:val="normal0"/>
        <w:pBdr>
          <w:top w:val="nil"/>
          <w:left w:val="nil"/>
          <w:bottom w:val="nil"/>
          <w:right w:val="nil"/>
          <w:between w:val="nil"/>
        </w:pBdr>
        <w:ind w:firstLine="425"/>
        <w:jc w:val="both"/>
        <w:rPr>
          <w:color w:val="000000"/>
          <w:sz w:val="20"/>
          <w:szCs w:val="20"/>
        </w:rPr>
      </w:pPr>
      <w:r>
        <w:rPr>
          <w:color w:val="000000"/>
          <w:sz w:val="20"/>
          <w:szCs w:val="20"/>
        </w:rPr>
        <w:t xml:space="preserve">Which represented by </w:t>
      </w:r>
      <w:proofErr w:type="spellStart"/>
      <w:r>
        <w:rPr>
          <w:color w:val="000000"/>
          <w:sz w:val="20"/>
          <w:szCs w:val="20"/>
        </w:rPr>
        <w:t>Porphyraumbilicalis</w:t>
      </w:r>
      <w:proofErr w:type="spellEnd"/>
      <w:r>
        <w:rPr>
          <w:color w:val="000000"/>
          <w:sz w:val="20"/>
          <w:szCs w:val="20"/>
        </w:rPr>
        <w:t xml:space="preserve">, </w:t>
      </w:r>
      <w:proofErr w:type="spellStart"/>
      <w:r>
        <w:rPr>
          <w:color w:val="000000"/>
          <w:sz w:val="20"/>
          <w:szCs w:val="20"/>
        </w:rPr>
        <w:t>Enteromorpha</w:t>
      </w:r>
      <w:proofErr w:type="spellEnd"/>
      <w:r>
        <w:rPr>
          <w:color w:val="000000"/>
          <w:sz w:val="20"/>
          <w:szCs w:val="20"/>
        </w:rPr>
        <w:t xml:space="preserve"> </w:t>
      </w:r>
      <w:proofErr w:type="spellStart"/>
      <w:r>
        <w:rPr>
          <w:color w:val="000000"/>
          <w:sz w:val="20"/>
          <w:szCs w:val="20"/>
        </w:rPr>
        <w:t>intestinalis</w:t>
      </w:r>
      <w:proofErr w:type="spellEnd"/>
      <w:r>
        <w:rPr>
          <w:color w:val="000000"/>
          <w:sz w:val="20"/>
          <w:szCs w:val="20"/>
        </w:rPr>
        <w:t xml:space="preserve"> and </w:t>
      </w:r>
      <w:proofErr w:type="spellStart"/>
      <w:r>
        <w:rPr>
          <w:color w:val="000000"/>
          <w:sz w:val="20"/>
          <w:szCs w:val="20"/>
        </w:rPr>
        <w:t>Ulva</w:t>
      </w:r>
      <w:proofErr w:type="spellEnd"/>
      <w:r>
        <w:rPr>
          <w:color w:val="000000"/>
          <w:sz w:val="20"/>
          <w:szCs w:val="20"/>
        </w:rPr>
        <w:t xml:space="preserve"> </w:t>
      </w:r>
      <w:proofErr w:type="spellStart"/>
      <w:r>
        <w:rPr>
          <w:color w:val="000000"/>
          <w:sz w:val="20"/>
          <w:szCs w:val="20"/>
        </w:rPr>
        <w:t>lactuca</w:t>
      </w:r>
      <w:proofErr w:type="spellEnd"/>
      <w:r>
        <w:rPr>
          <w:color w:val="000000"/>
          <w:sz w:val="20"/>
          <w:szCs w:val="20"/>
        </w:rPr>
        <w:t>. (Table 3)</w:t>
      </w:r>
    </w:p>
    <w:p w:rsidR="00867690" w:rsidRDefault="00867690">
      <w:pPr>
        <w:pStyle w:val="normal0"/>
        <w:pBdr>
          <w:top w:val="nil"/>
          <w:left w:val="nil"/>
          <w:bottom w:val="nil"/>
          <w:right w:val="nil"/>
          <w:between w:val="nil"/>
        </w:pBdr>
        <w:ind w:firstLine="425"/>
        <w:jc w:val="both"/>
        <w:rPr>
          <w:color w:val="000000"/>
          <w:sz w:val="20"/>
          <w:szCs w:val="20"/>
        </w:rPr>
      </w:pPr>
    </w:p>
    <w:tbl>
      <w:tblPr>
        <w:tblStyle w:val="a2"/>
        <w:tblW w:w="9474" w:type="dxa"/>
        <w:jc w:val="center"/>
        <w:tblBorders>
          <w:top w:val="nil"/>
          <w:left w:val="nil"/>
          <w:bottom w:val="nil"/>
          <w:right w:val="nil"/>
          <w:insideH w:val="nil"/>
          <w:insideV w:val="nil"/>
        </w:tblBorders>
        <w:tblLayout w:type="fixed"/>
        <w:tblLook w:val="0400"/>
      </w:tblPr>
      <w:tblGrid>
        <w:gridCol w:w="9474"/>
      </w:tblGrid>
      <w:tr w:rsidR="00867690">
        <w:trPr>
          <w:jc w:val="center"/>
        </w:trPr>
        <w:tc>
          <w:tcPr>
            <w:tcW w:w="9474" w:type="dxa"/>
            <w:vAlign w:val="center"/>
          </w:tcPr>
          <w:p w:rsidR="00867690" w:rsidRDefault="00867690">
            <w:pPr>
              <w:pStyle w:val="normal0"/>
              <w:widowControl w:val="0"/>
              <w:pBdr>
                <w:top w:val="nil"/>
                <w:left w:val="nil"/>
                <w:bottom w:val="nil"/>
                <w:right w:val="nil"/>
                <w:between w:val="nil"/>
              </w:pBdr>
              <w:spacing w:line="276" w:lineRule="auto"/>
              <w:rPr>
                <w:color w:val="000000"/>
                <w:sz w:val="20"/>
                <w:szCs w:val="20"/>
              </w:rPr>
            </w:pPr>
          </w:p>
          <w:tbl>
            <w:tblPr>
              <w:tblStyle w:val="a3"/>
              <w:bidiVisual/>
              <w:tblW w:w="7442"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52"/>
              <w:gridCol w:w="3790"/>
            </w:tblGrid>
            <w:tr w:rsidR="00867690">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 Cover (m2) Mean</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Species</w:t>
                  </w:r>
                </w:p>
              </w:tc>
            </w:tr>
            <w:tr w:rsidR="00867690">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4</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Porphyraumbilicalis</w:t>
                  </w:r>
                  <w:proofErr w:type="spellEnd"/>
                </w:p>
              </w:tc>
            </w:tr>
            <w:tr w:rsidR="00867690">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20</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Enteromorpha</w:t>
                  </w:r>
                  <w:proofErr w:type="spellEnd"/>
                  <w:r>
                    <w:rPr>
                      <w:color w:val="000000"/>
                      <w:sz w:val="20"/>
                      <w:szCs w:val="20"/>
                    </w:rPr>
                    <w:t xml:space="preserve"> </w:t>
                  </w:r>
                  <w:proofErr w:type="spellStart"/>
                  <w:r>
                    <w:rPr>
                      <w:color w:val="000000"/>
                      <w:sz w:val="20"/>
                      <w:szCs w:val="20"/>
                    </w:rPr>
                    <w:t>intestinalis</w:t>
                  </w:r>
                  <w:proofErr w:type="spellEnd"/>
                </w:p>
              </w:tc>
            </w:tr>
            <w:tr w:rsidR="00867690">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40</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Ulva</w:t>
                  </w:r>
                  <w:proofErr w:type="spellEnd"/>
                  <w:r>
                    <w:rPr>
                      <w:color w:val="000000"/>
                      <w:sz w:val="20"/>
                      <w:szCs w:val="20"/>
                    </w:rPr>
                    <w:t xml:space="preserve"> </w:t>
                  </w:r>
                  <w:proofErr w:type="spellStart"/>
                  <w:r>
                    <w:rPr>
                      <w:color w:val="000000"/>
                      <w:sz w:val="20"/>
                      <w:szCs w:val="20"/>
                    </w:rPr>
                    <w:t>lactuca</w:t>
                  </w:r>
                  <w:proofErr w:type="spellEnd"/>
                </w:p>
              </w:tc>
            </w:tr>
            <w:tr w:rsidR="00867690">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36</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 xml:space="preserve">Sand </w:t>
                  </w:r>
                  <w:proofErr w:type="spellStart"/>
                  <w:r>
                    <w:rPr>
                      <w:color w:val="000000"/>
                      <w:sz w:val="20"/>
                      <w:szCs w:val="20"/>
                    </w:rPr>
                    <w:t>Fil</w:t>
                  </w:r>
                  <w:proofErr w:type="spellEnd"/>
                </w:p>
              </w:tc>
            </w:tr>
          </w:tbl>
          <w:p w:rsidR="00867690" w:rsidRDefault="00867690">
            <w:pPr>
              <w:pStyle w:val="normal0"/>
              <w:pBdr>
                <w:top w:val="nil"/>
                <w:left w:val="nil"/>
                <w:bottom w:val="nil"/>
                <w:right w:val="nil"/>
                <w:between w:val="nil"/>
              </w:pBdr>
              <w:jc w:val="both"/>
              <w:rPr>
                <w:color w:val="000000"/>
                <w:sz w:val="20"/>
                <w:szCs w:val="20"/>
              </w:rPr>
            </w:pPr>
          </w:p>
        </w:tc>
      </w:tr>
      <w:tr w:rsidR="00867690">
        <w:trPr>
          <w:jc w:val="center"/>
        </w:trPr>
        <w:tc>
          <w:tcPr>
            <w:tcW w:w="9474" w:type="dxa"/>
            <w:vAlign w:val="center"/>
          </w:tcPr>
          <w:p w:rsidR="00867690" w:rsidRDefault="00E64BAB">
            <w:pPr>
              <w:pStyle w:val="normal0"/>
              <w:pBdr>
                <w:top w:val="nil"/>
                <w:left w:val="nil"/>
                <w:bottom w:val="nil"/>
                <w:right w:val="nil"/>
                <w:between w:val="nil"/>
              </w:pBdr>
              <w:jc w:val="center"/>
              <w:rPr>
                <w:color w:val="000000"/>
                <w:sz w:val="20"/>
                <w:szCs w:val="20"/>
              </w:rPr>
            </w:pPr>
            <w:r>
              <w:rPr>
                <w:noProof/>
                <w:color w:val="000000"/>
                <w:sz w:val="20"/>
                <w:szCs w:val="20"/>
                <w:lang w:val="en-US"/>
              </w:rPr>
              <w:lastRenderedPageBreak/>
              <w:drawing>
                <wp:inline distT="0" distB="0" distL="0" distR="0">
                  <wp:extent cx="4163336" cy="25441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cstate="print"/>
                          <a:srcRect/>
                          <a:stretch>
                            <a:fillRect/>
                          </a:stretch>
                        </pic:blipFill>
                        <pic:spPr>
                          <a:xfrm>
                            <a:off x="0" y="0"/>
                            <a:ext cx="4163336" cy="2544113"/>
                          </a:xfrm>
                          <a:prstGeom prst="rect">
                            <a:avLst/>
                          </a:prstGeom>
                          <a:ln/>
                        </pic:spPr>
                      </pic:pic>
                    </a:graphicData>
                  </a:graphic>
                </wp:inline>
              </w:drawing>
            </w:r>
          </w:p>
        </w:tc>
      </w:tr>
    </w:tbl>
    <w:p w:rsidR="00867690" w:rsidRDefault="00867690">
      <w:pPr>
        <w:pStyle w:val="normal0"/>
        <w:pBdr>
          <w:top w:val="nil"/>
          <w:left w:val="nil"/>
          <w:bottom w:val="nil"/>
          <w:right w:val="nil"/>
          <w:between w:val="nil"/>
        </w:pBdr>
        <w:ind w:firstLine="425"/>
        <w:jc w:val="both"/>
        <w:rPr>
          <w:color w:val="000000"/>
          <w:sz w:val="20"/>
          <w:szCs w:val="20"/>
        </w:rPr>
      </w:pPr>
    </w:p>
    <w:p w:rsidR="00867690" w:rsidRDefault="00E64BAB">
      <w:pPr>
        <w:pStyle w:val="normal0"/>
        <w:numPr>
          <w:ilvl w:val="0"/>
          <w:numId w:val="2"/>
        </w:numPr>
        <w:pBdr>
          <w:top w:val="nil"/>
          <w:left w:val="nil"/>
          <w:bottom w:val="nil"/>
          <w:right w:val="nil"/>
          <w:between w:val="nil"/>
        </w:pBdr>
        <w:ind w:left="0" w:firstLine="0"/>
        <w:jc w:val="both"/>
        <w:rPr>
          <w:b/>
          <w:color w:val="000000"/>
          <w:sz w:val="20"/>
          <w:szCs w:val="20"/>
        </w:rPr>
      </w:pPr>
      <w:r>
        <w:rPr>
          <w:b/>
          <w:color w:val="000000"/>
          <w:sz w:val="20"/>
          <w:szCs w:val="20"/>
        </w:rPr>
        <w:t>Sub-tidal Zone up to 1m depth. (Table 4)</w:t>
      </w:r>
    </w:p>
    <w:tbl>
      <w:tblPr>
        <w:tblStyle w:val="a4"/>
        <w:tblW w:w="9474" w:type="dxa"/>
        <w:jc w:val="center"/>
        <w:tblBorders>
          <w:top w:val="nil"/>
          <w:left w:val="nil"/>
          <w:bottom w:val="nil"/>
          <w:right w:val="nil"/>
          <w:insideH w:val="nil"/>
          <w:insideV w:val="nil"/>
        </w:tblBorders>
        <w:tblLayout w:type="fixed"/>
        <w:tblLook w:val="0400"/>
      </w:tblPr>
      <w:tblGrid>
        <w:gridCol w:w="9474"/>
      </w:tblGrid>
      <w:tr w:rsidR="00867690">
        <w:trPr>
          <w:jc w:val="center"/>
        </w:trPr>
        <w:tc>
          <w:tcPr>
            <w:tcW w:w="9474" w:type="dxa"/>
            <w:vAlign w:val="center"/>
          </w:tcPr>
          <w:tbl>
            <w:tblPr>
              <w:tblStyle w:val="a5"/>
              <w:bidiVisual/>
              <w:tblW w:w="7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52"/>
              <w:gridCol w:w="3790"/>
            </w:tblGrid>
            <w:tr w:rsidR="00867690">
              <w:trPr>
                <w:jc w:val="center"/>
              </w:trPr>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 Cover (m2) Mean</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Species</w:t>
                  </w:r>
                </w:p>
              </w:tc>
            </w:tr>
            <w:tr w:rsidR="00867690">
              <w:trPr>
                <w:jc w:val="center"/>
              </w:trPr>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4</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Enteromorpha</w:t>
                  </w:r>
                  <w:proofErr w:type="spellEnd"/>
                  <w:r>
                    <w:rPr>
                      <w:color w:val="000000"/>
                      <w:sz w:val="20"/>
                      <w:szCs w:val="20"/>
                    </w:rPr>
                    <w:t xml:space="preserve"> </w:t>
                  </w:r>
                  <w:proofErr w:type="spellStart"/>
                  <w:r>
                    <w:rPr>
                      <w:color w:val="000000"/>
                      <w:sz w:val="20"/>
                      <w:szCs w:val="20"/>
                    </w:rPr>
                    <w:t>intestinalis</w:t>
                  </w:r>
                  <w:proofErr w:type="spellEnd"/>
                </w:p>
              </w:tc>
            </w:tr>
            <w:tr w:rsidR="00867690">
              <w:trPr>
                <w:jc w:val="center"/>
              </w:trPr>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6</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Ulva</w:t>
                  </w:r>
                  <w:proofErr w:type="spellEnd"/>
                  <w:r>
                    <w:rPr>
                      <w:color w:val="000000"/>
                      <w:sz w:val="20"/>
                      <w:szCs w:val="20"/>
                    </w:rPr>
                    <w:t xml:space="preserve"> </w:t>
                  </w:r>
                  <w:proofErr w:type="spellStart"/>
                  <w:r>
                    <w:rPr>
                      <w:color w:val="000000"/>
                      <w:sz w:val="20"/>
                      <w:szCs w:val="20"/>
                    </w:rPr>
                    <w:t>lactuca</w:t>
                  </w:r>
                  <w:proofErr w:type="spellEnd"/>
                </w:p>
              </w:tc>
            </w:tr>
            <w:tr w:rsidR="00867690">
              <w:trPr>
                <w:jc w:val="center"/>
              </w:trPr>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4</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Gracilariaarcuate</w:t>
                  </w:r>
                  <w:proofErr w:type="spellEnd"/>
                </w:p>
              </w:tc>
            </w:tr>
            <w:tr w:rsidR="00867690">
              <w:trPr>
                <w:jc w:val="center"/>
              </w:trPr>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4</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Janiarubens</w:t>
                  </w:r>
                  <w:proofErr w:type="spellEnd"/>
                </w:p>
              </w:tc>
            </w:tr>
            <w:tr w:rsidR="00867690">
              <w:trPr>
                <w:jc w:val="center"/>
              </w:trPr>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14</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Laurenciapapillosa</w:t>
                  </w:r>
                  <w:proofErr w:type="spellEnd"/>
                </w:p>
              </w:tc>
            </w:tr>
            <w:tr w:rsidR="00867690">
              <w:trPr>
                <w:jc w:val="center"/>
              </w:trPr>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4</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Laurencia</w:t>
                  </w:r>
                  <w:proofErr w:type="spellEnd"/>
                  <w:r>
                    <w:rPr>
                      <w:color w:val="000000"/>
                      <w:sz w:val="20"/>
                      <w:szCs w:val="20"/>
                    </w:rPr>
                    <w:t xml:space="preserve"> obtuse</w:t>
                  </w:r>
                </w:p>
              </w:tc>
            </w:tr>
            <w:tr w:rsidR="00867690">
              <w:trPr>
                <w:jc w:val="center"/>
              </w:trPr>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12</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Nitophyllumpunctatum</w:t>
                  </w:r>
                  <w:proofErr w:type="spellEnd"/>
                </w:p>
              </w:tc>
            </w:tr>
            <w:tr w:rsidR="00867690">
              <w:trPr>
                <w:jc w:val="center"/>
              </w:trPr>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20</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Sarconemafiliforme</w:t>
                  </w:r>
                  <w:proofErr w:type="spellEnd"/>
                </w:p>
              </w:tc>
            </w:tr>
            <w:tr w:rsidR="00867690">
              <w:trPr>
                <w:jc w:val="center"/>
              </w:trPr>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4</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Padinapavonica</w:t>
                  </w:r>
                  <w:proofErr w:type="spellEnd"/>
                </w:p>
              </w:tc>
            </w:tr>
            <w:tr w:rsidR="00867690">
              <w:trPr>
                <w:jc w:val="center"/>
              </w:trPr>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28</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Sargassumsubrepandum</w:t>
                  </w:r>
                  <w:proofErr w:type="spellEnd"/>
                </w:p>
              </w:tc>
            </w:tr>
          </w:tbl>
          <w:p w:rsidR="00867690" w:rsidRDefault="00867690">
            <w:pPr>
              <w:pStyle w:val="normal0"/>
              <w:pBdr>
                <w:top w:val="nil"/>
                <w:left w:val="nil"/>
                <w:bottom w:val="nil"/>
                <w:right w:val="nil"/>
                <w:between w:val="nil"/>
              </w:pBdr>
              <w:jc w:val="both"/>
              <w:rPr>
                <w:b/>
                <w:color w:val="000000"/>
                <w:sz w:val="20"/>
                <w:szCs w:val="20"/>
              </w:rPr>
            </w:pPr>
          </w:p>
        </w:tc>
      </w:tr>
      <w:tr w:rsidR="00867690">
        <w:trPr>
          <w:jc w:val="center"/>
        </w:trPr>
        <w:tc>
          <w:tcPr>
            <w:tcW w:w="9474" w:type="dxa"/>
            <w:vAlign w:val="center"/>
          </w:tcPr>
          <w:p w:rsidR="00867690" w:rsidRDefault="00E64BAB">
            <w:pPr>
              <w:pStyle w:val="normal0"/>
              <w:pBdr>
                <w:top w:val="nil"/>
                <w:left w:val="nil"/>
                <w:bottom w:val="nil"/>
                <w:right w:val="nil"/>
                <w:between w:val="nil"/>
              </w:pBdr>
              <w:jc w:val="center"/>
              <w:rPr>
                <w:b/>
                <w:color w:val="000000"/>
                <w:sz w:val="20"/>
                <w:szCs w:val="20"/>
              </w:rPr>
            </w:pPr>
            <w:r>
              <w:rPr>
                <w:b/>
                <w:noProof/>
                <w:color w:val="000000"/>
                <w:sz w:val="20"/>
                <w:szCs w:val="20"/>
                <w:lang w:val="en-US"/>
              </w:rPr>
              <w:drawing>
                <wp:inline distT="0" distB="0" distL="0" distR="0">
                  <wp:extent cx="4680171" cy="2401294"/>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cstate="print"/>
                          <a:srcRect/>
                          <a:stretch>
                            <a:fillRect/>
                          </a:stretch>
                        </pic:blipFill>
                        <pic:spPr>
                          <a:xfrm>
                            <a:off x="0" y="0"/>
                            <a:ext cx="4680171" cy="2401294"/>
                          </a:xfrm>
                          <a:prstGeom prst="rect">
                            <a:avLst/>
                          </a:prstGeom>
                          <a:ln/>
                        </pic:spPr>
                      </pic:pic>
                    </a:graphicData>
                  </a:graphic>
                </wp:inline>
              </w:drawing>
            </w:r>
          </w:p>
        </w:tc>
      </w:tr>
    </w:tbl>
    <w:p w:rsidR="00867690" w:rsidRDefault="00867690">
      <w:pPr>
        <w:pStyle w:val="normal0"/>
        <w:pBdr>
          <w:top w:val="nil"/>
          <w:left w:val="nil"/>
          <w:bottom w:val="nil"/>
          <w:right w:val="nil"/>
          <w:between w:val="nil"/>
        </w:pBdr>
        <w:ind w:firstLine="425"/>
        <w:jc w:val="both"/>
        <w:rPr>
          <w:color w:val="000000"/>
          <w:sz w:val="20"/>
          <w:szCs w:val="20"/>
        </w:rPr>
      </w:pPr>
    </w:p>
    <w:p w:rsidR="002D5209" w:rsidRDefault="002D5209">
      <w:pPr>
        <w:pStyle w:val="normal0"/>
        <w:pBdr>
          <w:top w:val="nil"/>
          <w:left w:val="nil"/>
          <w:bottom w:val="nil"/>
          <w:right w:val="nil"/>
          <w:between w:val="nil"/>
        </w:pBdr>
        <w:ind w:firstLine="425"/>
        <w:jc w:val="both"/>
        <w:rPr>
          <w:color w:val="000000"/>
          <w:sz w:val="20"/>
          <w:szCs w:val="20"/>
        </w:rPr>
      </w:pPr>
    </w:p>
    <w:p w:rsidR="00867690" w:rsidRDefault="00E64BAB">
      <w:pPr>
        <w:pStyle w:val="normal0"/>
        <w:numPr>
          <w:ilvl w:val="0"/>
          <w:numId w:val="2"/>
        </w:numPr>
        <w:pBdr>
          <w:top w:val="nil"/>
          <w:left w:val="nil"/>
          <w:bottom w:val="nil"/>
          <w:right w:val="nil"/>
          <w:between w:val="nil"/>
        </w:pBdr>
        <w:ind w:left="0" w:firstLine="0"/>
        <w:jc w:val="both"/>
        <w:rPr>
          <w:b/>
          <w:color w:val="000000"/>
          <w:sz w:val="20"/>
          <w:szCs w:val="20"/>
        </w:rPr>
      </w:pPr>
      <w:r>
        <w:rPr>
          <w:b/>
          <w:color w:val="000000"/>
          <w:sz w:val="20"/>
          <w:szCs w:val="20"/>
        </w:rPr>
        <w:t>Sub-tidal Zone from 1-3 m depth. (Table 5)</w:t>
      </w:r>
    </w:p>
    <w:tbl>
      <w:tblPr>
        <w:tblStyle w:val="a6"/>
        <w:tblW w:w="9474" w:type="dxa"/>
        <w:jc w:val="center"/>
        <w:tblBorders>
          <w:top w:val="nil"/>
          <w:left w:val="nil"/>
          <w:bottom w:val="nil"/>
          <w:right w:val="nil"/>
          <w:insideH w:val="nil"/>
          <w:insideV w:val="nil"/>
        </w:tblBorders>
        <w:tblLayout w:type="fixed"/>
        <w:tblLook w:val="0400"/>
      </w:tblPr>
      <w:tblGrid>
        <w:gridCol w:w="9474"/>
      </w:tblGrid>
      <w:tr w:rsidR="00867690">
        <w:trPr>
          <w:jc w:val="center"/>
        </w:trPr>
        <w:tc>
          <w:tcPr>
            <w:tcW w:w="9474" w:type="dxa"/>
            <w:vAlign w:val="center"/>
          </w:tcPr>
          <w:p w:rsidR="00867690" w:rsidRDefault="00867690">
            <w:pPr>
              <w:pStyle w:val="normal0"/>
              <w:widowControl w:val="0"/>
              <w:pBdr>
                <w:top w:val="nil"/>
                <w:left w:val="nil"/>
                <w:bottom w:val="nil"/>
                <w:right w:val="nil"/>
                <w:between w:val="nil"/>
              </w:pBdr>
              <w:spacing w:line="276" w:lineRule="auto"/>
              <w:rPr>
                <w:b/>
                <w:color w:val="000000"/>
                <w:sz w:val="20"/>
                <w:szCs w:val="20"/>
              </w:rPr>
            </w:pPr>
          </w:p>
          <w:tbl>
            <w:tblPr>
              <w:tblStyle w:val="a7"/>
              <w:bidiVisual/>
              <w:tblW w:w="7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52"/>
              <w:gridCol w:w="3790"/>
            </w:tblGrid>
            <w:tr w:rsidR="00867690">
              <w:trPr>
                <w:jc w:val="center"/>
              </w:trPr>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 Cover (m2) Mean</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Species</w:t>
                  </w:r>
                </w:p>
              </w:tc>
            </w:tr>
            <w:tr w:rsidR="00867690">
              <w:trPr>
                <w:jc w:val="center"/>
              </w:trPr>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80</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proofErr w:type="spellStart"/>
                  <w:r>
                    <w:rPr>
                      <w:color w:val="000000"/>
                      <w:sz w:val="20"/>
                      <w:szCs w:val="20"/>
                    </w:rPr>
                    <w:t>Caulerpaprolifera</w:t>
                  </w:r>
                  <w:proofErr w:type="spellEnd"/>
                </w:p>
              </w:tc>
            </w:tr>
            <w:tr w:rsidR="00867690">
              <w:trPr>
                <w:jc w:val="center"/>
              </w:trPr>
              <w:tc>
                <w:tcPr>
                  <w:tcW w:w="3652"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20</w:t>
                  </w:r>
                </w:p>
              </w:tc>
              <w:tc>
                <w:tcPr>
                  <w:tcW w:w="3790" w:type="dxa"/>
                  <w:shd w:val="clear" w:color="auto" w:fill="auto"/>
                </w:tcPr>
                <w:p w:rsidR="00867690" w:rsidRDefault="00E64BAB">
                  <w:pPr>
                    <w:pStyle w:val="normal0"/>
                    <w:pBdr>
                      <w:top w:val="nil"/>
                      <w:left w:val="nil"/>
                      <w:bottom w:val="nil"/>
                      <w:right w:val="nil"/>
                      <w:between w:val="nil"/>
                    </w:pBdr>
                    <w:jc w:val="both"/>
                    <w:rPr>
                      <w:color w:val="000000"/>
                      <w:sz w:val="20"/>
                      <w:szCs w:val="20"/>
                    </w:rPr>
                  </w:pPr>
                  <w:r>
                    <w:rPr>
                      <w:color w:val="000000"/>
                      <w:sz w:val="20"/>
                      <w:szCs w:val="20"/>
                    </w:rPr>
                    <w:t>Sand Fill</w:t>
                  </w:r>
                </w:p>
              </w:tc>
            </w:tr>
          </w:tbl>
          <w:p w:rsidR="00867690" w:rsidRDefault="00867690">
            <w:pPr>
              <w:pStyle w:val="normal0"/>
              <w:pBdr>
                <w:top w:val="nil"/>
                <w:left w:val="nil"/>
                <w:bottom w:val="nil"/>
                <w:right w:val="nil"/>
                <w:between w:val="nil"/>
              </w:pBdr>
              <w:jc w:val="both"/>
              <w:rPr>
                <w:b/>
                <w:color w:val="000000"/>
                <w:sz w:val="20"/>
                <w:szCs w:val="20"/>
              </w:rPr>
            </w:pPr>
          </w:p>
        </w:tc>
      </w:tr>
      <w:tr w:rsidR="00867690">
        <w:trPr>
          <w:jc w:val="center"/>
        </w:trPr>
        <w:tc>
          <w:tcPr>
            <w:tcW w:w="9474" w:type="dxa"/>
            <w:vAlign w:val="center"/>
          </w:tcPr>
          <w:p w:rsidR="00867690" w:rsidRDefault="00E64BAB">
            <w:pPr>
              <w:pStyle w:val="normal0"/>
              <w:pBdr>
                <w:top w:val="nil"/>
                <w:left w:val="nil"/>
                <w:bottom w:val="nil"/>
                <w:right w:val="nil"/>
                <w:between w:val="nil"/>
              </w:pBdr>
              <w:jc w:val="center"/>
              <w:rPr>
                <w:b/>
                <w:color w:val="000000"/>
                <w:sz w:val="20"/>
                <w:szCs w:val="20"/>
              </w:rPr>
            </w:pPr>
            <w:r>
              <w:rPr>
                <w:b/>
                <w:noProof/>
                <w:color w:val="000000"/>
                <w:sz w:val="20"/>
                <w:szCs w:val="20"/>
                <w:lang w:val="en-US"/>
              </w:rPr>
              <w:lastRenderedPageBreak/>
              <w:drawing>
                <wp:inline distT="0" distB="0" distL="0" distR="0">
                  <wp:extent cx="4733925" cy="21240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cstate="print"/>
                          <a:srcRect/>
                          <a:stretch>
                            <a:fillRect/>
                          </a:stretch>
                        </pic:blipFill>
                        <pic:spPr>
                          <a:xfrm>
                            <a:off x="0" y="0"/>
                            <a:ext cx="4733925" cy="2124075"/>
                          </a:xfrm>
                          <a:prstGeom prst="rect">
                            <a:avLst/>
                          </a:prstGeom>
                          <a:ln/>
                        </pic:spPr>
                      </pic:pic>
                    </a:graphicData>
                  </a:graphic>
                </wp:inline>
              </w:drawing>
            </w:r>
          </w:p>
        </w:tc>
      </w:tr>
    </w:tbl>
    <w:p w:rsidR="00867690" w:rsidRDefault="00867690">
      <w:pPr>
        <w:pStyle w:val="normal0"/>
        <w:pBdr>
          <w:top w:val="nil"/>
          <w:left w:val="nil"/>
          <w:bottom w:val="nil"/>
          <w:right w:val="nil"/>
          <w:between w:val="nil"/>
        </w:pBdr>
        <w:ind w:firstLine="425"/>
        <w:jc w:val="both"/>
        <w:rPr>
          <w:color w:val="000000"/>
          <w:sz w:val="20"/>
          <w:szCs w:val="20"/>
        </w:rPr>
      </w:pPr>
    </w:p>
    <w:p w:rsidR="00867690" w:rsidRDefault="00867690">
      <w:pPr>
        <w:pStyle w:val="normal0"/>
        <w:pBdr>
          <w:top w:val="nil"/>
          <w:left w:val="nil"/>
          <w:bottom w:val="nil"/>
          <w:right w:val="nil"/>
          <w:between w:val="nil"/>
        </w:pBdr>
        <w:ind w:firstLine="425"/>
        <w:jc w:val="both"/>
        <w:rPr>
          <w:color w:val="000000"/>
          <w:sz w:val="20"/>
          <w:szCs w:val="20"/>
        </w:rPr>
        <w:sectPr w:rsidR="00867690">
          <w:type w:val="continuous"/>
          <w:pgSz w:w="12240" w:h="15840"/>
          <w:pgMar w:top="1440" w:right="1440" w:bottom="1440" w:left="1440" w:header="720" w:footer="720" w:gutter="0"/>
          <w:cols w:space="720"/>
        </w:sectPr>
      </w:pPr>
    </w:p>
    <w:p w:rsidR="00867690" w:rsidRDefault="00E64BAB">
      <w:pPr>
        <w:pStyle w:val="normal0"/>
        <w:pBdr>
          <w:top w:val="nil"/>
          <w:left w:val="nil"/>
          <w:bottom w:val="nil"/>
          <w:right w:val="nil"/>
          <w:between w:val="nil"/>
        </w:pBdr>
        <w:ind w:firstLine="425"/>
        <w:jc w:val="both"/>
        <w:rPr>
          <w:color w:val="000000"/>
          <w:sz w:val="20"/>
          <w:szCs w:val="20"/>
        </w:rPr>
      </w:pPr>
      <w:r>
        <w:rPr>
          <w:color w:val="000000"/>
          <w:sz w:val="20"/>
          <w:szCs w:val="20"/>
        </w:rPr>
        <w:lastRenderedPageBreak/>
        <w:t>3- There is no intensive density of seaweed within Ismailia marine Fish ponds, because there is no suitable hard substrate for attachment, and the presence of some drifted species were due to the water current and waves on the surface of water or the presence of a few rocks substrate within the pond bottoms. So according to the project target, different type of nets and ropes will be placed in the ponds to increase the seaweeds presence and distribution to improve water quality and increase the efficiency of food chains inside Ismailia marine fish ponds.</w:t>
      </w:r>
    </w:p>
    <w:p w:rsidR="00867690" w:rsidRDefault="00E64BAB">
      <w:pPr>
        <w:pStyle w:val="normal0"/>
        <w:pBdr>
          <w:top w:val="nil"/>
          <w:left w:val="nil"/>
          <w:bottom w:val="nil"/>
          <w:right w:val="nil"/>
          <w:between w:val="nil"/>
        </w:pBdr>
        <w:ind w:firstLine="425"/>
        <w:jc w:val="both"/>
        <w:rPr>
          <w:color w:val="000000"/>
          <w:sz w:val="20"/>
          <w:szCs w:val="20"/>
        </w:rPr>
      </w:pPr>
      <w:r>
        <w:rPr>
          <w:color w:val="000000"/>
          <w:sz w:val="20"/>
          <w:szCs w:val="20"/>
        </w:rPr>
        <w:t>The common and abundant species of selected Seaweeds from both littoral and sub-littoral of the Suez Canal pathway and fish ponds were (</w:t>
      </w:r>
      <w:proofErr w:type="spellStart"/>
      <w:r>
        <w:rPr>
          <w:i/>
          <w:color w:val="000000"/>
          <w:sz w:val="20"/>
          <w:szCs w:val="20"/>
        </w:rPr>
        <w:t>Caulerpaprolifera</w:t>
      </w:r>
      <w:proofErr w:type="spellEnd"/>
      <w:r>
        <w:rPr>
          <w:i/>
          <w:color w:val="000000"/>
          <w:sz w:val="20"/>
          <w:szCs w:val="20"/>
        </w:rPr>
        <w:t xml:space="preserve">, </w:t>
      </w:r>
      <w:proofErr w:type="spellStart"/>
      <w:r>
        <w:rPr>
          <w:i/>
          <w:color w:val="000000"/>
          <w:sz w:val="20"/>
          <w:szCs w:val="20"/>
        </w:rPr>
        <w:t>Enteromorpha</w:t>
      </w:r>
      <w:proofErr w:type="spellEnd"/>
      <w:r>
        <w:rPr>
          <w:i/>
          <w:color w:val="000000"/>
          <w:sz w:val="20"/>
          <w:szCs w:val="20"/>
        </w:rPr>
        <w:t xml:space="preserve"> </w:t>
      </w:r>
      <w:proofErr w:type="spellStart"/>
      <w:r>
        <w:rPr>
          <w:i/>
          <w:color w:val="000000"/>
          <w:sz w:val="20"/>
          <w:szCs w:val="20"/>
        </w:rPr>
        <w:t>intestinalis</w:t>
      </w:r>
      <w:proofErr w:type="spellEnd"/>
      <w:r>
        <w:rPr>
          <w:i/>
          <w:color w:val="000000"/>
          <w:sz w:val="20"/>
          <w:szCs w:val="20"/>
        </w:rPr>
        <w:t xml:space="preserve">, </w:t>
      </w:r>
      <w:proofErr w:type="spellStart"/>
      <w:r>
        <w:rPr>
          <w:i/>
          <w:color w:val="000000"/>
          <w:sz w:val="20"/>
          <w:szCs w:val="20"/>
        </w:rPr>
        <w:t>Ulva</w:t>
      </w:r>
      <w:proofErr w:type="spellEnd"/>
      <w:r>
        <w:rPr>
          <w:i/>
          <w:color w:val="000000"/>
          <w:sz w:val="20"/>
          <w:szCs w:val="20"/>
        </w:rPr>
        <w:t xml:space="preserve"> </w:t>
      </w:r>
      <w:proofErr w:type="spellStart"/>
      <w:r>
        <w:rPr>
          <w:i/>
          <w:color w:val="000000"/>
          <w:sz w:val="20"/>
          <w:szCs w:val="20"/>
        </w:rPr>
        <w:t>lactuca</w:t>
      </w:r>
      <w:proofErr w:type="spellEnd"/>
      <w:r>
        <w:rPr>
          <w:i/>
          <w:color w:val="000000"/>
          <w:sz w:val="20"/>
          <w:szCs w:val="20"/>
        </w:rPr>
        <w:t xml:space="preserve">, </w:t>
      </w:r>
      <w:proofErr w:type="spellStart"/>
      <w:r>
        <w:rPr>
          <w:i/>
          <w:color w:val="000000"/>
          <w:sz w:val="20"/>
          <w:szCs w:val="20"/>
        </w:rPr>
        <w:t>Gracilariaarcuata</w:t>
      </w:r>
      <w:proofErr w:type="spellEnd"/>
      <w:r>
        <w:rPr>
          <w:i/>
          <w:color w:val="000000"/>
          <w:sz w:val="20"/>
          <w:szCs w:val="20"/>
        </w:rPr>
        <w:t xml:space="preserve">, </w:t>
      </w:r>
      <w:proofErr w:type="spellStart"/>
      <w:r>
        <w:rPr>
          <w:i/>
          <w:color w:val="000000"/>
          <w:sz w:val="20"/>
          <w:szCs w:val="20"/>
        </w:rPr>
        <w:t>Janiarubens</w:t>
      </w:r>
      <w:proofErr w:type="spellEnd"/>
      <w:r>
        <w:rPr>
          <w:i/>
          <w:color w:val="000000"/>
          <w:sz w:val="20"/>
          <w:szCs w:val="20"/>
        </w:rPr>
        <w:t xml:space="preserve">, </w:t>
      </w:r>
      <w:proofErr w:type="spellStart"/>
      <w:r>
        <w:rPr>
          <w:i/>
          <w:color w:val="000000"/>
          <w:sz w:val="20"/>
          <w:szCs w:val="20"/>
        </w:rPr>
        <w:t>Laurenciapapillosa</w:t>
      </w:r>
      <w:proofErr w:type="spellEnd"/>
      <w:r>
        <w:rPr>
          <w:i/>
          <w:color w:val="000000"/>
          <w:sz w:val="20"/>
          <w:szCs w:val="20"/>
        </w:rPr>
        <w:t xml:space="preserve">, </w:t>
      </w:r>
      <w:proofErr w:type="spellStart"/>
      <w:r>
        <w:rPr>
          <w:i/>
          <w:color w:val="000000"/>
          <w:sz w:val="20"/>
          <w:szCs w:val="20"/>
        </w:rPr>
        <w:t>Laurenciaobtusa</w:t>
      </w:r>
      <w:proofErr w:type="spellEnd"/>
      <w:r>
        <w:rPr>
          <w:i/>
          <w:color w:val="000000"/>
          <w:sz w:val="20"/>
          <w:szCs w:val="20"/>
        </w:rPr>
        <w:t xml:space="preserve">, </w:t>
      </w:r>
      <w:proofErr w:type="spellStart"/>
      <w:r>
        <w:rPr>
          <w:i/>
          <w:color w:val="000000"/>
          <w:sz w:val="20"/>
          <w:szCs w:val="20"/>
        </w:rPr>
        <w:t>Nitophyllumpunctatum</w:t>
      </w:r>
      <w:proofErr w:type="spellEnd"/>
      <w:r>
        <w:rPr>
          <w:i/>
          <w:color w:val="000000"/>
          <w:sz w:val="20"/>
          <w:szCs w:val="20"/>
        </w:rPr>
        <w:t xml:space="preserve">, </w:t>
      </w:r>
      <w:proofErr w:type="spellStart"/>
      <w:r>
        <w:rPr>
          <w:i/>
          <w:color w:val="000000"/>
          <w:sz w:val="20"/>
          <w:szCs w:val="20"/>
        </w:rPr>
        <w:t>Porphyraumbilicalis</w:t>
      </w:r>
      <w:proofErr w:type="spellEnd"/>
      <w:r>
        <w:rPr>
          <w:i/>
          <w:color w:val="000000"/>
          <w:sz w:val="20"/>
          <w:szCs w:val="20"/>
        </w:rPr>
        <w:t xml:space="preserve">, </w:t>
      </w:r>
      <w:proofErr w:type="spellStart"/>
      <w:r>
        <w:rPr>
          <w:i/>
          <w:color w:val="000000"/>
          <w:sz w:val="20"/>
          <w:szCs w:val="20"/>
        </w:rPr>
        <w:t>Sarconemafiliforme</w:t>
      </w:r>
      <w:proofErr w:type="spellEnd"/>
      <w:r>
        <w:rPr>
          <w:i/>
          <w:color w:val="000000"/>
          <w:sz w:val="20"/>
          <w:szCs w:val="20"/>
        </w:rPr>
        <w:t xml:space="preserve">, </w:t>
      </w:r>
      <w:proofErr w:type="spellStart"/>
      <w:r>
        <w:rPr>
          <w:i/>
          <w:color w:val="000000"/>
          <w:sz w:val="20"/>
          <w:szCs w:val="20"/>
        </w:rPr>
        <w:t>Padinapavonica</w:t>
      </w:r>
      <w:proofErr w:type="spellEnd"/>
      <w:r>
        <w:rPr>
          <w:color w:val="000000"/>
          <w:sz w:val="20"/>
          <w:szCs w:val="20"/>
        </w:rPr>
        <w:t xml:space="preserve"> and </w:t>
      </w:r>
      <w:proofErr w:type="spellStart"/>
      <w:r>
        <w:rPr>
          <w:i/>
          <w:color w:val="000000"/>
          <w:sz w:val="20"/>
          <w:szCs w:val="20"/>
        </w:rPr>
        <w:t>Sargassumsubrepandum</w:t>
      </w:r>
      <w:proofErr w:type="spellEnd"/>
      <w:r>
        <w:rPr>
          <w:color w:val="000000"/>
          <w:sz w:val="20"/>
          <w:szCs w:val="20"/>
        </w:rPr>
        <w:t>) had been identified and compared with materials in the Marine Botany Laboratory, Marine Science Department, Suez Canal University.</w:t>
      </w:r>
    </w:p>
    <w:p w:rsidR="00867690" w:rsidRDefault="00E64BAB">
      <w:pPr>
        <w:pStyle w:val="normal0"/>
        <w:ind w:firstLine="425"/>
        <w:jc w:val="both"/>
        <w:rPr>
          <w:sz w:val="20"/>
          <w:szCs w:val="20"/>
        </w:rPr>
      </w:pPr>
      <w:r>
        <w:rPr>
          <w:sz w:val="20"/>
          <w:szCs w:val="20"/>
        </w:rPr>
        <w:t xml:space="preserve">Some worldwide cultured species of green seaweeds were isolated and </w:t>
      </w:r>
      <w:proofErr w:type="spellStart"/>
      <w:r>
        <w:rPr>
          <w:sz w:val="20"/>
          <w:szCs w:val="20"/>
        </w:rPr>
        <w:t>identificated</w:t>
      </w:r>
      <w:proofErr w:type="spellEnd"/>
      <w:r>
        <w:rPr>
          <w:sz w:val="20"/>
          <w:szCs w:val="20"/>
        </w:rPr>
        <w:t xml:space="preserve"> in private fish farms area such as </w:t>
      </w:r>
      <w:proofErr w:type="spellStart"/>
      <w:r>
        <w:rPr>
          <w:sz w:val="20"/>
          <w:szCs w:val="20"/>
        </w:rPr>
        <w:t>Ulvalactuca</w:t>
      </w:r>
      <w:proofErr w:type="spellEnd"/>
      <w:r>
        <w:rPr>
          <w:sz w:val="20"/>
          <w:szCs w:val="20"/>
        </w:rPr>
        <w:t xml:space="preserve">, </w:t>
      </w:r>
      <w:proofErr w:type="spellStart"/>
      <w:r>
        <w:rPr>
          <w:sz w:val="20"/>
          <w:szCs w:val="20"/>
        </w:rPr>
        <w:t>Enteromorphaintestinalis</w:t>
      </w:r>
      <w:proofErr w:type="spellEnd"/>
      <w:r>
        <w:rPr>
          <w:sz w:val="20"/>
          <w:szCs w:val="20"/>
        </w:rPr>
        <w:t xml:space="preserve"> and </w:t>
      </w:r>
      <w:proofErr w:type="spellStart"/>
      <w:r>
        <w:rPr>
          <w:sz w:val="20"/>
          <w:szCs w:val="20"/>
        </w:rPr>
        <w:t>Caulerpaprolifera</w:t>
      </w:r>
      <w:proofErr w:type="spellEnd"/>
      <w:r>
        <w:rPr>
          <w:sz w:val="20"/>
          <w:szCs w:val="20"/>
        </w:rPr>
        <w:t xml:space="preserve"> from </w:t>
      </w:r>
      <w:proofErr w:type="spellStart"/>
      <w:r>
        <w:rPr>
          <w:sz w:val="20"/>
          <w:szCs w:val="20"/>
        </w:rPr>
        <w:t>temsah</w:t>
      </w:r>
      <w:proofErr w:type="spellEnd"/>
      <w:r>
        <w:rPr>
          <w:sz w:val="20"/>
          <w:szCs w:val="20"/>
        </w:rPr>
        <w:t xml:space="preserve"> lake.</w:t>
      </w:r>
    </w:p>
    <w:p w:rsidR="00867690" w:rsidRDefault="00E64BAB">
      <w:pPr>
        <w:pStyle w:val="normal0"/>
        <w:ind w:firstLine="425"/>
        <w:jc w:val="both"/>
        <w:rPr>
          <w:sz w:val="20"/>
          <w:szCs w:val="20"/>
        </w:rPr>
      </w:pPr>
      <w:r>
        <w:rPr>
          <w:sz w:val="20"/>
          <w:szCs w:val="20"/>
        </w:rPr>
        <w:t xml:space="preserve">A species of genus </w:t>
      </w:r>
      <w:proofErr w:type="spellStart"/>
      <w:r>
        <w:rPr>
          <w:sz w:val="20"/>
          <w:szCs w:val="20"/>
        </w:rPr>
        <w:t>Ulvalactuca</w:t>
      </w:r>
      <w:proofErr w:type="spellEnd"/>
      <w:r>
        <w:rPr>
          <w:sz w:val="20"/>
          <w:szCs w:val="20"/>
        </w:rPr>
        <w:t xml:space="preserve"> (Sea lettuce) it was cultured in our laboratory as an important source of food. Both in respect of the region where it grows and its ecological characteristics, this is seaweed that shows striking resemblance with ‘</w:t>
      </w:r>
      <w:proofErr w:type="spellStart"/>
      <w:r>
        <w:rPr>
          <w:sz w:val="20"/>
          <w:szCs w:val="20"/>
        </w:rPr>
        <w:t>Enteromorpha</w:t>
      </w:r>
      <w:proofErr w:type="spellEnd"/>
      <w:r>
        <w:rPr>
          <w:sz w:val="20"/>
          <w:szCs w:val="20"/>
        </w:rPr>
        <w:t xml:space="preserve">’. The methods of culturing either this species or </w:t>
      </w:r>
      <w:proofErr w:type="spellStart"/>
      <w:r>
        <w:rPr>
          <w:sz w:val="20"/>
          <w:szCs w:val="20"/>
        </w:rPr>
        <w:t>Enteromorpha</w:t>
      </w:r>
      <w:proofErr w:type="spellEnd"/>
      <w:r>
        <w:rPr>
          <w:sz w:val="20"/>
          <w:szCs w:val="20"/>
        </w:rPr>
        <w:t xml:space="preserve"> are also very similar. It is also used as the principal ingredient for soups in many countries.</w:t>
      </w:r>
    </w:p>
    <w:p w:rsidR="00867690" w:rsidRDefault="00E64BAB">
      <w:pPr>
        <w:pStyle w:val="normal0"/>
        <w:ind w:firstLine="425"/>
        <w:jc w:val="both"/>
        <w:rPr>
          <w:sz w:val="20"/>
          <w:szCs w:val="20"/>
        </w:rPr>
      </w:pPr>
      <w:r>
        <w:rPr>
          <w:sz w:val="20"/>
          <w:szCs w:val="20"/>
        </w:rPr>
        <w:lastRenderedPageBreak/>
        <w:t>The culture medium in such cultures was replenished once in every week.</w:t>
      </w:r>
      <w:r>
        <w:rPr>
          <w:sz w:val="20"/>
          <w:szCs w:val="20"/>
        </w:rPr>
        <w:br/>
        <w:t xml:space="preserve">The more </w:t>
      </w:r>
      <w:proofErr w:type="spellStart"/>
      <w:r>
        <w:rPr>
          <w:sz w:val="20"/>
          <w:szCs w:val="20"/>
        </w:rPr>
        <w:t>preminant</w:t>
      </w:r>
      <w:proofErr w:type="spellEnd"/>
      <w:r>
        <w:rPr>
          <w:sz w:val="20"/>
          <w:szCs w:val="20"/>
        </w:rPr>
        <w:t xml:space="preserve"> Ismailia Seaweeds species valid for cultivations: </w:t>
      </w:r>
    </w:p>
    <w:p w:rsidR="00867690" w:rsidRDefault="00E64BAB">
      <w:pPr>
        <w:pStyle w:val="normal0"/>
        <w:ind w:firstLine="425"/>
        <w:jc w:val="both"/>
        <w:rPr>
          <w:sz w:val="20"/>
          <w:szCs w:val="20"/>
        </w:rPr>
      </w:pPr>
      <w:proofErr w:type="spellStart"/>
      <w:r>
        <w:rPr>
          <w:sz w:val="20"/>
          <w:szCs w:val="20"/>
        </w:rPr>
        <w:t>Chlorophyta</w:t>
      </w:r>
      <w:proofErr w:type="spellEnd"/>
      <w:r>
        <w:rPr>
          <w:sz w:val="20"/>
          <w:szCs w:val="20"/>
        </w:rPr>
        <w:t xml:space="preserve">: </w:t>
      </w:r>
      <w:proofErr w:type="spellStart"/>
      <w:r>
        <w:rPr>
          <w:sz w:val="20"/>
          <w:szCs w:val="20"/>
        </w:rPr>
        <w:t>Ulvalactuca</w:t>
      </w:r>
      <w:proofErr w:type="spellEnd"/>
      <w:r>
        <w:rPr>
          <w:sz w:val="20"/>
          <w:szCs w:val="20"/>
        </w:rPr>
        <w:t xml:space="preserve">, </w:t>
      </w:r>
      <w:proofErr w:type="spellStart"/>
      <w:r>
        <w:rPr>
          <w:sz w:val="20"/>
          <w:szCs w:val="20"/>
        </w:rPr>
        <w:t>Enteromorphaintestinalis</w:t>
      </w:r>
      <w:proofErr w:type="spellEnd"/>
      <w:r>
        <w:rPr>
          <w:sz w:val="20"/>
          <w:szCs w:val="20"/>
        </w:rPr>
        <w:t xml:space="preserve"> and </w:t>
      </w:r>
      <w:proofErr w:type="spellStart"/>
      <w:r>
        <w:rPr>
          <w:sz w:val="20"/>
          <w:szCs w:val="20"/>
        </w:rPr>
        <w:t>Caulerpa</w:t>
      </w:r>
      <w:proofErr w:type="spellEnd"/>
      <w:r>
        <w:rPr>
          <w:sz w:val="20"/>
          <w:szCs w:val="20"/>
        </w:rPr>
        <w:t xml:space="preserve"> sp. </w:t>
      </w:r>
      <w:proofErr w:type="spellStart"/>
      <w:r>
        <w:rPr>
          <w:sz w:val="20"/>
          <w:szCs w:val="20"/>
        </w:rPr>
        <w:t>Simmelar</w:t>
      </w:r>
      <w:proofErr w:type="spellEnd"/>
      <w:r>
        <w:rPr>
          <w:sz w:val="20"/>
          <w:szCs w:val="20"/>
        </w:rPr>
        <w:t xml:space="preserve"> to that recorded by </w:t>
      </w:r>
      <w:proofErr w:type="spellStart"/>
      <w:r>
        <w:rPr>
          <w:sz w:val="20"/>
          <w:szCs w:val="20"/>
        </w:rPr>
        <w:t>Buschmann</w:t>
      </w:r>
      <w:proofErr w:type="spellEnd"/>
      <w:r>
        <w:rPr>
          <w:sz w:val="20"/>
          <w:szCs w:val="20"/>
        </w:rPr>
        <w:t xml:space="preserve">, </w:t>
      </w:r>
      <w:r>
        <w:rPr>
          <w:i/>
          <w:sz w:val="20"/>
          <w:szCs w:val="20"/>
        </w:rPr>
        <w:t>et al</w:t>
      </w:r>
      <w:r>
        <w:rPr>
          <w:sz w:val="20"/>
          <w:szCs w:val="20"/>
        </w:rPr>
        <w:t>., 2008.</w:t>
      </w:r>
    </w:p>
    <w:p w:rsidR="00867690" w:rsidRDefault="00E64BAB">
      <w:pPr>
        <w:pStyle w:val="normal0"/>
        <w:ind w:firstLine="425"/>
        <w:jc w:val="both"/>
        <w:rPr>
          <w:sz w:val="20"/>
          <w:szCs w:val="20"/>
        </w:rPr>
      </w:pPr>
      <w:r>
        <w:rPr>
          <w:sz w:val="20"/>
          <w:szCs w:val="20"/>
        </w:rPr>
        <w:t xml:space="preserve">Techniques of growing cultured </w:t>
      </w:r>
      <w:proofErr w:type="spellStart"/>
      <w:r>
        <w:rPr>
          <w:sz w:val="20"/>
          <w:szCs w:val="20"/>
        </w:rPr>
        <w:t>Ulva</w:t>
      </w:r>
      <w:proofErr w:type="spellEnd"/>
      <w:r>
        <w:rPr>
          <w:sz w:val="20"/>
          <w:szCs w:val="20"/>
        </w:rPr>
        <w:t xml:space="preserve"> have yet to be developed to the level of ‘</w:t>
      </w:r>
      <w:proofErr w:type="spellStart"/>
      <w:r>
        <w:rPr>
          <w:sz w:val="20"/>
          <w:szCs w:val="20"/>
        </w:rPr>
        <w:t>Enteromorpha</w:t>
      </w:r>
      <w:proofErr w:type="spellEnd"/>
      <w:r>
        <w:rPr>
          <w:sz w:val="20"/>
          <w:szCs w:val="20"/>
        </w:rPr>
        <w:t xml:space="preserve">’. One has so far depended on nature for seeding </w:t>
      </w:r>
      <w:proofErr w:type="spellStart"/>
      <w:r>
        <w:rPr>
          <w:sz w:val="20"/>
          <w:szCs w:val="20"/>
        </w:rPr>
        <w:t>Ulva</w:t>
      </w:r>
      <w:proofErr w:type="spellEnd"/>
      <w:r>
        <w:rPr>
          <w:sz w:val="20"/>
          <w:szCs w:val="20"/>
        </w:rPr>
        <w:t xml:space="preserve">, though more recent studies have led to the development of artificial methods that have since been applied widely. Artificial seeding of cultured </w:t>
      </w:r>
      <w:proofErr w:type="spellStart"/>
      <w:r>
        <w:rPr>
          <w:sz w:val="20"/>
          <w:szCs w:val="20"/>
        </w:rPr>
        <w:t>Ulva</w:t>
      </w:r>
      <w:proofErr w:type="spellEnd"/>
      <w:r>
        <w:rPr>
          <w:sz w:val="20"/>
          <w:szCs w:val="20"/>
        </w:rPr>
        <w:t xml:space="preserve"> consists of culturing in tanks zygotes of the summer generation and artificially inducing adhesion of zoospores emerging in early autumn on to seeding nets. The technique also facilitates easy retention of the seeding nets. On the other hand, increase in the number of culture nets of late has tended to overcrowd the culture grounds. At times this causes diseases of the leaf fronds and, accordingly, affects both the yield and quality of cultured </w:t>
      </w:r>
      <w:proofErr w:type="spellStart"/>
      <w:r>
        <w:rPr>
          <w:sz w:val="20"/>
          <w:szCs w:val="20"/>
        </w:rPr>
        <w:t>Ulva</w:t>
      </w:r>
      <w:proofErr w:type="spellEnd"/>
      <w:r>
        <w:rPr>
          <w:sz w:val="20"/>
          <w:szCs w:val="20"/>
        </w:rPr>
        <w:t xml:space="preserve">. Studies must now be taken up to stabilize production by installing the exact number of culture nets in the culture grounds according to their expected production. Research is also needed in the field of manufacturing technology for food products using </w:t>
      </w:r>
      <w:proofErr w:type="spellStart"/>
      <w:r>
        <w:rPr>
          <w:sz w:val="20"/>
          <w:szCs w:val="20"/>
        </w:rPr>
        <w:t>Ulva</w:t>
      </w:r>
      <w:proofErr w:type="spellEnd"/>
      <w:r>
        <w:rPr>
          <w:sz w:val="20"/>
          <w:szCs w:val="20"/>
        </w:rPr>
        <w:t xml:space="preserve"> to help increase demand for this seaweed.</w:t>
      </w:r>
    </w:p>
    <w:p w:rsidR="00867690" w:rsidRDefault="00E64BAB">
      <w:pPr>
        <w:pStyle w:val="normal0"/>
        <w:ind w:firstLine="425"/>
        <w:jc w:val="both"/>
        <w:rPr>
          <w:sz w:val="20"/>
          <w:szCs w:val="20"/>
        </w:rPr>
      </w:pPr>
      <w:r>
        <w:rPr>
          <w:sz w:val="20"/>
          <w:szCs w:val="20"/>
        </w:rPr>
        <w:t xml:space="preserve">Influence of environmental factors on spore release of </w:t>
      </w:r>
      <w:proofErr w:type="spellStart"/>
      <w:r>
        <w:rPr>
          <w:sz w:val="20"/>
          <w:szCs w:val="20"/>
        </w:rPr>
        <w:t>Gracilaria</w:t>
      </w:r>
      <w:proofErr w:type="spellEnd"/>
      <w:r>
        <w:rPr>
          <w:sz w:val="20"/>
          <w:szCs w:val="20"/>
        </w:rPr>
        <w:t xml:space="preserve"> culture in lab. have shown that the highest number of spores were released at 20–25 °C Table 2. According to field surveys, the reproductive season of </w:t>
      </w:r>
      <w:proofErr w:type="spellStart"/>
      <w:r>
        <w:rPr>
          <w:sz w:val="20"/>
          <w:szCs w:val="20"/>
        </w:rPr>
        <w:t>Gracilaria</w:t>
      </w:r>
      <w:proofErr w:type="spellEnd"/>
      <w:r>
        <w:rPr>
          <w:sz w:val="20"/>
          <w:szCs w:val="20"/>
        </w:rPr>
        <w:t xml:space="preserve"> was between March to May. During these months, the natural seawater temperature ranged from 20–25 °C. The experimental results coincided with natural reproductive seasons as reported by </w:t>
      </w:r>
      <w:proofErr w:type="spellStart"/>
      <w:r>
        <w:rPr>
          <w:sz w:val="20"/>
          <w:szCs w:val="20"/>
        </w:rPr>
        <w:t>Zheng</w:t>
      </w:r>
      <w:r>
        <w:rPr>
          <w:i/>
          <w:sz w:val="20"/>
          <w:szCs w:val="20"/>
        </w:rPr>
        <w:t>et</w:t>
      </w:r>
      <w:proofErr w:type="spellEnd"/>
      <w:r>
        <w:rPr>
          <w:i/>
          <w:sz w:val="20"/>
          <w:szCs w:val="20"/>
        </w:rPr>
        <w:t xml:space="preserve"> al</w:t>
      </w:r>
      <w:r>
        <w:rPr>
          <w:sz w:val="20"/>
          <w:szCs w:val="20"/>
        </w:rPr>
        <w:t>. (1987).</w:t>
      </w:r>
    </w:p>
    <w:p w:rsidR="00867690" w:rsidRDefault="00867690">
      <w:pPr>
        <w:pStyle w:val="normal0"/>
        <w:ind w:firstLine="425"/>
        <w:jc w:val="both"/>
        <w:rPr>
          <w:sz w:val="20"/>
          <w:szCs w:val="20"/>
        </w:rPr>
        <w:sectPr w:rsidR="00867690">
          <w:type w:val="continuous"/>
          <w:pgSz w:w="12240" w:h="15840"/>
          <w:pgMar w:top="1440" w:right="1440" w:bottom="1440" w:left="1440" w:header="720" w:footer="720" w:gutter="0"/>
          <w:cols w:num="2" w:space="720" w:equalWidth="0">
            <w:col w:w="4380" w:space="600"/>
            <w:col w:w="4380" w:space="0"/>
          </w:cols>
        </w:sectPr>
      </w:pPr>
    </w:p>
    <w:p w:rsidR="00867690" w:rsidRDefault="00867690">
      <w:pPr>
        <w:pStyle w:val="normal0"/>
        <w:ind w:firstLine="425"/>
        <w:jc w:val="both"/>
        <w:rPr>
          <w:sz w:val="20"/>
          <w:szCs w:val="20"/>
        </w:rPr>
      </w:pPr>
    </w:p>
    <w:p w:rsidR="002D5209" w:rsidRDefault="002D5209">
      <w:pPr>
        <w:pStyle w:val="normal0"/>
        <w:ind w:firstLine="425"/>
        <w:jc w:val="both"/>
        <w:rPr>
          <w:sz w:val="20"/>
          <w:szCs w:val="20"/>
        </w:rPr>
      </w:pPr>
    </w:p>
    <w:p w:rsidR="00867690" w:rsidRDefault="00E64BAB">
      <w:pPr>
        <w:pStyle w:val="normal0"/>
        <w:jc w:val="center"/>
        <w:rPr>
          <w:b/>
          <w:sz w:val="20"/>
          <w:szCs w:val="20"/>
        </w:rPr>
      </w:pPr>
      <w:r>
        <w:rPr>
          <w:b/>
          <w:sz w:val="20"/>
          <w:szCs w:val="20"/>
        </w:rPr>
        <w:lastRenderedPageBreak/>
        <w:t>Table,6: The relationship between released quantity and seawater temperature.</w:t>
      </w:r>
    </w:p>
    <w:tbl>
      <w:tblPr>
        <w:tblStyle w:val="a8"/>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94"/>
        <w:gridCol w:w="1288"/>
        <w:gridCol w:w="1558"/>
        <w:gridCol w:w="1558"/>
        <w:gridCol w:w="1376"/>
      </w:tblGrid>
      <w:tr w:rsidR="00867690">
        <w:trPr>
          <w:jc w:val="center"/>
        </w:trPr>
        <w:tc>
          <w:tcPr>
            <w:tcW w:w="3694" w:type="dxa"/>
            <w:vAlign w:val="center"/>
          </w:tcPr>
          <w:p w:rsidR="00867690" w:rsidRDefault="00E64BAB">
            <w:pPr>
              <w:pStyle w:val="normal0"/>
              <w:tabs>
                <w:tab w:val="center" w:pos="754"/>
              </w:tabs>
              <w:jc w:val="both"/>
              <w:rPr>
                <w:sz w:val="20"/>
                <w:szCs w:val="20"/>
              </w:rPr>
            </w:pPr>
            <w:r>
              <w:rPr>
                <w:sz w:val="20"/>
                <w:szCs w:val="20"/>
              </w:rPr>
              <w:tab/>
              <w:t>Temperature</w:t>
            </w:r>
          </w:p>
        </w:tc>
        <w:tc>
          <w:tcPr>
            <w:tcW w:w="1288" w:type="dxa"/>
            <w:vAlign w:val="center"/>
          </w:tcPr>
          <w:p w:rsidR="00867690" w:rsidRDefault="00E64BAB">
            <w:pPr>
              <w:pStyle w:val="normal0"/>
              <w:jc w:val="both"/>
              <w:rPr>
                <w:sz w:val="20"/>
                <w:szCs w:val="20"/>
              </w:rPr>
            </w:pPr>
            <w:r>
              <w:rPr>
                <w:sz w:val="20"/>
                <w:szCs w:val="20"/>
              </w:rPr>
              <w:t>8-10</w:t>
            </w:r>
          </w:p>
        </w:tc>
        <w:tc>
          <w:tcPr>
            <w:tcW w:w="1558" w:type="dxa"/>
            <w:vAlign w:val="center"/>
          </w:tcPr>
          <w:p w:rsidR="00867690" w:rsidRDefault="00E64BAB">
            <w:pPr>
              <w:pStyle w:val="normal0"/>
              <w:jc w:val="both"/>
              <w:rPr>
                <w:sz w:val="20"/>
                <w:szCs w:val="20"/>
              </w:rPr>
            </w:pPr>
            <w:r>
              <w:rPr>
                <w:sz w:val="20"/>
                <w:szCs w:val="20"/>
              </w:rPr>
              <w:t>12-15</w:t>
            </w:r>
          </w:p>
        </w:tc>
        <w:tc>
          <w:tcPr>
            <w:tcW w:w="1558" w:type="dxa"/>
            <w:vAlign w:val="center"/>
          </w:tcPr>
          <w:p w:rsidR="00867690" w:rsidRDefault="00E64BAB">
            <w:pPr>
              <w:pStyle w:val="normal0"/>
              <w:jc w:val="both"/>
              <w:rPr>
                <w:sz w:val="20"/>
                <w:szCs w:val="20"/>
              </w:rPr>
            </w:pPr>
            <w:r>
              <w:rPr>
                <w:sz w:val="20"/>
                <w:szCs w:val="20"/>
              </w:rPr>
              <w:t>20-22</w:t>
            </w:r>
          </w:p>
        </w:tc>
        <w:tc>
          <w:tcPr>
            <w:tcW w:w="1376" w:type="dxa"/>
            <w:vAlign w:val="center"/>
          </w:tcPr>
          <w:p w:rsidR="00867690" w:rsidRDefault="00E64BAB">
            <w:pPr>
              <w:pStyle w:val="normal0"/>
              <w:jc w:val="both"/>
              <w:rPr>
                <w:sz w:val="20"/>
                <w:szCs w:val="20"/>
              </w:rPr>
            </w:pPr>
            <w:r>
              <w:rPr>
                <w:sz w:val="20"/>
                <w:szCs w:val="20"/>
              </w:rPr>
              <w:t>25</w:t>
            </w:r>
          </w:p>
        </w:tc>
      </w:tr>
      <w:tr w:rsidR="00867690">
        <w:trPr>
          <w:jc w:val="center"/>
        </w:trPr>
        <w:tc>
          <w:tcPr>
            <w:tcW w:w="3694" w:type="dxa"/>
            <w:vAlign w:val="center"/>
          </w:tcPr>
          <w:p w:rsidR="00867690" w:rsidRDefault="00E64BAB">
            <w:pPr>
              <w:pStyle w:val="normal0"/>
              <w:jc w:val="both"/>
              <w:rPr>
                <w:sz w:val="20"/>
                <w:szCs w:val="20"/>
              </w:rPr>
            </w:pPr>
            <w:proofErr w:type="spellStart"/>
            <w:r>
              <w:rPr>
                <w:sz w:val="20"/>
                <w:szCs w:val="20"/>
              </w:rPr>
              <w:t>Tetraspore</w:t>
            </w:r>
            <w:proofErr w:type="spellEnd"/>
          </w:p>
        </w:tc>
        <w:tc>
          <w:tcPr>
            <w:tcW w:w="1288" w:type="dxa"/>
            <w:vAlign w:val="center"/>
          </w:tcPr>
          <w:p w:rsidR="00867690" w:rsidRDefault="00E64BAB">
            <w:pPr>
              <w:pStyle w:val="normal0"/>
              <w:jc w:val="both"/>
              <w:rPr>
                <w:sz w:val="20"/>
                <w:szCs w:val="20"/>
              </w:rPr>
            </w:pPr>
            <w:r>
              <w:rPr>
                <w:sz w:val="20"/>
                <w:szCs w:val="20"/>
              </w:rPr>
              <w:t>100</w:t>
            </w:r>
          </w:p>
        </w:tc>
        <w:tc>
          <w:tcPr>
            <w:tcW w:w="1558" w:type="dxa"/>
            <w:vAlign w:val="center"/>
          </w:tcPr>
          <w:p w:rsidR="00867690" w:rsidRDefault="00E64BAB">
            <w:pPr>
              <w:pStyle w:val="normal0"/>
              <w:jc w:val="both"/>
              <w:rPr>
                <w:sz w:val="20"/>
                <w:szCs w:val="20"/>
              </w:rPr>
            </w:pPr>
            <w:r>
              <w:rPr>
                <w:sz w:val="20"/>
                <w:szCs w:val="20"/>
              </w:rPr>
              <w:t>478</w:t>
            </w:r>
          </w:p>
        </w:tc>
        <w:tc>
          <w:tcPr>
            <w:tcW w:w="1558" w:type="dxa"/>
            <w:vAlign w:val="center"/>
          </w:tcPr>
          <w:p w:rsidR="00867690" w:rsidRDefault="00E64BAB">
            <w:pPr>
              <w:pStyle w:val="normal0"/>
              <w:jc w:val="both"/>
              <w:rPr>
                <w:sz w:val="20"/>
                <w:szCs w:val="20"/>
              </w:rPr>
            </w:pPr>
            <w:r>
              <w:rPr>
                <w:sz w:val="20"/>
                <w:szCs w:val="20"/>
              </w:rPr>
              <w:t>2876</w:t>
            </w:r>
          </w:p>
        </w:tc>
        <w:tc>
          <w:tcPr>
            <w:tcW w:w="1376" w:type="dxa"/>
            <w:vAlign w:val="center"/>
          </w:tcPr>
          <w:p w:rsidR="00867690" w:rsidRDefault="00E64BAB">
            <w:pPr>
              <w:pStyle w:val="normal0"/>
              <w:jc w:val="both"/>
              <w:rPr>
                <w:sz w:val="20"/>
                <w:szCs w:val="20"/>
              </w:rPr>
            </w:pPr>
            <w:r>
              <w:rPr>
                <w:sz w:val="20"/>
                <w:szCs w:val="20"/>
              </w:rPr>
              <w:t>1389</w:t>
            </w:r>
          </w:p>
        </w:tc>
      </w:tr>
      <w:tr w:rsidR="00867690">
        <w:trPr>
          <w:jc w:val="center"/>
        </w:trPr>
        <w:tc>
          <w:tcPr>
            <w:tcW w:w="3694" w:type="dxa"/>
            <w:vAlign w:val="center"/>
          </w:tcPr>
          <w:p w:rsidR="00867690" w:rsidRDefault="00E64BAB">
            <w:pPr>
              <w:pStyle w:val="normal0"/>
              <w:jc w:val="both"/>
              <w:rPr>
                <w:sz w:val="20"/>
                <w:szCs w:val="20"/>
              </w:rPr>
            </w:pPr>
            <w:proofErr w:type="spellStart"/>
            <w:r>
              <w:rPr>
                <w:sz w:val="20"/>
                <w:szCs w:val="20"/>
              </w:rPr>
              <w:t>Carpospore</w:t>
            </w:r>
            <w:proofErr w:type="spellEnd"/>
          </w:p>
        </w:tc>
        <w:tc>
          <w:tcPr>
            <w:tcW w:w="1288" w:type="dxa"/>
            <w:vAlign w:val="center"/>
          </w:tcPr>
          <w:p w:rsidR="00867690" w:rsidRDefault="00E64BAB">
            <w:pPr>
              <w:pStyle w:val="normal0"/>
              <w:jc w:val="both"/>
              <w:rPr>
                <w:sz w:val="20"/>
                <w:szCs w:val="20"/>
              </w:rPr>
            </w:pPr>
            <w:r>
              <w:rPr>
                <w:sz w:val="20"/>
                <w:szCs w:val="20"/>
              </w:rPr>
              <w:t>610</w:t>
            </w:r>
          </w:p>
        </w:tc>
        <w:tc>
          <w:tcPr>
            <w:tcW w:w="1558" w:type="dxa"/>
            <w:vAlign w:val="center"/>
          </w:tcPr>
          <w:p w:rsidR="00867690" w:rsidRDefault="00E64BAB">
            <w:pPr>
              <w:pStyle w:val="normal0"/>
              <w:jc w:val="both"/>
              <w:rPr>
                <w:sz w:val="20"/>
                <w:szCs w:val="20"/>
              </w:rPr>
            </w:pPr>
            <w:r>
              <w:rPr>
                <w:sz w:val="20"/>
                <w:szCs w:val="20"/>
              </w:rPr>
              <w:t>1057</w:t>
            </w:r>
          </w:p>
        </w:tc>
        <w:tc>
          <w:tcPr>
            <w:tcW w:w="1558" w:type="dxa"/>
            <w:vAlign w:val="center"/>
          </w:tcPr>
          <w:p w:rsidR="00867690" w:rsidRDefault="00E64BAB">
            <w:pPr>
              <w:pStyle w:val="normal0"/>
              <w:jc w:val="both"/>
              <w:rPr>
                <w:sz w:val="20"/>
                <w:szCs w:val="20"/>
              </w:rPr>
            </w:pPr>
            <w:r>
              <w:rPr>
                <w:sz w:val="20"/>
                <w:szCs w:val="20"/>
              </w:rPr>
              <w:t>1436</w:t>
            </w:r>
          </w:p>
        </w:tc>
        <w:tc>
          <w:tcPr>
            <w:tcW w:w="1376" w:type="dxa"/>
            <w:vAlign w:val="center"/>
          </w:tcPr>
          <w:p w:rsidR="00867690" w:rsidRDefault="00E64BAB">
            <w:pPr>
              <w:pStyle w:val="normal0"/>
              <w:jc w:val="both"/>
              <w:rPr>
                <w:sz w:val="20"/>
                <w:szCs w:val="20"/>
              </w:rPr>
            </w:pPr>
            <w:r>
              <w:rPr>
                <w:sz w:val="20"/>
                <w:szCs w:val="20"/>
              </w:rPr>
              <w:t>746</w:t>
            </w:r>
          </w:p>
        </w:tc>
      </w:tr>
    </w:tbl>
    <w:p w:rsidR="00867690" w:rsidRDefault="00E64BAB">
      <w:pPr>
        <w:pStyle w:val="normal0"/>
        <w:ind w:firstLine="425"/>
        <w:jc w:val="both"/>
        <w:rPr>
          <w:sz w:val="20"/>
          <w:szCs w:val="20"/>
        </w:rPr>
      </w:pPr>
      <w:r>
        <w:rPr>
          <w:sz w:val="20"/>
          <w:szCs w:val="20"/>
        </w:rPr>
        <w:t xml:space="preserve"> </w:t>
      </w:r>
    </w:p>
    <w:p w:rsidR="00867690" w:rsidRDefault="00867690">
      <w:pPr>
        <w:pStyle w:val="normal0"/>
        <w:ind w:firstLine="425"/>
        <w:jc w:val="both"/>
        <w:rPr>
          <w:sz w:val="20"/>
          <w:szCs w:val="20"/>
        </w:rPr>
        <w:sectPr w:rsidR="00867690">
          <w:type w:val="continuous"/>
          <w:pgSz w:w="12240" w:h="15840"/>
          <w:pgMar w:top="1440" w:right="1440" w:bottom="1440" w:left="1440" w:header="720" w:footer="720" w:gutter="0"/>
          <w:cols w:space="720"/>
        </w:sectPr>
      </w:pPr>
    </w:p>
    <w:p w:rsidR="00867690" w:rsidRDefault="00E64BAB">
      <w:pPr>
        <w:pStyle w:val="normal0"/>
        <w:ind w:firstLine="425"/>
        <w:jc w:val="both"/>
        <w:rPr>
          <w:b/>
          <w:sz w:val="20"/>
          <w:szCs w:val="20"/>
          <w:u w:val="single"/>
        </w:rPr>
      </w:pPr>
      <w:r>
        <w:rPr>
          <w:sz w:val="20"/>
          <w:szCs w:val="20"/>
        </w:rPr>
        <w:lastRenderedPageBreak/>
        <w:t xml:space="preserve">The impact of aquaculture on the environment and effects of environment on aquaculture production have become important issues in recent years. There is evidence from many countries that environmental deterioration is a major threat to aquaculture production and product quality. So, the mean object of our research is to minimize the environmental side effects and improved the water quality through the use of </w:t>
      </w:r>
      <w:proofErr w:type="spellStart"/>
      <w:r>
        <w:rPr>
          <w:sz w:val="20"/>
          <w:szCs w:val="20"/>
        </w:rPr>
        <w:t>macroalgae</w:t>
      </w:r>
      <w:proofErr w:type="spellEnd"/>
      <w:r>
        <w:rPr>
          <w:sz w:val="20"/>
          <w:szCs w:val="20"/>
        </w:rPr>
        <w:t xml:space="preserve"> (Seaweeds) in marine fish farms. </w:t>
      </w:r>
    </w:p>
    <w:p w:rsidR="00867690" w:rsidRDefault="00E64BAB">
      <w:pPr>
        <w:pStyle w:val="normal0"/>
        <w:tabs>
          <w:tab w:val="left" w:pos="2805"/>
        </w:tabs>
        <w:ind w:firstLine="425"/>
        <w:jc w:val="both"/>
        <w:rPr>
          <w:b/>
          <w:sz w:val="20"/>
          <w:szCs w:val="20"/>
        </w:rPr>
      </w:pPr>
      <w:r>
        <w:rPr>
          <w:sz w:val="20"/>
          <w:szCs w:val="20"/>
        </w:rPr>
        <w:t xml:space="preserve">The present work phase was focused in the massive production of nutrients within seaweeds which in turn became more effective in bio-form in adult fish nutrition. This includes the proper indoor </w:t>
      </w:r>
      <w:proofErr w:type="spellStart"/>
      <w:r>
        <w:rPr>
          <w:sz w:val="20"/>
          <w:szCs w:val="20"/>
        </w:rPr>
        <w:t>macroalgale</w:t>
      </w:r>
      <w:proofErr w:type="spellEnd"/>
      <w:r>
        <w:rPr>
          <w:sz w:val="20"/>
          <w:szCs w:val="20"/>
        </w:rPr>
        <w:t xml:space="preserve"> new species growth associated with both growth curve and determination of nutrients accumulation rate. </w:t>
      </w:r>
    </w:p>
    <w:p w:rsidR="00867690" w:rsidRDefault="00E64BAB">
      <w:pPr>
        <w:pStyle w:val="normal0"/>
        <w:tabs>
          <w:tab w:val="left" w:pos="2805"/>
        </w:tabs>
        <w:ind w:firstLine="425"/>
        <w:jc w:val="both"/>
        <w:rPr>
          <w:sz w:val="20"/>
          <w:szCs w:val="20"/>
        </w:rPr>
      </w:pPr>
      <w:r>
        <w:rPr>
          <w:sz w:val="20"/>
          <w:szCs w:val="20"/>
        </w:rPr>
        <w:t xml:space="preserve">Also, the current studies concluded that in these studies we expected to introduce and improve seaweeds new species adapted with </w:t>
      </w:r>
      <w:proofErr w:type="spellStart"/>
      <w:r>
        <w:rPr>
          <w:sz w:val="20"/>
          <w:szCs w:val="20"/>
        </w:rPr>
        <w:t>mariculture</w:t>
      </w:r>
      <w:proofErr w:type="spellEnd"/>
      <w:r>
        <w:rPr>
          <w:sz w:val="20"/>
          <w:szCs w:val="20"/>
        </w:rPr>
        <w:t>.</w:t>
      </w:r>
    </w:p>
    <w:p w:rsidR="00867690" w:rsidRDefault="00867690">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0"/>
          <w:szCs w:val="20"/>
        </w:rPr>
      </w:pPr>
    </w:p>
    <w:p w:rsidR="00867690" w:rsidRDefault="00E64BAB">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b/>
          <w:color w:val="000000"/>
          <w:sz w:val="20"/>
          <w:szCs w:val="20"/>
        </w:rPr>
        <w:t>Acknowledgment:</w:t>
      </w:r>
      <w:r>
        <w:rPr>
          <w:color w:val="000000"/>
          <w:sz w:val="20"/>
          <w:szCs w:val="20"/>
        </w:rPr>
        <w:t xml:space="preserve"> </w:t>
      </w:r>
    </w:p>
    <w:p w:rsidR="00867690" w:rsidRDefault="00E64BAB">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color w:val="000000"/>
          <w:sz w:val="20"/>
          <w:szCs w:val="20"/>
        </w:rPr>
      </w:pPr>
      <w:r>
        <w:rPr>
          <w:color w:val="000000"/>
          <w:sz w:val="20"/>
          <w:szCs w:val="20"/>
        </w:rPr>
        <w:t xml:space="preserve">Thanks for STDF, Academy of Scientific Research in Egypt that support this paper from project No 5717. </w:t>
      </w:r>
    </w:p>
    <w:p w:rsidR="00867690" w:rsidRDefault="00867690">
      <w:pPr>
        <w:pStyle w:val="normal0"/>
        <w:ind w:firstLine="425"/>
        <w:jc w:val="both"/>
        <w:rPr>
          <w:sz w:val="20"/>
          <w:szCs w:val="20"/>
        </w:rPr>
      </w:pPr>
    </w:p>
    <w:p w:rsidR="00867690" w:rsidRDefault="00E64BAB">
      <w:pPr>
        <w:pStyle w:val="normal0"/>
        <w:jc w:val="both"/>
        <w:rPr>
          <w:b/>
          <w:sz w:val="20"/>
          <w:szCs w:val="20"/>
        </w:rPr>
      </w:pPr>
      <w:r>
        <w:rPr>
          <w:b/>
          <w:sz w:val="20"/>
          <w:szCs w:val="20"/>
        </w:rPr>
        <w:t>References</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Abdel-</w:t>
      </w:r>
      <w:proofErr w:type="spellStart"/>
      <w:r>
        <w:rPr>
          <w:color w:val="000000"/>
          <w:sz w:val="20"/>
          <w:szCs w:val="20"/>
        </w:rPr>
        <w:t>Rahman</w:t>
      </w:r>
      <w:proofErr w:type="spellEnd"/>
      <w:r>
        <w:rPr>
          <w:color w:val="000000"/>
          <w:sz w:val="20"/>
          <w:szCs w:val="20"/>
        </w:rPr>
        <w:t xml:space="preserve">, I. F. and M. M. </w:t>
      </w:r>
      <w:proofErr w:type="spellStart"/>
      <w:r>
        <w:rPr>
          <w:color w:val="000000"/>
          <w:sz w:val="20"/>
          <w:szCs w:val="20"/>
        </w:rPr>
        <w:t>Hegazi</w:t>
      </w:r>
      <w:proofErr w:type="spellEnd"/>
      <w:r>
        <w:rPr>
          <w:color w:val="000000"/>
          <w:sz w:val="20"/>
          <w:szCs w:val="20"/>
        </w:rPr>
        <w:t xml:space="preserve"> (2006). Depositional Environments, </w:t>
      </w:r>
      <w:proofErr w:type="spellStart"/>
      <w:r>
        <w:rPr>
          <w:color w:val="000000"/>
          <w:sz w:val="20"/>
          <w:szCs w:val="20"/>
        </w:rPr>
        <w:t>Facies</w:t>
      </w:r>
      <w:proofErr w:type="spellEnd"/>
      <w:r>
        <w:rPr>
          <w:color w:val="000000"/>
          <w:sz w:val="20"/>
          <w:szCs w:val="20"/>
        </w:rPr>
        <w:t xml:space="preserve"> Pattern and Marine Plants Distribution in </w:t>
      </w:r>
      <w:proofErr w:type="spellStart"/>
      <w:r>
        <w:rPr>
          <w:color w:val="000000"/>
          <w:sz w:val="20"/>
          <w:szCs w:val="20"/>
        </w:rPr>
        <w:t>Ras</w:t>
      </w:r>
      <w:proofErr w:type="spellEnd"/>
      <w:r>
        <w:rPr>
          <w:color w:val="000000"/>
          <w:sz w:val="20"/>
          <w:szCs w:val="20"/>
        </w:rPr>
        <w:t xml:space="preserve"> Muhammad Area, Sinai, Egypt. CATRINA, 1 (2): 81-89.</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Amar</w:t>
      </w:r>
      <w:proofErr w:type="spellEnd"/>
      <w:r>
        <w:rPr>
          <w:color w:val="000000"/>
          <w:sz w:val="20"/>
          <w:szCs w:val="20"/>
        </w:rPr>
        <w:t xml:space="preserve">, E.C., V. </w:t>
      </w:r>
      <w:proofErr w:type="spellStart"/>
      <w:r>
        <w:rPr>
          <w:color w:val="000000"/>
          <w:sz w:val="20"/>
          <w:szCs w:val="20"/>
        </w:rPr>
        <w:t>Kiron</w:t>
      </w:r>
      <w:proofErr w:type="spellEnd"/>
      <w:r>
        <w:rPr>
          <w:color w:val="000000"/>
          <w:sz w:val="20"/>
          <w:szCs w:val="20"/>
        </w:rPr>
        <w:t>, S. Satoh and T. Watanabe, (2004). Enhancement of innate immunity in rainbow trout (</w:t>
      </w:r>
      <w:proofErr w:type="spellStart"/>
      <w:r>
        <w:rPr>
          <w:color w:val="000000"/>
          <w:sz w:val="20"/>
          <w:szCs w:val="20"/>
        </w:rPr>
        <w:t>Oncorhynchusmykiss</w:t>
      </w:r>
      <w:proofErr w:type="spellEnd"/>
      <w:r>
        <w:rPr>
          <w:color w:val="000000"/>
          <w:sz w:val="20"/>
          <w:szCs w:val="20"/>
        </w:rPr>
        <w:t xml:space="preserve">) associated with dietary intake of </w:t>
      </w:r>
      <w:proofErr w:type="spellStart"/>
      <w:r>
        <w:rPr>
          <w:color w:val="000000"/>
          <w:sz w:val="20"/>
          <w:szCs w:val="20"/>
        </w:rPr>
        <w:t>carotenoids</w:t>
      </w:r>
      <w:proofErr w:type="spellEnd"/>
      <w:r>
        <w:rPr>
          <w:color w:val="000000"/>
          <w:sz w:val="20"/>
          <w:szCs w:val="20"/>
        </w:rPr>
        <w:t xml:space="preserve"> from natural products. Tokyo University of Marine Science and Technology, Minato, Japan. pp: 527-537.</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Attia</w:t>
      </w:r>
      <w:proofErr w:type="spellEnd"/>
      <w:r>
        <w:rPr>
          <w:color w:val="000000"/>
          <w:sz w:val="20"/>
          <w:szCs w:val="20"/>
        </w:rPr>
        <w:t xml:space="preserve">, Z. I. (2001). Effect of diet composition on kinetic properties of </w:t>
      </w:r>
      <w:proofErr w:type="spellStart"/>
      <w:r>
        <w:rPr>
          <w:color w:val="000000"/>
          <w:sz w:val="20"/>
          <w:szCs w:val="20"/>
        </w:rPr>
        <w:t>acetyle</w:t>
      </w:r>
      <w:proofErr w:type="spellEnd"/>
      <w:r>
        <w:rPr>
          <w:color w:val="000000"/>
          <w:sz w:val="20"/>
          <w:szCs w:val="20"/>
        </w:rPr>
        <w:t xml:space="preserve"> cholinesterase in thermally acclimated </w:t>
      </w:r>
      <w:proofErr w:type="spellStart"/>
      <w:r>
        <w:rPr>
          <w:color w:val="000000"/>
          <w:sz w:val="20"/>
          <w:szCs w:val="20"/>
        </w:rPr>
        <w:t>Oreochromisniloticus</w:t>
      </w:r>
      <w:proofErr w:type="spellEnd"/>
      <w:r>
        <w:rPr>
          <w:color w:val="000000"/>
          <w:sz w:val="20"/>
          <w:szCs w:val="20"/>
        </w:rPr>
        <w:t>. J. Egypt. Ger. Soc. Zool., 36 A: 61-70.</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 xml:space="preserve">Barman, N., G.G. </w:t>
      </w:r>
      <w:proofErr w:type="spellStart"/>
      <w:r>
        <w:rPr>
          <w:color w:val="000000"/>
          <w:sz w:val="20"/>
          <w:szCs w:val="20"/>
        </w:rPr>
        <w:t>Satpati</w:t>
      </w:r>
      <w:proofErr w:type="spellEnd"/>
      <w:r>
        <w:rPr>
          <w:color w:val="000000"/>
          <w:sz w:val="20"/>
          <w:szCs w:val="20"/>
        </w:rPr>
        <w:t xml:space="preserve">, S. </w:t>
      </w:r>
      <w:proofErr w:type="spellStart"/>
      <w:r>
        <w:rPr>
          <w:color w:val="000000"/>
          <w:sz w:val="20"/>
          <w:szCs w:val="20"/>
        </w:rPr>
        <w:t>Sen</w:t>
      </w:r>
      <w:proofErr w:type="spellEnd"/>
      <w:r>
        <w:rPr>
          <w:color w:val="000000"/>
          <w:sz w:val="20"/>
          <w:szCs w:val="20"/>
        </w:rPr>
        <w:t xml:space="preserve"> Roy, N. </w:t>
      </w:r>
      <w:proofErr w:type="spellStart"/>
      <w:r>
        <w:rPr>
          <w:color w:val="000000"/>
          <w:sz w:val="20"/>
          <w:szCs w:val="20"/>
        </w:rPr>
        <w:t>Khatoon</w:t>
      </w:r>
      <w:proofErr w:type="spellEnd"/>
      <w:r>
        <w:rPr>
          <w:color w:val="000000"/>
          <w:sz w:val="20"/>
          <w:szCs w:val="20"/>
        </w:rPr>
        <w:t xml:space="preserve">, R. </w:t>
      </w:r>
      <w:proofErr w:type="spellStart"/>
      <w:r>
        <w:rPr>
          <w:color w:val="000000"/>
          <w:sz w:val="20"/>
          <w:szCs w:val="20"/>
        </w:rPr>
        <w:t>Sen</w:t>
      </w:r>
      <w:proofErr w:type="spellEnd"/>
      <w:r>
        <w:rPr>
          <w:color w:val="000000"/>
          <w:sz w:val="20"/>
          <w:szCs w:val="20"/>
        </w:rPr>
        <w:t xml:space="preserve">, S. </w:t>
      </w:r>
      <w:proofErr w:type="spellStart"/>
      <w:r>
        <w:rPr>
          <w:color w:val="000000"/>
          <w:sz w:val="20"/>
          <w:szCs w:val="20"/>
        </w:rPr>
        <w:t>Kanjilal</w:t>
      </w:r>
      <w:proofErr w:type="spellEnd"/>
      <w:r>
        <w:rPr>
          <w:color w:val="000000"/>
          <w:sz w:val="20"/>
          <w:szCs w:val="20"/>
        </w:rPr>
        <w:t xml:space="preserve">, R.B.N. Prasad, and R. Pal. (2012). Mapping algae of </w:t>
      </w:r>
      <w:proofErr w:type="spellStart"/>
      <w:r>
        <w:rPr>
          <w:color w:val="000000"/>
          <w:sz w:val="20"/>
          <w:szCs w:val="20"/>
        </w:rPr>
        <w:t>sundarban</w:t>
      </w:r>
      <w:proofErr w:type="spellEnd"/>
      <w:r>
        <w:rPr>
          <w:color w:val="000000"/>
          <w:sz w:val="20"/>
          <w:szCs w:val="20"/>
        </w:rPr>
        <w:t xml:space="preserve"> origin as lipid feedstock for potential biodiesel application. Journal of Algal Biomass </w:t>
      </w:r>
      <w:proofErr w:type="spellStart"/>
      <w:r>
        <w:rPr>
          <w:color w:val="000000"/>
          <w:sz w:val="20"/>
          <w:szCs w:val="20"/>
        </w:rPr>
        <w:t>Utilisaton</w:t>
      </w:r>
      <w:proofErr w:type="spellEnd"/>
      <w:r>
        <w:rPr>
          <w:color w:val="000000"/>
          <w:sz w:val="20"/>
          <w:szCs w:val="20"/>
        </w:rPr>
        <w:t xml:space="preserve"> 3(2): 42–49.</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 xml:space="preserve">Becker, E.W., and L.V. </w:t>
      </w:r>
      <w:proofErr w:type="spellStart"/>
      <w:r>
        <w:rPr>
          <w:color w:val="000000"/>
          <w:sz w:val="20"/>
          <w:szCs w:val="20"/>
        </w:rPr>
        <w:t>Venkataraman</w:t>
      </w:r>
      <w:proofErr w:type="spellEnd"/>
      <w:r>
        <w:rPr>
          <w:color w:val="000000"/>
          <w:sz w:val="20"/>
          <w:szCs w:val="20"/>
        </w:rPr>
        <w:t xml:space="preserve">. (1984). Production and utilization of the blue green alga </w:t>
      </w:r>
      <w:proofErr w:type="spellStart"/>
      <w:r>
        <w:rPr>
          <w:color w:val="000000"/>
          <w:sz w:val="20"/>
          <w:szCs w:val="20"/>
        </w:rPr>
        <w:t>Spirulina</w:t>
      </w:r>
      <w:proofErr w:type="spellEnd"/>
      <w:r>
        <w:rPr>
          <w:color w:val="000000"/>
          <w:sz w:val="20"/>
          <w:szCs w:val="20"/>
        </w:rPr>
        <w:t xml:space="preserve"> in India. Biomass 4:105.</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Ben-</w:t>
      </w:r>
      <w:proofErr w:type="spellStart"/>
      <w:r>
        <w:rPr>
          <w:color w:val="000000"/>
          <w:sz w:val="20"/>
          <w:szCs w:val="20"/>
        </w:rPr>
        <w:t>Amotz</w:t>
      </w:r>
      <w:proofErr w:type="spellEnd"/>
      <w:r>
        <w:rPr>
          <w:color w:val="000000"/>
          <w:sz w:val="20"/>
          <w:szCs w:val="20"/>
        </w:rPr>
        <w:t xml:space="preserve">, A. &amp; </w:t>
      </w:r>
      <w:proofErr w:type="spellStart"/>
      <w:r>
        <w:rPr>
          <w:color w:val="000000"/>
          <w:sz w:val="20"/>
          <w:szCs w:val="20"/>
        </w:rPr>
        <w:t>Avron</w:t>
      </w:r>
      <w:proofErr w:type="spellEnd"/>
      <w:r>
        <w:rPr>
          <w:color w:val="000000"/>
          <w:sz w:val="20"/>
          <w:szCs w:val="20"/>
        </w:rPr>
        <w:t xml:space="preserve">, M. (1989). The wavelength dependence of massive carotene </w:t>
      </w:r>
      <w:r>
        <w:rPr>
          <w:color w:val="000000"/>
          <w:sz w:val="20"/>
          <w:szCs w:val="20"/>
        </w:rPr>
        <w:lastRenderedPageBreak/>
        <w:t xml:space="preserve">synthesis in </w:t>
      </w:r>
      <w:proofErr w:type="spellStart"/>
      <w:r>
        <w:rPr>
          <w:color w:val="000000"/>
          <w:sz w:val="20"/>
          <w:szCs w:val="20"/>
        </w:rPr>
        <w:t>Dunaliellabardawil</w:t>
      </w:r>
      <w:proofErr w:type="spellEnd"/>
      <w:r>
        <w:rPr>
          <w:color w:val="000000"/>
          <w:sz w:val="20"/>
          <w:szCs w:val="20"/>
        </w:rPr>
        <w:t xml:space="preserve"> (</w:t>
      </w:r>
      <w:proofErr w:type="spellStart"/>
      <w:r>
        <w:rPr>
          <w:color w:val="000000"/>
          <w:sz w:val="20"/>
          <w:szCs w:val="20"/>
        </w:rPr>
        <w:t>Chlorophyceae</w:t>
      </w:r>
      <w:proofErr w:type="spellEnd"/>
      <w:r>
        <w:rPr>
          <w:color w:val="000000"/>
          <w:sz w:val="20"/>
          <w:szCs w:val="20"/>
        </w:rPr>
        <w:t xml:space="preserve">). Journal of </w:t>
      </w:r>
      <w:proofErr w:type="spellStart"/>
      <w:r>
        <w:rPr>
          <w:color w:val="000000"/>
          <w:sz w:val="20"/>
          <w:szCs w:val="20"/>
        </w:rPr>
        <w:t>Phycology</w:t>
      </w:r>
      <w:proofErr w:type="spellEnd"/>
      <w:r>
        <w:rPr>
          <w:color w:val="000000"/>
          <w:sz w:val="20"/>
          <w:szCs w:val="20"/>
        </w:rPr>
        <w:t xml:space="preserve"> 25: 175-178.</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Berker</w:t>
      </w:r>
      <w:proofErr w:type="spellEnd"/>
      <w:r>
        <w:rPr>
          <w:color w:val="000000"/>
          <w:sz w:val="20"/>
          <w:szCs w:val="20"/>
        </w:rPr>
        <w:t xml:space="preserve">, E, W, (2004). Microalgae as a source of protein. </w:t>
      </w:r>
      <w:proofErr w:type="spellStart"/>
      <w:r>
        <w:rPr>
          <w:color w:val="000000"/>
          <w:sz w:val="20"/>
          <w:szCs w:val="20"/>
        </w:rPr>
        <w:t>Biotectology</w:t>
      </w:r>
      <w:proofErr w:type="spellEnd"/>
      <w:r>
        <w:rPr>
          <w:color w:val="000000"/>
          <w:sz w:val="20"/>
          <w:szCs w:val="20"/>
        </w:rPr>
        <w:t xml:space="preserve"> advances.25:207-2010.</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Bjerregaard</w:t>
      </w:r>
      <w:proofErr w:type="spellEnd"/>
      <w:r>
        <w:rPr>
          <w:color w:val="000000"/>
          <w:sz w:val="20"/>
          <w:szCs w:val="20"/>
        </w:rPr>
        <w:t xml:space="preserve">, R., </w:t>
      </w:r>
      <w:proofErr w:type="spellStart"/>
      <w:r>
        <w:rPr>
          <w:color w:val="000000"/>
          <w:sz w:val="20"/>
          <w:szCs w:val="20"/>
        </w:rPr>
        <w:t>Valderrama</w:t>
      </w:r>
      <w:proofErr w:type="spellEnd"/>
      <w:r>
        <w:rPr>
          <w:color w:val="000000"/>
          <w:sz w:val="20"/>
          <w:szCs w:val="20"/>
        </w:rPr>
        <w:t xml:space="preserve">, D., </w:t>
      </w:r>
      <w:proofErr w:type="spellStart"/>
      <w:r>
        <w:rPr>
          <w:color w:val="000000"/>
          <w:sz w:val="20"/>
          <w:szCs w:val="20"/>
        </w:rPr>
        <w:t>Radulovich</w:t>
      </w:r>
      <w:proofErr w:type="spellEnd"/>
      <w:r>
        <w:rPr>
          <w:color w:val="000000"/>
          <w:sz w:val="20"/>
          <w:szCs w:val="20"/>
        </w:rPr>
        <w:t xml:space="preserve">, R., Diana, J., Capron, M., </w:t>
      </w:r>
      <w:proofErr w:type="spellStart"/>
      <w:r>
        <w:rPr>
          <w:color w:val="000000"/>
          <w:sz w:val="20"/>
          <w:szCs w:val="20"/>
        </w:rPr>
        <w:t>Mckinnie</w:t>
      </w:r>
      <w:proofErr w:type="spellEnd"/>
      <w:r>
        <w:rPr>
          <w:color w:val="000000"/>
          <w:sz w:val="20"/>
          <w:szCs w:val="20"/>
        </w:rPr>
        <w:t xml:space="preserve">, CA., Cedric, M., Hopkins, K., </w:t>
      </w:r>
      <w:proofErr w:type="spellStart"/>
      <w:r>
        <w:rPr>
          <w:color w:val="000000"/>
          <w:sz w:val="20"/>
          <w:szCs w:val="20"/>
        </w:rPr>
        <w:t>Yarish</w:t>
      </w:r>
      <w:proofErr w:type="spellEnd"/>
      <w:r>
        <w:rPr>
          <w:color w:val="000000"/>
          <w:sz w:val="20"/>
          <w:szCs w:val="20"/>
        </w:rPr>
        <w:t xml:space="preserve">, C., </w:t>
      </w:r>
      <w:proofErr w:type="spellStart"/>
      <w:r>
        <w:rPr>
          <w:color w:val="000000"/>
          <w:sz w:val="20"/>
          <w:szCs w:val="20"/>
        </w:rPr>
        <w:t>Goudey</w:t>
      </w:r>
      <w:proofErr w:type="spellEnd"/>
      <w:r>
        <w:rPr>
          <w:color w:val="000000"/>
          <w:sz w:val="20"/>
          <w:szCs w:val="20"/>
        </w:rPr>
        <w:t>, C. &amp; Forster, J. (2016). Seaweed aquaculture for food security, income generation and environmental health in Tropical Developing Countries. Report #107147.</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Borowitzka</w:t>
      </w:r>
      <w:proofErr w:type="spellEnd"/>
      <w:r>
        <w:rPr>
          <w:color w:val="000000"/>
          <w:sz w:val="20"/>
          <w:szCs w:val="20"/>
        </w:rPr>
        <w:t xml:space="preserve">, M.A. (1998). Algae as food. In Microbiology of fermented foods, 2nd </w:t>
      </w:r>
      <w:proofErr w:type="spellStart"/>
      <w:r>
        <w:rPr>
          <w:color w:val="000000"/>
          <w:sz w:val="20"/>
          <w:szCs w:val="20"/>
        </w:rPr>
        <w:t>ed</w:t>
      </w:r>
      <w:proofErr w:type="spellEnd"/>
      <w:r>
        <w:rPr>
          <w:color w:val="000000"/>
          <w:sz w:val="20"/>
          <w:szCs w:val="20"/>
        </w:rPr>
        <w:t>, ed. B.J.B. Wood, 585–602. London: Blackie Academic and Professional.</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 xml:space="preserve">Brown, M.R., S.W. Jeffrey, J.K. </w:t>
      </w:r>
      <w:proofErr w:type="spellStart"/>
      <w:r>
        <w:rPr>
          <w:color w:val="000000"/>
          <w:sz w:val="20"/>
          <w:szCs w:val="20"/>
        </w:rPr>
        <w:t>Volkman</w:t>
      </w:r>
      <w:proofErr w:type="spellEnd"/>
      <w:r>
        <w:rPr>
          <w:color w:val="000000"/>
          <w:sz w:val="20"/>
          <w:szCs w:val="20"/>
        </w:rPr>
        <w:t xml:space="preserve">, and G.A. Dunstan. (1997). Nutritional properties of microalgae for </w:t>
      </w:r>
      <w:proofErr w:type="spellStart"/>
      <w:r>
        <w:rPr>
          <w:color w:val="000000"/>
          <w:sz w:val="20"/>
          <w:szCs w:val="20"/>
        </w:rPr>
        <w:t>mariculture</w:t>
      </w:r>
      <w:proofErr w:type="spellEnd"/>
      <w:r>
        <w:rPr>
          <w:color w:val="000000"/>
          <w:sz w:val="20"/>
          <w:szCs w:val="20"/>
        </w:rPr>
        <w:t>. Aquaculture 151: 315–331.</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Buschmann</w:t>
      </w:r>
      <w:proofErr w:type="spellEnd"/>
      <w:r>
        <w:rPr>
          <w:color w:val="000000"/>
          <w:sz w:val="20"/>
          <w:szCs w:val="20"/>
        </w:rPr>
        <w:t xml:space="preserve">, A. H., Varela, D. A., </w:t>
      </w:r>
      <w:proofErr w:type="spellStart"/>
      <w:r>
        <w:rPr>
          <w:color w:val="000000"/>
          <w:sz w:val="20"/>
          <w:szCs w:val="20"/>
        </w:rPr>
        <w:t>Hernández-González</w:t>
      </w:r>
      <w:proofErr w:type="spellEnd"/>
      <w:r>
        <w:rPr>
          <w:color w:val="000000"/>
          <w:sz w:val="20"/>
          <w:szCs w:val="20"/>
        </w:rPr>
        <w:t xml:space="preserve">, M. C. &amp; </w:t>
      </w:r>
      <w:proofErr w:type="spellStart"/>
      <w:r>
        <w:rPr>
          <w:color w:val="000000"/>
          <w:sz w:val="20"/>
          <w:szCs w:val="20"/>
        </w:rPr>
        <w:t>Huovinen</w:t>
      </w:r>
      <w:proofErr w:type="spellEnd"/>
      <w:r>
        <w:rPr>
          <w:color w:val="000000"/>
          <w:sz w:val="20"/>
          <w:szCs w:val="20"/>
        </w:rPr>
        <w:t xml:space="preserve">, P. (2008). Opportunities and challenges for the development of an integrated seaweed-based aquaculture activity in Chile: determining the physiological capabilities of </w:t>
      </w:r>
      <w:proofErr w:type="spellStart"/>
      <w:r>
        <w:rPr>
          <w:color w:val="000000"/>
          <w:sz w:val="20"/>
          <w:szCs w:val="20"/>
        </w:rPr>
        <w:t>Macrocystis</w:t>
      </w:r>
      <w:proofErr w:type="spellEnd"/>
      <w:r>
        <w:rPr>
          <w:color w:val="000000"/>
          <w:sz w:val="20"/>
          <w:szCs w:val="20"/>
        </w:rPr>
        <w:t xml:space="preserve"> and </w:t>
      </w:r>
      <w:proofErr w:type="spellStart"/>
      <w:r>
        <w:rPr>
          <w:color w:val="000000"/>
          <w:sz w:val="20"/>
          <w:szCs w:val="20"/>
        </w:rPr>
        <w:t>Gracilaria</w:t>
      </w:r>
      <w:proofErr w:type="spellEnd"/>
      <w:r>
        <w:rPr>
          <w:color w:val="000000"/>
          <w:sz w:val="20"/>
          <w:szCs w:val="20"/>
        </w:rPr>
        <w:t xml:space="preserve"> as </w:t>
      </w:r>
      <w:proofErr w:type="spellStart"/>
      <w:r>
        <w:rPr>
          <w:color w:val="000000"/>
          <w:sz w:val="20"/>
          <w:szCs w:val="20"/>
        </w:rPr>
        <w:t>biofilters</w:t>
      </w:r>
      <w:proofErr w:type="spellEnd"/>
      <w:r>
        <w:rPr>
          <w:color w:val="000000"/>
          <w:sz w:val="20"/>
          <w:szCs w:val="20"/>
        </w:rPr>
        <w:t xml:space="preserve">. J </w:t>
      </w:r>
      <w:proofErr w:type="spellStart"/>
      <w:r>
        <w:rPr>
          <w:color w:val="000000"/>
          <w:sz w:val="20"/>
          <w:szCs w:val="20"/>
        </w:rPr>
        <w:t>Appl</w:t>
      </w:r>
      <w:proofErr w:type="spellEnd"/>
      <w:r>
        <w:rPr>
          <w:color w:val="000000"/>
          <w:sz w:val="20"/>
          <w:szCs w:val="20"/>
        </w:rPr>
        <w:t xml:space="preserve"> </w:t>
      </w:r>
      <w:proofErr w:type="spellStart"/>
      <w:r>
        <w:rPr>
          <w:color w:val="000000"/>
          <w:sz w:val="20"/>
          <w:szCs w:val="20"/>
        </w:rPr>
        <w:t>Phycol</w:t>
      </w:r>
      <w:proofErr w:type="spellEnd"/>
      <w:r>
        <w:rPr>
          <w:color w:val="000000"/>
          <w:sz w:val="20"/>
          <w:szCs w:val="20"/>
        </w:rPr>
        <w:t>. 20:571–577.</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Chapman, H.D. and Pratt, P.F. (1978) Methods of Analysis for Soils, Plants and Waters. Univ. California Div. Agric. Sci. Priced Publication, Oakland.</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Choi</w:t>
      </w:r>
      <w:proofErr w:type="spellEnd"/>
      <w:r>
        <w:rPr>
          <w:color w:val="000000"/>
          <w:sz w:val="20"/>
          <w:szCs w:val="20"/>
        </w:rPr>
        <w:t xml:space="preserve">, K.J., V. </w:t>
      </w:r>
      <w:proofErr w:type="spellStart"/>
      <w:r>
        <w:rPr>
          <w:color w:val="000000"/>
          <w:sz w:val="20"/>
          <w:szCs w:val="20"/>
        </w:rPr>
        <w:t>Nakhost</w:t>
      </w:r>
      <w:proofErr w:type="spellEnd"/>
      <w:r>
        <w:rPr>
          <w:color w:val="000000"/>
          <w:sz w:val="20"/>
          <w:szCs w:val="20"/>
        </w:rPr>
        <w:t xml:space="preserve">, J. </w:t>
      </w:r>
      <w:proofErr w:type="spellStart"/>
      <w:r>
        <w:rPr>
          <w:color w:val="000000"/>
          <w:sz w:val="20"/>
          <w:szCs w:val="20"/>
        </w:rPr>
        <w:t>Krukonis</w:t>
      </w:r>
      <w:proofErr w:type="spellEnd"/>
      <w:r>
        <w:rPr>
          <w:color w:val="000000"/>
          <w:sz w:val="20"/>
          <w:szCs w:val="20"/>
        </w:rPr>
        <w:t xml:space="preserve">, and M. </w:t>
      </w:r>
      <w:proofErr w:type="spellStart"/>
      <w:r>
        <w:rPr>
          <w:color w:val="000000"/>
          <w:sz w:val="20"/>
          <w:szCs w:val="20"/>
        </w:rPr>
        <w:t>Karel</w:t>
      </w:r>
      <w:proofErr w:type="spellEnd"/>
      <w:r>
        <w:rPr>
          <w:color w:val="000000"/>
          <w:sz w:val="20"/>
          <w:szCs w:val="20"/>
        </w:rPr>
        <w:t xml:space="preserve">. 1987. Supercritical </w:t>
      </w:r>
      <w:proofErr w:type="spellStart"/>
      <w:r>
        <w:rPr>
          <w:color w:val="000000"/>
          <w:sz w:val="20"/>
          <w:szCs w:val="20"/>
        </w:rPr>
        <w:t>ﬂuid</w:t>
      </w:r>
      <w:proofErr w:type="spellEnd"/>
      <w:r>
        <w:rPr>
          <w:color w:val="000000"/>
          <w:sz w:val="20"/>
          <w:szCs w:val="20"/>
        </w:rPr>
        <w:t xml:space="preserve"> extraction and characterization of lipids from algae </w:t>
      </w:r>
      <w:proofErr w:type="spellStart"/>
      <w:r>
        <w:rPr>
          <w:color w:val="000000"/>
          <w:sz w:val="20"/>
          <w:szCs w:val="20"/>
        </w:rPr>
        <w:t>Scenedesmus</w:t>
      </w:r>
      <w:proofErr w:type="spellEnd"/>
      <w:r>
        <w:rPr>
          <w:color w:val="000000"/>
          <w:sz w:val="20"/>
          <w:szCs w:val="20"/>
        </w:rPr>
        <w:t xml:space="preserve"> </w:t>
      </w:r>
      <w:proofErr w:type="spellStart"/>
      <w:r>
        <w:rPr>
          <w:color w:val="000000"/>
          <w:sz w:val="20"/>
          <w:szCs w:val="20"/>
        </w:rPr>
        <w:t>obliquus</w:t>
      </w:r>
      <w:proofErr w:type="spellEnd"/>
      <w:r>
        <w:rPr>
          <w:color w:val="000000"/>
          <w:sz w:val="20"/>
          <w:szCs w:val="20"/>
        </w:rPr>
        <w:t>. Food Biotechnology 1(2): 263–281.</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Cottier</w:t>
      </w:r>
      <w:proofErr w:type="spellEnd"/>
      <w:r>
        <w:rPr>
          <w:color w:val="000000"/>
          <w:sz w:val="20"/>
          <w:szCs w:val="20"/>
        </w:rPr>
        <w:t xml:space="preserve">-Cook, EJ., </w:t>
      </w:r>
      <w:proofErr w:type="spellStart"/>
      <w:r>
        <w:rPr>
          <w:color w:val="000000"/>
          <w:sz w:val="20"/>
          <w:szCs w:val="20"/>
        </w:rPr>
        <w:t>Nagabhatla</w:t>
      </w:r>
      <w:proofErr w:type="spellEnd"/>
      <w:r>
        <w:rPr>
          <w:color w:val="000000"/>
          <w:sz w:val="20"/>
          <w:szCs w:val="20"/>
        </w:rPr>
        <w:t xml:space="preserve">, N., </w:t>
      </w:r>
      <w:proofErr w:type="spellStart"/>
      <w:r>
        <w:rPr>
          <w:color w:val="000000"/>
          <w:sz w:val="20"/>
          <w:szCs w:val="20"/>
        </w:rPr>
        <w:t>Badis</w:t>
      </w:r>
      <w:proofErr w:type="spellEnd"/>
      <w:r>
        <w:rPr>
          <w:color w:val="000000"/>
          <w:sz w:val="20"/>
          <w:szCs w:val="20"/>
        </w:rPr>
        <w:t xml:space="preserve">, Y., Campbell, ML., Chopin, T., Dai, W., Fang, J., He, P., Hewitt, CL., Kim, GH., </w:t>
      </w:r>
      <w:proofErr w:type="spellStart"/>
      <w:r>
        <w:rPr>
          <w:color w:val="000000"/>
          <w:sz w:val="20"/>
          <w:szCs w:val="20"/>
        </w:rPr>
        <w:t>Huo</w:t>
      </w:r>
      <w:proofErr w:type="spellEnd"/>
      <w:r>
        <w:rPr>
          <w:color w:val="000000"/>
          <w:sz w:val="20"/>
          <w:szCs w:val="20"/>
        </w:rPr>
        <w:t xml:space="preserve">, Y., Jiang, Z., </w:t>
      </w:r>
      <w:proofErr w:type="spellStart"/>
      <w:r>
        <w:rPr>
          <w:color w:val="000000"/>
          <w:sz w:val="20"/>
          <w:szCs w:val="20"/>
        </w:rPr>
        <w:t>Kema</w:t>
      </w:r>
      <w:proofErr w:type="spellEnd"/>
      <w:r>
        <w:rPr>
          <w:color w:val="000000"/>
          <w:sz w:val="20"/>
          <w:szCs w:val="20"/>
        </w:rPr>
        <w:t xml:space="preserve">, G., Li, X., Liu, F., Liu, H., Liu, Y., Lu, Q., </w:t>
      </w:r>
      <w:proofErr w:type="spellStart"/>
      <w:r>
        <w:rPr>
          <w:color w:val="000000"/>
          <w:sz w:val="20"/>
          <w:szCs w:val="20"/>
        </w:rPr>
        <w:t>Luo</w:t>
      </w:r>
      <w:proofErr w:type="spellEnd"/>
      <w:r>
        <w:rPr>
          <w:color w:val="000000"/>
          <w:sz w:val="20"/>
          <w:szCs w:val="20"/>
        </w:rPr>
        <w:t xml:space="preserve">, Q., Mao, Y., </w:t>
      </w:r>
      <w:proofErr w:type="spellStart"/>
      <w:r>
        <w:rPr>
          <w:color w:val="000000"/>
          <w:sz w:val="20"/>
          <w:szCs w:val="20"/>
        </w:rPr>
        <w:t>Msuya</w:t>
      </w:r>
      <w:proofErr w:type="spellEnd"/>
      <w:r>
        <w:rPr>
          <w:color w:val="000000"/>
          <w:sz w:val="20"/>
          <w:szCs w:val="20"/>
        </w:rPr>
        <w:t xml:space="preserve">, FE., </w:t>
      </w:r>
      <w:proofErr w:type="spellStart"/>
      <w:r>
        <w:rPr>
          <w:color w:val="000000"/>
          <w:sz w:val="20"/>
          <w:szCs w:val="20"/>
        </w:rPr>
        <w:t>Rebours</w:t>
      </w:r>
      <w:proofErr w:type="spellEnd"/>
      <w:r>
        <w:rPr>
          <w:color w:val="000000"/>
          <w:sz w:val="20"/>
          <w:szCs w:val="20"/>
        </w:rPr>
        <w:t xml:space="preserve">, C., </w:t>
      </w:r>
      <w:proofErr w:type="spellStart"/>
      <w:r>
        <w:rPr>
          <w:color w:val="000000"/>
          <w:sz w:val="20"/>
          <w:szCs w:val="20"/>
        </w:rPr>
        <w:t>Shen</w:t>
      </w:r>
      <w:proofErr w:type="spellEnd"/>
      <w:r>
        <w:rPr>
          <w:color w:val="000000"/>
          <w:sz w:val="20"/>
          <w:szCs w:val="20"/>
        </w:rPr>
        <w:t xml:space="preserve">, H., </w:t>
      </w:r>
      <w:proofErr w:type="spellStart"/>
      <w:r>
        <w:rPr>
          <w:color w:val="000000"/>
          <w:sz w:val="20"/>
          <w:szCs w:val="20"/>
        </w:rPr>
        <w:t>Stentiford</w:t>
      </w:r>
      <w:proofErr w:type="spellEnd"/>
      <w:r>
        <w:rPr>
          <w:color w:val="000000"/>
          <w:sz w:val="20"/>
          <w:szCs w:val="20"/>
        </w:rPr>
        <w:t xml:space="preserve">, GD., </w:t>
      </w:r>
      <w:proofErr w:type="spellStart"/>
      <w:r>
        <w:rPr>
          <w:color w:val="000000"/>
          <w:sz w:val="20"/>
          <w:szCs w:val="20"/>
        </w:rPr>
        <w:t>Yarish</w:t>
      </w:r>
      <w:proofErr w:type="spellEnd"/>
      <w:r>
        <w:rPr>
          <w:color w:val="000000"/>
          <w:sz w:val="20"/>
          <w:szCs w:val="20"/>
        </w:rPr>
        <w:t xml:space="preserve">, C., Wu, H., Yang, X., Zhang, J., Zhou, Y. &amp; </w:t>
      </w:r>
      <w:proofErr w:type="spellStart"/>
      <w:r>
        <w:rPr>
          <w:color w:val="000000"/>
          <w:sz w:val="20"/>
          <w:szCs w:val="20"/>
        </w:rPr>
        <w:t>Gachon</w:t>
      </w:r>
      <w:proofErr w:type="spellEnd"/>
      <w:r>
        <w:rPr>
          <w:color w:val="000000"/>
          <w:sz w:val="20"/>
          <w:szCs w:val="20"/>
        </w:rPr>
        <w:t>, CMM. 2016. Safeguarding the future of the global seaweed aquaculture industry. United Nation University (INWEH) and Scottish Association for Marine Science Policy Brief, South Hamilton, ON, 12 pp.</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Dawes, C. J. 1981. Marine Botany. 2nd Edition, John Wiley &amp; Sons, P. 496.</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lastRenderedPageBreak/>
        <w:t>Dillehay</w:t>
      </w:r>
      <w:proofErr w:type="spellEnd"/>
      <w:r>
        <w:rPr>
          <w:color w:val="000000"/>
          <w:sz w:val="20"/>
          <w:szCs w:val="20"/>
        </w:rPr>
        <w:t xml:space="preserve">, </w:t>
      </w:r>
      <w:proofErr w:type="spellStart"/>
      <w:r>
        <w:rPr>
          <w:color w:val="000000"/>
          <w:sz w:val="20"/>
          <w:szCs w:val="20"/>
        </w:rPr>
        <w:t>TD.,Ramírez</w:t>
      </w:r>
      <w:proofErr w:type="spellEnd"/>
      <w:r>
        <w:rPr>
          <w:color w:val="000000"/>
          <w:sz w:val="20"/>
          <w:szCs w:val="20"/>
        </w:rPr>
        <w:t xml:space="preserve">, C., </w:t>
      </w:r>
      <w:proofErr w:type="spellStart"/>
      <w:r>
        <w:rPr>
          <w:color w:val="000000"/>
          <w:sz w:val="20"/>
          <w:szCs w:val="20"/>
        </w:rPr>
        <w:t>Pino</w:t>
      </w:r>
      <w:proofErr w:type="spellEnd"/>
      <w:r>
        <w:rPr>
          <w:color w:val="000000"/>
          <w:sz w:val="20"/>
          <w:szCs w:val="20"/>
        </w:rPr>
        <w:t xml:space="preserve">, M., Collins, MB., </w:t>
      </w:r>
      <w:proofErr w:type="spellStart"/>
      <w:r>
        <w:rPr>
          <w:color w:val="000000"/>
          <w:sz w:val="20"/>
          <w:szCs w:val="20"/>
        </w:rPr>
        <w:t>Rossen</w:t>
      </w:r>
      <w:proofErr w:type="spellEnd"/>
      <w:r>
        <w:rPr>
          <w:color w:val="000000"/>
          <w:sz w:val="20"/>
          <w:szCs w:val="20"/>
        </w:rPr>
        <w:t xml:space="preserve">, J. &amp; </w:t>
      </w:r>
      <w:proofErr w:type="spellStart"/>
      <w:r>
        <w:rPr>
          <w:color w:val="000000"/>
          <w:sz w:val="20"/>
          <w:szCs w:val="20"/>
        </w:rPr>
        <w:t>Pino</w:t>
      </w:r>
      <w:proofErr w:type="spellEnd"/>
      <w:r>
        <w:rPr>
          <w:color w:val="000000"/>
          <w:sz w:val="20"/>
          <w:szCs w:val="20"/>
        </w:rPr>
        <w:t xml:space="preserve">-Navarro, JD. 2008. Monte Verde: seaweed, food, medicine, and the peopling of South America. Science. 320:784–786. </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 xml:space="preserve">Edge, R., D.J. </w:t>
      </w:r>
      <w:proofErr w:type="spellStart"/>
      <w:r>
        <w:rPr>
          <w:color w:val="000000"/>
          <w:sz w:val="20"/>
          <w:szCs w:val="20"/>
        </w:rPr>
        <w:t>McGarvey</w:t>
      </w:r>
      <w:proofErr w:type="spellEnd"/>
      <w:r>
        <w:rPr>
          <w:color w:val="000000"/>
          <w:sz w:val="20"/>
          <w:szCs w:val="20"/>
        </w:rPr>
        <w:t xml:space="preserve">, T.G. Truscott, 1997. The </w:t>
      </w:r>
      <w:proofErr w:type="spellStart"/>
      <w:r>
        <w:rPr>
          <w:color w:val="000000"/>
          <w:sz w:val="20"/>
          <w:szCs w:val="20"/>
        </w:rPr>
        <w:t>carotenoid</w:t>
      </w:r>
      <w:proofErr w:type="spellEnd"/>
      <w:r>
        <w:rPr>
          <w:color w:val="000000"/>
          <w:sz w:val="20"/>
          <w:szCs w:val="20"/>
        </w:rPr>
        <w:t xml:space="preserve"> as antioxidants a Review. Journal of Photochemistry and Photobiology: Biology, 189-200.</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El-</w:t>
      </w:r>
      <w:proofErr w:type="spellStart"/>
      <w:r>
        <w:rPr>
          <w:color w:val="000000"/>
          <w:sz w:val="20"/>
          <w:szCs w:val="20"/>
        </w:rPr>
        <w:t>Sayed</w:t>
      </w:r>
      <w:proofErr w:type="spellEnd"/>
      <w:r>
        <w:rPr>
          <w:color w:val="000000"/>
          <w:sz w:val="20"/>
          <w:szCs w:val="20"/>
        </w:rPr>
        <w:t>, A. B. and Abdel-</w:t>
      </w:r>
      <w:proofErr w:type="spellStart"/>
      <w:r>
        <w:rPr>
          <w:color w:val="000000"/>
          <w:sz w:val="20"/>
          <w:szCs w:val="20"/>
        </w:rPr>
        <w:t>Maguid</w:t>
      </w:r>
      <w:proofErr w:type="spellEnd"/>
      <w:r>
        <w:rPr>
          <w:color w:val="000000"/>
          <w:sz w:val="20"/>
          <w:szCs w:val="20"/>
        </w:rPr>
        <w:t>, A.A. (a) (2010). Immobilized-</w:t>
      </w:r>
      <w:proofErr w:type="spellStart"/>
      <w:r>
        <w:rPr>
          <w:color w:val="000000"/>
          <w:sz w:val="20"/>
          <w:szCs w:val="20"/>
        </w:rPr>
        <w:t>microalga</w:t>
      </w:r>
      <w:proofErr w:type="spellEnd"/>
      <w:r>
        <w:rPr>
          <w:color w:val="000000"/>
          <w:sz w:val="20"/>
          <w:szCs w:val="20"/>
        </w:rPr>
        <w:t xml:space="preserve"> </w:t>
      </w:r>
      <w:proofErr w:type="spellStart"/>
      <w:r>
        <w:rPr>
          <w:color w:val="000000"/>
          <w:sz w:val="20"/>
          <w:szCs w:val="20"/>
        </w:rPr>
        <w:t>Scenedesmus</w:t>
      </w:r>
      <w:proofErr w:type="spellEnd"/>
      <w:r>
        <w:rPr>
          <w:color w:val="000000"/>
          <w:sz w:val="20"/>
          <w:szCs w:val="20"/>
        </w:rPr>
        <w:t xml:space="preserve"> sp. for biological desalination of Red Sea Water: II. Effect on macronutrients removal. Journal of American Science, 6(9):637-643. </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El-</w:t>
      </w:r>
      <w:proofErr w:type="spellStart"/>
      <w:r>
        <w:rPr>
          <w:color w:val="000000"/>
          <w:sz w:val="20"/>
          <w:szCs w:val="20"/>
        </w:rPr>
        <w:t>Sayed</w:t>
      </w:r>
      <w:proofErr w:type="spellEnd"/>
      <w:r>
        <w:rPr>
          <w:color w:val="000000"/>
          <w:sz w:val="20"/>
          <w:szCs w:val="20"/>
        </w:rPr>
        <w:t>, A. B., El-</w:t>
      </w:r>
      <w:proofErr w:type="spellStart"/>
      <w:r>
        <w:rPr>
          <w:color w:val="000000"/>
          <w:sz w:val="20"/>
          <w:szCs w:val="20"/>
        </w:rPr>
        <w:t>Fouly</w:t>
      </w:r>
      <w:proofErr w:type="spellEnd"/>
      <w:r>
        <w:rPr>
          <w:color w:val="000000"/>
          <w:sz w:val="20"/>
          <w:szCs w:val="20"/>
        </w:rPr>
        <w:t xml:space="preserve">, M.M. and </w:t>
      </w:r>
      <w:proofErr w:type="spellStart"/>
      <w:r>
        <w:rPr>
          <w:color w:val="000000"/>
          <w:sz w:val="20"/>
          <w:szCs w:val="20"/>
        </w:rPr>
        <w:t>Abou</w:t>
      </w:r>
      <w:proofErr w:type="spellEnd"/>
      <w:r>
        <w:rPr>
          <w:color w:val="000000"/>
          <w:sz w:val="20"/>
          <w:szCs w:val="20"/>
        </w:rPr>
        <w:t xml:space="preserve"> El-</w:t>
      </w:r>
      <w:proofErr w:type="spellStart"/>
      <w:r>
        <w:rPr>
          <w:color w:val="000000"/>
          <w:sz w:val="20"/>
          <w:szCs w:val="20"/>
        </w:rPr>
        <w:t>Nour</w:t>
      </w:r>
      <w:proofErr w:type="spellEnd"/>
      <w:r>
        <w:rPr>
          <w:color w:val="000000"/>
          <w:sz w:val="20"/>
          <w:szCs w:val="20"/>
        </w:rPr>
        <w:t>, E. A. (b) (2010). Immobilized-</w:t>
      </w:r>
      <w:proofErr w:type="spellStart"/>
      <w:r>
        <w:rPr>
          <w:color w:val="000000"/>
          <w:sz w:val="20"/>
          <w:szCs w:val="20"/>
        </w:rPr>
        <w:t>microalga</w:t>
      </w:r>
      <w:proofErr w:type="spellEnd"/>
      <w:r>
        <w:rPr>
          <w:color w:val="000000"/>
          <w:sz w:val="20"/>
          <w:szCs w:val="20"/>
        </w:rPr>
        <w:t xml:space="preserve"> </w:t>
      </w:r>
      <w:proofErr w:type="spellStart"/>
      <w:r>
        <w:rPr>
          <w:color w:val="000000"/>
          <w:sz w:val="20"/>
          <w:szCs w:val="20"/>
        </w:rPr>
        <w:t>Scenedesmus</w:t>
      </w:r>
      <w:proofErr w:type="spellEnd"/>
      <w:r>
        <w:rPr>
          <w:color w:val="000000"/>
          <w:sz w:val="20"/>
          <w:szCs w:val="20"/>
        </w:rPr>
        <w:t xml:space="preserve"> sp. for biological desalination of Red Sea water: I. Effect on Growth Metabolites. Nature and Science, 8(9):69-76.</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El-</w:t>
      </w:r>
      <w:proofErr w:type="spellStart"/>
      <w:r>
        <w:rPr>
          <w:color w:val="000000"/>
          <w:sz w:val="20"/>
          <w:szCs w:val="20"/>
        </w:rPr>
        <w:t>Sayed</w:t>
      </w:r>
      <w:proofErr w:type="spellEnd"/>
      <w:r>
        <w:rPr>
          <w:color w:val="000000"/>
          <w:sz w:val="20"/>
          <w:szCs w:val="20"/>
        </w:rPr>
        <w:t xml:space="preserve">, AB; </w:t>
      </w:r>
      <w:proofErr w:type="spellStart"/>
      <w:r>
        <w:rPr>
          <w:color w:val="000000"/>
          <w:sz w:val="20"/>
          <w:szCs w:val="20"/>
        </w:rPr>
        <w:t>EMHoballah</w:t>
      </w:r>
      <w:proofErr w:type="spellEnd"/>
      <w:r>
        <w:rPr>
          <w:color w:val="000000"/>
          <w:sz w:val="20"/>
          <w:szCs w:val="20"/>
        </w:rPr>
        <w:t xml:space="preserve">, MA </w:t>
      </w:r>
      <w:proofErr w:type="spellStart"/>
      <w:r>
        <w:rPr>
          <w:color w:val="000000"/>
          <w:sz w:val="20"/>
          <w:szCs w:val="20"/>
        </w:rPr>
        <w:t>Khalafallah</w:t>
      </w:r>
      <w:proofErr w:type="spellEnd"/>
      <w:r>
        <w:rPr>
          <w:color w:val="000000"/>
          <w:sz w:val="20"/>
          <w:szCs w:val="20"/>
        </w:rPr>
        <w:t xml:space="preserve"> 2012. Utilization of citrate wastes by </w:t>
      </w:r>
      <w:proofErr w:type="spellStart"/>
      <w:r>
        <w:rPr>
          <w:color w:val="000000"/>
          <w:sz w:val="20"/>
          <w:szCs w:val="20"/>
        </w:rPr>
        <w:t>Scenedesmus</w:t>
      </w:r>
      <w:proofErr w:type="spellEnd"/>
      <w:r>
        <w:rPr>
          <w:color w:val="000000"/>
          <w:sz w:val="20"/>
          <w:szCs w:val="20"/>
        </w:rPr>
        <w:t xml:space="preserve"> sp. I-Enhancement of vegetative growth. 8(2):739-745.Journal of Applied Sciences Research.</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El-</w:t>
      </w:r>
      <w:proofErr w:type="spellStart"/>
      <w:r>
        <w:rPr>
          <w:color w:val="000000"/>
          <w:sz w:val="20"/>
          <w:szCs w:val="20"/>
        </w:rPr>
        <w:t>Shafey</w:t>
      </w:r>
      <w:proofErr w:type="spellEnd"/>
      <w:r>
        <w:rPr>
          <w:color w:val="000000"/>
          <w:sz w:val="20"/>
          <w:szCs w:val="20"/>
        </w:rPr>
        <w:t xml:space="preserve"> Y.H., M.M. El-</w:t>
      </w:r>
      <w:proofErr w:type="spellStart"/>
      <w:r>
        <w:rPr>
          <w:color w:val="000000"/>
          <w:sz w:val="20"/>
          <w:szCs w:val="20"/>
        </w:rPr>
        <w:t>Fouly</w:t>
      </w:r>
      <w:proofErr w:type="spellEnd"/>
      <w:r>
        <w:rPr>
          <w:color w:val="000000"/>
          <w:sz w:val="20"/>
          <w:szCs w:val="20"/>
        </w:rPr>
        <w:t xml:space="preserve">, M.M. </w:t>
      </w:r>
      <w:proofErr w:type="spellStart"/>
      <w:r>
        <w:rPr>
          <w:color w:val="000000"/>
          <w:sz w:val="20"/>
          <w:szCs w:val="20"/>
        </w:rPr>
        <w:t>Khalil</w:t>
      </w:r>
      <w:proofErr w:type="spellEnd"/>
      <w:r>
        <w:rPr>
          <w:color w:val="000000"/>
          <w:sz w:val="20"/>
          <w:szCs w:val="20"/>
        </w:rPr>
        <w:t xml:space="preserve">, A.B. </w:t>
      </w:r>
      <w:proofErr w:type="spellStart"/>
      <w:r>
        <w:rPr>
          <w:color w:val="000000"/>
          <w:sz w:val="20"/>
          <w:szCs w:val="20"/>
        </w:rPr>
        <w:t>Abdalla</w:t>
      </w:r>
      <w:proofErr w:type="spellEnd"/>
      <w:r>
        <w:rPr>
          <w:color w:val="000000"/>
          <w:sz w:val="20"/>
          <w:szCs w:val="20"/>
        </w:rPr>
        <w:t>, F.E. and El-</w:t>
      </w:r>
      <w:proofErr w:type="spellStart"/>
      <w:r>
        <w:rPr>
          <w:color w:val="000000"/>
          <w:sz w:val="20"/>
          <w:szCs w:val="20"/>
        </w:rPr>
        <w:t>Sayed</w:t>
      </w:r>
      <w:proofErr w:type="spellEnd"/>
      <w:r>
        <w:rPr>
          <w:color w:val="000000"/>
          <w:sz w:val="20"/>
          <w:szCs w:val="20"/>
        </w:rPr>
        <w:t xml:space="preserve"> 1999. Secondary </w:t>
      </w:r>
      <w:proofErr w:type="spellStart"/>
      <w:r>
        <w:rPr>
          <w:color w:val="000000"/>
          <w:sz w:val="20"/>
          <w:szCs w:val="20"/>
        </w:rPr>
        <w:t>carotenoid</w:t>
      </w:r>
      <w:proofErr w:type="spellEnd"/>
      <w:r>
        <w:rPr>
          <w:color w:val="000000"/>
          <w:sz w:val="20"/>
          <w:szCs w:val="20"/>
        </w:rPr>
        <w:t xml:space="preserve"> accumulation in some green algae species. The First Congress on the Recent Technologies in Agriculture. 27-29 Nov., 1999, Fac. of Agric., Cairo Univ. Cairo, Egypt.</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FAO (Food and Agriculture Organization of the United Nations). (2017). The state of world fisheries and aquaculture.</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Gasse</w:t>
      </w:r>
      <w:proofErr w:type="spellEnd"/>
      <w:r>
        <w:rPr>
          <w:color w:val="000000"/>
          <w:sz w:val="20"/>
          <w:szCs w:val="20"/>
        </w:rPr>
        <w:t xml:space="preserve">, F. (1986) East African diatoms: Taxonomy, ecological distribution. </w:t>
      </w:r>
      <w:proofErr w:type="spellStart"/>
      <w:r>
        <w:rPr>
          <w:color w:val="000000"/>
          <w:sz w:val="20"/>
          <w:szCs w:val="20"/>
        </w:rPr>
        <w:t>Biblioteca</w:t>
      </w:r>
      <w:proofErr w:type="spellEnd"/>
      <w:r>
        <w:rPr>
          <w:color w:val="000000"/>
          <w:sz w:val="20"/>
          <w:szCs w:val="20"/>
        </w:rPr>
        <w:t xml:space="preserve"> </w:t>
      </w:r>
      <w:proofErr w:type="spellStart"/>
      <w:r>
        <w:rPr>
          <w:color w:val="000000"/>
          <w:sz w:val="20"/>
          <w:szCs w:val="20"/>
        </w:rPr>
        <w:t>Diatomologica</w:t>
      </w:r>
      <w:proofErr w:type="spellEnd"/>
      <w:r>
        <w:rPr>
          <w:color w:val="000000"/>
          <w:sz w:val="20"/>
          <w:szCs w:val="20"/>
        </w:rPr>
        <w:t xml:space="preserve"> 11, Crammer, Berlin/Stuttgart, 201 pp.</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Guillard</w:t>
      </w:r>
      <w:proofErr w:type="spellEnd"/>
      <w:r>
        <w:rPr>
          <w:color w:val="000000"/>
          <w:sz w:val="20"/>
          <w:szCs w:val="20"/>
        </w:rPr>
        <w:t xml:space="preserve">, R.R.L. and </w:t>
      </w:r>
      <w:proofErr w:type="spellStart"/>
      <w:r>
        <w:rPr>
          <w:color w:val="000000"/>
          <w:sz w:val="20"/>
          <w:szCs w:val="20"/>
        </w:rPr>
        <w:t>Ryther</w:t>
      </w:r>
      <w:proofErr w:type="spellEnd"/>
      <w:r>
        <w:rPr>
          <w:color w:val="000000"/>
          <w:sz w:val="20"/>
          <w:szCs w:val="20"/>
        </w:rPr>
        <w:t xml:space="preserve">, J.H. 1962. Studies of marine </w:t>
      </w:r>
      <w:proofErr w:type="spellStart"/>
      <w:r>
        <w:rPr>
          <w:color w:val="000000"/>
          <w:sz w:val="20"/>
          <w:szCs w:val="20"/>
        </w:rPr>
        <w:t>planktonic</w:t>
      </w:r>
      <w:proofErr w:type="spellEnd"/>
      <w:r>
        <w:rPr>
          <w:color w:val="000000"/>
          <w:sz w:val="20"/>
          <w:szCs w:val="20"/>
        </w:rPr>
        <w:t xml:space="preserve"> diatoms. I. </w:t>
      </w:r>
      <w:proofErr w:type="spellStart"/>
      <w:r>
        <w:rPr>
          <w:color w:val="000000"/>
          <w:sz w:val="20"/>
          <w:szCs w:val="20"/>
        </w:rPr>
        <w:t>Cyclotella</w:t>
      </w:r>
      <w:proofErr w:type="spellEnd"/>
      <w:r>
        <w:rPr>
          <w:i/>
          <w:color w:val="000000"/>
          <w:sz w:val="20"/>
          <w:szCs w:val="20"/>
        </w:rPr>
        <w:t xml:space="preserve"> nana </w:t>
      </w:r>
      <w:proofErr w:type="spellStart"/>
      <w:r>
        <w:rPr>
          <w:color w:val="000000"/>
          <w:sz w:val="20"/>
          <w:szCs w:val="20"/>
        </w:rPr>
        <w:t>Hustedt</w:t>
      </w:r>
      <w:proofErr w:type="spellEnd"/>
      <w:r>
        <w:rPr>
          <w:color w:val="000000"/>
          <w:sz w:val="20"/>
          <w:szCs w:val="20"/>
        </w:rPr>
        <w:t xml:space="preserve"> and </w:t>
      </w:r>
      <w:proofErr w:type="spellStart"/>
      <w:r>
        <w:rPr>
          <w:i/>
          <w:color w:val="000000"/>
          <w:sz w:val="20"/>
          <w:szCs w:val="20"/>
        </w:rPr>
        <w:t>Detonulaconfervacea</w:t>
      </w:r>
      <w:proofErr w:type="spellEnd"/>
      <w:r>
        <w:rPr>
          <w:i/>
          <w:color w:val="000000"/>
          <w:sz w:val="20"/>
          <w:szCs w:val="20"/>
        </w:rPr>
        <w:t xml:space="preserve"> </w:t>
      </w:r>
      <w:r>
        <w:rPr>
          <w:color w:val="000000"/>
          <w:sz w:val="20"/>
          <w:szCs w:val="20"/>
        </w:rPr>
        <w:t xml:space="preserve">Cleve. </w:t>
      </w:r>
      <w:r>
        <w:rPr>
          <w:i/>
          <w:color w:val="000000"/>
          <w:sz w:val="20"/>
          <w:szCs w:val="20"/>
        </w:rPr>
        <w:t xml:space="preserve">Can. J. </w:t>
      </w:r>
      <w:proofErr w:type="spellStart"/>
      <w:r>
        <w:rPr>
          <w:i/>
          <w:color w:val="000000"/>
          <w:sz w:val="20"/>
          <w:szCs w:val="20"/>
        </w:rPr>
        <w:t>Microbiol</w:t>
      </w:r>
      <w:proofErr w:type="spellEnd"/>
      <w:r>
        <w:rPr>
          <w:i/>
          <w:color w:val="000000"/>
          <w:sz w:val="20"/>
          <w:szCs w:val="20"/>
        </w:rPr>
        <w:t xml:space="preserve">. </w:t>
      </w:r>
      <w:r>
        <w:rPr>
          <w:b/>
          <w:color w:val="000000"/>
          <w:sz w:val="20"/>
          <w:szCs w:val="20"/>
        </w:rPr>
        <w:t xml:space="preserve">8: </w:t>
      </w:r>
      <w:r>
        <w:rPr>
          <w:color w:val="000000"/>
          <w:sz w:val="20"/>
          <w:szCs w:val="20"/>
        </w:rPr>
        <w:t xml:space="preserve">229-239. </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Hamed</w:t>
      </w:r>
      <w:proofErr w:type="spellEnd"/>
      <w:r>
        <w:rPr>
          <w:color w:val="000000"/>
          <w:sz w:val="20"/>
          <w:szCs w:val="20"/>
        </w:rPr>
        <w:t xml:space="preserve"> A.F. (2008). Biodiversity and Distribution of Blue-Green Algae/</w:t>
      </w:r>
      <w:proofErr w:type="spellStart"/>
      <w:r>
        <w:rPr>
          <w:color w:val="000000"/>
          <w:sz w:val="20"/>
          <w:szCs w:val="20"/>
        </w:rPr>
        <w:t>Cyanobacteria</w:t>
      </w:r>
      <w:proofErr w:type="spellEnd"/>
      <w:r>
        <w:rPr>
          <w:color w:val="000000"/>
          <w:sz w:val="20"/>
          <w:szCs w:val="20"/>
        </w:rPr>
        <w:t xml:space="preserve"> and Diatoms in Some of the Egyptian Water Habitats in Relation to Conductivity. Australian Journal of Basic and Applied Sciences, 2(1): 1-21.</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Hanan</w:t>
      </w:r>
      <w:proofErr w:type="spellEnd"/>
      <w:r>
        <w:rPr>
          <w:color w:val="000000"/>
          <w:sz w:val="20"/>
          <w:szCs w:val="20"/>
        </w:rPr>
        <w:t xml:space="preserve"> A. </w:t>
      </w:r>
      <w:proofErr w:type="spellStart"/>
      <w:r>
        <w:rPr>
          <w:color w:val="000000"/>
          <w:sz w:val="20"/>
          <w:szCs w:val="20"/>
        </w:rPr>
        <w:t>Abo</w:t>
      </w:r>
      <w:proofErr w:type="spellEnd"/>
      <w:r>
        <w:rPr>
          <w:color w:val="000000"/>
          <w:sz w:val="20"/>
          <w:szCs w:val="20"/>
        </w:rPr>
        <w:t xml:space="preserve">-State and A.I. </w:t>
      </w:r>
      <w:proofErr w:type="spellStart"/>
      <w:r>
        <w:rPr>
          <w:color w:val="000000"/>
          <w:sz w:val="20"/>
          <w:szCs w:val="20"/>
        </w:rPr>
        <w:t>Noor</w:t>
      </w:r>
      <w:proofErr w:type="spellEnd"/>
      <w:r>
        <w:rPr>
          <w:color w:val="000000"/>
          <w:sz w:val="20"/>
          <w:szCs w:val="20"/>
        </w:rPr>
        <w:t xml:space="preserve"> El-</w:t>
      </w:r>
      <w:proofErr w:type="spellStart"/>
      <w:r>
        <w:rPr>
          <w:color w:val="000000"/>
          <w:sz w:val="20"/>
          <w:szCs w:val="20"/>
        </w:rPr>
        <w:t>Deen</w:t>
      </w:r>
      <w:proofErr w:type="spellEnd"/>
      <w:r>
        <w:rPr>
          <w:color w:val="000000"/>
          <w:sz w:val="20"/>
          <w:szCs w:val="20"/>
        </w:rPr>
        <w:t xml:space="preserve"> (2017). Practical aspects of </w:t>
      </w:r>
      <w:proofErr w:type="spellStart"/>
      <w:r>
        <w:rPr>
          <w:color w:val="000000"/>
          <w:sz w:val="20"/>
          <w:szCs w:val="20"/>
        </w:rPr>
        <w:t>phytobiotic</w:t>
      </w:r>
      <w:proofErr w:type="spellEnd"/>
      <w:r>
        <w:rPr>
          <w:color w:val="000000"/>
          <w:sz w:val="20"/>
          <w:szCs w:val="20"/>
        </w:rPr>
        <w:t xml:space="preserve"> (Veto-Acid®) supplemented to Nile tilapia (</w:t>
      </w:r>
      <w:proofErr w:type="spellStart"/>
      <w:r>
        <w:rPr>
          <w:color w:val="000000"/>
          <w:sz w:val="20"/>
          <w:szCs w:val="20"/>
        </w:rPr>
        <w:t>Oreochromisniloticus</w:t>
      </w:r>
      <w:proofErr w:type="spellEnd"/>
      <w:r>
        <w:rPr>
          <w:color w:val="000000"/>
          <w:sz w:val="20"/>
          <w:szCs w:val="20"/>
        </w:rPr>
        <w:t xml:space="preserve">) diets and its susceptibility to </w:t>
      </w:r>
      <w:proofErr w:type="spellStart"/>
      <w:r>
        <w:rPr>
          <w:color w:val="000000"/>
          <w:sz w:val="20"/>
          <w:szCs w:val="20"/>
        </w:rPr>
        <w:t>Aeromonashydrophila</w:t>
      </w:r>
      <w:proofErr w:type="spellEnd"/>
      <w:r>
        <w:rPr>
          <w:color w:val="000000"/>
          <w:sz w:val="20"/>
          <w:szCs w:val="20"/>
        </w:rPr>
        <w:t xml:space="preserve"> challenge. International Journal of </w:t>
      </w:r>
      <w:proofErr w:type="spellStart"/>
      <w:r>
        <w:rPr>
          <w:color w:val="000000"/>
          <w:sz w:val="20"/>
          <w:szCs w:val="20"/>
        </w:rPr>
        <w:t>ChemTech</w:t>
      </w:r>
      <w:proofErr w:type="spellEnd"/>
      <w:r>
        <w:rPr>
          <w:color w:val="000000"/>
          <w:sz w:val="20"/>
          <w:szCs w:val="20"/>
        </w:rPr>
        <w:t xml:space="preserve"> Research, 2017,10(2): 265-273.</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Hassan, A.M., S.H. Abdel-</w:t>
      </w:r>
      <w:proofErr w:type="spellStart"/>
      <w:r>
        <w:rPr>
          <w:color w:val="000000"/>
          <w:sz w:val="20"/>
          <w:szCs w:val="20"/>
        </w:rPr>
        <w:t>Aziem</w:t>
      </w:r>
      <w:proofErr w:type="spellEnd"/>
      <w:r>
        <w:rPr>
          <w:color w:val="000000"/>
          <w:sz w:val="20"/>
          <w:szCs w:val="20"/>
        </w:rPr>
        <w:t xml:space="preserve"> and M.A. Abdel-</w:t>
      </w:r>
      <w:proofErr w:type="spellStart"/>
      <w:r>
        <w:rPr>
          <w:color w:val="000000"/>
          <w:sz w:val="20"/>
          <w:szCs w:val="20"/>
        </w:rPr>
        <w:t>Wahhab</w:t>
      </w:r>
      <w:proofErr w:type="spellEnd"/>
      <w:r>
        <w:rPr>
          <w:color w:val="000000"/>
          <w:sz w:val="20"/>
          <w:szCs w:val="20"/>
        </w:rPr>
        <w:t xml:space="preserve">, (2012). </w:t>
      </w:r>
      <w:bookmarkStart w:id="1" w:name="30j0zll" w:colFirst="0" w:colLast="0"/>
      <w:bookmarkEnd w:id="1"/>
      <w:r>
        <w:rPr>
          <w:color w:val="000000"/>
          <w:sz w:val="20"/>
          <w:szCs w:val="20"/>
        </w:rPr>
        <w:t xml:space="preserve">Modulation of DNA </w:t>
      </w:r>
      <w:r>
        <w:rPr>
          <w:color w:val="000000"/>
          <w:sz w:val="20"/>
          <w:szCs w:val="20"/>
        </w:rPr>
        <w:lastRenderedPageBreak/>
        <w:t xml:space="preserve">damage and alteration of gene expression during </w:t>
      </w:r>
      <w:proofErr w:type="spellStart"/>
      <w:r>
        <w:rPr>
          <w:color w:val="000000"/>
          <w:sz w:val="20"/>
          <w:szCs w:val="20"/>
        </w:rPr>
        <w:t>aflatoxicosis</w:t>
      </w:r>
      <w:proofErr w:type="spellEnd"/>
      <w:r>
        <w:rPr>
          <w:color w:val="000000"/>
          <w:sz w:val="20"/>
          <w:szCs w:val="20"/>
        </w:rPr>
        <w:t xml:space="preserve"> via dietary supplementation of </w:t>
      </w:r>
      <w:proofErr w:type="spellStart"/>
      <w:r>
        <w:rPr>
          <w:color w:val="000000"/>
          <w:sz w:val="20"/>
          <w:szCs w:val="20"/>
        </w:rPr>
        <w:t>Spirulina</w:t>
      </w:r>
      <w:proofErr w:type="spellEnd"/>
      <w:r>
        <w:rPr>
          <w:color w:val="000000"/>
          <w:sz w:val="20"/>
          <w:szCs w:val="20"/>
        </w:rPr>
        <w:t xml:space="preserve"> (</w:t>
      </w:r>
      <w:proofErr w:type="spellStart"/>
      <w:r>
        <w:rPr>
          <w:color w:val="000000"/>
          <w:sz w:val="20"/>
          <w:szCs w:val="20"/>
        </w:rPr>
        <w:t>Arthrospira</w:t>
      </w:r>
      <w:proofErr w:type="spellEnd"/>
      <w:r>
        <w:rPr>
          <w:color w:val="000000"/>
          <w:sz w:val="20"/>
          <w:szCs w:val="20"/>
        </w:rPr>
        <w:t xml:space="preserve">) and whey protein concentrate. </w:t>
      </w:r>
      <w:proofErr w:type="spellStart"/>
      <w:r>
        <w:rPr>
          <w:color w:val="000000"/>
          <w:sz w:val="20"/>
          <w:szCs w:val="20"/>
        </w:rPr>
        <w:t>Ecotoxicol</w:t>
      </w:r>
      <w:proofErr w:type="spellEnd"/>
      <w:r>
        <w:rPr>
          <w:color w:val="000000"/>
          <w:sz w:val="20"/>
          <w:szCs w:val="20"/>
        </w:rPr>
        <w:t>. Environ. Safety, 79: 294-300.</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Hegazi</w:t>
      </w:r>
      <w:proofErr w:type="spellEnd"/>
      <w:r>
        <w:rPr>
          <w:color w:val="000000"/>
          <w:sz w:val="20"/>
          <w:szCs w:val="20"/>
        </w:rPr>
        <w:t xml:space="preserve">, M. M. (2006). Distribution of the invasive species </w:t>
      </w:r>
      <w:proofErr w:type="spellStart"/>
      <w:r>
        <w:rPr>
          <w:color w:val="000000"/>
          <w:sz w:val="20"/>
          <w:szCs w:val="20"/>
        </w:rPr>
        <w:t>Caulerpaprolifera</w:t>
      </w:r>
      <w:proofErr w:type="spellEnd"/>
      <w:r>
        <w:rPr>
          <w:color w:val="000000"/>
          <w:sz w:val="20"/>
          <w:szCs w:val="20"/>
        </w:rPr>
        <w:t xml:space="preserve"> along the coasts of the Suez Canal, Egypt. CATRINA, 1 (2): 31-35.</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Hegazi</w:t>
      </w:r>
      <w:proofErr w:type="spellEnd"/>
      <w:r>
        <w:rPr>
          <w:color w:val="000000"/>
          <w:sz w:val="20"/>
          <w:szCs w:val="20"/>
        </w:rPr>
        <w:t xml:space="preserve">, M., </w:t>
      </w:r>
      <w:proofErr w:type="spellStart"/>
      <w:r>
        <w:rPr>
          <w:color w:val="000000"/>
          <w:sz w:val="20"/>
          <w:szCs w:val="20"/>
        </w:rPr>
        <w:t>Sharaf</w:t>
      </w:r>
      <w:proofErr w:type="spellEnd"/>
      <w:r>
        <w:rPr>
          <w:color w:val="000000"/>
          <w:sz w:val="20"/>
          <w:szCs w:val="20"/>
        </w:rPr>
        <w:t>, M. and El-</w:t>
      </w:r>
      <w:proofErr w:type="spellStart"/>
      <w:r>
        <w:rPr>
          <w:color w:val="000000"/>
          <w:sz w:val="20"/>
          <w:szCs w:val="20"/>
        </w:rPr>
        <w:t>Shenawy</w:t>
      </w:r>
      <w:proofErr w:type="spellEnd"/>
      <w:r>
        <w:rPr>
          <w:color w:val="000000"/>
          <w:sz w:val="20"/>
          <w:szCs w:val="20"/>
        </w:rPr>
        <w:t xml:space="preserve">, N. (2003). Growth response of </w:t>
      </w:r>
      <w:proofErr w:type="spellStart"/>
      <w:r>
        <w:rPr>
          <w:color w:val="000000"/>
          <w:sz w:val="20"/>
          <w:szCs w:val="20"/>
        </w:rPr>
        <w:t>nile</w:t>
      </w:r>
      <w:proofErr w:type="spellEnd"/>
      <w:r>
        <w:rPr>
          <w:color w:val="000000"/>
          <w:sz w:val="20"/>
          <w:szCs w:val="20"/>
        </w:rPr>
        <w:t xml:space="preserve"> Tilapia </w:t>
      </w:r>
      <w:proofErr w:type="spellStart"/>
      <w:r>
        <w:rPr>
          <w:color w:val="000000"/>
          <w:sz w:val="20"/>
          <w:szCs w:val="20"/>
        </w:rPr>
        <w:t>Oreochromisniloticus</w:t>
      </w:r>
      <w:proofErr w:type="spellEnd"/>
      <w:r>
        <w:rPr>
          <w:color w:val="000000"/>
          <w:sz w:val="20"/>
          <w:szCs w:val="20"/>
        </w:rPr>
        <w:t xml:space="preserve"> (L.) fed on artificial food mixed with different species of seaweeds. Egypt. J. Zool., 40: 47-61.</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Hoek</w:t>
      </w:r>
      <w:proofErr w:type="spellEnd"/>
      <w:r>
        <w:rPr>
          <w:color w:val="000000"/>
          <w:sz w:val="20"/>
          <w:szCs w:val="20"/>
        </w:rPr>
        <w:t xml:space="preserve">, C. van den, Mann, D.G. and </w:t>
      </w:r>
      <w:proofErr w:type="spellStart"/>
      <w:r>
        <w:rPr>
          <w:color w:val="000000"/>
          <w:sz w:val="20"/>
          <w:szCs w:val="20"/>
        </w:rPr>
        <w:t>Jahns</w:t>
      </w:r>
      <w:proofErr w:type="spellEnd"/>
      <w:r>
        <w:rPr>
          <w:color w:val="000000"/>
          <w:sz w:val="20"/>
          <w:szCs w:val="20"/>
        </w:rPr>
        <w:t xml:space="preserve">, H.M., 1995. Algae An introduction to </w:t>
      </w:r>
      <w:proofErr w:type="spellStart"/>
      <w:r>
        <w:rPr>
          <w:color w:val="000000"/>
          <w:sz w:val="20"/>
          <w:szCs w:val="20"/>
        </w:rPr>
        <w:t>phycology</w:t>
      </w:r>
      <w:proofErr w:type="spellEnd"/>
      <w:r>
        <w:rPr>
          <w:color w:val="000000"/>
          <w:sz w:val="20"/>
          <w:szCs w:val="20"/>
        </w:rPr>
        <w:t>. Cambridge University Press, Cambridge.</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Huervana</w:t>
      </w:r>
      <w:proofErr w:type="spellEnd"/>
      <w:r>
        <w:rPr>
          <w:color w:val="000000"/>
          <w:sz w:val="20"/>
          <w:szCs w:val="20"/>
        </w:rPr>
        <w:t xml:space="preserve"> FH, De La Cruz JJY, </w:t>
      </w:r>
      <w:proofErr w:type="spellStart"/>
      <w:r>
        <w:rPr>
          <w:color w:val="000000"/>
          <w:sz w:val="20"/>
          <w:szCs w:val="20"/>
        </w:rPr>
        <w:t>Caipang</w:t>
      </w:r>
      <w:proofErr w:type="spellEnd"/>
      <w:r>
        <w:rPr>
          <w:color w:val="000000"/>
          <w:sz w:val="20"/>
          <w:szCs w:val="20"/>
        </w:rPr>
        <w:t xml:space="preserve"> CMA. Inhibition of luminous </w:t>
      </w:r>
      <w:proofErr w:type="spellStart"/>
      <w:r>
        <w:rPr>
          <w:color w:val="000000"/>
          <w:sz w:val="20"/>
          <w:szCs w:val="20"/>
        </w:rPr>
        <w:t>Vibrio</w:t>
      </w:r>
      <w:proofErr w:type="spellEnd"/>
      <w:r>
        <w:rPr>
          <w:color w:val="000000"/>
          <w:sz w:val="20"/>
          <w:szCs w:val="20"/>
        </w:rPr>
        <w:t xml:space="preserve"> </w:t>
      </w:r>
      <w:proofErr w:type="spellStart"/>
      <w:r>
        <w:rPr>
          <w:color w:val="000000"/>
          <w:sz w:val="20"/>
          <w:szCs w:val="20"/>
        </w:rPr>
        <w:t>harveyi</w:t>
      </w:r>
      <w:proofErr w:type="spellEnd"/>
      <w:r>
        <w:rPr>
          <w:color w:val="000000"/>
          <w:sz w:val="20"/>
          <w:szCs w:val="20"/>
        </w:rPr>
        <w:t xml:space="preserve"> by “green water” obtained from tank culture of Tilapia, </w:t>
      </w:r>
      <w:proofErr w:type="spellStart"/>
      <w:r>
        <w:rPr>
          <w:color w:val="000000"/>
          <w:sz w:val="20"/>
          <w:szCs w:val="20"/>
        </w:rPr>
        <w:t>Oreochromismossambicus</w:t>
      </w:r>
      <w:proofErr w:type="spellEnd"/>
      <w:r>
        <w:rPr>
          <w:color w:val="000000"/>
          <w:sz w:val="20"/>
          <w:szCs w:val="20"/>
        </w:rPr>
        <w:t xml:space="preserve">. </w:t>
      </w:r>
      <w:proofErr w:type="spellStart"/>
      <w:r>
        <w:rPr>
          <w:color w:val="000000"/>
          <w:sz w:val="20"/>
          <w:szCs w:val="20"/>
        </w:rPr>
        <w:t>Acta</w:t>
      </w:r>
      <w:proofErr w:type="spellEnd"/>
      <w:r>
        <w:rPr>
          <w:color w:val="000000"/>
          <w:sz w:val="20"/>
          <w:szCs w:val="20"/>
        </w:rPr>
        <w:t xml:space="preserve"> </w:t>
      </w:r>
      <w:proofErr w:type="spellStart"/>
      <w:r>
        <w:rPr>
          <w:color w:val="000000"/>
          <w:sz w:val="20"/>
          <w:szCs w:val="20"/>
        </w:rPr>
        <w:t>Ichthyol</w:t>
      </w:r>
      <w:proofErr w:type="spellEnd"/>
      <w:r>
        <w:rPr>
          <w:color w:val="000000"/>
          <w:sz w:val="20"/>
          <w:szCs w:val="20"/>
        </w:rPr>
        <w:t xml:space="preserve"> </w:t>
      </w:r>
      <w:proofErr w:type="spellStart"/>
      <w:r>
        <w:rPr>
          <w:color w:val="000000"/>
          <w:sz w:val="20"/>
          <w:szCs w:val="20"/>
        </w:rPr>
        <w:t>Piscat</w:t>
      </w:r>
      <w:proofErr w:type="spellEnd"/>
      <w:r>
        <w:rPr>
          <w:color w:val="000000"/>
          <w:sz w:val="20"/>
          <w:szCs w:val="20"/>
        </w:rPr>
        <w:t>. 2006;36:17–23.</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 xml:space="preserve">Mark L. Wells; Philippe </w:t>
      </w:r>
      <w:proofErr w:type="spellStart"/>
      <w:r>
        <w:rPr>
          <w:color w:val="000000"/>
          <w:sz w:val="20"/>
          <w:szCs w:val="20"/>
        </w:rPr>
        <w:t>Potin</w:t>
      </w:r>
      <w:proofErr w:type="spellEnd"/>
      <w:r>
        <w:rPr>
          <w:color w:val="000000"/>
          <w:sz w:val="20"/>
          <w:szCs w:val="20"/>
        </w:rPr>
        <w:t xml:space="preserve">; James S. </w:t>
      </w:r>
      <w:proofErr w:type="spellStart"/>
      <w:r>
        <w:rPr>
          <w:color w:val="000000"/>
          <w:sz w:val="20"/>
          <w:szCs w:val="20"/>
        </w:rPr>
        <w:t>Craigie</w:t>
      </w:r>
      <w:proofErr w:type="spellEnd"/>
      <w:r>
        <w:rPr>
          <w:color w:val="000000"/>
          <w:sz w:val="20"/>
          <w:szCs w:val="20"/>
        </w:rPr>
        <w:t xml:space="preserve">; John A. Raven; </w:t>
      </w:r>
      <w:proofErr w:type="spellStart"/>
      <w:r>
        <w:rPr>
          <w:color w:val="000000"/>
          <w:sz w:val="20"/>
          <w:szCs w:val="20"/>
        </w:rPr>
        <w:t>Sabeeha</w:t>
      </w:r>
      <w:proofErr w:type="spellEnd"/>
      <w:r>
        <w:rPr>
          <w:color w:val="000000"/>
          <w:sz w:val="20"/>
          <w:szCs w:val="20"/>
        </w:rPr>
        <w:t xml:space="preserve"> S. Merchant; Katherine E. </w:t>
      </w:r>
      <w:proofErr w:type="spellStart"/>
      <w:r>
        <w:rPr>
          <w:color w:val="000000"/>
          <w:sz w:val="20"/>
          <w:szCs w:val="20"/>
        </w:rPr>
        <w:t>Helliwell</w:t>
      </w:r>
      <w:proofErr w:type="spellEnd"/>
      <w:r>
        <w:rPr>
          <w:color w:val="000000"/>
          <w:sz w:val="20"/>
          <w:szCs w:val="20"/>
        </w:rPr>
        <w:t xml:space="preserve">; Alison G. Smith; Mary Ellen </w:t>
      </w:r>
      <w:proofErr w:type="spellStart"/>
      <w:r>
        <w:rPr>
          <w:color w:val="000000"/>
          <w:sz w:val="20"/>
          <w:szCs w:val="20"/>
        </w:rPr>
        <w:t>Camire</w:t>
      </w:r>
      <w:proofErr w:type="spellEnd"/>
      <w:r>
        <w:rPr>
          <w:color w:val="000000"/>
          <w:sz w:val="20"/>
          <w:szCs w:val="20"/>
        </w:rPr>
        <w:t xml:space="preserve"> and Susan H. Brawley 2017. Algae as nutritional and functional food sources: revisiting our understanding. Journal of Applied </w:t>
      </w:r>
      <w:proofErr w:type="spellStart"/>
      <w:r>
        <w:rPr>
          <w:color w:val="000000"/>
          <w:sz w:val="20"/>
          <w:szCs w:val="20"/>
        </w:rPr>
        <w:t>Phycology</w:t>
      </w:r>
      <w:proofErr w:type="spellEnd"/>
      <w:r>
        <w:rPr>
          <w:color w:val="000000"/>
          <w:sz w:val="20"/>
          <w:szCs w:val="20"/>
        </w:rPr>
        <w:t>, 29(2):949–982.</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Muller-</w:t>
      </w:r>
      <w:proofErr w:type="spellStart"/>
      <w:r>
        <w:rPr>
          <w:color w:val="000000"/>
          <w:sz w:val="20"/>
          <w:szCs w:val="20"/>
        </w:rPr>
        <w:t>Feuga</w:t>
      </w:r>
      <w:proofErr w:type="spellEnd"/>
      <w:r>
        <w:rPr>
          <w:color w:val="000000"/>
          <w:sz w:val="20"/>
          <w:szCs w:val="20"/>
        </w:rPr>
        <w:t xml:space="preserve"> A. The role of microalgae in aquaculture: situation and trends. J </w:t>
      </w:r>
      <w:proofErr w:type="spellStart"/>
      <w:r>
        <w:rPr>
          <w:color w:val="000000"/>
          <w:sz w:val="20"/>
          <w:szCs w:val="20"/>
        </w:rPr>
        <w:t>ApplPhycol</w:t>
      </w:r>
      <w:proofErr w:type="spellEnd"/>
      <w:r>
        <w:rPr>
          <w:color w:val="000000"/>
          <w:sz w:val="20"/>
          <w:szCs w:val="20"/>
        </w:rPr>
        <w:t>. 2000;12:527–534.</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 xml:space="preserve">Nakagawa, H., </w:t>
      </w:r>
      <w:proofErr w:type="spellStart"/>
      <w:r>
        <w:rPr>
          <w:color w:val="000000"/>
          <w:sz w:val="20"/>
          <w:szCs w:val="20"/>
        </w:rPr>
        <w:t>Umino</w:t>
      </w:r>
      <w:proofErr w:type="spellEnd"/>
      <w:r>
        <w:rPr>
          <w:color w:val="000000"/>
          <w:sz w:val="20"/>
          <w:szCs w:val="20"/>
        </w:rPr>
        <w:t xml:space="preserve">, T. and </w:t>
      </w:r>
      <w:proofErr w:type="spellStart"/>
      <w:r>
        <w:rPr>
          <w:color w:val="000000"/>
          <w:sz w:val="20"/>
          <w:szCs w:val="20"/>
        </w:rPr>
        <w:t>Tasaka</w:t>
      </w:r>
      <w:proofErr w:type="spellEnd"/>
      <w:r>
        <w:rPr>
          <w:color w:val="000000"/>
          <w:sz w:val="20"/>
          <w:szCs w:val="20"/>
        </w:rPr>
        <w:t xml:space="preserve">, Y. 1997. Usefulness of </w:t>
      </w:r>
      <w:proofErr w:type="spellStart"/>
      <w:r>
        <w:rPr>
          <w:color w:val="000000"/>
          <w:sz w:val="20"/>
          <w:szCs w:val="20"/>
        </w:rPr>
        <w:t>Aschophyllum</w:t>
      </w:r>
      <w:proofErr w:type="spellEnd"/>
      <w:r>
        <w:rPr>
          <w:color w:val="000000"/>
          <w:sz w:val="20"/>
          <w:szCs w:val="20"/>
        </w:rPr>
        <w:t xml:space="preserve"> meal as a feed additive of red sea bream, </w:t>
      </w:r>
      <w:proofErr w:type="spellStart"/>
      <w:r>
        <w:rPr>
          <w:color w:val="000000"/>
          <w:sz w:val="20"/>
          <w:szCs w:val="20"/>
        </w:rPr>
        <w:t>Pagrus</w:t>
      </w:r>
      <w:proofErr w:type="spellEnd"/>
      <w:r>
        <w:rPr>
          <w:color w:val="000000"/>
          <w:sz w:val="20"/>
          <w:szCs w:val="20"/>
        </w:rPr>
        <w:t xml:space="preserve"> major. Aquaculture, 151 (1-4): 275-281.</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 xml:space="preserve">Nichols, B.W. 1970. Comparative lipid biochemistry of photosynthetic organisms. In </w:t>
      </w:r>
      <w:proofErr w:type="spellStart"/>
      <w:r>
        <w:rPr>
          <w:color w:val="000000"/>
          <w:sz w:val="20"/>
          <w:szCs w:val="20"/>
        </w:rPr>
        <w:t>Phytochemical</w:t>
      </w:r>
      <w:proofErr w:type="spellEnd"/>
      <w:r>
        <w:rPr>
          <w:color w:val="000000"/>
          <w:sz w:val="20"/>
          <w:szCs w:val="20"/>
        </w:rPr>
        <w:t xml:space="preserve"> phylogeny, ed. J.B. Harbone,105–118. London: Academic Press New York.</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Ott</w:t>
      </w:r>
      <w:proofErr w:type="spellEnd"/>
      <w:r>
        <w:rPr>
          <w:color w:val="000000"/>
          <w:sz w:val="20"/>
          <w:szCs w:val="20"/>
        </w:rPr>
        <w:t xml:space="preserve">, F.D., 1965. Synthetic media and techniques for the </w:t>
      </w:r>
      <w:proofErr w:type="spellStart"/>
      <w:r>
        <w:rPr>
          <w:color w:val="000000"/>
          <w:sz w:val="20"/>
          <w:szCs w:val="20"/>
        </w:rPr>
        <w:t>xenic</w:t>
      </w:r>
      <w:proofErr w:type="spellEnd"/>
      <w:r>
        <w:rPr>
          <w:color w:val="000000"/>
          <w:sz w:val="20"/>
          <w:szCs w:val="20"/>
        </w:rPr>
        <w:t xml:space="preserve"> cultivation of marine algae and </w:t>
      </w:r>
      <w:proofErr w:type="spellStart"/>
      <w:r>
        <w:rPr>
          <w:color w:val="000000"/>
          <w:sz w:val="20"/>
          <w:szCs w:val="20"/>
        </w:rPr>
        <w:t>flagellata</w:t>
      </w:r>
      <w:proofErr w:type="spellEnd"/>
      <w:r>
        <w:rPr>
          <w:color w:val="000000"/>
          <w:sz w:val="20"/>
          <w:szCs w:val="20"/>
        </w:rPr>
        <w:t xml:space="preserve">. </w:t>
      </w:r>
      <w:proofErr w:type="spellStart"/>
      <w:r>
        <w:rPr>
          <w:color w:val="000000"/>
          <w:sz w:val="20"/>
          <w:szCs w:val="20"/>
        </w:rPr>
        <w:t>Virg</w:t>
      </w:r>
      <w:proofErr w:type="spellEnd"/>
      <w:r>
        <w:rPr>
          <w:color w:val="000000"/>
          <w:sz w:val="20"/>
          <w:szCs w:val="20"/>
        </w:rPr>
        <w:t>. J. Sci. 16:205-218.</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Palmer PJ, Burke MJ, Palmer CJ, Burke JB. Developments in controlled green-water larval culture technologies for estuarine fishes in Queensland, Australia and elsewhere. Aquaculture. 2007;272:1–21.</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 xml:space="preserve">Percival, E.E., and J.R. </w:t>
      </w:r>
      <w:proofErr w:type="spellStart"/>
      <w:r>
        <w:rPr>
          <w:color w:val="000000"/>
          <w:sz w:val="20"/>
          <w:szCs w:val="20"/>
        </w:rPr>
        <w:t>Turvey</w:t>
      </w:r>
      <w:proofErr w:type="spellEnd"/>
      <w:r>
        <w:rPr>
          <w:color w:val="000000"/>
          <w:sz w:val="20"/>
          <w:szCs w:val="20"/>
        </w:rPr>
        <w:t xml:space="preserve">. 1974. Polysaccharides of algae. In CRC, handbook of microbiology, condensed edition, 532nd </w:t>
      </w:r>
      <w:proofErr w:type="spellStart"/>
      <w:r>
        <w:rPr>
          <w:color w:val="000000"/>
          <w:sz w:val="20"/>
          <w:szCs w:val="20"/>
        </w:rPr>
        <w:t>ed</w:t>
      </w:r>
      <w:proofErr w:type="spellEnd"/>
      <w:r>
        <w:rPr>
          <w:color w:val="000000"/>
          <w:sz w:val="20"/>
          <w:szCs w:val="20"/>
        </w:rPr>
        <w:t xml:space="preserve">, ed. A.L. </w:t>
      </w:r>
      <w:proofErr w:type="spellStart"/>
      <w:r>
        <w:rPr>
          <w:color w:val="000000"/>
          <w:sz w:val="20"/>
          <w:szCs w:val="20"/>
        </w:rPr>
        <w:t>Laskin</w:t>
      </w:r>
      <w:proofErr w:type="spellEnd"/>
      <w:r>
        <w:rPr>
          <w:color w:val="000000"/>
          <w:sz w:val="20"/>
          <w:szCs w:val="20"/>
        </w:rPr>
        <w:t xml:space="preserve">, and H.A. </w:t>
      </w:r>
      <w:proofErr w:type="spellStart"/>
      <w:r>
        <w:rPr>
          <w:color w:val="000000"/>
          <w:sz w:val="20"/>
          <w:szCs w:val="20"/>
        </w:rPr>
        <w:t>Lechevalier</w:t>
      </w:r>
      <w:proofErr w:type="spellEnd"/>
      <w:r>
        <w:rPr>
          <w:color w:val="000000"/>
          <w:sz w:val="20"/>
          <w:szCs w:val="20"/>
        </w:rPr>
        <w:t>. Cleveland: CRC Press Inc.</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Qie</w:t>
      </w:r>
      <w:proofErr w:type="spellEnd"/>
      <w:r>
        <w:rPr>
          <w:color w:val="000000"/>
          <w:sz w:val="20"/>
          <w:szCs w:val="20"/>
        </w:rPr>
        <w:t xml:space="preserve"> G, </w:t>
      </w:r>
      <w:proofErr w:type="spellStart"/>
      <w:r>
        <w:rPr>
          <w:color w:val="000000"/>
          <w:sz w:val="20"/>
          <w:szCs w:val="20"/>
        </w:rPr>
        <w:t>Makridis</w:t>
      </w:r>
      <w:proofErr w:type="spellEnd"/>
      <w:r>
        <w:rPr>
          <w:color w:val="000000"/>
          <w:sz w:val="20"/>
          <w:szCs w:val="20"/>
        </w:rPr>
        <w:t xml:space="preserve"> P, </w:t>
      </w:r>
      <w:proofErr w:type="spellStart"/>
      <w:r>
        <w:rPr>
          <w:color w:val="000000"/>
          <w:sz w:val="20"/>
          <w:szCs w:val="20"/>
        </w:rPr>
        <w:t>Reitan</w:t>
      </w:r>
      <w:proofErr w:type="spellEnd"/>
      <w:r>
        <w:rPr>
          <w:color w:val="000000"/>
          <w:sz w:val="20"/>
          <w:szCs w:val="20"/>
        </w:rPr>
        <w:t xml:space="preserve"> KI, Olsen Y. Protein and carbon utilization of rotifers </w:t>
      </w:r>
      <w:r>
        <w:rPr>
          <w:color w:val="000000"/>
          <w:sz w:val="20"/>
          <w:szCs w:val="20"/>
        </w:rPr>
        <w:lastRenderedPageBreak/>
        <w:t>(</w:t>
      </w:r>
      <w:proofErr w:type="spellStart"/>
      <w:r>
        <w:rPr>
          <w:color w:val="000000"/>
          <w:sz w:val="20"/>
          <w:szCs w:val="20"/>
        </w:rPr>
        <w:t>Brachionusplicatilis</w:t>
      </w:r>
      <w:proofErr w:type="spellEnd"/>
      <w:r>
        <w:rPr>
          <w:color w:val="000000"/>
          <w:sz w:val="20"/>
          <w:szCs w:val="20"/>
        </w:rPr>
        <w:t>) in first feeding of turbot larvae (</w:t>
      </w:r>
      <w:proofErr w:type="spellStart"/>
      <w:r>
        <w:rPr>
          <w:color w:val="000000"/>
          <w:sz w:val="20"/>
          <w:szCs w:val="20"/>
        </w:rPr>
        <w:t>Scophthalmus</w:t>
      </w:r>
      <w:proofErr w:type="spellEnd"/>
      <w:r>
        <w:rPr>
          <w:color w:val="000000"/>
          <w:sz w:val="20"/>
          <w:szCs w:val="20"/>
        </w:rPr>
        <w:t xml:space="preserve"> </w:t>
      </w:r>
      <w:proofErr w:type="spellStart"/>
      <w:r>
        <w:rPr>
          <w:color w:val="000000"/>
          <w:sz w:val="20"/>
          <w:szCs w:val="20"/>
        </w:rPr>
        <w:t>maximus</w:t>
      </w:r>
      <w:proofErr w:type="spellEnd"/>
      <w:r>
        <w:rPr>
          <w:color w:val="000000"/>
          <w:sz w:val="20"/>
          <w:szCs w:val="20"/>
        </w:rPr>
        <w:t xml:space="preserve"> L.). Aquaculture. 1997;153:103–122.</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Renaud</w:t>
      </w:r>
      <w:proofErr w:type="spellEnd"/>
      <w:r>
        <w:rPr>
          <w:color w:val="000000"/>
          <w:sz w:val="20"/>
          <w:szCs w:val="20"/>
        </w:rPr>
        <w:t xml:space="preserve">, S.M., D.L. Parry, and L.V. </w:t>
      </w:r>
      <w:proofErr w:type="spellStart"/>
      <w:r>
        <w:rPr>
          <w:color w:val="000000"/>
          <w:sz w:val="20"/>
          <w:szCs w:val="20"/>
        </w:rPr>
        <w:t>Thinh</w:t>
      </w:r>
      <w:proofErr w:type="spellEnd"/>
      <w:r>
        <w:rPr>
          <w:color w:val="000000"/>
          <w:sz w:val="20"/>
          <w:szCs w:val="20"/>
        </w:rPr>
        <w:t xml:space="preserve">. 1994. Microalgae for use in tropical aquaculture I: Gross chemical composition and fatty acid composition of twelve species of microalgae from the Northern Territory, Australia. Journal of Applied </w:t>
      </w:r>
      <w:proofErr w:type="spellStart"/>
      <w:r>
        <w:rPr>
          <w:color w:val="000000"/>
          <w:sz w:val="20"/>
          <w:szCs w:val="20"/>
        </w:rPr>
        <w:t>Phycology</w:t>
      </w:r>
      <w:proofErr w:type="spellEnd"/>
      <w:r>
        <w:rPr>
          <w:color w:val="000000"/>
          <w:sz w:val="20"/>
          <w:szCs w:val="20"/>
        </w:rPr>
        <w:t xml:space="preserve"> 6:337–345.</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 xml:space="preserve">Round, F.E. (1971). "The taxonomy of the </w:t>
      </w:r>
      <w:proofErr w:type="spellStart"/>
      <w:r>
        <w:rPr>
          <w:color w:val="000000"/>
          <w:sz w:val="20"/>
          <w:szCs w:val="20"/>
        </w:rPr>
        <w:t>Chlorophyta</w:t>
      </w:r>
      <w:proofErr w:type="spellEnd"/>
      <w:r>
        <w:rPr>
          <w:color w:val="000000"/>
          <w:sz w:val="20"/>
          <w:szCs w:val="20"/>
        </w:rPr>
        <w:t xml:space="preserve">, 2". Brit. </w:t>
      </w:r>
      <w:proofErr w:type="spellStart"/>
      <w:r>
        <w:rPr>
          <w:color w:val="000000"/>
          <w:sz w:val="20"/>
          <w:szCs w:val="20"/>
        </w:rPr>
        <w:t>Phycol</w:t>
      </w:r>
      <w:proofErr w:type="spellEnd"/>
      <w:r>
        <w:rPr>
          <w:color w:val="000000"/>
          <w:sz w:val="20"/>
          <w:szCs w:val="20"/>
        </w:rPr>
        <w:t>. J. 6 (2): 235–264.</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Sen</w:t>
      </w:r>
      <w:proofErr w:type="spellEnd"/>
      <w:r>
        <w:rPr>
          <w:color w:val="000000"/>
          <w:sz w:val="20"/>
          <w:szCs w:val="20"/>
        </w:rPr>
        <w:t xml:space="preserve"> Roy S., </w:t>
      </w:r>
      <w:proofErr w:type="spellStart"/>
      <w:r>
        <w:rPr>
          <w:color w:val="000000"/>
          <w:sz w:val="20"/>
          <w:szCs w:val="20"/>
        </w:rPr>
        <w:t>Ruma</w:t>
      </w:r>
      <w:proofErr w:type="spellEnd"/>
      <w:r>
        <w:rPr>
          <w:color w:val="000000"/>
          <w:sz w:val="20"/>
          <w:szCs w:val="20"/>
        </w:rPr>
        <w:t xml:space="preserve"> Pal Microalgae in Aquaculture: A Review with Special References to Nutritional Value and Fish Dietetics Proceedings of the Zoological Society, June 2015, Volume 68, Issue 1, pp 1–8.</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Sen</w:t>
      </w:r>
      <w:proofErr w:type="spellEnd"/>
      <w:r>
        <w:rPr>
          <w:color w:val="000000"/>
          <w:sz w:val="20"/>
          <w:szCs w:val="20"/>
        </w:rPr>
        <w:t xml:space="preserve"> Roy, S., N. Barman, and R. Pal. 2009. </w:t>
      </w:r>
      <w:proofErr w:type="spellStart"/>
      <w:r>
        <w:rPr>
          <w:color w:val="000000"/>
          <w:sz w:val="20"/>
          <w:szCs w:val="20"/>
        </w:rPr>
        <w:t>Stess</w:t>
      </w:r>
      <w:proofErr w:type="spellEnd"/>
      <w:r>
        <w:rPr>
          <w:color w:val="000000"/>
          <w:sz w:val="20"/>
          <w:szCs w:val="20"/>
        </w:rPr>
        <w:t xml:space="preserve"> Induced changes in total lipid and fatty acid composition of </w:t>
      </w:r>
      <w:proofErr w:type="spellStart"/>
      <w:r>
        <w:rPr>
          <w:color w:val="000000"/>
          <w:sz w:val="20"/>
          <w:szCs w:val="20"/>
        </w:rPr>
        <w:t>Navicula</w:t>
      </w:r>
      <w:proofErr w:type="spellEnd"/>
      <w:r>
        <w:rPr>
          <w:color w:val="000000"/>
          <w:sz w:val="20"/>
          <w:szCs w:val="20"/>
        </w:rPr>
        <w:t xml:space="preserve"> minima </w:t>
      </w:r>
      <w:proofErr w:type="spellStart"/>
      <w:r>
        <w:rPr>
          <w:color w:val="000000"/>
          <w:sz w:val="20"/>
          <w:szCs w:val="20"/>
        </w:rPr>
        <w:t>Grun</w:t>
      </w:r>
      <w:proofErr w:type="spellEnd"/>
      <w:r>
        <w:rPr>
          <w:color w:val="000000"/>
          <w:sz w:val="20"/>
          <w:szCs w:val="20"/>
        </w:rPr>
        <w:t>. Journal of Botanical Society of Bengal 63(1): 47–51.</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Smit</w:t>
      </w:r>
      <w:proofErr w:type="spellEnd"/>
      <w:r>
        <w:rPr>
          <w:color w:val="000000"/>
          <w:sz w:val="20"/>
          <w:szCs w:val="20"/>
        </w:rPr>
        <w:t xml:space="preserve">, A.J., 2004. Medicinal and pharmaceutical uses of seaweed natural products: A review. Journal of Applied </w:t>
      </w:r>
      <w:proofErr w:type="spellStart"/>
      <w:r>
        <w:rPr>
          <w:color w:val="000000"/>
          <w:sz w:val="20"/>
          <w:szCs w:val="20"/>
        </w:rPr>
        <w:t>Phycology</w:t>
      </w:r>
      <w:proofErr w:type="spellEnd"/>
      <w:r>
        <w:rPr>
          <w:color w:val="000000"/>
          <w:sz w:val="20"/>
          <w:szCs w:val="20"/>
        </w:rPr>
        <w:t>, 16: 245-262.</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SAS (2002) Statistical Analysis System, version 9.1. SAS Institute Inc., Cary.</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 xml:space="preserve">Tachibana, K., M. </w:t>
      </w:r>
      <w:proofErr w:type="spellStart"/>
      <w:r>
        <w:rPr>
          <w:color w:val="000000"/>
          <w:sz w:val="20"/>
          <w:szCs w:val="20"/>
        </w:rPr>
        <w:t>Yagi</w:t>
      </w:r>
      <w:proofErr w:type="spellEnd"/>
      <w:r>
        <w:rPr>
          <w:color w:val="000000"/>
          <w:sz w:val="20"/>
          <w:szCs w:val="20"/>
        </w:rPr>
        <w:t xml:space="preserve">, K. Hara, T. </w:t>
      </w:r>
      <w:proofErr w:type="spellStart"/>
      <w:r>
        <w:rPr>
          <w:color w:val="000000"/>
          <w:sz w:val="20"/>
          <w:szCs w:val="20"/>
        </w:rPr>
        <w:t>Mishima</w:t>
      </w:r>
      <w:proofErr w:type="spellEnd"/>
      <w:r>
        <w:rPr>
          <w:color w:val="000000"/>
          <w:sz w:val="20"/>
          <w:szCs w:val="20"/>
        </w:rPr>
        <w:t xml:space="preserve"> and M. </w:t>
      </w:r>
      <w:proofErr w:type="spellStart"/>
      <w:r>
        <w:rPr>
          <w:color w:val="000000"/>
          <w:sz w:val="20"/>
          <w:szCs w:val="20"/>
        </w:rPr>
        <w:t>Suchimote</w:t>
      </w:r>
      <w:proofErr w:type="spellEnd"/>
      <w:r>
        <w:rPr>
          <w:color w:val="000000"/>
          <w:sz w:val="20"/>
          <w:szCs w:val="20"/>
        </w:rPr>
        <w:t>, 1997. Effects of feeding of β-</w:t>
      </w:r>
      <w:proofErr w:type="spellStart"/>
      <w:r>
        <w:rPr>
          <w:color w:val="000000"/>
          <w:sz w:val="20"/>
          <w:szCs w:val="20"/>
        </w:rPr>
        <w:t>Carotensupplemented</w:t>
      </w:r>
      <w:proofErr w:type="spellEnd"/>
      <w:r>
        <w:rPr>
          <w:color w:val="000000"/>
          <w:sz w:val="20"/>
          <w:szCs w:val="20"/>
        </w:rPr>
        <w:t xml:space="preserve"> rotifers on survival and lymphocyte proliferation reaction of fish larvae Japanese parrotfish (</w:t>
      </w:r>
      <w:proofErr w:type="spellStart"/>
      <w:r>
        <w:rPr>
          <w:color w:val="000000"/>
          <w:sz w:val="20"/>
          <w:szCs w:val="20"/>
        </w:rPr>
        <w:t>Oplegnathusfasciotus</w:t>
      </w:r>
      <w:proofErr w:type="spellEnd"/>
      <w:r>
        <w:rPr>
          <w:color w:val="000000"/>
          <w:sz w:val="20"/>
          <w:szCs w:val="20"/>
        </w:rPr>
        <w:t>) and spotted parrotfish (</w:t>
      </w:r>
      <w:proofErr w:type="spellStart"/>
      <w:r>
        <w:rPr>
          <w:color w:val="000000"/>
          <w:sz w:val="20"/>
          <w:szCs w:val="20"/>
        </w:rPr>
        <w:t>Oplegnathupunctatus</w:t>
      </w:r>
      <w:proofErr w:type="spellEnd"/>
      <w:r>
        <w:rPr>
          <w:color w:val="000000"/>
          <w:sz w:val="20"/>
          <w:szCs w:val="20"/>
        </w:rPr>
        <w:t xml:space="preserve">): preliminary trials. </w:t>
      </w:r>
      <w:proofErr w:type="spellStart"/>
      <w:r>
        <w:rPr>
          <w:color w:val="000000"/>
          <w:sz w:val="20"/>
          <w:szCs w:val="20"/>
        </w:rPr>
        <w:t>Hydrobiologia</w:t>
      </w:r>
      <w:proofErr w:type="spellEnd"/>
      <w:r>
        <w:rPr>
          <w:color w:val="000000"/>
          <w:sz w:val="20"/>
          <w:szCs w:val="20"/>
        </w:rPr>
        <w:t>, 358: 313-316.</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Tendencia</w:t>
      </w:r>
      <w:proofErr w:type="spellEnd"/>
      <w:r>
        <w:rPr>
          <w:color w:val="000000"/>
          <w:sz w:val="20"/>
          <w:szCs w:val="20"/>
        </w:rPr>
        <w:t xml:space="preserve"> EA, de la </w:t>
      </w:r>
      <w:proofErr w:type="spellStart"/>
      <w:r>
        <w:rPr>
          <w:color w:val="000000"/>
          <w:sz w:val="20"/>
          <w:szCs w:val="20"/>
        </w:rPr>
        <w:t>Peňa</w:t>
      </w:r>
      <w:proofErr w:type="spellEnd"/>
      <w:r>
        <w:rPr>
          <w:color w:val="000000"/>
          <w:sz w:val="20"/>
          <w:szCs w:val="20"/>
        </w:rPr>
        <w:t xml:space="preserve"> MR, </w:t>
      </w:r>
      <w:proofErr w:type="spellStart"/>
      <w:r>
        <w:rPr>
          <w:color w:val="000000"/>
          <w:sz w:val="20"/>
          <w:szCs w:val="20"/>
        </w:rPr>
        <w:t>Fermin</w:t>
      </w:r>
      <w:proofErr w:type="spellEnd"/>
      <w:r>
        <w:rPr>
          <w:color w:val="000000"/>
          <w:sz w:val="20"/>
          <w:szCs w:val="20"/>
        </w:rPr>
        <w:t xml:space="preserve"> AC, </w:t>
      </w:r>
      <w:proofErr w:type="spellStart"/>
      <w:r>
        <w:rPr>
          <w:color w:val="000000"/>
          <w:sz w:val="20"/>
          <w:szCs w:val="20"/>
        </w:rPr>
        <w:t>Lio</w:t>
      </w:r>
      <w:proofErr w:type="spellEnd"/>
      <w:r>
        <w:rPr>
          <w:color w:val="000000"/>
          <w:sz w:val="20"/>
          <w:szCs w:val="20"/>
        </w:rPr>
        <w:t xml:space="preserve">-Po G, </w:t>
      </w:r>
      <w:proofErr w:type="spellStart"/>
      <w:r>
        <w:rPr>
          <w:color w:val="000000"/>
          <w:sz w:val="20"/>
          <w:szCs w:val="20"/>
        </w:rPr>
        <w:t>Choresca</w:t>
      </w:r>
      <w:proofErr w:type="spellEnd"/>
      <w:r>
        <w:rPr>
          <w:color w:val="000000"/>
          <w:sz w:val="20"/>
          <w:szCs w:val="20"/>
        </w:rPr>
        <w:t xml:space="preserve"> CH, </w:t>
      </w:r>
      <w:proofErr w:type="spellStart"/>
      <w:r>
        <w:rPr>
          <w:color w:val="000000"/>
          <w:sz w:val="20"/>
          <w:szCs w:val="20"/>
        </w:rPr>
        <w:t>Jr</w:t>
      </w:r>
      <w:proofErr w:type="spellEnd"/>
      <w:r>
        <w:rPr>
          <w:color w:val="000000"/>
          <w:sz w:val="20"/>
          <w:szCs w:val="20"/>
        </w:rPr>
        <w:t xml:space="preserve">, et al. Antibacterial activity of Tilapia </w:t>
      </w:r>
      <w:proofErr w:type="spellStart"/>
      <w:r>
        <w:rPr>
          <w:color w:val="000000"/>
          <w:sz w:val="20"/>
          <w:szCs w:val="20"/>
        </w:rPr>
        <w:t>hornorum</w:t>
      </w:r>
      <w:proofErr w:type="spellEnd"/>
      <w:r>
        <w:rPr>
          <w:color w:val="000000"/>
          <w:sz w:val="20"/>
          <w:szCs w:val="20"/>
        </w:rPr>
        <w:t xml:space="preserve"> against </w:t>
      </w:r>
      <w:proofErr w:type="spellStart"/>
      <w:r>
        <w:rPr>
          <w:color w:val="000000"/>
          <w:sz w:val="20"/>
          <w:szCs w:val="20"/>
        </w:rPr>
        <w:t>Vibrio</w:t>
      </w:r>
      <w:proofErr w:type="spellEnd"/>
      <w:r>
        <w:rPr>
          <w:color w:val="000000"/>
          <w:sz w:val="20"/>
          <w:szCs w:val="20"/>
        </w:rPr>
        <w:t xml:space="preserve"> </w:t>
      </w:r>
      <w:proofErr w:type="spellStart"/>
      <w:r>
        <w:rPr>
          <w:color w:val="000000"/>
          <w:sz w:val="20"/>
          <w:szCs w:val="20"/>
        </w:rPr>
        <w:t>harveyi</w:t>
      </w:r>
      <w:proofErr w:type="spellEnd"/>
      <w:r>
        <w:rPr>
          <w:color w:val="000000"/>
          <w:sz w:val="20"/>
          <w:szCs w:val="20"/>
        </w:rPr>
        <w:t>. Aquaculture. 2004;232:145–152.</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 xml:space="preserve">Tim, J., T.J. Bowden, K.D. Thompson, A.L. Morgan and S. </w:t>
      </w:r>
      <w:proofErr w:type="spellStart"/>
      <w:r>
        <w:rPr>
          <w:color w:val="000000"/>
          <w:sz w:val="20"/>
          <w:szCs w:val="20"/>
        </w:rPr>
        <w:t>Nikoskelainen</w:t>
      </w:r>
      <w:proofErr w:type="spellEnd"/>
      <w:r>
        <w:rPr>
          <w:color w:val="000000"/>
          <w:sz w:val="20"/>
          <w:szCs w:val="20"/>
        </w:rPr>
        <w:t>, 2007. Seasonal variation and immune response: A fish perspective. Department of Zoology, University of Aberdeen, Scotland, UK., pp:695-70.</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lastRenderedPageBreak/>
        <w:t>Tonon</w:t>
      </w:r>
      <w:proofErr w:type="spellEnd"/>
      <w:r>
        <w:rPr>
          <w:color w:val="000000"/>
          <w:sz w:val="20"/>
          <w:szCs w:val="20"/>
        </w:rPr>
        <w:t xml:space="preserve"> T, Harvey D, Larson TR, Graham IA. Long chain polyunsaturated fatty acid production and partitioning to </w:t>
      </w:r>
      <w:proofErr w:type="spellStart"/>
      <w:r>
        <w:rPr>
          <w:color w:val="000000"/>
          <w:sz w:val="20"/>
          <w:szCs w:val="20"/>
        </w:rPr>
        <w:t>triacylglycerols</w:t>
      </w:r>
      <w:proofErr w:type="spellEnd"/>
      <w:r>
        <w:rPr>
          <w:color w:val="000000"/>
          <w:sz w:val="20"/>
          <w:szCs w:val="20"/>
        </w:rPr>
        <w:t xml:space="preserve"> in four microalgae. </w:t>
      </w:r>
      <w:proofErr w:type="spellStart"/>
      <w:r>
        <w:rPr>
          <w:color w:val="000000"/>
          <w:sz w:val="20"/>
          <w:szCs w:val="20"/>
        </w:rPr>
        <w:t>Phytochemistry</w:t>
      </w:r>
      <w:proofErr w:type="spellEnd"/>
      <w:r>
        <w:rPr>
          <w:color w:val="000000"/>
          <w:sz w:val="20"/>
          <w:szCs w:val="20"/>
        </w:rPr>
        <w:t xml:space="preserve">. 2002;61:15–24. </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Tornabene</w:t>
      </w:r>
      <w:proofErr w:type="spellEnd"/>
      <w:r>
        <w:rPr>
          <w:color w:val="000000"/>
          <w:sz w:val="20"/>
          <w:szCs w:val="20"/>
        </w:rPr>
        <w:t xml:space="preserve">, T.G., G. </w:t>
      </w:r>
      <w:proofErr w:type="spellStart"/>
      <w:r>
        <w:rPr>
          <w:color w:val="000000"/>
          <w:sz w:val="20"/>
          <w:szCs w:val="20"/>
        </w:rPr>
        <w:t>Holzer</w:t>
      </w:r>
      <w:proofErr w:type="spellEnd"/>
      <w:r>
        <w:rPr>
          <w:color w:val="000000"/>
          <w:sz w:val="20"/>
          <w:szCs w:val="20"/>
        </w:rPr>
        <w:t xml:space="preserve">, S. Lien, and N. Burris. 1983. Lipid composition of the nitrogen starved green alga </w:t>
      </w:r>
      <w:proofErr w:type="spellStart"/>
      <w:r>
        <w:rPr>
          <w:color w:val="000000"/>
          <w:sz w:val="20"/>
          <w:szCs w:val="20"/>
        </w:rPr>
        <w:t>Neochlorisoleoabundans</w:t>
      </w:r>
      <w:proofErr w:type="spellEnd"/>
      <w:r>
        <w:rPr>
          <w:color w:val="000000"/>
          <w:sz w:val="20"/>
          <w:szCs w:val="20"/>
        </w:rPr>
        <w:t>. Enzyme and Microbial Technology 5(6): 435–440.</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Venkataraman</w:t>
      </w:r>
      <w:proofErr w:type="spellEnd"/>
      <w:r>
        <w:rPr>
          <w:color w:val="000000"/>
          <w:sz w:val="20"/>
          <w:szCs w:val="20"/>
        </w:rPr>
        <w:t>, L.V., and E.W. Becker. 1985. Biotechnology and utilization of algae—The Indian experience. Mysore: Central Food Technological Research Institute. 257.</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 xml:space="preserve">Wang, Y.J., Y. </w:t>
      </w:r>
      <w:proofErr w:type="spellStart"/>
      <w:r>
        <w:rPr>
          <w:color w:val="000000"/>
          <w:sz w:val="20"/>
          <w:szCs w:val="20"/>
        </w:rPr>
        <w:t>Huchien</w:t>
      </w:r>
      <w:proofErr w:type="spellEnd"/>
      <w:r>
        <w:rPr>
          <w:color w:val="000000"/>
          <w:sz w:val="20"/>
          <w:szCs w:val="20"/>
        </w:rPr>
        <w:t xml:space="preserve"> and Ch. </w:t>
      </w:r>
      <w:proofErr w:type="spellStart"/>
      <w:r>
        <w:rPr>
          <w:color w:val="000000"/>
          <w:sz w:val="20"/>
          <w:szCs w:val="20"/>
        </w:rPr>
        <w:t>Hugpan</w:t>
      </w:r>
      <w:proofErr w:type="spellEnd"/>
      <w:r>
        <w:rPr>
          <w:color w:val="000000"/>
          <w:sz w:val="20"/>
          <w:szCs w:val="20"/>
        </w:rPr>
        <w:t xml:space="preserve">, 2006. Effects of dietary supplementation of </w:t>
      </w:r>
      <w:proofErr w:type="spellStart"/>
      <w:r>
        <w:rPr>
          <w:color w:val="000000"/>
          <w:sz w:val="20"/>
          <w:szCs w:val="20"/>
        </w:rPr>
        <w:t>carotenoids</w:t>
      </w:r>
      <w:proofErr w:type="spellEnd"/>
      <w:r>
        <w:rPr>
          <w:color w:val="000000"/>
          <w:sz w:val="20"/>
          <w:szCs w:val="20"/>
        </w:rPr>
        <w:t xml:space="preserve"> on survival, growth, pigmentation and antioxidant capacity of characins, (</w:t>
      </w:r>
      <w:proofErr w:type="spellStart"/>
      <w:r>
        <w:rPr>
          <w:color w:val="000000"/>
          <w:sz w:val="20"/>
          <w:szCs w:val="20"/>
        </w:rPr>
        <w:t>Hyphessobrycallistus</w:t>
      </w:r>
      <w:proofErr w:type="spellEnd"/>
      <w:r>
        <w:rPr>
          <w:color w:val="000000"/>
          <w:sz w:val="20"/>
          <w:szCs w:val="20"/>
        </w:rPr>
        <w:t>). Department of Aquaculture, National Taiwan Ocean University Keelung, Taiwan, 202.</w:t>
      </w:r>
    </w:p>
    <w:p w:rsidR="00867690" w:rsidRDefault="00E64BAB">
      <w:pPr>
        <w:pStyle w:val="normal0"/>
        <w:numPr>
          <w:ilvl w:val="0"/>
          <w:numId w:val="1"/>
        </w:numPr>
        <w:pBdr>
          <w:top w:val="nil"/>
          <w:left w:val="nil"/>
          <w:bottom w:val="nil"/>
          <w:right w:val="nil"/>
          <w:between w:val="nil"/>
        </w:pBdr>
        <w:jc w:val="both"/>
        <w:rPr>
          <w:color w:val="000000"/>
          <w:sz w:val="20"/>
          <w:szCs w:val="20"/>
        </w:rPr>
      </w:pPr>
      <w:r>
        <w:rPr>
          <w:color w:val="000000"/>
          <w:sz w:val="20"/>
          <w:szCs w:val="20"/>
        </w:rPr>
        <w:t xml:space="preserve">Webb, K. L., F E Chu. 1983. Phytoplankton as a food source for bivalve larvae. In Proceedings of the Second International Conference on Aquaculture Nutrition: Biochemical and Physiological Approaches to </w:t>
      </w:r>
      <w:proofErr w:type="spellStart"/>
      <w:r>
        <w:rPr>
          <w:color w:val="000000"/>
          <w:sz w:val="20"/>
          <w:szCs w:val="20"/>
        </w:rPr>
        <w:t>Shellﬁsh</w:t>
      </w:r>
      <w:proofErr w:type="spellEnd"/>
      <w:r>
        <w:rPr>
          <w:color w:val="000000"/>
          <w:sz w:val="20"/>
          <w:szCs w:val="20"/>
        </w:rPr>
        <w:t xml:space="preserve"> Nutrition. </w:t>
      </w:r>
      <w:proofErr w:type="spellStart"/>
      <w:r>
        <w:rPr>
          <w:color w:val="000000"/>
          <w:sz w:val="20"/>
          <w:szCs w:val="20"/>
        </w:rPr>
        <w:t>eds.G</w:t>
      </w:r>
      <w:proofErr w:type="spellEnd"/>
      <w:r>
        <w:rPr>
          <w:color w:val="000000"/>
          <w:sz w:val="20"/>
          <w:szCs w:val="20"/>
        </w:rPr>
        <w:t xml:space="preserve">. D. </w:t>
      </w:r>
      <w:proofErr w:type="spellStart"/>
      <w:r>
        <w:rPr>
          <w:color w:val="000000"/>
          <w:sz w:val="20"/>
          <w:szCs w:val="20"/>
        </w:rPr>
        <w:t>Pruder</w:t>
      </w:r>
      <w:proofErr w:type="spellEnd"/>
      <w:r>
        <w:rPr>
          <w:color w:val="000000"/>
          <w:sz w:val="20"/>
          <w:szCs w:val="20"/>
        </w:rPr>
        <w:t xml:space="preserve">, C.J. Langdon and D. E. Conklin 272–291. Louisiana State University, Baton Rouge, LA. </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Zenetos</w:t>
      </w:r>
      <w:proofErr w:type="spellEnd"/>
      <w:r>
        <w:rPr>
          <w:color w:val="000000"/>
          <w:sz w:val="20"/>
          <w:szCs w:val="20"/>
        </w:rPr>
        <w:t xml:space="preserve"> A, </w:t>
      </w:r>
      <w:proofErr w:type="spellStart"/>
      <w:r>
        <w:rPr>
          <w:color w:val="000000"/>
          <w:sz w:val="20"/>
          <w:szCs w:val="20"/>
        </w:rPr>
        <w:t>Gofas</w:t>
      </w:r>
      <w:proofErr w:type="spellEnd"/>
      <w:r>
        <w:rPr>
          <w:color w:val="000000"/>
          <w:sz w:val="20"/>
          <w:szCs w:val="20"/>
        </w:rPr>
        <w:t xml:space="preserve"> S, </w:t>
      </w:r>
      <w:proofErr w:type="spellStart"/>
      <w:r>
        <w:rPr>
          <w:color w:val="000000"/>
          <w:sz w:val="20"/>
          <w:szCs w:val="20"/>
        </w:rPr>
        <w:t>Verlaque</w:t>
      </w:r>
      <w:proofErr w:type="spellEnd"/>
      <w:r>
        <w:rPr>
          <w:color w:val="000000"/>
          <w:sz w:val="20"/>
          <w:szCs w:val="20"/>
        </w:rPr>
        <w:t xml:space="preserve"> M, </w:t>
      </w:r>
      <w:proofErr w:type="spellStart"/>
      <w:r>
        <w:rPr>
          <w:color w:val="000000"/>
          <w:sz w:val="20"/>
          <w:szCs w:val="20"/>
        </w:rPr>
        <w:t>Çinar</w:t>
      </w:r>
      <w:proofErr w:type="spellEnd"/>
      <w:r>
        <w:rPr>
          <w:color w:val="000000"/>
          <w:sz w:val="20"/>
          <w:szCs w:val="20"/>
        </w:rPr>
        <w:t xml:space="preserve"> M, </w:t>
      </w:r>
      <w:proofErr w:type="spellStart"/>
      <w:r>
        <w:rPr>
          <w:color w:val="000000"/>
          <w:sz w:val="20"/>
          <w:szCs w:val="20"/>
        </w:rPr>
        <w:t>García</w:t>
      </w:r>
      <w:proofErr w:type="spellEnd"/>
      <w:r>
        <w:rPr>
          <w:color w:val="000000"/>
          <w:sz w:val="20"/>
          <w:szCs w:val="20"/>
        </w:rPr>
        <w:t xml:space="preserve"> </w:t>
      </w:r>
      <w:proofErr w:type="spellStart"/>
      <w:r>
        <w:rPr>
          <w:color w:val="000000"/>
          <w:sz w:val="20"/>
          <w:szCs w:val="20"/>
        </w:rPr>
        <w:t>Raso</w:t>
      </w:r>
      <w:proofErr w:type="spellEnd"/>
      <w:r>
        <w:rPr>
          <w:color w:val="000000"/>
          <w:sz w:val="20"/>
          <w:szCs w:val="20"/>
        </w:rPr>
        <w:t xml:space="preserve"> E, Bianchi CN, </w:t>
      </w:r>
      <w:proofErr w:type="spellStart"/>
      <w:r>
        <w:rPr>
          <w:color w:val="000000"/>
          <w:sz w:val="20"/>
          <w:szCs w:val="20"/>
        </w:rPr>
        <w:t>Morri</w:t>
      </w:r>
      <w:proofErr w:type="spellEnd"/>
      <w:r>
        <w:rPr>
          <w:color w:val="000000"/>
          <w:sz w:val="20"/>
          <w:szCs w:val="20"/>
        </w:rPr>
        <w:t xml:space="preserve"> C, </w:t>
      </w:r>
      <w:proofErr w:type="spellStart"/>
      <w:r>
        <w:rPr>
          <w:color w:val="000000"/>
          <w:sz w:val="20"/>
          <w:szCs w:val="20"/>
        </w:rPr>
        <w:t>Azzurro</w:t>
      </w:r>
      <w:proofErr w:type="spellEnd"/>
      <w:r>
        <w:rPr>
          <w:color w:val="000000"/>
          <w:sz w:val="20"/>
          <w:szCs w:val="20"/>
        </w:rPr>
        <w:t xml:space="preserve"> E, </w:t>
      </w:r>
      <w:proofErr w:type="spellStart"/>
      <w:r>
        <w:rPr>
          <w:color w:val="000000"/>
          <w:sz w:val="20"/>
          <w:szCs w:val="20"/>
        </w:rPr>
        <w:t>Bilecenoglu</w:t>
      </w:r>
      <w:proofErr w:type="spellEnd"/>
      <w:r>
        <w:rPr>
          <w:color w:val="000000"/>
          <w:sz w:val="20"/>
          <w:szCs w:val="20"/>
        </w:rPr>
        <w:t xml:space="preserve"> M, </w:t>
      </w:r>
      <w:proofErr w:type="spellStart"/>
      <w:r>
        <w:rPr>
          <w:color w:val="000000"/>
          <w:sz w:val="20"/>
          <w:szCs w:val="20"/>
        </w:rPr>
        <w:t>Froglia</w:t>
      </w:r>
      <w:proofErr w:type="spellEnd"/>
      <w:r>
        <w:rPr>
          <w:color w:val="000000"/>
          <w:sz w:val="20"/>
          <w:szCs w:val="20"/>
        </w:rPr>
        <w:t xml:space="preserve"> C, </w:t>
      </w:r>
      <w:proofErr w:type="spellStart"/>
      <w:r>
        <w:rPr>
          <w:color w:val="000000"/>
          <w:sz w:val="20"/>
          <w:szCs w:val="20"/>
        </w:rPr>
        <w:t>Siokou</w:t>
      </w:r>
      <w:proofErr w:type="spellEnd"/>
      <w:r>
        <w:rPr>
          <w:color w:val="000000"/>
          <w:sz w:val="20"/>
          <w:szCs w:val="20"/>
        </w:rPr>
        <w:t xml:space="preserve"> I, </w:t>
      </w:r>
      <w:proofErr w:type="spellStart"/>
      <w:r>
        <w:rPr>
          <w:color w:val="000000"/>
          <w:sz w:val="20"/>
          <w:szCs w:val="20"/>
        </w:rPr>
        <w:t>Violanti</w:t>
      </w:r>
      <w:proofErr w:type="spellEnd"/>
      <w:r>
        <w:rPr>
          <w:color w:val="000000"/>
          <w:sz w:val="20"/>
          <w:szCs w:val="20"/>
        </w:rPr>
        <w:t xml:space="preserve"> D, </w:t>
      </w:r>
      <w:proofErr w:type="spellStart"/>
      <w:r>
        <w:rPr>
          <w:color w:val="000000"/>
          <w:sz w:val="20"/>
          <w:szCs w:val="20"/>
        </w:rPr>
        <w:t>Sfriso</w:t>
      </w:r>
      <w:proofErr w:type="spellEnd"/>
      <w:r>
        <w:rPr>
          <w:color w:val="000000"/>
          <w:sz w:val="20"/>
          <w:szCs w:val="20"/>
        </w:rPr>
        <w:t xml:space="preserve"> A, San </w:t>
      </w:r>
      <w:proofErr w:type="spellStart"/>
      <w:r>
        <w:rPr>
          <w:color w:val="000000"/>
          <w:sz w:val="20"/>
          <w:szCs w:val="20"/>
        </w:rPr>
        <w:t>Martín</w:t>
      </w:r>
      <w:proofErr w:type="spellEnd"/>
      <w:r>
        <w:rPr>
          <w:color w:val="000000"/>
          <w:sz w:val="20"/>
          <w:szCs w:val="20"/>
        </w:rPr>
        <w:t xml:space="preserve"> G, </w:t>
      </w:r>
      <w:proofErr w:type="spellStart"/>
      <w:r>
        <w:rPr>
          <w:color w:val="000000"/>
          <w:sz w:val="20"/>
          <w:szCs w:val="20"/>
        </w:rPr>
        <w:t>Giangrande</w:t>
      </w:r>
      <w:proofErr w:type="spellEnd"/>
      <w:r>
        <w:rPr>
          <w:color w:val="000000"/>
          <w:sz w:val="20"/>
          <w:szCs w:val="20"/>
        </w:rPr>
        <w:t xml:space="preserve"> A, </w:t>
      </w:r>
      <w:proofErr w:type="spellStart"/>
      <w:r>
        <w:rPr>
          <w:color w:val="000000"/>
          <w:sz w:val="20"/>
          <w:szCs w:val="20"/>
        </w:rPr>
        <w:t>Katağan</w:t>
      </w:r>
      <w:proofErr w:type="spellEnd"/>
      <w:r>
        <w:rPr>
          <w:color w:val="000000"/>
          <w:sz w:val="20"/>
          <w:szCs w:val="20"/>
        </w:rPr>
        <w:t xml:space="preserve"> T, Ballesteros E, Ramos </w:t>
      </w:r>
      <w:proofErr w:type="spellStart"/>
      <w:r>
        <w:rPr>
          <w:color w:val="000000"/>
          <w:sz w:val="20"/>
          <w:szCs w:val="20"/>
        </w:rPr>
        <w:t>Esplá</w:t>
      </w:r>
      <w:proofErr w:type="spellEnd"/>
      <w:r>
        <w:rPr>
          <w:color w:val="000000"/>
          <w:sz w:val="20"/>
          <w:szCs w:val="20"/>
        </w:rPr>
        <w:t xml:space="preserve"> A, </w:t>
      </w:r>
      <w:proofErr w:type="spellStart"/>
      <w:r>
        <w:rPr>
          <w:color w:val="000000"/>
          <w:sz w:val="20"/>
          <w:szCs w:val="20"/>
        </w:rPr>
        <w:t>Mastrototaro</w:t>
      </w:r>
      <w:proofErr w:type="spellEnd"/>
      <w:r>
        <w:rPr>
          <w:color w:val="000000"/>
          <w:sz w:val="20"/>
          <w:szCs w:val="20"/>
        </w:rPr>
        <w:t xml:space="preserve"> F, </w:t>
      </w:r>
      <w:proofErr w:type="spellStart"/>
      <w:r>
        <w:rPr>
          <w:color w:val="000000"/>
          <w:sz w:val="20"/>
          <w:szCs w:val="20"/>
        </w:rPr>
        <w:t>Ocaña</w:t>
      </w:r>
      <w:proofErr w:type="spellEnd"/>
      <w:r>
        <w:rPr>
          <w:color w:val="000000"/>
          <w:sz w:val="20"/>
          <w:szCs w:val="20"/>
        </w:rPr>
        <w:t xml:space="preserve"> O, </w:t>
      </w:r>
      <w:proofErr w:type="spellStart"/>
      <w:r>
        <w:rPr>
          <w:color w:val="000000"/>
          <w:sz w:val="20"/>
          <w:szCs w:val="20"/>
        </w:rPr>
        <w:t>Zingone</w:t>
      </w:r>
      <w:proofErr w:type="spellEnd"/>
      <w:r>
        <w:rPr>
          <w:color w:val="000000"/>
          <w:sz w:val="20"/>
          <w:szCs w:val="20"/>
        </w:rPr>
        <w:t xml:space="preserve"> A, </w:t>
      </w:r>
      <w:proofErr w:type="spellStart"/>
      <w:r>
        <w:rPr>
          <w:color w:val="000000"/>
          <w:sz w:val="20"/>
          <w:szCs w:val="20"/>
        </w:rPr>
        <w:t>Gambi</w:t>
      </w:r>
      <w:proofErr w:type="spellEnd"/>
      <w:r>
        <w:rPr>
          <w:color w:val="000000"/>
          <w:sz w:val="20"/>
          <w:szCs w:val="20"/>
        </w:rPr>
        <w:t xml:space="preserve"> MC, </w:t>
      </w:r>
      <w:proofErr w:type="spellStart"/>
      <w:r>
        <w:rPr>
          <w:color w:val="000000"/>
          <w:sz w:val="20"/>
          <w:szCs w:val="20"/>
        </w:rPr>
        <w:t>Streftaris</w:t>
      </w:r>
      <w:proofErr w:type="spellEnd"/>
      <w:r>
        <w:rPr>
          <w:color w:val="000000"/>
          <w:sz w:val="20"/>
          <w:szCs w:val="20"/>
        </w:rPr>
        <w:t xml:space="preserve"> N (2010) Alien species in the Mediterranean Sea by 2010. A contribution to the application of European Union's Marine Strategy Framework Directive (MSFD). Part I. Spatial distribution. Mediterranean Marine Science 11: 381–493,.</w:t>
      </w:r>
    </w:p>
    <w:p w:rsidR="00867690" w:rsidRDefault="00E64BAB">
      <w:pPr>
        <w:pStyle w:val="normal0"/>
        <w:numPr>
          <w:ilvl w:val="0"/>
          <w:numId w:val="1"/>
        </w:numPr>
        <w:pBdr>
          <w:top w:val="nil"/>
          <w:left w:val="nil"/>
          <w:bottom w:val="nil"/>
          <w:right w:val="nil"/>
          <w:between w:val="nil"/>
        </w:pBdr>
        <w:jc w:val="both"/>
        <w:rPr>
          <w:color w:val="000000"/>
          <w:sz w:val="20"/>
          <w:szCs w:val="20"/>
        </w:rPr>
      </w:pPr>
      <w:proofErr w:type="spellStart"/>
      <w:r>
        <w:rPr>
          <w:color w:val="000000"/>
          <w:sz w:val="20"/>
          <w:szCs w:val="20"/>
        </w:rPr>
        <w:t>Zheng</w:t>
      </w:r>
      <w:proofErr w:type="spellEnd"/>
      <w:r>
        <w:rPr>
          <w:color w:val="000000"/>
          <w:sz w:val="20"/>
          <w:szCs w:val="20"/>
        </w:rPr>
        <w:t xml:space="preserve"> C. K., Wang, S. J. and S. J. Liu, 1987. </w:t>
      </w:r>
      <w:proofErr w:type="spellStart"/>
      <w:r>
        <w:rPr>
          <w:color w:val="000000"/>
          <w:sz w:val="20"/>
          <w:szCs w:val="20"/>
        </w:rPr>
        <w:t>Phycoculture</w:t>
      </w:r>
      <w:proofErr w:type="spellEnd"/>
      <w:r>
        <w:rPr>
          <w:color w:val="000000"/>
          <w:sz w:val="20"/>
          <w:szCs w:val="20"/>
        </w:rPr>
        <w:t>. Shanghai House of Science and Technology Publication. pp. 225–254.</w:t>
      </w:r>
    </w:p>
    <w:p w:rsidR="00867690" w:rsidRDefault="00867690">
      <w:pPr>
        <w:pStyle w:val="normal0"/>
        <w:ind w:left="425" w:hanging="425"/>
        <w:jc w:val="both"/>
        <w:rPr>
          <w:sz w:val="20"/>
          <w:szCs w:val="20"/>
        </w:rPr>
        <w:sectPr w:rsidR="00867690">
          <w:type w:val="continuous"/>
          <w:pgSz w:w="12240" w:h="15840"/>
          <w:pgMar w:top="1440" w:right="1440" w:bottom="1440" w:left="1440" w:header="720" w:footer="720" w:gutter="0"/>
          <w:cols w:num="2" w:space="720" w:equalWidth="0">
            <w:col w:w="4380" w:space="600"/>
            <w:col w:w="4380" w:space="0"/>
          </w:cols>
        </w:sectPr>
      </w:pPr>
    </w:p>
    <w:p w:rsidR="00867690" w:rsidRDefault="00867690">
      <w:pPr>
        <w:pStyle w:val="normal0"/>
        <w:ind w:left="425" w:hanging="425"/>
        <w:jc w:val="both"/>
        <w:rPr>
          <w:sz w:val="20"/>
          <w:szCs w:val="20"/>
        </w:rPr>
      </w:pPr>
    </w:p>
    <w:p w:rsidR="00867690" w:rsidRDefault="00867690">
      <w:pPr>
        <w:pStyle w:val="normal0"/>
        <w:ind w:left="425" w:hanging="425"/>
        <w:jc w:val="both"/>
        <w:rPr>
          <w:sz w:val="20"/>
          <w:szCs w:val="20"/>
        </w:rPr>
      </w:pPr>
    </w:p>
    <w:p w:rsidR="00867690" w:rsidRDefault="00867690">
      <w:pPr>
        <w:pStyle w:val="normal0"/>
        <w:ind w:left="425" w:hanging="425"/>
        <w:jc w:val="both"/>
        <w:rPr>
          <w:sz w:val="20"/>
          <w:szCs w:val="20"/>
        </w:rPr>
      </w:pPr>
    </w:p>
    <w:p w:rsidR="00867690" w:rsidRDefault="00E64BAB">
      <w:pPr>
        <w:pStyle w:val="normal0"/>
        <w:jc w:val="both"/>
        <w:rPr>
          <w:sz w:val="20"/>
          <w:szCs w:val="20"/>
        </w:rPr>
      </w:pPr>
      <w:r>
        <w:rPr>
          <w:sz w:val="20"/>
          <w:szCs w:val="20"/>
        </w:rPr>
        <w:t>4/8/2019</w:t>
      </w:r>
    </w:p>
    <w:sectPr w:rsidR="00867690" w:rsidSect="00867690">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7A7" w:rsidRDefault="00F337A7" w:rsidP="00867690">
      <w:r>
        <w:separator/>
      </w:r>
    </w:p>
  </w:endnote>
  <w:endnote w:type="continuationSeparator" w:id="0">
    <w:p w:rsidR="00F337A7" w:rsidRDefault="00F337A7" w:rsidP="00867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90" w:rsidRDefault="00703CB3">
    <w:pPr>
      <w:pStyle w:val="normal0"/>
      <w:jc w:val="center"/>
      <w:rPr>
        <w:sz w:val="20"/>
        <w:szCs w:val="20"/>
      </w:rPr>
    </w:pPr>
    <w:r>
      <w:rPr>
        <w:sz w:val="20"/>
        <w:szCs w:val="20"/>
      </w:rPr>
      <w:fldChar w:fldCharType="begin"/>
    </w:r>
    <w:r w:rsidR="00E64BAB">
      <w:rPr>
        <w:sz w:val="20"/>
        <w:szCs w:val="20"/>
      </w:rPr>
      <w:instrText>PAGE</w:instrText>
    </w:r>
    <w:r>
      <w:rPr>
        <w:sz w:val="20"/>
        <w:szCs w:val="20"/>
      </w:rPr>
      <w:fldChar w:fldCharType="separate"/>
    </w:r>
    <w:r w:rsidR="000356CD">
      <w:rPr>
        <w:noProof/>
        <w:sz w:val="20"/>
        <w:szCs w:val="20"/>
      </w:rPr>
      <w:t>26</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7A7" w:rsidRDefault="00F337A7" w:rsidP="00867690">
      <w:r>
        <w:separator/>
      </w:r>
    </w:p>
  </w:footnote>
  <w:footnote w:type="continuationSeparator" w:id="0">
    <w:p w:rsidR="00F337A7" w:rsidRDefault="00F337A7" w:rsidP="00867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90" w:rsidRDefault="00E64BAB">
    <w:pPr>
      <w:pStyle w:val="normal0"/>
      <w:pBdr>
        <w:bottom w:val="single" w:sz="12" w:space="1" w:color="000000"/>
      </w:pBdr>
      <w:tabs>
        <w:tab w:val="left" w:pos="851"/>
        <w:tab w:val="right" w:pos="8364"/>
      </w:tabs>
      <w:jc w:val="both"/>
      <w:rPr>
        <w:sz w:val="20"/>
        <w:szCs w:val="20"/>
      </w:rPr>
    </w:pPr>
    <w:r>
      <w:rPr>
        <w:color w:val="000000"/>
        <w:sz w:val="20"/>
        <w:szCs w:val="20"/>
      </w:rPr>
      <w:tab/>
      <w:t xml:space="preserve">Researcher </w:t>
    </w:r>
    <w:r>
      <w:rPr>
        <w:sz w:val="20"/>
        <w:szCs w:val="20"/>
      </w:rPr>
      <w:t xml:space="preserve">2019;11(4)    </w:t>
    </w:r>
    <w:r>
      <w:rPr>
        <w:sz w:val="20"/>
        <w:szCs w:val="20"/>
      </w:rPr>
      <w:tab/>
      <w:t xml:space="preserve">     </w:t>
    </w:r>
    <w:hyperlink r:id="rId1">
      <w:r>
        <w:rPr>
          <w:color w:val="0000FF"/>
          <w:sz w:val="20"/>
          <w:szCs w:val="20"/>
          <w:u w:val="single"/>
        </w:rPr>
        <w:t>http://www.sciencepub.net/researcher</w:t>
      </w:r>
    </w:hyperlink>
  </w:p>
  <w:p w:rsidR="00867690" w:rsidRDefault="00867690">
    <w:pPr>
      <w:pStyle w:val="normal0"/>
      <w:tabs>
        <w:tab w:val="left" w:pos="851"/>
        <w:tab w:val="right" w:pos="8364"/>
      </w:tabs>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35EDF"/>
    <w:multiLevelType w:val="multilevel"/>
    <w:tmpl w:val="969206A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439394C"/>
    <w:multiLevelType w:val="multilevel"/>
    <w:tmpl w:val="CD86193A"/>
    <w:lvl w:ilvl="0">
      <w:start w:val="1"/>
      <w:numFmt w:val="upperLetter"/>
      <w:lvlText w:val="%1-"/>
      <w:lvlJc w:val="left"/>
      <w:pPr>
        <w:ind w:left="90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useFELayout/>
  </w:compat>
  <w:rsids>
    <w:rsidRoot w:val="00867690"/>
    <w:rsid w:val="000356CD"/>
    <w:rsid w:val="002D5209"/>
    <w:rsid w:val="005C42E9"/>
    <w:rsid w:val="00703CB3"/>
    <w:rsid w:val="00820620"/>
    <w:rsid w:val="00867690"/>
    <w:rsid w:val="009771D9"/>
    <w:rsid w:val="00E64BAB"/>
    <w:rsid w:val="00F33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2E9"/>
  </w:style>
  <w:style w:type="paragraph" w:styleId="Heading1">
    <w:name w:val="heading 1"/>
    <w:basedOn w:val="normal0"/>
    <w:next w:val="normal0"/>
    <w:rsid w:val="00867690"/>
    <w:pPr>
      <w:keepNext/>
      <w:keepLines/>
      <w:spacing w:before="480" w:after="120"/>
      <w:outlineLvl w:val="0"/>
    </w:pPr>
    <w:rPr>
      <w:b/>
      <w:sz w:val="48"/>
      <w:szCs w:val="48"/>
    </w:rPr>
  </w:style>
  <w:style w:type="paragraph" w:styleId="Heading2">
    <w:name w:val="heading 2"/>
    <w:basedOn w:val="normal0"/>
    <w:next w:val="normal0"/>
    <w:rsid w:val="00867690"/>
    <w:pPr>
      <w:keepNext/>
      <w:keepLines/>
      <w:spacing w:before="360" w:after="80"/>
      <w:outlineLvl w:val="1"/>
    </w:pPr>
    <w:rPr>
      <w:b/>
      <w:sz w:val="36"/>
      <w:szCs w:val="36"/>
    </w:rPr>
  </w:style>
  <w:style w:type="paragraph" w:styleId="Heading3">
    <w:name w:val="heading 3"/>
    <w:basedOn w:val="normal0"/>
    <w:next w:val="normal0"/>
    <w:rsid w:val="00867690"/>
    <w:pPr>
      <w:keepNext/>
      <w:keepLines/>
      <w:spacing w:before="280" w:after="80"/>
      <w:outlineLvl w:val="2"/>
    </w:pPr>
    <w:rPr>
      <w:b/>
      <w:sz w:val="28"/>
      <w:szCs w:val="28"/>
    </w:rPr>
  </w:style>
  <w:style w:type="paragraph" w:styleId="Heading4">
    <w:name w:val="heading 4"/>
    <w:basedOn w:val="normal0"/>
    <w:next w:val="normal0"/>
    <w:rsid w:val="00867690"/>
    <w:pPr>
      <w:keepNext/>
      <w:keepLines/>
      <w:spacing w:before="240" w:after="40"/>
      <w:outlineLvl w:val="3"/>
    </w:pPr>
    <w:rPr>
      <w:b/>
    </w:rPr>
  </w:style>
  <w:style w:type="paragraph" w:styleId="Heading5">
    <w:name w:val="heading 5"/>
    <w:basedOn w:val="normal0"/>
    <w:next w:val="normal0"/>
    <w:rsid w:val="00867690"/>
    <w:pPr>
      <w:keepNext/>
      <w:keepLines/>
      <w:spacing w:before="220" w:after="40"/>
      <w:outlineLvl w:val="4"/>
    </w:pPr>
    <w:rPr>
      <w:b/>
      <w:sz w:val="22"/>
      <w:szCs w:val="22"/>
    </w:rPr>
  </w:style>
  <w:style w:type="paragraph" w:styleId="Heading6">
    <w:name w:val="heading 6"/>
    <w:basedOn w:val="normal0"/>
    <w:next w:val="normal0"/>
    <w:rsid w:val="0086769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67690"/>
  </w:style>
  <w:style w:type="paragraph" w:styleId="Title">
    <w:name w:val="Title"/>
    <w:basedOn w:val="normal0"/>
    <w:next w:val="normal0"/>
    <w:rsid w:val="00867690"/>
    <w:pPr>
      <w:keepNext/>
      <w:keepLines/>
      <w:spacing w:before="480" w:after="120"/>
    </w:pPr>
    <w:rPr>
      <w:b/>
      <w:sz w:val="72"/>
      <w:szCs w:val="72"/>
    </w:rPr>
  </w:style>
  <w:style w:type="paragraph" w:styleId="Subtitle">
    <w:name w:val="Subtitle"/>
    <w:basedOn w:val="normal0"/>
    <w:next w:val="normal0"/>
    <w:rsid w:val="00867690"/>
    <w:pPr>
      <w:keepNext/>
      <w:keepLines/>
      <w:spacing w:before="360" w:after="80"/>
    </w:pPr>
    <w:rPr>
      <w:rFonts w:ascii="Georgia" w:eastAsia="Georgia" w:hAnsi="Georgia" w:cs="Georgia"/>
      <w:i/>
      <w:color w:val="666666"/>
      <w:sz w:val="48"/>
      <w:szCs w:val="48"/>
    </w:rPr>
  </w:style>
  <w:style w:type="table" w:customStyle="1" w:styleId="a">
    <w:basedOn w:val="TableNormal"/>
    <w:rsid w:val="00867690"/>
    <w:tblPr>
      <w:tblStyleRowBandSize w:val="1"/>
      <w:tblStyleColBandSize w:val="1"/>
      <w:tblInd w:w="0" w:type="dxa"/>
      <w:tblCellMar>
        <w:top w:w="0" w:type="dxa"/>
        <w:left w:w="57" w:type="dxa"/>
        <w:bottom w:w="0" w:type="dxa"/>
        <w:right w:w="57" w:type="dxa"/>
      </w:tblCellMar>
    </w:tblPr>
  </w:style>
  <w:style w:type="table" w:customStyle="1" w:styleId="a0">
    <w:basedOn w:val="TableNormal"/>
    <w:rsid w:val="00867690"/>
    <w:tblPr>
      <w:tblStyleRowBandSize w:val="1"/>
      <w:tblStyleColBandSize w:val="1"/>
      <w:tblInd w:w="0" w:type="dxa"/>
      <w:tblCellMar>
        <w:top w:w="0" w:type="dxa"/>
        <w:left w:w="57" w:type="dxa"/>
        <w:bottom w:w="0" w:type="dxa"/>
        <w:right w:w="57" w:type="dxa"/>
      </w:tblCellMar>
    </w:tblPr>
  </w:style>
  <w:style w:type="table" w:customStyle="1" w:styleId="a1">
    <w:basedOn w:val="TableNormal"/>
    <w:rsid w:val="00867690"/>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867690"/>
    <w:tblPr>
      <w:tblStyleRowBandSize w:val="1"/>
      <w:tblStyleColBandSize w:val="1"/>
      <w:tblInd w:w="0" w:type="dxa"/>
      <w:tblCellMar>
        <w:top w:w="0" w:type="dxa"/>
        <w:left w:w="57" w:type="dxa"/>
        <w:bottom w:w="0" w:type="dxa"/>
        <w:right w:w="57" w:type="dxa"/>
      </w:tblCellMar>
    </w:tblPr>
  </w:style>
  <w:style w:type="table" w:customStyle="1" w:styleId="a3">
    <w:basedOn w:val="TableNormal"/>
    <w:rsid w:val="00867690"/>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867690"/>
    <w:tblPr>
      <w:tblStyleRowBandSize w:val="1"/>
      <w:tblStyleColBandSize w:val="1"/>
      <w:tblInd w:w="0" w:type="dxa"/>
      <w:tblCellMar>
        <w:top w:w="0" w:type="dxa"/>
        <w:left w:w="57" w:type="dxa"/>
        <w:bottom w:w="0" w:type="dxa"/>
        <w:right w:w="57" w:type="dxa"/>
      </w:tblCellMar>
    </w:tblPr>
  </w:style>
  <w:style w:type="table" w:customStyle="1" w:styleId="a5">
    <w:basedOn w:val="TableNormal"/>
    <w:rsid w:val="00867690"/>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867690"/>
    <w:tblPr>
      <w:tblStyleRowBandSize w:val="1"/>
      <w:tblStyleColBandSize w:val="1"/>
      <w:tblInd w:w="0" w:type="dxa"/>
      <w:tblCellMar>
        <w:top w:w="0" w:type="dxa"/>
        <w:left w:w="57" w:type="dxa"/>
        <w:bottom w:w="0" w:type="dxa"/>
        <w:right w:w="57" w:type="dxa"/>
      </w:tblCellMar>
    </w:tblPr>
  </w:style>
  <w:style w:type="table" w:customStyle="1" w:styleId="a7">
    <w:basedOn w:val="TableNormal"/>
    <w:rsid w:val="00867690"/>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867690"/>
    <w:tblPr>
      <w:tblStyleRowBandSize w:val="1"/>
      <w:tblStyleColBandSize w:val="1"/>
      <w:tblInd w:w="0" w:type="dxa"/>
      <w:tblCellMar>
        <w:top w:w="0" w:type="dxa"/>
        <w:left w:w="57" w:type="dxa"/>
        <w:bottom w:w="0" w:type="dxa"/>
        <w:right w:w="57" w:type="dxa"/>
      </w:tblCellMar>
    </w:tblPr>
  </w:style>
  <w:style w:type="paragraph" w:styleId="BalloonText">
    <w:name w:val="Balloon Text"/>
    <w:basedOn w:val="Normal"/>
    <w:link w:val="BalloonTextChar"/>
    <w:uiPriority w:val="99"/>
    <w:semiHidden/>
    <w:unhideWhenUsed/>
    <w:rsid w:val="002D5209"/>
    <w:rPr>
      <w:rFonts w:ascii="Tahoma" w:hAnsi="Tahoma" w:cs="Tahoma"/>
      <w:sz w:val="16"/>
      <w:szCs w:val="16"/>
    </w:rPr>
  </w:style>
  <w:style w:type="character" w:customStyle="1" w:styleId="BalloonTextChar">
    <w:name w:val="Balloon Text Char"/>
    <w:basedOn w:val="DefaultParagraphFont"/>
    <w:link w:val="BalloonText"/>
    <w:uiPriority w:val="99"/>
    <w:semiHidden/>
    <w:rsid w:val="002D5209"/>
    <w:rPr>
      <w:rFonts w:ascii="Tahoma" w:hAnsi="Tahoma" w:cs="Tahoma"/>
      <w:sz w:val="16"/>
      <w:szCs w:val="16"/>
    </w:rPr>
  </w:style>
  <w:style w:type="character" w:styleId="Hyperlink">
    <w:name w:val="Hyperlink"/>
    <w:basedOn w:val="DefaultParagraphFont"/>
    <w:uiPriority w:val="99"/>
    <w:semiHidden/>
    <w:unhideWhenUsed/>
    <w:rsid w:val="000356CD"/>
    <w:rPr>
      <w:color w:val="0000FF"/>
      <w:u w:val="single"/>
    </w:rPr>
  </w:style>
</w:styles>
</file>

<file path=word/webSettings.xml><?xml version="1.0" encoding="utf-8"?>
<w:webSettings xmlns:r="http://schemas.openxmlformats.org/officeDocument/2006/relationships" xmlns:w="http://schemas.openxmlformats.org/wordprocessingml/2006/main">
  <w:divs>
    <w:div w:id="174229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drmonazaki@yahoo.co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419.04"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4596</Words>
  <Characters>26199</Characters>
  <Application>Microsoft Office Word</Application>
  <DocSecurity>0</DocSecurity>
  <Lines>218</Lines>
  <Paragraphs>61</Paragraphs>
  <ScaleCrop>false</ScaleCrop>
  <Company/>
  <LinksUpToDate>false</LinksUpToDate>
  <CharactersWithSpaces>30734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2019-04-10T19:17:00Z</cp:lastPrinted>
  <dcterms:created xsi:type="dcterms:W3CDTF">2019-04-10T16:46:00Z</dcterms:created>
  <dcterms:modified xsi:type="dcterms:W3CDTF">2019-04-10T19:23:00Z</dcterms:modified>
</cp:coreProperties>
</file>