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41" w:rsidRPr="009E47A6" w:rsidRDefault="009F006F" w:rsidP="00B91206">
      <w:pPr>
        <w:snapToGrid w:val="0"/>
        <w:jc w:val="center"/>
        <w:rPr>
          <w:b/>
          <w:sz w:val="20"/>
          <w:szCs w:val="20"/>
        </w:rPr>
      </w:pPr>
      <w:r w:rsidRPr="009E47A6">
        <w:rPr>
          <w:b/>
          <w:bCs/>
          <w:sz w:val="20"/>
          <w:szCs w:val="20"/>
        </w:rPr>
        <w:t xml:space="preserve">Recent Modalities in Management of </w:t>
      </w:r>
      <w:r w:rsidR="006146B9" w:rsidRPr="009E47A6">
        <w:rPr>
          <w:b/>
          <w:bCs/>
          <w:sz w:val="20"/>
          <w:szCs w:val="20"/>
        </w:rPr>
        <w:t xml:space="preserve">Charcot Joint </w:t>
      </w:r>
      <w:r w:rsidRPr="009E47A6">
        <w:rPr>
          <w:b/>
          <w:bCs/>
          <w:sz w:val="20"/>
          <w:szCs w:val="20"/>
        </w:rPr>
        <w:t>in Diabetic Foot</w:t>
      </w:r>
    </w:p>
    <w:p w:rsidR="00AE1B41" w:rsidRPr="009E47A6" w:rsidRDefault="00AE1B41" w:rsidP="00B91206">
      <w:pPr>
        <w:snapToGrid w:val="0"/>
        <w:jc w:val="center"/>
        <w:rPr>
          <w:sz w:val="20"/>
          <w:szCs w:val="20"/>
        </w:rPr>
      </w:pPr>
    </w:p>
    <w:p w:rsidR="00AE1B41" w:rsidRPr="009E47A6" w:rsidRDefault="009F006F" w:rsidP="00B91206">
      <w:pPr>
        <w:snapToGrid w:val="0"/>
        <w:jc w:val="center"/>
        <w:rPr>
          <w:sz w:val="20"/>
          <w:szCs w:val="20"/>
          <w:lang w:eastAsia="zh-CN"/>
        </w:rPr>
      </w:pPr>
      <w:r w:rsidRPr="009E47A6">
        <w:rPr>
          <w:sz w:val="20"/>
          <w:szCs w:val="20"/>
        </w:rPr>
        <w:t>Walid Atef Alian, Mostafa Omar Abdelaziz</w:t>
      </w:r>
      <w:r w:rsidR="00CC7A69" w:rsidRPr="009E47A6">
        <w:rPr>
          <w:sz w:val="20"/>
          <w:szCs w:val="20"/>
        </w:rPr>
        <w:t xml:space="preserve"> and </w:t>
      </w:r>
      <w:r w:rsidRPr="009E47A6">
        <w:rPr>
          <w:sz w:val="20"/>
          <w:szCs w:val="20"/>
        </w:rPr>
        <w:t>Alaaeldin Abdallah Ali Gomah Elghannam</w:t>
      </w:r>
    </w:p>
    <w:p w:rsidR="00AE1B41" w:rsidRPr="009E47A6" w:rsidRDefault="00AE1B41" w:rsidP="00B91206">
      <w:pPr>
        <w:snapToGrid w:val="0"/>
        <w:jc w:val="center"/>
        <w:rPr>
          <w:sz w:val="20"/>
          <w:szCs w:val="20"/>
          <w:lang w:eastAsia="zh-CN"/>
        </w:rPr>
      </w:pPr>
    </w:p>
    <w:p w:rsidR="009F006F" w:rsidRPr="009E47A6" w:rsidRDefault="009F006F" w:rsidP="00B91206">
      <w:pPr>
        <w:snapToGrid w:val="0"/>
        <w:jc w:val="center"/>
        <w:rPr>
          <w:sz w:val="20"/>
          <w:szCs w:val="20"/>
        </w:rPr>
      </w:pPr>
      <w:r w:rsidRPr="009E47A6">
        <w:rPr>
          <w:sz w:val="20"/>
          <w:szCs w:val="20"/>
        </w:rPr>
        <w:t>Department of General and Oncology Surgery, Faculty of Medicine – Ain Shams University</w:t>
      </w:r>
    </w:p>
    <w:p w:rsidR="00AE1B41" w:rsidRPr="009E47A6" w:rsidRDefault="005E301C" w:rsidP="00B91206">
      <w:pPr>
        <w:snapToGrid w:val="0"/>
        <w:jc w:val="center"/>
        <w:rPr>
          <w:b/>
          <w:bCs/>
          <w:sz w:val="20"/>
          <w:szCs w:val="20"/>
        </w:rPr>
      </w:pPr>
      <w:hyperlink r:id="rId7" w:history="1">
        <w:r w:rsidR="006146B9" w:rsidRPr="009E47A6">
          <w:rPr>
            <w:rStyle w:val="Hyperlink"/>
            <w:sz w:val="20"/>
            <w:szCs w:val="20"/>
          </w:rPr>
          <w:t>alaa.ghannam545@gmail.com</w:t>
        </w:r>
      </w:hyperlink>
    </w:p>
    <w:p w:rsidR="00AE1B41" w:rsidRPr="009E47A6" w:rsidRDefault="00AE1B41" w:rsidP="00B91206">
      <w:pPr>
        <w:snapToGrid w:val="0"/>
        <w:jc w:val="center"/>
        <w:rPr>
          <w:b/>
          <w:bCs/>
          <w:sz w:val="20"/>
          <w:szCs w:val="20"/>
        </w:rPr>
      </w:pPr>
    </w:p>
    <w:p w:rsidR="00C01C23" w:rsidRPr="009E47A6" w:rsidRDefault="006146B9" w:rsidP="00B91206">
      <w:pPr>
        <w:snapToGrid w:val="0"/>
        <w:jc w:val="both"/>
        <w:rPr>
          <w:bCs/>
          <w:sz w:val="20"/>
          <w:szCs w:val="20"/>
          <w:lang w:bidi="en-US"/>
        </w:rPr>
      </w:pPr>
      <w:r w:rsidRPr="009E47A6">
        <w:rPr>
          <w:b/>
          <w:bCs/>
          <w:sz w:val="20"/>
          <w:szCs w:val="20"/>
        </w:rPr>
        <w:t xml:space="preserve">Abstract: </w:t>
      </w:r>
      <w:r w:rsidR="00CD76C8" w:rsidRPr="009E47A6">
        <w:rPr>
          <w:b/>
          <w:bCs/>
          <w:sz w:val="20"/>
          <w:szCs w:val="20"/>
        </w:rPr>
        <w:t>Background:</w:t>
      </w:r>
      <w:r w:rsidR="009F006F" w:rsidRPr="009E47A6">
        <w:rPr>
          <w:b/>
          <w:bCs/>
          <w:sz w:val="20"/>
          <w:szCs w:val="20"/>
        </w:rPr>
        <w:t xml:space="preserve"> </w:t>
      </w:r>
      <w:r w:rsidR="009F006F" w:rsidRPr="009E47A6">
        <w:rPr>
          <w:bCs/>
          <w:sz w:val="20"/>
          <w:szCs w:val="20"/>
          <w:lang w:bidi="en-US"/>
        </w:rPr>
        <w:t>Charcot neuroarthropathy is a non-infective, destructive process occurring in patients rendered insensate peripheral neuropathy which is caused mainly by diabetes. Repetitive trauma from standing and walking provides a neuro-traumatic stimulus that leads to dislocation, peri-articular fracture, or both within the ankle.</w:t>
      </w:r>
      <w:r w:rsidRPr="009E47A6">
        <w:rPr>
          <w:bCs/>
          <w:sz w:val="20"/>
          <w:szCs w:val="20"/>
          <w:lang w:bidi="en-US"/>
        </w:rPr>
        <w:t xml:space="preserve"> </w:t>
      </w:r>
      <w:r w:rsidR="00CD76C8" w:rsidRPr="009E47A6">
        <w:rPr>
          <w:b/>
          <w:bCs/>
          <w:sz w:val="20"/>
          <w:szCs w:val="20"/>
        </w:rPr>
        <w:t>Objective:</w:t>
      </w:r>
      <w:r w:rsidR="009F006F" w:rsidRPr="009E47A6">
        <w:rPr>
          <w:b/>
          <w:bCs/>
          <w:sz w:val="20"/>
          <w:szCs w:val="20"/>
        </w:rPr>
        <w:t xml:space="preserve"> </w:t>
      </w:r>
      <w:r w:rsidR="009F006F" w:rsidRPr="009E47A6">
        <w:rPr>
          <w:bCs/>
          <w:sz w:val="20"/>
          <w:szCs w:val="20"/>
          <w:lang w:bidi="ar-EG"/>
        </w:rPr>
        <w:t>The objective of our systematic review is to outlines the current and recent clinical approach to this disabling medical condition. The purpose of the present study is to provide a systematic review of studies published from 2000 to 2017 and to review the indications for surgery.</w:t>
      </w:r>
      <w:r w:rsidR="002C2C61" w:rsidRPr="009E47A6">
        <w:rPr>
          <w:b/>
          <w:bCs/>
          <w:sz w:val="20"/>
          <w:szCs w:val="20"/>
        </w:rPr>
        <w:t xml:space="preserve"> Patients and Methods</w:t>
      </w:r>
      <w:r w:rsidR="00CD76C8" w:rsidRPr="009E47A6">
        <w:rPr>
          <w:b/>
          <w:bCs/>
          <w:sz w:val="20"/>
          <w:szCs w:val="20"/>
        </w:rPr>
        <w:t>:</w:t>
      </w:r>
      <w:r w:rsidR="00AE1B41" w:rsidRPr="009E47A6">
        <w:rPr>
          <w:b/>
          <w:bCs/>
          <w:sz w:val="20"/>
          <w:szCs w:val="20"/>
        </w:rPr>
        <w:t xml:space="preserve"> </w:t>
      </w:r>
      <w:r w:rsidR="009F006F" w:rsidRPr="009E47A6">
        <w:rPr>
          <w:bCs/>
          <w:sz w:val="20"/>
          <w:szCs w:val="20"/>
          <w:lang w:bidi="en-US"/>
        </w:rPr>
        <w:t>In our review, 405 patients underwent different treatment modalities of which: 110 underwent non-surgical treatment with variable conservative modalities. While the remaining 295 underwent surgical treatment with different fixation modalities and operative techniques.</w:t>
      </w:r>
      <w:r w:rsidR="002C2C61" w:rsidRPr="009E47A6">
        <w:rPr>
          <w:b/>
          <w:bCs/>
          <w:sz w:val="20"/>
          <w:szCs w:val="20"/>
        </w:rPr>
        <w:t xml:space="preserve"> </w:t>
      </w:r>
      <w:r w:rsidR="00CD76C8" w:rsidRPr="009E47A6">
        <w:rPr>
          <w:b/>
          <w:bCs/>
          <w:sz w:val="20"/>
          <w:szCs w:val="20"/>
        </w:rPr>
        <w:t>Results:</w:t>
      </w:r>
      <w:r w:rsidR="002C2C61" w:rsidRPr="009E47A6">
        <w:rPr>
          <w:b/>
          <w:bCs/>
          <w:sz w:val="20"/>
          <w:szCs w:val="20"/>
        </w:rPr>
        <w:t xml:space="preserve"> </w:t>
      </w:r>
      <w:r w:rsidR="00C01C23" w:rsidRPr="009E47A6">
        <w:rPr>
          <w:bCs/>
          <w:sz w:val="20"/>
          <w:szCs w:val="20"/>
          <w:lang w:val="en-GB" w:bidi="ar-EG"/>
        </w:rPr>
        <w:t>Four paper are included in the group of Non-surgical management, one of them are prospective study level of evidence IV, one is double-blinded randomized controlled trial level of evidence</w:t>
      </w:r>
      <w:r w:rsidR="00AE1B41" w:rsidRPr="009E47A6">
        <w:rPr>
          <w:bCs/>
          <w:sz w:val="20"/>
          <w:szCs w:val="20"/>
          <w:lang w:val="en-GB" w:bidi="ar-EG"/>
        </w:rPr>
        <w:t xml:space="preserve"> </w:t>
      </w:r>
      <w:r w:rsidR="00C01C23" w:rsidRPr="009E47A6">
        <w:rPr>
          <w:bCs/>
          <w:sz w:val="20"/>
          <w:szCs w:val="20"/>
          <w:lang w:val="en-GB" w:bidi="ar-EG"/>
        </w:rPr>
        <w:t>I and</w:t>
      </w:r>
      <w:r w:rsidR="00C01C23" w:rsidRPr="009E47A6">
        <w:rPr>
          <w:bCs/>
          <w:sz w:val="20"/>
          <w:szCs w:val="20"/>
          <w:lang w:bidi="ar-EG"/>
        </w:rPr>
        <w:t xml:space="preserve"> two is retrospective study level of evidence </w:t>
      </w:r>
      <w:r w:rsidR="00C01C23" w:rsidRPr="009E47A6">
        <w:rPr>
          <w:bCs/>
          <w:sz w:val="20"/>
          <w:szCs w:val="20"/>
          <w:lang w:bidi="en-US"/>
        </w:rPr>
        <w:t xml:space="preserve">III. </w:t>
      </w:r>
      <w:r w:rsidR="00C01C23" w:rsidRPr="009E47A6">
        <w:rPr>
          <w:bCs/>
          <w:sz w:val="20"/>
          <w:szCs w:val="20"/>
          <w:lang w:bidi="ar-EG"/>
        </w:rPr>
        <w:t>Sixteen papers are included in the group of surgical management of Charcot Arthropathy, ten of them are prospective study level of evidence</w:t>
      </w:r>
      <w:r w:rsidR="00AE1B41" w:rsidRPr="009E47A6">
        <w:rPr>
          <w:bCs/>
          <w:sz w:val="20"/>
          <w:szCs w:val="20"/>
          <w:lang w:bidi="ar-EG"/>
        </w:rPr>
        <w:t xml:space="preserve"> </w:t>
      </w:r>
      <w:r w:rsidR="00C01C23" w:rsidRPr="009E47A6">
        <w:rPr>
          <w:bCs/>
          <w:sz w:val="20"/>
          <w:szCs w:val="20"/>
          <w:lang w:bidi="ar-EG"/>
        </w:rPr>
        <w:t>IV, one is cohort study level of evidence</w:t>
      </w:r>
      <w:r w:rsidR="00AE1B41" w:rsidRPr="009E47A6">
        <w:rPr>
          <w:bCs/>
          <w:sz w:val="20"/>
          <w:szCs w:val="20"/>
          <w:lang w:bidi="ar-EG"/>
        </w:rPr>
        <w:t xml:space="preserve"> </w:t>
      </w:r>
      <w:r w:rsidR="00C01C23" w:rsidRPr="009E47A6">
        <w:rPr>
          <w:bCs/>
          <w:sz w:val="20"/>
          <w:szCs w:val="20"/>
          <w:lang w:bidi="ar-EG"/>
        </w:rPr>
        <w:t xml:space="preserve">III and five are retrospective case series level of evidence IV. </w:t>
      </w:r>
    </w:p>
    <w:p w:rsidR="00B91206" w:rsidRPr="009E47A6" w:rsidRDefault="00B91206" w:rsidP="00B91206">
      <w:pPr>
        <w:snapToGrid w:val="0"/>
        <w:jc w:val="both"/>
        <w:rPr>
          <w:sz w:val="20"/>
          <w:szCs w:val="20"/>
          <w:lang w:eastAsia="zh-CN"/>
        </w:rPr>
      </w:pPr>
      <w:r w:rsidRPr="009E47A6">
        <w:rPr>
          <w:rFonts w:hint="eastAsia"/>
          <w:sz w:val="20"/>
          <w:szCs w:val="20"/>
        </w:rPr>
        <w:t>[</w:t>
      </w:r>
      <w:r w:rsidRPr="009E47A6">
        <w:rPr>
          <w:sz w:val="20"/>
          <w:szCs w:val="20"/>
        </w:rPr>
        <w:t>Walid Atef Alian, Mostafa Omar Abdelaziz and Alaaeldin Abdallah Ali Gomah Elghannam.</w:t>
      </w:r>
      <w:r w:rsidRPr="009E47A6">
        <w:rPr>
          <w:rFonts w:hint="eastAsia"/>
          <w:b/>
          <w:bCs/>
          <w:sz w:val="20"/>
          <w:szCs w:val="20"/>
          <w:lang w:bidi="fa-IR"/>
        </w:rPr>
        <w:t xml:space="preserve"> </w:t>
      </w:r>
      <w:r w:rsidRPr="009E47A6">
        <w:rPr>
          <w:b/>
          <w:bCs/>
          <w:sz w:val="20"/>
          <w:szCs w:val="20"/>
        </w:rPr>
        <w:t>Recent Modalities in Management of Charcot Joint in Diabetic Foot</w:t>
      </w:r>
      <w:r w:rsidRPr="009E47A6">
        <w:rPr>
          <w:rFonts w:eastAsia="Times New Roman"/>
          <w:b/>
          <w:bCs/>
          <w:sz w:val="20"/>
          <w:szCs w:val="20"/>
          <w:lang w:bidi="fa-IR"/>
        </w:rPr>
        <w:t>.</w:t>
      </w:r>
      <w:r w:rsidRPr="009E47A6">
        <w:rPr>
          <w:bCs/>
          <w:i/>
          <w:sz w:val="20"/>
          <w:szCs w:val="20"/>
        </w:rPr>
        <w:t xml:space="preserve"> Researcher</w:t>
      </w:r>
      <w:r w:rsidRPr="009E47A6">
        <w:rPr>
          <w:bCs/>
          <w:sz w:val="20"/>
          <w:szCs w:val="20"/>
        </w:rPr>
        <w:t xml:space="preserve"> 201</w:t>
      </w:r>
      <w:r w:rsidRPr="009E47A6">
        <w:rPr>
          <w:rFonts w:hint="eastAsia"/>
          <w:bCs/>
          <w:sz w:val="20"/>
          <w:szCs w:val="20"/>
        </w:rPr>
        <w:t>8</w:t>
      </w:r>
      <w:r w:rsidRPr="009E47A6">
        <w:rPr>
          <w:bCs/>
          <w:sz w:val="20"/>
          <w:szCs w:val="20"/>
        </w:rPr>
        <w:t>;</w:t>
      </w:r>
      <w:r w:rsidRPr="009E47A6">
        <w:rPr>
          <w:rFonts w:hint="eastAsia"/>
          <w:bCs/>
          <w:sz w:val="20"/>
          <w:szCs w:val="20"/>
        </w:rPr>
        <w:t>10</w:t>
      </w:r>
      <w:r w:rsidRPr="009E47A6">
        <w:rPr>
          <w:bCs/>
          <w:sz w:val="20"/>
          <w:szCs w:val="20"/>
        </w:rPr>
        <w:t>(</w:t>
      </w:r>
      <w:r w:rsidRPr="009E47A6">
        <w:rPr>
          <w:rFonts w:hint="eastAsia"/>
          <w:bCs/>
          <w:sz w:val="20"/>
          <w:szCs w:val="20"/>
        </w:rPr>
        <w:t>9</w:t>
      </w:r>
      <w:r w:rsidRPr="009E47A6">
        <w:rPr>
          <w:bCs/>
          <w:sz w:val="20"/>
          <w:szCs w:val="20"/>
        </w:rPr>
        <w:t>):</w:t>
      </w:r>
      <w:r w:rsidR="00AC7B7B" w:rsidRPr="009E47A6">
        <w:rPr>
          <w:noProof/>
          <w:color w:val="000000"/>
          <w:sz w:val="20"/>
          <w:szCs w:val="20"/>
        </w:rPr>
        <w:t>8-1</w:t>
      </w:r>
      <w:r w:rsidR="009E47A6">
        <w:rPr>
          <w:rFonts w:hint="eastAsia"/>
          <w:noProof/>
          <w:color w:val="000000"/>
          <w:sz w:val="20"/>
          <w:szCs w:val="20"/>
          <w:lang w:eastAsia="zh-CN"/>
        </w:rPr>
        <w:t>5</w:t>
      </w:r>
      <w:r w:rsidRPr="009E47A6">
        <w:rPr>
          <w:bCs/>
          <w:sz w:val="20"/>
          <w:szCs w:val="20"/>
        </w:rPr>
        <w:t xml:space="preserve">]. </w:t>
      </w:r>
      <w:r w:rsidRPr="009E47A6">
        <w:rPr>
          <w:sz w:val="20"/>
          <w:szCs w:val="20"/>
        </w:rPr>
        <w:t>ISSN 1553-9865 (print); ISSN 2163-8950 (online)</w:t>
      </w:r>
      <w:r w:rsidRPr="009E47A6">
        <w:rPr>
          <w:bCs/>
          <w:sz w:val="20"/>
          <w:szCs w:val="20"/>
        </w:rPr>
        <w:t xml:space="preserve">. </w:t>
      </w:r>
      <w:hyperlink r:id="rId8" w:history="1">
        <w:r w:rsidRPr="009E47A6">
          <w:rPr>
            <w:rStyle w:val="Hyperlink"/>
            <w:sz w:val="20"/>
            <w:szCs w:val="20"/>
          </w:rPr>
          <w:t>http://www.sciencepub.net/researcher</w:t>
        </w:r>
      </w:hyperlink>
      <w:r w:rsidRPr="009E47A6">
        <w:rPr>
          <w:bCs/>
          <w:sz w:val="20"/>
          <w:szCs w:val="20"/>
        </w:rPr>
        <w:t>.</w:t>
      </w:r>
      <w:r w:rsidR="005A63DE">
        <w:rPr>
          <w:rFonts w:hint="eastAsia"/>
          <w:bCs/>
          <w:sz w:val="20"/>
          <w:szCs w:val="20"/>
        </w:rPr>
        <w:t xml:space="preserve"> </w:t>
      </w:r>
      <w:r w:rsidR="005A63DE">
        <w:rPr>
          <w:rFonts w:hint="eastAsia"/>
          <w:bCs/>
          <w:sz w:val="20"/>
          <w:szCs w:val="20"/>
          <w:lang w:eastAsia="zh-CN"/>
        </w:rPr>
        <w:t>2</w:t>
      </w:r>
      <w:r w:rsidRPr="009E47A6">
        <w:rPr>
          <w:rFonts w:hint="eastAsia"/>
          <w:bCs/>
          <w:sz w:val="20"/>
          <w:szCs w:val="20"/>
        </w:rPr>
        <w:t xml:space="preserve">. </w:t>
      </w:r>
      <w:r w:rsidRPr="009E47A6">
        <w:rPr>
          <w:color w:val="000000"/>
          <w:sz w:val="20"/>
          <w:szCs w:val="20"/>
          <w:shd w:val="clear" w:color="auto" w:fill="FFFFFF"/>
        </w:rPr>
        <w:t>doi:</w:t>
      </w:r>
      <w:hyperlink r:id="rId9" w:history="1">
        <w:r w:rsidRPr="009E47A6">
          <w:rPr>
            <w:rStyle w:val="Hyperlink"/>
            <w:sz w:val="20"/>
            <w:szCs w:val="20"/>
            <w:shd w:val="clear" w:color="auto" w:fill="FFFFFF"/>
          </w:rPr>
          <w:t>10.7537/mars</w:t>
        </w:r>
        <w:r w:rsidRPr="009E47A6">
          <w:rPr>
            <w:rStyle w:val="Hyperlink"/>
            <w:rFonts w:hint="eastAsia"/>
            <w:sz w:val="20"/>
            <w:szCs w:val="20"/>
            <w:shd w:val="clear" w:color="auto" w:fill="FFFFFF"/>
          </w:rPr>
          <w:t>r</w:t>
        </w:r>
        <w:r w:rsidRPr="009E47A6">
          <w:rPr>
            <w:rStyle w:val="Hyperlink"/>
            <w:sz w:val="20"/>
            <w:szCs w:val="20"/>
            <w:shd w:val="clear" w:color="auto" w:fill="FFFFFF"/>
          </w:rPr>
          <w:t>sj</w:t>
        </w:r>
        <w:r w:rsidRPr="009E47A6">
          <w:rPr>
            <w:rStyle w:val="Hyperlink"/>
            <w:rFonts w:hint="eastAsia"/>
            <w:sz w:val="20"/>
            <w:szCs w:val="20"/>
            <w:shd w:val="clear" w:color="auto" w:fill="FFFFFF"/>
          </w:rPr>
          <w:t>100918.</w:t>
        </w:r>
        <w:r w:rsidRPr="009E47A6">
          <w:rPr>
            <w:rStyle w:val="Hyperlink"/>
            <w:sz w:val="20"/>
            <w:szCs w:val="20"/>
            <w:shd w:val="clear" w:color="auto" w:fill="FFFFFF"/>
          </w:rPr>
          <w:t>0</w:t>
        </w:r>
        <w:r w:rsidR="005A63DE">
          <w:rPr>
            <w:rStyle w:val="Hyperlink"/>
            <w:rFonts w:hint="eastAsia"/>
            <w:sz w:val="20"/>
            <w:szCs w:val="20"/>
            <w:shd w:val="clear" w:color="auto" w:fill="FFFFFF"/>
            <w:lang w:eastAsia="zh-CN"/>
          </w:rPr>
          <w:t>2</w:t>
        </w:r>
      </w:hyperlink>
      <w:r w:rsidRPr="009E47A6">
        <w:rPr>
          <w:color w:val="000000"/>
          <w:sz w:val="20"/>
          <w:szCs w:val="20"/>
          <w:shd w:val="clear" w:color="auto" w:fill="FFFFFF"/>
        </w:rPr>
        <w:t>.</w:t>
      </w:r>
    </w:p>
    <w:p w:rsidR="006146B9" w:rsidRPr="009E47A6" w:rsidRDefault="006146B9" w:rsidP="00B91206">
      <w:pPr>
        <w:snapToGrid w:val="0"/>
        <w:jc w:val="both"/>
        <w:rPr>
          <w:b/>
          <w:sz w:val="20"/>
          <w:szCs w:val="20"/>
          <w:lang w:bidi="en-US"/>
        </w:rPr>
      </w:pPr>
    </w:p>
    <w:p w:rsidR="00CD76C8" w:rsidRPr="009E47A6" w:rsidRDefault="00CD76C8" w:rsidP="00B91206">
      <w:pPr>
        <w:snapToGrid w:val="0"/>
        <w:jc w:val="both"/>
        <w:rPr>
          <w:b/>
          <w:bCs/>
          <w:sz w:val="20"/>
          <w:szCs w:val="20"/>
        </w:rPr>
      </w:pPr>
      <w:r w:rsidRPr="009E47A6">
        <w:rPr>
          <w:b/>
          <w:bCs/>
          <w:sz w:val="20"/>
          <w:szCs w:val="20"/>
        </w:rPr>
        <w:t>Keywords:</w:t>
      </w:r>
      <w:r w:rsidR="009F006F" w:rsidRPr="009E47A6">
        <w:rPr>
          <w:b/>
          <w:bCs/>
          <w:sz w:val="20"/>
          <w:szCs w:val="20"/>
        </w:rPr>
        <w:t xml:space="preserve"> </w:t>
      </w:r>
      <w:r w:rsidR="009F006F" w:rsidRPr="009E47A6">
        <w:rPr>
          <w:sz w:val="20"/>
          <w:szCs w:val="20"/>
        </w:rPr>
        <w:t>Charcot, charcot foot surgery, charcot classification, charcot neuroarthropathy, diabetic charcot foot</w:t>
      </w:r>
      <w:r w:rsidR="002C2C61" w:rsidRPr="009E47A6">
        <w:rPr>
          <w:b/>
          <w:bCs/>
          <w:sz w:val="20"/>
          <w:szCs w:val="20"/>
        </w:rPr>
        <w:t xml:space="preserve"> </w:t>
      </w:r>
    </w:p>
    <w:p w:rsidR="00B91206" w:rsidRPr="009E47A6" w:rsidRDefault="00AE1B41" w:rsidP="00B91206">
      <w:pPr>
        <w:snapToGrid w:val="0"/>
        <w:jc w:val="both"/>
        <w:rPr>
          <w:b/>
          <w:bCs/>
          <w:sz w:val="20"/>
          <w:szCs w:val="20"/>
        </w:rPr>
        <w:sectPr w:rsidR="00B91206" w:rsidRPr="009E47A6" w:rsidSect="00AC7B7B">
          <w:headerReference w:type="default" r:id="rId10"/>
          <w:footerReference w:type="even" r:id="rId11"/>
          <w:footerReference w:type="default" r:id="rId12"/>
          <w:type w:val="continuous"/>
          <w:pgSz w:w="12242" w:h="15842" w:code="1"/>
          <w:pgMar w:top="1440" w:right="1440" w:bottom="1440" w:left="1440" w:header="720" w:footer="720" w:gutter="0"/>
          <w:pgNumType w:start="8"/>
          <w:cols w:space="720"/>
          <w:docGrid w:linePitch="360"/>
        </w:sectPr>
      </w:pPr>
      <w:r w:rsidRPr="009E47A6">
        <w:rPr>
          <w:b/>
          <w:bCs/>
          <w:sz w:val="20"/>
          <w:szCs w:val="20"/>
        </w:rPr>
        <w:cr/>
      </w:r>
    </w:p>
    <w:p w:rsidR="00CD76C8" w:rsidRPr="009E47A6" w:rsidRDefault="006146B9" w:rsidP="00B91206">
      <w:pPr>
        <w:snapToGrid w:val="0"/>
        <w:jc w:val="both"/>
        <w:rPr>
          <w:b/>
          <w:bCs/>
          <w:sz w:val="20"/>
          <w:szCs w:val="20"/>
        </w:rPr>
      </w:pPr>
      <w:r w:rsidRPr="009E47A6">
        <w:rPr>
          <w:b/>
          <w:bCs/>
          <w:sz w:val="20"/>
          <w:szCs w:val="20"/>
        </w:rPr>
        <w:lastRenderedPageBreak/>
        <w:t>1. Introduction</w:t>
      </w:r>
    </w:p>
    <w:p w:rsidR="009F006F" w:rsidRPr="009E47A6" w:rsidRDefault="009F006F" w:rsidP="00B91206">
      <w:pPr>
        <w:snapToGrid w:val="0"/>
        <w:ind w:firstLine="425"/>
        <w:jc w:val="both"/>
        <w:rPr>
          <w:sz w:val="20"/>
          <w:szCs w:val="20"/>
          <w:lang w:bidi="ar-EG"/>
        </w:rPr>
      </w:pPr>
      <w:r w:rsidRPr="009E47A6">
        <w:rPr>
          <w:sz w:val="20"/>
          <w:szCs w:val="20"/>
          <w:lang w:bidi="ar-EG"/>
        </w:rPr>
        <w:t>Neuropathic arthropathy, also referred as Charcot arthropathy which was named after French neurologist Jean-Martin Charcot (1825-1893), is a progressive, denervation-induced degeneration of the foot and ankle joints. Considering devastating outcomes, such as eventual deformity which is almost always inevitable when untreated, the etiology and pathophysiology of this insidious disorder is vigorously studied in the literature as one of the core topics. A significant amount of content is amassing in the literature about this topic and this may be a sign of unclarity about the pathophysiology of Charcot arthropathy. Although numerous factors have been attributed as a contributor, the big picture is still not fully revealed</w:t>
      </w:r>
      <w:r w:rsidRPr="009E47A6">
        <w:rPr>
          <w:b/>
          <w:bCs/>
          <w:sz w:val="20"/>
          <w:szCs w:val="20"/>
          <w:lang w:bidi="ar-EG"/>
        </w:rPr>
        <w:t xml:space="preserve"> </w:t>
      </w:r>
      <w:r w:rsidR="005E301C" w:rsidRPr="005E301C">
        <w:rPr>
          <w:b/>
          <w:bCs/>
          <w:sz w:val="20"/>
          <w:szCs w:val="20"/>
          <w:lang w:bidi="ar-EG"/>
        </w:rPr>
        <w:fldChar w:fldCharType="begin" w:fldLock="1"/>
      </w:r>
      <w:r w:rsidRPr="009E47A6">
        <w:rPr>
          <w:b/>
          <w:bCs/>
          <w:sz w:val="20"/>
          <w:szCs w:val="20"/>
          <w:lang w:bidi="ar-EG"/>
        </w:rPr>
        <w:instrText>ADDIN CSL_CITATION { "citationItems" : [ { "id" : "ITEM-1", "itemData" : { "DOI" : "10.3402/dfa.v4i0.21117", "ISSN" : "2000625X", "PMID" : "23919113", "abstract" : "Charcot arthropathy of the foot is a rare but devastating complication of diabetes that remains to be a challenging issue for the foot and ankle surgeons. Charcot foot fails to be an obvious diagnostic option that comes to mind, even in a pathognomonic clinical appearance. The rarity of the disorder, more common pathologies that mimic the condition, and the self-limiting prognosis deviate the clinician from the right diagnosis. The clinical challenges in the diagnosis of Charcot foot require in-depth investigations of its enigmatic nature to establish useful guidelines. Yet, this goal seems to be beyond reach, without a holistic view of the immense literature concerning the pathophysiology of the disorder. The primary objective of this article is to put together and review the recent advancements about the etiology and intrinsic mechanisms of diabetic Charcot foot.", "author" : [ { "dropping-particle" : "", "family" : "Kaynak", "given" : "G\u00f6khan", "non-dropping-particle" : "", "parse-names" : false, "suffix" : "" }, { "dropping-particle" : "", "family" : "Birsel", "given" : "Olgar", "non-dropping-particle" : "", "parse-names" : false, "suffix" : "" }, { "dropping-particle" : "", "family" : "Fatih G\u00fcven", "given" : "Mehmet", "non-dropping-particle" : "", "parse-names" : false, "suffix" : "" }, { "dropping-particle" : "", "family" : "\u00d6\u01e7\u00fct", "given" : "Tahir", "non-dropping-particle" : "", "parse-names" : false, "suffix" : "" } ], "container-title" : "Diabetic Foot and Ankle", "id" : "ITEM-1", "issue" : "January", "issued" : { "date-parts" : [ [ "2013" ] ] }, "title" : "An overview of the Charcot foot pathophysiology", "type" : "article-journal", "volume" : "4" }, "uris" : [ "http://www.mendeley.com/documents/?uuid=7581e5bd-3cb6-4eef-a8be-6b54af8a213a" ] } ], "mendeley" : { "formattedCitation" : "(Kaynak et al. 2013)", "plainTextFormattedCitation" : "(Kaynak et al. 2013)", "previouslyFormattedCitation" : "(Kaynak et al. 2013)" }, "properties" : {  }, "schema" : "https://github.com/citation-style-language/schema/raw/master/csl-citation.json" }</w:instrText>
      </w:r>
      <w:r w:rsidR="005E301C" w:rsidRPr="005E301C">
        <w:rPr>
          <w:b/>
          <w:bCs/>
          <w:sz w:val="20"/>
          <w:szCs w:val="20"/>
          <w:lang w:bidi="ar-EG"/>
        </w:rPr>
        <w:fldChar w:fldCharType="separate"/>
      </w:r>
      <w:r w:rsidRPr="009E47A6">
        <w:rPr>
          <w:b/>
          <w:bCs/>
          <w:sz w:val="20"/>
          <w:szCs w:val="20"/>
          <w:lang w:bidi="ar-EG"/>
        </w:rPr>
        <w:t>(Kaynak et al., 2013)</w:t>
      </w:r>
      <w:r w:rsidR="005E301C" w:rsidRPr="009E47A6">
        <w:rPr>
          <w:sz w:val="20"/>
          <w:szCs w:val="20"/>
          <w:lang w:bidi="ar-EG"/>
        </w:rPr>
        <w:fldChar w:fldCharType="end"/>
      </w:r>
      <w:r w:rsidRPr="009E47A6">
        <w:rPr>
          <w:sz w:val="20"/>
          <w:szCs w:val="20"/>
          <w:lang w:bidi="ar-EG"/>
        </w:rPr>
        <w:t>.</w:t>
      </w:r>
    </w:p>
    <w:p w:rsidR="009F006F" w:rsidRPr="009E47A6" w:rsidRDefault="009F006F" w:rsidP="00B91206">
      <w:pPr>
        <w:snapToGrid w:val="0"/>
        <w:ind w:firstLine="425"/>
        <w:jc w:val="both"/>
        <w:rPr>
          <w:sz w:val="20"/>
          <w:szCs w:val="20"/>
          <w:lang w:bidi="ar-EG"/>
        </w:rPr>
      </w:pPr>
      <w:r w:rsidRPr="009E47A6">
        <w:rPr>
          <w:sz w:val="20"/>
          <w:szCs w:val="20"/>
          <w:lang w:bidi="ar-EG"/>
        </w:rPr>
        <w:t>Charcot neuroarthropathy (CN) is a process marked by bony destruction, bone resorption, and eventual deformity that can be limb-threatening. Historically, syphilis and leprosy were the most common causes of CN; however, diabetes mellitus (DM) has emerged as the most common cause of CN over the past several decades</w:t>
      </w:r>
      <w:r w:rsidRPr="009E47A6">
        <w:rPr>
          <w:b/>
          <w:bCs/>
          <w:sz w:val="20"/>
          <w:szCs w:val="20"/>
          <w:lang w:bidi="ar-EG"/>
        </w:rPr>
        <w:t xml:space="preserve"> </w:t>
      </w:r>
      <w:r w:rsidR="005E301C" w:rsidRPr="005E301C">
        <w:rPr>
          <w:b/>
          <w:bCs/>
          <w:sz w:val="20"/>
          <w:szCs w:val="20"/>
          <w:lang w:bidi="ar-EG"/>
        </w:rPr>
        <w:fldChar w:fldCharType="begin" w:fldLock="1"/>
      </w:r>
      <w:r w:rsidRPr="009E47A6">
        <w:rPr>
          <w:b/>
          <w:bCs/>
          <w:sz w:val="20"/>
          <w:szCs w:val="20"/>
          <w:lang w:bidi="ar-EG"/>
        </w:rPr>
        <w:instrText>ADDIN CSL_CITATION { "citationItems" : [ { "id" : "ITEM-1", "itemData" : { "DOI" : "10.1016/j.mcna.2013.03.013", "ISBN" : "9781455775989", "ISSN" : "00257125", "PMID" : "23992898", "abstract" : "Over the past two decades, a gradual trend toward more aggressive management of diabetic Charcot neuroarthropathy has occurred, mainly due to improved understanding of the pathophysiology and advances in surgical techniques. Although the mainstay of diabetic Charcot foot management is still nonoperative, surgical reconstruction using internal and external fixation techniques is indicated in patients with progressive deformity, instability, recurrent ulceration, and impending compromise of the soft tissue envelope. The ultimate goal of treatment, whether nonsurgical or surgical, is to achieve a stable, plantigrade foot that can be accommodated with appropriate shoe wear and orthotics. Various surgical procedures are described. ?? 2013 Elsevier Inc.", "author" : [ { "dropping-particle" : "", "family" : "Shen", "given" : "Wei", "non-dropping-particle" : "", "parse-names" : false, "suffix" : "" }, { "dropping-particle" : "", "family" : "Wukich", "given" : "Dane", "non-dropping-particle" : "", "parse-names" : false, "suffix" : "" } ], "container-title" : "Medical Clinics of North America", "id" : "ITEM-1", "issue" : "5", "issued" : { "date-parts" : [ [ "2013" ] ] }, "page" : "873-882", "title" : "Orthopaedic surgery and the diabetic Charcot foot", "type" : "article-journal", "volume" : "97" }, "uris" : [ "http://www.mendeley.com/documents/?uuid=9fe7930b-e39c-486c-8cf3-c951ddc69f31" ] } ], "mendeley" : { "formattedCitation" : "(Shen and Wukich 2013)", "plainTextFormattedCitation" : "(Shen and Wukich 2013)", "previouslyFormattedCitation" : "(Shen and Wukich 2013)" }, "properties" : {  }, "schema" : "https://github.com/citation-style-language/schema/raw/master/csl-citation.json" }</w:instrText>
      </w:r>
      <w:r w:rsidR="005E301C" w:rsidRPr="005E301C">
        <w:rPr>
          <w:b/>
          <w:bCs/>
          <w:sz w:val="20"/>
          <w:szCs w:val="20"/>
          <w:lang w:bidi="ar-EG"/>
        </w:rPr>
        <w:fldChar w:fldCharType="separate"/>
      </w:r>
      <w:r w:rsidRPr="009E47A6">
        <w:rPr>
          <w:b/>
          <w:bCs/>
          <w:sz w:val="20"/>
          <w:szCs w:val="20"/>
          <w:lang w:bidi="ar-EG"/>
        </w:rPr>
        <w:t>(Shen and Wukich, 2013)</w:t>
      </w:r>
      <w:r w:rsidR="005E301C" w:rsidRPr="009E47A6">
        <w:rPr>
          <w:sz w:val="20"/>
          <w:szCs w:val="20"/>
          <w:lang w:bidi="ar-EG"/>
        </w:rPr>
        <w:fldChar w:fldCharType="end"/>
      </w:r>
      <w:r w:rsidRPr="009E47A6">
        <w:rPr>
          <w:sz w:val="20"/>
          <w:szCs w:val="20"/>
          <w:lang w:bidi="ar-EG"/>
        </w:rPr>
        <w:t>.</w:t>
      </w:r>
    </w:p>
    <w:p w:rsidR="009F006F" w:rsidRPr="009E47A6" w:rsidRDefault="009F006F" w:rsidP="00B91206">
      <w:pPr>
        <w:snapToGrid w:val="0"/>
        <w:ind w:firstLine="425"/>
        <w:jc w:val="both"/>
        <w:rPr>
          <w:sz w:val="20"/>
          <w:szCs w:val="20"/>
          <w:lang w:bidi="ar-EG"/>
        </w:rPr>
      </w:pPr>
      <w:r w:rsidRPr="009E47A6">
        <w:rPr>
          <w:sz w:val="20"/>
          <w:szCs w:val="20"/>
          <w:lang w:bidi="ar-EG"/>
        </w:rPr>
        <w:t xml:space="preserve">With the increased number of diabetics worldwide and the increased incidence of morbid obesity in more prosperous cultures, there has become an increased awareness of Charcot arthropathy of the foot and ankle. Outcome studies would suggest that patients with deformity associated with Charcot Foot </w:t>
      </w:r>
      <w:r w:rsidRPr="009E47A6">
        <w:rPr>
          <w:sz w:val="20"/>
          <w:szCs w:val="20"/>
          <w:lang w:bidi="ar-EG"/>
        </w:rPr>
        <w:lastRenderedPageBreak/>
        <w:t>arthropathy have impaired health related quality of life. This awareness has led reconstructive-minded foot and ankle surgeons to develop surgical strategies to treat these acquired deformities</w:t>
      </w:r>
      <w:r w:rsidRPr="009E47A6">
        <w:rPr>
          <w:b/>
          <w:bCs/>
          <w:sz w:val="20"/>
          <w:szCs w:val="20"/>
          <w:lang w:bidi="ar-EG"/>
        </w:rPr>
        <w:t xml:space="preserve"> </w:t>
      </w:r>
      <w:r w:rsidR="005E301C" w:rsidRPr="005E301C">
        <w:rPr>
          <w:b/>
          <w:bCs/>
          <w:sz w:val="20"/>
          <w:szCs w:val="20"/>
          <w:lang w:bidi="ar-EG"/>
        </w:rPr>
        <w:fldChar w:fldCharType="begin" w:fldLock="1"/>
      </w:r>
      <w:r w:rsidRPr="009E47A6">
        <w:rPr>
          <w:b/>
          <w:bCs/>
          <w:sz w:val="20"/>
          <w:szCs w:val="20"/>
          <w:lang w:bidi="ar-EG"/>
        </w:rPr>
        <w:instrText>ADDIN CSL_CITATION { "citationItems" : [ { "id" : "ITEM-1", "itemData" : { "DOI" : "10.1016/j.mcna.2013.03.013", "ISBN" : "9781455775989", "ISSN" : "00257125", "PMID" : "23992898", "abstract" : "Over the past two decades, a gradual trend toward more aggressive management of diabetic Charcot neuroarthropathy has occurred, mainly due to improved understanding of the pathophysiology and advances in surgical techniques. Although the mainstay of diabetic Charcot foot management is still nonoperative, surgical reconstruction using internal and external fixation techniques is indicated in patients with progressive deformity, instability, recurrent ulceration, and impending compromise of the soft tissue envelope. The ultimate goal of treatment, whether nonsurgical or surgical, is to achieve a stable, plantigrade foot that can be accommodated with appropriate shoe wear and orthotics. Various surgical procedures are described. ?? 2013 Elsevier Inc.", "author" : [ { "dropping-particle" : "", "family" : "Shen", "given" : "Wei", "non-dropping-particle" : "", "parse-names" : false, "suffix" : "" }, { "dropping-particle" : "", "family" : "Wukich", "given" : "Dane", "non-dropping-particle" : "", "parse-names" : false, "suffix" : "" } ], "container-title" : "Medical Clinics of North America", "id" : "ITEM-1", "issue" : "5", "issued" : { "date-parts" : [ [ "2013" ] ] }, "page" : "873-882", "title" : "Orthopaedic surgery and the diabetic Charcot foot", "type" : "article-journal", "volume" : "97" }, "uris" : [ "http://www.mendeley.com/documents/?uuid=9fe7930b-e39c-486c-8cf3-c951ddc69f31" ] } ], "mendeley" : { "formattedCitation" : "(Shen and Wukich 2013)", "plainTextFormattedCitation" : "(Shen and Wukich 2013)", "previouslyFormattedCitation" : "(Shen and Wukich 2013)" }, "properties" : {  }, "schema" : "https://github.com/citation-style-language/schema/raw/master/csl-citation.json" }</w:instrText>
      </w:r>
      <w:r w:rsidR="005E301C" w:rsidRPr="005E301C">
        <w:rPr>
          <w:b/>
          <w:bCs/>
          <w:sz w:val="20"/>
          <w:szCs w:val="20"/>
          <w:lang w:bidi="ar-EG"/>
        </w:rPr>
        <w:fldChar w:fldCharType="separate"/>
      </w:r>
      <w:r w:rsidRPr="009E47A6">
        <w:rPr>
          <w:b/>
          <w:bCs/>
          <w:sz w:val="20"/>
          <w:szCs w:val="20"/>
          <w:lang w:bidi="ar-EG"/>
        </w:rPr>
        <w:t>(Shen and Wukich, 2013)</w:t>
      </w:r>
      <w:r w:rsidR="005E301C" w:rsidRPr="009E47A6">
        <w:rPr>
          <w:sz w:val="20"/>
          <w:szCs w:val="20"/>
          <w:lang w:bidi="ar-EG"/>
        </w:rPr>
        <w:fldChar w:fldCharType="end"/>
      </w:r>
      <w:r w:rsidRPr="009E47A6">
        <w:rPr>
          <w:sz w:val="20"/>
          <w:szCs w:val="20"/>
          <w:lang w:bidi="ar-EG"/>
        </w:rPr>
        <w:t>.</w:t>
      </w:r>
    </w:p>
    <w:p w:rsidR="009F006F" w:rsidRPr="009E47A6" w:rsidRDefault="009F006F" w:rsidP="00B91206">
      <w:pPr>
        <w:snapToGrid w:val="0"/>
        <w:ind w:firstLine="425"/>
        <w:jc w:val="both"/>
        <w:rPr>
          <w:sz w:val="20"/>
          <w:szCs w:val="20"/>
          <w:lang w:bidi="ar-EG"/>
        </w:rPr>
      </w:pPr>
      <w:r w:rsidRPr="009E47A6">
        <w:rPr>
          <w:sz w:val="20"/>
          <w:szCs w:val="20"/>
          <w:lang w:bidi="ar-EG"/>
        </w:rPr>
        <w:t>Diabetes Association estimates that 25 million people in the United States, or 7.8% of the population, have diabetes mellitus. The incidence of Charcot arthropathy appears to be relatively common, perhaps affecting some 8.5 per 1000 people with diabetes per year</w:t>
      </w:r>
      <w:r w:rsidRPr="009E47A6">
        <w:rPr>
          <w:b/>
          <w:bCs/>
          <w:sz w:val="20"/>
          <w:szCs w:val="20"/>
          <w:lang w:bidi="ar-EG"/>
        </w:rPr>
        <w:t xml:space="preserve"> </w:t>
      </w:r>
      <w:r w:rsidR="005E301C" w:rsidRPr="005E301C">
        <w:rPr>
          <w:b/>
          <w:bCs/>
          <w:sz w:val="20"/>
          <w:szCs w:val="20"/>
          <w:lang w:bidi="ar-EG"/>
        </w:rPr>
        <w:fldChar w:fldCharType="begin" w:fldLock="1"/>
      </w:r>
      <w:r w:rsidRPr="009E47A6">
        <w:rPr>
          <w:b/>
          <w:bCs/>
          <w:sz w:val="20"/>
          <w:szCs w:val="20"/>
          <w:lang w:bidi="ar-EG"/>
        </w:rPr>
        <w:instrText>ADDIN CSL_CITATION { "citationItems" : [ { "id" : "ITEM-1", "itemData" : { "DOI" : "10.3113/FAI.2012.0113", "ISBN" : "1071-1007 (Print)\\n1071-1007 (Linking)", "ISSN" : "1071-1007", "PMID" : "22381342", "abstract" : "BACKGROUND Charcot neuroarthropathy (CN) of the foot and ankle is an extremely challenging clinical dilemma and surgical management can be highly complicated. The current literature on this topic is comprised of manuscripts that are retrospective case series and expert opinions. Furthermore, surgery in patients with CN of the foot and ankle is guided by studies with low levels of evidence to support our current surgical practices. METHODS A Medline/CINAHL search was performed and a systematic review of articles discussing the surgical management of CN was undertaken. RESULTS Ninety-five articles fit the inclusion criteria for our study. As hypothesized, all reports detailing the surgical management of Charcot neuroarthropathy constituted Level IV or V evidence. CONCLUSION Surgical algorithms for the treatment of CN of the foot are based almost entirely on level four or five evidence. Uncontrolled retrospective case series and case reports guide the use of exostectomy, fusion, and Achilles tendon lengthening for CN. There is inconclusive evidence concerning timing of treatment and use of different fixation methods. Prospective series and randomized studies, albeit difficult to perform, are necessary to support and strengthen current practice.", "author" : [ { "dropping-particle" : "", "family" : "Lowery", "given" : "Nicholas J.", "non-dropping-particle" : "", "parse-names" : false, "suffix" : "" }, { "dropping-particle" : "", "family" : "Woods", "given" : "Jason B.", "non-dropping-particle" : "", "parse-names" : false, "suffix" : "" }, { "dropping-particle" : "", "family" : "Armstrong", "given" : "David G.", "non-dropping-particle" : "", "parse-names" : false, "suffix" : "" }, { "dropping-particle" : "", "family" : "Wukich", "given" : "Dane K.", "non-dropping-particle" : "", "parse-names" : false, "suffix" : "" } ], "container-title" : "Foot &amp; Ankle International", "id" : "ITEM-1", "issue" : "2", "issued" : { "date-parts" : [ [ "2012" ] ] }, "page" : "113-121", "title" : "Surgical Management of Charcot Neuroarthropathy of the Foot and Ankle: A Systematic Review", "type" : "article-journal", "volume" : "33" }, "uris" : [ "http://www.mendeley.com/documents/?uuid=40e9ded2-deb6-41cd-8f45-3549a84b166b" ] } ], "mendeley" : { "formattedCitation" : "(Lowery et al. 2012)", "plainTextFormattedCitation" : "(Lowery et al. 2012)", "previouslyFormattedCitation" : "(Lowery et al. 2012)" }, "properties" : {  }, "schema" : "https://github.com/citation-style-language/schema/raw/master/csl-citation.json" }</w:instrText>
      </w:r>
      <w:r w:rsidR="005E301C" w:rsidRPr="005E301C">
        <w:rPr>
          <w:b/>
          <w:bCs/>
          <w:sz w:val="20"/>
          <w:szCs w:val="20"/>
          <w:lang w:bidi="ar-EG"/>
        </w:rPr>
        <w:fldChar w:fldCharType="separate"/>
      </w:r>
      <w:r w:rsidRPr="009E47A6">
        <w:rPr>
          <w:b/>
          <w:bCs/>
          <w:sz w:val="20"/>
          <w:szCs w:val="20"/>
          <w:lang w:bidi="ar-EG"/>
        </w:rPr>
        <w:t>(Lowery et al., 2012)</w:t>
      </w:r>
      <w:r w:rsidR="005E301C" w:rsidRPr="009E47A6">
        <w:rPr>
          <w:sz w:val="20"/>
          <w:szCs w:val="20"/>
          <w:lang w:bidi="ar-EG"/>
        </w:rPr>
        <w:fldChar w:fldCharType="end"/>
      </w:r>
      <w:r w:rsidRPr="009E47A6">
        <w:rPr>
          <w:sz w:val="20"/>
          <w:szCs w:val="20"/>
          <w:lang w:bidi="ar-EG"/>
        </w:rPr>
        <w:t>.</w:t>
      </w:r>
    </w:p>
    <w:p w:rsidR="009F006F" w:rsidRPr="009E47A6" w:rsidRDefault="009F006F" w:rsidP="00B91206">
      <w:pPr>
        <w:snapToGrid w:val="0"/>
        <w:ind w:firstLine="425"/>
        <w:jc w:val="both"/>
        <w:rPr>
          <w:sz w:val="20"/>
          <w:szCs w:val="20"/>
          <w:lang w:bidi="ar-EG"/>
        </w:rPr>
      </w:pPr>
      <w:r w:rsidRPr="009E47A6">
        <w:rPr>
          <w:sz w:val="20"/>
          <w:szCs w:val="20"/>
          <w:lang w:bidi="ar-EG"/>
        </w:rPr>
        <w:t>It affects both type 1 and type 2 diabetes. Recently, a relative preponderance of type 1 diabetes has been noted, and the odds ratio for a patient with type 1 diabetes to develop CN is 3.9 times greater than that of the odds ratio for a patient with type 2 diabetes. It is associated with significant morbidity, and patients often report a reduced quality of life</w:t>
      </w:r>
      <w:r w:rsidRPr="009E47A6">
        <w:rPr>
          <w:b/>
          <w:bCs/>
          <w:sz w:val="20"/>
          <w:szCs w:val="20"/>
          <w:lang w:bidi="ar-EG"/>
        </w:rPr>
        <w:t xml:space="preserve"> </w:t>
      </w:r>
      <w:r w:rsidR="005E301C" w:rsidRPr="005E301C">
        <w:rPr>
          <w:b/>
          <w:bCs/>
          <w:sz w:val="20"/>
          <w:szCs w:val="20"/>
          <w:lang w:bidi="ar-EG"/>
        </w:rPr>
        <w:fldChar w:fldCharType="begin" w:fldLock="1"/>
      </w:r>
      <w:r w:rsidRPr="009E47A6">
        <w:rPr>
          <w:b/>
          <w:bCs/>
          <w:sz w:val="20"/>
          <w:szCs w:val="20"/>
          <w:lang w:bidi="ar-EG"/>
        </w:rPr>
        <w:instrText>ADDIN CSL_CITATION { "citationItems" : [ { "id" : "ITEM-1", "itemData" : { "DOI" : "10.1002/dmrr", "ISBN" : "1520-7560 (Electronic) 1520-7552 (Linking)", "ISSN" : "1520-7560", "PMID" : "19145587", "abstract" : "The role of insulin-like growth factor-I and its binding proteins in glucose homeostasis and type 2 diabetes", "author" : [ { "dropping-particle" : "", "family" : "Balducci, Stefano, Sacchetti, Massimo, Haxhi, Jonida, Orlando, Giorgio, D\u2019Errico, Valeria, Fallucca, Sara, Menini, Stefano, Pugliese", "given" : "Giuseppe", "non-dropping-particle" : "", "parse-names" : false, "suffix" : "" } ], "container-title" : "Diabetes/Metabolism Research and Reviews", "id" : "ITEM-1", "issue" : "30", "issued" : { "date-parts" : [ [ "2014" ] ] }, "page" : "13-23", "title" : "Physical Exercise as therapy for type II diabetes", "type" : "article-journal", "volume" : "32" }, "uris" : [ "http://www.mendeley.com/documents/?uuid=89200e3d-c18f-49f1-b535-0c4597ebaa8f" ] } ], "mendeley" : { "formattedCitation" : "(Balducci, Stefano, Sacchetti, Massimo, Haxhi, Jonida, Orlando, Giorgio, D\u2019Errico, Valeria, Fallucca, Sara, Menini, Stefano, Pugliese 2014)", "manualFormatting" : "(Balducci et al. 2014)", "plainTextFormattedCitation" : "(Balducci, Stefano, Sacchetti, Massimo, Haxhi, Jonida, Orlando, Giorgio, D\u2019Errico, Valeria, Fallucca, Sara, Menini, Stefano, Pugliese 2014)", "previouslyFormattedCitation" : "(Balducci, Stefano, Sacchetti, Massimo, Haxhi, Jonida, Orlando, Giorgio, D\u2019Errico, Valeria, Fallucca, Sara, Menini, Stefano, Pugliese 2014)" }, "properties" : {  }, "schema" : "https://github.com/citation-style-language/schema/raw/master/csl-citation.json" }</w:instrText>
      </w:r>
      <w:r w:rsidR="005E301C" w:rsidRPr="005E301C">
        <w:rPr>
          <w:b/>
          <w:bCs/>
          <w:sz w:val="20"/>
          <w:szCs w:val="20"/>
          <w:lang w:bidi="ar-EG"/>
        </w:rPr>
        <w:fldChar w:fldCharType="separate"/>
      </w:r>
      <w:r w:rsidRPr="009E47A6">
        <w:rPr>
          <w:b/>
          <w:bCs/>
          <w:sz w:val="20"/>
          <w:szCs w:val="20"/>
          <w:lang w:bidi="ar-EG"/>
        </w:rPr>
        <w:t>(Balducci et al., 2014)</w:t>
      </w:r>
      <w:r w:rsidR="005E301C" w:rsidRPr="009E47A6">
        <w:rPr>
          <w:sz w:val="20"/>
          <w:szCs w:val="20"/>
          <w:lang w:bidi="ar-EG"/>
        </w:rPr>
        <w:fldChar w:fldCharType="end"/>
      </w:r>
      <w:r w:rsidRPr="009E47A6">
        <w:rPr>
          <w:b/>
          <w:bCs/>
          <w:sz w:val="20"/>
          <w:szCs w:val="20"/>
          <w:lang w:bidi="ar-EG"/>
        </w:rPr>
        <w:t>.</w:t>
      </w:r>
    </w:p>
    <w:p w:rsidR="009F006F" w:rsidRPr="009E47A6" w:rsidRDefault="009F006F" w:rsidP="00B91206">
      <w:pPr>
        <w:snapToGrid w:val="0"/>
        <w:ind w:firstLine="425"/>
        <w:jc w:val="both"/>
        <w:rPr>
          <w:sz w:val="20"/>
          <w:szCs w:val="20"/>
          <w:lang w:bidi="ar-EG"/>
        </w:rPr>
      </w:pPr>
      <w:r w:rsidRPr="009E47A6">
        <w:rPr>
          <w:sz w:val="20"/>
          <w:szCs w:val="20"/>
          <w:lang w:bidi="ar-EG"/>
        </w:rPr>
        <w:t>Primary risk factors for this potentially limb-threatening deformity are the presence of dense peripheral sensory neuropathy, normal circulation, and history of preceding trauma (often minor in nature). Trauma is not limited to injuries such as sprains or contusions. Foot deformities, prior amputations, joint infections, or surgical trauma may result in sufficient stress that can lead to Charcot joint disease</w:t>
      </w:r>
      <w:r w:rsidRPr="009E47A6">
        <w:rPr>
          <w:b/>
          <w:bCs/>
          <w:sz w:val="20"/>
          <w:szCs w:val="20"/>
          <w:lang w:bidi="ar-EG"/>
        </w:rPr>
        <w:t xml:space="preserve"> </w:t>
      </w:r>
      <w:r w:rsidR="005E301C" w:rsidRPr="005E301C">
        <w:rPr>
          <w:b/>
          <w:bCs/>
          <w:sz w:val="20"/>
          <w:szCs w:val="20"/>
          <w:lang w:bidi="ar-EG"/>
        </w:rPr>
        <w:fldChar w:fldCharType="begin" w:fldLock="1"/>
      </w:r>
      <w:r w:rsidRPr="009E47A6">
        <w:rPr>
          <w:b/>
          <w:bCs/>
          <w:sz w:val="20"/>
          <w:szCs w:val="20"/>
          <w:lang w:bidi="ar-EG"/>
        </w:rPr>
        <w:instrText>ADDIN CSL_CITATION { "citationItems" : [ { "id" : "ITEM-1", "itemData" : { "DOI" : "10.1016/S1067-2516(07)60001-5", "ISBN" : "1067-2516", "ISSN" : "1067-2516", "PMID" : "17280936", "abstract" : "The prevalence of diabetes mellitus is growing at epidemic proportions in the United States and worldwide. Most alarming is the steady increase in type 2 diabetes, especially among young and obese people. An estimated 7% of the US population has diabetes, and because of the increased longevity of this population, diabetes-associated complications are expected to rise in prevalence. Foot ulcerations, infections, Charcot neuroarthropathy, and peripheral arterial disease frequently result in gangrene and lower limb amputation. Consequently, foot disorders are leading causes of hospitalization for persons with diabetes and account for billion-dollar expenditures annually in the US. Although not all foot complications can be prevented, dramatic reductions in frequency have been achieved by taking a multidisciplinary approach to patient management. Using this concept, the authors present a clinical practice guideline for diabetic foot disorders based on currently available evidence, committee consensus, and current clinical practice. The pathophysiology and treatment of diabetic foot ulcers, infections, and the diabetic Charcot foot are reviewed. While these guidelines cannot and should not dictate the care of all affected patients, they provide evidence-based guidance for general patterns of practice. If these concepts are embraced and incorporated into patient management protocols, a major reduction in diabetic limb amputations is certainly an attainable goal.", "author" : [ { "dropping-particle" : "", "family" : "Frykberg", "given" : "Robert G", "non-dropping-particle" : "", "parse-names" : false, "suffix" : "" }, { "dropping-particle" : "", "family" : "Zgonis", "given" : "Thomas", "non-dropping-particle" : "", "parse-names" : false, "suffix" : "" }, { "dropping-particle" : "", "family" : "Armstrong", "given" : "David G", "non-dropping-particle" : "", "parse-names" : false, "suffix" : "" }, { "dropping-particle" : "", "family" : "Driver", "given" : "Vickie R", "non-dropping-particle" : "", "parse-names" : false, "suffix" : "" }, { "dropping-particle" : "", "family" : "Giurini", "given" : "John M", "non-dropping-particle" : "", "parse-names" : false, "suffix" : "" }, { "dropping-particle" : "", "family" : "Kravitz", "given" : "Steven R", "non-dropping-particle" : "", "parse-names" : false, "suffix" : "" }, { "dropping-particle" : "", "family" : "Landsman", "given" : "Adam S", "non-dropping-particle" : "", "parse-names" : false, "suffix" : "" }, { "dropping-particle" : "", "family" : "Lavery", "given" : "Lawrence A", "non-dropping-particle" : "", "parse-names" : false, "suffix" : "" }, { "dropping-particle" : "", "family" : "Moore", "given" : "J Christopher", "non-dropping-particle" : "", "parse-names" : false, "suffix" : "" }, { "dropping-particle" : "", "family" : "Schuberth", "given" : "John M", "non-dropping-particle" : "", "parse-names" : false, "suffix" : "" }, { "dropping-particle" : "", "family" : "Wukich", "given" : "Dane K", "non-dropping-particle" : "", "parse-names" : false, "suffix" : "" }, { "dropping-particle" : "", "family" : "Andersen", "given" : "Charles", "non-dropping-particle" : "", "parse-names" : false, "suffix" : "" }, { "dropping-particle" : "V", "family" : "Vanore", "given" : "John", "non-dropping-particle" : "", "parse-names" : false, "suffix" : "" }, { "dropping-particle" : "", "family" : "American College of Foot and Ankle Surgeons", "given" : "", "non-dropping-particle" : "", "parse-names" : false, "suffix" : "" } ], "container-title" : "The Journal of foot and ankle surgery : official publication of the American College of Foot and Ankle Surgeons", "id" : "ITEM-1", "issue" : "5 Suppl", "issued" : { "date-parts" : [ [ "2006" ] ] }, "page" : "S1-66", "title" : "Diabetic foot disorders. A clinical practice guideline (2006 revision).", "type" : "article-journal", "volume" : "45" }, "uris" : [ "http://www.mendeley.com/documents/?uuid=f055452c-b25a-4398-ac69-44d7e9e13a16" ] } ], "mendeley" : { "formattedCitation" : "(Frykberg et al. 2006)", "plainTextFormattedCitation" : "(Frykberg et al. 2006)", "previouslyFormattedCitation" : "(Frykberg et al. 2006)" }, "properties" : {  }, "schema" : "https://github.com/citation-style-language/schema/raw/master/csl-citation.json" }</w:instrText>
      </w:r>
      <w:r w:rsidR="005E301C" w:rsidRPr="005E301C">
        <w:rPr>
          <w:b/>
          <w:bCs/>
          <w:sz w:val="20"/>
          <w:szCs w:val="20"/>
          <w:lang w:bidi="ar-EG"/>
        </w:rPr>
        <w:fldChar w:fldCharType="separate"/>
      </w:r>
      <w:r w:rsidRPr="009E47A6">
        <w:rPr>
          <w:b/>
          <w:bCs/>
          <w:sz w:val="20"/>
          <w:szCs w:val="20"/>
          <w:lang w:bidi="ar-EG"/>
        </w:rPr>
        <w:t>(Frykberg et al., 2006)</w:t>
      </w:r>
      <w:r w:rsidR="005E301C" w:rsidRPr="009E47A6">
        <w:rPr>
          <w:sz w:val="20"/>
          <w:szCs w:val="20"/>
          <w:lang w:bidi="ar-EG"/>
        </w:rPr>
        <w:fldChar w:fldCharType="end"/>
      </w:r>
      <w:r w:rsidRPr="009E47A6">
        <w:rPr>
          <w:sz w:val="20"/>
          <w:szCs w:val="20"/>
          <w:lang w:bidi="ar-EG"/>
        </w:rPr>
        <w:t>.</w:t>
      </w:r>
    </w:p>
    <w:p w:rsidR="009F006F" w:rsidRPr="009E47A6" w:rsidRDefault="009F006F" w:rsidP="00B91206">
      <w:pPr>
        <w:snapToGrid w:val="0"/>
        <w:ind w:firstLine="425"/>
        <w:jc w:val="both"/>
        <w:rPr>
          <w:b/>
          <w:bCs/>
          <w:sz w:val="20"/>
          <w:szCs w:val="20"/>
        </w:rPr>
      </w:pPr>
      <w:r w:rsidRPr="009E47A6">
        <w:rPr>
          <w:sz w:val="20"/>
          <w:szCs w:val="20"/>
          <w:lang w:bidi="ar-EG"/>
        </w:rPr>
        <w:t xml:space="preserve">Charcot neuroarthropathy has been recognized for more than 130 years, and remains a major cause of </w:t>
      </w:r>
      <w:r w:rsidRPr="009E47A6">
        <w:rPr>
          <w:sz w:val="20"/>
          <w:szCs w:val="20"/>
          <w:lang w:bidi="ar-EG"/>
        </w:rPr>
        <w:lastRenderedPageBreak/>
        <w:t>morbidity in diabetic patients. It is a progressive condition of the musculoskeletal system, characterized by joint dislocations, pathological fractures, and debilitating deformities commonly affecting the neuropathic lower extremity. In the United States, many surgical limb salvage procedures for the Charcot foot deformity are performed annually. These procedures range from simple exostectomy to full reconstructions with metatarsal and tarsal osteotomy, arthrodesis, internal and external fixation, free flaps, and, finally, amputation</w:t>
      </w:r>
      <w:r w:rsidRPr="009E47A6">
        <w:rPr>
          <w:b/>
          <w:bCs/>
          <w:sz w:val="20"/>
          <w:szCs w:val="20"/>
          <w:lang w:bidi="ar-EG"/>
        </w:rPr>
        <w:t xml:space="preserve"> </w:t>
      </w:r>
      <w:r w:rsidR="005E301C" w:rsidRPr="005E301C">
        <w:rPr>
          <w:b/>
          <w:bCs/>
          <w:sz w:val="20"/>
          <w:szCs w:val="20"/>
          <w:lang w:bidi="ar-EG"/>
        </w:rPr>
        <w:fldChar w:fldCharType="begin" w:fldLock="1"/>
      </w:r>
      <w:r w:rsidRPr="009E47A6">
        <w:rPr>
          <w:b/>
          <w:bCs/>
          <w:sz w:val="20"/>
          <w:szCs w:val="20"/>
          <w:lang w:bidi="ar-EG"/>
        </w:rPr>
        <w:instrText>ADDIN CSL_CITATION { "citationItems" : [ { "id" : "ITEM-1", "itemData" : { "DOI" : "10.1177/1071100717742371", "ISSN" : "1071-1007", "abstract" : "Background:The historic treatment of Charcot foot arthropathy has been immobilization during the active phase of the disease process, followed by accommodative bracing of the acquired deformity. Evidence derived from modern patient-reported outcomes investigations has convinced many surgeons to attempt operative correction of the acquired deformity with a goal of improving quality of life.Methods:Over a 12-year period, 214 patients (9 bilateral) underwent reconstruction of the acquired deformity associated with midtarsal Charcot foot arthropathy. Over time, 3 patterns of deformity were observed based on weight-bearing pattern, relationship of the forefoot to the hindfoot, and integrity of the talocalcaneal joint. A valgus deformity pattern was present in 138, varus in 48, and dislocation of the talocalcaneal joint in 37. A consistent operative strategy was employed. Surgery included percutaneous tendon-Achilles lengthening, resection of infection when present, attempted correction of the structural deformity by wedge resection at the apex of the deformity, and immobilization with a 3-level static circular external fixator. Additional deformity pattern-specific procedures were added over time. Clinical outcomes were based on the historic metrics of limb salvage and resolution of infection and the functional metric of the ability to walk with commercially available therapeutic footwear.Results:Seven patients died within a year of surgery, and 15 underwent partial- or whole-foot amputation. Overall, 173 of 223 feet (77.6%) achieved a favorable clinical outcome. Patients with a valgus deformity pattern were most likely to achieve a favorable clinical outcome (120 of 138, 87.0%). Patients with a dislocation pattern were less likely to achieve a favorable clinical outcome (26 of 37, 70.3%), and those with a varus deformity pattern were least likely to achieve a favorable clinical outcome (27 of 48, 56.3%).Conclusions:Operative correction of the acquired deformity of Charcot foot arthropathy was performed with a goal of improving quality of life. Stratification of patients by deformity pattern allowed alterations of the basic surgery to afford improved outcomes. In addition to achieving historic goals of resolution of infection and limb salvage, almost 80% of the patients were able to achieve the functional goal of independent ambulation with commercially available therapeutic footwear. The clinical outcomes achieved in this retrospective case series appear to\u2026", "author" : [ { "dropping-particle" : "", "family" : "Pinzur", "given" : "Michael S", "non-dropping-particle" : "", "parse-names" : false, "suffix" : "" }, { "dropping-particle" : "", "family" : "Schiff", "given" : "Adam P", "non-dropping-particle" : "", "parse-names" : false, "suffix" : "" } ], "container-title" : "Foot &amp; Ankle International", "id" : "ITEM-1", "issued" : { "date-parts" : [ [ "2017", "11", "27" ] ] }, "note" : "doi: 10.1177/1071100717742371", "page" : "1071100717742371", "publisher" : "SAGE Publications Inc", "title" : "Deformity and Clinical Outcomes Following Operative Correction of Charcot Foot: A New Classification With Implications for Treatment", "type" : "article-journal" }, "uris" : [ "http://www.mendeley.com/documents/?uuid=66f55ca1-95bc-4130-b1bf-a5884e743323" ] } ], "mendeley" : { "formattedCitation" : "(Pinzur and Schiff 2017)", "plainTextFormattedCitation" : "(Pinzur and Schiff 2017)", "previouslyFormattedCitation" : "(Pinzur and Schiff 2017)" }, "properties" : {  }, "schema" : "https://github.com/citation-style-language/schema/raw/master/csl-citation.json" }</w:instrText>
      </w:r>
      <w:r w:rsidR="005E301C" w:rsidRPr="005E301C">
        <w:rPr>
          <w:b/>
          <w:bCs/>
          <w:sz w:val="20"/>
          <w:szCs w:val="20"/>
          <w:lang w:bidi="ar-EG"/>
        </w:rPr>
        <w:fldChar w:fldCharType="separate"/>
      </w:r>
      <w:r w:rsidRPr="009E47A6">
        <w:rPr>
          <w:b/>
          <w:bCs/>
          <w:sz w:val="20"/>
          <w:szCs w:val="20"/>
          <w:lang w:bidi="ar-EG"/>
        </w:rPr>
        <w:t>(Pinzur and Schiff, 2017)</w:t>
      </w:r>
      <w:r w:rsidR="005E301C" w:rsidRPr="009E47A6">
        <w:rPr>
          <w:sz w:val="20"/>
          <w:szCs w:val="20"/>
          <w:lang w:bidi="ar-EG"/>
        </w:rPr>
        <w:fldChar w:fldCharType="end"/>
      </w:r>
      <w:r w:rsidRPr="009E47A6">
        <w:rPr>
          <w:sz w:val="20"/>
          <w:szCs w:val="20"/>
          <w:lang w:bidi="ar-EG"/>
        </w:rPr>
        <w:t>.</w:t>
      </w:r>
    </w:p>
    <w:p w:rsidR="00CD76C8" w:rsidRPr="009E47A6" w:rsidRDefault="006146B9" w:rsidP="00B91206">
      <w:pPr>
        <w:snapToGrid w:val="0"/>
        <w:jc w:val="both"/>
        <w:rPr>
          <w:b/>
          <w:bCs/>
          <w:sz w:val="20"/>
          <w:szCs w:val="20"/>
        </w:rPr>
      </w:pPr>
      <w:r w:rsidRPr="009E47A6">
        <w:rPr>
          <w:b/>
          <w:bCs/>
          <w:sz w:val="20"/>
          <w:szCs w:val="20"/>
        </w:rPr>
        <w:t>Aim of the Work</w:t>
      </w:r>
    </w:p>
    <w:p w:rsidR="009F006F" w:rsidRPr="009E47A6" w:rsidRDefault="009F006F" w:rsidP="00B91206">
      <w:pPr>
        <w:snapToGrid w:val="0"/>
        <w:ind w:firstLine="425"/>
        <w:jc w:val="both"/>
        <w:rPr>
          <w:bCs/>
          <w:sz w:val="20"/>
          <w:szCs w:val="20"/>
          <w:lang w:bidi="ar-EG"/>
        </w:rPr>
      </w:pPr>
      <w:bookmarkStart w:id="0" w:name="_Toc521366973"/>
      <w:r w:rsidRPr="009E47A6">
        <w:rPr>
          <w:bCs/>
          <w:sz w:val="20"/>
          <w:szCs w:val="20"/>
          <w:lang w:bidi="ar-EG"/>
        </w:rPr>
        <w:t>The objective of our systematic review is to outlines the current and recent clinical approach to this disabling medical condition. The purpose of the present study is to provide a systematic review of studies published from 2000 to 2017 and to review the indications for surgery.</w:t>
      </w:r>
    </w:p>
    <w:p w:rsidR="009F006F" w:rsidRPr="009E47A6" w:rsidRDefault="009F006F" w:rsidP="00B91206">
      <w:pPr>
        <w:snapToGrid w:val="0"/>
        <w:ind w:firstLine="425"/>
        <w:jc w:val="both"/>
        <w:rPr>
          <w:bCs/>
          <w:sz w:val="20"/>
          <w:szCs w:val="20"/>
          <w:lang w:bidi="ar-EG"/>
        </w:rPr>
      </w:pPr>
      <w:r w:rsidRPr="009E47A6">
        <w:rPr>
          <w:bCs/>
          <w:sz w:val="20"/>
          <w:szCs w:val="20"/>
          <w:lang w:bidi="ar-EG"/>
        </w:rPr>
        <w:t>And to correlate patient satisfaction with the outcome of different limb salvage procedures, and make a systemic review on results of methods of treatment of Charcot joint.</w:t>
      </w:r>
    </w:p>
    <w:p w:rsidR="009F006F" w:rsidRPr="009E47A6" w:rsidRDefault="009F006F" w:rsidP="00B91206">
      <w:pPr>
        <w:snapToGrid w:val="0"/>
        <w:ind w:firstLine="425"/>
        <w:jc w:val="both"/>
        <w:rPr>
          <w:bCs/>
          <w:sz w:val="20"/>
          <w:szCs w:val="20"/>
          <w:lang w:bidi="ar-EG"/>
        </w:rPr>
      </w:pPr>
      <w:r w:rsidRPr="009E47A6">
        <w:rPr>
          <w:bCs/>
          <w:sz w:val="20"/>
          <w:szCs w:val="20"/>
          <w:lang w:bidi="ar-EG"/>
        </w:rPr>
        <w:t>This review will show different literature, research and statistical analysis of results.</w:t>
      </w:r>
    </w:p>
    <w:p w:rsidR="006146B9" w:rsidRPr="009E47A6" w:rsidRDefault="006146B9" w:rsidP="00B91206">
      <w:pPr>
        <w:snapToGrid w:val="0"/>
        <w:jc w:val="both"/>
        <w:rPr>
          <w:b/>
          <w:bCs/>
          <w:sz w:val="20"/>
          <w:szCs w:val="20"/>
        </w:rPr>
      </w:pPr>
      <w:bookmarkStart w:id="1" w:name="_Toc516346024"/>
      <w:bookmarkEnd w:id="0"/>
    </w:p>
    <w:p w:rsidR="00CD76C8" w:rsidRPr="009E47A6" w:rsidRDefault="006146B9" w:rsidP="00B91206">
      <w:pPr>
        <w:snapToGrid w:val="0"/>
        <w:jc w:val="both"/>
        <w:rPr>
          <w:b/>
          <w:bCs/>
          <w:sz w:val="20"/>
          <w:szCs w:val="20"/>
        </w:rPr>
      </w:pPr>
      <w:r w:rsidRPr="009E47A6">
        <w:rPr>
          <w:b/>
          <w:bCs/>
          <w:sz w:val="20"/>
          <w:szCs w:val="20"/>
        </w:rPr>
        <w:t>2. Materials and Methods</w:t>
      </w:r>
      <w:bookmarkEnd w:id="1"/>
    </w:p>
    <w:p w:rsidR="009F006F" w:rsidRPr="009E47A6" w:rsidRDefault="009F006F" w:rsidP="00B91206">
      <w:pPr>
        <w:snapToGrid w:val="0"/>
        <w:ind w:firstLine="425"/>
        <w:jc w:val="both"/>
        <w:rPr>
          <w:bCs/>
          <w:sz w:val="20"/>
          <w:szCs w:val="20"/>
          <w:lang w:bidi="en-US"/>
        </w:rPr>
      </w:pPr>
      <w:r w:rsidRPr="009E47A6">
        <w:rPr>
          <w:bCs/>
          <w:sz w:val="20"/>
          <w:szCs w:val="20"/>
          <w:lang w:bidi="en-US"/>
        </w:rPr>
        <w:lastRenderedPageBreak/>
        <w:t>This is a systematic review article on results of different methods of treatment of Charcot arthropathy of ankle joint.</w:t>
      </w:r>
    </w:p>
    <w:p w:rsidR="00AE1B41" w:rsidRPr="009E47A6" w:rsidRDefault="009F006F" w:rsidP="00B91206">
      <w:pPr>
        <w:tabs>
          <w:tab w:val="num" w:pos="720"/>
        </w:tabs>
        <w:snapToGrid w:val="0"/>
        <w:jc w:val="both"/>
        <w:rPr>
          <w:b/>
          <w:bCs/>
          <w:sz w:val="20"/>
          <w:szCs w:val="20"/>
          <w:lang w:bidi="en-US"/>
        </w:rPr>
      </w:pPr>
      <w:r w:rsidRPr="009E47A6">
        <w:rPr>
          <w:b/>
          <w:bCs/>
          <w:sz w:val="20"/>
          <w:szCs w:val="20"/>
          <w:lang w:bidi="en-US"/>
        </w:rPr>
        <w:t>Points of comparison in our research were as follows:</w:t>
      </w:r>
    </w:p>
    <w:p w:rsidR="009F006F" w:rsidRPr="009E47A6" w:rsidRDefault="00AE1B41" w:rsidP="00B91206">
      <w:pPr>
        <w:tabs>
          <w:tab w:val="num" w:pos="720"/>
        </w:tabs>
        <w:snapToGrid w:val="0"/>
        <w:ind w:firstLine="425"/>
        <w:jc w:val="both"/>
        <w:rPr>
          <w:bCs/>
          <w:sz w:val="20"/>
          <w:szCs w:val="20"/>
          <w:lang w:bidi="en-US"/>
        </w:rPr>
      </w:pPr>
      <w:r w:rsidRPr="009E47A6">
        <w:rPr>
          <w:bCs/>
          <w:sz w:val="20"/>
          <w:szCs w:val="20"/>
          <w:lang w:bidi="en-US"/>
        </w:rPr>
        <w:t>P</w:t>
      </w:r>
      <w:r w:rsidR="009F006F" w:rsidRPr="009E47A6">
        <w:rPr>
          <w:bCs/>
          <w:sz w:val="20"/>
          <w:szCs w:val="20"/>
          <w:lang w:bidi="en-US"/>
        </w:rPr>
        <w:t>atient demographics (age, sex). Follow up periods. Type of treatment. Follow up data. Results.</w:t>
      </w:r>
    </w:p>
    <w:p w:rsidR="006146B9" w:rsidRPr="009E47A6" w:rsidRDefault="009F006F" w:rsidP="00B91206">
      <w:pPr>
        <w:tabs>
          <w:tab w:val="num" w:pos="720"/>
        </w:tabs>
        <w:snapToGrid w:val="0"/>
        <w:jc w:val="both"/>
        <w:rPr>
          <w:bCs/>
          <w:sz w:val="20"/>
          <w:szCs w:val="20"/>
          <w:lang w:bidi="en-US"/>
        </w:rPr>
      </w:pPr>
      <w:r w:rsidRPr="009E47A6">
        <w:rPr>
          <w:b/>
          <w:bCs/>
          <w:sz w:val="20"/>
          <w:szCs w:val="20"/>
          <w:lang w:bidi="en-US"/>
        </w:rPr>
        <w:t xml:space="preserve">The inclusion criteria for the selected articles were: </w:t>
      </w:r>
    </w:p>
    <w:p w:rsidR="009F006F" w:rsidRPr="009E47A6" w:rsidRDefault="009F006F" w:rsidP="00B91206">
      <w:pPr>
        <w:tabs>
          <w:tab w:val="num" w:pos="720"/>
        </w:tabs>
        <w:snapToGrid w:val="0"/>
        <w:ind w:firstLine="425"/>
        <w:jc w:val="both"/>
        <w:rPr>
          <w:bCs/>
          <w:sz w:val="20"/>
          <w:szCs w:val="20"/>
          <w:lang w:bidi="en-US"/>
        </w:rPr>
      </w:pPr>
      <w:r w:rsidRPr="009E47A6">
        <w:rPr>
          <w:bCs/>
          <w:sz w:val="20"/>
          <w:szCs w:val="20"/>
          <w:lang w:bidi="en-US"/>
        </w:rPr>
        <w:t>Articles from 1995-2018. English literature only. Human studies. Clinical trials.</w:t>
      </w:r>
    </w:p>
    <w:p w:rsidR="006146B9" w:rsidRPr="009E47A6" w:rsidRDefault="009F006F" w:rsidP="00B91206">
      <w:pPr>
        <w:snapToGrid w:val="0"/>
        <w:jc w:val="both"/>
        <w:rPr>
          <w:bCs/>
          <w:sz w:val="20"/>
          <w:szCs w:val="20"/>
          <w:lang w:bidi="en-US"/>
        </w:rPr>
      </w:pPr>
      <w:r w:rsidRPr="009E47A6">
        <w:rPr>
          <w:b/>
          <w:bCs/>
          <w:sz w:val="20"/>
          <w:szCs w:val="20"/>
          <w:lang w:bidi="en-US"/>
        </w:rPr>
        <w:t xml:space="preserve">Exclusion criteria: </w:t>
      </w:r>
    </w:p>
    <w:p w:rsidR="009F006F" w:rsidRPr="009E47A6" w:rsidRDefault="009F006F" w:rsidP="00B91206">
      <w:pPr>
        <w:snapToGrid w:val="0"/>
        <w:ind w:firstLine="425"/>
        <w:jc w:val="both"/>
        <w:rPr>
          <w:bCs/>
          <w:sz w:val="20"/>
          <w:szCs w:val="20"/>
          <w:lang w:bidi="en-US"/>
        </w:rPr>
      </w:pPr>
      <w:r w:rsidRPr="009E47A6">
        <w:rPr>
          <w:bCs/>
          <w:sz w:val="20"/>
          <w:szCs w:val="20"/>
          <w:lang w:bidi="en-US"/>
        </w:rPr>
        <w:t xml:space="preserve">In vitro studies. Duplicated articles by the same authors unless with longer follow up studies. </w:t>
      </w:r>
      <w:r w:rsidR="00C01C23" w:rsidRPr="009E47A6">
        <w:rPr>
          <w:bCs/>
          <w:sz w:val="20"/>
          <w:szCs w:val="20"/>
          <w:lang w:bidi="en-US"/>
        </w:rPr>
        <w:t xml:space="preserve">Non diabetic causes of </w:t>
      </w:r>
      <w:r w:rsidR="00C01C23" w:rsidRPr="009E47A6">
        <w:rPr>
          <w:sz w:val="20"/>
          <w:szCs w:val="20"/>
          <w:lang w:bidi="ar-EG"/>
        </w:rPr>
        <w:t xml:space="preserve">Charcot neuroarthropathy </w:t>
      </w:r>
      <w:r w:rsidR="00C01C23" w:rsidRPr="009E47A6">
        <w:rPr>
          <w:bCs/>
          <w:sz w:val="20"/>
          <w:szCs w:val="20"/>
          <w:lang w:bidi="en-US"/>
        </w:rPr>
        <w:t>(i.e., leprosy, syringomyelia, syphilis, and alcohol)</w:t>
      </w:r>
      <w:r w:rsidR="009D397A" w:rsidRPr="009E47A6">
        <w:rPr>
          <w:bCs/>
          <w:sz w:val="20"/>
          <w:szCs w:val="20"/>
          <w:lang w:bidi="en-US"/>
        </w:rPr>
        <w:t>. T</w:t>
      </w:r>
      <w:r w:rsidR="00C01C23" w:rsidRPr="009E47A6">
        <w:rPr>
          <w:bCs/>
          <w:sz w:val="20"/>
          <w:szCs w:val="20"/>
          <w:lang w:bidi="en-US"/>
        </w:rPr>
        <w:t xml:space="preserve">hose describing </w:t>
      </w:r>
      <w:r w:rsidR="00C01C23" w:rsidRPr="009E47A6">
        <w:rPr>
          <w:sz w:val="20"/>
          <w:szCs w:val="20"/>
          <w:lang w:bidi="ar-EG"/>
        </w:rPr>
        <w:t>Charcot neuroarthropathy</w:t>
      </w:r>
      <w:r w:rsidR="00C01C23" w:rsidRPr="009E47A6">
        <w:rPr>
          <w:bCs/>
          <w:sz w:val="20"/>
          <w:szCs w:val="20"/>
          <w:lang w:bidi="en-US"/>
        </w:rPr>
        <w:t xml:space="preserve"> in</w:t>
      </w:r>
      <w:r w:rsidR="00C01C23" w:rsidRPr="009E47A6">
        <w:rPr>
          <w:sz w:val="20"/>
          <w:szCs w:val="20"/>
          <w:lang w:bidi="ar-EG"/>
        </w:rPr>
        <w:t xml:space="preserve"> </w:t>
      </w:r>
      <w:r w:rsidR="00C01C23" w:rsidRPr="009E47A6">
        <w:rPr>
          <w:bCs/>
          <w:sz w:val="20"/>
          <w:szCs w:val="20"/>
          <w:lang w:bidi="en-US"/>
        </w:rPr>
        <w:t>areas of the body other than the foot and ankle.</w:t>
      </w:r>
    </w:p>
    <w:p w:rsidR="009F006F" w:rsidRPr="009E47A6" w:rsidRDefault="009F006F" w:rsidP="00B91206">
      <w:pPr>
        <w:tabs>
          <w:tab w:val="num" w:pos="720"/>
        </w:tabs>
        <w:snapToGrid w:val="0"/>
        <w:ind w:firstLine="425"/>
        <w:jc w:val="both"/>
        <w:rPr>
          <w:b/>
          <w:bCs/>
          <w:sz w:val="20"/>
          <w:szCs w:val="20"/>
        </w:rPr>
      </w:pPr>
      <w:r w:rsidRPr="009E47A6">
        <w:rPr>
          <w:bCs/>
          <w:sz w:val="20"/>
          <w:szCs w:val="20"/>
          <w:lang w:bidi="en-US"/>
        </w:rPr>
        <w:t>Articles included in this systematic review consisted of the clinical studies concerning with different methods of treatment of Charcot arthropathy of ankle joint. The review includes prospective case series, and nonrandomized prospective comparative studies, retrospective studies and observational studies.</w:t>
      </w:r>
    </w:p>
    <w:p w:rsidR="006146B9" w:rsidRPr="009E47A6" w:rsidRDefault="006146B9" w:rsidP="00B91206">
      <w:pPr>
        <w:tabs>
          <w:tab w:val="num" w:pos="720"/>
        </w:tabs>
        <w:snapToGrid w:val="0"/>
        <w:jc w:val="both"/>
        <w:rPr>
          <w:b/>
          <w:bCs/>
          <w:sz w:val="20"/>
          <w:szCs w:val="20"/>
        </w:rPr>
      </w:pPr>
    </w:p>
    <w:p w:rsidR="00CD76C8" w:rsidRPr="009E47A6" w:rsidRDefault="006146B9" w:rsidP="00B91206">
      <w:pPr>
        <w:tabs>
          <w:tab w:val="num" w:pos="720"/>
        </w:tabs>
        <w:snapToGrid w:val="0"/>
        <w:jc w:val="both"/>
        <w:rPr>
          <w:b/>
          <w:bCs/>
          <w:sz w:val="20"/>
          <w:szCs w:val="20"/>
        </w:rPr>
      </w:pPr>
      <w:r w:rsidRPr="009E47A6">
        <w:rPr>
          <w:b/>
          <w:bCs/>
          <w:sz w:val="20"/>
          <w:szCs w:val="20"/>
        </w:rPr>
        <w:t>3. Results</w:t>
      </w:r>
    </w:p>
    <w:p w:rsidR="00B91206" w:rsidRPr="009E47A6" w:rsidRDefault="00B91206" w:rsidP="00B91206">
      <w:pPr>
        <w:snapToGrid w:val="0"/>
        <w:jc w:val="center"/>
        <w:rPr>
          <w:b/>
          <w:bCs/>
          <w:sz w:val="20"/>
          <w:szCs w:val="20"/>
        </w:rPr>
        <w:sectPr w:rsidR="00B91206" w:rsidRPr="009E47A6" w:rsidSect="006247D3">
          <w:type w:val="continuous"/>
          <w:pgSz w:w="12242" w:h="15842" w:code="1"/>
          <w:pgMar w:top="1440" w:right="1440" w:bottom="1440" w:left="1440" w:header="720" w:footer="720" w:gutter="0"/>
          <w:cols w:num="2" w:space="600"/>
          <w:docGrid w:linePitch="360"/>
        </w:sectPr>
      </w:pPr>
    </w:p>
    <w:p w:rsidR="006146B9" w:rsidRPr="009E47A6" w:rsidRDefault="006146B9" w:rsidP="00B91206">
      <w:pPr>
        <w:snapToGrid w:val="0"/>
        <w:jc w:val="center"/>
        <w:rPr>
          <w:b/>
          <w:bCs/>
          <w:sz w:val="20"/>
          <w:szCs w:val="20"/>
        </w:rPr>
      </w:pPr>
    </w:p>
    <w:p w:rsidR="009F006F" w:rsidRPr="009E47A6" w:rsidRDefault="009F006F" w:rsidP="00B91206">
      <w:pPr>
        <w:snapToGrid w:val="0"/>
        <w:jc w:val="center"/>
        <w:rPr>
          <w:bCs/>
          <w:sz w:val="20"/>
          <w:szCs w:val="20"/>
          <w:lang w:val="en-GB" w:bidi="ar-EG"/>
        </w:rPr>
      </w:pPr>
      <w:r w:rsidRPr="009E47A6">
        <w:rPr>
          <w:b/>
          <w:bCs/>
          <w:sz w:val="20"/>
          <w:szCs w:val="20"/>
        </w:rPr>
        <w:t>Table (</w:t>
      </w:r>
      <w:r w:rsidR="005E301C" w:rsidRPr="009E47A6">
        <w:rPr>
          <w:b/>
          <w:bCs/>
          <w:sz w:val="20"/>
          <w:szCs w:val="20"/>
          <w:lang w:bidi="ar-EG"/>
        </w:rPr>
        <w:fldChar w:fldCharType="begin"/>
      </w:r>
      <w:r w:rsidRPr="009E47A6">
        <w:rPr>
          <w:b/>
          <w:bCs/>
          <w:sz w:val="20"/>
          <w:szCs w:val="20"/>
          <w:lang w:bidi="ar-EG"/>
        </w:rPr>
        <w:instrText xml:space="preserve"> SEQ Table \* ARABIC </w:instrText>
      </w:r>
      <w:r w:rsidR="005E301C" w:rsidRPr="009E47A6">
        <w:rPr>
          <w:b/>
          <w:bCs/>
          <w:sz w:val="20"/>
          <w:szCs w:val="20"/>
          <w:lang w:bidi="ar-EG"/>
        </w:rPr>
        <w:fldChar w:fldCharType="separate"/>
      </w:r>
      <w:r w:rsidR="004076BE" w:rsidRPr="009E47A6">
        <w:rPr>
          <w:b/>
          <w:bCs/>
          <w:noProof/>
          <w:sz w:val="20"/>
          <w:szCs w:val="20"/>
          <w:lang w:bidi="ar-EG"/>
        </w:rPr>
        <w:t>1</w:t>
      </w:r>
      <w:r w:rsidR="005E301C" w:rsidRPr="009E47A6">
        <w:rPr>
          <w:b/>
          <w:bCs/>
          <w:sz w:val="20"/>
          <w:szCs w:val="20"/>
          <w:lang w:bidi="ar-EG"/>
        </w:rPr>
        <w:fldChar w:fldCharType="end"/>
      </w:r>
      <w:r w:rsidRPr="009E47A6">
        <w:rPr>
          <w:b/>
          <w:bCs/>
          <w:sz w:val="20"/>
          <w:szCs w:val="20"/>
          <w:lang w:bidi="ar-EG"/>
        </w:rPr>
        <w:t>):</w:t>
      </w:r>
      <w:r w:rsidRPr="009E47A6">
        <w:rPr>
          <w:bCs/>
          <w:sz w:val="20"/>
          <w:szCs w:val="20"/>
          <w:lang w:val="en-GB" w:bidi="ar-EG"/>
        </w:rPr>
        <w:t xml:space="preserve"> Non-surgical management of Charcot arthropathy.</w:t>
      </w:r>
    </w:p>
    <w:p w:rsidR="009F006F" w:rsidRPr="009E47A6" w:rsidRDefault="009F006F" w:rsidP="00B91206">
      <w:pPr>
        <w:numPr>
          <w:ilvl w:val="0"/>
          <w:numId w:val="21"/>
        </w:numPr>
        <w:snapToGrid w:val="0"/>
        <w:ind w:left="0" w:firstLine="0"/>
        <w:jc w:val="both"/>
        <w:rPr>
          <w:b/>
          <w:bCs/>
          <w:sz w:val="20"/>
          <w:szCs w:val="20"/>
          <w:lang w:val="en-GB" w:bidi="ar-EG"/>
        </w:rPr>
      </w:pPr>
      <w:r w:rsidRPr="009E47A6">
        <w:rPr>
          <w:b/>
          <w:bCs/>
          <w:sz w:val="20"/>
          <w:szCs w:val="20"/>
          <w:lang w:val="en-GB" w:bidi="ar-EG"/>
        </w:rPr>
        <w:t xml:space="preserve">Medical treatment of Charcot arthropathy </w:t>
      </w:r>
    </w:p>
    <w:tbl>
      <w:tblPr>
        <w:tblOverlap w:val="neve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900"/>
        <w:gridCol w:w="1211"/>
        <w:gridCol w:w="825"/>
        <w:gridCol w:w="710"/>
        <w:gridCol w:w="1551"/>
        <w:gridCol w:w="1779"/>
        <w:gridCol w:w="705"/>
        <w:gridCol w:w="1795"/>
      </w:tblGrid>
      <w:tr w:rsidR="00AE1B41" w:rsidRPr="009E47A6" w:rsidTr="00B91206">
        <w:trPr>
          <w:jc w:val="center"/>
        </w:trPr>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Article</w:t>
            </w:r>
          </w:p>
        </w:tc>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Study design/level of evidence</w:t>
            </w:r>
          </w:p>
        </w:tc>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No of patients</w:t>
            </w:r>
          </w:p>
        </w:tc>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Stage of disease</w:t>
            </w:r>
          </w:p>
        </w:tc>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Non-surgical technique</w:t>
            </w:r>
          </w:p>
        </w:tc>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Follow up data.</w:t>
            </w:r>
          </w:p>
        </w:tc>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Follow up period</w:t>
            </w:r>
          </w:p>
        </w:tc>
        <w:tc>
          <w:tcPr>
            <w:tcW w:w="0" w:type="auto"/>
            <w:shd w:val="clear" w:color="auto" w:fill="FFFFFF"/>
            <w:vAlign w:val="center"/>
          </w:tcPr>
          <w:p w:rsidR="009F006F" w:rsidRPr="009E47A6" w:rsidRDefault="009F006F" w:rsidP="009E47A6">
            <w:pPr>
              <w:snapToGrid w:val="0"/>
              <w:rPr>
                <w:b/>
                <w:bCs/>
                <w:sz w:val="19"/>
                <w:szCs w:val="19"/>
                <w:lang w:val="en-GB" w:bidi="ar-EG"/>
              </w:rPr>
            </w:pPr>
            <w:r w:rsidRPr="009E47A6">
              <w:rPr>
                <w:b/>
                <w:bCs/>
                <w:sz w:val="19"/>
                <w:szCs w:val="19"/>
                <w:lang w:val="en-GB" w:bidi="ar-EG"/>
              </w:rPr>
              <w:t>Results</w:t>
            </w:r>
          </w:p>
        </w:tc>
      </w:tr>
      <w:tr w:rsidR="00AE1B41" w:rsidRPr="009E47A6" w:rsidTr="00B91206">
        <w:trPr>
          <w:jc w:val="center"/>
        </w:trPr>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1) E.B. Jude et al.,</w:t>
            </w:r>
            <w:r w:rsidR="00AE1B41" w:rsidRPr="009E47A6">
              <w:rPr>
                <w:bCs/>
                <w:sz w:val="19"/>
                <w:szCs w:val="19"/>
                <w:lang w:val="en-GB" w:bidi="ar-EG"/>
              </w:rPr>
              <w:t xml:space="preserve"> </w:t>
            </w:r>
            <w:r w:rsidRPr="009E47A6">
              <w:rPr>
                <w:bCs/>
                <w:sz w:val="19"/>
                <w:szCs w:val="19"/>
                <w:lang w:val="en-GB" w:bidi="ar-EG"/>
              </w:rPr>
              <w:t>(2001)</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Double blinded RCT/level I</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N=39 Study = 21 Placebo = 18</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Stage I</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Patients received 90 mg of pamidrotate over 4- 24 hr as a single in fun on dose or placebo (saline)</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Ankle temperature, symptoms and markers of bone turnover {bone specific alkaline phosphatase and deoxypyridiolone crosslinks)</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12 months</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An improvement in symptoms was seen in the active group compared with placebo group. Reduction in bone turnover was greater in the active than in the control group</w:t>
            </w:r>
          </w:p>
        </w:tc>
      </w:tr>
      <w:tr w:rsidR="00AE1B41" w:rsidRPr="009E47A6" w:rsidTr="00B91206">
        <w:trPr>
          <w:jc w:val="center"/>
        </w:trPr>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2) Anderson et al.,</w:t>
            </w:r>
            <w:r w:rsidR="00AE1B41" w:rsidRPr="009E47A6">
              <w:rPr>
                <w:bCs/>
                <w:sz w:val="19"/>
                <w:szCs w:val="19"/>
                <w:lang w:val="en-GB" w:bidi="ar-EG"/>
              </w:rPr>
              <w:t xml:space="preserve"> </w:t>
            </w:r>
            <w:r w:rsidRPr="009E47A6">
              <w:rPr>
                <w:bCs/>
                <w:sz w:val="19"/>
                <w:szCs w:val="19"/>
                <w:lang w:val="en-GB" w:bidi="ar-EG"/>
              </w:rPr>
              <w:t>(2004)</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Retrospective study level III</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N = 23 Study = 13 Control = 10</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Stage I</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The 13 study patient administered</w:t>
            </w:r>
          </w:p>
          <w:p w:rsidR="009F006F" w:rsidRPr="009E47A6" w:rsidRDefault="009F006F" w:rsidP="009E47A6">
            <w:pPr>
              <w:snapToGrid w:val="0"/>
              <w:rPr>
                <w:bCs/>
                <w:sz w:val="19"/>
                <w:szCs w:val="19"/>
                <w:lang w:val="en-GB" w:bidi="ar-EG"/>
              </w:rPr>
            </w:pPr>
            <w:r w:rsidRPr="009E47A6">
              <w:rPr>
                <w:bCs/>
                <w:sz w:val="19"/>
                <w:szCs w:val="19"/>
                <w:lang w:val="en-GB" w:bidi="ar-EG"/>
              </w:rPr>
              <w:t>Pamidronate were compared with 10 control patients who were treated with traditional immobilization methods</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Limb temperature and alkaline phosphatase</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3 week</w:t>
            </w:r>
          </w:p>
        </w:tc>
        <w:tc>
          <w:tcPr>
            <w:tcW w:w="0" w:type="auto"/>
            <w:shd w:val="clear" w:color="auto" w:fill="FFFFFF"/>
            <w:vAlign w:val="center"/>
          </w:tcPr>
          <w:p w:rsidR="009F006F" w:rsidRPr="009E47A6" w:rsidRDefault="009F006F" w:rsidP="009E47A6">
            <w:pPr>
              <w:snapToGrid w:val="0"/>
              <w:rPr>
                <w:bCs/>
                <w:sz w:val="19"/>
                <w:szCs w:val="19"/>
                <w:lang w:val="en-GB" w:bidi="ar-EG"/>
              </w:rPr>
            </w:pPr>
            <w:r w:rsidRPr="009E47A6">
              <w:rPr>
                <w:bCs/>
                <w:sz w:val="19"/>
                <w:szCs w:val="19"/>
                <w:lang w:val="en-GB" w:bidi="ar-EG"/>
              </w:rPr>
              <w:t>After pamidronate infusion limb temperature decreased 7.4 by 2 week. The alkaline phosphatase also decreased an average 53% 2 necks after infusion The control group show no significance reduction on limb temperature or alkaline phosphatase</w:t>
            </w:r>
          </w:p>
        </w:tc>
      </w:tr>
    </w:tbl>
    <w:p w:rsidR="00C22D76" w:rsidRDefault="00C22D76" w:rsidP="00B91206">
      <w:pPr>
        <w:snapToGrid w:val="0"/>
        <w:jc w:val="both"/>
        <w:rPr>
          <w:b/>
          <w:bCs/>
          <w:sz w:val="20"/>
          <w:szCs w:val="20"/>
          <w:lang w:val="en-GB" w:eastAsia="zh-CN" w:bidi="ar-EG"/>
        </w:rPr>
      </w:pPr>
    </w:p>
    <w:p w:rsidR="009E47A6" w:rsidRPr="009E47A6" w:rsidRDefault="009E47A6" w:rsidP="00B91206">
      <w:pPr>
        <w:snapToGrid w:val="0"/>
        <w:jc w:val="both"/>
        <w:rPr>
          <w:b/>
          <w:bCs/>
          <w:sz w:val="20"/>
          <w:szCs w:val="20"/>
          <w:lang w:val="en-GB" w:eastAsia="zh-CN" w:bidi="ar-EG"/>
        </w:rPr>
      </w:pPr>
    </w:p>
    <w:p w:rsidR="009F006F" w:rsidRPr="009E47A6" w:rsidRDefault="009F006F" w:rsidP="00B91206">
      <w:pPr>
        <w:numPr>
          <w:ilvl w:val="0"/>
          <w:numId w:val="21"/>
        </w:numPr>
        <w:snapToGrid w:val="0"/>
        <w:ind w:left="0" w:firstLine="0"/>
        <w:jc w:val="both"/>
        <w:rPr>
          <w:b/>
          <w:bCs/>
          <w:sz w:val="20"/>
          <w:szCs w:val="20"/>
          <w:lang w:val="en-GB" w:bidi="ar-EG"/>
        </w:rPr>
      </w:pPr>
      <w:r w:rsidRPr="009E47A6">
        <w:rPr>
          <w:b/>
          <w:bCs/>
          <w:sz w:val="20"/>
          <w:szCs w:val="20"/>
          <w:lang w:val="en-GB" w:bidi="ar-EG"/>
        </w:rPr>
        <w:lastRenderedPageBreak/>
        <w:t xml:space="preserve">Non-medical treatment of Charcot arthropathy </w:t>
      </w:r>
    </w:p>
    <w:tbl>
      <w:tblPr>
        <w:tblOverlap w:val="neve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880"/>
        <w:gridCol w:w="1303"/>
        <w:gridCol w:w="796"/>
        <w:gridCol w:w="756"/>
        <w:gridCol w:w="1425"/>
        <w:gridCol w:w="1418"/>
        <w:gridCol w:w="1134"/>
        <w:gridCol w:w="1764"/>
      </w:tblGrid>
      <w:tr w:rsidR="00AE1B41" w:rsidRPr="009E47A6" w:rsidTr="009E47A6">
        <w:trPr>
          <w:jc w:val="center"/>
        </w:trPr>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Article</w:t>
            </w:r>
          </w:p>
        </w:tc>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Study design/level of evidence</w:t>
            </w:r>
          </w:p>
        </w:tc>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No of patients</w:t>
            </w:r>
          </w:p>
        </w:tc>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Stage of disease</w:t>
            </w:r>
          </w:p>
        </w:tc>
        <w:tc>
          <w:tcPr>
            <w:tcW w:w="1425"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Non-surgical technique</w:t>
            </w:r>
          </w:p>
        </w:tc>
        <w:tc>
          <w:tcPr>
            <w:tcW w:w="1418"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Follow up data.</w:t>
            </w:r>
          </w:p>
        </w:tc>
        <w:tc>
          <w:tcPr>
            <w:tcW w:w="1134"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Follow up period</w:t>
            </w:r>
          </w:p>
        </w:tc>
        <w:tc>
          <w:tcPr>
            <w:tcW w:w="1764"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Results</w:t>
            </w:r>
          </w:p>
        </w:tc>
      </w:tr>
      <w:tr w:rsidR="00AE1B41" w:rsidRPr="009E47A6" w:rsidTr="009E47A6">
        <w:trPr>
          <w:jc w:val="center"/>
        </w:trPr>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3) Shwan Verity et al (2008)</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Retrospective study/level III</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N=21</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III</w:t>
            </w:r>
          </w:p>
        </w:tc>
        <w:tc>
          <w:tcPr>
            <w:tcW w:w="1425"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Prefabricated pneumatic removable walker brace filled with a custom orthotic insole</w:t>
            </w:r>
          </w:p>
        </w:tc>
        <w:tc>
          <w:tcPr>
            <w:tcW w:w="141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33 months</w:t>
            </w:r>
          </w:p>
        </w:tc>
        <w:tc>
          <w:tcPr>
            <w:tcW w:w="176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Patients’ subjective impression of removable walker brace:</w:t>
            </w:r>
          </w:p>
          <w:p w:rsidR="009F006F" w:rsidRPr="009E47A6" w:rsidRDefault="009F006F" w:rsidP="009E47A6">
            <w:pPr>
              <w:snapToGrid w:val="0"/>
              <w:rPr>
                <w:bCs/>
                <w:sz w:val="18"/>
                <w:szCs w:val="18"/>
                <w:lang w:bidi="en-US"/>
              </w:rPr>
            </w:pPr>
            <w:r w:rsidRPr="009E47A6">
              <w:rPr>
                <w:bCs/>
                <w:sz w:val="18"/>
                <w:szCs w:val="18"/>
                <w:lang w:bidi="en-US"/>
              </w:rPr>
              <w:t>Greatly helpful, 84%</w:t>
            </w:r>
          </w:p>
          <w:p w:rsidR="009F006F" w:rsidRPr="009E47A6" w:rsidRDefault="009F006F" w:rsidP="009E47A6">
            <w:pPr>
              <w:snapToGrid w:val="0"/>
              <w:rPr>
                <w:bCs/>
                <w:sz w:val="18"/>
                <w:szCs w:val="18"/>
                <w:lang w:bidi="en-US"/>
              </w:rPr>
            </w:pPr>
            <w:r w:rsidRPr="009E47A6">
              <w:rPr>
                <w:bCs/>
                <w:sz w:val="18"/>
                <w:szCs w:val="18"/>
                <w:lang w:bidi="en-US"/>
              </w:rPr>
              <w:t>Moderate helpful 8%</w:t>
            </w:r>
          </w:p>
          <w:p w:rsidR="009F006F" w:rsidRPr="009E47A6" w:rsidRDefault="009F006F" w:rsidP="009E47A6">
            <w:pPr>
              <w:snapToGrid w:val="0"/>
              <w:rPr>
                <w:bCs/>
                <w:sz w:val="18"/>
                <w:szCs w:val="18"/>
                <w:lang w:bidi="en-US"/>
              </w:rPr>
            </w:pPr>
            <w:r w:rsidRPr="009E47A6">
              <w:rPr>
                <w:bCs/>
                <w:sz w:val="18"/>
                <w:szCs w:val="18"/>
                <w:lang w:bidi="en-US"/>
              </w:rPr>
              <w:t>Minimally helpful 0%</w:t>
            </w:r>
          </w:p>
          <w:p w:rsidR="009F006F" w:rsidRPr="009E47A6" w:rsidRDefault="009F006F" w:rsidP="009E47A6">
            <w:pPr>
              <w:snapToGrid w:val="0"/>
              <w:rPr>
                <w:bCs/>
                <w:sz w:val="18"/>
                <w:szCs w:val="18"/>
                <w:lang w:val="en-GB" w:bidi="ar-EG"/>
              </w:rPr>
            </w:pPr>
            <w:r w:rsidRPr="009E47A6">
              <w:rPr>
                <w:bCs/>
                <w:sz w:val="18"/>
                <w:szCs w:val="18"/>
                <w:lang w:bidi="en-US"/>
              </w:rPr>
              <w:t>Not helpful at all 4% Aggravated condiltou:4%</w:t>
            </w:r>
          </w:p>
        </w:tc>
      </w:tr>
      <w:tr w:rsidR="00AE1B41" w:rsidRPr="009E47A6" w:rsidTr="009E47A6">
        <w:trPr>
          <w:jc w:val="center"/>
        </w:trPr>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4)leo (2008)</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Retrospective study 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N=27</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I/II</w:t>
            </w:r>
          </w:p>
        </w:tc>
        <w:tc>
          <w:tcPr>
            <w:tcW w:w="1425"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Immobilization in a weight bear total contact east</w:t>
            </w:r>
          </w:p>
        </w:tc>
        <w:tc>
          <w:tcPr>
            <w:tcW w:w="141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bidi="en-US"/>
              </w:rPr>
              <w:t>Patient interview, examination and radiography</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5.5 months</w:t>
            </w:r>
          </w:p>
        </w:tc>
        <w:tc>
          <w:tcPr>
            <w:tcW w:w="176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bidi="en-US"/>
              </w:rPr>
              <w:t>No deleterious effect from weight bearing</w:t>
            </w:r>
          </w:p>
        </w:tc>
      </w:tr>
    </w:tbl>
    <w:p w:rsidR="006146B9" w:rsidRPr="009E47A6" w:rsidRDefault="006146B9" w:rsidP="00B91206">
      <w:pPr>
        <w:snapToGrid w:val="0"/>
        <w:jc w:val="center"/>
        <w:rPr>
          <w:b/>
          <w:bCs/>
          <w:sz w:val="20"/>
          <w:szCs w:val="20"/>
        </w:rPr>
      </w:pPr>
    </w:p>
    <w:p w:rsidR="009F006F" w:rsidRPr="009E47A6" w:rsidRDefault="009F006F" w:rsidP="00B91206">
      <w:pPr>
        <w:snapToGrid w:val="0"/>
        <w:jc w:val="center"/>
        <w:rPr>
          <w:bCs/>
          <w:sz w:val="20"/>
          <w:szCs w:val="20"/>
          <w:lang w:val="en-GB" w:eastAsia="zh-CN" w:bidi="ar-EG"/>
        </w:rPr>
      </w:pPr>
      <w:r w:rsidRPr="009E47A6">
        <w:rPr>
          <w:b/>
          <w:bCs/>
          <w:sz w:val="20"/>
          <w:szCs w:val="20"/>
        </w:rPr>
        <w:t>Table (</w:t>
      </w:r>
      <w:r w:rsidR="005E301C" w:rsidRPr="009E47A6">
        <w:rPr>
          <w:b/>
          <w:bCs/>
          <w:sz w:val="20"/>
          <w:szCs w:val="20"/>
          <w:lang w:bidi="ar-EG"/>
        </w:rPr>
        <w:fldChar w:fldCharType="begin"/>
      </w:r>
      <w:r w:rsidRPr="009E47A6">
        <w:rPr>
          <w:b/>
          <w:bCs/>
          <w:sz w:val="20"/>
          <w:szCs w:val="20"/>
          <w:lang w:bidi="ar-EG"/>
        </w:rPr>
        <w:instrText xml:space="preserve"> SEQ Table \* ARABIC </w:instrText>
      </w:r>
      <w:r w:rsidR="005E301C" w:rsidRPr="009E47A6">
        <w:rPr>
          <w:b/>
          <w:bCs/>
          <w:sz w:val="20"/>
          <w:szCs w:val="20"/>
          <w:lang w:bidi="ar-EG"/>
        </w:rPr>
        <w:fldChar w:fldCharType="separate"/>
      </w:r>
      <w:r w:rsidR="004076BE" w:rsidRPr="009E47A6">
        <w:rPr>
          <w:b/>
          <w:bCs/>
          <w:noProof/>
          <w:sz w:val="20"/>
          <w:szCs w:val="20"/>
          <w:lang w:bidi="ar-EG"/>
        </w:rPr>
        <w:t>2</w:t>
      </w:r>
      <w:r w:rsidR="005E301C" w:rsidRPr="009E47A6">
        <w:rPr>
          <w:b/>
          <w:bCs/>
          <w:sz w:val="20"/>
          <w:szCs w:val="20"/>
          <w:lang w:bidi="ar-EG"/>
        </w:rPr>
        <w:fldChar w:fldCharType="end"/>
      </w:r>
      <w:r w:rsidRPr="009E47A6">
        <w:rPr>
          <w:b/>
          <w:bCs/>
          <w:sz w:val="20"/>
          <w:szCs w:val="20"/>
          <w:lang w:bidi="ar-EG"/>
        </w:rPr>
        <w:t>):</w:t>
      </w:r>
      <w:r w:rsidRPr="009E47A6">
        <w:rPr>
          <w:b/>
          <w:bCs/>
          <w:sz w:val="20"/>
          <w:szCs w:val="20"/>
          <w:lang w:val="en-GB" w:bidi="ar-EG"/>
        </w:rPr>
        <w:t xml:space="preserve"> </w:t>
      </w:r>
      <w:r w:rsidRPr="009E47A6">
        <w:rPr>
          <w:bCs/>
          <w:sz w:val="20"/>
          <w:szCs w:val="20"/>
          <w:lang w:val="en-GB" w:bidi="ar-EG"/>
        </w:rPr>
        <w:t>Surgical management of Charcot arthropathy.</w:t>
      </w:r>
    </w:p>
    <w:tbl>
      <w:tblPr>
        <w:tblOverlap w:val="neve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000"/>
      </w:tblPr>
      <w:tblGrid>
        <w:gridCol w:w="1292"/>
        <w:gridCol w:w="1202"/>
        <w:gridCol w:w="755"/>
        <w:gridCol w:w="1005"/>
        <w:gridCol w:w="1332"/>
        <w:gridCol w:w="1134"/>
        <w:gridCol w:w="708"/>
        <w:gridCol w:w="2048"/>
      </w:tblGrid>
      <w:tr w:rsidR="00AE1B41" w:rsidRPr="009E47A6" w:rsidTr="009E47A6">
        <w:trPr>
          <w:cantSplit/>
          <w:tblHeader/>
          <w:jc w:val="center"/>
        </w:trPr>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Article</w:t>
            </w:r>
          </w:p>
        </w:tc>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Study design/level of evidence</w:t>
            </w:r>
          </w:p>
        </w:tc>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No of patients</w:t>
            </w:r>
          </w:p>
        </w:tc>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Stage of disease</w:t>
            </w:r>
          </w:p>
        </w:tc>
        <w:tc>
          <w:tcPr>
            <w:tcW w:w="1332"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Non-surgical technique</w:t>
            </w:r>
          </w:p>
        </w:tc>
        <w:tc>
          <w:tcPr>
            <w:tcW w:w="1134"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Follow up data.</w:t>
            </w:r>
          </w:p>
        </w:tc>
        <w:tc>
          <w:tcPr>
            <w:tcW w:w="708"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Follow up period</w:t>
            </w:r>
          </w:p>
        </w:tc>
        <w:tc>
          <w:tcPr>
            <w:tcW w:w="2048" w:type="dxa"/>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Results</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val="en-GB" w:bidi="ar-EG"/>
              </w:rPr>
            </w:pPr>
            <w:r w:rsidRPr="009E47A6">
              <w:rPr>
                <w:b/>
                <w:bCs/>
                <w:sz w:val="18"/>
                <w:szCs w:val="18"/>
                <w:lang w:val="en-GB" w:bidi="ar-EG"/>
              </w:rPr>
              <w:t xml:space="preserve">1) </w:t>
            </w:r>
            <w:r w:rsidRPr="009E47A6">
              <w:rPr>
                <w:b/>
                <w:bCs/>
                <w:sz w:val="18"/>
                <w:szCs w:val="18"/>
                <w:lang w:bidi="en-US"/>
              </w:rPr>
              <w:t>Caravaggi et al.,</w:t>
            </w:r>
            <w:r w:rsidR="00AE1B41" w:rsidRPr="009E47A6">
              <w:rPr>
                <w:b/>
                <w:bCs/>
                <w:sz w:val="18"/>
                <w:szCs w:val="18"/>
                <w:lang w:bidi="en-US"/>
              </w:rPr>
              <w:t xml:space="preserve"> </w:t>
            </w:r>
            <w:r w:rsidRPr="009E47A6">
              <w:rPr>
                <w:b/>
                <w:bCs/>
                <w:sz w:val="18"/>
                <w:szCs w:val="18"/>
                <w:lang w:bidi="en-US"/>
              </w:rPr>
              <w:t>(2006)</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Cohort/level III</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No = 45</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Tibiocalcaneal arthrodesis using retrograde intramedullary nail fixation</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5</w:t>
            </w:r>
            <w:r w:rsidRPr="009E47A6">
              <w:rPr>
                <w:bCs/>
                <w:sz w:val="18"/>
                <w:szCs w:val="18"/>
                <w:vertAlign w:val="superscript"/>
                <w:lang w:bidi="en-US"/>
              </w:rPr>
              <w:t>±</w:t>
            </w:r>
            <w:r w:rsidRPr="009E47A6">
              <w:rPr>
                <w:bCs/>
                <w:sz w:val="18"/>
                <w:szCs w:val="18"/>
                <w:lang w:bidi="en-US"/>
              </w:rPr>
              <w:t>2.85 years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4 patients (8.88%): below knee amputation</w:t>
            </w:r>
          </w:p>
          <w:p w:rsidR="009F006F" w:rsidRPr="009E47A6" w:rsidRDefault="009F006F" w:rsidP="009E47A6">
            <w:pPr>
              <w:snapToGrid w:val="0"/>
              <w:rPr>
                <w:bCs/>
                <w:sz w:val="18"/>
                <w:szCs w:val="18"/>
                <w:lang w:val="en-GB" w:bidi="ar-EG"/>
              </w:rPr>
            </w:pPr>
            <w:r w:rsidRPr="009E47A6">
              <w:rPr>
                <w:bCs/>
                <w:sz w:val="18"/>
                <w:szCs w:val="18"/>
                <w:lang w:val="en-GB" w:bidi="ar-EG"/>
              </w:rPr>
              <w:t>2 patients (4.44%): fibrous union and required pneumatic casts for ambulation</w:t>
            </w:r>
          </w:p>
          <w:p w:rsidR="009F006F" w:rsidRPr="009E47A6" w:rsidRDefault="009F006F" w:rsidP="009E47A6">
            <w:pPr>
              <w:snapToGrid w:val="0"/>
              <w:rPr>
                <w:bCs/>
                <w:sz w:val="18"/>
                <w:szCs w:val="18"/>
                <w:lang w:val="en-GB" w:bidi="ar-EG"/>
              </w:rPr>
            </w:pPr>
            <w:r w:rsidRPr="009E47A6">
              <w:rPr>
                <w:bCs/>
                <w:sz w:val="18"/>
                <w:szCs w:val="18"/>
                <w:lang w:val="en-GB" w:bidi="ar-EG"/>
              </w:rPr>
              <w:t>39 patients (86.67%) solid union and returned to independent ambulation wearing custommade shoes with molded insoles</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2) Pawar et al. (2013)</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5</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I/III</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Retrograde antibiotic-coated locked intramedullary nail</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12-24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All achieving infection control and bony union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3) Fabrin et al.</w:t>
            </w:r>
            <w:r w:rsidR="00AE1B41" w:rsidRPr="009E47A6">
              <w:rPr>
                <w:b/>
                <w:bCs/>
                <w:sz w:val="18"/>
                <w:szCs w:val="18"/>
                <w:lang w:bidi="en-US"/>
              </w:rPr>
              <w:t xml:space="preserve"> </w:t>
            </w:r>
            <w:r w:rsidRPr="009E47A6">
              <w:rPr>
                <w:b/>
                <w:bCs/>
                <w:sz w:val="18"/>
                <w:szCs w:val="18"/>
                <w:lang w:bidi="en-US"/>
              </w:rPr>
              <w:t>(2007)</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11</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Arthrodesis with external fixation</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48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7 cases tibiotalar arthrodesis was performed:</w:t>
            </w:r>
          </w:p>
          <w:p w:rsidR="009F006F" w:rsidRPr="009E47A6" w:rsidRDefault="009F006F" w:rsidP="009E47A6">
            <w:pPr>
              <w:snapToGrid w:val="0"/>
              <w:rPr>
                <w:bCs/>
                <w:sz w:val="18"/>
                <w:szCs w:val="18"/>
                <w:lang w:val="en-GB" w:bidi="ar-EG"/>
              </w:rPr>
            </w:pPr>
            <w:r w:rsidRPr="009E47A6">
              <w:rPr>
                <w:bCs/>
                <w:sz w:val="18"/>
                <w:szCs w:val="18"/>
                <w:lang w:val="en-GB" w:bidi="ar-EG"/>
              </w:rPr>
              <w:t>5 bony union</w:t>
            </w:r>
          </w:p>
          <w:p w:rsidR="009F006F" w:rsidRPr="009E47A6" w:rsidRDefault="009F006F" w:rsidP="009E47A6">
            <w:pPr>
              <w:snapToGrid w:val="0"/>
              <w:rPr>
                <w:bCs/>
                <w:sz w:val="18"/>
                <w:szCs w:val="18"/>
                <w:lang w:val="en-GB" w:bidi="ar-EG"/>
              </w:rPr>
            </w:pPr>
            <w:r w:rsidRPr="009E47A6">
              <w:rPr>
                <w:bCs/>
                <w:sz w:val="18"/>
                <w:szCs w:val="18"/>
                <w:lang w:val="en-GB" w:bidi="ar-EG"/>
              </w:rPr>
              <w:t>2 fibrous union</w:t>
            </w:r>
          </w:p>
          <w:p w:rsidR="009F006F" w:rsidRPr="009E47A6" w:rsidRDefault="009F006F" w:rsidP="009E47A6">
            <w:pPr>
              <w:snapToGrid w:val="0"/>
              <w:rPr>
                <w:bCs/>
                <w:sz w:val="18"/>
                <w:szCs w:val="18"/>
                <w:lang w:val="en-GB" w:bidi="ar-EG"/>
              </w:rPr>
            </w:pPr>
            <w:r w:rsidRPr="009E47A6">
              <w:rPr>
                <w:bCs/>
                <w:sz w:val="18"/>
                <w:szCs w:val="18"/>
                <w:lang w:val="en-GB" w:bidi="ar-EG"/>
              </w:rPr>
              <w:t>5 cases tibiocalcaneal arthrodesis was performed: arthrodesis was performed:</w:t>
            </w:r>
          </w:p>
          <w:p w:rsidR="009F006F" w:rsidRPr="009E47A6" w:rsidRDefault="009F006F" w:rsidP="009E47A6">
            <w:pPr>
              <w:snapToGrid w:val="0"/>
              <w:rPr>
                <w:bCs/>
                <w:sz w:val="18"/>
                <w:szCs w:val="18"/>
                <w:lang w:val="en-GB" w:bidi="ar-EG"/>
              </w:rPr>
            </w:pPr>
            <w:r w:rsidRPr="009E47A6">
              <w:rPr>
                <w:bCs/>
                <w:sz w:val="18"/>
                <w:szCs w:val="18"/>
                <w:lang w:val="en-GB" w:bidi="ar-EG"/>
              </w:rPr>
              <w:t>1 bony union</w:t>
            </w:r>
          </w:p>
          <w:p w:rsidR="009F006F" w:rsidRPr="009E47A6" w:rsidRDefault="009F006F" w:rsidP="009E47A6">
            <w:pPr>
              <w:snapToGrid w:val="0"/>
              <w:rPr>
                <w:bCs/>
                <w:sz w:val="18"/>
                <w:szCs w:val="18"/>
                <w:lang w:val="en-GB" w:bidi="ar-EG"/>
              </w:rPr>
            </w:pPr>
            <w:r w:rsidRPr="009E47A6">
              <w:rPr>
                <w:bCs/>
                <w:sz w:val="18"/>
                <w:szCs w:val="18"/>
                <w:lang w:val="en-GB" w:bidi="ar-EG"/>
              </w:rPr>
              <w:t>2 stable fibrous union</w:t>
            </w:r>
          </w:p>
          <w:p w:rsidR="009F006F" w:rsidRPr="009E47A6" w:rsidRDefault="009F006F" w:rsidP="009E47A6">
            <w:pPr>
              <w:snapToGrid w:val="0"/>
              <w:rPr>
                <w:bCs/>
                <w:sz w:val="18"/>
                <w:szCs w:val="18"/>
                <w:lang w:val="en-GB" w:bidi="ar-EG"/>
              </w:rPr>
            </w:pPr>
            <w:r w:rsidRPr="009E47A6">
              <w:rPr>
                <w:bCs/>
                <w:sz w:val="18"/>
                <w:szCs w:val="18"/>
                <w:lang w:val="en-GB" w:bidi="ar-EG"/>
              </w:rPr>
              <w:t>1 unstable fibrous union</w:t>
            </w:r>
          </w:p>
          <w:p w:rsidR="009F006F" w:rsidRPr="009E47A6" w:rsidRDefault="009F006F" w:rsidP="009E47A6">
            <w:pPr>
              <w:snapToGrid w:val="0"/>
              <w:rPr>
                <w:bCs/>
                <w:sz w:val="18"/>
                <w:szCs w:val="18"/>
                <w:lang w:val="en-GB" w:bidi="ar-EG"/>
              </w:rPr>
            </w:pPr>
            <w:r w:rsidRPr="009E47A6">
              <w:rPr>
                <w:bCs/>
                <w:sz w:val="18"/>
                <w:szCs w:val="18"/>
                <w:lang w:val="en-GB" w:bidi="ar-EG"/>
              </w:rPr>
              <w:t>1 amputation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4) Ayoub (2008)</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17</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II/III</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Tibiotalar arthrodesis (crossed screw technique)</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26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Success rate: 82.4%</w:t>
            </w:r>
          </w:p>
          <w:p w:rsidR="009F006F" w:rsidRPr="009E47A6" w:rsidRDefault="009F006F" w:rsidP="009E47A6">
            <w:pPr>
              <w:snapToGrid w:val="0"/>
              <w:rPr>
                <w:bCs/>
                <w:sz w:val="18"/>
                <w:szCs w:val="18"/>
                <w:lang w:val="en-GB" w:bidi="ar-EG"/>
              </w:rPr>
            </w:pPr>
            <w:r w:rsidRPr="009E47A6">
              <w:rPr>
                <w:bCs/>
                <w:sz w:val="18"/>
                <w:szCs w:val="18"/>
                <w:lang w:val="en-GB" w:bidi="ar-EG"/>
              </w:rPr>
              <w:t>9 patients: bony union</w:t>
            </w:r>
          </w:p>
          <w:p w:rsidR="009F006F" w:rsidRPr="009E47A6" w:rsidRDefault="009F006F" w:rsidP="009E47A6">
            <w:pPr>
              <w:snapToGrid w:val="0"/>
              <w:rPr>
                <w:bCs/>
                <w:sz w:val="18"/>
                <w:szCs w:val="18"/>
                <w:lang w:val="en-GB" w:bidi="ar-EG"/>
              </w:rPr>
            </w:pPr>
            <w:r w:rsidRPr="009E47A6">
              <w:rPr>
                <w:bCs/>
                <w:sz w:val="18"/>
                <w:szCs w:val="18"/>
                <w:lang w:val="en-GB" w:bidi="ar-EG"/>
              </w:rPr>
              <w:t>5 patients: stiff fibrous union</w:t>
            </w:r>
          </w:p>
          <w:p w:rsidR="009F006F" w:rsidRPr="009E47A6" w:rsidRDefault="009F006F" w:rsidP="009E47A6">
            <w:pPr>
              <w:snapToGrid w:val="0"/>
              <w:rPr>
                <w:bCs/>
                <w:sz w:val="18"/>
                <w:szCs w:val="18"/>
                <w:lang w:val="en-GB" w:bidi="ar-EG"/>
              </w:rPr>
            </w:pPr>
            <w:r w:rsidRPr="009E47A6">
              <w:rPr>
                <w:bCs/>
                <w:sz w:val="18"/>
                <w:szCs w:val="18"/>
                <w:lang w:val="en-GB" w:bidi="ar-EG"/>
              </w:rPr>
              <w:t>3 patients: below knee amputation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lastRenderedPageBreak/>
              <w:t>5) El-Gafary et al., (2009)</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20</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Surgical arthrodesis by illizarove frame</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20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10% success</w:t>
            </w:r>
          </w:p>
          <w:p w:rsidR="009F006F" w:rsidRPr="009E47A6" w:rsidRDefault="009F006F" w:rsidP="009E47A6">
            <w:pPr>
              <w:snapToGrid w:val="0"/>
              <w:rPr>
                <w:bCs/>
                <w:sz w:val="18"/>
                <w:szCs w:val="18"/>
                <w:lang w:val="en-GB" w:bidi="ar-EG"/>
              </w:rPr>
            </w:pPr>
            <w:r w:rsidRPr="009E47A6">
              <w:rPr>
                <w:bCs/>
                <w:sz w:val="18"/>
                <w:szCs w:val="18"/>
                <w:lang w:val="en-GB" w:bidi="ar-EG"/>
              </w:rPr>
              <w:t>All patients show solid union and correction of deformities</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6) Pinzur et al.,</w:t>
            </w:r>
            <w:r w:rsidR="00AE1B41" w:rsidRPr="009E47A6">
              <w:rPr>
                <w:b/>
                <w:bCs/>
                <w:sz w:val="18"/>
                <w:szCs w:val="18"/>
                <w:lang w:bidi="en-US"/>
              </w:rPr>
              <w:t xml:space="preserve"> </w:t>
            </w:r>
            <w:r w:rsidRPr="009E47A6">
              <w:rPr>
                <w:b/>
                <w:bCs/>
                <w:sz w:val="18"/>
                <w:szCs w:val="18"/>
                <w:lang w:bidi="en-US"/>
              </w:rPr>
              <w:t>(2007)</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9</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Arthrodesis with retrograde intramedullary nailing</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32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100% success</w:t>
            </w:r>
          </w:p>
          <w:p w:rsidR="009F006F" w:rsidRPr="009E47A6" w:rsidRDefault="009F006F" w:rsidP="009E47A6">
            <w:pPr>
              <w:snapToGrid w:val="0"/>
              <w:rPr>
                <w:bCs/>
                <w:sz w:val="18"/>
                <w:szCs w:val="18"/>
                <w:lang w:val="en-GB" w:bidi="ar-EG"/>
              </w:rPr>
            </w:pPr>
            <w:r w:rsidRPr="009E47A6">
              <w:rPr>
                <w:bCs/>
                <w:sz w:val="18"/>
                <w:szCs w:val="18"/>
                <w:lang w:val="en-GB" w:bidi="ar-EG"/>
              </w:rPr>
              <w:t>9 patients show union fusion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7) Pinzur et al., (1997)</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20</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Retrograde locked intramedullary</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12-31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19 patients achieved bony fusion:</w:t>
            </w:r>
          </w:p>
          <w:p w:rsidR="009F006F" w:rsidRPr="009E47A6" w:rsidRDefault="009F006F" w:rsidP="009E47A6">
            <w:pPr>
              <w:snapToGrid w:val="0"/>
              <w:rPr>
                <w:bCs/>
                <w:sz w:val="18"/>
                <w:szCs w:val="18"/>
                <w:lang w:val="en-GB" w:bidi="ar-EG"/>
              </w:rPr>
            </w:pPr>
            <w:r w:rsidRPr="009E47A6">
              <w:rPr>
                <w:bCs/>
                <w:sz w:val="18"/>
                <w:szCs w:val="18"/>
                <w:lang w:val="en-GB" w:bidi="ar-EG"/>
              </w:rPr>
              <w:t>1 patient</w:t>
            </w:r>
            <w:r w:rsidR="00AE1B41" w:rsidRPr="009E47A6">
              <w:rPr>
                <w:bCs/>
                <w:sz w:val="18"/>
                <w:szCs w:val="18"/>
                <w:lang w:val="en-GB" w:bidi="ar-EG"/>
              </w:rPr>
              <w:t>:</w:t>
            </w:r>
            <w:r w:rsidRPr="009E47A6">
              <w:rPr>
                <w:bCs/>
                <w:sz w:val="18"/>
                <w:szCs w:val="18"/>
                <w:lang w:val="en-GB" w:bidi="ar-EG"/>
              </w:rPr>
              <w:t xml:space="preserve"> Amputation</w:t>
            </w:r>
          </w:p>
          <w:p w:rsidR="009F006F" w:rsidRPr="009E47A6" w:rsidRDefault="009F006F" w:rsidP="009E47A6">
            <w:pPr>
              <w:snapToGrid w:val="0"/>
              <w:rPr>
                <w:bCs/>
                <w:sz w:val="18"/>
                <w:szCs w:val="18"/>
                <w:lang w:val="en-GB" w:bidi="ar-EG"/>
              </w:rPr>
            </w:pPr>
            <w:r w:rsidRPr="009E47A6">
              <w:rPr>
                <w:bCs/>
                <w:sz w:val="18"/>
                <w:szCs w:val="18"/>
                <w:lang w:val="en-GB" w:bidi="ar-EG"/>
              </w:rPr>
              <w:t>1 patient: Died</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8) Caravaggi et al.,</w:t>
            </w:r>
            <w:r w:rsidR="00AE1B41" w:rsidRPr="009E47A6">
              <w:rPr>
                <w:b/>
                <w:bCs/>
                <w:sz w:val="18"/>
                <w:szCs w:val="18"/>
                <w:lang w:bidi="en-US"/>
              </w:rPr>
              <w:t xml:space="preserve"> </w:t>
            </w:r>
            <w:r w:rsidRPr="009E47A6">
              <w:rPr>
                <w:b/>
                <w:bCs/>
                <w:sz w:val="18"/>
                <w:szCs w:val="18"/>
                <w:lang w:bidi="en-US"/>
              </w:rPr>
              <w:t>(2006)</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14</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Intramedullary compressive nail fixation</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18</w:t>
            </w:r>
            <w:r w:rsidRPr="009E47A6">
              <w:rPr>
                <w:bCs/>
                <w:sz w:val="18"/>
                <w:szCs w:val="18"/>
                <w:vertAlign w:val="superscript"/>
                <w:lang w:bidi="en-US"/>
              </w:rPr>
              <w:t>±</w:t>
            </w:r>
            <w:r w:rsidRPr="009E47A6">
              <w:rPr>
                <w:bCs/>
                <w:sz w:val="18"/>
                <w:szCs w:val="18"/>
                <w:lang w:bidi="en-US"/>
              </w:rPr>
              <w:t>4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Success rate 92.2%</w:t>
            </w:r>
          </w:p>
          <w:p w:rsidR="009F006F" w:rsidRPr="009E47A6" w:rsidRDefault="009F006F" w:rsidP="009E47A6">
            <w:pPr>
              <w:snapToGrid w:val="0"/>
              <w:rPr>
                <w:bCs/>
                <w:sz w:val="18"/>
                <w:szCs w:val="18"/>
                <w:lang w:val="en-GB" w:bidi="ar-EG"/>
              </w:rPr>
            </w:pPr>
            <w:r w:rsidRPr="009E47A6">
              <w:rPr>
                <w:bCs/>
                <w:sz w:val="18"/>
                <w:szCs w:val="18"/>
                <w:lang w:val="en-GB" w:bidi="ar-EG"/>
              </w:rPr>
              <w:t>10 patients achieved solid arthrodesis returning to walking with protective shoes</w:t>
            </w:r>
          </w:p>
          <w:p w:rsidR="009F006F" w:rsidRPr="009E47A6" w:rsidRDefault="009F006F" w:rsidP="009E47A6">
            <w:pPr>
              <w:snapToGrid w:val="0"/>
              <w:rPr>
                <w:bCs/>
                <w:sz w:val="18"/>
                <w:szCs w:val="18"/>
                <w:lang w:val="en-GB" w:bidi="ar-EG"/>
              </w:rPr>
            </w:pPr>
            <w:r w:rsidRPr="009E47A6">
              <w:rPr>
                <w:bCs/>
                <w:sz w:val="18"/>
                <w:szCs w:val="18"/>
                <w:lang w:val="en-GB" w:bidi="ar-EG"/>
              </w:rPr>
              <w:t>3 patients develop fibrous union that allowed walking with brace</w:t>
            </w:r>
          </w:p>
          <w:p w:rsidR="009F006F" w:rsidRPr="009E47A6" w:rsidRDefault="009F006F" w:rsidP="009E47A6">
            <w:pPr>
              <w:snapToGrid w:val="0"/>
              <w:rPr>
                <w:bCs/>
                <w:sz w:val="18"/>
                <w:szCs w:val="18"/>
                <w:lang w:val="en-GB" w:bidi="ar-EG"/>
              </w:rPr>
            </w:pPr>
            <w:r w:rsidRPr="009E47A6">
              <w:rPr>
                <w:bCs/>
                <w:sz w:val="18"/>
                <w:szCs w:val="18"/>
                <w:lang w:val="en-GB" w:bidi="ar-EG"/>
              </w:rPr>
              <w:t>1 patients: below knee amputation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9) Paola et al.,</w:t>
            </w:r>
            <w:r w:rsidR="00AE1B41" w:rsidRPr="009E47A6">
              <w:rPr>
                <w:b/>
                <w:bCs/>
                <w:sz w:val="18"/>
                <w:szCs w:val="18"/>
                <w:lang w:bidi="en-US"/>
              </w:rPr>
              <w:t xml:space="preserve"> </w:t>
            </w:r>
            <w:r w:rsidRPr="009E47A6">
              <w:rPr>
                <w:b/>
                <w:bCs/>
                <w:sz w:val="18"/>
                <w:szCs w:val="18"/>
                <w:lang w:bidi="en-US"/>
              </w:rPr>
              <w:t>(2007)</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1</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IV</w:t>
            </w:r>
          </w:p>
        </w:tc>
        <w:tc>
          <w:tcPr>
            <w:tcW w:w="1332"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val="en-GB" w:bidi="ar-EG"/>
              </w:rPr>
              <w:t>Panarthrodesis of ankle using intramedullary retrograde transcalcaneal mailing</w:t>
            </w:r>
          </w:p>
        </w:tc>
        <w:tc>
          <w:tcPr>
            <w:tcW w:w="1134"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14</w:t>
            </w:r>
            <w:r w:rsidRPr="009E47A6">
              <w:rPr>
                <w:bCs/>
                <w:sz w:val="18"/>
                <w:szCs w:val="18"/>
                <w:vertAlign w:val="superscript"/>
                <w:lang w:bidi="en-US"/>
              </w:rPr>
              <w:t>±</w:t>
            </w:r>
            <w:r w:rsidRPr="009E47A6">
              <w:rPr>
                <w:bCs/>
                <w:sz w:val="18"/>
                <w:szCs w:val="18"/>
                <w:lang w:bidi="en-US"/>
              </w:rPr>
              <w:t>10.1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The percentage of limb salvage 100% due to control patient selection</w:t>
            </w:r>
          </w:p>
          <w:p w:rsidR="009F006F" w:rsidRPr="009E47A6" w:rsidRDefault="009F006F" w:rsidP="009E47A6">
            <w:pPr>
              <w:snapToGrid w:val="0"/>
              <w:rPr>
                <w:bCs/>
                <w:sz w:val="18"/>
                <w:szCs w:val="18"/>
                <w:lang w:val="en-GB" w:bidi="ar-EG"/>
              </w:rPr>
            </w:pPr>
            <w:r w:rsidRPr="009E47A6">
              <w:rPr>
                <w:bCs/>
                <w:sz w:val="18"/>
                <w:szCs w:val="18"/>
                <w:lang w:val="en-GB" w:bidi="ar-EG"/>
              </w:rPr>
              <w:t>14 patients: complete bony union of ankle arthrodesis and were able to wear shoes</w:t>
            </w:r>
          </w:p>
          <w:p w:rsidR="009F006F" w:rsidRPr="009E47A6" w:rsidRDefault="009F006F" w:rsidP="009E47A6">
            <w:pPr>
              <w:snapToGrid w:val="0"/>
              <w:rPr>
                <w:bCs/>
                <w:sz w:val="18"/>
                <w:szCs w:val="18"/>
                <w:lang w:val="en-GB" w:bidi="ar-EG"/>
              </w:rPr>
            </w:pPr>
            <w:r w:rsidRPr="009E47A6">
              <w:rPr>
                <w:bCs/>
                <w:sz w:val="18"/>
                <w:szCs w:val="18"/>
                <w:lang w:val="en-GB" w:bidi="ar-EG"/>
              </w:rPr>
              <w:t>4 patients: fibrous union and still walking with a pneumatic walker – custom molded ankle foot orthosis was prescribed which allowed shoes wear</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10) Yousry and Abdalhady (2010)</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12</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II/III</w:t>
            </w:r>
          </w:p>
        </w:tc>
        <w:tc>
          <w:tcPr>
            <w:tcW w:w="1332"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Tibiocalcaneal and tibitalar fusion using an illiazrove frame</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19.3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Success rate 75%</w:t>
            </w:r>
          </w:p>
          <w:p w:rsidR="009F006F" w:rsidRPr="009E47A6" w:rsidRDefault="009F006F" w:rsidP="009E47A6">
            <w:pPr>
              <w:snapToGrid w:val="0"/>
              <w:rPr>
                <w:bCs/>
                <w:sz w:val="18"/>
                <w:szCs w:val="18"/>
                <w:lang w:val="en-GB" w:bidi="ar-EG"/>
              </w:rPr>
            </w:pPr>
            <w:r w:rsidRPr="009E47A6">
              <w:rPr>
                <w:bCs/>
                <w:sz w:val="18"/>
                <w:szCs w:val="18"/>
                <w:lang w:val="en-GB" w:bidi="ar-EG"/>
              </w:rPr>
              <w:t>Fusion was confirmed in 9 patients (75%)</w:t>
            </w:r>
          </w:p>
          <w:p w:rsidR="009F006F" w:rsidRPr="009E47A6" w:rsidRDefault="009F006F" w:rsidP="009E47A6">
            <w:pPr>
              <w:snapToGrid w:val="0"/>
              <w:rPr>
                <w:bCs/>
                <w:sz w:val="18"/>
                <w:szCs w:val="18"/>
                <w:lang w:val="en-GB" w:bidi="ar-EG"/>
              </w:rPr>
            </w:pPr>
            <w:r w:rsidRPr="009E47A6">
              <w:rPr>
                <w:bCs/>
                <w:sz w:val="18"/>
                <w:szCs w:val="18"/>
                <w:lang w:val="en-GB" w:bidi="ar-EG"/>
              </w:rPr>
              <w:t>2 patients had pseudoarthrosis</w:t>
            </w:r>
          </w:p>
          <w:p w:rsidR="009F006F" w:rsidRPr="009E47A6" w:rsidRDefault="009F006F" w:rsidP="009E47A6">
            <w:pPr>
              <w:snapToGrid w:val="0"/>
              <w:rPr>
                <w:bCs/>
                <w:sz w:val="18"/>
                <w:szCs w:val="18"/>
                <w:lang w:val="en-GB" w:bidi="ar-EG"/>
              </w:rPr>
            </w:pPr>
            <w:r w:rsidRPr="009E47A6">
              <w:rPr>
                <w:bCs/>
                <w:sz w:val="18"/>
                <w:szCs w:val="18"/>
                <w:lang w:val="en-GB" w:bidi="ar-EG"/>
              </w:rPr>
              <w:t>1 patient had unstable pseudoarthrosis</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11) Siebachmeyer et al.,</w:t>
            </w:r>
            <w:r w:rsidRPr="009E47A6">
              <w:rPr>
                <w:b/>
                <w:bCs/>
                <w:sz w:val="18"/>
                <w:szCs w:val="18"/>
                <w:vertAlign w:val="superscript"/>
                <w:lang w:bidi="en-US"/>
              </w:rPr>
              <w:t xml:space="preserve"> </w:t>
            </w:r>
            <w:r w:rsidRPr="009E47A6">
              <w:rPr>
                <w:b/>
                <w:bCs/>
                <w:sz w:val="18"/>
                <w:szCs w:val="18"/>
                <w:lang w:bidi="en-US"/>
              </w:rPr>
              <w:t>(2015)</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Prospective study/level IV</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20</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Retrograde intramedullary nail</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26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21 feet:</w:t>
            </w:r>
          </w:p>
          <w:p w:rsidR="009F006F" w:rsidRPr="009E47A6" w:rsidRDefault="009F006F" w:rsidP="009E47A6">
            <w:pPr>
              <w:snapToGrid w:val="0"/>
              <w:rPr>
                <w:bCs/>
                <w:sz w:val="18"/>
                <w:szCs w:val="18"/>
                <w:lang w:val="en-GB" w:bidi="ar-EG"/>
              </w:rPr>
            </w:pPr>
            <w:r w:rsidRPr="009E47A6">
              <w:rPr>
                <w:bCs/>
                <w:sz w:val="18"/>
                <w:szCs w:val="18"/>
                <w:lang w:val="en-GB" w:bidi="ar-EG"/>
              </w:rPr>
              <w:t>All achieved limb salvage 100%</w:t>
            </w:r>
          </w:p>
          <w:p w:rsidR="009F006F" w:rsidRPr="009E47A6" w:rsidRDefault="009F006F" w:rsidP="009E47A6">
            <w:pPr>
              <w:snapToGrid w:val="0"/>
              <w:rPr>
                <w:bCs/>
                <w:sz w:val="18"/>
                <w:szCs w:val="18"/>
                <w:lang w:val="en-GB" w:bidi="ar-EG"/>
              </w:rPr>
            </w:pPr>
            <w:r w:rsidRPr="009E47A6">
              <w:rPr>
                <w:bCs/>
                <w:sz w:val="18"/>
                <w:szCs w:val="18"/>
                <w:lang w:val="en-GB" w:bidi="ar-EG"/>
              </w:rPr>
              <w:t>19 feet show bony fusion</w:t>
            </w:r>
          </w:p>
          <w:p w:rsidR="009F006F" w:rsidRPr="009E47A6" w:rsidRDefault="009F006F" w:rsidP="009E47A6">
            <w:pPr>
              <w:snapToGrid w:val="0"/>
              <w:rPr>
                <w:bCs/>
                <w:sz w:val="18"/>
                <w:szCs w:val="18"/>
                <w:lang w:val="en-GB" w:bidi="ar-EG"/>
              </w:rPr>
            </w:pPr>
            <w:r w:rsidRPr="009E47A6">
              <w:rPr>
                <w:bCs/>
                <w:sz w:val="18"/>
                <w:szCs w:val="18"/>
                <w:lang w:val="en-GB" w:bidi="ar-EG"/>
              </w:rPr>
              <w:t>1 feet shows stable fibrous union</w:t>
            </w:r>
          </w:p>
          <w:p w:rsidR="009F006F" w:rsidRPr="009E47A6" w:rsidRDefault="009F006F" w:rsidP="009E47A6">
            <w:pPr>
              <w:snapToGrid w:val="0"/>
              <w:rPr>
                <w:bCs/>
                <w:sz w:val="18"/>
                <w:szCs w:val="18"/>
                <w:lang w:val="en-GB" w:bidi="ar-EG"/>
              </w:rPr>
            </w:pPr>
            <w:r w:rsidRPr="009E47A6">
              <w:rPr>
                <w:bCs/>
                <w:sz w:val="18"/>
                <w:szCs w:val="18"/>
                <w:lang w:val="en-GB" w:bidi="ar-EG"/>
              </w:rPr>
              <w:t>1 feet shows non-union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12) Zarutsky et al.,</w:t>
            </w:r>
            <w:r w:rsidR="00AE1B41" w:rsidRPr="009E47A6">
              <w:rPr>
                <w:b/>
                <w:bCs/>
                <w:sz w:val="18"/>
                <w:szCs w:val="18"/>
                <w:lang w:bidi="en-US"/>
              </w:rPr>
              <w:t xml:space="preserve"> </w:t>
            </w:r>
            <w:r w:rsidRPr="009E47A6">
              <w:rPr>
                <w:b/>
                <w:bCs/>
                <w:sz w:val="18"/>
                <w:szCs w:val="18"/>
                <w:lang w:bidi="en-US"/>
              </w:rPr>
              <w:t>(2005)</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Retrospective analysis/level III</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11</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Circular wire external fixator</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27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Bony union: 7 patients</w:t>
            </w:r>
          </w:p>
          <w:p w:rsidR="009F006F" w:rsidRPr="009E47A6" w:rsidRDefault="009F006F" w:rsidP="009E47A6">
            <w:pPr>
              <w:snapToGrid w:val="0"/>
              <w:rPr>
                <w:bCs/>
                <w:sz w:val="18"/>
                <w:szCs w:val="18"/>
                <w:lang w:val="en-GB" w:bidi="ar-EG"/>
              </w:rPr>
            </w:pPr>
            <w:r w:rsidRPr="009E47A6">
              <w:rPr>
                <w:bCs/>
                <w:sz w:val="18"/>
                <w:szCs w:val="18"/>
                <w:lang w:val="en-GB" w:bidi="ar-EG"/>
              </w:rPr>
              <w:t>Fibrous union: 3 patients</w:t>
            </w:r>
          </w:p>
          <w:p w:rsidR="009F006F" w:rsidRPr="009E47A6" w:rsidRDefault="009F006F" w:rsidP="009E47A6">
            <w:pPr>
              <w:snapToGrid w:val="0"/>
              <w:rPr>
                <w:bCs/>
                <w:sz w:val="18"/>
                <w:szCs w:val="18"/>
                <w:lang w:val="en-GB" w:bidi="ar-EG"/>
              </w:rPr>
            </w:pPr>
            <w:r w:rsidRPr="009E47A6">
              <w:rPr>
                <w:bCs/>
                <w:sz w:val="18"/>
                <w:szCs w:val="18"/>
                <w:lang w:val="en-GB" w:bidi="ar-EG"/>
              </w:rPr>
              <w:t>Amputation: 1 patient</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lastRenderedPageBreak/>
              <w:t>13) Shah and De (2011)</w:t>
            </w:r>
          </w:p>
        </w:tc>
        <w:tc>
          <w:tcPr>
            <w:tcW w:w="0" w:type="auto"/>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Retrospective analysis/level III</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N = 11</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Stage II/III</w:t>
            </w:r>
          </w:p>
        </w:tc>
        <w:tc>
          <w:tcPr>
            <w:tcW w:w="1332"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6 patients used external fixator</w:t>
            </w:r>
          </w:p>
          <w:p w:rsidR="009F006F" w:rsidRPr="009E47A6" w:rsidRDefault="009F006F" w:rsidP="009E47A6">
            <w:pPr>
              <w:snapToGrid w:val="0"/>
              <w:rPr>
                <w:bCs/>
                <w:sz w:val="18"/>
                <w:szCs w:val="18"/>
                <w:lang w:val="en-GB" w:bidi="ar-EG"/>
              </w:rPr>
            </w:pPr>
            <w:r w:rsidRPr="009E47A6">
              <w:rPr>
                <w:bCs/>
                <w:sz w:val="18"/>
                <w:szCs w:val="18"/>
                <w:lang w:val="en-GB" w:bidi="ar-EG"/>
              </w:rPr>
              <w:t>5 patients used retrograde intramedullary nail</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4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Regarding intramedullary nail all 5 patients achieved bony union (100%)</w:t>
            </w:r>
          </w:p>
          <w:p w:rsidR="009F006F" w:rsidRPr="009E47A6" w:rsidRDefault="009F006F" w:rsidP="009E47A6">
            <w:pPr>
              <w:snapToGrid w:val="0"/>
              <w:rPr>
                <w:bCs/>
                <w:sz w:val="18"/>
                <w:szCs w:val="18"/>
                <w:lang w:val="en-GB" w:bidi="ar-EG"/>
              </w:rPr>
            </w:pPr>
            <w:r w:rsidRPr="009E47A6">
              <w:rPr>
                <w:bCs/>
                <w:sz w:val="18"/>
                <w:szCs w:val="18"/>
                <w:lang w:val="en-GB" w:bidi="ar-EG"/>
              </w:rPr>
              <w:t>Regarding external fixator 6 patients:</w:t>
            </w:r>
          </w:p>
          <w:p w:rsidR="009F006F" w:rsidRPr="009E47A6" w:rsidRDefault="009F006F" w:rsidP="009E47A6">
            <w:pPr>
              <w:snapToGrid w:val="0"/>
              <w:rPr>
                <w:bCs/>
                <w:sz w:val="18"/>
                <w:szCs w:val="18"/>
                <w:lang w:val="en-GB" w:bidi="ar-EG"/>
              </w:rPr>
            </w:pPr>
            <w:r w:rsidRPr="009E47A6">
              <w:rPr>
                <w:bCs/>
                <w:sz w:val="18"/>
                <w:szCs w:val="18"/>
                <w:lang w:val="en-GB" w:bidi="ar-EG"/>
              </w:rPr>
              <w:t>1 patient bony union</w:t>
            </w:r>
          </w:p>
          <w:p w:rsidR="009F006F" w:rsidRPr="009E47A6" w:rsidRDefault="009F006F" w:rsidP="009E47A6">
            <w:pPr>
              <w:snapToGrid w:val="0"/>
              <w:rPr>
                <w:bCs/>
                <w:sz w:val="18"/>
                <w:szCs w:val="18"/>
                <w:lang w:val="en-GB" w:bidi="ar-EG"/>
              </w:rPr>
            </w:pPr>
            <w:r w:rsidRPr="009E47A6">
              <w:rPr>
                <w:bCs/>
                <w:sz w:val="18"/>
                <w:szCs w:val="18"/>
                <w:lang w:val="en-GB" w:bidi="ar-EG"/>
              </w:rPr>
              <w:t>4 patients non-union</w:t>
            </w:r>
          </w:p>
          <w:p w:rsidR="009F006F" w:rsidRPr="009E47A6" w:rsidRDefault="009F006F" w:rsidP="009E47A6">
            <w:pPr>
              <w:snapToGrid w:val="0"/>
              <w:rPr>
                <w:bCs/>
                <w:sz w:val="18"/>
                <w:szCs w:val="18"/>
                <w:lang w:val="en-GB" w:bidi="ar-EG"/>
              </w:rPr>
            </w:pPr>
            <w:r w:rsidRPr="009E47A6">
              <w:rPr>
                <w:bCs/>
                <w:sz w:val="18"/>
                <w:szCs w:val="18"/>
                <w:lang w:val="en-GB" w:bidi="ar-EG"/>
              </w:rPr>
              <w:t>1 patient amputation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14) Myerson et al.,</w:t>
            </w:r>
            <w:r w:rsidR="00AE1B41" w:rsidRPr="009E47A6">
              <w:rPr>
                <w:b/>
                <w:bCs/>
                <w:sz w:val="18"/>
                <w:szCs w:val="18"/>
                <w:lang w:bidi="en-US"/>
              </w:rPr>
              <w:t xml:space="preserve"> </w:t>
            </w:r>
            <w:r w:rsidRPr="009E47A6">
              <w:rPr>
                <w:b/>
                <w:bCs/>
                <w:sz w:val="18"/>
                <w:szCs w:val="18"/>
                <w:lang w:bidi="en-US"/>
              </w:rPr>
              <w:t>(2010)</w:t>
            </w:r>
          </w:p>
        </w:tc>
        <w:tc>
          <w:tcPr>
            <w:tcW w:w="0" w:type="auto"/>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Retrospective case series/level IV</w:t>
            </w:r>
          </w:p>
        </w:tc>
        <w:tc>
          <w:tcPr>
            <w:tcW w:w="0" w:type="auto"/>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N = 26</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Tibicalcaneal arthrodesis using a condylar blade plate</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48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All achieved limb salvage</w:t>
            </w:r>
          </w:p>
          <w:p w:rsidR="009F006F" w:rsidRPr="009E47A6" w:rsidRDefault="009F006F" w:rsidP="009E47A6">
            <w:pPr>
              <w:snapToGrid w:val="0"/>
              <w:rPr>
                <w:bCs/>
                <w:sz w:val="18"/>
                <w:szCs w:val="18"/>
                <w:lang w:val="en-GB" w:bidi="ar-EG"/>
              </w:rPr>
            </w:pPr>
            <w:r w:rsidRPr="009E47A6">
              <w:rPr>
                <w:bCs/>
                <w:sz w:val="18"/>
                <w:szCs w:val="18"/>
                <w:lang w:val="en-GB" w:bidi="ar-EG"/>
              </w:rPr>
              <w:t>24 patients showed bony union</w:t>
            </w:r>
          </w:p>
          <w:p w:rsidR="009F006F" w:rsidRPr="009E47A6" w:rsidRDefault="009F006F" w:rsidP="009E47A6">
            <w:pPr>
              <w:snapToGrid w:val="0"/>
              <w:rPr>
                <w:bCs/>
                <w:sz w:val="18"/>
                <w:szCs w:val="18"/>
                <w:lang w:val="en-GB" w:bidi="ar-EG"/>
              </w:rPr>
            </w:pPr>
            <w:r w:rsidRPr="009E47A6">
              <w:rPr>
                <w:bCs/>
                <w:sz w:val="18"/>
                <w:szCs w:val="18"/>
                <w:lang w:val="en-GB" w:bidi="ar-EG"/>
              </w:rPr>
              <w:t>2 patients showed fibrous union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15) Çinar et al., (2010)</w:t>
            </w:r>
          </w:p>
        </w:tc>
        <w:tc>
          <w:tcPr>
            <w:tcW w:w="0" w:type="auto"/>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Retrospective case series/level IV</w:t>
            </w:r>
          </w:p>
        </w:tc>
        <w:tc>
          <w:tcPr>
            <w:tcW w:w="0" w:type="auto"/>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N = 4</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Unspecified</w:t>
            </w:r>
          </w:p>
        </w:tc>
        <w:tc>
          <w:tcPr>
            <w:tcW w:w="1332"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Tibicalcanel arthrodesis using posterior blade plate</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24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All achieved limb salvage</w:t>
            </w:r>
          </w:p>
          <w:p w:rsidR="009F006F" w:rsidRPr="009E47A6" w:rsidRDefault="009F006F" w:rsidP="009E47A6">
            <w:pPr>
              <w:snapToGrid w:val="0"/>
              <w:rPr>
                <w:bCs/>
                <w:sz w:val="18"/>
                <w:szCs w:val="18"/>
                <w:lang w:val="en-GB" w:bidi="ar-EG"/>
              </w:rPr>
            </w:pPr>
            <w:r w:rsidRPr="009E47A6">
              <w:rPr>
                <w:bCs/>
                <w:sz w:val="18"/>
                <w:szCs w:val="18"/>
                <w:lang w:val="en-GB" w:bidi="ar-EG"/>
              </w:rPr>
              <w:t>3 patients showed bony union</w:t>
            </w:r>
          </w:p>
          <w:p w:rsidR="009F006F" w:rsidRPr="009E47A6" w:rsidRDefault="009F006F" w:rsidP="009E47A6">
            <w:pPr>
              <w:snapToGrid w:val="0"/>
              <w:rPr>
                <w:bCs/>
                <w:sz w:val="18"/>
                <w:szCs w:val="18"/>
                <w:lang w:val="en-GB" w:bidi="ar-EG"/>
              </w:rPr>
            </w:pPr>
            <w:r w:rsidRPr="009E47A6">
              <w:rPr>
                <w:bCs/>
                <w:sz w:val="18"/>
                <w:szCs w:val="18"/>
                <w:lang w:val="en-GB" w:bidi="ar-EG"/>
              </w:rPr>
              <w:t>1 patient showed fibrous union</w:t>
            </w:r>
          </w:p>
        </w:tc>
      </w:tr>
      <w:tr w:rsidR="00AE1B41" w:rsidRPr="009E47A6" w:rsidTr="009E47A6">
        <w:trPr>
          <w:cantSplit/>
          <w:jc w:val="center"/>
        </w:trPr>
        <w:tc>
          <w:tcPr>
            <w:tcW w:w="0" w:type="auto"/>
            <w:shd w:val="clear" w:color="auto" w:fill="FFFFFF"/>
            <w:vAlign w:val="center"/>
          </w:tcPr>
          <w:p w:rsidR="009F006F" w:rsidRPr="009E47A6" w:rsidRDefault="009F006F" w:rsidP="009E47A6">
            <w:pPr>
              <w:snapToGrid w:val="0"/>
              <w:rPr>
                <w:b/>
                <w:bCs/>
                <w:sz w:val="18"/>
                <w:szCs w:val="18"/>
                <w:lang w:bidi="en-US"/>
              </w:rPr>
            </w:pPr>
            <w:r w:rsidRPr="009E47A6">
              <w:rPr>
                <w:b/>
                <w:bCs/>
                <w:sz w:val="18"/>
                <w:szCs w:val="18"/>
                <w:lang w:bidi="en-US"/>
              </w:rPr>
              <w:t>16) DeVries et al.,</w:t>
            </w:r>
            <w:r w:rsidR="00AE1B41" w:rsidRPr="009E47A6">
              <w:rPr>
                <w:b/>
                <w:bCs/>
                <w:sz w:val="18"/>
                <w:szCs w:val="18"/>
                <w:lang w:bidi="en-US"/>
              </w:rPr>
              <w:t xml:space="preserve"> </w:t>
            </w:r>
            <w:r w:rsidRPr="009E47A6">
              <w:rPr>
                <w:b/>
                <w:bCs/>
                <w:sz w:val="18"/>
                <w:szCs w:val="18"/>
                <w:lang w:bidi="en-US"/>
              </w:rPr>
              <w:t>(2012)</w:t>
            </w:r>
          </w:p>
        </w:tc>
        <w:tc>
          <w:tcPr>
            <w:tcW w:w="0" w:type="auto"/>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Retrospective cases series/level IV</w:t>
            </w:r>
          </w:p>
        </w:tc>
        <w:tc>
          <w:tcPr>
            <w:tcW w:w="0" w:type="auto"/>
            <w:shd w:val="clear" w:color="auto" w:fill="FFFFFF"/>
            <w:vAlign w:val="center"/>
          </w:tcPr>
          <w:p w:rsidR="009F006F" w:rsidRPr="009E47A6" w:rsidRDefault="009F006F" w:rsidP="009E47A6">
            <w:pPr>
              <w:snapToGrid w:val="0"/>
              <w:rPr>
                <w:bCs/>
                <w:sz w:val="18"/>
                <w:szCs w:val="18"/>
                <w:lang w:bidi="en-US"/>
              </w:rPr>
            </w:pPr>
            <w:r w:rsidRPr="009E47A6">
              <w:rPr>
                <w:bCs/>
                <w:sz w:val="18"/>
                <w:szCs w:val="18"/>
                <w:lang w:bidi="en-US"/>
              </w:rPr>
              <w:t>N = 52</w:t>
            </w:r>
          </w:p>
        </w:tc>
        <w:tc>
          <w:tcPr>
            <w:tcW w:w="0" w:type="auto"/>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Various stages</w:t>
            </w:r>
          </w:p>
        </w:tc>
        <w:tc>
          <w:tcPr>
            <w:tcW w:w="1332"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45 patients used retrograde intramedullary nail</w:t>
            </w:r>
          </w:p>
          <w:p w:rsidR="009F006F" w:rsidRPr="009E47A6" w:rsidRDefault="009F006F" w:rsidP="009E47A6">
            <w:pPr>
              <w:snapToGrid w:val="0"/>
              <w:rPr>
                <w:bCs/>
                <w:sz w:val="18"/>
                <w:szCs w:val="18"/>
                <w:lang w:val="en-GB" w:bidi="ar-EG"/>
              </w:rPr>
            </w:pPr>
            <w:r w:rsidRPr="009E47A6">
              <w:rPr>
                <w:bCs/>
                <w:sz w:val="18"/>
                <w:szCs w:val="18"/>
                <w:lang w:val="en-GB" w:bidi="ar-EG"/>
              </w:rPr>
              <w:t>7 patients used external fixator</w:t>
            </w:r>
          </w:p>
        </w:tc>
        <w:tc>
          <w:tcPr>
            <w:tcW w:w="1134"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Patient interview, examination and radiography</w:t>
            </w:r>
          </w:p>
        </w:tc>
        <w:tc>
          <w:tcPr>
            <w:tcW w:w="70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24 months</w:t>
            </w:r>
          </w:p>
        </w:tc>
        <w:tc>
          <w:tcPr>
            <w:tcW w:w="2048" w:type="dxa"/>
            <w:shd w:val="clear" w:color="auto" w:fill="FFFFFF"/>
            <w:vAlign w:val="center"/>
          </w:tcPr>
          <w:p w:rsidR="009F006F" w:rsidRPr="009E47A6" w:rsidRDefault="009F006F" w:rsidP="009E47A6">
            <w:pPr>
              <w:snapToGrid w:val="0"/>
              <w:rPr>
                <w:bCs/>
                <w:sz w:val="18"/>
                <w:szCs w:val="18"/>
                <w:lang w:val="en-GB" w:bidi="ar-EG"/>
              </w:rPr>
            </w:pPr>
            <w:r w:rsidRPr="009E47A6">
              <w:rPr>
                <w:bCs/>
                <w:sz w:val="18"/>
                <w:szCs w:val="18"/>
                <w:lang w:val="en-GB" w:bidi="ar-EG"/>
              </w:rPr>
              <w:t>Regarding intramedullary nail:</w:t>
            </w:r>
          </w:p>
          <w:p w:rsidR="009F006F" w:rsidRPr="009E47A6" w:rsidRDefault="009F006F" w:rsidP="009E47A6">
            <w:pPr>
              <w:snapToGrid w:val="0"/>
              <w:rPr>
                <w:bCs/>
                <w:sz w:val="18"/>
                <w:szCs w:val="18"/>
                <w:lang w:val="en-GB" w:bidi="ar-EG"/>
              </w:rPr>
            </w:pPr>
            <w:r w:rsidRPr="009E47A6">
              <w:rPr>
                <w:bCs/>
                <w:sz w:val="18"/>
                <w:szCs w:val="18"/>
                <w:lang w:val="en-GB" w:bidi="ar-EG"/>
              </w:rPr>
              <w:t>32 patients stable bony union</w:t>
            </w:r>
          </w:p>
          <w:p w:rsidR="009F006F" w:rsidRPr="009E47A6" w:rsidRDefault="009F006F" w:rsidP="009E47A6">
            <w:pPr>
              <w:snapToGrid w:val="0"/>
              <w:rPr>
                <w:bCs/>
                <w:sz w:val="18"/>
                <w:szCs w:val="18"/>
                <w:lang w:val="en-GB" w:bidi="ar-EG"/>
              </w:rPr>
            </w:pPr>
            <w:r w:rsidRPr="009E47A6">
              <w:rPr>
                <w:bCs/>
                <w:sz w:val="18"/>
                <w:szCs w:val="18"/>
                <w:lang w:val="en-GB" w:bidi="ar-EG"/>
              </w:rPr>
              <w:t>3 patients showed fibrous union</w:t>
            </w:r>
          </w:p>
          <w:p w:rsidR="009F006F" w:rsidRPr="009E47A6" w:rsidRDefault="009F006F" w:rsidP="009E47A6">
            <w:pPr>
              <w:snapToGrid w:val="0"/>
              <w:rPr>
                <w:bCs/>
                <w:sz w:val="18"/>
                <w:szCs w:val="18"/>
                <w:lang w:val="en-GB" w:bidi="ar-EG"/>
              </w:rPr>
            </w:pPr>
            <w:r w:rsidRPr="009E47A6">
              <w:rPr>
                <w:bCs/>
                <w:sz w:val="18"/>
                <w:szCs w:val="18"/>
                <w:lang w:val="en-GB" w:bidi="ar-EG"/>
              </w:rPr>
              <w:t>10 patients undergoing amputations</w:t>
            </w:r>
          </w:p>
          <w:p w:rsidR="009F006F" w:rsidRPr="009E47A6" w:rsidRDefault="009F006F" w:rsidP="009E47A6">
            <w:pPr>
              <w:snapToGrid w:val="0"/>
              <w:rPr>
                <w:bCs/>
                <w:sz w:val="18"/>
                <w:szCs w:val="18"/>
                <w:lang w:val="en-GB" w:bidi="ar-EG"/>
              </w:rPr>
            </w:pPr>
            <w:r w:rsidRPr="009E47A6">
              <w:rPr>
                <w:bCs/>
                <w:sz w:val="18"/>
                <w:szCs w:val="18"/>
                <w:lang w:val="en-GB" w:bidi="ar-EG"/>
              </w:rPr>
              <w:t>Regarding external fixator:</w:t>
            </w:r>
          </w:p>
          <w:p w:rsidR="009F006F" w:rsidRPr="009E47A6" w:rsidRDefault="009F006F" w:rsidP="009E47A6">
            <w:pPr>
              <w:snapToGrid w:val="0"/>
              <w:rPr>
                <w:bCs/>
                <w:sz w:val="18"/>
                <w:szCs w:val="18"/>
                <w:lang w:val="en-GB" w:bidi="ar-EG"/>
              </w:rPr>
            </w:pPr>
            <w:r w:rsidRPr="009E47A6">
              <w:rPr>
                <w:bCs/>
                <w:sz w:val="18"/>
                <w:szCs w:val="18"/>
                <w:lang w:val="en-GB" w:bidi="ar-EG"/>
              </w:rPr>
              <w:t>5 patients showed bony union</w:t>
            </w:r>
          </w:p>
          <w:p w:rsidR="009F006F" w:rsidRPr="009E47A6" w:rsidRDefault="009F006F" w:rsidP="009E47A6">
            <w:pPr>
              <w:snapToGrid w:val="0"/>
              <w:rPr>
                <w:bCs/>
                <w:sz w:val="18"/>
                <w:szCs w:val="18"/>
                <w:lang w:val="en-GB" w:bidi="ar-EG"/>
              </w:rPr>
            </w:pPr>
            <w:r w:rsidRPr="009E47A6">
              <w:rPr>
                <w:bCs/>
                <w:sz w:val="18"/>
                <w:szCs w:val="18"/>
                <w:lang w:val="en-GB" w:bidi="ar-EG"/>
              </w:rPr>
              <w:t>2 patients showed amputation</w:t>
            </w:r>
          </w:p>
        </w:tc>
      </w:tr>
    </w:tbl>
    <w:p w:rsidR="00B91206" w:rsidRPr="009E47A6" w:rsidRDefault="00AE1B41" w:rsidP="00B91206">
      <w:pPr>
        <w:snapToGrid w:val="0"/>
        <w:jc w:val="both"/>
        <w:rPr>
          <w:b/>
          <w:bCs/>
          <w:sz w:val="20"/>
          <w:szCs w:val="20"/>
        </w:rPr>
        <w:sectPr w:rsidR="00B91206" w:rsidRPr="009E47A6" w:rsidSect="006247D3">
          <w:type w:val="continuous"/>
          <w:pgSz w:w="12242" w:h="15842" w:code="1"/>
          <w:pgMar w:top="1440" w:right="1440" w:bottom="1440" w:left="1440" w:header="720" w:footer="720" w:gutter="0"/>
          <w:cols w:space="720"/>
          <w:docGrid w:linePitch="360"/>
        </w:sectPr>
      </w:pPr>
      <w:r w:rsidRPr="009E47A6">
        <w:rPr>
          <w:b/>
          <w:bCs/>
          <w:sz w:val="20"/>
          <w:szCs w:val="20"/>
        </w:rPr>
        <w:cr/>
      </w:r>
    </w:p>
    <w:p w:rsidR="00CD76C8" w:rsidRPr="009E47A6" w:rsidRDefault="006146B9" w:rsidP="00B91206">
      <w:pPr>
        <w:snapToGrid w:val="0"/>
        <w:jc w:val="both"/>
        <w:rPr>
          <w:b/>
          <w:bCs/>
          <w:sz w:val="20"/>
          <w:szCs w:val="20"/>
        </w:rPr>
      </w:pPr>
      <w:r w:rsidRPr="009E47A6">
        <w:rPr>
          <w:b/>
          <w:bCs/>
          <w:sz w:val="20"/>
          <w:szCs w:val="20"/>
        </w:rPr>
        <w:lastRenderedPageBreak/>
        <w:t xml:space="preserve">4. Discussion </w:t>
      </w:r>
    </w:p>
    <w:p w:rsidR="009F006F" w:rsidRPr="009E47A6" w:rsidRDefault="009F006F" w:rsidP="00B91206">
      <w:pPr>
        <w:snapToGrid w:val="0"/>
        <w:ind w:firstLine="425"/>
        <w:jc w:val="both"/>
        <w:rPr>
          <w:b/>
          <w:sz w:val="20"/>
          <w:szCs w:val="20"/>
          <w:lang w:bidi="en-US"/>
        </w:rPr>
      </w:pPr>
      <w:r w:rsidRPr="009E47A6">
        <w:rPr>
          <w:bCs/>
          <w:sz w:val="20"/>
          <w:szCs w:val="20"/>
          <w:lang w:bidi="en-US"/>
        </w:rPr>
        <w:t xml:space="preserve">The management of patients with foot and ankle diabetic neuroarthropathy is challenging. Patient education about prevention, early recognition of arthropathy and prompt institution of protective treatment is clearly crucial factor that determine the outcome of this problem. The mainstay of treatment for ankle Charcot neuroarthropathy is prolonged immobilization in the form of plaster cast, brace or using antiresorptive medication during the acute stage. However, some patients already have disabling deformity or sever instability at the time of presentation in which conservative treatment alone is destined to failure. For such patients, reconstruction of the foot and ankle is a valuable technique </w:t>
      </w:r>
      <w:r w:rsidRPr="009E47A6">
        <w:rPr>
          <w:b/>
          <w:sz w:val="20"/>
          <w:szCs w:val="20"/>
          <w:lang w:bidi="en-US"/>
        </w:rPr>
        <w:t>(Yousry and Abdalhady, 2010).</w:t>
      </w:r>
    </w:p>
    <w:p w:rsidR="009F006F" w:rsidRPr="009E47A6" w:rsidRDefault="009F006F" w:rsidP="00B91206">
      <w:pPr>
        <w:snapToGrid w:val="0"/>
        <w:ind w:firstLine="425"/>
        <w:jc w:val="both"/>
        <w:rPr>
          <w:bCs/>
          <w:sz w:val="20"/>
          <w:szCs w:val="20"/>
          <w:lang w:bidi="en-US"/>
        </w:rPr>
      </w:pPr>
      <w:r w:rsidRPr="009E47A6">
        <w:rPr>
          <w:bCs/>
          <w:sz w:val="20"/>
          <w:szCs w:val="20"/>
          <w:lang w:bidi="en-US"/>
        </w:rPr>
        <w:t>In our review, 405 patients underwent different treatment modalities of which: 110 underwent non-surgical treatment with variable conservative modalities. While the remaining 295 underwent surgical treatment with different fixation modalities and operative techniques.</w:t>
      </w:r>
    </w:p>
    <w:p w:rsidR="009F006F" w:rsidRPr="009E47A6" w:rsidRDefault="009F006F" w:rsidP="00B91206">
      <w:pPr>
        <w:snapToGrid w:val="0"/>
        <w:ind w:firstLine="425"/>
        <w:jc w:val="both"/>
        <w:rPr>
          <w:bCs/>
          <w:sz w:val="20"/>
          <w:szCs w:val="20"/>
          <w:lang w:bidi="en-US"/>
        </w:rPr>
      </w:pPr>
      <w:r w:rsidRPr="009E47A6">
        <w:rPr>
          <w:bCs/>
          <w:sz w:val="20"/>
          <w:szCs w:val="20"/>
          <w:lang w:bidi="en-US"/>
        </w:rPr>
        <w:lastRenderedPageBreak/>
        <w:t xml:space="preserve">Regarding non-surgical treatment, </w:t>
      </w:r>
      <w:r w:rsidRPr="009E47A6">
        <w:rPr>
          <w:b/>
          <w:sz w:val="20"/>
          <w:szCs w:val="20"/>
          <w:lang w:bidi="en-US"/>
        </w:rPr>
        <w:t>Jude et al. (2001) and Anderson et al. (2004),</w:t>
      </w:r>
      <w:r w:rsidRPr="009E47A6">
        <w:rPr>
          <w:bCs/>
          <w:sz w:val="20"/>
          <w:szCs w:val="20"/>
          <w:lang w:bidi="en-US"/>
        </w:rPr>
        <w:t xml:space="preserve"> studied the effect of bisphosphonate on 62 patients as regards its role in the clinical signs improvement during the acute stage. Thirty-four patients received bisphosphonate while the other 28 took placebo (control group). All patients who received bisphosphonate showed a 100% decrease in the clinical signs and symptoms of Charcot arthropathy compared to the placebo group.</w:t>
      </w:r>
    </w:p>
    <w:p w:rsidR="009F006F" w:rsidRPr="009E47A6" w:rsidRDefault="009F006F" w:rsidP="00B91206">
      <w:pPr>
        <w:snapToGrid w:val="0"/>
        <w:ind w:firstLine="425"/>
        <w:jc w:val="both"/>
        <w:rPr>
          <w:bCs/>
          <w:sz w:val="20"/>
          <w:szCs w:val="20"/>
          <w:lang w:bidi="en-US"/>
        </w:rPr>
      </w:pPr>
      <w:r w:rsidRPr="009E47A6">
        <w:rPr>
          <w:bCs/>
          <w:sz w:val="20"/>
          <w:szCs w:val="20"/>
          <w:lang w:bidi="en-US"/>
        </w:rPr>
        <w:t xml:space="preserve">The exact mechanisms by which bisphosphonates inhibit bone resorption are unknown. It is known that pamidronate is taken up by bone, bound to hydroxyapatite crystal of the bone matrix and then acts to prevent osteoclast precursors from attaching to bone. Pamidronate also directly inhibits mature, already active, osteoclasts, and promotes osteoclast apoptosis. Finally, pamidronate decreases osteoblast-mediated osteoclast activation. Although pamidronate inhibits osteoclasts via several mechanisms, it has not been shown to impair mineralization </w:t>
      </w:r>
      <w:r w:rsidRPr="009E47A6">
        <w:rPr>
          <w:b/>
          <w:sz w:val="20"/>
          <w:szCs w:val="20"/>
          <w:lang w:bidi="en-US"/>
        </w:rPr>
        <w:t>(Russell and Graham, 2007).</w:t>
      </w:r>
    </w:p>
    <w:p w:rsidR="009F006F" w:rsidRPr="009E47A6" w:rsidRDefault="009F006F" w:rsidP="00B91206">
      <w:pPr>
        <w:snapToGrid w:val="0"/>
        <w:ind w:firstLine="425"/>
        <w:jc w:val="both"/>
        <w:rPr>
          <w:bCs/>
          <w:sz w:val="20"/>
          <w:szCs w:val="20"/>
          <w:lang w:bidi="en-US"/>
        </w:rPr>
      </w:pPr>
      <w:r w:rsidRPr="009E47A6">
        <w:rPr>
          <w:bCs/>
          <w:sz w:val="20"/>
          <w:szCs w:val="20"/>
          <w:lang w:bidi="en-US"/>
        </w:rPr>
        <w:t xml:space="preserve">Inflammation regression in the form of temperature drop is clinically recorded in the Charcot </w:t>
      </w:r>
      <w:r w:rsidRPr="009E47A6">
        <w:rPr>
          <w:bCs/>
          <w:sz w:val="20"/>
          <w:szCs w:val="20"/>
          <w:lang w:bidi="en-US"/>
        </w:rPr>
        <w:lastRenderedPageBreak/>
        <w:t>ankle arthropathy group who received pamidronate. A decrease of alkaline phosphatase is also noted in the same group. The single infusion of 60 - 90 mg intravenously over 4-24 hours was the selected regimen as Jude et al</w:t>
      </w:r>
      <w:r w:rsidRPr="009E47A6">
        <w:rPr>
          <w:bCs/>
          <w:sz w:val="20"/>
          <w:szCs w:val="20"/>
          <w:vertAlign w:val="superscript"/>
          <w:lang w:bidi="en-US"/>
        </w:rPr>
        <w:t xml:space="preserve"> </w:t>
      </w:r>
      <w:r w:rsidRPr="009E47A6">
        <w:rPr>
          <w:bCs/>
          <w:sz w:val="20"/>
          <w:szCs w:val="20"/>
          <w:lang w:bidi="en-US"/>
        </w:rPr>
        <w:t>and Anderson et al reported in their studies.</w:t>
      </w:r>
    </w:p>
    <w:p w:rsidR="009F006F" w:rsidRPr="009E47A6" w:rsidRDefault="009F006F" w:rsidP="00B91206">
      <w:pPr>
        <w:snapToGrid w:val="0"/>
        <w:ind w:firstLine="425"/>
        <w:jc w:val="both"/>
        <w:rPr>
          <w:bCs/>
          <w:sz w:val="20"/>
          <w:szCs w:val="20"/>
          <w:lang w:bidi="en-US"/>
        </w:rPr>
      </w:pPr>
      <w:r w:rsidRPr="009E47A6">
        <w:rPr>
          <w:bCs/>
          <w:sz w:val="20"/>
          <w:szCs w:val="20"/>
          <w:lang w:bidi="en-US"/>
        </w:rPr>
        <w:t>There was no complication of bisphosphonate treatment reported by Jude et al., while Anderson et al., used a post-administration systemic fever of 1-3 degrees, which lasted only hours and subsided within 24 hours after slow infusion, this accounted for 9.67% of study population (6 patients only out of 62 patients). Transient nausea and</w:t>
      </w:r>
      <w:r w:rsidRPr="009E47A6">
        <w:rPr>
          <w:bCs/>
          <w:sz w:val="20"/>
          <w:szCs w:val="20"/>
          <w:lang w:bidi="ar-EG"/>
        </w:rPr>
        <w:t xml:space="preserve"> </w:t>
      </w:r>
      <w:r w:rsidRPr="009E47A6">
        <w:rPr>
          <w:bCs/>
          <w:sz w:val="20"/>
          <w:szCs w:val="20"/>
          <w:lang w:bidi="en-US"/>
        </w:rPr>
        <w:t>gastrointestinal upset were also observed amounting to 8.06% of their patients, which was also short lived. There were no major side effects related to pamidronate in any of the study patients. In spite of the effect of pamidronate on the acute process of Charcot, there are several concerns regarding their methodology for limitations discussed by Jude et al</w:t>
      </w:r>
      <w:r w:rsidRPr="009E47A6">
        <w:rPr>
          <w:bCs/>
          <w:sz w:val="20"/>
          <w:szCs w:val="20"/>
          <w:vertAlign w:val="superscript"/>
          <w:lang w:bidi="en-US"/>
        </w:rPr>
        <w:t xml:space="preserve"> </w:t>
      </w:r>
      <w:r w:rsidRPr="009E47A6">
        <w:rPr>
          <w:bCs/>
          <w:sz w:val="20"/>
          <w:szCs w:val="20"/>
          <w:lang w:bidi="en-US"/>
        </w:rPr>
        <w:t>and Anderson et al in this review. First the pamidronate group and placebo group were in different institutions and were not concurrent; second the number of patients in their review was 62 patients, which was small. So, large trials would be necessary to show sufficient power of the results. Lastly calibration of sensor devices was not done, because the tool was actually a different one at each site, some variability may have existed.</w:t>
      </w:r>
    </w:p>
    <w:p w:rsidR="009F006F" w:rsidRPr="009E47A6" w:rsidRDefault="009F006F" w:rsidP="00B91206">
      <w:pPr>
        <w:snapToGrid w:val="0"/>
        <w:ind w:firstLine="425"/>
        <w:jc w:val="both"/>
        <w:rPr>
          <w:bCs/>
          <w:sz w:val="20"/>
          <w:szCs w:val="20"/>
          <w:lang w:bidi="ar-EG"/>
        </w:rPr>
      </w:pPr>
      <w:r w:rsidRPr="009E47A6">
        <w:rPr>
          <w:bCs/>
          <w:sz w:val="20"/>
          <w:szCs w:val="20"/>
          <w:lang w:bidi="en-US"/>
        </w:rPr>
        <w:t>Weight-bearing total contact cast (TCC) and orthosis were evaluated as another modality of conservative treatment by Leo which included 27 patients with Charcot artropathy (7 patients with bilateral ankle involvement). The involved 34 feet showed no deleterious effect from weight-bearing in 100% of cases, so TCC is considered a safe immobilization technique in Eichenholtz stage-1 Charcot arthropathy of the ankle. Ulcer was noted in 10 out of 34 feet (29.41%). Yet, none of them was complaining during TCC application period (14 weeks). They all developed after the limb had been placed in an orthosis (at</w:t>
      </w:r>
      <w:r w:rsidRPr="009E47A6">
        <w:rPr>
          <w:bCs/>
          <w:sz w:val="20"/>
          <w:szCs w:val="20"/>
          <w:lang w:bidi="ar-EG"/>
        </w:rPr>
        <w:t xml:space="preserve"> </w:t>
      </w:r>
      <w:r w:rsidRPr="009E47A6">
        <w:rPr>
          <w:bCs/>
          <w:sz w:val="20"/>
          <w:szCs w:val="20"/>
          <w:lang w:bidi="en-US"/>
        </w:rPr>
        <w:t>with a freehand technique with image intensification monitoring.</w:t>
      </w:r>
    </w:p>
    <w:p w:rsidR="009F006F" w:rsidRPr="009E47A6" w:rsidRDefault="009F006F" w:rsidP="00B91206">
      <w:pPr>
        <w:snapToGrid w:val="0"/>
        <w:ind w:firstLine="425"/>
        <w:jc w:val="both"/>
        <w:rPr>
          <w:bCs/>
          <w:sz w:val="20"/>
          <w:szCs w:val="20"/>
          <w:lang w:bidi="en-US"/>
        </w:rPr>
      </w:pPr>
      <w:r w:rsidRPr="009E47A6">
        <w:rPr>
          <w:bCs/>
          <w:sz w:val="20"/>
          <w:szCs w:val="20"/>
          <w:lang w:bidi="en-US"/>
        </w:rPr>
        <w:t xml:space="preserve">Solid fusion was achieved in 152 feet out of 183 feet (83.06%) and stiff fibrous union was obtained in 13 feet (7.1%), and only 16 feet (8.74%) underwent below knee amputation. One patient showed non-union (0.54%) and one patient died. The complications noted by the authors in our review when using intramedullary nail fixation were variable. Infection is the most common complication reported in their patients at the rate of 45.85% presented in the form of superficial wound infection or loosening and breakage of proximal or distal screws. </w:t>
      </w:r>
      <w:r w:rsidRPr="009E47A6">
        <w:rPr>
          <w:sz w:val="20"/>
          <w:szCs w:val="20"/>
          <w:lang w:bidi="en-US"/>
        </w:rPr>
        <w:t>Pawar</w:t>
      </w:r>
      <w:r w:rsidRPr="009E47A6">
        <w:rPr>
          <w:bCs/>
          <w:sz w:val="20"/>
          <w:szCs w:val="20"/>
          <w:lang w:bidi="en-US"/>
        </w:rPr>
        <w:t xml:space="preserve"> et al., had overcome the infection problem by using antibiotic coated intramedullary nail and ail their patients did well and showed 100% complete healing. </w:t>
      </w:r>
      <w:r w:rsidRPr="009E47A6">
        <w:rPr>
          <w:bCs/>
          <w:sz w:val="20"/>
          <w:szCs w:val="20"/>
          <w:lang w:bidi="en-US"/>
        </w:rPr>
        <w:lastRenderedPageBreak/>
        <w:t>In spite of these good results the limitation of their study was the small patients’ number (five patients only). So, future studies with larger numbers of are required.</w:t>
      </w:r>
    </w:p>
    <w:p w:rsidR="009F006F" w:rsidRPr="009E47A6" w:rsidRDefault="009F006F" w:rsidP="00B91206">
      <w:pPr>
        <w:snapToGrid w:val="0"/>
        <w:ind w:firstLine="425"/>
        <w:jc w:val="both"/>
        <w:rPr>
          <w:bCs/>
          <w:sz w:val="20"/>
          <w:szCs w:val="20"/>
          <w:lang w:bidi="en-US"/>
        </w:rPr>
      </w:pPr>
      <w:r w:rsidRPr="009E47A6">
        <w:rPr>
          <w:bCs/>
          <w:sz w:val="20"/>
          <w:szCs w:val="20"/>
          <w:lang w:bidi="en-US"/>
        </w:rPr>
        <w:t>The other complications of intramedullary nail are development of ulcers 8.27% (15 out of 181 patients), post</w:t>
      </w:r>
      <w:r w:rsidRPr="009E47A6">
        <w:rPr>
          <w:bCs/>
          <w:sz w:val="20"/>
          <w:szCs w:val="20"/>
          <w:lang w:bidi="en-US"/>
        </w:rPr>
        <w:softHyphen/>
        <w:t>operative hematoma reported in one patients (8.74%) underwent knee amputation.</w:t>
      </w:r>
    </w:p>
    <w:p w:rsidR="009F006F" w:rsidRPr="009E47A6" w:rsidRDefault="009F006F" w:rsidP="00B91206">
      <w:pPr>
        <w:snapToGrid w:val="0"/>
        <w:ind w:firstLine="425"/>
        <w:jc w:val="both"/>
        <w:rPr>
          <w:bCs/>
          <w:sz w:val="20"/>
          <w:szCs w:val="20"/>
          <w:lang w:bidi="en-US"/>
        </w:rPr>
      </w:pPr>
      <w:r w:rsidRPr="009E47A6">
        <w:rPr>
          <w:bCs/>
          <w:sz w:val="20"/>
          <w:szCs w:val="20"/>
          <w:lang w:bidi="en-US"/>
        </w:rPr>
        <w:t>This review suggests that treatment of arthrodesis with retrograde nailing is a safe and effective treatment option for ankle instability in patients with Charcot arthropathy.</w:t>
      </w:r>
    </w:p>
    <w:p w:rsidR="009F006F" w:rsidRPr="009E47A6" w:rsidRDefault="009F006F" w:rsidP="00B91206">
      <w:pPr>
        <w:snapToGrid w:val="0"/>
        <w:ind w:firstLine="425"/>
        <w:jc w:val="both"/>
        <w:rPr>
          <w:bCs/>
          <w:sz w:val="20"/>
          <w:szCs w:val="20"/>
          <w:lang w:bidi="en-US"/>
        </w:rPr>
      </w:pPr>
      <w:r w:rsidRPr="009E47A6">
        <w:rPr>
          <w:bCs/>
          <w:sz w:val="20"/>
          <w:szCs w:val="20"/>
          <w:lang w:bidi="en-US"/>
        </w:rPr>
        <w:t>Another internal fixation method is ankle arthrodesis using crossed screws. Ayoub et al., gave the results of an attempt to salvage the limbs of 17 patients using cannulated screws to obtain tibiotalar fusion. A solid fusion was achieved in nine patients (53%) and higher fusion rates were achieved with three screws. A stiff fibrous union was obtained in five patients (29.4%). Only three patients (18%) developed unstable pseudoarthroses, which lead to below knee amputation. The complications shown on their patients were superficial wound infection in four patients (23.5%) and avascular necrosis of talus and hind foot ulceration in three patients (17.6%).</w:t>
      </w:r>
    </w:p>
    <w:p w:rsidR="009F006F" w:rsidRPr="009E47A6" w:rsidRDefault="009F006F" w:rsidP="00B91206">
      <w:pPr>
        <w:snapToGrid w:val="0"/>
        <w:ind w:firstLine="425"/>
        <w:jc w:val="both"/>
        <w:rPr>
          <w:bCs/>
          <w:sz w:val="20"/>
          <w:szCs w:val="20"/>
          <w:lang w:bidi="en-US"/>
        </w:rPr>
      </w:pPr>
      <w:r w:rsidRPr="009E47A6">
        <w:rPr>
          <w:bCs/>
          <w:sz w:val="20"/>
          <w:szCs w:val="20"/>
          <w:lang w:bidi="en-US"/>
        </w:rPr>
        <w:t>Blade plate ankle arthrodesis technique was evaluated by Murat Çinar et al., and Myerson et al., in an attempt to salvage the limbs of 30 patients to obtain tibiotalar fusion.</w:t>
      </w:r>
    </w:p>
    <w:p w:rsidR="009F006F" w:rsidRPr="009E47A6" w:rsidRDefault="009F006F" w:rsidP="00B91206">
      <w:pPr>
        <w:snapToGrid w:val="0"/>
        <w:ind w:firstLine="425"/>
        <w:jc w:val="both"/>
        <w:rPr>
          <w:bCs/>
          <w:sz w:val="20"/>
          <w:szCs w:val="20"/>
          <w:lang w:bidi="en-US"/>
        </w:rPr>
      </w:pPr>
      <w:r w:rsidRPr="009E47A6">
        <w:rPr>
          <w:bCs/>
          <w:sz w:val="20"/>
          <w:szCs w:val="20"/>
          <w:lang w:bidi="en-US"/>
        </w:rPr>
        <w:t>The patients were positioned in a lateral decubitus position. A 15- to 20-cm longitudinal incision was performed on the lateral border of Achilles’ tendon. The Achilles’ tendon was cut at the insertion to the calcaneus. After posterior capsular resection, the tibiotalar and subtalar joints were exposed. In order to correct the deformity, subtotal or total talectomy was performed. Simultaneously, a second central anterior incision was performed. A flat cut, denuding the tibial articular cartilage is made, with an oscillating saw. The appropriate size of AO 95-degree-angled blade plate was chosen (usually a 4-5 holes plate 50 to 60 mm in length). Under the control of an image intensifies the foot was placed in neutral position relative to the tibia, and the hole in which the blade plate was going to be placed in the posterior calcaneus was opened with a slot. An appropriate plate was placed on the calcaneus. At this stage, the plate was sloped as needed if there was incongruence between the posterior tibial cortex and the plate. The compression was applied via the DCP holes of the plate. The bone graft from the lateral malleolus was packed around the plate from the posterior tibia to the dorsum of the calcaneus.</w:t>
      </w:r>
    </w:p>
    <w:p w:rsidR="009F006F" w:rsidRPr="009E47A6" w:rsidRDefault="009F006F" w:rsidP="00B91206">
      <w:pPr>
        <w:snapToGrid w:val="0"/>
        <w:ind w:firstLine="425"/>
        <w:jc w:val="both"/>
        <w:rPr>
          <w:bCs/>
          <w:sz w:val="20"/>
          <w:szCs w:val="20"/>
          <w:lang w:bidi="en-US"/>
        </w:rPr>
      </w:pPr>
      <w:r w:rsidRPr="009E47A6">
        <w:rPr>
          <w:bCs/>
          <w:sz w:val="20"/>
          <w:szCs w:val="20"/>
          <w:lang w:bidi="en-US"/>
        </w:rPr>
        <w:t xml:space="preserve">All patients achieved limb salvage (100%): either by solid fusion in 27 patients (90%) or stiff fibrous union in three patients (10%). Infection was </w:t>
      </w:r>
      <w:r w:rsidRPr="009E47A6">
        <w:rPr>
          <w:bCs/>
          <w:sz w:val="20"/>
          <w:szCs w:val="20"/>
          <w:lang w:bidi="en-US"/>
        </w:rPr>
        <w:lastRenderedPageBreak/>
        <w:t>the most common complication reported on 18 out of 30 patients (60%). Another complication seen was developing stress fracture at the proximal end of blade (6.66%). The limitation of their study is the population number (30 patients only); so future studies with larger numbers are still required. This review suggested that treatment</w:t>
      </w:r>
      <w:r w:rsidR="009D397A" w:rsidRPr="009E47A6">
        <w:rPr>
          <w:bCs/>
          <w:sz w:val="20"/>
          <w:szCs w:val="20"/>
          <w:lang w:bidi="en-US"/>
        </w:rPr>
        <w:t>. b</w:t>
      </w:r>
      <w:r w:rsidRPr="009E47A6">
        <w:rPr>
          <w:bCs/>
          <w:sz w:val="20"/>
          <w:szCs w:val="20"/>
          <w:lang w:bidi="en-US"/>
        </w:rPr>
        <w:t>y arthrodesis using blade plate constitutes a safe and effective treatment option for ankle instability in patients with Charcot arthropathy. However, open correction with internal fixation for Charcot osteoarthropathy is associated with a high rate of complications and failure because of infection, bone softening, resorption, fragmentation and breakage of implants. Complex reconstructive procedures with arthrodesis are more frequently reserved for realignment and stabilization of severely deformed feet and ankles in an effort to avoid amputation.</w:t>
      </w:r>
    </w:p>
    <w:p w:rsidR="009F006F" w:rsidRPr="009E47A6" w:rsidRDefault="009F006F" w:rsidP="00B91206">
      <w:pPr>
        <w:snapToGrid w:val="0"/>
        <w:ind w:firstLine="425"/>
        <w:jc w:val="both"/>
        <w:rPr>
          <w:bCs/>
          <w:sz w:val="20"/>
          <w:szCs w:val="20"/>
          <w:lang w:bidi="en-US"/>
        </w:rPr>
      </w:pPr>
      <w:r w:rsidRPr="009E47A6">
        <w:rPr>
          <w:bCs/>
          <w:sz w:val="20"/>
          <w:szCs w:val="20"/>
          <w:lang w:bidi="en-US"/>
        </w:rPr>
        <w:t>The choice of internal or external fixation depends on the quality of bone. Generally, in Charcot disease, the bone stock is poor and external fixation provides better compression with fewer fixation failures and soft tissue complications. Due to its ability to correct multiplaner deformities in osteopenic bone, even in presence of open wounds, the circular (Ilizarov) external fixator is preferred for most Charcot foot and ankle reconstructions.</w:t>
      </w:r>
    </w:p>
    <w:p w:rsidR="009F006F" w:rsidRPr="009E47A6" w:rsidRDefault="009F006F" w:rsidP="00B91206">
      <w:pPr>
        <w:snapToGrid w:val="0"/>
        <w:ind w:firstLine="425"/>
        <w:jc w:val="both"/>
        <w:rPr>
          <w:bCs/>
          <w:sz w:val="20"/>
          <w:szCs w:val="20"/>
          <w:lang w:bidi="en-US"/>
        </w:rPr>
      </w:pPr>
      <w:r w:rsidRPr="009E47A6">
        <w:rPr>
          <w:bCs/>
          <w:sz w:val="20"/>
          <w:szCs w:val="20"/>
          <w:lang w:bidi="en-US"/>
        </w:rPr>
        <w:t>We reviewed 67 patients who underwent surgical fixation by external fixator evaluated by Yousry and Abdalhady, EI-Gafary et al‘ Jesper Fabrin et al., Zarutsky et al., George De Vries et al</w:t>
      </w:r>
      <w:r w:rsidRPr="009E47A6">
        <w:rPr>
          <w:bCs/>
          <w:sz w:val="20"/>
          <w:szCs w:val="20"/>
          <w:vertAlign w:val="superscript"/>
          <w:lang w:bidi="en-US"/>
        </w:rPr>
        <w:t xml:space="preserve"> </w:t>
      </w:r>
      <w:r w:rsidRPr="009E47A6">
        <w:rPr>
          <w:bCs/>
          <w:sz w:val="20"/>
          <w:szCs w:val="20"/>
          <w:lang w:bidi="en-US"/>
        </w:rPr>
        <w:t>and Shah and De Solid fusion and anatomical reduction were obtained in 48 patients (71.64%), fibrous union was obtained in 10 patients (14.92%), nonunion occurred in 4 patients (5.97%) and below knee amputation in 6 patients (8.95%). Correction and stabilization of foot and ankle deformities with Ilizarov external, fixator were effective and allowed correction of deformities and avoid the complications of internal fixation. It also allowed early weight-bearing, care of soft tissue, prevention of skin ulceration and avoidance of amputatjon. However, it should be recognized that Ilizarov external fixation is not without some disadvantages since it involves lengthy duration of treatment with mean follow up period of 24 month as noted in our results, commonly associated with pin-tract infection 64.17 %. Ilizarov also required surgical expertise and dedicated instrumentation. Nevertheless, these problems are outweighed by the advantages of the technique.</w:t>
      </w:r>
    </w:p>
    <w:p w:rsidR="009F006F" w:rsidRPr="009E47A6" w:rsidRDefault="009F006F" w:rsidP="00B91206">
      <w:pPr>
        <w:snapToGrid w:val="0"/>
        <w:ind w:firstLine="425"/>
        <w:jc w:val="both"/>
        <w:rPr>
          <w:b/>
          <w:bCs/>
          <w:sz w:val="20"/>
          <w:szCs w:val="20"/>
        </w:rPr>
      </w:pPr>
      <w:r w:rsidRPr="009E47A6">
        <w:rPr>
          <w:bCs/>
          <w:sz w:val="20"/>
          <w:szCs w:val="20"/>
          <w:lang w:bidi="en-US"/>
        </w:rPr>
        <w:t>In summary, early recognition and prevention of collapse are still the best options for the management of patients with diabetic Charcot arthropathy. Appropriate education, improved clinical evaluation and early intervention are required to control the disease. Once collapse is present, the use of an off-</w:t>
      </w:r>
      <w:r w:rsidRPr="009E47A6">
        <w:rPr>
          <w:bCs/>
          <w:sz w:val="20"/>
          <w:szCs w:val="20"/>
          <w:lang w:bidi="en-US"/>
        </w:rPr>
        <w:lastRenderedPageBreak/>
        <w:t>loading TCC and anti-resorptive medication are recommended in the acute stage. In ensuing stages, salvage of the affected joint by tibiotalar arthrodesis is preferable either by internal fixation or external fixation.</w:t>
      </w:r>
    </w:p>
    <w:p w:rsidR="006146B9" w:rsidRPr="009E47A6" w:rsidRDefault="006146B9" w:rsidP="00B91206">
      <w:pPr>
        <w:snapToGrid w:val="0"/>
        <w:jc w:val="both"/>
        <w:rPr>
          <w:b/>
          <w:bCs/>
          <w:sz w:val="20"/>
          <w:szCs w:val="20"/>
        </w:rPr>
      </w:pPr>
    </w:p>
    <w:p w:rsidR="00CD76C8" w:rsidRPr="009E47A6" w:rsidRDefault="006146B9" w:rsidP="00B91206">
      <w:pPr>
        <w:snapToGrid w:val="0"/>
        <w:jc w:val="both"/>
        <w:rPr>
          <w:b/>
          <w:bCs/>
          <w:sz w:val="20"/>
          <w:szCs w:val="20"/>
        </w:rPr>
      </w:pPr>
      <w:r w:rsidRPr="009E47A6">
        <w:rPr>
          <w:b/>
          <w:bCs/>
          <w:sz w:val="20"/>
          <w:szCs w:val="20"/>
        </w:rPr>
        <w:t xml:space="preserve">Conclusion </w:t>
      </w:r>
    </w:p>
    <w:p w:rsidR="009F006F" w:rsidRPr="009E47A6" w:rsidRDefault="009F006F" w:rsidP="00B91206">
      <w:pPr>
        <w:snapToGrid w:val="0"/>
        <w:ind w:firstLine="425"/>
        <w:jc w:val="both"/>
        <w:rPr>
          <w:bCs/>
          <w:sz w:val="20"/>
          <w:szCs w:val="20"/>
          <w:lang w:bidi="ar-EG"/>
        </w:rPr>
      </w:pPr>
      <w:r w:rsidRPr="009E47A6">
        <w:rPr>
          <w:bCs/>
          <w:sz w:val="20"/>
          <w:szCs w:val="20"/>
          <w:lang w:bidi="en-US"/>
        </w:rPr>
        <w:t>According to this systematic review of clinical results of the Charcot arthropathy of ankle joint, the active process of Charcot neuro-arthropathy can be delayed with non-surgical technique. It also appears that the severe joint instability found in Charcot neuro-arthropathy of ankle can be treated successfully with intramedullary nail fixation and external fixation, yielding a high rate of limb salvage. However, future long-term, prospective randomized studies are needed and more non-surgical, surgical technique and outcomes measures needed.</w:t>
      </w:r>
    </w:p>
    <w:p w:rsidR="006146B9" w:rsidRPr="009E47A6" w:rsidRDefault="006146B9" w:rsidP="00B91206">
      <w:pPr>
        <w:snapToGrid w:val="0"/>
        <w:jc w:val="both"/>
        <w:rPr>
          <w:b/>
          <w:bCs/>
          <w:sz w:val="20"/>
          <w:szCs w:val="20"/>
        </w:rPr>
      </w:pPr>
    </w:p>
    <w:p w:rsidR="00CD76C8" w:rsidRPr="009E47A6" w:rsidRDefault="006146B9" w:rsidP="00B91206">
      <w:pPr>
        <w:snapToGrid w:val="0"/>
        <w:jc w:val="both"/>
        <w:rPr>
          <w:b/>
          <w:bCs/>
          <w:sz w:val="20"/>
          <w:szCs w:val="20"/>
        </w:rPr>
      </w:pPr>
      <w:r w:rsidRPr="009E47A6">
        <w:rPr>
          <w:b/>
          <w:bCs/>
          <w:sz w:val="20"/>
          <w:szCs w:val="20"/>
        </w:rPr>
        <w:t>References</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Anderson</w:t>
      </w:r>
      <w:r w:rsidR="00AE1B41" w:rsidRPr="009E47A6">
        <w:rPr>
          <w:bCs/>
          <w:sz w:val="20"/>
          <w:szCs w:val="20"/>
          <w:lang w:bidi="en-US"/>
        </w:rPr>
        <w:t xml:space="preserve"> </w:t>
      </w:r>
      <w:r w:rsidRPr="009E47A6">
        <w:rPr>
          <w:bCs/>
          <w:sz w:val="20"/>
          <w:szCs w:val="20"/>
          <w:lang w:bidi="en-US"/>
        </w:rPr>
        <w:t>JJ,</w:t>
      </w:r>
      <w:r w:rsidR="00AE1B41" w:rsidRPr="009E47A6">
        <w:rPr>
          <w:bCs/>
          <w:sz w:val="20"/>
          <w:szCs w:val="20"/>
          <w:lang w:bidi="en-US"/>
        </w:rPr>
        <w:t xml:space="preserve"> </w:t>
      </w:r>
      <w:r w:rsidRPr="009E47A6">
        <w:rPr>
          <w:bCs/>
          <w:sz w:val="20"/>
          <w:szCs w:val="20"/>
          <w:lang w:bidi="en-US"/>
        </w:rPr>
        <w:t>Woelffer</w:t>
      </w:r>
      <w:r w:rsidR="00AE1B41" w:rsidRPr="009E47A6">
        <w:rPr>
          <w:bCs/>
          <w:sz w:val="20"/>
          <w:szCs w:val="20"/>
          <w:lang w:bidi="en-US"/>
        </w:rPr>
        <w:t xml:space="preserve"> </w:t>
      </w:r>
      <w:r w:rsidRPr="009E47A6">
        <w:rPr>
          <w:bCs/>
          <w:sz w:val="20"/>
          <w:szCs w:val="20"/>
          <w:lang w:bidi="en-US"/>
        </w:rPr>
        <w:t>KE,</w:t>
      </w:r>
      <w:r w:rsidR="00AE1B41" w:rsidRPr="009E47A6">
        <w:rPr>
          <w:bCs/>
          <w:sz w:val="20"/>
          <w:szCs w:val="20"/>
          <w:lang w:bidi="en-US"/>
        </w:rPr>
        <w:t xml:space="preserve"> </w:t>
      </w:r>
      <w:r w:rsidRPr="009E47A6">
        <w:rPr>
          <w:bCs/>
          <w:sz w:val="20"/>
          <w:szCs w:val="20"/>
          <w:lang w:bidi="en-US"/>
        </w:rPr>
        <w:t>Holtzman</w:t>
      </w:r>
      <w:r w:rsidR="00AE1B41" w:rsidRPr="009E47A6">
        <w:rPr>
          <w:bCs/>
          <w:sz w:val="20"/>
          <w:szCs w:val="20"/>
          <w:lang w:bidi="en-US"/>
        </w:rPr>
        <w:t xml:space="preserve"> </w:t>
      </w:r>
      <w:r w:rsidRPr="009E47A6">
        <w:rPr>
          <w:bCs/>
          <w:sz w:val="20"/>
          <w:szCs w:val="20"/>
          <w:lang w:bidi="en-US"/>
        </w:rPr>
        <w:t>JJ,</w:t>
      </w:r>
      <w:r w:rsidR="00AE1B41" w:rsidRPr="009E47A6">
        <w:rPr>
          <w:bCs/>
          <w:sz w:val="20"/>
          <w:szCs w:val="20"/>
          <w:lang w:bidi="en-US"/>
        </w:rPr>
        <w:t xml:space="preserve"> </w:t>
      </w:r>
      <w:r w:rsidRPr="009E47A6">
        <w:rPr>
          <w:bCs/>
          <w:sz w:val="20"/>
          <w:szCs w:val="20"/>
          <w:lang w:bidi="en-US"/>
        </w:rPr>
        <w:t>Jacobs</w:t>
      </w:r>
      <w:r w:rsidR="00AE1B41" w:rsidRPr="009E47A6">
        <w:rPr>
          <w:bCs/>
          <w:sz w:val="20"/>
          <w:szCs w:val="20"/>
          <w:lang w:bidi="en-US"/>
        </w:rPr>
        <w:t xml:space="preserve"> </w:t>
      </w:r>
      <w:r w:rsidRPr="009E47A6">
        <w:rPr>
          <w:bCs/>
          <w:sz w:val="20"/>
          <w:szCs w:val="20"/>
          <w:lang w:bidi="en-US"/>
        </w:rPr>
        <w:t>AM.</w:t>
      </w:r>
      <w:r w:rsidR="00AE1B41" w:rsidRPr="009E47A6">
        <w:rPr>
          <w:sz w:val="20"/>
          <w:szCs w:val="20"/>
          <w:lang w:bidi="en-US"/>
        </w:rPr>
        <w:t xml:space="preserve"> </w:t>
      </w:r>
      <w:r w:rsidRPr="009E47A6">
        <w:rPr>
          <w:sz w:val="20"/>
          <w:szCs w:val="20"/>
          <w:lang w:bidi="en-US"/>
        </w:rPr>
        <w:t>Bisphosphonates</w:t>
      </w:r>
      <w:r w:rsidR="00AE1B41" w:rsidRPr="009E47A6">
        <w:rPr>
          <w:sz w:val="20"/>
          <w:szCs w:val="20"/>
          <w:lang w:bidi="en-US"/>
        </w:rPr>
        <w:t xml:space="preserve"> </w:t>
      </w:r>
      <w:r w:rsidRPr="009E47A6">
        <w:rPr>
          <w:sz w:val="20"/>
          <w:szCs w:val="20"/>
          <w:lang w:bidi="en-US"/>
        </w:rPr>
        <w:t>for</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treatment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neuroarthropathy.</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surgery,</w:t>
      </w:r>
      <w:r w:rsidR="00AE1B41" w:rsidRPr="009E47A6">
        <w:rPr>
          <w:sz w:val="20"/>
          <w:szCs w:val="20"/>
          <w:lang w:bidi="en-US"/>
        </w:rPr>
        <w:t xml:space="preserve"> </w:t>
      </w:r>
      <w:r w:rsidRPr="009E47A6">
        <w:rPr>
          <w:sz w:val="20"/>
          <w:szCs w:val="20"/>
          <w:lang w:bidi="en-US"/>
        </w:rPr>
        <w:t>2004;</w:t>
      </w:r>
      <w:r w:rsidR="00AE1B41" w:rsidRPr="009E47A6">
        <w:rPr>
          <w:sz w:val="20"/>
          <w:szCs w:val="20"/>
          <w:lang w:bidi="en-US"/>
        </w:rPr>
        <w:t xml:space="preserve"> </w:t>
      </w:r>
      <w:r w:rsidRPr="009E47A6">
        <w:rPr>
          <w:sz w:val="20"/>
          <w:szCs w:val="20"/>
          <w:lang w:bidi="en-US"/>
        </w:rPr>
        <w:t>43(5):</w:t>
      </w:r>
      <w:r w:rsidR="00AE1B41" w:rsidRPr="009E47A6">
        <w:rPr>
          <w:sz w:val="20"/>
          <w:szCs w:val="20"/>
          <w:lang w:bidi="en-US"/>
        </w:rPr>
        <w:t xml:space="preserve"> </w:t>
      </w:r>
      <w:r w:rsidRPr="009E47A6">
        <w:rPr>
          <w:sz w:val="20"/>
          <w:szCs w:val="20"/>
          <w:lang w:bidi="en-US"/>
        </w:rPr>
        <w:t>285-289.</w:t>
      </w:r>
      <w:r w:rsidRPr="009E47A6">
        <w:rPr>
          <w:sz w:val="20"/>
          <w:szCs w:val="20"/>
        </w:rPr>
        <w:t>‏</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bCs/>
          <w:sz w:val="20"/>
          <w:szCs w:val="20"/>
          <w:lang w:bidi="en-US"/>
        </w:rPr>
        <w:t>Ayoub</w:t>
      </w:r>
      <w:r w:rsidR="00AE1B41" w:rsidRPr="009E47A6">
        <w:rPr>
          <w:bCs/>
          <w:sz w:val="20"/>
          <w:szCs w:val="20"/>
          <w:lang w:bidi="en-US"/>
        </w:rPr>
        <w:t xml:space="preserve"> </w:t>
      </w:r>
      <w:r w:rsidRPr="009E47A6">
        <w:rPr>
          <w:bCs/>
          <w:sz w:val="20"/>
          <w:szCs w:val="20"/>
          <w:lang w:bidi="en-US"/>
        </w:rPr>
        <w:t>MA.</w:t>
      </w:r>
      <w:r w:rsidR="00AE1B41" w:rsidRPr="009E47A6">
        <w:rPr>
          <w:bCs/>
          <w:sz w:val="20"/>
          <w:szCs w:val="20"/>
          <w:lang w:bidi="en-US"/>
        </w:rPr>
        <w:t xml:space="preserve"> </w:t>
      </w:r>
      <w:r w:rsidRPr="009E47A6">
        <w:rPr>
          <w:bCs/>
          <w:sz w:val="20"/>
          <w:szCs w:val="20"/>
          <w:lang w:bidi="en-US"/>
        </w:rPr>
        <w:t>"Ankle</w:t>
      </w:r>
      <w:r w:rsidR="00AE1B41" w:rsidRPr="009E47A6">
        <w:rPr>
          <w:bCs/>
          <w:sz w:val="20"/>
          <w:szCs w:val="20"/>
          <w:lang w:bidi="en-US"/>
        </w:rPr>
        <w:t xml:space="preserve"> </w:t>
      </w:r>
      <w:r w:rsidRPr="009E47A6">
        <w:rPr>
          <w:bCs/>
          <w:sz w:val="20"/>
          <w:szCs w:val="20"/>
          <w:lang w:bidi="en-US"/>
        </w:rPr>
        <w:t>fractures</w:t>
      </w:r>
      <w:r w:rsidR="00AE1B41" w:rsidRPr="009E47A6">
        <w:rPr>
          <w:bCs/>
          <w:sz w:val="20"/>
          <w:szCs w:val="20"/>
          <w:lang w:bidi="en-US"/>
        </w:rPr>
        <w:t xml:space="preserve"> </w:t>
      </w:r>
      <w:r w:rsidRPr="009E47A6">
        <w:rPr>
          <w:bCs/>
          <w:sz w:val="20"/>
          <w:szCs w:val="20"/>
          <w:lang w:bidi="en-US"/>
        </w:rPr>
        <w:t>in</w:t>
      </w:r>
      <w:r w:rsidR="00AE1B41" w:rsidRPr="009E47A6">
        <w:rPr>
          <w:bCs/>
          <w:sz w:val="20"/>
          <w:szCs w:val="20"/>
          <w:lang w:bidi="en-US"/>
        </w:rPr>
        <w:t xml:space="preserve"> </w:t>
      </w:r>
      <w:r w:rsidRPr="009E47A6">
        <w:rPr>
          <w:bCs/>
          <w:sz w:val="20"/>
          <w:szCs w:val="20"/>
          <w:lang w:bidi="en-US"/>
        </w:rPr>
        <w:t>diabetic</w:t>
      </w:r>
      <w:r w:rsidR="00AE1B41" w:rsidRPr="009E47A6">
        <w:rPr>
          <w:bCs/>
          <w:sz w:val="20"/>
          <w:szCs w:val="20"/>
          <w:lang w:bidi="en-US"/>
        </w:rPr>
        <w:t xml:space="preserve"> </w:t>
      </w:r>
      <w:r w:rsidRPr="009E47A6">
        <w:rPr>
          <w:bCs/>
          <w:sz w:val="20"/>
          <w:szCs w:val="20"/>
          <w:lang w:bidi="en-US"/>
        </w:rPr>
        <w:t>neuropathic</w:t>
      </w:r>
      <w:r w:rsidR="00AE1B41" w:rsidRPr="009E47A6">
        <w:rPr>
          <w:bCs/>
          <w:sz w:val="20"/>
          <w:szCs w:val="20"/>
          <w:lang w:bidi="en-US"/>
        </w:rPr>
        <w:t xml:space="preserve"> </w:t>
      </w:r>
      <w:r w:rsidRPr="009E47A6">
        <w:rPr>
          <w:bCs/>
          <w:sz w:val="20"/>
          <w:szCs w:val="20"/>
          <w:lang w:bidi="en-US"/>
        </w:rPr>
        <w:t>arthropathy:</w:t>
      </w:r>
      <w:r w:rsidR="00AE1B41" w:rsidRPr="009E47A6">
        <w:rPr>
          <w:bCs/>
          <w:sz w:val="20"/>
          <w:szCs w:val="20"/>
          <w:lang w:bidi="en-US"/>
        </w:rPr>
        <w:t xml:space="preserve"> </w:t>
      </w:r>
      <w:r w:rsidRPr="009E47A6">
        <w:rPr>
          <w:bCs/>
          <w:sz w:val="20"/>
          <w:szCs w:val="20"/>
          <w:lang w:bidi="en-US"/>
        </w:rPr>
        <w:t>can</w:t>
      </w:r>
      <w:r w:rsidR="00AE1B41" w:rsidRPr="009E47A6">
        <w:rPr>
          <w:bCs/>
          <w:sz w:val="20"/>
          <w:szCs w:val="20"/>
          <w:lang w:bidi="en-US"/>
        </w:rPr>
        <w:t xml:space="preserve"> </w:t>
      </w:r>
      <w:r w:rsidRPr="009E47A6">
        <w:rPr>
          <w:bCs/>
          <w:sz w:val="20"/>
          <w:szCs w:val="20"/>
          <w:lang w:bidi="en-US"/>
        </w:rPr>
        <w:t>tibiotalar</w:t>
      </w:r>
      <w:r w:rsidR="00AE1B41" w:rsidRPr="009E47A6">
        <w:rPr>
          <w:bCs/>
          <w:sz w:val="20"/>
          <w:szCs w:val="20"/>
          <w:lang w:bidi="en-US"/>
        </w:rPr>
        <w:t xml:space="preserve"> </w:t>
      </w:r>
      <w:r w:rsidRPr="009E47A6">
        <w:rPr>
          <w:bCs/>
          <w:sz w:val="20"/>
          <w:szCs w:val="20"/>
          <w:lang w:bidi="en-US"/>
        </w:rPr>
        <w:t>arthrodesis</w:t>
      </w:r>
      <w:r w:rsidR="00AE1B41" w:rsidRPr="009E47A6">
        <w:rPr>
          <w:bCs/>
          <w:sz w:val="20"/>
          <w:szCs w:val="20"/>
          <w:lang w:bidi="en-US"/>
        </w:rPr>
        <w:t xml:space="preserve"> </w:t>
      </w:r>
      <w:r w:rsidRPr="009E47A6">
        <w:rPr>
          <w:bCs/>
          <w:sz w:val="20"/>
          <w:szCs w:val="20"/>
          <w:lang w:bidi="en-US"/>
        </w:rPr>
        <w:t>salvage</w:t>
      </w:r>
      <w:r w:rsidR="00AE1B41" w:rsidRPr="009E47A6">
        <w:rPr>
          <w:bCs/>
          <w:sz w:val="20"/>
          <w:szCs w:val="20"/>
          <w:lang w:bidi="en-US"/>
        </w:rPr>
        <w:t xml:space="preserve"> </w:t>
      </w:r>
      <w:r w:rsidRPr="009E47A6">
        <w:rPr>
          <w:bCs/>
          <w:sz w:val="20"/>
          <w:szCs w:val="20"/>
          <w:lang w:bidi="en-US"/>
        </w:rPr>
        <w:t>the</w:t>
      </w:r>
      <w:r w:rsidR="00AE1B41" w:rsidRPr="009E47A6">
        <w:rPr>
          <w:bCs/>
          <w:sz w:val="20"/>
          <w:szCs w:val="20"/>
          <w:lang w:bidi="en-US"/>
        </w:rPr>
        <w:t xml:space="preserve"> </w:t>
      </w:r>
      <w:r w:rsidRPr="009E47A6">
        <w:rPr>
          <w:bCs/>
          <w:sz w:val="20"/>
          <w:szCs w:val="20"/>
          <w:lang w:bidi="en-US"/>
        </w:rPr>
        <w:t>limb?."</w:t>
      </w:r>
      <w:r w:rsidR="00AE1B41" w:rsidRPr="009E47A6">
        <w:rPr>
          <w:bCs/>
          <w:sz w:val="20"/>
          <w:szCs w:val="20"/>
          <w:lang w:bidi="en-US"/>
        </w:rPr>
        <w:t xml:space="preserve"> </w:t>
      </w:r>
      <w:r w:rsidRPr="009E47A6">
        <w:rPr>
          <w:bCs/>
          <w:sz w:val="20"/>
          <w:szCs w:val="20"/>
          <w:lang w:bidi="en-US"/>
        </w:rPr>
        <w:t>The</w:t>
      </w:r>
      <w:r w:rsidR="00AE1B41" w:rsidRPr="009E47A6">
        <w:rPr>
          <w:bCs/>
          <w:sz w:val="20"/>
          <w:szCs w:val="20"/>
          <w:lang w:bidi="en-US"/>
        </w:rPr>
        <w:t xml:space="preserve"> </w:t>
      </w:r>
      <w:r w:rsidRPr="009E47A6">
        <w:rPr>
          <w:bCs/>
          <w:sz w:val="20"/>
          <w:szCs w:val="20"/>
          <w:lang w:bidi="en-US"/>
        </w:rPr>
        <w:t>Journal</w:t>
      </w:r>
      <w:r w:rsidR="00AE1B41" w:rsidRPr="009E47A6">
        <w:rPr>
          <w:bCs/>
          <w:sz w:val="20"/>
          <w:szCs w:val="20"/>
          <w:lang w:bidi="en-US"/>
        </w:rPr>
        <w:t xml:space="preserve"> </w:t>
      </w:r>
      <w:r w:rsidRPr="009E47A6">
        <w:rPr>
          <w:bCs/>
          <w:sz w:val="20"/>
          <w:szCs w:val="20"/>
          <w:lang w:bidi="en-US"/>
        </w:rPr>
        <w:t>of</w:t>
      </w:r>
      <w:r w:rsidR="00AE1B41" w:rsidRPr="009E47A6">
        <w:rPr>
          <w:bCs/>
          <w:sz w:val="20"/>
          <w:szCs w:val="20"/>
          <w:lang w:bidi="en-US"/>
        </w:rPr>
        <w:t xml:space="preserve"> </w:t>
      </w:r>
      <w:r w:rsidRPr="009E47A6">
        <w:rPr>
          <w:bCs/>
          <w:sz w:val="20"/>
          <w:szCs w:val="20"/>
          <w:lang w:bidi="en-US"/>
        </w:rPr>
        <w:t>bone</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joint</w:t>
      </w:r>
      <w:r w:rsidR="00AE1B41" w:rsidRPr="009E47A6">
        <w:rPr>
          <w:bCs/>
          <w:sz w:val="20"/>
          <w:szCs w:val="20"/>
          <w:lang w:bidi="en-US"/>
        </w:rPr>
        <w:t xml:space="preserve"> </w:t>
      </w:r>
      <w:r w:rsidRPr="009E47A6">
        <w:rPr>
          <w:bCs/>
          <w:sz w:val="20"/>
          <w:szCs w:val="20"/>
          <w:lang w:bidi="en-US"/>
        </w:rPr>
        <w:t>surgery.</w:t>
      </w:r>
      <w:r w:rsidR="00AE1B41" w:rsidRPr="009E47A6">
        <w:rPr>
          <w:bCs/>
          <w:sz w:val="20"/>
          <w:szCs w:val="20"/>
          <w:lang w:bidi="en-US"/>
        </w:rPr>
        <w:t xml:space="preserve"> </w:t>
      </w:r>
      <w:r w:rsidRPr="009E47A6">
        <w:rPr>
          <w:bCs/>
          <w:sz w:val="20"/>
          <w:szCs w:val="20"/>
          <w:lang w:bidi="en-US"/>
        </w:rPr>
        <w:t>British</w:t>
      </w:r>
      <w:r w:rsidR="00AE1B41" w:rsidRPr="009E47A6">
        <w:rPr>
          <w:bCs/>
          <w:sz w:val="20"/>
          <w:szCs w:val="20"/>
          <w:lang w:bidi="en-US"/>
        </w:rPr>
        <w:t xml:space="preserve"> </w:t>
      </w:r>
      <w:r w:rsidRPr="009E47A6">
        <w:rPr>
          <w:bCs/>
          <w:sz w:val="20"/>
          <w:szCs w:val="20"/>
          <w:lang w:bidi="en-US"/>
        </w:rPr>
        <w:t>volume</w:t>
      </w:r>
      <w:r w:rsidR="00AE1B41" w:rsidRPr="009E47A6">
        <w:rPr>
          <w:bCs/>
          <w:sz w:val="20"/>
          <w:szCs w:val="20"/>
          <w:lang w:bidi="en-US"/>
        </w:rPr>
        <w:t xml:space="preserve"> </w:t>
      </w:r>
      <w:r w:rsidRPr="009E47A6">
        <w:rPr>
          <w:bCs/>
          <w:sz w:val="20"/>
          <w:szCs w:val="20"/>
          <w:lang w:bidi="en-US"/>
        </w:rPr>
        <w:t>90,</w:t>
      </w:r>
      <w:r w:rsidR="00AE1B41" w:rsidRPr="009E47A6">
        <w:rPr>
          <w:bCs/>
          <w:sz w:val="20"/>
          <w:szCs w:val="20"/>
          <w:lang w:bidi="en-US"/>
        </w:rPr>
        <w:t xml:space="preserve"> </w:t>
      </w:r>
      <w:r w:rsidRPr="009E47A6">
        <w:rPr>
          <w:bCs/>
          <w:sz w:val="20"/>
          <w:szCs w:val="20"/>
          <w:lang w:bidi="en-US"/>
        </w:rPr>
        <w:t>no.</w:t>
      </w:r>
      <w:r w:rsidR="00AE1B41" w:rsidRPr="009E47A6">
        <w:rPr>
          <w:bCs/>
          <w:sz w:val="20"/>
          <w:szCs w:val="20"/>
          <w:lang w:bidi="en-US"/>
        </w:rPr>
        <w:t xml:space="preserve"> </w:t>
      </w:r>
      <w:r w:rsidRPr="009E47A6">
        <w:rPr>
          <w:bCs/>
          <w:sz w:val="20"/>
          <w:szCs w:val="20"/>
          <w:lang w:bidi="en-US"/>
        </w:rPr>
        <w:t>2008;</w:t>
      </w:r>
      <w:r w:rsidR="00AE1B41" w:rsidRPr="009E47A6">
        <w:rPr>
          <w:bCs/>
          <w:sz w:val="20"/>
          <w:szCs w:val="20"/>
          <w:lang w:bidi="en-US"/>
        </w:rPr>
        <w:t xml:space="preserve"> </w:t>
      </w:r>
      <w:r w:rsidRPr="009E47A6">
        <w:rPr>
          <w:bCs/>
          <w:sz w:val="20"/>
          <w:szCs w:val="20"/>
          <w:lang w:bidi="en-US"/>
        </w:rPr>
        <w:t>7</w:t>
      </w:r>
      <w:r w:rsidR="00AE1B41" w:rsidRPr="009E47A6">
        <w:rPr>
          <w:bCs/>
          <w:sz w:val="20"/>
          <w:szCs w:val="20"/>
          <w:lang w:bidi="en-US"/>
        </w:rPr>
        <w:t xml:space="preserve"> </w:t>
      </w:r>
      <w:r w:rsidRPr="009E47A6">
        <w:rPr>
          <w:bCs/>
          <w:sz w:val="20"/>
          <w:szCs w:val="20"/>
          <w:lang w:bidi="en-US"/>
        </w:rPr>
        <w:t>(7):</w:t>
      </w:r>
      <w:r w:rsidR="00AE1B41" w:rsidRPr="009E47A6">
        <w:rPr>
          <w:bCs/>
          <w:sz w:val="20"/>
          <w:szCs w:val="20"/>
          <w:lang w:bidi="en-US"/>
        </w:rPr>
        <w:t xml:space="preserve"> </w:t>
      </w:r>
      <w:r w:rsidRPr="009E47A6">
        <w:rPr>
          <w:bCs/>
          <w:sz w:val="20"/>
          <w:szCs w:val="20"/>
          <w:lang w:bidi="en-US"/>
        </w:rPr>
        <w:t>906-914.</w:t>
      </w:r>
    </w:p>
    <w:p w:rsidR="00C22D76" w:rsidRPr="009E47A6" w:rsidRDefault="00C22D76" w:rsidP="009D397A">
      <w:pPr>
        <w:pStyle w:val="ListParagraph"/>
        <w:numPr>
          <w:ilvl w:val="0"/>
          <w:numId w:val="44"/>
        </w:numPr>
        <w:bidi w:val="0"/>
        <w:snapToGrid w:val="0"/>
        <w:ind w:left="425" w:hanging="425"/>
        <w:jc w:val="both"/>
        <w:rPr>
          <w:sz w:val="20"/>
          <w:szCs w:val="20"/>
          <w:lang w:bidi="ar-EG"/>
        </w:rPr>
      </w:pPr>
      <w:r w:rsidRPr="009E47A6">
        <w:rPr>
          <w:bCs/>
          <w:sz w:val="20"/>
          <w:szCs w:val="20"/>
          <w:lang w:bidi="ar-EG"/>
        </w:rPr>
        <w:t>Balducci</w:t>
      </w:r>
      <w:r w:rsidR="00AE1B41" w:rsidRPr="009E47A6">
        <w:rPr>
          <w:bCs/>
          <w:sz w:val="20"/>
          <w:szCs w:val="20"/>
          <w:lang w:bidi="ar-EG"/>
        </w:rPr>
        <w:t xml:space="preserve"> </w:t>
      </w:r>
      <w:r w:rsidRPr="009E47A6">
        <w:rPr>
          <w:bCs/>
          <w:sz w:val="20"/>
          <w:szCs w:val="20"/>
          <w:lang w:bidi="ar-EG"/>
        </w:rPr>
        <w:t>S,</w:t>
      </w:r>
      <w:r w:rsidR="00AE1B41" w:rsidRPr="009E47A6">
        <w:rPr>
          <w:bCs/>
          <w:sz w:val="20"/>
          <w:szCs w:val="20"/>
          <w:lang w:bidi="ar-EG"/>
        </w:rPr>
        <w:t xml:space="preserve"> </w:t>
      </w:r>
      <w:r w:rsidRPr="009E47A6">
        <w:rPr>
          <w:bCs/>
          <w:sz w:val="20"/>
          <w:szCs w:val="20"/>
          <w:lang w:bidi="ar-EG"/>
        </w:rPr>
        <w:t>Sacchetti</w:t>
      </w:r>
      <w:r w:rsidR="00AE1B41" w:rsidRPr="009E47A6">
        <w:rPr>
          <w:bCs/>
          <w:sz w:val="20"/>
          <w:szCs w:val="20"/>
          <w:lang w:bidi="ar-EG"/>
        </w:rPr>
        <w:t xml:space="preserve"> </w:t>
      </w:r>
      <w:r w:rsidRPr="009E47A6">
        <w:rPr>
          <w:bCs/>
          <w:sz w:val="20"/>
          <w:szCs w:val="20"/>
          <w:lang w:bidi="ar-EG"/>
        </w:rPr>
        <w:t>M,</w:t>
      </w:r>
      <w:r w:rsidR="00AE1B41" w:rsidRPr="009E47A6">
        <w:rPr>
          <w:bCs/>
          <w:sz w:val="20"/>
          <w:szCs w:val="20"/>
          <w:lang w:bidi="ar-EG"/>
        </w:rPr>
        <w:t xml:space="preserve"> </w:t>
      </w:r>
      <w:r w:rsidRPr="009E47A6">
        <w:rPr>
          <w:bCs/>
          <w:sz w:val="20"/>
          <w:szCs w:val="20"/>
          <w:lang w:bidi="ar-EG"/>
        </w:rPr>
        <w:t>Haxhi</w:t>
      </w:r>
      <w:r w:rsidR="00AE1B41" w:rsidRPr="009E47A6">
        <w:rPr>
          <w:bCs/>
          <w:sz w:val="20"/>
          <w:szCs w:val="20"/>
          <w:lang w:bidi="ar-EG"/>
        </w:rPr>
        <w:t xml:space="preserve"> </w:t>
      </w:r>
      <w:r w:rsidRPr="009E47A6">
        <w:rPr>
          <w:bCs/>
          <w:sz w:val="20"/>
          <w:szCs w:val="20"/>
          <w:lang w:bidi="ar-EG"/>
        </w:rPr>
        <w:t>J,</w:t>
      </w:r>
      <w:r w:rsidR="00AE1B41" w:rsidRPr="009E47A6">
        <w:rPr>
          <w:bCs/>
          <w:sz w:val="20"/>
          <w:szCs w:val="20"/>
          <w:lang w:bidi="ar-EG"/>
        </w:rPr>
        <w:t xml:space="preserve"> </w:t>
      </w:r>
      <w:r w:rsidRPr="009E47A6">
        <w:rPr>
          <w:bCs/>
          <w:sz w:val="20"/>
          <w:szCs w:val="20"/>
          <w:lang w:bidi="ar-EG"/>
        </w:rPr>
        <w:t>Orlando</w:t>
      </w:r>
      <w:r w:rsidR="00AE1B41" w:rsidRPr="009E47A6">
        <w:rPr>
          <w:bCs/>
          <w:sz w:val="20"/>
          <w:szCs w:val="20"/>
          <w:lang w:bidi="ar-EG"/>
        </w:rPr>
        <w:t xml:space="preserve"> </w:t>
      </w:r>
      <w:r w:rsidRPr="009E47A6">
        <w:rPr>
          <w:bCs/>
          <w:sz w:val="20"/>
          <w:szCs w:val="20"/>
          <w:lang w:bidi="ar-EG"/>
        </w:rPr>
        <w:t>G,</w:t>
      </w:r>
      <w:r w:rsidR="00AE1B41" w:rsidRPr="009E47A6">
        <w:rPr>
          <w:bCs/>
          <w:sz w:val="20"/>
          <w:szCs w:val="20"/>
          <w:lang w:bidi="ar-EG"/>
        </w:rPr>
        <w:t xml:space="preserve"> </w:t>
      </w:r>
      <w:r w:rsidRPr="009E47A6">
        <w:rPr>
          <w:bCs/>
          <w:sz w:val="20"/>
          <w:szCs w:val="20"/>
          <w:lang w:bidi="ar-EG"/>
        </w:rPr>
        <w:t>D'errico</w:t>
      </w:r>
      <w:r w:rsidR="00AE1B41" w:rsidRPr="009E47A6">
        <w:rPr>
          <w:bCs/>
          <w:sz w:val="20"/>
          <w:szCs w:val="20"/>
          <w:lang w:bidi="ar-EG"/>
        </w:rPr>
        <w:t xml:space="preserve"> </w:t>
      </w:r>
      <w:r w:rsidRPr="009E47A6">
        <w:rPr>
          <w:bCs/>
          <w:sz w:val="20"/>
          <w:szCs w:val="20"/>
          <w:lang w:bidi="ar-EG"/>
        </w:rPr>
        <w:t>V,</w:t>
      </w:r>
      <w:r w:rsidR="00AE1B41" w:rsidRPr="009E47A6">
        <w:rPr>
          <w:bCs/>
          <w:sz w:val="20"/>
          <w:szCs w:val="20"/>
          <w:lang w:bidi="ar-EG"/>
        </w:rPr>
        <w:t xml:space="preserve"> </w:t>
      </w:r>
      <w:r w:rsidRPr="009E47A6">
        <w:rPr>
          <w:bCs/>
          <w:sz w:val="20"/>
          <w:szCs w:val="20"/>
          <w:lang w:bidi="ar-EG"/>
        </w:rPr>
        <w:t>Fallucca</w:t>
      </w:r>
      <w:r w:rsidR="00AE1B41" w:rsidRPr="009E47A6">
        <w:rPr>
          <w:bCs/>
          <w:sz w:val="20"/>
          <w:szCs w:val="20"/>
          <w:lang w:bidi="ar-EG"/>
        </w:rPr>
        <w:t xml:space="preserve"> </w:t>
      </w:r>
      <w:r w:rsidRPr="009E47A6">
        <w:rPr>
          <w:bCs/>
          <w:sz w:val="20"/>
          <w:szCs w:val="20"/>
          <w:lang w:bidi="ar-EG"/>
        </w:rPr>
        <w:t>S,</w:t>
      </w:r>
      <w:r w:rsidR="00AE1B41" w:rsidRPr="009E47A6">
        <w:rPr>
          <w:bCs/>
          <w:sz w:val="20"/>
          <w:szCs w:val="20"/>
          <w:lang w:bidi="ar-EG"/>
        </w:rPr>
        <w:t xml:space="preserve"> </w:t>
      </w:r>
      <w:r w:rsidRPr="009E47A6">
        <w:rPr>
          <w:bCs/>
          <w:sz w:val="20"/>
          <w:szCs w:val="20"/>
          <w:lang w:bidi="ar-EG"/>
        </w:rPr>
        <w:t>Pugliese</w:t>
      </w:r>
      <w:r w:rsidR="00AE1B41" w:rsidRPr="009E47A6">
        <w:rPr>
          <w:bCs/>
          <w:sz w:val="20"/>
          <w:szCs w:val="20"/>
          <w:lang w:bidi="ar-EG"/>
        </w:rPr>
        <w:t xml:space="preserve"> </w:t>
      </w:r>
      <w:r w:rsidRPr="009E47A6">
        <w:rPr>
          <w:bCs/>
          <w:sz w:val="20"/>
          <w:szCs w:val="20"/>
          <w:lang w:bidi="ar-EG"/>
        </w:rPr>
        <w:t>G.</w:t>
      </w:r>
      <w:r w:rsidR="00AE1B41" w:rsidRPr="009E47A6">
        <w:rPr>
          <w:bCs/>
          <w:sz w:val="20"/>
          <w:szCs w:val="20"/>
          <w:lang w:bidi="ar-EG"/>
        </w:rPr>
        <w:t xml:space="preserve"> </w:t>
      </w:r>
      <w:r w:rsidRPr="009E47A6">
        <w:rPr>
          <w:sz w:val="20"/>
          <w:szCs w:val="20"/>
          <w:lang w:bidi="ar-EG"/>
        </w:rPr>
        <w:t>Physical</w:t>
      </w:r>
      <w:r w:rsidR="00AE1B41" w:rsidRPr="009E47A6">
        <w:rPr>
          <w:sz w:val="20"/>
          <w:szCs w:val="20"/>
          <w:lang w:bidi="ar-EG"/>
        </w:rPr>
        <w:t xml:space="preserve"> </w:t>
      </w:r>
      <w:r w:rsidRPr="009E47A6">
        <w:rPr>
          <w:sz w:val="20"/>
          <w:szCs w:val="20"/>
          <w:lang w:bidi="ar-EG"/>
        </w:rPr>
        <w:t>exercise</w:t>
      </w:r>
      <w:r w:rsidR="00AE1B41" w:rsidRPr="009E47A6">
        <w:rPr>
          <w:sz w:val="20"/>
          <w:szCs w:val="20"/>
          <w:lang w:bidi="ar-EG"/>
        </w:rPr>
        <w:t xml:space="preserve"> </w:t>
      </w:r>
      <w:r w:rsidRPr="009E47A6">
        <w:rPr>
          <w:sz w:val="20"/>
          <w:szCs w:val="20"/>
          <w:lang w:bidi="ar-EG"/>
        </w:rPr>
        <w:t>as</w:t>
      </w:r>
      <w:r w:rsidR="00AE1B41" w:rsidRPr="009E47A6">
        <w:rPr>
          <w:sz w:val="20"/>
          <w:szCs w:val="20"/>
          <w:lang w:bidi="ar-EG"/>
        </w:rPr>
        <w:t xml:space="preserve"> </w:t>
      </w:r>
      <w:r w:rsidRPr="009E47A6">
        <w:rPr>
          <w:sz w:val="20"/>
          <w:szCs w:val="20"/>
          <w:lang w:bidi="ar-EG"/>
        </w:rPr>
        <w:t>therapy</w:t>
      </w:r>
      <w:r w:rsidR="00AE1B41" w:rsidRPr="009E47A6">
        <w:rPr>
          <w:sz w:val="20"/>
          <w:szCs w:val="20"/>
          <w:lang w:bidi="ar-EG"/>
        </w:rPr>
        <w:t xml:space="preserve"> </w:t>
      </w:r>
      <w:r w:rsidRPr="009E47A6">
        <w:rPr>
          <w:sz w:val="20"/>
          <w:szCs w:val="20"/>
          <w:lang w:bidi="ar-EG"/>
        </w:rPr>
        <w:t>for</w:t>
      </w:r>
      <w:r w:rsidR="00AE1B41" w:rsidRPr="009E47A6">
        <w:rPr>
          <w:sz w:val="20"/>
          <w:szCs w:val="20"/>
          <w:lang w:bidi="ar-EG"/>
        </w:rPr>
        <w:t xml:space="preserve"> </w:t>
      </w:r>
      <w:r w:rsidRPr="009E47A6">
        <w:rPr>
          <w:sz w:val="20"/>
          <w:szCs w:val="20"/>
          <w:lang w:bidi="ar-EG"/>
        </w:rPr>
        <w:t>type</w:t>
      </w:r>
      <w:r w:rsidR="00AE1B41" w:rsidRPr="009E47A6">
        <w:rPr>
          <w:sz w:val="20"/>
          <w:szCs w:val="20"/>
          <w:lang w:bidi="ar-EG"/>
        </w:rPr>
        <w:t xml:space="preserve"> </w:t>
      </w:r>
      <w:r w:rsidRPr="009E47A6">
        <w:rPr>
          <w:sz w:val="20"/>
          <w:szCs w:val="20"/>
          <w:lang w:bidi="ar-EG"/>
        </w:rPr>
        <w:t>2</w:t>
      </w:r>
      <w:r w:rsidR="00AE1B41" w:rsidRPr="009E47A6">
        <w:rPr>
          <w:sz w:val="20"/>
          <w:szCs w:val="20"/>
          <w:lang w:bidi="ar-EG"/>
        </w:rPr>
        <w:t xml:space="preserve"> </w:t>
      </w:r>
      <w:r w:rsidRPr="009E47A6">
        <w:rPr>
          <w:sz w:val="20"/>
          <w:szCs w:val="20"/>
          <w:lang w:bidi="ar-EG"/>
        </w:rPr>
        <w:t>diabetes</w:t>
      </w:r>
      <w:r w:rsidR="00AE1B41" w:rsidRPr="009E47A6">
        <w:rPr>
          <w:sz w:val="20"/>
          <w:szCs w:val="20"/>
          <w:lang w:bidi="ar-EG"/>
        </w:rPr>
        <w:t xml:space="preserve"> </w:t>
      </w:r>
      <w:r w:rsidRPr="009E47A6">
        <w:rPr>
          <w:sz w:val="20"/>
          <w:szCs w:val="20"/>
          <w:lang w:bidi="ar-EG"/>
        </w:rPr>
        <w:t>mellitus.</w:t>
      </w:r>
      <w:r w:rsidR="00AE1B41" w:rsidRPr="009E47A6">
        <w:rPr>
          <w:sz w:val="20"/>
          <w:szCs w:val="20"/>
          <w:lang w:bidi="ar-EG"/>
        </w:rPr>
        <w:t xml:space="preserve"> </w:t>
      </w:r>
      <w:r w:rsidRPr="009E47A6">
        <w:rPr>
          <w:sz w:val="20"/>
          <w:szCs w:val="20"/>
          <w:lang w:bidi="ar-EG"/>
        </w:rPr>
        <w:t>Diabetes/</w:t>
      </w:r>
      <w:r w:rsidR="00AE1B41" w:rsidRPr="009E47A6">
        <w:rPr>
          <w:sz w:val="20"/>
          <w:szCs w:val="20"/>
          <w:lang w:bidi="ar-EG"/>
        </w:rPr>
        <w:t xml:space="preserve"> </w:t>
      </w:r>
      <w:r w:rsidRPr="009E47A6">
        <w:rPr>
          <w:sz w:val="20"/>
          <w:szCs w:val="20"/>
          <w:lang w:bidi="ar-EG"/>
        </w:rPr>
        <w:t>metabolism</w:t>
      </w:r>
      <w:r w:rsidR="00AE1B41" w:rsidRPr="009E47A6">
        <w:rPr>
          <w:sz w:val="20"/>
          <w:szCs w:val="20"/>
          <w:lang w:bidi="ar-EG"/>
        </w:rPr>
        <w:t xml:space="preserve"> </w:t>
      </w:r>
      <w:r w:rsidRPr="009E47A6">
        <w:rPr>
          <w:sz w:val="20"/>
          <w:szCs w:val="20"/>
          <w:lang w:bidi="ar-EG"/>
        </w:rPr>
        <w:t>research</w:t>
      </w:r>
      <w:r w:rsidR="00AE1B41" w:rsidRPr="009E47A6">
        <w:rPr>
          <w:sz w:val="20"/>
          <w:szCs w:val="20"/>
          <w:lang w:bidi="ar-EG"/>
        </w:rPr>
        <w:t xml:space="preserve"> </w:t>
      </w:r>
      <w:r w:rsidRPr="009E47A6">
        <w:rPr>
          <w:sz w:val="20"/>
          <w:szCs w:val="20"/>
          <w:lang w:bidi="ar-EG"/>
        </w:rPr>
        <w:t>and</w:t>
      </w:r>
      <w:r w:rsidR="00AE1B41" w:rsidRPr="009E47A6">
        <w:rPr>
          <w:sz w:val="20"/>
          <w:szCs w:val="20"/>
          <w:lang w:bidi="ar-EG"/>
        </w:rPr>
        <w:t xml:space="preserve"> </w:t>
      </w:r>
      <w:r w:rsidRPr="009E47A6">
        <w:rPr>
          <w:sz w:val="20"/>
          <w:szCs w:val="20"/>
          <w:lang w:bidi="ar-EG"/>
        </w:rPr>
        <w:t>reviews,</w:t>
      </w:r>
      <w:r w:rsidR="00AE1B41" w:rsidRPr="009E47A6">
        <w:rPr>
          <w:sz w:val="20"/>
          <w:szCs w:val="20"/>
          <w:lang w:bidi="ar-EG"/>
        </w:rPr>
        <w:t xml:space="preserve"> </w:t>
      </w:r>
      <w:r w:rsidRPr="009E47A6">
        <w:rPr>
          <w:sz w:val="20"/>
          <w:szCs w:val="20"/>
          <w:lang w:bidi="ar-EG"/>
        </w:rPr>
        <w:t>2014;</w:t>
      </w:r>
      <w:r w:rsidR="00AE1B41" w:rsidRPr="009E47A6">
        <w:rPr>
          <w:sz w:val="20"/>
          <w:szCs w:val="20"/>
          <w:lang w:bidi="ar-EG"/>
        </w:rPr>
        <w:t xml:space="preserve"> </w:t>
      </w:r>
      <w:r w:rsidRPr="009E47A6">
        <w:rPr>
          <w:sz w:val="20"/>
          <w:szCs w:val="20"/>
          <w:lang w:bidi="ar-EG"/>
        </w:rPr>
        <w:t>30(S1):</w:t>
      </w:r>
      <w:r w:rsidR="00AE1B41" w:rsidRPr="009E47A6">
        <w:rPr>
          <w:sz w:val="20"/>
          <w:szCs w:val="20"/>
          <w:lang w:bidi="ar-EG"/>
        </w:rPr>
        <w:t xml:space="preserve"> </w:t>
      </w:r>
      <w:r w:rsidRPr="009E47A6">
        <w:rPr>
          <w:sz w:val="20"/>
          <w:szCs w:val="20"/>
          <w:lang w:bidi="ar-EG"/>
        </w:rPr>
        <w:t>13-23.‏</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Caravaggi</w:t>
      </w:r>
      <w:r w:rsidR="00AE1B41" w:rsidRPr="009E47A6">
        <w:rPr>
          <w:bCs/>
          <w:sz w:val="20"/>
          <w:szCs w:val="20"/>
          <w:lang w:bidi="en-US"/>
        </w:rPr>
        <w:t xml:space="preserve"> </w:t>
      </w:r>
      <w:r w:rsidRPr="009E47A6">
        <w:rPr>
          <w:bCs/>
          <w:sz w:val="20"/>
          <w:szCs w:val="20"/>
          <w:lang w:bidi="en-US"/>
        </w:rPr>
        <w:t>C,</w:t>
      </w:r>
      <w:r w:rsidR="00AE1B41" w:rsidRPr="009E47A6">
        <w:rPr>
          <w:bCs/>
          <w:sz w:val="20"/>
          <w:szCs w:val="20"/>
          <w:lang w:bidi="en-US"/>
        </w:rPr>
        <w:t xml:space="preserve"> </w:t>
      </w:r>
      <w:r w:rsidRPr="009E47A6">
        <w:rPr>
          <w:bCs/>
          <w:sz w:val="20"/>
          <w:szCs w:val="20"/>
          <w:lang w:bidi="en-US"/>
        </w:rPr>
        <w:t>Cimmino</w:t>
      </w:r>
      <w:r w:rsidR="00AE1B41" w:rsidRPr="009E47A6">
        <w:rPr>
          <w:bCs/>
          <w:sz w:val="20"/>
          <w:szCs w:val="20"/>
          <w:lang w:bidi="en-US"/>
        </w:rPr>
        <w:t xml:space="preserve"> </w:t>
      </w:r>
      <w:r w:rsidRPr="009E47A6">
        <w:rPr>
          <w:bCs/>
          <w:sz w:val="20"/>
          <w:szCs w:val="20"/>
          <w:lang w:bidi="en-US"/>
        </w:rPr>
        <w:t>M,</w:t>
      </w:r>
      <w:r w:rsidR="00AE1B41" w:rsidRPr="009E47A6">
        <w:rPr>
          <w:bCs/>
          <w:sz w:val="20"/>
          <w:szCs w:val="20"/>
          <w:lang w:bidi="en-US"/>
        </w:rPr>
        <w:t xml:space="preserve"> </w:t>
      </w:r>
      <w:r w:rsidRPr="009E47A6">
        <w:rPr>
          <w:bCs/>
          <w:sz w:val="20"/>
          <w:szCs w:val="20"/>
          <w:lang w:bidi="en-US"/>
        </w:rPr>
        <w:t>Caruso</w:t>
      </w:r>
      <w:r w:rsidR="00AE1B41" w:rsidRPr="009E47A6">
        <w:rPr>
          <w:bCs/>
          <w:sz w:val="20"/>
          <w:szCs w:val="20"/>
          <w:lang w:bidi="en-US"/>
        </w:rPr>
        <w:t xml:space="preserve"> </w:t>
      </w:r>
      <w:r w:rsidRPr="009E47A6">
        <w:rPr>
          <w:bCs/>
          <w:sz w:val="20"/>
          <w:szCs w:val="20"/>
          <w:lang w:bidi="en-US"/>
        </w:rPr>
        <w:t>S,</w:t>
      </w:r>
      <w:r w:rsidR="00AE1B41" w:rsidRPr="009E47A6">
        <w:rPr>
          <w:bCs/>
          <w:sz w:val="20"/>
          <w:szCs w:val="20"/>
          <w:lang w:bidi="en-US"/>
        </w:rPr>
        <w:t xml:space="preserve"> </w:t>
      </w:r>
      <w:r w:rsidRPr="009E47A6">
        <w:rPr>
          <w:bCs/>
          <w:sz w:val="20"/>
          <w:szCs w:val="20"/>
          <w:lang w:bidi="en-US"/>
        </w:rPr>
        <w:t>Dalla</w:t>
      </w:r>
      <w:r w:rsidR="00AE1B41" w:rsidRPr="009E47A6">
        <w:rPr>
          <w:bCs/>
          <w:sz w:val="20"/>
          <w:szCs w:val="20"/>
          <w:lang w:bidi="en-US"/>
        </w:rPr>
        <w:t xml:space="preserve"> </w:t>
      </w:r>
      <w:r w:rsidRPr="009E47A6">
        <w:rPr>
          <w:bCs/>
          <w:sz w:val="20"/>
          <w:szCs w:val="20"/>
          <w:lang w:bidi="en-US"/>
        </w:rPr>
        <w:t>Noce</w:t>
      </w:r>
      <w:r w:rsidR="00AE1B41" w:rsidRPr="009E47A6">
        <w:rPr>
          <w:bCs/>
          <w:sz w:val="20"/>
          <w:szCs w:val="20"/>
          <w:lang w:bidi="en-US"/>
        </w:rPr>
        <w:t xml:space="preserve"> </w:t>
      </w:r>
      <w:r w:rsidRPr="009E47A6">
        <w:rPr>
          <w:bCs/>
          <w:sz w:val="20"/>
          <w:szCs w:val="20"/>
          <w:lang w:bidi="en-US"/>
        </w:rPr>
        <w:t>S.</w:t>
      </w:r>
      <w:r w:rsidR="00AE1B41" w:rsidRPr="009E47A6">
        <w:rPr>
          <w:bCs/>
          <w:sz w:val="20"/>
          <w:szCs w:val="20"/>
          <w:lang w:bidi="en-US"/>
        </w:rPr>
        <w:t xml:space="preserve"> </w:t>
      </w:r>
      <w:r w:rsidRPr="009E47A6">
        <w:rPr>
          <w:sz w:val="20"/>
          <w:szCs w:val="20"/>
          <w:lang w:bidi="en-US"/>
        </w:rPr>
        <w:t>Intramedullary</w:t>
      </w:r>
      <w:r w:rsidR="00AE1B41" w:rsidRPr="009E47A6">
        <w:rPr>
          <w:sz w:val="20"/>
          <w:szCs w:val="20"/>
          <w:lang w:bidi="en-US"/>
        </w:rPr>
        <w:t xml:space="preserve"> </w:t>
      </w:r>
      <w:r w:rsidRPr="009E47A6">
        <w:rPr>
          <w:sz w:val="20"/>
          <w:szCs w:val="20"/>
          <w:lang w:bidi="en-US"/>
        </w:rPr>
        <w:t>compressive</w:t>
      </w:r>
      <w:r w:rsidR="00AE1B41" w:rsidRPr="009E47A6">
        <w:rPr>
          <w:sz w:val="20"/>
          <w:szCs w:val="20"/>
          <w:lang w:bidi="en-US"/>
        </w:rPr>
        <w:t xml:space="preserve"> </w:t>
      </w:r>
      <w:r w:rsidRPr="009E47A6">
        <w:rPr>
          <w:sz w:val="20"/>
          <w:szCs w:val="20"/>
          <w:lang w:bidi="en-US"/>
        </w:rPr>
        <w:t>nail</w:t>
      </w:r>
      <w:r w:rsidR="00AE1B41" w:rsidRPr="009E47A6">
        <w:rPr>
          <w:sz w:val="20"/>
          <w:szCs w:val="20"/>
          <w:lang w:bidi="en-US"/>
        </w:rPr>
        <w:t xml:space="preserve"> </w:t>
      </w:r>
      <w:r w:rsidRPr="009E47A6">
        <w:rPr>
          <w:sz w:val="20"/>
          <w:szCs w:val="20"/>
          <w:lang w:bidi="en-US"/>
        </w:rPr>
        <w:t>fixation</w:t>
      </w:r>
      <w:r w:rsidR="00AE1B41" w:rsidRPr="009E47A6">
        <w:rPr>
          <w:sz w:val="20"/>
          <w:szCs w:val="20"/>
          <w:lang w:bidi="en-US"/>
        </w:rPr>
        <w:t xml:space="preserve"> </w:t>
      </w:r>
      <w:r w:rsidRPr="009E47A6">
        <w:rPr>
          <w:sz w:val="20"/>
          <w:szCs w:val="20"/>
          <w:lang w:bidi="en-US"/>
        </w:rPr>
        <w:t>for</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treatment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severe</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deformity</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rear</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surgery.</w:t>
      </w:r>
      <w:r w:rsidR="00AE1B41" w:rsidRPr="009E47A6">
        <w:rPr>
          <w:sz w:val="20"/>
          <w:szCs w:val="20"/>
          <w:lang w:bidi="en-US"/>
        </w:rPr>
        <w:t xml:space="preserve"> </w:t>
      </w:r>
      <w:r w:rsidRPr="009E47A6">
        <w:rPr>
          <w:sz w:val="20"/>
          <w:szCs w:val="20"/>
          <w:lang w:bidi="en-US"/>
        </w:rPr>
        <w:t>2006;</w:t>
      </w:r>
      <w:r w:rsidR="00AE1B41" w:rsidRPr="009E47A6">
        <w:rPr>
          <w:sz w:val="20"/>
          <w:szCs w:val="20"/>
          <w:lang w:bidi="en-US"/>
        </w:rPr>
        <w:t xml:space="preserve"> </w:t>
      </w:r>
      <w:r w:rsidRPr="009E47A6">
        <w:rPr>
          <w:sz w:val="20"/>
          <w:szCs w:val="20"/>
          <w:lang w:bidi="en-US"/>
        </w:rPr>
        <w:t>45(1):20-24.</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Çinar</w:t>
      </w:r>
      <w:r w:rsidR="00AE1B41" w:rsidRPr="009E47A6">
        <w:rPr>
          <w:bCs/>
          <w:sz w:val="20"/>
          <w:szCs w:val="20"/>
          <w:lang w:bidi="en-US"/>
        </w:rPr>
        <w:t xml:space="preserve"> </w:t>
      </w:r>
      <w:r w:rsidRPr="009E47A6">
        <w:rPr>
          <w:bCs/>
          <w:sz w:val="20"/>
          <w:szCs w:val="20"/>
          <w:lang w:bidi="en-US"/>
        </w:rPr>
        <w:t>M,</w:t>
      </w:r>
      <w:r w:rsidR="00AE1B41" w:rsidRPr="009E47A6">
        <w:rPr>
          <w:bCs/>
          <w:sz w:val="20"/>
          <w:szCs w:val="20"/>
          <w:lang w:bidi="en-US"/>
        </w:rPr>
        <w:t xml:space="preserve"> </w:t>
      </w:r>
      <w:r w:rsidRPr="009E47A6">
        <w:rPr>
          <w:bCs/>
          <w:sz w:val="20"/>
          <w:szCs w:val="20"/>
          <w:lang w:bidi="en-US"/>
        </w:rPr>
        <w:t>Derincek</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Akpinar</w:t>
      </w:r>
      <w:r w:rsidR="00AE1B41" w:rsidRPr="009E47A6">
        <w:rPr>
          <w:bCs/>
          <w:sz w:val="20"/>
          <w:szCs w:val="20"/>
          <w:lang w:bidi="en-US"/>
        </w:rPr>
        <w:t xml:space="preserve"> </w:t>
      </w:r>
      <w:r w:rsidRPr="009E47A6">
        <w:rPr>
          <w:bCs/>
          <w:sz w:val="20"/>
          <w:szCs w:val="20"/>
          <w:lang w:bidi="en-US"/>
        </w:rPr>
        <w:t>S.</w:t>
      </w:r>
      <w:r w:rsidR="00AE1B41" w:rsidRPr="009E47A6">
        <w:rPr>
          <w:bCs/>
          <w:sz w:val="20"/>
          <w:szCs w:val="20"/>
          <w:lang w:bidi="en-US"/>
        </w:rPr>
        <w:t xml:space="preserve"> </w:t>
      </w:r>
      <w:r w:rsidRPr="009E47A6">
        <w:rPr>
          <w:sz w:val="20"/>
          <w:szCs w:val="20"/>
          <w:lang w:bidi="en-US"/>
        </w:rPr>
        <w:t>Tibiocalcaneal</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with</w:t>
      </w:r>
      <w:r w:rsidR="00AE1B41" w:rsidRPr="009E47A6">
        <w:rPr>
          <w:sz w:val="20"/>
          <w:szCs w:val="20"/>
          <w:lang w:bidi="en-US"/>
        </w:rPr>
        <w:t xml:space="preserve"> </w:t>
      </w:r>
      <w:r w:rsidRPr="009E47A6">
        <w:rPr>
          <w:sz w:val="20"/>
          <w:szCs w:val="20"/>
          <w:lang w:bidi="en-US"/>
        </w:rPr>
        <w:t>posterior</w:t>
      </w:r>
      <w:r w:rsidR="00AE1B41" w:rsidRPr="009E47A6">
        <w:rPr>
          <w:sz w:val="20"/>
          <w:szCs w:val="20"/>
          <w:lang w:bidi="en-US"/>
        </w:rPr>
        <w:t xml:space="preserve"> </w:t>
      </w:r>
      <w:r w:rsidRPr="009E47A6">
        <w:rPr>
          <w:sz w:val="20"/>
          <w:szCs w:val="20"/>
          <w:lang w:bidi="en-US"/>
        </w:rPr>
        <w:t>blade</w:t>
      </w:r>
      <w:r w:rsidR="00AE1B41" w:rsidRPr="009E47A6">
        <w:rPr>
          <w:sz w:val="20"/>
          <w:szCs w:val="20"/>
          <w:lang w:bidi="en-US"/>
        </w:rPr>
        <w:t xml:space="preserve"> </w:t>
      </w:r>
      <w:r w:rsidRPr="009E47A6">
        <w:rPr>
          <w:sz w:val="20"/>
          <w:szCs w:val="20"/>
          <w:lang w:bidi="en-US"/>
        </w:rPr>
        <w:t>plate</w:t>
      </w:r>
      <w:r w:rsidR="00AE1B41" w:rsidRPr="009E47A6">
        <w:rPr>
          <w:sz w:val="20"/>
          <w:szCs w:val="20"/>
          <w:lang w:bidi="en-US"/>
        </w:rPr>
        <w:t xml:space="preserve"> </w:t>
      </w:r>
      <w:r w:rsidRPr="009E47A6">
        <w:rPr>
          <w:sz w:val="20"/>
          <w:szCs w:val="20"/>
          <w:lang w:bidi="en-US"/>
        </w:rPr>
        <w:t>in</w:t>
      </w:r>
      <w:r w:rsidR="00AE1B41" w:rsidRPr="009E47A6">
        <w:rPr>
          <w:sz w:val="20"/>
          <w:szCs w:val="20"/>
          <w:lang w:bidi="en-US"/>
        </w:rPr>
        <w:t xml:space="preserve"> </w:t>
      </w:r>
      <w:r w:rsidRPr="009E47A6">
        <w:rPr>
          <w:sz w:val="20"/>
          <w:szCs w:val="20"/>
          <w:lang w:bidi="en-US"/>
        </w:rPr>
        <w:t>diabetic</w:t>
      </w:r>
      <w:r w:rsidR="00AE1B41" w:rsidRPr="009E47A6">
        <w:rPr>
          <w:sz w:val="20"/>
          <w:szCs w:val="20"/>
          <w:lang w:bidi="en-US"/>
        </w:rPr>
        <w:t xml:space="preserve"> </w:t>
      </w:r>
      <w:r w:rsidRPr="009E47A6">
        <w:rPr>
          <w:sz w:val="20"/>
          <w:szCs w:val="20"/>
          <w:lang w:bidi="en-US"/>
        </w:rPr>
        <w:t>neuroarthropthy.</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&amp; </w:t>
      </w:r>
      <w:r w:rsidRPr="009E47A6">
        <w:rPr>
          <w:sz w:val="20"/>
          <w:szCs w:val="20"/>
          <w:lang w:bidi="en-US"/>
        </w:rPr>
        <w:t>ankle</w:t>
      </w:r>
      <w:r w:rsidR="00AE1B41" w:rsidRPr="009E47A6">
        <w:rPr>
          <w:sz w:val="20"/>
          <w:szCs w:val="20"/>
          <w:lang w:bidi="en-US"/>
        </w:rPr>
        <w:t xml:space="preserve"> </w:t>
      </w:r>
      <w:r w:rsidRPr="009E47A6">
        <w:rPr>
          <w:sz w:val="20"/>
          <w:szCs w:val="20"/>
          <w:lang w:bidi="en-US"/>
        </w:rPr>
        <w:t>international.</w:t>
      </w:r>
      <w:r w:rsidR="00AE1B41" w:rsidRPr="009E47A6">
        <w:rPr>
          <w:sz w:val="20"/>
          <w:szCs w:val="20"/>
          <w:lang w:bidi="en-US"/>
        </w:rPr>
        <w:t xml:space="preserve"> </w:t>
      </w:r>
      <w:r w:rsidRPr="009E47A6">
        <w:rPr>
          <w:sz w:val="20"/>
          <w:szCs w:val="20"/>
          <w:lang w:bidi="en-US"/>
        </w:rPr>
        <w:t>2010;</w:t>
      </w:r>
      <w:r w:rsidR="00AE1B41" w:rsidRPr="009E47A6">
        <w:rPr>
          <w:sz w:val="20"/>
          <w:szCs w:val="20"/>
          <w:lang w:bidi="en-US"/>
        </w:rPr>
        <w:t xml:space="preserve"> </w:t>
      </w:r>
      <w:r w:rsidRPr="009E47A6">
        <w:rPr>
          <w:sz w:val="20"/>
          <w:szCs w:val="20"/>
          <w:lang w:bidi="en-US"/>
        </w:rPr>
        <w:t>31(6):511-516.</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DeVries</w:t>
      </w:r>
      <w:r w:rsidR="00AE1B41" w:rsidRPr="009E47A6">
        <w:rPr>
          <w:bCs/>
          <w:sz w:val="20"/>
          <w:szCs w:val="20"/>
          <w:lang w:bidi="en-US"/>
        </w:rPr>
        <w:t xml:space="preserve"> </w:t>
      </w:r>
      <w:r w:rsidRPr="009E47A6">
        <w:rPr>
          <w:bCs/>
          <w:sz w:val="20"/>
          <w:szCs w:val="20"/>
          <w:lang w:bidi="en-US"/>
        </w:rPr>
        <w:t>JG,</w:t>
      </w:r>
      <w:r w:rsidR="00AE1B41" w:rsidRPr="009E47A6">
        <w:rPr>
          <w:bCs/>
          <w:sz w:val="20"/>
          <w:szCs w:val="20"/>
          <w:lang w:bidi="en-US"/>
        </w:rPr>
        <w:t xml:space="preserve"> </w:t>
      </w:r>
      <w:r w:rsidRPr="009E47A6">
        <w:rPr>
          <w:bCs/>
          <w:sz w:val="20"/>
          <w:szCs w:val="20"/>
          <w:lang w:bidi="en-US"/>
        </w:rPr>
        <w:t>Berlet</w:t>
      </w:r>
      <w:r w:rsidR="00AE1B41" w:rsidRPr="009E47A6">
        <w:rPr>
          <w:bCs/>
          <w:sz w:val="20"/>
          <w:szCs w:val="20"/>
          <w:lang w:bidi="en-US"/>
        </w:rPr>
        <w:t xml:space="preserve"> </w:t>
      </w:r>
      <w:r w:rsidRPr="009E47A6">
        <w:rPr>
          <w:bCs/>
          <w:sz w:val="20"/>
          <w:szCs w:val="20"/>
          <w:lang w:bidi="en-US"/>
        </w:rPr>
        <w:t>GC,</w:t>
      </w:r>
      <w:r w:rsidR="00AE1B41" w:rsidRPr="009E47A6">
        <w:rPr>
          <w:bCs/>
          <w:sz w:val="20"/>
          <w:szCs w:val="20"/>
          <w:lang w:bidi="en-US"/>
        </w:rPr>
        <w:t xml:space="preserve"> </w:t>
      </w:r>
      <w:r w:rsidRPr="009E47A6">
        <w:rPr>
          <w:bCs/>
          <w:sz w:val="20"/>
          <w:szCs w:val="20"/>
          <w:lang w:bidi="en-US"/>
        </w:rPr>
        <w:t>Hyer</w:t>
      </w:r>
      <w:r w:rsidR="00AE1B41" w:rsidRPr="009E47A6">
        <w:rPr>
          <w:bCs/>
          <w:sz w:val="20"/>
          <w:szCs w:val="20"/>
          <w:lang w:bidi="en-US"/>
        </w:rPr>
        <w:t xml:space="preserve"> </w:t>
      </w:r>
      <w:r w:rsidRPr="009E47A6">
        <w:rPr>
          <w:bCs/>
          <w:sz w:val="20"/>
          <w:szCs w:val="20"/>
          <w:lang w:bidi="en-US"/>
        </w:rPr>
        <w:t>CF.</w:t>
      </w:r>
      <w:r w:rsidR="00AE1B41" w:rsidRPr="009E47A6">
        <w:rPr>
          <w:bCs/>
          <w:sz w:val="20"/>
          <w:szCs w:val="20"/>
          <w:lang w:bidi="en-US"/>
        </w:rPr>
        <w:t xml:space="preserve"> </w:t>
      </w:r>
      <w:r w:rsidRPr="009E47A6">
        <w:rPr>
          <w:sz w:val="20"/>
          <w:szCs w:val="20"/>
          <w:lang w:bidi="en-US"/>
        </w:rPr>
        <w:t>A</w:t>
      </w:r>
      <w:r w:rsidR="00AE1B41" w:rsidRPr="009E47A6">
        <w:rPr>
          <w:sz w:val="20"/>
          <w:szCs w:val="20"/>
          <w:lang w:bidi="en-US"/>
        </w:rPr>
        <w:t xml:space="preserve"> </w:t>
      </w:r>
      <w:r w:rsidRPr="009E47A6">
        <w:rPr>
          <w:sz w:val="20"/>
          <w:szCs w:val="20"/>
          <w:lang w:bidi="en-US"/>
        </w:rPr>
        <w:t>retrospective</w:t>
      </w:r>
      <w:r w:rsidR="00AE1B41" w:rsidRPr="009E47A6">
        <w:rPr>
          <w:sz w:val="20"/>
          <w:szCs w:val="20"/>
          <w:lang w:bidi="en-US"/>
        </w:rPr>
        <w:t xml:space="preserve"> </w:t>
      </w:r>
      <w:r w:rsidRPr="009E47A6">
        <w:rPr>
          <w:sz w:val="20"/>
          <w:szCs w:val="20"/>
          <w:lang w:bidi="en-US"/>
        </w:rPr>
        <w:t>comparative</w:t>
      </w:r>
      <w:r w:rsidR="00AE1B41" w:rsidRPr="009E47A6">
        <w:rPr>
          <w:sz w:val="20"/>
          <w:szCs w:val="20"/>
          <w:lang w:bidi="en-US"/>
        </w:rPr>
        <w:t xml:space="preserve"> </w:t>
      </w:r>
      <w:r w:rsidRPr="009E47A6">
        <w:rPr>
          <w:sz w:val="20"/>
          <w:szCs w:val="20"/>
          <w:lang w:bidi="en-US"/>
        </w:rPr>
        <w:t>analysis</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stabilization</w:t>
      </w:r>
      <w:r w:rsidR="00AE1B41" w:rsidRPr="009E47A6">
        <w:rPr>
          <w:sz w:val="20"/>
          <w:szCs w:val="20"/>
          <w:lang w:bidi="en-US"/>
        </w:rPr>
        <w:t xml:space="preserve"> </w:t>
      </w:r>
      <w:r w:rsidRPr="009E47A6">
        <w:rPr>
          <w:sz w:val="20"/>
          <w:szCs w:val="20"/>
          <w:lang w:bidi="en-US"/>
        </w:rPr>
        <w:t>using</w:t>
      </w:r>
      <w:r w:rsidR="00AE1B41" w:rsidRPr="009E47A6">
        <w:rPr>
          <w:sz w:val="20"/>
          <w:szCs w:val="20"/>
          <w:lang w:bidi="en-US"/>
        </w:rPr>
        <w:t xml:space="preserve"> </w:t>
      </w:r>
      <w:r w:rsidRPr="009E47A6">
        <w:rPr>
          <w:sz w:val="20"/>
          <w:szCs w:val="20"/>
          <w:lang w:bidi="en-US"/>
        </w:rPr>
        <w:t>an</w:t>
      </w:r>
      <w:r w:rsidR="00AE1B41" w:rsidRPr="009E47A6">
        <w:rPr>
          <w:sz w:val="20"/>
          <w:szCs w:val="20"/>
          <w:lang w:bidi="en-US"/>
        </w:rPr>
        <w:t xml:space="preserve"> </w:t>
      </w:r>
      <w:r w:rsidRPr="009E47A6">
        <w:rPr>
          <w:sz w:val="20"/>
          <w:szCs w:val="20"/>
          <w:lang w:bidi="en-US"/>
        </w:rPr>
        <w:t>intramedullary</w:t>
      </w:r>
      <w:r w:rsidR="00AE1B41" w:rsidRPr="009E47A6">
        <w:rPr>
          <w:sz w:val="20"/>
          <w:szCs w:val="20"/>
          <w:lang w:bidi="en-US"/>
        </w:rPr>
        <w:t xml:space="preserve"> </w:t>
      </w:r>
      <w:r w:rsidRPr="009E47A6">
        <w:rPr>
          <w:sz w:val="20"/>
          <w:szCs w:val="20"/>
          <w:lang w:bidi="en-US"/>
        </w:rPr>
        <w:t>rod</w:t>
      </w:r>
      <w:r w:rsidR="00AE1B41" w:rsidRPr="009E47A6">
        <w:rPr>
          <w:sz w:val="20"/>
          <w:szCs w:val="20"/>
          <w:lang w:bidi="en-US"/>
        </w:rPr>
        <w:t xml:space="preserve"> </w:t>
      </w:r>
      <w:r w:rsidRPr="009E47A6">
        <w:rPr>
          <w:sz w:val="20"/>
          <w:szCs w:val="20"/>
          <w:lang w:bidi="en-US"/>
        </w:rPr>
        <w:t>with</w:t>
      </w:r>
      <w:r w:rsidR="00AE1B41" w:rsidRPr="009E47A6">
        <w:rPr>
          <w:sz w:val="20"/>
          <w:szCs w:val="20"/>
          <w:lang w:bidi="en-US"/>
        </w:rPr>
        <w:t xml:space="preserve"> </w:t>
      </w:r>
      <w:r w:rsidRPr="009E47A6">
        <w:rPr>
          <w:sz w:val="20"/>
          <w:szCs w:val="20"/>
          <w:lang w:bidi="en-US"/>
        </w:rPr>
        <w:t>or</w:t>
      </w:r>
      <w:r w:rsidR="00AE1B41" w:rsidRPr="009E47A6">
        <w:rPr>
          <w:sz w:val="20"/>
          <w:szCs w:val="20"/>
          <w:lang w:bidi="en-US"/>
        </w:rPr>
        <w:t xml:space="preserve"> </w:t>
      </w:r>
      <w:r w:rsidRPr="009E47A6">
        <w:rPr>
          <w:sz w:val="20"/>
          <w:szCs w:val="20"/>
          <w:lang w:bidi="en-US"/>
        </w:rPr>
        <w:t>without</w:t>
      </w:r>
      <w:r w:rsidR="00AE1B41" w:rsidRPr="009E47A6">
        <w:rPr>
          <w:sz w:val="20"/>
          <w:szCs w:val="20"/>
          <w:lang w:bidi="en-US"/>
        </w:rPr>
        <w:t xml:space="preserve"> </w:t>
      </w:r>
      <w:r w:rsidRPr="009E47A6">
        <w:rPr>
          <w:sz w:val="20"/>
          <w:szCs w:val="20"/>
          <w:lang w:bidi="en-US"/>
        </w:rPr>
        <w:t>application</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circular</w:t>
      </w:r>
      <w:r w:rsidR="00AE1B41" w:rsidRPr="009E47A6">
        <w:rPr>
          <w:sz w:val="20"/>
          <w:szCs w:val="20"/>
          <w:lang w:bidi="en-US"/>
        </w:rPr>
        <w:t xml:space="preserve"> </w:t>
      </w:r>
      <w:r w:rsidRPr="009E47A6">
        <w:rPr>
          <w:sz w:val="20"/>
          <w:szCs w:val="20"/>
          <w:lang w:bidi="en-US"/>
        </w:rPr>
        <w:t>external</w:t>
      </w:r>
      <w:r w:rsidR="00AE1B41" w:rsidRPr="009E47A6">
        <w:rPr>
          <w:sz w:val="20"/>
          <w:szCs w:val="20"/>
          <w:lang w:bidi="en-US"/>
        </w:rPr>
        <w:t xml:space="preserve"> </w:t>
      </w:r>
      <w:r w:rsidRPr="009E47A6">
        <w:rPr>
          <w:sz w:val="20"/>
          <w:szCs w:val="20"/>
          <w:lang w:bidi="en-US"/>
        </w:rPr>
        <w:t>fixator—utilization</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Retrograde</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Intramedullary</w:t>
      </w:r>
      <w:r w:rsidR="00AE1B41" w:rsidRPr="009E47A6">
        <w:rPr>
          <w:sz w:val="20"/>
          <w:szCs w:val="20"/>
          <w:lang w:bidi="en-US"/>
        </w:rPr>
        <w:t xml:space="preserve"> </w:t>
      </w:r>
      <w:r w:rsidRPr="009E47A6">
        <w:rPr>
          <w:sz w:val="20"/>
          <w:szCs w:val="20"/>
          <w:lang w:bidi="en-US"/>
        </w:rPr>
        <w:t>Nail</w:t>
      </w:r>
      <w:r w:rsidR="00AE1B41" w:rsidRPr="009E47A6">
        <w:rPr>
          <w:sz w:val="20"/>
          <w:szCs w:val="20"/>
          <w:lang w:bidi="en-US"/>
        </w:rPr>
        <w:t xml:space="preserve"> </w:t>
      </w:r>
      <w:r w:rsidRPr="009E47A6">
        <w:rPr>
          <w:sz w:val="20"/>
          <w:szCs w:val="20"/>
          <w:lang w:bidi="en-US"/>
        </w:rPr>
        <w:t>database.</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Surgery.</w:t>
      </w:r>
      <w:r w:rsidR="00AE1B41" w:rsidRPr="009E47A6">
        <w:rPr>
          <w:sz w:val="20"/>
          <w:szCs w:val="20"/>
          <w:lang w:bidi="en-US"/>
        </w:rPr>
        <w:t xml:space="preserve"> </w:t>
      </w:r>
      <w:r w:rsidRPr="009E47A6">
        <w:rPr>
          <w:sz w:val="20"/>
          <w:szCs w:val="20"/>
          <w:lang w:bidi="en-US"/>
        </w:rPr>
        <w:t>2012;</w:t>
      </w:r>
      <w:r w:rsidR="00AE1B41" w:rsidRPr="009E47A6">
        <w:rPr>
          <w:sz w:val="20"/>
          <w:szCs w:val="20"/>
          <w:lang w:bidi="en-US"/>
        </w:rPr>
        <w:t xml:space="preserve"> </w:t>
      </w:r>
      <w:r w:rsidRPr="009E47A6">
        <w:rPr>
          <w:sz w:val="20"/>
          <w:szCs w:val="20"/>
          <w:lang w:bidi="en-US"/>
        </w:rPr>
        <w:t>51(4):420-425.</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El-Gafary</w:t>
      </w:r>
      <w:r w:rsidR="00AE1B41" w:rsidRPr="009E47A6">
        <w:rPr>
          <w:bCs/>
          <w:sz w:val="20"/>
          <w:szCs w:val="20"/>
          <w:lang w:bidi="en-US"/>
        </w:rPr>
        <w:t xml:space="preserve"> </w:t>
      </w:r>
      <w:r w:rsidRPr="009E47A6">
        <w:rPr>
          <w:bCs/>
          <w:sz w:val="20"/>
          <w:szCs w:val="20"/>
          <w:lang w:bidi="en-US"/>
        </w:rPr>
        <w:t>KA,</w:t>
      </w:r>
      <w:r w:rsidR="00AE1B41" w:rsidRPr="009E47A6">
        <w:rPr>
          <w:bCs/>
          <w:sz w:val="20"/>
          <w:szCs w:val="20"/>
          <w:lang w:bidi="en-US"/>
        </w:rPr>
        <w:t xml:space="preserve"> </w:t>
      </w:r>
      <w:r w:rsidRPr="009E47A6">
        <w:rPr>
          <w:bCs/>
          <w:sz w:val="20"/>
          <w:szCs w:val="20"/>
          <w:lang w:bidi="en-US"/>
        </w:rPr>
        <w:t>Mostafa</w:t>
      </w:r>
      <w:r w:rsidR="00AE1B41" w:rsidRPr="009E47A6">
        <w:rPr>
          <w:bCs/>
          <w:sz w:val="20"/>
          <w:szCs w:val="20"/>
          <w:lang w:bidi="en-US"/>
        </w:rPr>
        <w:t xml:space="preserve"> </w:t>
      </w:r>
      <w:r w:rsidRPr="009E47A6">
        <w:rPr>
          <w:bCs/>
          <w:sz w:val="20"/>
          <w:szCs w:val="20"/>
          <w:lang w:bidi="en-US"/>
        </w:rPr>
        <w:t>KM,</w:t>
      </w:r>
      <w:r w:rsidR="00AE1B41" w:rsidRPr="009E47A6">
        <w:rPr>
          <w:bCs/>
          <w:sz w:val="20"/>
          <w:szCs w:val="20"/>
          <w:lang w:bidi="en-US"/>
        </w:rPr>
        <w:t xml:space="preserve"> </w:t>
      </w:r>
      <w:r w:rsidRPr="009E47A6">
        <w:rPr>
          <w:bCs/>
          <w:sz w:val="20"/>
          <w:szCs w:val="20"/>
          <w:lang w:bidi="en-US"/>
        </w:rPr>
        <w:t>Al-adly</w:t>
      </w:r>
      <w:r w:rsidR="00AE1B41" w:rsidRPr="009E47A6">
        <w:rPr>
          <w:bCs/>
          <w:sz w:val="20"/>
          <w:szCs w:val="20"/>
          <w:lang w:bidi="en-US"/>
        </w:rPr>
        <w:t xml:space="preserve"> </w:t>
      </w:r>
      <w:r w:rsidRPr="009E47A6">
        <w:rPr>
          <w:bCs/>
          <w:sz w:val="20"/>
          <w:szCs w:val="20"/>
          <w:lang w:bidi="en-US"/>
        </w:rPr>
        <w:t>WY.</w:t>
      </w:r>
      <w:r w:rsidR="00AE1B41" w:rsidRPr="009E47A6">
        <w:rPr>
          <w:bCs/>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management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joint</w:t>
      </w:r>
      <w:r w:rsidR="00AE1B41" w:rsidRPr="009E47A6">
        <w:rPr>
          <w:sz w:val="20"/>
          <w:szCs w:val="20"/>
          <w:lang w:bidi="en-US"/>
        </w:rPr>
        <w:t xml:space="preserve"> </w:t>
      </w:r>
      <w:r w:rsidRPr="009E47A6">
        <w:rPr>
          <w:sz w:val="20"/>
          <w:szCs w:val="20"/>
          <w:lang w:bidi="en-US"/>
        </w:rPr>
        <w:t>disease</w:t>
      </w:r>
      <w:r w:rsidR="00AE1B41" w:rsidRPr="009E47A6">
        <w:rPr>
          <w:sz w:val="20"/>
          <w:szCs w:val="20"/>
          <w:lang w:bidi="en-US"/>
        </w:rPr>
        <w:t xml:space="preserve"> </w:t>
      </w:r>
      <w:r w:rsidRPr="009E47A6">
        <w:rPr>
          <w:sz w:val="20"/>
          <w:szCs w:val="20"/>
          <w:lang w:bidi="en-US"/>
        </w:rPr>
        <w:t>affecting</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by</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controlled</w:t>
      </w:r>
      <w:r w:rsidR="00AE1B41" w:rsidRPr="009E47A6">
        <w:rPr>
          <w:sz w:val="20"/>
          <w:szCs w:val="20"/>
          <w:lang w:bidi="en-US"/>
        </w:rPr>
        <w:t xml:space="preserve"> </w:t>
      </w:r>
      <w:r w:rsidRPr="009E47A6">
        <w:rPr>
          <w:sz w:val="20"/>
          <w:szCs w:val="20"/>
          <w:lang w:bidi="en-US"/>
        </w:rPr>
        <w:t>by</w:t>
      </w:r>
      <w:r w:rsidR="00AE1B41" w:rsidRPr="009E47A6">
        <w:rPr>
          <w:sz w:val="20"/>
          <w:szCs w:val="20"/>
          <w:lang w:bidi="en-US"/>
        </w:rPr>
        <w:t xml:space="preserve"> </w:t>
      </w:r>
      <w:r w:rsidRPr="009E47A6">
        <w:rPr>
          <w:sz w:val="20"/>
          <w:szCs w:val="20"/>
          <w:lang w:bidi="en-US"/>
        </w:rPr>
        <w:t>an</w:t>
      </w:r>
      <w:r w:rsidR="00AE1B41" w:rsidRPr="009E47A6">
        <w:rPr>
          <w:sz w:val="20"/>
          <w:szCs w:val="20"/>
          <w:lang w:bidi="en-US"/>
        </w:rPr>
        <w:t xml:space="preserve"> </w:t>
      </w:r>
      <w:r w:rsidRPr="009E47A6">
        <w:rPr>
          <w:sz w:val="20"/>
          <w:szCs w:val="20"/>
          <w:lang w:bidi="en-US"/>
        </w:rPr>
        <w:t>Ilizarov</w:t>
      </w:r>
      <w:r w:rsidR="00AE1B41" w:rsidRPr="009E47A6">
        <w:rPr>
          <w:sz w:val="20"/>
          <w:szCs w:val="20"/>
          <w:lang w:bidi="en-US"/>
        </w:rPr>
        <w:t xml:space="preserve"> </w:t>
      </w:r>
      <w:r w:rsidRPr="009E47A6">
        <w:rPr>
          <w:sz w:val="20"/>
          <w:szCs w:val="20"/>
          <w:lang w:bidi="en-US"/>
        </w:rPr>
        <w:t>frame:</w:t>
      </w:r>
      <w:r w:rsidR="00AE1B41" w:rsidRPr="009E47A6">
        <w:rPr>
          <w:sz w:val="20"/>
          <w:szCs w:val="20"/>
          <w:lang w:bidi="en-US"/>
        </w:rPr>
        <w:t xml:space="preserve"> </w:t>
      </w:r>
      <w:r w:rsidRPr="009E47A6">
        <w:rPr>
          <w:sz w:val="20"/>
          <w:szCs w:val="20"/>
          <w:lang w:bidi="en-US"/>
        </w:rPr>
        <w:t>early</w:t>
      </w:r>
      <w:r w:rsidR="00AE1B41" w:rsidRPr="009E47A6">
        <w:rPr>
          <w:sz w:val="20"/>
          <w:szCs w:val="20"/>
          <w:lang w:bidi="en-US"/>
        </w:rPr>
        <w:t xml:space="preserve"> </w:t>
      </w:r>
      <w:r w:rsidRPr="009E47A6">
        <w:rPr>
          <w:sz w:val="20"/>
          <w:szCs w:val="20"/>
          <w:lang w:bidi="en-US"/>
        </w:rPr>
        <w:t>results.</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lastRenderedPageBreak/>
        <w:t>bone</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joint</w:t>
      </w:r>
      <w:r w:rsidR="00AE1B41" w:rsidRPr="009E47A6">
        <w:rPr>
          <w:sz w:val="20"/>
          <w:szCs w:val="20"/>
          <w:lang w:bidi="en-US"/>
        </w:rPr>
        <w:t xml:space="preserve"> </w:t>
      </w:r>
      <w:r w:rsidRPr="009E47A6">
        <w:rPr>
          <w:sz w:val="20"/>
          <w:szCs w:val="20"/>
          <w:lang w:bidi="en-US"/>
        </w:rPr>
        <w:t>surgery.</w:t>
      </w:r>
      <w:r w:rsidR="00AE1B41" w:rsidRPr="009E47A6">
        <w:rPr>
          <w:sz w:val="20"/>
          <w:szCs w:val="20"/>
          <w:lang w:bidi="en-US"/>
        </w:rPr>
        <w:t xml:space="preserve"> </w:t>
      </w:r>
      <w:r w:rsidRPr="009E47A6">
        <w:rPr>
          <w:sz w:val="20"/>
          <w:szCs w:val="20"/>
          <w:lang w:bidi="en-US"/>
        </w:rPr>
        <w:t>British</w:t>
      </w:r>
      <w:r w:rsidR="00AE1B41" w:rsidRPr="009E47A6">
        <w:rPr>
          <w:sz w:val="20"/>
          <w:szCs w:val="20"/>
          <w:lang w:bidi="en-US"/>
        </w:rPr>
        <w:t xml:space="preserve"> </w:t>
      </w:r>
      <w:r w:rsidRPr="009E47A6">
        <w:rPr>
          <w:sz w:val="20"/>
          <w:szCs w:val="20"/>
          <w:lang w:bidi="en-US"/>
        </w:rPr>
        <w:t>volume.</w:t>
      </w:r>
      <w:r w:rsidR="00AE1B41" w:rsidRPr="009E47A6">
        <w:rPr>
          <w:sz w:val="20"/>
          <w:szCs w:val="20"/>
          <w:lang w:bidi="en-US"/>
        </w:rPr>
        <w:t xml:space="preserve"> </w:t>
      </w:r>
      <w:r w:rsidRPr="009E47A6">
        <w:rPr>
          <w:sz w:val="20"/>
          <w:szCs w:val="20"/>
          <w:lang w:bidi="en-US"/>
        </w:rPr>
        <w:t>2009;</w:t>
      </w:r>
      <w:r w:rsidR="00AE1B41" w:rsidRPr="009E47A6">
        <w:rPr>
          <w:sz w:val="20"/>
          <w:szCs w:val="20"/>
          <w:lang w:bidi="en-US"/>
        </w:rPr>
        <w:t xml:space="preserve"> </w:t>
      </w:r>
      <w:r w:rsidRPr="009E47A6">
        <w:rPr>
          <w:sz w:val="20"/>
          <w:szCs w:val="20"/>
          <w:lang w:bidi="en-US"/>
        </w:rPr>
        <w:t>91(10):1322-5.</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Fabrin</w:t>
      </w:r>
      <w:r w:rsidR="00AE1B41" w:rsidRPr="009E47A6">
        <w:rPr>
          <w:bCs/>
          <w:sz w:val="20"/>
          <w:szCs w:val="20"/>
          <w:lang w:bidi="en-US"/>
        </w:rPr>
        <w:t xml:space="preserve"> </w:t>
      </w:r>
      <w:r w:rsidRPr="009E47A6">
        <w:rPr>
          <w:bCs/>
          <w:sz w:val="20"/>
          <w:szCs w:val="20"/>
          <w:lang w:bidi="en-US"/>
        </w:rPr>
        <w:t>J,</w:t>
      </w:r>
      <w:r w:rsidR="00AE1B41" w:rsidRPr="009E47A6">
        <w:rPr>
          <w:bCs/>
          <w:sz w:val="20"/>
          <w:szCs w:val="20"/>
          <w:lang w:bidi="en-US"/>
        </w:rPr>
        <w:t xml:space="preserve"> </w:t>
      </w:r>
      <w:r w:rsidRPr="009E47A6">
        <w:rPr>
          <w:bCs/>
          <w:sz w:val="20"/>
          <w:szCs w:val="20"/>
          <w:lang w:bidi="en-US"/>
        </w:rPr>
        <w:t>Larsen</w:t>
      </w:r>
      <w:r w:rsidR="00AE1B41" w:rsidRPr="009E47A6">
        <w:rPr>
          <w:bCs/>
          <w:sz w:val="20"/>
          <w:szCs w:val="20"/>
          <w:lang w:bidi="en-US"/>
        </w:rPr>
        <w:t xml:space="preserve"> </w:t>
      </w:r>
      <w:r w:rsidRPr="009E47A6">
        <w:rPr>
          <w:bCs/>
          <w:sz w:val="20"/>
          <w:szCs w:val="20"/>
          <w:lang w:bidi="en-US"/>
        </w:rPr>
        <w:t>K,</w:t>
      </w:r>
      <w:r w:rsidR="00AE1B41" w:rsidRPr="009E47A6">
        <w:rPr>
          <w:bCs/>
          <w:sz w:val="20"/>
          <w:szCs w:val="20"/>
          <w:lang w:bidi="en-US"/>
        </w:rPr>
        <w:t xml:space="preserve"> </w:t>
      </w:r>
      <w:r w:rsidRPr="009E47A6">
        <w:rPr>
          <w:bCs/>
          <w:sz w:val="20"/>
          <w:szCs w:val="20"/>
          <w:lang w:bidi="en-US"/>
        </w:rPr>
        <w:t>Holstein</w:t>
      </w:r>
      <w:r w:rsidR="00AE1B41" w:rsidRPr="009E47A6">
        <w:rPr>
          <w:bCs/>
          <w:sz w:val="20"/>
          <w:szCs w:val="20"/>
          <w:lang w:bidi="en-US"/>
        </w:rPr>
        <w:t xml:space="preserve"> </w:t>
      </w:r>
      <w:r w:rsidRPr="009E47A6">
        <w:rPr>
          <w:bCs/>
          <w:sz w:val="20"/>
          <w:szCs w:val="20"/>
          <w:lang w:bidi="en-US"/>
        </w:rPr>
        <w:t>PE.</w:t>
      </w:r>
      <w:r w:rsidR="00AE1B41" w:rsidRPr="009E47A6">
        <w:rPr>
          <w:bCs/>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with</w:t>
      </w:r>
      <w:r w:rsidR="00AE1B41" w:rsidRPr="009E47A6">
        <w:rPr>
          <w:sz w:val="20"/>
          <w:szCs w:val="20"/>
          <w:lang w:bidi="en-US"/>
        </w:rPr>
        <w:t xml:space="preserve"> </w:t>
      </w:r>
      <w:r w:rsidRPr="009E47A6">
        <w:rPr>
          <w:sz w:val="20"/>
          <w:szCs w:val="20"/>
          <w:lang w:bidi="en-US"/>
        </w:rPr>
        <w:t>external</w:t>
      </w:r>
      <w:r w:rsidR="00AE1B41" w:rsidRPr="009E47A6">
        <w:rPr>
          <w:sz w:val="20"/>
          <w:szCs w:val="20"/>
          <w:lang w:bidi="en-US"/>
        </w:rPr>
        <w:t xml:space="preserve"> </w:t>
      </w:r>
      <w:r w:rsidRPr="009E47A6">
        <w:rPr>
          <w:sz w:val="20"/>
          <w:szCs w:val="20"/>
          <w:lang w:bidi="en-US"/>
        </w:rPr>
        <w:t>fixation</w:t>
      </w:r>
      <w:r w:rsidR="00AE1B41" w:rsidRPr="009E47A6">
        <w:rPr>
          <w:sz w:val="20"/>
          <w:szCs w:val="20"/>
          <w:lang w:bidi="en-US"/>
        </w:rPr>
        <w:t xml:space="preserve"> </w:t>
      </w:r>
      <w:r w:rsidRPr="009E47A6">
        <w:rPr>
          <w:sz w:val="20"/>
          <w:szCs w:val="20"/>
          <w:lang w:bidi="en-US"/>
        </w:rPr>
        <w:t>in</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unstable</w:t>
      </w:r>
      <w:r w:rsidR="00AE1B41" w:rsidRPr="009E47A6">
        <w:rPr>
          <w:sz w:val="20"/>
          <w:szCs w:val="20"/>
          <w:lang w:bidi="en-US"/>
        </w:rPr>
        <w:t xml:space="preserve"> </w:t>
      </w:r>
      <w:r w:rsidRPr="009E47A6">
        <w:rPr>
          <w:sz w:val="20"/>
          <w:szCs w:val="20"/>
          <w:lang w:bidi="en-US"/>
        </w:rPr>
        <w:t>or</w:t>
      </w:r>
      <w:r w:rsidR="00AE1B41" w:rsidRPr="009E47A6">
        <w:rPr>
          <w:sz w:val="20"/>
          <w:szCs w:val="20"/>
          <w:lang w:bidi="en-US"/>
        </w:rPr>
        <w:t xml:space="preserve"> </w:t>
      </w:r>
      <w:r w:rsidRPr="009E47A6">
        <w:rPr>
          <w:sz w:val="20"/>
          <w:szCs w:val="20"/>
          <w:lang w:bidi="en-US"/>
        </w:rPr>
        <w:t>misaligned</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in</w:t>
      </w:r>
      <w:r w:rsidR="00AE1B41" w:rsidRPr="009E47A6">
        <w:rPr>
          <w:sz w:val="20"/>
          <w:szCs w:val="20"/>
          <w:lang w:bidi="en-US"/>
        </w:rPr>
        <w:t xml:space="preserve"> </w:t>
      </w:r>
      <w:r w:rsidRPr="009E47A6">
        <w:rPr>
          <w:sz w:val="20"/>
          <w:szCs w:val="20"/>
          <w:lang w:bidi="en-US"/>
        </w:rPr>
        <w:t>patients</w:t>
      </w:r>
      <w:r w:rsidR="00AE1B41" w:rsidRPr="009E47A6">
        <w:rPr>
          <w:sz w:val="20"/>
          <w:szCs w:val="20"/>
          <w:lang w:bidi="en-US"/>
        </w:rPr>
        <w:t xml:space="preserve"> </w:t>
      </w:r>
      <w:r w:rsidRPr="009E47A6">
        <w:rPr>
          <w:sz w:val="20"/>
          <w:szCs w:val="20"/>
          <w:lang w:bidi="en-US"/>
        </w:rPr>
        <w:t>with</w:t>
      </w:r>
      <w:r w:rsidR="00AE1B41" w:rsidRPr="009E47A6">
        <w:rPr>
          <w:sz w:val="20"/>
          <w:szCs w:val="20"/>
          <w:lang w:bidi="en-US"/>
        </w:rPr>
        <w:t xml:space="preserve"> </w:t>
      </w:r>
      <w:r w:rsidRPr="009E47A6">
        <w:rPr>
          <w:sz w:val="20"/>
          <w:szCs w:val="20"/>
          <w:lang w:bidi="en-US"/>
        </w:rPr>
        <w:t>diabetes</w:t>
      </w:r>
      <w:r w:rsidR="00AE1B41" w:rsidRPr="009E47A6">
        <w:rPr>
          <w:sz w:val="20"/>
          <w:szCs w:val="20"/>
          <w:lang w:bidi="en-US"/>
        </w:rPr>
        <w:t xml:space="preserve"> </w:t>
      </w:r>
      <w:r w:rsidRPr="009E47A6">
        <w:rPr>
          <w:sz w:val="20"/>
          <w:szCs w:val="20"/>
          <w:lang w:bidi="en-US"/>
        </w:rPr>
        <w:t>mellitus.</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international</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lower</w:t>
      </w:r>
      <w:r w:rsidR="00AE1B41" w:rsidRPr="009E47A6">
        <w:rPr>
          <w:sz w:val="20"/>
          <w:szCs w:val="20"/>
          <w:lang w:bidi="en-US"/>
        </w:rPr>
        <w:t xml:space="preserve"> </w:t>
      </w:r>
      <w:r w:rsidRPr="009E47A6">
        <w:rPr>
          <w:sz w:val="20"/>
          <w:szCs w:val="20"/>
          <w:lang w:bidi="en-US"/>
        </w:rPr>
        <w:t>extremity</w:t>
      </w:r>
      <w:r w:rsidR="00AE1B41" w:rsidRPr="009E47A6">
        <w:rPr>
          <w:sz w:val="20"/>
          <w:szCs w:val="20"/>
          <w:lang w:bidi="en-US"/>
        </w:rPr>
        <w:t xml:space="preserve"> </w:t>
      </w:r>
      <w:r w:rsidRPr="009E47A6">
        <w:rPr>
          <w:sz w:val="20"/>
          <w:szCs w:val="20"/>
          <w:lang w:bidi="en-US"/>
        </w:rPr>
        <w:t>wounds.</w:t>
      </w:r>
      <w:r w:rsidR="00AE1B41" w:rsidRPr="009E47A6">
        <w:rPr>
          <w:sz w:val="20"/>
          <w:szCs w:val="20"/>
          <w:lang w:bidi="en-US"/>
        </w:rPr>
        <w:t xml:space="preserve"> </w:t>
      </w:r>
      <w:r w:rsidRPr="009E47A6">
        <w:rPr>
          <w:sz w:val="20"/>
          <w:szCs w:val="20"/>
          <w:lang w:bidi="en-US"/>
        </w:rPr>
        <w:t>2007;</w:t>
      </w:r>
      <w:r w:rsidR="00AE1B41" w:rsidRPr="009E47A6">
        <w:rPr>
          <w:sz w:val="20"/>
          <w:szCs w:val="20"/>
          <w:lang w:bidi="en-US"/>
        </w:rPr>
        <w:t xml:space="preserve"> </w:t>
      </w:r>
      <w:r w:rsidRPr="009E47A6">
        <w:rPr>
          <w:sz w:val="20"/>
          <w:szCs w:val="20"/>
          <w:lang w:bidi="en-US"/>
        </w:rPr>
        <w:t>6(2):102-7.</w:t>
      </w:r>
    </w:p>
    <w:p w:rsidR="00C22D76" w:rsidRPr="009E47A6" w:rsidRDefault="00C22D76" w:rsidP="009D397A">
      <w:pPr>
        <w:pStyle w:val="ListParagraph"/>
        <w:numPr>
          <w:ilvl w:val="0"/>
          <w:numId w:val="44"/>
        </w:numPr>
        <w:bidi w:val="0"/>
        <w:snapToGrid w:val="0"/>
        <w:ind w:left="425" w:hanging="425"/>
        <w:jc w:val="both"/>
        <w:rPr>
          <w:sz w:val="20"/>
          <w:szCs w:val="20"/>
          <w:lang w:bidi="ar-EG"/>
        </w:rPr>
      </w:pPr>
      <w:r w:rsidRPr="009E47A6">
        <w:rPr>
          <w:bCs/>
          <w:sz w:val="20"/>
          <w:szCs w:val="20"/>
          <w:lang w:bidi="ar-EG"/>
        </w:rPr>
        <w:t>Frykberg</w:t>
      </w:r>
      <w:r w:rsidR="00AE1B41" w:rsidRPr="009E47A6">
        <w:rPr>
          <w:bCs/>
          <w:sz w:val="20"/>
          <w:szCs w:val="20"/>
          <w:lang w:bidi="ar-EG"/>
        </w:rPr>
        <w:t xml:space="preserve"> </w:t>
      </w:r>
      <w:r w:rsidRPr="009E47A6">
        <w:rPr>
          <w:bCs/>
          <w:sz w:val="20"/>
          <w:szCs w:val="20"/>
          <w:lang w:bidi="ar-EG"/>
        </w:rPr>
        <w:t>RG,</w:t>
      </w:r>
      <w:r w:rsidR="00AE1B41" w:rsidRPr="009E47A6">
        <w:rPr>
          <w:bCs/>
          <w:sz w:val="20"/>
          <w:szCs w:val="20"/>
          <w:lang w:bidi="ar-EG"/>
        </w:rPr>
        <w:t xml:space="preserve"> </w:t>
      </w:r>
      <w:r w:rsidRPr="009E47A6">
        <w:rPr>
          <w:bCs/>
          <w:sz w:val="20"/>
          <w:szCs w:val="20"/>
          <w:lang w:bidi="ar-EG"/>
        </w:rPr>
        <w:t>Zgonis</w:t>
      </w:r>
      <w:r w:rsidR="00AE1B41" w:rsidRPr="009E47A6">
        <w:rPr>
          <w:bCs/>
          <w:sz w:val="20"/>
          <w:szCs w:val="20"/>
          <w:lang w:bidi="ar-EG"/>
        </w:rPr>
        <w:t xml:space="preserve"> </w:t>
      </w:r>
      <w:r w:rsidRPr="009E47A6">
        <w:rPr>
          <w:bCs/>
          <w:sz w:val="20"/>
          <w:szCs w:val="20"/>
          <w:lang w:bidi="ar-EG"/>
        </w:rPr>
        <w:t>T,</w:t>
      </w:r>
      <w:r w:rsidR="00AE1B41" w:rsidRPr="009E47A6">
        <w:rPr>
          <w:bCs/>
          <w:sz w:val="20"/>
          <w:szCs w:val="20"/>
          <w:lang w:bidi="ar-EG"/>
        </w:rPr>
        <w:t xml:space="preserve"> </w:t>
      </w:r>
      <w:r w:rsidRPr="009E47A6">
        <w:rPr>
          <w:bCs/>
          <w:sz w:val="20"/>
          <w:szCs w:val="20"/>
          <w:lang w:bidi="ar-EG"/>
        </w:rPr>
        <w:t>Armstrong</w:t>
      </w:r>
      <w:r w:rsidR="00AE1B41" w:rsidRPr="009E47A6">
        <w:rPr>
          <w:bCs/>
          <w:sz w:val="20"/>
          <w:szCs w:val="20"/>
          <w:lang w:bidi="ar-EG"/>
        </w:rPr>
        <w:t xml:space="preserve"> </w:t>
      </w:r>
      <w:r w:rsidRPr="009E47A6">
        <w:rPr>
          <w:bCs/>
          <w:sz w:val="20"/>
          <w:szCs w:val="20"/>
          <w:lang w:bidi="ar-EG"/>
        </w:rPr>
        <w:t>DG,</w:t>
      </w:r>
      <w:r w:rsidR="00AE1B41" w:rsidRPr="009E47A6">
        <w:rPr>
          <w:bCs/>
          <w:sz w:val="20"/>
          <w:szCs w:val="20"/>
          <w:lang w:bidi="ar-EG"/>
        </w:rPr>
        <w:t xml:space="preserve"> </w:t>
      </w:r>
      <w:r w:rsidRPr="009E47A6">
        <w:rPr>
          <w:bCs/>
          <w:sz w:val="20"/>
          <w:szCs w:val="20"/>
          <w:lang w:bidi="ar-EG"/>
        </w:rPr>
        <w:t>Driver</w:t>
      </w:r>
      <w:r w:rsidR="00AE1B41" w:rsidRPr="009E47A6">
        <w:rPr>
          <w:bCs/>
          <w:sz w:val="20"/>
          <w:szCs w:val="20"/>
          <w:lang w:bidi="ar-EG"/>
        </w:rPr>
        <w:t xml:space="preserve"> </w:t>
      </w:r>
      <w:r w:rsidRPr="009E47A6">
        <w:rPr>
          <w:bCs/>
          <w:sz w:val="20"/>
          <w:szCs w:val="20"/>
          <w:lang w:bidi="ar-EG"/>
        </w:rPr>
        <w:t>VR,</w:t>
      </w:r>
      <w:r w:rsidR="00AE1B41" w:rsidRPr="009E47A6">
        <w:rPr>
          <w:bCs/>
          <w:sz w:val="20"/>
          <w:szCs w:val="20"/>
          <w:lang w:bidi="ar-EG"/>
        </w:rPr>
        <w:t xml:space="preserve"> </w:t>
      </w:r>
      <w:r w:rsidRPr="009E47A6">
        <w:rPr>
          <w:bCs/>
          <w:sz w:val="20"/>
          <w:szCs w:val="20"/>
          <w:lang w:bidi="ar-EG"/>
        </w:rPr>
        <w:t>Giurini</w:t>
      </w:r>
      <w:r w:rsidR="00AE1B41" w:rsidRPr="009E47A6">
        <w:rPr>
          <w:bCs/>
          <w:sz w:val="20"/>
          <w:szCs w:val="20"/>
          <w:lang w:bidi="ar-EG"/>
        </w:rPr>
        <w:t xml:space="preserve"> </w:t>
      </w:r>
      <w:r w:rsidRPr="009E47A6">
        <w:rPr>
          <w:bCs/>
          <w:sz w:val="20"/>
          <w:szCs w:val="20"/>
          <w:lang w:bidi="ar-EG"/>
        </w:rPr>
        <w:t>JM,</w:t>
      </w:r>
      <w:r w:rsidR="00AE1B41" w:rsidRPr="009E47A6">
        <w:rPr>
          <w:bCs/>
          <w:sz w:val="20"/>
          <w:szCs w:val="20"/>
          <w:lang w:bidi="ar-EG"/>
        </w:rPr>
        <w:t xml:space="preserve"> </w:t>
      </w:r>
      <w:r w:rsidRPr="009E47A6">
        <w:rPr>
          <w:bCs/>
          <w:sz w:val="20"/>
          <w:szCs w:val="20"/>
          <w:lang w:bidi="ar-EG"/>
        </w:rPr>
        <w:t>Kravitz</w:t>
      </w:r>
      <w:r w:rsidR="00AE1B41" w:rsidRPr="009E47A6">
        <w:rPr>
          <w:bCs/>
          <w:sz w:val="20"/>
          <w:szCs w:val="20"/>
          <w:lang w:bidi="ar-EG"/>
        </w:rPr>
        <w:t xml:space="preserve"> </w:t>
      </w:r>
      <w:r w:rsidRPr="009E47A6">
        <w:rPr>
          <w:bCs/>
          <w:sz w:val="20"/>
          <w:szCs w:val="20"/>
          <w:lang w:bidi="ar-EG"/>
        </w:rPr>
        <w:t>SR,</w:t>
      </w:r>
      <w:r w:rsidR="00AE1B41" w:rsidRPr="009E47A6">
        <w:rPr>
          <w:bCs/>
          <w:sz w:val="20"/>
          <w:szCs w:val="20"/>
          <w:lang w:bidi="ar-EG"/>
        </w:rPr>
        <w:t xml:space="preserve"> </w:t>
      </w:r>
      <w:r w:rsidRPr="009E47A6">
        <w:rPr>
          <w:bCs/>
          <w:sz w:val="20"/>
          <w:szCs w:val="20"/>
          <w:lang w:bidi="ar-EG"/>
        </w:rPr>
        <w:t>Landsman</w:t>
      </w:r>
      <w:r w:rsidR="00AE1B41" w:rsidRPr="009E47A6">
        <w:rPr>
          <w:bCs/>
          <w:sz w:val="20"/>
          <w:szCs w:val="20"/>
          <w:lang w:bidi="ar-EG"/>
        </w:rPr>
        <w:t xml:space="preserve"> </w:t>
      </w:r>
      <w:r w:rsidRPr="009E47A6">
        <w:rPr>
          <w:bCs/>
          <w:sz w:val="20"/>
          <w:szCs w:val="20"/>
          <w:lang w:bidi="ar-EG"/>
        </w:rPr>
        <w:t>AS,</w:t>
      </w:r>
      <w:r w:rsidR="00AE1B41" w:rsidRPr="009E47A6">
        <w:rPr>
          <w:bCs/>
          <w:sz w:val="20"/>
          <w:szCs w:val="20"/>
          <w:lang w:bidi="ar-EG"/>
        </w:rPr>
        <w:t xml:space="preserve"> </w:t>
      </w:r>
      <w:r w:rsidRPr="009E47A6">
        <w:rPr>
          <w:bCs/>
          <w:sz w:val="20"/>
          <w:szCs w:val="20"/>
          <w:lang w:bidi="ar-EG"/>
        </w:rPr>
        <w:t>Lavery</w:t>
      </w:r>
      <w:r w:rsidR="00AE1B41" w:rsidRPr="009E47A6">
        <w:rPr>
          <w:bCs/>
          <w:sz w:val="20"/>
          <w:szCs w:val="20"/>
          <w:lang w:bidi="ar-EG"/>
        </w:rPr>
        <w:t xml:space="preserve"> </w:t>
      </w:r>
      <w:r w:rsidRPr="009E47A6">
        <w:rPr>
          <w:bCs/>
          <w:sz w:val="20"/>
          <w:szCs w:val="20"/>
          <w:lang w:bidi="ar-EG"/>
        </w:rPr>
        <w:t>LA,</w:t>
      </w:r>
      <w:r w:rsidR="00AE1B41" w:rsidRPr="009E47A6">
        <w:rPr>
          <w:bCs/>
          <w:sz w:val="20"/>
          <w:szCs w:val="20"/>
          <w:lang w:bidi="ar-EG"/>
        </w:rPr>
        <w:t xml:space="preserve"> </w:t>
      </w:r>
      <w:r w:rsidRPr="009E47A6">
        <w:rPr>
          <w:bCs/>
          <w:sz w:val="20"/>
          <w:szCs w:val="20"/>
          <w:lang w:bidi="ar-EG"/>
        </w:rPr>
        <w:t>Moore</w:t>
      </w:r>
      <w:r w:rsidR="00AE1B41" w:rsidRPr="009E47A6">
        <w:rPr>
          <w:bCs/>
          <w:sz w:val="20"/>
          <w:szCs w:val="20"/>
          <w:lang w:bidi="ar-EG"/>
        </w:rPr>
        <w:t xml:space="preserve"> </w:t>
      </w:r>
      <w:r w:rsidRPr="009E47A6">
        <w:rPr>
          <w:bCs/>
          <w:sz w:val="20"/>
          <w:szCs w:val="20"/>
          <w:lang w:bidi="ar-EG"/>
        </w:rPr>
        <w:t>JC,</w:t>
      </w:r>
      <w:r w:rsidR="00AE1B41" w:rsidRPr="009E47A6">
        <w:rPr>
          <w:bCs/>
          <w:sz w:val="20"/>
          <w:szCs w:val="20"/>
          <w:lang w:bidi="ar-EG"/>
        </w:rPr>
        <w:t xml:space="preserve"> </w:t>
      </w:r>
      <w:r w:rsidRPr="009E47A6">
        <w:rPr>
          <w:bCs/>
          <w:sz w:val="20"/>
          <w:szCs w:val="20"/>
          <w:lang w:bidi="ar-EG"/>
        </w:rPr>
        <w:t>Schuberth</w:t>
      </w:r>
      <w:r w:rsidR="00AE1B41" w:rsidRPr="009E47A6">
        <w:rPr>
          <w:bCs/>
          <w:sz w:val="20"/>
          <w:szCs w:val="20"/>
          <w:lang w:bidi="ar-EG"/>
        </w:rPr>
        <w:t xml:space="preserve"> </w:t>
      </w:r>
      <w:r w:rsidRPr="009E47A6">
        <w:rPr>
          <w:bCs/>
          <w:sz w:val="20"/>
          <w:szCs w:val="20"/>
          <w:lang w:bidi="ar-EG"/>
        </w:rPr>
        <w:t>JM,</w:t>
      </w:r>
      <w:r w:rsidR="00AE1B41" w:rsidRPr="009E47A6">
        <w:rPr>
          <w:bCs/>
          <w:sz w:val="20"/>
          <w:szCs w:val="20"/>
          <w:lang w:bidi="ar-EG"/>
        </w:rPr>
        <w:t xml:space="preserve"> </w:t>
      </w:r>
      <w:r w:rsidRPr="009E47A6">
        <w:rPr>
          <w:bCs/>
          <w:sz w:val="20"/>
          <w:szCs w:val="20"/>
          <w:lang w:bidi="ar-EG"/>
        </w:rPr>
        <w:t>Wukich</w:t>
      </w:r>
      <w:r w:rsidR="00AE1B41" w:rsidRPr="009E47A6">
        <w:rPr>
          <w:bCs/>
          <w:sz w:val="20"/>
          <w:szCs w:val="20"/>
          <w:lang w:bidi="ar-EG"/>
        </w:rPr>
        <w:t xml:space="preserve"> </w:t>
      </w:r>
      <w:r w:rsidRPr="009E47A6">
        <w:rPr>
          <w:bCs/>
          <w:sz w:val="20"/>
          <w:szCs w:val="20"/>
          <w:lang w:bidi="ar-EG"/>
        </w:rPr>
        <w:t>DK.</w:t>
      </w:r>
      <w:r w:rsidR="00AE1B41" w:rsidRPr="009E47A6">
        <w:rPr>
          <w:bCs/>
          <w:sz w:val="20"/>
          <w:szCs w:val="20"/>
          <w:lang w:bidi="ar-EG"/>
        </w:rPr>
        <w:t xml:space="preserve"> </w:t>
      </w:r>
      <w:r w:rsidRPr="009E47A6">
        <w:rPr>
          <w:sz w:val="20"/>
          <w:szCs w:val="20"/>
          <w:lang w:bidi="ar-EG"/>
        </w:rPr>
        <w:t>Diabetic</w:t>
      </w:r>
      <w:r w:rsidR="00AE1B41" w:rsidRPr="009E47A6">
        <w:rPr>
          <w:sz w:val="20"/>
          <w:szCs w:val="20"/>
          <w:lang w:bidi="ar-EG"/>
        </w:rPr>
        <w:t xml:space="preserve"> </w:t>
      </w:r>
      <w:r w:rsidRPr="009E47A6">
        <w:rPr>
          <w:sz w:val="20"/>
          <w:szCs w:val="20"/>
          <w:lang w:bidi="ar-EG"/>
        </w:rPr>
        <w:t>foot</w:t>
      </w:r>
      <w:r w:rsidR="00AE1B41" w:rsidRPr="009E47A6">
        <w:rPr>
          <w:sz w:val="20"/>
          <w:szCs w:val="20"/>
          <w:lang w:bidi="ar-EG"/>
        </w:rPr>
        <w:t xml:space="preserve"> </w:t>
      </w:r>
      <w:r w:rsidRPr="009E47A6">
        <w:rPr>
          <w:sz w:val="20"/>
          <w:szCs w:val="20"/>
          <w:lang w:bidi="ar-EG"/>
        </w:rPr>
        <w:t>disorders:</w:t>
      </w:r>
      <w:r w:rsidR="00AE1B41" w:rsidRPr="009E47A6">
        <w:rPr>
          <w:sz w:val="20"/>
          <w:szCs w:val="20"/>
          <w:lang w:bidi="ar-EG"/>
        </w:rPr>
        <w:t xml:space="preserve"> </w:t>
      </w:r>
      <w:r w:rsidRPr="009E47A6">
        <w:rPr>
          <w:sz w:val="20"/>
          <w:szCs w:val="20"/>
          <w:lang w:bidi="ar-EG"/>
        </w:rPr>
        <w:t>a</w:t>
      </w:r>
      <w:r w:rsidR="00AE1B41" w:rsidRPr="009E47A6">
        <w:rPr>
          <w:sz w:val="20"/>
          <w:szCs w:val="20"/>
          <w:lang w:bidi="ar-EG"/>
        </w:rPr>
        <w:t xml:space="preserve"> </w:t>
      </w:r>
      <w:r w:rsidRPr="009E47A6">
        <w:rPr>
          <w:sz w:val="20"/>
          <w:szCs w:val="20"/>
          <w:lang w:bidi="ar-EG"/>
        </w:rPr>
        <w:t>clinical</w:t>
      </w:r>
      <w:r w:rsidR="00AE1B41" w:rsidRPr="009E47A6">
        <w:rPr>
          <w:sz w:val="20"/>
          <w:szCs w:val="20"/>
          <w:lang w:bidi="ar-EG"/>
        </w:rPr>
        <w:t xml:space="preserve"> </w:t>
      </w:r>
      <w:r w:rsidRPr="009E47A6">
        <w:rPr>
          <w:sz w:val="20"/>
          <w:szCs w:val="20"/>
          <w:lang w:bidi="ar-EG"/>
        </w:rPr>
        <w:t>practice</w:t>
      </w:r>
      <w:r w:rsidR="00AE1B41" w:rsidRPr="009E47A6">
        <w:rPr>
          <w:sz w:val="20"/>
          <w:szCs w:val="20"/>
          <w:lang w:bidi="ar-EG"/>
        </w:rPr>
        <w:t xml:space="preserve"> </w:t>
      </w:r>
      <w:r w:rsidRPr="009E47A6">
        <w:rPr>
          <w:sz w:val="20"/>
          <w:szCs w:val="20"/>
          <w:lang w:bidi="ar-EG"/>
        </w:rPr>
        <w:t>guideline</w:t>
      </w:r>
      <w:r w:rsidR="00AE1B41" w:rsidRPr="009E47A6">
        <w:rPr>
          <w:sz w:val="20"/>
          <w:szCs w:val="20"/>
          <w:lang w:bidi="ar-EG"/>
        </w:rPr>
        <w:t xml:space="preserve"> </w:t>
      </w:r>
      <w:r w:rsidRPr="009E47A6">
        <w:rPr>
          <w:sz w:val="20"/>
          <w:szCs w:val="20"/>
          <w:lang w:bidi="ar-EG"/>
        </w:rPr>
        <w:t>(2006</w:t>
      </w:r>
      <w:r w:rsidR="00AE1B41" w:rsidRPr="009E47A6">
        <w:rPr>
          <w:sz w:val="20"/>
          <w:szCs w:val="20"/>
          <w:lang w:bidi="ar-EG"/>
        </w:rPr>
        <w:t xml:space="preserve"> </w:t>
      </w:r>
      <w:r w:rsidRPr="009E47A6">
        <w:rPr>
          <w:sz w:val="20"/>
          <w:szCs w:val="20"/>
          <w:lang w:bidi="ar-EG"/>
        </w:rPr>
        <w:t>revision).</w:t>
      </w:r>
      <w:r w:rsidR="00AE1B41" w:rsidRPr="009E47A6">
        <w:rPr>
          <w:sz w:val="20"/>
          <w:szCs w:val="20"/>
          <w:lang w:bidi="ar-EG"/>
        </w:rPr>
        <w:t xml:space="preserve"> </w:t>
      </w:r>
      <w:r w:rsidRPr="009E47A6">
        <w:rPr>
          <w:sz w:val="20"/>
          <w:szCs w:val="20"/>
          <w:lang w:bidi="ar-EG"/>
        </w:rPr>
        <w:t>The</w:t>
      </w:r>
      <w:r w:rsidR="00AE1B41" w:rsidRPr="009E47A6">
        <w:rPr>
          <w:sz w:val="20"/>
          <w:szCs w:val="20"/>
          <w:lang w:bidi="ar-EG"/>
        </w:rPr>
        <w:t xml:space="preserve"> </w:t>
      </w:r>
      <w:r w:rsidRPr="009E47A6">
        <w:rPr>
          <w:sz w:val="20"/>
          <w:szCs w:val="20"/>
          <w:lang w:bidi="ar-EG"/>
        </w:rPr>
        <w:t>journal</w:t>
      </w:r>
      <w:r w:rsidR="00AE1B41" w:rsidRPr="009E47A6">
        <w:rPr>
          <w:sz w:val="20"/>
          <w:szCs w:val="20"/>
          <w:lang w:bidi="ar-EG"/>
        </w:rPr>
        <w:t xml:space="preserve"> </w:t>
      </w:r>
      <w:r w:rsidRPr="009E47A6">
        <w:rPr>
          <w:sz w:val="20"/>
          <w:szCs w:val="20"/>
          <w:lang w:bidi="ar-EG"/>
        </w:rPr>
        <w:t>of</w:t>
      </w:r>
      <w:r w:rsidR="00AE1B41" w:rsidRPr="009E47A6">
        <w:rPr>
          <w:sz w:val="20"/>
          <w:szCs w:val="20"/>
          <w:lang w:bidi="ar-EG"/>
        </w:rPr>
        <w:t xml:space="preserve"> </w:t>
      </w:r>
      <w:r w:rsidRPr="009E47A6">
        <w:rPr>
          <w:sz w:val="20"/>
          <w:szCs w:val="20"/>
          <w:lang w:bidi="ar-EG"/>
        </w:rPr>
        <w:t>foot</w:t>
      </w:r>
      <w:r w:rsidR="00AE1B41" w:rsidRPr="009E47A6">
        <w:rPr>
          <w:sz w:val="20"/>
          <w:szCs w:val="20"/>
          <w:lang w:bidi="ar-EG"/>
        </w:rPr>
        <w:t xml:space="preserve"> </w:t>
      </w:r>
      <w:r w:rsidRPr="009E47A6">
        <w:rPr>
          <w:sz w:val="20"/>
          <w:szCs w:val="20"/>
          <w:lang w:bidi="ar-EG"/>
        </w:rPr>
        <w:t>and</w:t>
      </w:r>
      <w:r w:rsidR="00AE1B41" w:rsidRPr="009E47A6">
        <w:rPr>
          <w:sz w:val="20"/>
          <w:szCs w:val="20"/>
          <w:lang w:bidi="ar-EG"/>
        </w:rPr>
        <w:t xml:space="preserve"> </w:t>
      </w:r>
      <w:r w:rsidRPr="009E47A6">
        <w:rPr>
          <w:sz w:val="20"/>
          <w:szCs w:val="20"/>
          <w:lang w:bidi="ar-EG"/>
        </w:rPr>
        <w:t>ankle</w:t>
      </w:r>
      <w:r w:rsidR="00AE1B41" w:rsidRPr="009E47A6">
        <w:rPr>
          <w:sz w:val="20"/>
          <w:szCs w:val="20"/>
          <w:lang w:bidi="ar-EG"/>
        </w:rPr>
        <w:t xml:space="preserve"> </w:t>
      </w:r>
      <w:r w:rsidRPr="009E47A6">
        <w:rPr>
          <w:sz w:val="20"/>
          <w:szCs w:val="20"/>
          <w:lang w:bidi="ar-EG"/>
        </w:rPr>
        <w:t>surgery.</w:t>
      </w:r>
      <w:r w:rsidR="00AE1B41" w:rsidRPr="009E47A6">
        <w:rPr>
          <w:sz w:val="20"/>
          <w:szCs w:val="20"/>
          <w:lang w:bidi="ar-EG"/>
        </w:rPr>
        <w:t xml:space="preserve"> </w:t>
      </w:r>
      <w:r w:rsidRPr="009E47A6">
        <w:rPr>
          <w:sz w:val="20"/>
          <w:szCs w:val="20"/>
          <w:lang w:bidi="ar-EG"/>
        </w:rPr>
        <w:t>2006;</w:t>
      </w:r>
      <w:r w:rsidR="00AE1B41" w:rsidRPr="009E47A6">
        <w:rPr>
          <w:sz w:val="20"/>
          <w:szCs w:val="20"/>
          <w:lang w:bidi="ar-EG"/>
        </w:rPr>
        <w:t xml:space="preserve"> </w:t>
      </w:r>
      <w:r w:rsidRPr="009E47A6">
        <w:rPr>
          <w:sz w:val="20"/>
          <w:szCs w:val="20"/>
          <w:lang w:bidi="ar-EG"/>
        </w:rPr>
        <w:t>45(5)</w:t>
      </w:r>
      <w:r w:rsidR="009D397A" w:rsidRPr="009E47A6">
        <w:rPr>
          <w:sz w:val="20"/>
          <w:szCs w:val="20"/>
          <w:lang w:bidi="ar-EG"/>
        </w:rPr>
        <w:t>: S</w:t>
      </w:r>
      <w:r w:rsidRPr="009E47A6">
        <w:rPr>
          <w:sz w:val="20"/>
          <w:szCs w:val="20"/>
          <w:lang w:bidi="ar-EG"/>
        </w:rPr>
        <w:t>1-66.</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bCs/>
          <w:sz w:val="20"/>
          <w:szCs w:val="20"/>
          <w:lang w:bidi="en-US"/>
        </w:rPr>
        <w:t>Jude</w:t>
      </w:r>
      <w:r w:rsidR="00AE1B41" w:rsidRPr="009E47A6">
        <w:rPr>
          <w:bCs/>
          <w:sz w:val="20"/>
          <w:szCs w:val="20"/>
          <w:lang w:bidi="en-US"/>
        </w:rPr>
        <w:t xml:space="preserve"> </w:t>
      </w:r>
      <w:r w:rsidRPr="009E47A6">
        <w:rPr>
          <w:bCs/>
          <w:sz w:val="20"/>
          <w:szCs w:val="20"/>
          <w:lang w:bidi="en-US"/>
        </w:rPr>
        <w:t>EB,</w:t>
      </w:r>
      <w:r w:rsidR="00AE1B41" w:rsidRPr="009E47A6">
        <w:rPr>
          <w:bCs/>
          <w:sz w:val="20"/>
          <w:szCs w:val="20"/>
          <w:lang w:bidi="en-US"/>
        </w:rPr>
        <w:t xml:space="preserve"> </w:t>
      </w:r>
      <w:r w:rsidRPr="009E47A6">
        <w:rPr>
          <w:bCs/>
          <w:sz w:val="20"/>
          <w:szCs w:val="20"/>
          <w:lang w:bidi="en-US"/>
        </w:rPr>
        <w:t>Selby</w:t>
      </w:r>
      <w:r w:rsidR="00AE1B41" w:rsidRPr="009E47A6">
        <w:rPr>
          <w:bCs/>
          <w:sz w:val="20"/>
          <w:szCs w:val="20"/>
          <w:lang w:bidi="en-US"/>
        </w:rPr>
        <w:t xml:space="preserve"> </w:t>
      </w:r>
      <w:r w:rsidRPr="009E47A6">
        <w:rPr>
          <w:bCs/>
          <w:sz w:val="20"/>
          <w:szCs w:val="20"/>
          <w:lang w:bidi="en-US"/>
        </w:rPr>
        <w:t>PL,</w:t>
      </w:r>
      <w:r w:rsidR="00AE1B41" w:rsidRPr="009E47A6">
        <w:rPr>
          <w:bCs/>
          <w:sz w:val="20"/>
          <w:szCs w:val="20"/>
          <w:lang w:bidi="en-US"/>
        </w:rPr>
        <w:t xml:space="preserve"> </w:t>
      </w:r>
      <w:r w:rsidRPr="009E47A6">
        <w:rPr>
          <w:bCs/>
          <w:sz w:val="20"/>
          <w:szCs w:val="20"/>
          <w:lang w:bidi="en-US"/>
        </w:rPr>
        <w:t>Burgess,</w:t>
      </w:r>
      <w:r w:rsidR="00AE1B41" w:rsidRPr="009E47A6">
        <w:rPr>
          <w:bCs/>
          <w:sz w:val="20"/>
          <w:szCs w:val="20"/>
          <w:lang w:bidi="en-US"/>
        </w:rPr>
        <w:t xml:space="preserve"> </w:t>
      </w:r>
      <w:r w:rsidRPr="009E47A6">
        <w:rPr>
          <w:bCs/>
          <w:sz w:val="20"/>
          <w:szCs w:val="20"/>
          <w:lang w:bidi="en-US"/>
        </w:rPr>
        <w:t>P.</w:t>
      </w:r>
      <w:r w:rsidR="00AE1B41" w:rsidRPr="009E47A6">
        <w:rPr>
          <w:bCs/>
          <w:sz w:val="20"/>
          <w:szCs w:val="20"/>
          <w:lang w:bidi="en-US"/>
        </w:rPr>
        <w:t xml:space="preserve"> </w:t>
      </w:r>
      <w:r w:rsidRPr="009E47A6">
        <w:rPr>
          <w:bCs/>
          <w:sz w:val="20"/>
          <w:szCs w:val="20"/>
          <w:lang w:bidi="en-US"/>
        </w:rPr>
        <w:t>Lilleystone,</w:t>
      </w:r>
      <w:r w:rsidR="00AE1B41" w:rsidRPr="009E47A6">
        <w:rPr>
          <w:bCs/>
          <w:sz w:val="20"/>
          <w:szCs w:val="20"/>
          <w:lang w:bidi="en-US"/>
        </w:rPr>
        <w:t xml:space="preserve"> </w:t>
      </w:r>
      <w:r w:rsidRPr="009E47A6">
        <w:rPr>
          <w:bCs/>
          <w:sz w:val="20"/>
          <w:szCs w:val="20"/>
          <w:lang w:bidi="en-US"/>
        </w:rPr>
        <w:t>E.B.</w:t>
      </w:r>
      <w:r w:rsidR="00AE1B41" w:rsidRPr="009E47A6">
        <w:rPr>
          <w:bCs/>
          <w:sz w:val="20"/>
          <w:szCs w:val="20"/>
          <w:lang w:bidi="en-US"/>
        </w:rPr>
        <w:t xml:space="preserve"> </w:t>
      </w:r>
      <w:r w:rsidRPr="009E47A6">
        <w:rPr>
          <w:bCs/>
          <w:sz w:val="20"/>
          <w:szCs w:val="20"/>
          <w:lang w:bidi="en-US"/>
        </w:rPr>
        <w:t>Mawer,</w:t>
      </w:r>
      <w:r w:rsidR="00AE1B41" w:rsidRPr="009E47A6">
        <w:rPr>
          <w:bCs/>
          <w:sz w:val="20"/>
          <w:szCs w:val="20"/>
          <w:lang w:bidi="en-US"/>
        </w:rPr>
        <w:t xml:space="preserve"> </w:t>
      </w:r>
      <w:r w:rsidRPr="009E47A6">
        <w:rPr>
          <w:bCs/>
          <w:sz w:val="20"/>
          <w:szCs w:val="20"/>
          <w:lang w:bidi="en-US"/>
        </w:rPr>
        <w:t>SR</w:t>
      </w:r>
      <w:r w:rsidR="00AE1B41" w:rsidRPr="009E47A6">
        <w:rPr>
          <w:bCs/>
          <w:sz w:val="20"/>
          <w:szCs w:val="20"/>
          <w:lang w:bidi="en-US"/>
        </w:rPr>
        <w:t xml:space="preserve"> </w:t>
      </w:r>
      <w:r w:rsidRPr="009E47A6">
        <w:rPr>
          <w:bCs/>
          <w:sz w:val="20"/>
          <w:szCs w:val="20"/>
          <w:lang w:bidi="en-US"/>
        </w:rPr>
        <w:t>Page,</w:t>
      </w:r>
      <w:r w:rsidR="00AE1B41" w:rsidRPr="009E47A6">
        <w:rPr>
          <w:bCs/>
          <w:sz w:val="20"/>
          <w:szCs w:val="20"/>
          <w:lang w:bidi="en-US"/>
        </w:rPr>
        <w:t xml:space="preserve"> </w:t>
      </w:r>
      <w:r w:rsidRPr="009E47A6">
        <w:rPr>
          <w:bCs/>
          <w:sz w:val="20"/>
          <w:szCs w:val="20"/>
          <w:lang w:bidi="en-US"/>
        </w:rPr>
        <w:t>M</w:t>
      </w:r>
      <w:r w:rsidR="00AE1B41" w:rsidRPr="009E47A6">
        <w:rPr>
          <w:bCs/>
          <w:sz w:val="20"/>
          <w:szCs w:val="20"/>
          <w:lang w:bidi="en-US"/>
        </w:rPr>
        <w:t xml:space="preserve"> </w:t>
      </w:r>
      <w:r w:rsidRPr="009E47A6">
        <w:rPr>
          <w:bCs/>
          <w:sz w:val="20"/>
          <w:szCs w:val="20"/>
          <w:lang w:bidi="en-US"/>
        </w:rPr>
        <w:t>Donohoe,</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VM</w:t>
      </w:r>
      <w:r w:rsidR="00AE1B41" w:rsidRPr="009E47A6">
        <w:rPr>
          <w:bCs/>
          <w:sz w:val="20"/>
          <w:szCs w:val="20"/>
          <w:lang w:bidi="en-US"/>
        </w:rPr>
        <w:t xml:space="preserve"> </w:t>
      </w:r>
      <w:r w:rsidRPr="009E47A6">
        <w:rPr>
          <w:bCs/>
          <w:sz w:val="20"/>
          <w:szCs w:val="20"/>
          <w:lang w:bidi="en-US"/>
        </w:rPr>
        <w:t>Foster,</w:t>
      </w:r>
      <w:r w:rsidR="00AE1B41" w:rsidRPr="009E47A6">
        <w:rPr>
          <w:bCs/>
          <w:sz w:val="20"/>
          <w:szCs w:val="20"/>
          <w:lang w:bidi="en-US"/>
        </w:rPr>
        <w:t xml:space="preserve"> </w:t>
      </w:r>
      <w:r w:rsidRPr="009E47A6">
        <w:rPr>
          <w:bCs/>
          <w:sz w:val="20"/>
          <w:szCs w:val="20"/>
          <w:lang w:bidi="en-US"/>
        </w:rPr>
        <w:t>ME</w:t>
      </w:r>
      <w:r w:rsidR="00AE1B41" w:rsidRPr="009E47A6">
        <w:rPr>
          <w:bCs/>
          <w:sz w:val="20"/>
          <w:szCs w:val="20"/>
          <w:lang w:bidi="en-US"/>
        </w:rPr>
        <w:t xml:space="preserve"> </w:t>
      </w:r>
      <w:r w:rsidRPr="009E47A6">
        <w:rPr>
          <w:bCs/>
          <w:sz w:val="20"/>
          <w:szCs w:val="20"/>
          <w:lang w:bidi="en-US"/>
        </w:rPr>
        <w:t>Edmonds,</w:t>
      </w:r>
      <w:r w:rsidR="00AE1B41" w:rsidRPr="009E47A6">
        <w:rPr>
          <w:bCs/>
          <w:sz w:val="20"/>
          <w:szCs w:val="20"/>
          <w:lang w:bidi="en-US"/>
        </w:rPr>
        <w:t xml:space="preserve"> </w:t>
      </w:r>
      <w:r w:rsidRPr="009E47A6">
        <w:rPr>
          <w:bCs/>
          <w:sz w:val="20"/>
          <w:szCs w:val="20"/>
          <w:lang w:bidi="en-US"/>
        </w:rPr>
        <w:t>AJM</w:t>
      </w:r>
      <w:r w:rsidR="00AE1B41" w:rsidRPr="009E47A6">
        <w:rPr>
          <w:bCs/>
          <w:sz w:val="20"/>
          <w:szCs w:val="20"/>
          <w:lang w:bidi="en-US"/>
        </w:rPr>
        <w:t xml:space="preserve"> </w:t>
      </w:r>
      <w:r w:rsidRPr="009E47A6">
        <w:rPr>
          <w:bCs/>
          <w:sz w:val="20"/>
          <w:szCs w:val="20"/>
          <w:lang w:bidi="en-US"/>
        </w:rPr>
        <w:t>Boulton:</w:t>
      </w:r>
      <w:r w:rsidR="00AE1B41" w:rsidRPr="009E47A6">
        <w:rPr>
          <w:bCs/>
          <w:sz w:val="20"/>
          <w:szCs w:val="20"/>
          <w:lang w:bidi="en-US"/>
        </w:rPr>
        <w:t xml:space="preserve"> </w:t>
      </w:r>
      <w:r w:rsidRPr="009E47A6">
        <w:rPr>
          <w:bCs/>
          <w:sz w:val="20"/>
          <w:szCs w:val="20"/>
          <w:lang w:bidi="en-US"/>
        </w:rPr>
        <w:t>Bisphosphonate</w:t>
      </w:r>
      <w:r w:rsidR="00AE1B41" w:rsidRPr="009E47A6">
        <w:rPr>
          <w:bCs/>
          <w:sz w:val="20"/>
          <w:szCs w:val="20"/>
          <w:lang w:bidi="en-US"/>
        </w:rPr>
        <w:t xml:space="preserve"> </w:t>
      </w:r>
      <w:r w:rsidRPr="009E47A6">
        <w:rPr>
          <w:bCs/>
          <w:sz w:val="20"/>
          <w:szCs w:val="20"/>
          <w:lang w:bidi="en-US"/>
        </w:rPr>
        <w:t>in</w:t>
      </w:r>
      <w:r w:rsidR="00AE1B41" w:rsidRPr="009E47A6">
        <w:rPr>
          <w:bCs/>
          <w:sz w:val="20"/>
          <w:szCs w:val="20"/>
          <w:lang w:bidi="en-US"/>
        </w:rPr>
        <w:t xml:space="preserve"> </w:t>
      </w:r>
      <w:r w:rsidRPr="009E47A6">
        <w:rPr>
          <w:bCs/>
          <w:sz w:val="20"/>
          <w:szCs w:val="20"/>
          <w:lang w:bidi="en-US"/>
        </w:rPr>
        <w:t>the</w:t>
      </w:r>
      <w:r w:rsidR="00AE1B41" w:rsidRPr="009E47A6">
        <w:rPr>
          <w:bCs/>
          <w:sz w:val="20"/>
          <w:szCs w:val="20"/>
          <w:lang w:bidi="en-US"/>
        </w:rPr>
        <w:t xml:space="preserve"> </w:t>
      </w:r>
      <w:r w:rsidRPr="009E47A6">
        <w:rPr>
          <w:bCs/>
          <w:sz w:val="20"/>
          <w:szCs w:val="20"/>
          <w:lang w:bidi="en-US"/>
        </w:rPr>
        <w:t>treatment</w:t>
      </w:r>
      <w:r w:rsidR="00AE1B41" w:rsidRPr="009E47A6">
        <w:rPr>
          <w:bCs/>
          <w:sz w:val="20"/>
          <w:szCs w:val="20"/>
          <w:lang w:bidi="en-US"/>
        </w:rPr>
        <w:t xml:space="preserve"> </w:t>
      </w:r>
      <w:r w:rsidRPr="009E47A6">
        <w:rPr>
          <w:bCs/>
          <w:sz w:val="20"/>
          <w:szCs w:val="20"/>
          <w:lang w:bidi="en-US"/>
        </w:rPr>
        <w:t>of</w:t>
      </w:r>
      <w:r w:rsidR="00AE1B41" w:rsidRPr="009E47A6">
        <w:rPr>
          <w:bCs/>
          <w:sz w:val="20"/>
          <w:szCs w:val="20"/>
          <w:lang w:bidi="en-US"/>
        </w:rPr>
        <w:t xml:space="preserve"> </w:t>
      </w:r>
      <w:r w:rsidRPr="009E47A6">
        <w:rPr>
          <w:bCs/>
          <w:sz w:val="20"/>
          <w:szCs w:val="20"/>
          <w:lang w:bidi="en-US"/>
        </w:rPr>
        <w:t>charcot</w:t>
      </w:r>
      <w:r w:rsidR="00AE1B41" w:rsidRPr="009E47A6">
        <w:rPr>
          <w:bCs/>
          <w:sz w:val="20"/>
          <w:szCs w:val="20"/>
          <w:lang w:bidi="en-US"/>
        </w:rPr>
        <w:t xml:space="preserve"> </w:t>
      </w:r>
      <w:r w:rsidRPr="009E47A6">
        <w:rPr>
          <w:bCs/>
          <w:sz w:val="20"/>
          <w:szCs w:val="20"/>
          <w:lang w:bidi="en-US"/>
        </w:rPr>
        <w:t>neuroarthropathy:</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double-blind</w:t>
      </w:r>
      <w:r w:rsidR="00AE1B41" w:rsidRPr="009E47A6">
        <w:rPr>
          <w:bCs/>
          <w:sz w:val="20"/>
          <w:szCs w:val="20"/>
          <w:lang w:bidi="en-US"/>
        </w:rPr>
        <w:t xml:space="preserve"> </w:t>
      </w:r>
      <w:r w:rsidRPr="009E47A6">
        <w:rPr>
          <w:bCs/>
          <w:sz w:val="20"/>
          <w:szCs w:val="20"/>
          <w:lang w:bidi="en-US"/>
        </w:rPr>
        <w:t>randomized</w:t>
      </w:r>
      <w:r w:rsidR="00AE1B41" w:rsidRPr="009E47A6">
        <w:rPr>
          <w:bCs/>
          <w:sz w:val="20"/>
          <w:szCs w:val="20"/>
          <w:lang w:bidi="en-US"/>
        </w:rPr>
        <w:t xml:space="preserve"> </w:t>
      </w:r>
      <w:r w:rsidRPr="009E47A6">
        <w:rPr>
          <w:bCs/>
          <w:sz w:val="20"/>
          <w:szCs w:val="20"/>
          <w:lang w:bidi="en-US"/>
        </w:rPr>
        <w:t>controlled</w:t>
      </w:r>
      <w:r w:rsidR="00AE1B41" w:rsidRPr="009E47A6">
        <w:rPr>
          <w:bCs/>
          <w:sz w:val="20"/>
          <w:szCs w:val="20"/>
          <w:lang w:bidi="en-US"/>
        </w:rPr>
        <w:t xml:space="preserve"> </w:t>
      </w:r>
      <w:r w:rsidRPr="009E47A6">
        <w:rPr>
          <w:bCs/>
          <w:sz w:val="20"/>
          <w:szCs w:val="20"/>
          <w:lang w:bidi="en-US"/>
        </w:rPr>
        <w:t>trial.</w:t>
      </w:r>
      <w:r w:rsidR="00AE1B41" w:rsidRPr="009E47A6">
        <w:rPr>
          <w:bCs/>
          <w:sz w:val="20"/>
          <w:szCs w:val="20"/>
          <w:lang w:bidi="en-US"/>
        </w:rPr>
        <w:t xml:space="preserve"> </w:t>
      </w:r>
      <w:r w:rsidRPr="009E47A6">
        <w:rPr>
          <w:bCs/>
          <w:sz w:val="20"/>
          <w:szCs w:val="20"/>
          <w:lang w:bidi="en-US"/>
        </w:rPr>
        <w:t>Diabetologia</w:t>
      </w:r>
      <w:r w:rsidR="00AE1B41" w:rsidRPr="009E47A6">
        <w:rPr>
          <w:bCs/>
          <w:sz w:val="20"/>
          <w:szCs w:val="20"/>
          <w:lang w:bidi="en-US"/>
        </w:rPr>
        <w:t xml:space="preserve"> </w:t>
      </w:r>
      <w:r w:rsidRPr="009E47A6">
        <w:rPr>
          <w:bCs/>
          <w:sz w:val="20"/>
          <w:szCs w:val="20"/>
          <w:lang w:bidi="en-US"/>
        </w:rPr>
        <w:t>2001.</w:t>
      </w:r>
    </w:p>
    <w:p w:rsidR="00C22D76" w:rsidRPr="009E47A6" w:rsidRDefault="00C22D76" w:rsidP="009D397A">
      <w:pPr>
        <w:pStyle w:val="ListParagraph"/>
        <w:numPr>
          <w:ilvl w:val="0"/>
          <w:numId w:val="44"/>
        </w:numPr>
        <w:bidi w:val="0"/>
        <w:snapToGrid w:val="0"/>
        <w:ind w:left="425" w:hanging="425"/>
        <w:jc w:val="both"/>
        <w:rPr>
          <w:sz w:val="20"/>
          <w:szCs w:val="20"/>
          <w:lang w:bidi="ar-EG"/>
        </w:rPr>
      </w:pPr>
      <w:r w:rsidRPr="009E47A6">
        <w:rPr>
          <w:bCs/>
          <w:sz w:val="20"/>
          <w:szCs w:val="20"/>
          <w:lang w:bidi="ar-EG"/>
        </w:rPr>
        <w:t>Kaynak</w:t>
      </w:r>
      <w:r w:rsidR="00AE1B41" w:rsidRPr="009E47A6">
        <w:rPr>
          <w:bCs/>
          <w:sz w:val="20"/>
          <w:szCs w:val="20"/>
          <w:lang w:bidi="ar-EG"/>
        </w:rPr>
        <w:t xml:space="preserve"> </w:t>
      </w:r>
      <w:r w:rsidRPr="009E47A6">
        <w:rPr>
          <w:bCs/>
          <w:sz w:val="20"/>
          <w:szCs w:val="20"/>
          <w:lang w:bidi="ar-EG"/>
        </w:rPr>
        <w:t>G,</w:t>
      </w:r>
      <w:r w:rsidR="00AE1B41" w:rsidRPr="009E47A6">
        <w:rPr>
          <w:bCs/>
          <w:sz w:val="20"/>
          <w:szCs w:val="20"/>
          <w:lang w:bidi="ar-EG"/>
        </w:rPr>
        <w:t xml:space="preserve"> </w:t>
      </w:r>
      <w:r w:rsidRPr="009E47A6">
        <w:rPr>
          <w:bCs/>
          <w:sz w:val="20"/>
          <w:szCs w:val="20"/>
          <w:lang w:bidi="ar-EG"/>
        </w:rPr>
        <w:t>Birsel</w:t>
      </w:r>
      <w:r w:rsidR="00AE1B41" w:rsidRPr="009E47A6">
        <w:rPr>
          <w:bCs/>
          <w:sz w:val="20"/>
          <w:szCs w:val="20"/>
          <w:lang w:bidi="ar-EG"/>
        </w:rPr>
        <w:t xml:space="preserve"> </w:t>
      </w:r>
      <w:r w:rsidRPr="009E47A6">
        <w:rPr>
          <w:bCs/>
          <w:sz w:val="20"/>
          <w:szCs w:val="20"/>
          <w:lang w:bidi="ar-EG"/>
        </w:rPr>
        <w:t>O,</w:t>
      </w:r>
      <w:r w:rsidR="00AE1B41" w:rsidRPr="009E47A6">
        <w:rPr>
          <w:bCs/>
          <w:sz w:val="20"/>
          <w:szCs w:val="20"/>
          <w:lang w:bidi="ar-EG"/>
        </w:rPr>
        <w:t xml:space="preserve"> </w:t>
      </w:r>
      <w:r w:rsidRPr="009E47A6">
        <w:rPr>
          <w:bCs/>
          <w:sz w:val="20"/>
          <w:szCs w:val="20"/>
          <w:lang w:bidi="ar-EG"/>
        </w:rPr>
        <w:t>Fatih</w:t>
      </w:r>
      <w:r w:rsidR="00AE1B41" w:rsidRPr="009E47A6">
        <w:rPr>
          <w:bCs/>
          <w:sz w:val="20"/>
          <w:szCs w:val="20"/>
          <w:lang w:bidi="ar-EG"/>
        </w:rPr>
        <w:t xml:space="preserve"> </w:t>
      </w:r>
      <w:r w:rsidRPr="009E47A6">
        <w:rPr>
          <w:bCs/>
          <w:sz w:val="20"/>
          <w:szCs w:val="20"/>
          <w:lang w:bidi="ar-EG"/>
        </w:rPr>
        <w:t>Güven</w:t>
      </w:r>
      <w:r w:rsidR="00AE1B41" w:rsidRPr="009E47A6">
        <w:rPr>
          <w:bCs/>
          <w:sz w:val="20"/>
          <w:szCs w:val="20"/>
          <w:lang w:bidi="ar-EG"/>
        </w:rPr>
        <w:t xml:space="preserve"> </w:t>
      </w:r>
      <w:r w:rsidRPr="009E47A6">
        <w:rPr>
          <w:bCs/>
          <w:sz w:val="20"/>
          <w:szCs w:val="20"/>
          <w:lang w:bidi="ar-EG"/>
        </w:rPr>
        <w:t>M,</w:t>
      </w:r>
      <w:r w:rsidR="00AE1B41" w:rsidRPr="009E47A6">
        <w:rPr>
          <w:bCs/>
          <w:sz w:val="20"/>
          <w:szCs w:val="20"/>
          <w:lang w:bidi="ar-EG"/>
        </w:rPr>
        <w:t xml:space="preserve"> </w:t>
      </w:r>
      <w:r w:rsidRPr="009E47A6">
        <w:rPr>
          <w:bCs/>
          <w:sz w:val="20"/>
          <w:szCs w:val="20"/>
          <w:lang w:bidi="ar-EG"/>
        </w:rPr>
        <w:t>Öğüt</w:t>
      </w:r>
      <w:r w:rsidR="00AE1B41" w:rsidRPr="009E47A6">
        <w:rPr>
          <w:bCs/>
          <w:sz w:val="20"/>
          <w:szCs w:val="20"/>
          <w:lang w:bidi="ar-EG"/>
        </w:rPr>
        <w:t xml:space="preserve"> </w:t>
      </w:r>
      <w:r w:rsidRPr="009E47A6">
        <w:rPr>
          <w:bCs/>
          <w:sz w:val="20"/>
          <w:szCs w:val="20"/>
          <w:lang w:bidi="ar-EG"/>
        </w:rPr>
        <w:t>T.</w:t>
      </w:r>
      <w:r w:rsidR="00AE1B41" w:rsidRPr="009E47A6">
        <w:rPr>
          <w:bCs/>
          <w:sz w:val="20"/>
          <w:szCs w:val="20"/>
          <w:lang w:bidi="ar-EG"/>
        </w:rPr>
        <w:t xml:space="preserve"> </w:t>
      </w:r>
      <w:r w:rsidRPr="009E47A6">
        <w:rPr>
          <w:sz w:val="20"/>
          <w:szCs w:val="20"/>
          <w:lang w:bidi="ar-EG"/>
        </w:rPr>
        <w:t>An</w:t>
      </w:r>
      <w:r w:rsidR="00AE1B41" w:rsidRPr="009E47A6">
        <w:rPr>
          <w:sz w:val="20"/>
          <w:szCs w:val="20"/>
          <w:lang w:bidi="ar-EG"/>
        </w:rPr>
        <w:t xml:space="preserve"> </w:t>
      </w:r>
      <w:r w:rsidRPr="009E47A6">
        <w:rPr>
          <w:sz w:val="20"/>
          <w:szCs w:val="20"/>
          <w:lang w:bidi="ar-EG"/>
        </w:rPr>
        <w:t>overview</w:t>
      </w:r>
      <w:r w:rsidR="00AE1B41" w:rsidRPr="009E47A6">
        <w:rPr>
          <w:sz w:val="20"/>
          <w:szCs w:val="20"/>
          <w:lang w:bidi="ar-EG"/>
        </w:rPr>
        <w:t xml:space="preserve"> </w:t>
      </w:r>
      <w:r w:rsidRPr="009E47A6">
        <w:rPr>
          <w:sz w:val="20"/>
          <w:szCs w:val="20"/>
          <w:lang w:bidi="ar-EG"/>
        </w:rPr>
        <w:t>of</w:t>
      </w:r>
      <w:r w:rsidR="00AE1B41" w:rsidRPr="009E47A6">
        <w:rPr>
          <w:sz w:val="20"/>
          <w:szCs w:val="20"/>
          <w:lang w:bidi="ar-EG"/>
        </w:rPr>
        <w:t xml:space="preserve"> </w:t>
      </w:r>
      <w:r w:rsidRPr="009E47A6">
        <w:rPr>
          <w:sz w:val="20"/>
          <w:szCs w:val="20"/>
          <w:lang w:bidi="ar-EG"/>
        </w:rPr>
        <w:t>the</w:t>
      </w:r>
      <w:r w:rsidR="00AE1B41" w:rsidRPr="009E47A6">
        <w:rPr>
          <w:sz w:val="20"/>
          <w:szCs w:val="20"/>
          <w:lang w:bidi="ar-EG"/>
        </w:rPr>
        <w:t xml:space="preserve"> </w:t>
      </w:r>
      <w:r w:rsidRPr="009E47A6">
        <w:rPr>
          <w:sz w:val="20"/>
          <w:szCs w:val="20"/>
          <w:lang w:bidi="ar-EG"/>
        </w:rPr>
        <w:t>Charcot</w:t>
      </w:r>
      <w:r w:rsidR="00AE1B41" w:rsidRPr="009E47A6">
        <w:rPr>
          <w:sz w:val="20"/>
          <w:szCs w:val="20"/>
          <w:lang w:bidi="ar-EG"/>
        </w:rPr>
        <w:t xml:space="preserve"> </w:t>
      </w:r>
      <w:r w:rsidRPr="009E47A6">
        <w:rPr>
          <w:sz w:val="20"/>
          <w:szCs w:val="20"/>
          <w:lang w:bidi="ar-EG"/>
        </w:rPr>
        <w:t>foot</w:t>
      </w:r>
      <w:r w:rsidR="00AE1B41" w:rsidRPr="009E47A6">
        <w:rPr>
          <w:sz w:val="20"/>
          <w:szCs w:val="20"/>
          <w:lang w:bidi="ar-EG"/>
        </w:rPr>
        <w:t xml:space="preserve"> </w:t>
      </w:r>
      <w:r w:rsidRPr="009E47A6">
        <w:rPr>
          <w:sz w:val="20"/>
          <w:szCs w:val="20"/>
          <w:lang w:bidi="ar-EG"/>
        </w:rPr>
        <w:t>pathophysiology.</w:t>
      </w:r>
      <w:r w:rsidR="00AE1B41" w:rsidRPr="009E47A6">
        <w:rPr>
          <w:sz w:val="20"/>
          <w:szCs w:val="20"/>
          <w:lang w:bidi="ar-EG"/>
        </w:rPr>
        <w:t xml:space="preserve"> </w:t>
      </w:r>
      <w:r w:rsidRPr="009E47A6">
        <w:rPr>
          <w:sz w:val="20"/>
          <w:szCs w:val="20"/>
          <w:lang w:bidi="ar-EG"/>
        </w:rPr>
        <w:t>Diabetic</w:t>
      </w:r>
      <w:r w:rsidR="00AE1B41" w:rsidRPr="009E47A6">
        <w:rPr>
          <w:sz w:val="20"/>
          <w:szCs w:val="20"/>
          <w:lang w:bidi="ar-EG"/>
        </w:rPr>
        <w:t xml:space="preserve"> </w:t>
      </w:r>
      <w:r w:rsidRPr="009E47A6">
        <w:rPr>
          <w:sz w:val="20"/>
          <w:szCs w:val="20"/>
          <w:lang w:bidi="ar-EG"/>
        </w:rPr>
        <w:t>foot</w:t>
      </w:r>
      <w:r w:rsidR="00AE1B41" w:rsidRPr="009E47A6">
        <w:rPr>
          <w:sz w:val="20"/>
          <w:szCs w:val="20"/>
          <w:lang w:bidi="ar-EG"/>
        </w:rPr>
        <w:t xml:space="preserve"> &amp; </w:t>
      </w:r>
      <w:r w:rsidRPr="009E47A6">
        <w:rPr>
          <w:sz w:val="20"/>
          <w:szCs w:val="20"/>
          <w:lang w:bidi="ar-EG"/>
        </w:rPr>
        <w:t>ankle.</w:t>
      </w:r>
      <w:r w:rsidR="00AE1B41" w:rsidRPr="009E47A6">
        <w:rPr>
          <w:sz w:val="20"/>
          <w:szCs w:val="20"/>
          <w:lang w:bidi="ar-EG"/>
        </w:rPr>
        <w:t xml:space="preserve"> </w:t>
      </w:r>
      <w:r w:rsidRPr="009E47A6">
        <w:rPr>
          <w:sz w:val="20"/>
          <w:szCs w:val="20"/>
          <w:lang w:bidi="ar-EG"/>
        </w:rPr>
        <w:t>2013;</w:t>
      </w:r>
      <w:r w:rsidR="00AE1B41" w:rsidRPr="009E47A6">
        <w:rPr>
          <w:sz w:val="20"/>
          <w:szCs w:val="20"/>
          <w:lang w:bidi="ar-EG"/>
        </w:rPr>
        <w:t xml:space="preserve"> </w:t>
      </w:r>
      <w:r w:rsidRPr="009E47A6">
        <w:rPr>
          <w:sz w:val="20"/>
          <w:szCs w:val="20"/>
          <w:lang w:bidi="ar-EG"/>
        </w:rPr>
        <w:t>4(1):211-17.</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bCs/>
          <w:sz w:val="20"/>
          <w:szCs w:val="20"/>
          <w:lang w:bidi="en-US"/>
        </w:rPr>
        <w:t>Leo</w:t>
      </w:r>
      <w:r w:rsidR="00AE1B41" w:rsidRPr="009E47A6">
        <w:rPr>
          <w:bCs/>
          <w:sz w:val="20"/>
          <w:szCs w:val="20"/>
          <w:lang w:bidi="en-US"/>
        </w:rPr>
        <w:t xml:space="preserve"> </w:t>
      </w:r>
      <w:r w:rsidRPr="009E47A6">
        <w:rPr>
          <w:bCs/>
          <w:sz w:val="20"/>
          <w:szCs w:val="20"/>
          <w:lang w:bidi="en-US"/>
        </w:rPr>
        <w:t>JS.</w:t>
      </w:r>
      <w:r w:rsidR="00AE1B41" w:rsidRPr="009E47A6">
        <w:rPr>
          <w:bCs/>
          <w:sz w:val="20"/>
          <w:szCs w:val="20"/>
          <w:lang w:bidi="en-US"/>
        </w:rPr>
        <w:t xml:space="preserve"> </w:t>
      </w:r>
      <w:r w:rsidRPr="009E47A6">
        <w:rPr>
          <w:bCs/>
          <w:sz w:val="20"/>
          <w:szCs w:val="20"/>
          <w:lang w:bidi="en-US"/>
        </w:rPr>
        <w:t>Charcot</w:t>
      </w:r>
      <w:r w:rsidR="00AE1B41" w:rsidRPr="009E47A6">
        <w:rPr>
          <w:bCs/>
          <w:sz w:val="20"/>
          <w:szCs w:val="20"/>
          <w:lang w:bidi="en-US"/>
        </w:rPr>
        <w:t xml:space="preserve"> </w:t>
      </w:r>
      <w:r w:rsidRPr="009E47A6">
        <w:rPr>
          <w:bCs/>
          <w:sz w:val="20"/>
          <w:szCs w:val="20"/>
          <w:lang w:bidi="en-US"/>
        </w:rPr>
        <w:t>Arthropathy</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Immobilization</w:t>
      </w:r>
      <w:r w:rsidR="00AE1B41" w:rsidRPr="009E47A6">
        <w:rPr>
          <w:bCs/>
          <w:sz w:val="20"/>
          <w:szCs w:val="20"/>
          <w:lang w:bidi="en-US"/>
        </w:rPr>
        <w:t xml:space="preserve"> </w:t>
      </w:r>
      <w:r w:rsidRPr="009E47A6">
        <w:rPr>
          <w:bCs/>
          <w:sz w:val="20"/>
          <w:szCs w:val="20"/>
          <w:lang w:bidi="en-US"/>
        </w:rPr>
        <w:t>in</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Weight</w:t>
      </w:r>
      <w:r w:rsidR="00AE1B41" w:rsidRPr="009E47A6">
        <w:rPr>
          <w:bCs/>
          <w:sz w:val="20"/>
          <w:szCs w:val="20"/>
          <w:lang w:bidi="en-US"/>
        </w:rPr>
        <w:t xml:space="preserve"> </w:t>
      </w:r>
      <w:r w:rsidRPr="009E47A6">
        <w:rPr>
          <w:bCs/>
          <w:sz w:val="20"/>
          <w:szCs w:val="20"/>
          <w:lang w:bidi="en-US"/>
        </w:rPr>
        <w:t>-</w:t>
      </w:r>
      <w:r w:rsidR="00AE1B41" w:rsidRPr="009E47A6">
        <w:rPr>
          <w:bCs/>
          <w:sz w:val="20"/>
          <w:szCs w:val="20"/>
          <w:lang w:bidi="en-US"/>
        </w:rPr>
        <w:t xml:space="preserve"> </w:t>
      </w:r>
      <w:r w:rsidRPr="009E47A6">
        <w:rPr>
          <w:bCs/>
          <w:sz w:val="20"/>
          <w:szCs w:val="20"/>
          <w:lang w:bidi="en-US"/>
        </w:rPr>
        <w:t>bearing</w:t>
      </w:r>
      <w:r w:rsidR="00AE1B41" w:rsidRPr="009E47A6">
        <w:rPr>
          <w:bCs/>
          <w:sz w:val="20"/>
          <w:szCs w:val="20"/>
          <w:lang w:bidi="en-US"/>
        </w:rPr>
        <w:t xml:space="preserve"> </w:t>
      </w:r>
      <w:r w:rsidRPr="009E47A6">
        <w:rPr>
          <w:bCs/>
          <w:sz w:val="20"/>
          <w:szCs w:val="20"/>
          <w:lang w:bidi="en-US"/>
        </w:rPr>
        <w:t>Total</w:t>
      </w:r>
      <w:r w:rsidR="00AE1B41" w:rsidRPr="009E47A6">
        <w:rPr>
          <w:bCs/>
          <w:sz w:val="20"/>
          <w:szCs w:val="20"/>
          <w:lang w:bidi="en-US"/>
        </w:rPr>
        <w:t xml:space="preserve"> </w:t>
      </w:r>
      <w:r w:rsidRPr="009E47A6">
        <w:rPr>
          <w:bCs/>
          <w:sz w:val="20"/>
          <w:szCs w:val="20"/>
          <w:lang w:bidi="en-US"/>
        </w:rPr>
        <w:t>Contact</w:t>
      </w:r>
      <w:r w:rsidR="00AE1B41" w:rsidRPr="009E47A6">
        <w:rPr>
          <w:bCs/>
          <w:sz w:val="20"/>
          <w:szCs w:val="20"/>
          <w:lang w:bidi="en-US"/>
        </w:rPr>
        <w:t xml:space="preserve"> </w:t>
      </w:r>
      <w:r w:rsidRPr="009E47A6">
        <w:rPr>
          <w:bCs/>
          <w:sz w:val="20"/>
          <w:szCs w:val="20"/>
          <w:lang w:bidi="en-US"/>
        </w:rPr>
        <w:t>Cast.</w:t>
      </w:r>
      <w:r w:rsidR="00AE1B41" w:rsidRPr="009E47A6">
        <w:rPr>
          <w:bCs/>
          <w:sz w:val="20"/>
          <w:szCs w:val="20"/>
          <w:lang w:bidi="en-US"/>
        </w:rPr>
        <w:t xml:space="preserve"> </w:t>
      </w:r>
      <w:r w:rsidRPr="009E47A6">
        <w:rPr>
          <w:bCs/>
          <w:sz w:val="20"/>
          <w:szCs w:val="20"/>
          <w:lang w:bidi="en-US"/>
        </w:rPr>
        <w:t>Journal</w:t>
      </w:r>
      <w:r w:rsidR="00AE1B41" w:rsidRPr="009E47A6">
        <w:rPr>
          <w:bCs/>
          <w:sz w:val="20"/>
          <w:szCs w:val="20"/>
          <w:lang w:bidi="en-US"/>
        </w:rPr>
        <w:t xml:space="preserve"> </w:t>
      </w:r>
      <w:r w:rsidRPr="009E47A6">
        <w:rPr>
          <w:bCs/>
          <w:sz w:val="20"/>
          <w:szCs w:val="20"/>
          <w:lang w:bidi="en-US"/>
        </w:rPr>
        <w:t>of</w:t>
      </w:r>
      <w:r w:rsidR="00AE1B41" w:rsidRPr="009E47A6">
        <w:rPr>
          <w:bCs/>
          <w:sz w:val="20"/>
          <w:szCs w:val="20"/>
          <w:lang w:bidi="en-US"/>
        </w:rPr>
        <w:t xml:space="preserve"> </w:t>
      </w:r>
      <w:r w:rsidRPr="009E47A6">
        <w:rPr>
          <w:bCs/>
          <w:sz w:val="20"/>
          <w:szCs w:val="20"/>
          <w:lang w:bidi="en-US"/>
        </w:rPr>
        <w:t>bone</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joint</w:t>
      </w:r>
      <w:r w:rsidR="00AE1B41" w:rsidRPr="009E47A6">
        <w:rPr>
          <w:bCs/>
          <w:sz w:val="20"/>
          <w:szCs w:val="20"/>
          <w:lang w:bidi="en-US"/>
        </w:rPr>
        <w:t xml:space="preserve"> </w:t>
      </w:r>
      <w:r w:rsidRPr="009E47A6">
        <w:rPr>
          <w:bCs/>
          <w:sz w:val="20"/>
          <w:szCs w:val="20"/>
          <w:lang w:bidi="en-US"/>
        </w:rPr>
        <w:t>surgery</w:t>
      </w:r>
      <w:r w:rsidR="00AE1B41" w:rsidRPr="009E47A6">
        <w:rPr>
          <w:bCs/>
          <w:sz w:val="20"/>
          <w:szCs w:val="20"/>
          <w:lang w:bidi="en-US"/>
        </w:rPr>
        <w:t xml:space="preserve"> </w:t>
      </w:r>
      <w:r w:rsidRPr="009E47A6">
        <w:rPr>
          <w:bCs/>
          <w:sz w:val="20"/>
          <w:szCs w:val="20"/>
          <w:lang w:bidi="en-US"/>
        </w:rPr>
        <w:t>2008;</w:t>
      </w:r>
      <w:r w:rsidR="00AE1B41" w:rsidRPr="009E47A6">
        <w:rPr>
          <w:bCs/>
          <w:sz w:val="20"/>
          <w:szCs w:val="20"/>
          <w:lang w:bidi="en-US"/>
        </w:rPr>
        <w:t xml:space="preserve"> </w:t>
      </w:r>
      <w:r w:rsidRPr="009E47A6">
        <w:rPr>
          <w:bCs/>
          <w:sz w:val="20"/>
          <w:szCs w:val="20"/>
          <w:lang w:bidi="en-US"/>
        </w:rPr>
        <w:t>90(4):754-9.</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Lowery</w:t>
      </w:r>
      <w:r w:rsidR="00AE1B41" w:rsidRPr="009E47A6">
        <w:rPr>
          <w:bCs/>
          <w:sz w:val="20"/>
          <w:szCs w:val="20"/>
          <w:lang w:bidi="en-US"/>
        </w:rPr>
        <w:t xml:space="preserve"> </w:t>
      </w:r>
      <w:r w:rsidRPr="009E47A6">
        <w:rPr>
          <w:bCs/>
          <w:sz w:val="20"/>
          <w:szCs w:val="20"/>
          <w:lang w:bidi="en-US"/>
        </w:rPr>
        <w:t>NJ,</w:t>
      </w:r>
      <w:r w:rsidR="00AE1B41" w:rsidRPr="009E47A6">
        <w:rPr>
          <w:bCs/>
          <w:sz w:val="20"/>
          <w:szCs w:val="20"/>
          <w:lang w:bidi="en-US"/>
        </w:rPr>
        <w:t xml:space="preserve"> </w:t>
      </w:r>
      <w:r w:rsidRPr="009E47A6">
        <w:rPr>
          <w:bCs/>
          <w:sz w:val="20"/>
          <w:szCs w:val="20"/>
          <w:lang w:bidi="en-US"/>
        </w:rPr>
        <w:t>Woods</w:t>
      </w:r>
      <w:r w:rsidR="00AE1B41" w:rsidRPr="009E47A6">
        <w:rPr>
          <w:bCs/>
          <w:sz w:val="20"/>
          <w:szCs w:val="20"/>
          <w:lang w:bidi="en-US"/>
        </w:rPr>
        <w:t xml:space="preserve"> </w:t>
      </w:r>
      <w:r w:rsidRPr="009E47A6">
        <w:rPr>
          <w:bCs/>
          <w:sz w:val="20"/>
          <w:szCs w:val="20"/>
          <w:lang w:bidi="en-US"/>
        </w:rPr>
        <w:t>JB,</w:t>
      </w:r>
      <w:r w:rsidR="00AE1B41" w:rsidRPr="009E47A6">
        <w:rPr>
          <w:bCs/>
          <w:sz w:val="20"/>
          <w:szCs w:val="20"/>
          <w:lang w:bidi="en-US"/>
        </w:rPr>
        <w:t xml:space="preserve"> </w:t>
      </w:r>
      <w:r w:rsidRPr="009E47A6">
        <w:rPr>
          <w:bCs/>
          <w:sz w:val="20"/>
          <w:szCs w:val="20"/>
          <w:lang w:bidi="en-US"/>
        </w:rPr>
        <w:t>Armstrong</w:t>
      </w:r>
      <w:r w:rsidR="00AE1B41" w:rsidRPr="009E47A6">
        <w:rPr>
          <w:bCs/>
          <w:sz w:val="20"/>
          <w:szCs w:val="20"/>
          <w:lang w:bidi="en-US"/>
        </w:rPr>
        <w:t xml:space="preserve"> </w:t>
      </w:r>
      <w:r w:rsidRPr="009E47A6">
        <w:rPr>
          <w:bCs/>
          <w:sz w:val="20"/>
          <w:szCs w:val="20"/>
          <w:lang w:bidi="en-US"/>
        </w:rPr>
        <w:t>DG,</w:t>
      </w:r>
      <w:r w:rsidR="00AE1B41" w:rsidRPr="009E47A6">
        <w:rPr>
          <w:bCs/>
          <w:sz w:val="20"/>
          <w:szCs w:val="20"/>
          <w:lang w:bidi="en-US"/>
        </w:rPr>
        <w:t xml:space="preserve"> </w:t>
      </w:r>
      <w:r w:rsidRPr="009E47A6">
        <w:rPr>
          <w:bCs/>
          <w:sz w:val="20"/>
          <w:szCs w:val="20"/>
          <w:lang w:bidi="en-US"/>
        </w:rPr>
        <w:t>Wukich</w:t>
      </w:r>
      <w:r w:rsidR="00AE1B41" w:rsidRPr="009E47A6">
        <w:rPr>
          <w:bCs/>
          <w:sz w:val="20"/>
          <w:szCs w:val="20"/>
          <w:lang w:bidi="en-US"/>
        </w:rPr>
        <w:t xml:space="preserve"> </w:t>
      </w:r>
      <w:r w:rsidRPr="009E47A6">
        <w:rPr>
          <w:bCs/>
          <w:sz w:val="20"/>
          <w:szCs w:val="20"/>
          <w:lang w:bidi="en-US"/>
        </w:rPr>
        <w:t>DK.</w:t>
      </w:r>
      <w:r w:rsidR="00AE1B41" w:rsidRPr="009E47A6">
        <w:rPr>
          <w:bCs/>
          <w:sz w:val="20"/>
          <w:szCs w:val="20"/>
          <w:lang w:bidi="en-US"/>
        </w:rPr>
        <w:t xml:space="preserve"> </w:t>
      </w:r>
      <w:r w:rsidRPr="009E47A6">
        <w:rPr>
          <w:sz w:val="20"/>
          <w:szCs w:val="20"/>
          <w:lang w:bidi="en-US"/>
        </w:rPr>
        <w:t>Surgical</w:t>
      </w:r>
      <w:r w:rsidR="00AE1B41" w:rsidRPr="009E47A6">
        <w:rPr>
          <w:sz w:val="20"/>
          <w:szCs w:val="20"/>
          <w:lang w:bidi="en-US"/>
        </w:rPr>
        <w:t xml:space="preserve"> </w:t>
      </w:r>
      <w:r w:rsidRPr="009E47A6">
        <w:rPr>
          <w:sz w:val="20"/>
          <w:szCs w:val="20"/>
          <w:lang w:bidi="en-US"/>
        </w:rPr>
        <w:t>management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neuroarthropathy</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w:t>
      </w:r>
      <w:r w:rsidR="00AE1B41" w:rsidRPr="009E47A6">
        <w:rPr>
          <w:sz w:val="20"/>
          <w:szCs w:val="20"/>
          <w:lang w:bidi="en-US"/>
        </w:rPr>
        <w:t xml:space="preserve"> </w:t>
      </w:r>
      <w:r w:rsidRPr="009E47A6">
        <w:rPr>
          <w:sz w:val="20"/>
          <w:szCs w:val="20"/>
          <w:lang w:bidi="en-US"/>
        </w:rPr>
        <w:t>systematic</w:t>
      </w:r>
      <w:r w:rsidR="00AE1B41" w:rsidRPr="009E47A6">
        <w:rPr>
          <w:sz w:val="20"/>
          <w:szCs w:val="20"/>
          <w:lang w:bidi="en-US"/>
        </w:rPr>
        <w:t xml:space="preserve"> </w:t>
      </w:r>
      <w:r w:rsidRPr="009E47A6">
        <w:rPr>
          <w:sz w:val="20"/>
          <w:szCs w:val="20"/>
          <w:lang w:bidi="en-US"/>
        </w:rPr>
        <w:t>review.</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&amp; </w:t>
      </w:r>
      <w:r w:rsidRPr="009E47A6">
        <w:rPr>
          <w:sz w:val="20"/>
          <w:szCs w:val="20"/>
          <w:lang w:bidi="en-US"/>
        </w:rPr>
        <w:t>ankle</w:t>
      </w:r>
      <w:r w:rsidR="00AE1B41" w:rsidRPr="009E47A6">
        <w:rPr>
          <w:sz w:val="20"/>
          <w:szCs w:val="20"/>
          <w:lang w:bidi="en-US"/>
        </w:rPr>
        <w:t xml:space="preserve"> </w:t>
      </w:r>
      <w:r w:rsidRPr="009E47A6">
        <w:rPr>
          <w:sz w:val="20"/>
          <w:szCs w:val="20"/>
          <w:lang w:bidi="en-US"/>
        </w:rPr>
        <w:t>international.</w:t>
      </w:r>
      <w:r w:rsidR="00AE1B41" w:rsidRPr="009E47A6">
        <w:rPr>
          <w:sz w:val="20"/>
          <w:szCs w:val="20"/>
          <w:lang w:bidi="en-US"/>
        </w:rPr>
        <w:t xml:space="preserve"> </w:t>
      </w:r>
      <w:r w:rsidRPr="009E47A6">
        <w:rPr>
          <w:sz w:val="20"/>
          <w:szCs w:val="20"/>
          <w:lang w:bidi="en-US"/>
        </w:rPr>
        <w:t>2012;</w:t>
      </w:r>
      <w:r w:rsidR="00AE1B41" w:rsidRPr="009E47A6">
        <w:rPr>
          <w:sz w:val="20"/>
          <w:szCs w:val="20"/>
          <w:lang w:bidi="en-US"/>
        </w:rPr>
        <w:t xml:space="preserve"> </w:t>
      </w:r>
      <w:r w:rsidRPr="009E47A6">
        <w:rPr>
          <w:sz w:val="20"/>
          <w:szCs w:val="20"/>
          <w:lang w:bidi="en-US"/>
        </w:rPr>
        <w:t>33(2):113-21.</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Myerson</w:t>
      </w:r>
      <w:r w:rsidR="00AE1B41" w:rsidRPr="009E47A6">
        <w:rPr>
          <w:bCs/>
          <w:sz w:val="20"/>
          <w:szCs w:val="20"/>
          <w:lang w:bidi="en-US"/>
        </w:rPr>
        <w:t xml:space="preserve"> </w:t>
      </w:r>
      <w:r w:rsidRPr="009E47A6">
        <w:rPr>
          <w:bCs/>
          <w:sz w:val="20"/>
          <w:szCs w:val="20"/>
          <w:lang w:bidi="en-US"/>
        </w:rPr>
        <w:t>MS,</w:t>
      </w:r>
      <w:r w:rsidR="00AE1B41" w:rsidRPr="009E47A6">
        <w:rPr>
          <w:bCs/>
          <w:sz w:val="20"/>
          <w:szCs w:val="20"/>
          <w:lang w:bidi="en-US"/>
        </w:rPr>
        <w:t xml:space="preserve"> </w:t>
      </w:r>
      <w:r w:rsidRPr="009E47A6">
        <w:rPr>
          <w:bCs/>
          <w:sz w:val="20"/>
          <w:szCs w:val="20"/>
          <w:lang w:bidi="en-US"/>
        </w:rPr>
        <w:t>Alvarez</w:t>
      </w:r>
      <w:r w:rsidR="00AE1B41" w:rsidRPr="009E47A6">
        <w:rPr>
          <w:bCs/>
          <w:sz w:val="20"/>
          <w:szCs w:val="20"/>
          <w:lang w:bidi="en-US"/>
        </w:rPr>
        <w:t xml:space="preserve"> </w:t>
      </w:r>
      <w:r w:rsidRPr="009E47A6">
        <w:rPr>
          <w:bCs/>
          <w:sz w:val="20"/>
          <w:szCs w:val="20"/>
          <w:lang w:bidi="en-US"/>
        </w:rPr>
        <w:t>RG,</w:t>
      </w:r>
      <w:r w:rsidR="00AE1B41" w:rsidRPr="009E47A6">
        <w:rPr>
          <w:bCs/>
          <w:sz w:val="20"/>
          <w:szCs w:val="20"/>
          <w:lang w:bidi="en-US"/>
        </w:rPr>
        <w:t xml:space="preserve"> </w:t>
      </w:r>
      <w:r w:rsidRPr="009E47A6">
        <w:rPr>
          <w:bCs/>
          <w:sz w:val="20"/>
          <w:szCs w:val="20"/>
          <w:lang w:bidi="en-US"/>
        </w:rPr>
        <w:t>Lam</w:t>
      </w:r>
      <w:r w:rsidR="00AE1B41" w:rsidRPr="009E47A6">
        <w:rPr>
          <w:bCs/>
          <w:sz w:val="20"/>
          <w:szCs w:val="20"/>
          <w:lang w:bidi="en-US"/>
        </w:rPr>
        <w:t xml:space="preserve"> </w:t>
      </w:r>
      <w:r w:rsidRPr="009E47A6">
        <w:rPr>
          <w:bCs/>
          <w:sz w:val="20"/>
          <w:szCs w:val="20"/>
          <w:lang w:bidi="en-US"/>
        </w:rPr>
        <w:t>PW.</w:t>
      </w:r>
      <w:r w:rsidR="00AE1B41" w:rsidRPr="009E47A6">
        <w:rPr>
          <w:bCs/>
          <w:sz w:val="20"/>
          <w:szCs w:val="20"/>
          <w:lang w:bidi="en-US"/>
        </w:rPr>
        <w:t xml:space="preserve"> </w:t>
      </w:r>
      <w:r w:rsidRPr="009E47A6">
        <w:rPr>
          <w:sz w:val="20"/>
          <w:szCs w:val="20"/>
          <w:lang w:bidi="en-US"/>
        </w:rPr>
        <w:t>Tibiocalcaneal</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for</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management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severe</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hindfoot</w:t>
      </w:r>
      <w:r w:rsidR="00AE1B41" w:rsidRPr="009E47A6">
        <w:rPr>
          <w:sz w:val="20"/>
          <w:szCs w:val="20"/>
          <w:lang w:bidi="en-US"/>
        </w:rPr>
        <w:t xml:space="preserve"> </w:t>
      </w:r>
      <w:r w:rsidRPr="009E47A6">
        <w:rPr>
          <w:sz w:val="20"/>
          <w:szCs w:val="20"/>
          <w:lang w:bidi="en-US"/>
        </w:rPr>
        <w:t>deformities.</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&amp; </w:t>
      </w:r>
      <w:r w:rsidRPr="009E47A6">
        <w:rPr>
          <w:sz w:val="20"/>
          <w:szCs w:val="20"/>
          <w:lang w:bidi="en-US"/>
        </w:rPr>
        <w:t>ankle</w:t>
      </w:r>
      <w:r w:rsidR="00AE1B41" w:rsidRPr="009E47A6">
        <w:rPr>
          <w:sz w:val="20"/>
          <w:szCs w:val="20"/>
          <w:lang w:bidi="en-US"/>
        </w:rPr>
        <w:t xml:space="preserve"> </w:t>
      </w:r>
      <w:r w:rsidRPr="009E47A6">
        <w:rPr>
          <w:sz w:val="20"/>
          <w:szCs w:val="20"/>
          <w:lang w:bidi="en-US"/>
        </w:rPr>
        <w:t>international.</w:t>
      </w:r>
      <w:r w:rsidR="00AE1B41" w:rsidRPr="009E47A6">
        <w:rPr>
          <w:sz w:val="20"/>
          <w:szCs w:val="20"/>
          <w:lang w:bidi="en-US"/>
        </w:rPr>
        <w:t xml:space="preserve"> </w:t>
      </w:r>
      <w:r w:rsidRPr="009E47A6">
        <w:rPr>
          <w:sz w:val="20"/>
          <w:szCs w:val="20"/>
          <w:lang w:bidi="en-US"/>
        </w:rPr>
        <w:t>2000;</w:t>
      </w:r>
      <w:r w:rsidR="00AE1B41" w:rsidRPr="009E47A6">
        <w:rPr>
          <w:sz w:val="20"/>
          <w:szCs w:val="20"/>
          <w:lang w:bidi="en-US"/>
        </w:rPr>
        <w:t xml:space="preserve"> </w:t>
      </w:r>
      <w:r w:rsidRPr="009E47A6">
        <w:rPr>
          <w:sz w:val="20"/>
          <w:szCs w:val="20"/>
          <w:lang w:bidi="en-US"/>
        </w:rPr>
        <w:t>1(8):643-50.</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Paola</w:t>
      </w:r>
      <w:r w:rsidR="00AE1B41" w:rsidRPr="009E47A6">
        <w:rPr>
          <w:bCs/>
          <w:sz w:val="20"/>
          <w:szCs w:val="20"/>
          <w:lang w:bidi="en-US"/>
        </w:rPr>
        <w:t xml:space="preserve"> </w:t>
      </w:r>
      <w:r w:rsidRPr="009E47A6">
        <w:rPr>
          <w:bCs/>
          <w:sz w:val="20"/>
          <w:szCs w:val="20"/>
          <w:lang w:bidi="en-US"/>
        </w:rPr>
        <w:t>LD,</w:t>
      </w:r>
      <w:r w:rsidR="00AE1B41" w:rsidRPr="009E47A6">
        <w:rPr>
          <w:bCs/>
          <w:sz w:val="20"/>
          <w:szCs w:val="20"/>
          <w:lang w:bidi="en-US"/>
        </w:rPr>
        <w:t xml:space="preserve"> </w:t>
      </w:r>
      <w:r w:rsidRPr="009E47A6">
        <w:rPr>
          <w:bCs/>
          <w:sz w:val="20"/>
          <w:szCs w:val="20"/>
          <w:lang w:bidi="en-US"/>
        </w:rPr>
        <w:t>Volpe</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Varotto</w:t>
      </w:r>
      <w:r w:rsidR="00AE1B41" w:rsidRPr="009E47A6">
        <w:rPr>
          <w:bCs/>
          <w:sz w:val="20"/>
          <w:szCs w:val="20"/>
          <w:lang w:bidi="en-US"/>
        </w:rPr>
        <w:t xml:space="preserve"> </w:t>
      </w:r>
      <w:r w:rsidRPr="009E47A6">
        <w:rPr>
          <w:bCs/>
          <w:sz w:val="20"/>
          <w:szCs w:val="20"/>
          <w:lang w:bidi="en-US"/>
        </w:rPr>
        <w:t>D,</w:t>
      </w:r>
      <w:r w:rsidR="00AE1B41" w:rsidRPr="009E47A6">
        <w:rPr>
          <w:bCs/>
          <w:sz w:val="20"/>
          <w:szCs w:val="20"/>
          <w:lang w:bidi="en-US"/>
        </w:rPr>
        <w:t xml:space="preserve"> </w:t>
      </w:r>
      <w:r w:rsidRPr="009E47A6">
        <w:rPr>
          <w:bCs/>
          <w:sz w:val="20"/>
          <w:szCs w:val="20"/>
          <w:lang w:bidi="en-US"/>
        </w:rPr>
        <w:t>Postorino</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Brocco</w:t>
      </w:r>
      <w:r w:rsidR="00AE1B41" w:rsidRPr="009E47A6">
        <w:rPr>
          <w:bCs/>
          <w:sz w:val="20"/>
          <w:szCs w:val="20"/>
          <w:lang w:bidi="en-US"/>
        </w:rPr>
        <w:t xml:space="preserve"> </w:t>
      </w:r>
      <w:r w:rsidRPr="009E47A6">
        <w:rPr>
          <w:bCs/>
          <w:sz w:val="20"/>
          <w:szCs w:val="20"/>
          <w:lang w:bidi="en-US"/>
        </w:rPr>
        <w:t>E,</w:t>
      </w:r>
      <w:r w:rsidR="00AE1B41" w:rsidRPr="009E47A6">
        <w:rPr>
          <w:bCs/>
          <w:sz w:val="20"/>
          <w:szCs w:val="20"/>
          <w:lang w:bidi="en-US"/>
        </w:rPr>
        <w:t xml:space="preserve"> </w:t>
      </w:r>
      <w:r w:rsidRPr="009E47A6">
        <w:rPr>
          <w:bCs/>
          <w:sz w:val="20"/>
          <w:szCs w:val="20"/>
          <w:lang w:bidi="en-US"/>
        </w:rPr>
        <w:t>Senesi</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Merico</w:t>
      </w:r>
      <w:r w:rsidR="00AE1B41" w:rsidRPr="009E47A6">
        <w:rPr>
          <w:bCs/>
          <w:sz w:val="20"/>
          <w:szCs w:val="20"/>
          <w:lang w:bidi="en-US"/>
        </w:rPr>
        <w:t xml:space="preserve"> </w:t>
      </w:r>
      <w:r w:rsidRPr="009E47A6">
        <w:rPr>
          <w:bCs/>
          <w:sz w:val="20"/>
          <w:szCs w:val="20"/>
          <w:lang w:bidi="en-US"/>
        </w:rPr>
        <w:t>M,</w:t>
      </w:r>
      <w:r w:rsidR="00AE1B41" w:rsidRPr="009E47A6">
        <w:rPr>
          <w:bCs/>
          <w:sz w:val="20"/>
          <w:szCs w:val="20"/>
          <w:lang w:bidi="en-US"/>
        </w:rPr>
        <w:t xml:space="preserve"> </w:t>
      </w:r>
      <w:r w:rsidRPr="009E47A6">
        <w:rPr>
          <w:bCs/>
          <w:sz w:val="20"/>
          <w:szCs w:val="20"/>
          <w:lang w:bidi="en-US"/>
        </w:rPr>
        <w:t>De</w:t>
      </w:r>
      <w:r w:rsidR="00AE1B41" w:rsidRPr="009E47A6">
        <w:rPr>
          <w:bCs/>
          <w:sz w:val="20"/>
          <w:szCs w:val="20"/>
          <w:lang w:bidi="en-US"/>
        </w:rPr>
        <w:t xml:space="preserve"> </w:t>
      </w:r>
      <w:r w:rsidRPr="009E47A6">
        <w:rPr>
          <w:bCs/>
          <w:sz w:val="20"/>
          <w:szCs w:val="20"/>
          <w:lang w:bidi="en-US"/>
        </w:rPr>
        <w:t>Vido</w:t>
      </w:r>
      <w:r w:rsidR="00AE1B41" w:rsidRPr="009E47A6">
        <w:rPr>
          <w:bCs/>
          <w:sz w:val="20"/>
          <w:szCs w:val="20"/>
          <w:lang w:bidi="en-US"/>
        </w:rPr>
        <w:t xml:space="preserve"> </w:t>
      </w:r>
      <w:r w:rsidRPr="009E47A6">
        <w:rPr>
          <w:bCs/>
          <w:sz w:val="20"/>
          <w:szCs w:val="20"/>
          <w:lang w:bidi="en-US"/>
        </w:rPr>
        <w:t>D,</w:t>
      </w:r>
      <w:r w:rsidR="00AE1B41" w:rsidRPr="009E47A6">
        <w:rPr>
          <w:bCs/>
          <w:sz w:val="20"/>
          <w:szCs w:val="20"/>
          <w:lang w:bidi="en-US"/>
        </w:rPr>
        <w:t xml:space="preserve"> </w:t>
      </w:r>
      <w:r w:rsidRPr="009E47A6">
        <w:rPr>
          <w:bCs/>
          <w:sz w:val="20"/>
          <w:szCs w:val="20"/>
          <w:lang w:bidi="en-US"/>
        </w:rPr>
        <w:t>Da</w:t>
      </w:r>
      <w:r w:rsidR="00AE1B41" w:rsidRPr="009E47A6">
        <w:rPr>
          <w:bCs/>
          <w:sz w:val="20"/>
          <w:szCs w:val="20"/>
          <w:lang w:bidi="en-US"/>
        </w:rPr>
        <w:t xml:space="preserve"> </w:t>
      </w:r>
      <w:r w:rsidRPr="009E47A6">
        <w:rPr>
          <w:bCs/>
          <w:sz w:val="20"/>
          <w:szCs w:val="20"/>
          <w:lang w:bidi="en-US"/>
        </w:rPr>
        <w:t>Ros</w:t>
      </w:r>
      <w:r w:rsidR="00AE1B41" w:rsidRPr="009E47A6">
        <w:rPr>
          <w:bCs/>
          <w:sz w:val="20"/>
          <w:szCs w:val="20"/>
          <w:lang w:bidi="en-US"/>
        </w:rPr>
        <w:t xml:space="preserve"> </w:t>
      </w:r>
      <w:r w:rsidRPr="009E47A6">
        <w:rPr>
          <w:bCs/>
          <w:sz w:val="20"/>
          <w:szCs w:val="20"/>
          <w:lang w:bidi="en-US"/>
        </w:rPr>
        <w:t>R,</w:t>
      </w:r>
      <w:r w:rsidR="00AE1B41" w:rsidRPr="009E47A6">
        <w:rPr>
          <w:bCs/>
          <w:sz w:val="20"/>
          <w:szCs w:val="20"/>
          <w:lang w:bidi="en-US"/>
        </w:rPr>
        <w:t xml:space="preserve"> </w:t>
      </w:r>
      <w:r w:rsidRPr="009E47A6">
        <w:rPr>
          <w:bCs/>
          <w:sz w:val="20"/>
          <w:szCs w:val="20"/>
          <w:lang w:bidi="en-US"/>
        </w:rPr>
        <w:t>Assaloni</w:t>
      </w:r>
      <w:r w:rsidR="00AE1B41" w:rsidRPr="009E47A6">
        <w:rPr>
          <w:bCs/>
          <w:sz w:val="20"/>
          <w:szCs w:val="20"/>
          <w:lang w:bidi="en-US"/>
        </w:rPr>
        <w:t xml:space="preserve"> </w:t>
      </w:r>
      <w:r w:rsidRPr="009E47A6">
        <w:rPr>
          <w:bCs/>
          <w:sz w:val="20"/>
          <w:szCs w:val="20"/>
          <w:lang w:bidi="en-US"/>
        </w:rPr>
        <w:t>R.</w:t>
      </w:r>
      <w:r w:rsidR="00AE1B41" w:rsidRPr="009E47A6">
        <w:rPr>
          <w:bCs/>
          <w:sz w:val="20"/>
          <w:szCs w:val="20"/>
          <w:lang w:bidi="en-US"/>
        </w:rPr>
        <w:t xml:space="preserve"> </w:t>
      </w:r>
      <w:r w:rsidRPr="009E47A6">
        <w:rPr>
          <w:sz w:val="20"/>
          <w:szCs w:val="20"/>
          <w:lang w:bidi="en-US"/>
        </w:rPr>
        <w:t>Use</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a</w:t>
      </w:r>
      <w:r w:rsidR="00AE1B41" w:rsidRPr="009E47A6">
        <w:rPr>
          <w:sz w:val="20"/>
          <w:szCs w:val="20"/>
          <w:lang w:bidi="en-US"/>
        </w:rPr>
        <w:t xml:space="preserve"> </w:t>
      </w:r>
      <w:r w:rsidRPr="009E47A6">
        <w:rPr>
          <w:sz w:val="20"/>
          <w:szCs w:val="20"/>
          <w:lang w:bidi="en-US"/>
        </w:rPr>
        <w:t>retrograde</w:t>
      </w:r>
      <w:r w:rsidR="00AE1B41" w:rsidRPr="009E47A6">
        <w:rPr>
          <w:sz w:val="20"/>
          <w:szCs w:val="20"/>
          <w:lang w:bidi="en-US"/>
        </w:rPr>
        <w:t xml:space="preserve"> </w:t>
      </w:r>
      <w:r w:rsidRPr="009E47A6">
        <w:rPr>
          <w:sz w:val="20"/>
          <w:szCs w:val="20"/>
          <w:lang w:bidi="en-US"/>
        </w:rPr>
        <w:t>nail</w:t>
      </w:r>
      <w:r w:rsidR="00AE1B41" w:rsidRPr="009E47A6">
        <w:rPr>
          <w:sz w:val="20"/>
          <w:szCs w:val="20"/>
          <w:lang w:bidi="en-US"/>
        </w:rPr>
        <w:t xml:space="preserve"> </w:t>
      </w:r>
      <w:r w:rsidRPr="009E47A6">
        <w:rPr>
          <w:sz w:val="20"/>
          <w:szCs w:val="20"/>
          <w:lang w:bidi="en-US"/>
        </w:rPr>
        <w:t>for</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in</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neuroarthropathy:</w:t>
      </w:r>
      <w:r w:rsidR="00AE1B41" w:rsidRPr="009E47A6">
        <w:rPr>
          <w:sz w:val="20"/>
          <w:szCs w:val="20"/>
          <w:lang w:bidi="en-US"/>
        </w:rPr>
        <w:t xml:space="preserve"> </w:t>
      </w:r>
      <w:r w:rsidRPr="009E47A6">
        <w:rPr>
          <w:sz w:val="20"/>
          <w:szCs w:val="20"/>
          <w:lang w:bidi="en-US"/>
        </w:rPr>
        <w:t>a</w:t>
      </w:r>
      <w:r w:rsidR="00AE1B41" w:rsidRPr="009E47A6">
        <w:rPr>
          <w:sz w:val="20"/>
          <w:szCs w:val="20"/>
          <w:lang w:bidi="en-US"/>
        </w:rPr>
        <w:t xml:space="preserve"> </w:t>
      </w:r>
      <w:r w:rsidRPr="009E47A6">
        <w:rPr>
          <w:sz w:val="20"/>
          <w:szCs w:val="20"/>
          <w:lang w:bidi="en-US"/>
        </w:rPr>
        <w:t>limb</w:t>
      </w:r>
      <w:r w:rsidR="00AE1B41" w:rsidRPr="009E47A6">
        <w:rPr>
          <w:sz w:val="20"/>
          <w:szCs w:val="20"/>
          <w:lang w:bidi="en-US"/>
        </w:rPr>
        <w:t xml:space="preserve"> </w:t>
      </w:r>
      <w:r w:rsidRPr="009E47A6">
        <w:rPr>
          <w:sz w:val="20"/>
          <w:szCs w:val="20"/>
          <w:lang w:bidi="en-US"/>
        </w:rPr>
        <w:t>salvage</w:t>
      </w:r>
      <w:r w:rsidR="00AE1B41" w:rsidRPr="009E47A6">
        <w:rPr>
          <w:sz w:val="20"/>
          <w:szCs w:val="20"/>
          <w:lang w:bidi="en-US"/>
        </w:rPr>
        <w:t xml:space="preserve"> </w:t>
      </w:r>
      <w:r w:rsidRPr="009E47A6">
        <w:rPr>
          <w:sz w:val="20"/>
          <w:szCs w:val="20"/>
          <w:lang w:bidi="en-US"/>
        </w:rPr>
        <w:t>procedure.</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&amp; </w:t>
      </w:r>
      <w:r w:rsidRPr="009E47A6">
        <w:rPr>
          <w:sz w:val="20"/>
          <w:szCs w:val="20"/>
          <w:lang w:bidi="en-US"/>
        </w:rPr>
        <w:t>ankle</w:t>
      </w:r>
      <w:r w:rsidR="00AE1B41" w:rsidRPr="009E47A6">
        <w:rPr>
          <w:sz w:val="20"/>
          <w:szCs w:val="20"/>
          <w:lang w:bidi="en-US"/>
        </w:rPr>
        <w:t xml:space="preserve"> </w:t>
      </w:r>
      <w:r w:rsidRPr="009E47A6">
        <w:rPr>
          <w:sz w:val="20"/>
          <w:szCs w:val="20"/>
          <w:lang w:bidi="en-US"/>
        </w:rPr>
        <w:t>international.</w:t>
      </w:r>
      <w:r w:rsidR="00AE1B41" w:rsidRPr="009E47A6">
        <w:rPr>
          <w:sz w:val="20"/>
          <w:szCs w:val="20"/>
          <w:lang w:bidi="en-US"/>
        </w:rPr>
        <w:t xml:space="preserve"> </w:t>
      </w:r>
      <w:r w:rsidRPr="009E47A6">
        <w:rPr>
          <w:sz w:val="20"/>
          <w:szCs w:val="20"/>
          <w:lang w:bidi="en-US"/>
        </w:rPr>
        <w:t>2007;</w:t>
      </w:r>
      <w:r w:rsidR="00AE1B41" w:rsidRPr="009E47A6">
        <w:rPr>
          <w:sz w:val="20"/>
          <w:szCs w:val="20"/>
          <w:lang w:bidi="en-US"/>
        </w:rPr>
        <w:t xml:space="preserve"> </w:t>
      </w:r>
      <w:r w:rsidRPr="009E47A6">
        <w:rPr>
          <w:sz w:val="20"/>
          <w:szCs w:val="20"/>
          <w:lang w:bidi="en-US"/>
        </w:rPr>
        <w:t>8(9):967-70.</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Pawar</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Dikmen</w:t>
      </w:r>
      <w:r w:rsidR="00AE1B41" w:rsidRPr="009E47A6">
        <w:rPr>
          <w:bCs/>
          <w:sz w:val="20"/>
          <w:szCs w:val="20"/>
          <w:lang w:bidi="en-US"/>
        </w:rPr>
        <w:t xml:space="preserve"> </w:t>
      </w:r>
      <w:r w:rsidRPr="009E47A6">
        <w:rPr>
          <w:bCs/>
          <w:sz w:val="20"/>
          <w:szCs w:val="20"/>
          <w:lang w:bidi="en-US"/>
        </w:rPr>
        <w:t>G,</w:t>
      </w:r>
      <w:r w:rsidR="00AE1B41" w:rsidRPr="009E47A6">
        <w:rPr>
          <w:bCs/>
          <w:sz w:val="20"/>
          <w:szCs w:val="20"/>
          <w:lang w:bidi="en-US"/>
        </w:rPr>
        <w:t xml:space="preserve"> </w:t>
      </w:r>
      <w:r w:rsidRPr="009E47A6">
        <w:rPr>
          <w:bCs/>
          <w:sz w:val="20"/>
          <w:szCs w:val="20"/>
          <w:lang w:bidi="en-US"/>
        </w:rPr>
        <w:t>Fragomen</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Rozbruch</w:t>
      </w:r>
      <w:r w:rsidR="00AE1B41" w:rsidRPr="009E47A6">
        <w:rPr>
          <w:bCs/>
          <w:sz w:val="20"/>
          <w:szCs w:val="20"/>
          <w:lang w:bidi="en-US"/>
        </w:rPr>
        <w:t xml:space="preserve"> </w:t>
      </w:r>
      <w:r w:rsidRPr="009E47A6">
        <w:rPr>
          <w:bCs/>
          <w:sz w:val="20"/>
          <w:szCs w:val="20"/>
          <w:lang w:bidi="en-US"/>
        </w:rPr>
        <w:t>SR.</w:t>
      </w:r>
      <w:r w:rsidR="00AE1B41" w:rsidRPr="009E47A6">
        <w:rPr>
          <w:bCs/>
          <w:sz w:val="20"/>
          <w:szCs w:val="20"/>
          <w:lang w:bidi="en-US"/>
        </w:rPr>
        <w:t xml:space="preserve"> </w:t>
      </w:r>
      <w:r w:rsidRPr="009E47A6">
        <w:rPr>
          <w:sz w:val="20"/>
          <w:szCs w:val="20"/>
          <w:lang w:bidi="en-US"/>
        </w:rPr>
        <w:t>Antibiotic-coated</w:t>
      </w:r>
      <w:r w:rsidR="00AE1B41" w:rsidRPr="009E47A6">
        <w:rPr>
          <w:sz w:val="20"/>
          <w:szCs w:val="20"/>
          <w:lang w:bidi="en-US"/>
        </w:rPr>
        <w:t xml:space="preserve"> </w:t>
      </w:r>
      <w:r w:rsidRPr="009E47A6">
        <w:rPr>
          <w:sz w:val="20"/>
          <w:szCs w:val="20"/>
          <w:lang w:bidi="en-US"/>
        </w:rPr>
        <w:t>nail</w:t>
      </w:r>
      <w:r w:rsidR="00AE1B41" w:rsidRPr="009E47A6">
        <w:rPr>
          <w:sz w:val="20"/>
          <w:szCs w:val="20"/>
          <w:lang w:bidi="en-US"/>
        </w:rPr>
        <w:t xml:space="preserve"> </w:t>
      </w:r>
      <w:r w:rsidRPr="009E47A6">
        <w:rPr>
          <w:sz w:val="20"/>
          <w:szCs w:val="20"/>
          <w:lang w:bidi="en-US"/>
        </w:rPr>
        <w:t>for</w:t>
      </w:r>
      <w:r w:rsidR="00AE1B41" w:rsidRPr="009E47A6">
        <w:rPr>
          <w:sz w:val="20"/>
          <w:szCs w:val="20"/>
          <w:lang w:bidi="en-US"/>
        </w:rPr>
        <w:t xml:space="preserve"> </w:t>
      </w:r>
      <w:r w:rsidRPr="009E47A6">
        <w:rPr>
          <w:sz w:val="20"/>
          <w:szCs w:val="20"/>
          <w:lang w:bidi="en-US"/>
        </w:rPr>
        <w:t>fusion</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infected</w:t>
      </w:r>
      <w:r w:rsidR="00AE1B41" w:rsidRPr="009E47A6">
        <w:rPr>
          <w:sz w:val="20"/>
          <w:szCs w:val="20"/>
          <w:lang w:bidi="en-US"/>
        </w:rPr>
        <w:t xml:space="preserve"> </w:t>
      </w:r>
      <w:r w:rsidRPr="009E47A6">
        <w:rPr>
          <w:sz w:val="20"/>
          <w:szCs w:val="20"/>
          <w:lang w:bidi="en-US"/>
        </w:rPr>
        <w:lastRenderedPageBreak/>
        <w:t>Charcot</w:t>
      </w:r>
      <w:r w:rsidR="00AE1B41" w:rsidRPr="009E47A6">
        <w:rPr>
          <w:sz w:val="20"/>
          <w:szCs w:val="20"/>
          <w:lang w:bidi="en-US"/>
        </w:rPr>
        <w:t xml:space="preserve"> </w:t>
      </w:r>
      <w:r w:rsidRPr="009E47A6">
        <w:rPr>
          <w:sz w:val="20"/>
          <w:szCs w:val="20"/>
          <w:lang w:bidi="en-US"/>
        </w:rPr>
        <w:t>ankles.</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&amp; </w:t>
      </w:r>
      <w:r w:rsidRPr="009E47A6">
        <w:rPr>
          <w:sz w:val="20"/>
          <w:szCs w:val="20"/>
          <w:lang w:bidi="en-US"/>
        </w:rPr>
        <w:t>ankle</w:t>
      </w:r>
      <w:r w:rsidR="00AE1B41" w:rsidRPr="009E47A6">
        <w:rPr>
          <w:sz w:val="20"/>
          <w:szCs w:val="20"/>
          <w:lang w:bidi="en-US"/>
        </w:rPr>
        <w:t xml:space="preserve"> </w:t>
      </w:r>
      <w:r w:rsidRPr="009E47A6">
        <w:rPr>
          <w:sz w:val="20"/>
          <w:szCs w:val="20"/>
          <w:lang w:bidi="en-US"/>
        </w:rPr>
        <w:t>international.</w:t>
      </w:r>
      <w:r w:rsidR="00AE1B41" w:rsidRPr="009E47A6">
        <w:rPr>
          <w:sz w:val="20"/>
          <w:szCs w:val="20"/>
          <w:lang w:bidi="en-US"/>
        </w:rPr>
        <w:t xml:space="preserve"> </w:t>
      </w:r>
      <w:r w:rsidRPr="009E47A6">
        <w:rPr>
          <w:sz w:val="20"/>
          <w:szCs w:val="20"/>
          <w:lang w:bidi="en-US"/>
        </w:rPr>
        <w:t>2013;</w:t>
      </w:r>
      <w:r w:rsidR="00AE1B41" w:rsidRPr="009E47A6">
        <w:rPr>
          <w:sz w:val="20"/>
          <w:szCs w:val="20"/>
          <w:lang w:bidi="en-US"/>
        </w:rPr>
        <w:t xml:space="preserve"> </w:t>
      </w:r>
      <w:r w:rsidRPr="009E47A6">
        <w:rPr>
          <w:sz w:val="20"/>
          <w:szCs w:val="20"/>
          <w:lang w:bidi="en-US"/>
        </w:rPr>
        <w:t>34(1):80-4.</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bCs/>
          <w:sz w:val="20"/>
          <w:szCs w:val="20"/>
          <w:lang w:bidi="en-US"/>
        </w:rPr>
        <w:t>Pinzur</w:t>
      </w:r>
      <w:r w:rsidR="00AE1B41" w:rsidRPr="009E47A6">
        <w:rPr>
          <w:bCs/>
          <w:sz w:val="20"/>
          <w:szCs w:val="20"/>
          <w:lang w:bidi="en-US"/>
        </w:rPr>
        <w:t xml:space="preserve"> </w:t>
      </w:r>
      <w:r w:rsidRPr="009E47A6">
        <w:rPr>
          <w:bCs/>
          <w:sz w:val="20"/>
          <w:szCs w:val="20"/>
          <w:lang w:bidi="en-US"/>
        </w:rPr>
        <w:t>MS</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Kelikian</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Charcot</w:t>
      </w:r>
      <w:r w:rsidR="00AE1B41" w:rsidRPr="009E47A6">
        <w:rPr>
          <w:bCs/>
          <w:sz w:val="20"/>
          <w:szCs w:val="20"/>
          <w:lang w:bidi="en-US"/>
        </w:rPr>
        <w:t xml:space="preserve"> </w:t>
      </w:r>
      <w:r w:rsidRPr="009E47A6">
        <w:rPr>
          <w:bCs/>
          <w:sz w:val="20"/>
          <w:szCs w:val="20"/>
          <w:lang w:bidi="en-US"/>
        </w:rPr>
        <w:t>ankle</w:t>
      </w:r>
      <w:r w:rsidR="00AE1B41" w:rsidRPr="009E47A6">
        <w:rPr>
          <w:bCs/>
          <w:sz w:val="20"/>
          <w:szCs w:val="20"/>
          <w:lang w:bidi="en-US"/>
        </w:rPr>
        <w:t xml:space="preserve"> </w:t>
      </w:r>
      <w:r w:rsidRPr="009E47A6">
        <w:rPr>
          <w:bCs/>
          <w:sz w:val="20"/>
          <w:szCs w:val="20"/>
          <w:lang w:bidi="en-US"/>
        </w:rPr>
        <w:t>fusion</w:t>
      </w:r>
      <w:r w:rsidR="00AE1B41" w:rsidRPr="009E47A6">
        <w:rPr>
          <w:bCs/>
          <w:sz w:val="20"/>
          <w:szCs w:val="20"/>
          <w:lang w:bidi="en-US"/>
        </w:rPr>
        <w:t xml:space="preserve"> </w:t>
      </w:r>
      <w:r w:rsidRPr="009E47A6">
        <w:rPr>
          <w:bCs/>
          <w:sz w:val="20"/>
          <w:szCs w:val="20"/>
          <w:lang w:bidi="en-US"/>
        </w:rPr>
        <w:t>with</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retrograde</w:t>
      </w:r>
      <w:r w:rsidR="00AE1B41" w:rsidRPr="009E47A6">
        <w:rPr>
          <w:bCs/>
          <w:sz w:val="20"/>
          <w:szCs w:val="20"/>
          <w:lang w:bidi="en-US"/>
        </w:rPr>
        <w:t xml:space="preserve"> </w:t>
      </w:r>
      <w:r w:rsidRPr="009E47A6">
        <w:rPr>
          <w:bCs/>
          <w:sz w:val="20"/>
          <w:szCs w:val="20"/>
          <w:lang w:bidi="en-US"/>
        </w:rPr>
        <w:t>locked</w:t>
      </w:r>
      <w:r w:rsidR="00AE1B41" w:rsidRPr="009E47A6">
        <w:rPr>
          <w:bCs/>
          <w:sz w:val="20"/>
          <w:szCs w:val="20"/>
          <w:lang w:bidi="en-US"/>
        </w:rPr>
        <w:t xml:space="preserve"> </w:t>
      </w:r>
      <w:r w:rsidRPr="009E47A6">
        <w:rPr>
          <w:bCs/>
          <w:sz w:val="20"/>
          <w:szCs w:val="20"/>
          <w:lang w:bidi="en-US"/>
        </w:rPr>
        <w:t>intramedullary</w:t>
      </w:r>
      <w:r w:rsidR="00AE1B41" w:rsidRPr="009E47A6">
        <w:rPr>
          <w:bCs/>
          <w:sz w:val="20"/>
          <w:szCs w:val="20"/>
          <w:lang w:bidi="en-US"/>
        </w:rPr>
        <w:t xml:space="preserve"> </w:t>
      </w:r>
      <w:r w:rsidRPr="009E47A6">
        <w:rPr>
          <w:bCs/>
          <w:sz w:val="20"/>
          <w:szCs w:val="20"/>
          <w:lang w:bidi="en-US"/>
        </w:rPr>
        <w:t>nail.</w:t>
      </w:r>
      <w:r w:rsidR="00AE1B41" w:rsidRPr="009E47A6">
        <w:rPr>
          <w:bCs/>
          <w:sz w:val="20"/>
          <w:szCs w:val="20"/>
          <w:lang w:bidi="en-US"/>
        </w:rPr>
        <w:t xml:space="preserve"> </w:t>
      </w:r>
      <w:r w:rsidRPr="009E47A6">
        <w:rPr>
          <w:bCs/>
          <w:sz w:val="20"/>
          <w:szCs w:val="20"/>
          <w:lang w:bidi="en-US"/>
        </w:rPr>
        <w:t>Foot</w:t>
      </w:r>
      <w:r w:rsidR="00AE1B41" w:rsidRPr="009E47A6">
        <w:rPr>
          <w:bCs/>
          <w:sz w:val="20"/>
          <w:szCs w:val="20"/>
          <w:lang w:bidi="en-US"/>
        </w:rPr>
        <w:t xml:space="preserve"> </w:t>
      </w:r>
      <w:r w:rsidRPr="009E47A6">
        <w:rPr>
          <w:bCs/>
          <w:sz w:val="20"/>
          <w:szCs w:val="20"/>
          <w:lang w:bidi="en-US"/>
        </w:rPr>
        <w:t>Ankle</w:t>
      </w:r>
      <w:r w:rsidR="00AE1B41" w:rsidRPr="009E47A6">
        <w:rPr>
          <w:bCs/>
          <w:sz w:val="20"/>
          <w:szCs w:val="20"/>
          <w:lang w:bidi="en-US"/>
        </w:rPr>
        <w:t xml:space="preserve"> </w:t>
      </w:r>
      <w:r w:rsidRPr="009E47A6">
        <w:rPr>
          <w:bCs/>
          <w:sz w:val="20"/>
          <w:szCs w:val="20"/>
          <w:lang w:bidi="en-US"/>
        </w:rPr>
        <w:t>Int.</w:t>
      </w:r>
      <w:r w:rsidR="00AE1B41" w:rsidRPr="009E47A6">
        <w:rPr>
          <w:bCs/>
          <w:sz w:val="20"/>
          <w:szCs w:val="20"/>
          <w:lang w:bidi="en-US"/>
        </w:rPr>
        <w:t xml:space="preserve"> </w:t>
      </w:r>
      <w:r w:rsidRPr="009E47A6">
        <w:rPr>
          <w:bCs/>
          <w:sz w:val="20"/>
          <w:szCs w:val="20"/>
          <w:lang w:bidi="en-US"/>
        </w:rPr>
        <w:t>1997;</w:t>
      </w:r>
      <w:r w:rsidR="00AE1B41" w:rsidRPr="009E47A6">
        <w:rPr>
          <w:bCs/>
          <w:sz w:val="20"/>
          <w:szCs w:val="20"/>
          <w:lang w:bidi="en-US"/>
        </w:rPr>
        <w:t xml:space="preserve"> </w:t>
      </w:r>
      <w:r w:rsidRPr="009E47A6">
        <w:rPr>
          <w:bCs/>
          <w:sz w:val="20"/>
          <w:szCs w:val="20"/>
          <w:lang w:bidi="en-US"/>
        </w:rPr>
        <w:t>18:699-704.</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bCs/>
          <w:sz w:val="20"/>
          <w:szCs w:val="20"/>
          <w:lang w:bidi="en-US"/>
        </w:rPr>
        <w:t>Pinzur</w:t>
      </w:r>
      <w:r w:rsidR="00AE1B41" w:rsidRPr="009E47A6">
        <w:rPr>
          <w:bCs/>
          <w:sz w:val="20"/>
          <w:szCs w:val="20"/>
          <w:lang w:bidi="en-US"/>
        </w:rPr>
        <w:t xml:space="preserve"> </w:t>
      </w:r>
      <w:r w:rsidRPr="009E47A6">
        <w:rPr>
          <w:bCs/>
          <w:sz w:val="20"/>
          <w:szCs w:val="20"/>
          <w:lang w:bidi="en-US"/>
        </w:rPr>
        <w:t>MS</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Kelikian</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Charcot</w:t>
      </w:r>
      <w:r w:rsidR="00AE1B41" w:rsidRPr="009E47A6">
        <w:rPr>
          <w:bCs/>
          <w:sz w:val="20"/>
          <w:szCs w:val="20"/>
          <w:lang w:bidi="en-US"/>
        </w:rPr>
        <w:t xml:space="preserve"> </w:t>
      </w:r>
      <w:r w:rsidRPr="009E47A6">
        <w:rPr>
          <w:bCs/>
          <w:sz w:val="20"/>
          <w:szCs w:val="20"/>
          <w:lang w:bidi="en-US"/>
        </w:rPr>
        <w:t>ankle</w:t>
      </w:r>
      <w:r w:rsidR="00AE1B41" w:rsidRPr="009E47A6">
        <w:rPr>
          <w:bCs/>
          <w:sz w:val="20"/>
          <w:szCs w:val="20"/>
          <w:lang w:bidi="en-US"/>
        </w:rPr>
        <w:t xml:space="preserve"> </w:t>
      </w:r>
      <w:r w:rsidRPr="009E47A6">
        <w:rPr>
          <w:bCs/>
          <w:sz w:val="20"/>
          <w:szCs w:val="20"/>
          <w:lang w:bidi="en-US"/>
        </w:rPr>
        <w:t>fusion</w:t>
      </w:r>
      <w:r w:rsidR="00AE1B41" w:rsidRPr="009E47A6">
        <w:rPr>
          <w:bCs/>
          <w:sz w:val="20"/>
          <w:szCs w:val="20"/>
          <w:lang w:bidi="en-US"/>
        </w:rPr>
        <w:t xml:space="preserve"> </w:t>
      </w:r>
      <w:r w:rsidRPr="009E47A6">
        <w:rPr>
          <w:bCs/>
          <w:sz w:val="20"/>
          <w:szCs w:val="20"/>
          <w:lang w:bidi="en-US"/>
        </w:rPr>
        <w:t>with</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retrograde</w:t>
      </w:r>
      <w:r w:rsidR="00AE1B41" w:rsidRPr="009E47A6">
        <w:rPr>
          <w:bCs/>
          <w:sz w:val="20"/>
          <w:szCs w:val="20"/>
          <w:lang w:bidi="en-US"/>
        </w:rPr>
        <w:t xml:space="preserve"> </w:t>
      </w:r>
      <w:r w:rsidRPr="009E47A6">
        <w:rPr>
          <w:bCs/>
          <w:sz w:val="20"/>
          <w:szCs w:val="20"/>
          <w:lang w:bidi="en-US"/>
        </w:rPr>
        <w:t>locked</w:t>
      </w:r>
      <w:r w:rsidR="00AE1B41" w:rsidRPr="009E47A6">
        <w:rPr>
          <w:bCs/>
          <w:sz w:val="20"/>
          <w:szCs w:val="20"/>
          <w:lang w:bidi="en-US"/>
        </w:rPr>
        <w:t xml:space="preserve"> </w:t>
      </w:r>
      <w:r w:rsidRPr="009E47A6">
        <w:rPr>
          <w:bCs/>
          <w:sz w:val="20"/>
          <w:szCs w:val="20"/>
          <w:lang w:bidi="en-US"/>
        </w:rPr>
        <w:t>intramedullary</w:t>
      </w:r>
      <w:r w:rsidR="00AE1B41" w:rsidRPr="009E47A6">
        <w:rPr>
          <w:bCs/>
          <w:sz w:val="20"/>
          <w:szCs w:val="20"/>
          <w:lang w:bidi="en-US"/>
        </w:rPr>
        <w:t xml:space="preserve"> </w:t>
      </w:r>
      <w:r w:rsidRPr="009E47A6">
        <w:rPr>
          <w:bCs/>
          <w:sz w:val="20"/>
          <w:szCs w:val="20"/>
          <w:lang w:bidi="en-US"/>
        </w:rPr>
        <w:t>nail.</w:t>
      </w:r>
      <w:r w:rsidR="00AE1B41" w:rsidRPr="009E47A6">
        <w:rPr>
          <w:bCs/>
          <w:sz w:val="20"/>
          <w:szCs w:val="20"/>
          <w:lang w:bidi="en-US"/>
        </w:rPr>
        <w:t xml:space="preserve"> </w:t>
      </w:r>
      <w:r w:rsidRPr="009E47A6">
        <w:rPr>
          <w:bCs/>
          <w:sz w:val="20"/>
          <w:szCs w:val="20"/>
          <w:lang w:bidi="en-US"/>
        </w:rPr>
        <w:t>Foot</w:t>
      </w:r>
      <w:r w:rsidR="00AE1B41" w:rsidRPr="009E47A6">
        <w:rPr>
          <w:bCs/>
          <w:sz w:val="20"/>
          <w:szCs w:val="20"/>
          <w:lang w:bidi="en-US"/>
        </w:rPr>
        <w:t xml:space="preserve"> </w:t>
      </w:r>
      <w:r w:rsidRPr="009E47A6">
        <w:rPr>
          <w:bCs/>
          <w:sz w:val="20"/>
          <w:szCs w:val="20"/>
          <w:lang w:bidi="en-US"/>
        </w:rPr>
        <w:t>Ankle</w:t>
      </w:r>
      <w:r w:rsidR="00AE1B41" w:rsidRPr="009E47A6">
        <w:rPr>
          <w:bCs/>
          <w:sz w:val="20"/>
          <w:szCs w:val="20"/>
          <w:lang w:bidi="en-US"/>
        </w:rPr>
        <w:t xml:space="preserve"> </w:t>
      </w:r>
      <w:r w:rsidRPr="009E47A6">
        <w:rPr>
          <w:bCs/>
          <w:sz w:val="20"/>
          <w:szCs w:val="20"/>
          <w:lang w:bidi="en-US"/>
        </w:rPr>
        <w:t>Int.</w:t>
      </w:r>
      <w:r w:rsidR="00AE1B41" w:rsidRPr="009E47A6">
        <w:rPr>
          <w:bCs/>
          <w:sz w:val="20"/>
          <w:szCs w:val="20"/>
          <w:lang w:bidi="en-US"/>
        </w:rPr>
        <w:t xml:space="preserve"> </w:t>
      </w:r>
      <w:r w:rsidRPr="009E47A6">
        <w:rPr>
          <w:bCs/>
          <w:sz w:val="20"/>
          <w:szCs w:val="20"/>
          <w:lang w:bidi="en-US"/>
        </w:rPr>
        <w:t>1997;</w:t>
      </w:r>
      <w:r w:rsidR="00AE1B41" w:rsidRPr="009E47A6">
        <w:rPr>
          <w:bCs/>
          <w:sz w:val="20"/>
          <w:szCs w:val="20"/>
          <w:lang w:bidi="en-US"/>
        </w:rPr>
        <w:t xml:space="preserve"> </w:t>
      </w:r>
      <w:r w:rsidRPr="009E47A6">
        <w:rPr>
          <w:bCs/>
          <w:sz w:val="20"/>
          <w:szCs w:val="20"/>
          <w:lang w:bidi="en-US"/>
        </w:rPr>
        <w:t>18:699-704.</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bCs/>
          <w:sz w:val="20"/>
          <w:szCs w:val="20"/>
          <w:lang w:bidi="en-US"/>
        </w:rPr>
        <w:t>Pinzur</w:t>
      </w:r>
      <w:r w:rsidR="00AE1B41" w:rsidRPr="009E47A6">
        <w:rPr>
          <w:bCs/>
          <w:sz w:val="20"/>
          <w:szCs w:val="20"/>
          <w:lang w:bidi="en-US"/>
        </w:rPr>
        <w:t xml:space="preserve"> </w:t>
      </w:r>
      <w:r w:rsidRPr="009E47A6">
        <w:rPr>
          <w:bCs/>
          <w:sz w:val="20"/>
          <w:szCs w:val="20"/>
          <w:lang w:bidi="en-US"/>
        </w:rPr>
        <w:t>MS.</w:t>
      </w:r>
      <w:r w:rsidR="00AE1B41" w:rsidRPr="009E47A6">
        <w:rPr>
          <w:bCs/>
          <w:sz w:val="20"/>
          <w:szCs w:val="20"/>
          <w:lang w:bidi="en-US"/>
        </w:rPr>
        <w:t xml:space="preserve"> </w:t>
      </w:r>
      <w:r w:rsidRPr="009E47A6">
        <w:rPr>
          <w:bCs/>
          <w:sz w:val="20"/>
          <w:szCs w:val="20"/>
          <w:lang w:bidi="en-US"/>
        </w:rPr>
        <w:t>Ankle</w:t>
      </w:r>
      <w:r w:rsidR="00AE1B41" w:rsidRPr="009E47A6">
        <w:rPr>
          <w:bCs/>
          <w:sz w:val="20"/>
          <w:szCs w:val="20"/>
          <w:lang w:bidi="en-US"/>
        </w:rPr>
        <w:t xml:space="preserve"> </w:t>
      </w:r>
      <w:r w:rsidRPr="009E47A6">
        <w:rPr>
          <w:bCs/>
          <w:sz w:val="20"/>
          <w:szCs w:val="20"/>
          <w:lang w:bidi="en-US"/>
        </w:rPr>
        <w:t>fusion</w:t>
      </w:r>
      <w:r w:rsidR="00AE1B41" w:rsidRPr="009E47A6">
        <w:rPr>
          <w:bCs/>
          <w:sz w:val="20"/>
          <w:szCs w:val="20"/>
          <w:lang w:bidi="en-US"/>
        </w:rPr>
        <w:t xml:space="preserve"> </w:t>
      </w:r>
      <w:r w:rsidRPr="009E47A6">
        <w:rPr>
          <w:bCs/>
          <w:sz w:val="20"/>
          <w:szCs w:val="20"/>
          <w:lang w:bidi="en-US"/>
        </w:rPr>
        <w:t>with</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retrograde</w:t>
      </w:r>
      <w:r w:rsidR="00AE1B41" w:rsidRPr="009E47A6">
        <w:rPr>
          <w:bCs/>
          <w:sz w:val="20"/>
          <w:szCs w:val="20"/>
          <w:lang w:bidi="en-US"/>
        </w:rPr>
        <w:t xml:space="preserve"> </w:t>
      </w:r>
      <w:r w:rsidRPr="009E47A6">
        <w:rPr>
          <w:bCs/>
          <w:sz w:val="20"/>
          <w:szCs w:val="20"/>
          <w:lang w:bidi="en-US"/>
        </w:rPr>
        <w:t>locked</w:t>
      </w:r>
      <w:r w:rsidR="00AE1B41" w:rsidRPr="009E47A6">
        <w:rPr>
          <w:bCs/>
          <w:sz w:val="20"/>
          <w:szCs w:val="20"/>
          <w:lang w:bidi="en-US"/>
        </w:rPr>
        <w:t xml:space="preserve"> </w:t>
      </w:r>
      <w:r w:rsidRPr="009E47A6">
        <w:rPr>
          <w:bCs/>
          <w:sz w:val="20"/>
          <w:szCs w:val="20"/>
          <w:lang w:bidi="en-US"/>
        </w:rPr>
        <w:t>intramedullary</w:t>
      </w:r>
      <w:r w:rsidR="00AE1B41" w:rsidRPr="009E47A6">
        <w:rPr>
          <w:bCs/>
          <w:sz w:val="20"/>
          <w:szCs w:val="20"/>
          <w:lang w:bidi="en-US"/>
        </w:rPr>
        <w:t xml:space="preserve"> </w:t>
      </w:r>
      <w:r w:rsidRPr="009E47A6">
        <w:rPr>
          <w:bCs/>
          <w:sz w:val="20"/>
          <w:szCs w:val="20"/>
          <w:lang w:bidi="en-US"/>
        </w:rPr>
        <w:t>nail.</w:t>
      </w:r>
      <w:r w:rsidR="00AE1B41" w:rsidRPr="009E47A6">
        <w:rPr>
          <w:bCs/>
          <w:sz w:val="20"/>
          <w:szCs w:val="20"/>
          <w:lang w:bidi="en-US"/>
        </w:rPr>
        <w:t xml:space="preserve"> </w:t>
      </w:r>
      <w:r w:rsidRPr="009E47A6">
        <w:rPr>
          <w:bCs/>
          <w:sz w:val="20"/>
          <w:szCs w:val="20"/>
          <w:lang w:bidi="en-US"/>
        </w:rPr>
        <w:t>Techniques</w:t>
      </w:r>
      <w:r w:rsidR="00AE1B41" w:rsidRPr="009E47A6">
        <w:rPr>
          <w:bCs/>
          <w:sz w:val="20"/>
          <w:szCs w:val="20"/>
          <w:lang w:bidi="en-US"/>
        </w:rPr>
        <w:t xml:space="preserve"> </w:t>
      </w:r>
      <w:r w:rsidRPr="009E47A6">
        <w:rPr>
          <w:bCs/>
          <w:sz w:val="20"/>
          <w:szCs w:val="20"/>
          <w:lang w:bidi="en-US"/>
        </w:rPr>
        <w:t>in</w:t>
      </w:r>
      <w:r w:rsidR="00AE1B41" w:rsidRPr="009E47A6">
        <w:rPr>
          <w:bCs/>
          <w:sz w:val="20"/>
          <w:szCs w:val="20"/>
          <w:lang w:bidi="en-US"/>
        </w:rPr>
        <w:t xml:space="preserve"> </w:t>
      </w:r>
      <w:r w:rsidRPr="009E47A6">
        <w:rPr>
          <w:bCs/>
          <w:sz w:val="20"/>
          <w:szCs w:val="20"/>
          <w:lang w:bidi="en-US"/>
        </w:rPr>
        <w:t>Foot</w:t>
      </w:r>
      <w:r w:rsidR="00AE1B41" w:rsidRPr="009E47A6">
        <w:rPr>
          <w:bCs/>
          <w:sz w:val="20"/>
          <w:szCs w:val="20"/>
          <w:lang w:bidi="en-US"/>
        </w:rPr>
        <w:t xml:space="preserve"> &amp; </w:t>
      </w:r>
      <w:r w:rsidRPr="009E47A6">
        <w:rPr>
          <w:bCs/>
          <w:sz w:val="20"/>
          <w:szCs w:val="20"/>
          <w:lang w:bidi="en-US"/>
        </w:rPr>
        <w:t>Ankle</w:t>
      </w:r>
      <w:r w:rsidR="00AE1B41" w:rsidRPr="009E47A6">
        <w:rPr>
          <w:bCs/>
          <w:sz w:val="20"/>
          <w:szCs w:val="20"/>
          <w:lang w:bidi="en-US"/>
        </w:rPr>
        <w:t xml:space="preserve"> </w:t>
      </w:r>
      <w:r w:rsidRPr="009E47A6">
        <w:rPr>
          <w:bCs/>
          <w:sz w:val="20"/>
          <w:szCs w:val="20"/>
          <w:lang w:bidi="en-US"/>
        </w:rPr>
        <w:t>Surgery,</w:t>
      </w:r>
      <w:r w:rsidR="00AE1B41" w:rsidRPr="009E47A6">
        <w:rPr>
          <w:bCs/>
          <w:sz w:val="20"/>
          <w:szCs w:val="20"/>
          <w:lang w:bidi="en-US"/>
        </w:rPr>
        <w:t xml:space="preserve"> </w:t>
      </w:r>
      <w:r w:rsidRPr="009E47A6">
        <w:rPr>
          <w:bCs/>
          <w:sz w:val="20"/>
          <w:szCs w:val="20"/>
          <w:lang w:bidi="en-US"/>
        </w:rPr>
        <w:t>2007;</w:t>
      </w:r>
      <w:r w:rsidR="00AE1B41" w:rsidRPr="009E47A6">
        <w:rPr>
          <w:bCs/>
          <w:sz w:val="20"/>
          <w:szCs w:val="20"/>
          <w:lang w:bidi="en-US"/>
        </w:rPr>
        <w:t xml:space="preserve"> </w:t>
      </w:r>
      <w:r w:rsidRPr="009E47A6">
        <w:rPr>
          <w:bCs/>
          <w:sz w:val="20"/>
          <w:szCs w:val="20"/>
          <w:lang w:bidi="en-US"/>
        </w:rPr>
        <w:t>6(1):</w:t>
      </w:r>
      <w:r w:rsidR="00AE1B41" w:rsidRPr="009E47A6">
        <w:rPr>
          <w:bCs/>
          <w:sz w:val="20"/>
          <w:szCs w:val="20"/>
          <w:lang w:bidi="en-US"/>
        </w:rPr>
        <w:t xml:space="preserve"> </w:t>
      </w:r>
      <w:r w:rsidRPr="009E47A6">
        <w:rPr>
          <w:bCs/>
          <w:sz w:val="20"/>
          <w:szCs w:val="20"/>
          <w:lang w:bidi="en-US"/>
        </w:rPr>
        <w:t>38-43.</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bCs/>
          <w:sz w:val="20"/>
          <w:szCs w:val="20"/>
          <w:lang w:bidi="en-US"/>
        </w:rPr>
        <w:t>Russell</w:t>
      </w:r>
      <w:r w:rsidR="00AE1B41" w:rsidRPr="009E47A6">
        <w:rPr>
          <w:bCs/>
          <w:sz w:val="20"/>
          <w:szCs w:val="20"/>
          <w:lang w:bidi="en-US"/>
        </w:rPr>
        <w:t xml:space="preserve"> </w:t>
      </w:r>
      <w:r w:rsidRPr="009E47A6">
        <w:rPr>
          <w:bCs/>
          <w:sz w:val="20"/>
          <w:szCs w:val="20"/>
          <w:lang w:bidi="en-US"/>
        </w:rPr>
        <w:t>R</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Graham</w:t>
      </w:r>
      <w:r w:rsidR="00AE1B41" w:rsidRPr="009E47A6">
        <w:rPr>
          <w:bCs/>
          <w:sz w:val="20"/>
          <w:szCs w:val="20"/>
          <w:lang w:bidi="en-US"/>
        </w:rPr>
        <w:t xml:space="preserve"> </w:t>
      </w:r>
      <w:r w:rsidRPr="009E47A6">
        <w:rPr>
          <w:bCs/>
          <w:sz w:val="20"/>
          <w:szCs w:val="20"/>
          <w:lang w:bidi="en-US"/>
        </w:rPr>
        <w:t>G.</w:t>
      </w:r>
      <w:r w:rsidR="00AE1B41" w:rsidRPr="009E47A6">
        <w:rPr>
          <w:bCs/>
          <w:sz w:val="20"/>
          <w:szCs w:val="20"/>
          <w:lang w:bidi="en-US"/>
        </w:rPr>
        <w:t xml:space="preserve"> </w:t>
      </w:r>
      <w:r w:rsidRPr="009E47A6">
        <w:rPr>
          <w:bCs/>
          <w:sz w:val="20"/>
          <w:szCs w:val="20"/>
          <w:lang w:bidi="en-US"/>
        </w:rPr>
        <w:t>"Bisphosphonates:</w:t>
      </w:r>
      <w:r w:rsidR="00AE1B41" w:rsidRPr="009E47A6">
        <w:rPr>
          <w:bCs/>
          <w:sz w:val="20"/>
          <w:szCs w:val="20"/>
          <w:lang w:bidi="en-US"/>
        </w:rPr>
        <w:t xml:space="preserve"> </w:t>
      </w:r>
      <w:r w:rsidRPr="009E47A6">
        <w:rPr>
          <w:bCs/>
          <w:sz w:val="20"/>
          <w:szCs w:val="20"/>
          <w:lang w:bidi="en-US"/>
        </w:rPr>
        <w:t>mode</w:t>
      </w:r>
      <w:r w:rsidR="00AE1B41" w:rsidRPr="009E47A6">
        <w:rPr>
          <w:bCs/>
          <w:sz w:val="20"/>
          <w:szCs w:val="20"/>
          <w:lang w:bidi="en-US"/>
        </w:rPr>
        <w:t xml:space="preserve"> </w:t>
      </w:r>
      <w:r w:rsidRPr="009E47A6">
        <w:rPr>
          <w:bCs/>
          <w:sz w:val="20"/>
          <w:szCs w:val="20"/>
          <w:lang w:bidi="en-US"/>
        </w:rPr>
        <w:t>of</w:t>
      </w:r>
      <w:r w:rsidR="00AE1B41" w:rsidRPr="009E47A6">
        <w:rPr>
          <w:bCs/>
          <w:sz w:val="20"/>
          <w:szCs w:val="20"/>
          <w:lang w:bidi="en-US"/>
        </w:rPr>
        <w:t xml:space="preserve"> </w:t>
      </w:r>
      <w:r w:rsidRPr="009E47A6">
        <w:rPr>
          <w:bCs/>
          <w:sz w:val="20"/>
          <w:szCs w:val="20"/>
          <w:lang w:bidi="en-US"/>
        </w:rPr>
        <w:t>action</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pharmacology."</w:t>
      </w:r>
      <w:r w:rsidR="00AE1B41" w:rsidRPr="009E47A6">
        <w:rPr>
          <w:bCs/>
          <w:sz w:val="20"/>
          <w:szCs w:val="20"/>
          <w:lang w:bidi="en-US"/>
        </w:rPr>
        <w:t xml:space="preserve"> </w:t>
      </w:r>
      <w:r w:rsidRPr="009E47A6">
        <w:rPr>
          <w:bCs/>
          <w:sz w:val="20"/>
          <w:szCs w:val="20"/>
          <w:lang w:bidi="en-US"/>
        </w:rPr>
        <w:t>Pediatrics</w:t>
      </w:r>
      <w:r w:rsidR="00AE1B41" w:rsidRPr="009E47A6">
        <w:rPr>
          <w:bCs/>
          <w:sz w:val="20"/>
          <w:szCs w:val="20"/>
          <w:lang w:bidi="en-US"/>
        </w:rPr>
        <w:t xml:space="preserve"> </w:t>
      </w:r>
      <w:r w:rsidRPr="009E47A6">
        <w:rPr>
          <w:bCs/>
          <w:sz w:val="20"/>
          <w:szCs w:val="20"/>
          <w:lang w:bidi="en-US"/>
        </w:rPr>
        <w:t>119,</w:t>
      </w:r>
      <w:r w:rsidR="00AE1B41" w:rsidRPr="009E47A6">
        <w:rPr>
          <w:bCs/>
          <w:sz w:val="20"/>
          <w:szCs w:val="20"/>
          <w:lang w:bidi="en-US"/>
        </w:rPr>
        <w:t xml:space="preserve"> </w:t>
      </w:r>
      <w:r w:rsidRPr="009E47A6">
        <w:rPr>
          <w:bCs/>
          <w:sz w:val="20"/>
          <w:szCs w:val="20"/>
          <w:lang w:bidi="en-US"/>
        </w:rPr>
        <w:t>no.</w:t>
      </w:r>
      <w:r w:rsidR="00AE1B41" w:rsidRPr="009E47A6">
        <w:rPr>
          <w:bCs/>
          <w:sz w:val="20"/>
          <w:szCs w:val="20"/>
          <w:lang w:bidi="en-US"/>
        </w:rPr>
        <w:t xml:space="preserve"> </w:t>
      </w:r>
      <w:r w:rsidRPr="009E47A6">
        <w:rPr>
          <w:bCs/>
          <w:sz w:val="20"/>
          <w:szCs w:val="20"/>
          <w:lang w:bidi="en-US"/>
        </w:rPr>
        <w:t>Supplement</w:t>
      </w:r>
      <w:r w:rsidR="00AE1B41" w:rsidRPr="009E47A6">
        <w:rPr>
          <w:bCs/>
          <w:sz w:val="20"/>
          <w:szCs w:val="20"/>
          <w:lang w:bidi="en-US"/>
        </w:rPr>
        <w:t xml:space="preserve"> </w:t>
      </w:r>
      <w:r w:rsidRPr="009E47A6">
        <w:rPr>
          <w:bCs/>
          <w:sz w:val="20"/>
          <w:szCs w:val="20"/>
          <w:lang w:bidi="en-US"/>
        </w:rPr>
        <w:t>2</w:t>
      </w:r>
      <w:r w:rsidR="00AE1B41" w:rsidRPr="009E47A6">
        <w:rPr>
          <w:bCs/>
          <w:sz w:val="20"/>
          <w:szCs w:val="20"/>
          <w:lang w:bidi="en-US"/>
        </w:rPr>
        <w:t xml:space="preserve"> </w:t>
      </w:r>
      <w:r w:rsidRPr="009E47A6">
        <w:rPr>
          <w:bCs/>
          <w:sz w:val="20"/>
          <w:szCs w:val="20"/>
          <w:lang w:bidi="en-US"/>
        </w:rPr>
        <w:t>(2007):</w:t>
      </w:r>
      <w:r w:rsidR="00AE1B41" w:rsidRPr="009E47A6">
        <w:rPr>
          <w:bCs/>
          <w:sz w:val="20"/>
          <w:szCs w:val="20"/>
          <w:lang w:bidi="en-US"/>
        </w:rPr>
        <w:t xml:space="preserve"> </w:t>
      </w:r>
      <w:r w:rsidRPr="009E47A6">
        <w:rPr>
          <w:bCs/>
          <w:sz w:val="20"/>
          <w:szCs w:val="20"/>
          <w:lang w:bidi="en-US"/>
        </w:rPr>
        <w:t>S150-S162.</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Shah</w:t>
      </w:r>
      <w:r w:rsidR="00AE1B41" w:rsidRPr="009E47A6">
        <w:rPr>
          <w:bCs/>
          <w:sz w:val="20"/>
          <w:szCs w:val="20"/>
          <w:lang w:bidi="en-US"/>
        </w:rPr>
        <w:t xml:space="preserve"> </w:t>
      </w:r>
      <w:r w:rsidRPr="009E47A6">
        <w:rPr>
          <w:bCs/>
          <w:sz w:val="20"/>
          <w:szCs w:val="20"/>
          <w:lang w:bidi="en-US"/>
        </w:rPr>
        <w:t>NS</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De</w:t>
      </w:r>
      <w:r w:rsidR="00AE1B41" w:rsidRPr="009E47A6">
        <w:rPr>
          <w:bCs/>
          <w:sz w:val="20"/>
          <w:szCs w:val="20"/>
          <w:lang w:bidi="en-US"/>
        </w:rPr>
        <w:t xml:space="preserve"> </w:t>
      </w:r>
      <w:r w:rsidRPr="009E47A6">
        <w:rPr>
          <w:bCs/>
          <w:sz w:val="20"/>
          <w:szCs w:val="20"/>
          <w:lang w:bidi="en-US"/>
        </w:rPr>
        <w:t>SD.</w:t>
      </w:r>
      <w:r w:rsidR="00AE1B41" w:rsidRPr="009E47A6">
        <w:rPr>
          <w:bCs/>
          <w:sz w:val="20"/>
          <w:szCs w:val="20"/>
          <w:lang w:bidi="en-US"/>
        </w:rPr>
        <w:t xml:space="preserve"> </w:t>
      </w:r>
      <w:r w:rsidRPr="009E47A6">
        <w:rPr>
          <w:sz w:val="20"/>
          <w:szCs w:val="20"/>
          <w:lang w:bidi="en-US"/>
        </w:rPr>
        <w:t>Comparative</w:t>
      </w:r>
      <w:r w:rsidR="00AE1B41" w:rsidRPr="009E47A6">
        <w:rPr>
          <w:sz w:val="20"/>
          <w:szCs w:val="20"/>
          <w:lang w:bidi="en-US"/>
        </w:rPr>
        <w:t xml:space="preserve"> </w:t>
      </w:r>
      <w:r w:rsidRPr="009E47A6">
        <w:rPr>
          <w:sz w:val="20"/>
          <w:szCs w:val="20"/>
          <w:lang w:bidi="en-US"/>
        </w:rPr>
        <w:t>analysis</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uniplanar</w:t>
      </w:r>
      <w:r w:rsidR="00AE1B41" w:rsidRPr="009E47A6">
        <w:rPr>
          <w:sz w:val="20"/>
          <w:szCs w:val="20"/>
          <w:lang w:bidi="en-US"/>
        </w:rPr>
        <w:t xml:space="preserve"> </w:t>
      </w:r>
      <w:r w:rsidRPr="009E47A6">
        <w:rPr>
          <w:sz w:val="20"/>
          <w:szCs w:val="20"/>
          <w:lang w:bidi="en-US"/>
        </w:rPr>
        <w:t>external</w:t>
      </w:r>
      <w:r w:rsidR="00AE1B41" w:rsidRPr="009E47A6">
        <w:rPr>
          <w:sz w:val="20"/>
          <w:szCs w:val="20"/>
          <w:lang w:bidi="en-US"/>
        </w:rPr>
        <w:t xml:space="preserve"> </w:t>
      </w:r>
      <w:r w:rsidRPr="009E47A6">
        <w:rPr>
          <w:sz w:val="20"/>
          <w:szCs w:val="20"/>
          <w:lang w:bidi="en-US"/>
        </w:rPr>
        <w:t>fixator</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retrograde</w:t>
      </w:r>
      <w:r w:rsidR="00AE1B41" w:rsidRPr="009E47A6">
        <w:rPr>
          <w:sz w:val="20"/>
          <w:szCs w:val="20"/>
          <w:lang w:bidi="en-US"/>
        </w:rPr>
        <w:t xml:space="preserve"> </w:t>
      </w:r>
      <w:r w:rsidRPr="009E47A6">
        <w:rPr>
          <w:sz w:val="20"/>
          <w:szCs w:val="20"/>
          <w:lang w:bidi="en-US"/>
        </w:rPr>
        <w:t>intramedullary</w:t>
      </w:r>
      <w:r w:rsidR="00AE1B41" w:rsidRPr="009E47A6">
        <w:rPr>
          <w:sz w:val="20"/>
          <w:szCs w:val="20"/>
          <w:lang w:bidi="en-US"/>
        </w:rPr>
        <w:t xml:space="preserve"> </w:t>
      </w:r>
      <w:r w:rsidRPr="009E47A6">
        <w:rPr>
          <w:sz w:val="20"/>
          <w:szCs w:val="20"/>
          <w:lang w:bidi="en-US"/>
        </w:rPr>
        <w:t>nailing</w:t>
      </w:r>
      <w:r w:rsidR="00AE1B41" w:rsidRPr="009E47A6">
        <w:rPr>
          <w:sz w:val="20"/>
          <w:szCs w:val="20"/>
          <w:lang w:bidi="en-US"/>
        </w:rPr>
        <w:t xml:space="preserve"> </w:t>
      </w:r>
      <w:r w:rsidRPr="009E47A6">
        <w:rPr>
          <w:sz w:val="20"/>
          <w:szCs w:val="20"/>
          <w:lang w:bidi="en-US"/>
        </w:rPr>
        <w:t>for</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in</w:t>
      </w:r>
      <w:r w:rsidR="00AE1B41" w:rsidRPr="009E47A6">
        <w:rPr>
          <w:sz w:val="20"/>
          <w:szCs w:val="20"/>
          <w:lang w:bidi="en-US"/>
        </w:rPr>
        <w:t xml:space="preserve"> </w:t>
      </w:r>
      <w:r w:rsidRPr="009E47A6">
        <w:rPr>
          <w:sz w:val="20"/>
          <w:szCs w:val="20"/>
          <w:lang w:bidi="en-US"/>
        </w:rPr>
        <w:t>diabetic</w:t>
      </w:r>
      <w:r w:rsidR="00AE1B41" w:rsidRPr="009E47A6">
        <w:rPr>
          <w:sz w:val="20"/>
          <w:szCs w:val="20"/>
          <w:lang w:bidi="en-US"/>
        </w:rPr>
        <w:t xml:space="preserve"> </w:t>
      </w:r>
      <w:r w:rsidRPr="009E47A6">
        <w:rPr>
          <w:sz w:val="20"/>
          <w:szCs w:val="20"/>
          <w:lang w:bidi="en-US"/>
        </w:rPr>
        <w:t>Charcot's</w:t>
      </w:r>
      <w:r w:rsidR="00AE1B41" w:rsidRPr="009E47A6">
        <w:rPr>
          <w:sz w:val="20"/>
          <w:szCs w:val="20"/>
          <w:lang w:bidi="en-US"/>
        </w:rPr>
        <w:t xml:space="preserve"> </w:t>
      </w:r>
      <w:r w:rsidRPr="009E47A6">
        <w:rPr>
          <w:sz w:val="20"/>
          <w:szCs w:val="20"/>
          <w:lang w:bidi="en-US"/>
        </w:rPr>
        <w:t>neuroarthropathy.</w:t>
      </w:r>
      <w:r w:rsidR="00AE1B41" w:rsidRPr="009E47A6">
        <w:rPr>
          <w:sz w:val="20"/>
          <w:szCs w:val="20"/>
          <w:lang w:bidi="en-US"/>
        </w:rPr>
        <w:t xml:space="preserve"> </w:t>
      </w:r>
      <w:r w:rsidRPr="009E47A6">
        <w:rPr>
          <w:sz w:val="20"/>
          <w:szCs w:val="20"/>
          <w:lang w:bidi="en-US"/>
        </w:rPr>
        <w:t>Indian</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orthopaedics.</w:t>
      </w:r>
      <w:r w:rsidR="00AE1B41" w:rsidRPr="009E47A6">
        <w:rPr>
          <w:sz w:val="20"/>
          <w:szCs w:val="20"/>
          <w:lang w:bidi="en-US"/>
        </w:rPr>
        <w:t xml:space="preserve"> </w:t>
      </w:r>
      <w:r w:rsidRPr="009E47A6">
        <w:rPr>
          <w:sz w:val="20"/>
          <w:szCs w:val="20"/>
          <w:lang w:bidi="en-US"/>
        </w:rPr>
        <w:t>2011;</w:t>
      </w:r>
      <w:r w:rsidR="00AE1B41" w:rsidRPr="009E47A6">
        <w:rPr>
          <w:sz w:val="20"/>
          <w:szCs w:val="20"/>
          <w:lang w:bidi="en-US"/>
        </w:rPr>
        <w:t xml:space="preserve"> </w:t>
      </w:r>
      <w:r w:rsidRPr="009E47A6">
        <w:rPr>
          <w:sz w:val="20"/>
          <w:szCs w:val="20"/>
          <w:lang w:bidi="en-US"/>
        </w:rPr>
        <w:t>45(4):359.</w:t>
      </w:r>
    </w:p>
    <w:p w:rsidR="00C22D76" w:rsidRPr="009E47A6" w:rsidRDefault="00C22D76" w:rsidP="009D397A">
      <w:pPr>
        <w:pStyle w:val="ListParagraph"/>
        <w:numPr>
          <w:ilvl w:val="0"/>
          <w:numId w:val="44"/>
        </w:numPr>
        <w:bidi w:val="0"/>
        <w:snapToGrid w:val="0"/>
        <w:ind w:left="425" w:hanging="425"/>
        <w:jc w:val="both"/>
        <w:rPr>
          <w:bCs/>
          <w:sz w:val="20"/>
          <w:szCs w:val="20"/>
          <w:lang w:bidi="en-US"/>
        </w:rPr>
      </w:pPr>
      <w:r w:rsidRPr="009E47A6">
        <w:rPr>
          <w:sz w:val="20"/>
          <w:szCs w:val="20"/>
          <w:lang w:bidi="en-US"/>
        </w:rPr>
        <w:t>Shen</w:t>
      </w:r>
      <w:r w:rsidR="00AE1B41" w:rsidRPr="009E47A6">
        <w:rPr>
          <w:sz w:val="20"/>
          <w:szCs w:val="20"/>
          <w:lang w:bidi="en-US"/>
        </w:rPr>
        <w:t xml:space="preserve"> </w:t>
      </w:r>
      <w:r w:rsidRPr="009E47A6">
        <w:rPr>
          <w:sz w:val="20"/>
          <w:szCs w:val="20"/>
          <w:lang w:bidi="en-US"/>
        </w:rPr>
        <w:t>W</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Wukich</w:t>
      </w:r>
      <w:r w:rsidR="00AE1B41" w:rsidRPr="009E47A6">
        <w:rPr>
          <w:sz w:val="20"/>
          <w:szCs w:val="20"/>
          <w:lang w:bidi="en-US"/>
        </w:rPr>
        <w:t xml:space="preserve"> </w:t>
      </w:r>
      <w:r w:rsidRPr="009E47A6">
        <w:rPr>
          <w:sz w:val="20"/>
          <w:szCs w:val="20"/>
          <w:lang w:bidi="en-US"/>
        </w:rPr>
        <w:t>D.</w:t>
      </w:r>
      <w:r w:rsidR="00AE1B41" w:rsidRPr="009E47A6">
        <w:rPr>
          <w:bCs/>
          <w:sz w:val="20"/>
          <w:szCs w:val="20"/>
          <w:lang w:bidi="en-US"/>
        </w:rPr>
        <w:t xml:space="preserve"> </w:t>
      </w:r>
      <w:r w:rsidRPr="009E47A6">
        <w:rPr>
          <w:bCs/>
          <w:sz w:val="20"/>
          <w:szCs w:val="20"/>
          <w:lang w:bidi="en-US"/>
        </w:rPr>
        <w:t>Orthopaedic</w:t>
      </w:r>
      <w:r w:rsidR="00AE1B41" w:rsidRPr="009E47A6">
        <w:rPr>
          <w:bCs/>
          <w:sz w:val="20"/>
          <w:szCs w:val="20"/>
          <w:lang w:bidi="en-US"/>
        </w:rPr>
        <w:t xml:space="preserve"> </w:t>
      </w:r>
      <w:r w:rsidRPr="009E47A6">
        <w:rPr>
          <w:bCs/>
          <w:sz w:val="20"/>
          <w:szCs w:val="20"/>
          <w:lang w:bidi="en-US"/>
        </w:rPr>
        <w:t>surgery</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the</w:t>
      </w:r>
      <w:r w:rsidR="00AE1B41" w:rsidRPr="009E47A6">
        <w:rPr>
          <w:bCs/>
          <w:sz w:val="20"/>
          <w:szCs w:val="20"/>
          <w:lang w:bidi="en-US"/>
        </w:rPr>
        <w:t xml:space="preserve"> </w:t>
      </w:r>
      <w:r w:rsidRPr="009E47A6">
        <w:rPr>
          <w:bCs/>
          <w:sz w:val="20"/>
          <w:szCs w:val="20"/>
          <w:lang w:bidi="en-US"/>
        </w:rPr>
        <w:t>diabetic</w:t>
      </w:r>
      <w:r w:rsidR="00AE1B41" w:rsidRPr="009E47A6">
        <w:rPr>
          <w:bCs/>
          <w:sz w:val="20"/>
          <w:szCs w:val="20"/>
          <w:lang w:bidi="en-US"/>
        </w:rPr>
        <w:t xml:space="preserve"> </w:t>
      </w:r>
      <w:r w:rsidRPr="009E47A6">
        <w:rPr>
          <w:bCs/>
          <w:sz w:val="20"/>
          <w:szCs w:val="20"/>
          <w:lang w:bidi="en-US"/>
        </w:rPr>
        <w:t>Charcot</w:t>
      </w:r>
      <w:r w:rsidR="00AE1B41" w:rsidRPr="009E47A6">
        <w:rPr>
          <w:bCs/>
          <w:sz w:val="20"/>
          <w:szCs w:val="20"/>
          <w:lang w:bidi="en-US"/>
        </w:rPr>
        <w:t xml:space="preserve"> </w:t>
      </w:r>
      <w:r w:rsidRPr="009E47A6">
        <w:rPr>
          <w:bCs/>
          <w:sz w:val="20"/>
          <w:szCs w:val="20"/>
          <w:lang w:bidi="en-US"/>
        </w:rPr>
        <w:t>foot.</w:t>
      </w:r>
      <w:r w:rsidR="00AE1B41" w:rsidRPr="009E47A6">
        <w:rPr>
          <w:bCs/>
          <w:sz w:val="20"/>
          <w:szCs w:val="20"/>
          <w:lang w:bidi="en-US"/>
        </w:rPr>
        <w:t xml:space="preserve"> </w:t>
      </w:r>
      <w:r w:rsidRPr="009E47A6">
        <w:rPr>
          <w:bCs/>
          <w:sz w:val="20"/>
          <w:szCs w:val="20"/>
          <w:lang w:bidi="en-US"/>
        </w:rPr>
        <w:t>Medical</w:t>
      </w:r>
      <w:r w:rsidR="00AE1B41" w:rsidRPr="009E47A6">
        <w:rPr>
          <w:bCs/>
          <w:sz w:val="20"/>
          <w:szCs w:val="20"/>
          <w:lang w:bidi="en-US"/>
        </w:rPr>
        <w:t xml:space="preserve"> </w:t>
      </w:r>
      <w:r w:rsidRPr="009E47A6">
        <w:rPr>
          <w:bCs/>
          <w:sz w:val="20"/>
          <w:szCs w:val="20"/>
          <w:lang w:bidi="en-US"/>
        </w:rPr>
        <w:t>Clinics.</w:t>
      </w:r>
      <w:r w:rsidR="00AE1B41" w:rsidRPr="009E47A6">
        <w:rPr>
          <w:bCs/>
          <w:sz w:val="20"/>
          <w:szCs w:val="20"/>
          <w:lang w:bidi="en-US"/>
        </w:rPr>
        <w:t xml:space="preserve"> </w:t>
      </w:r>
      <w:r w:rsidRPr="009E47A6">
        <w:rPr>
          <w:bCs/>
          <w:sz w:val="20"/>
          <w:szCs w:val="20"/>
          <w:lang w:bidi="en-US"/>
        </w:rPr>
        <w:t>2013;</w:t>
      </w:r>
      <w:r w:rsidR="00AE1B41" w:rsidRPr="009E47A6">
        <w:rPr>
          <w:bCs/>
          <w:sz w:val="20"/>
          <w:szCs w:val="20"/>
          <w:lang w:bidi="en-US"/>
        </w:rPr>
        <w:t xml:space="preserve"> </w:t>
      </w:r>
      <w:r w:rsidRPr="009E47A6">
        <w:rPr>
          <w:bCs/>
          <w:sz w:val="20"/>
          <w:szCs w:val="20"/>
          <w:lang w:bidi="en-US"/>
        </w:rPr>
        <w:t>97(5):873-82.</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Siebachmeyer</w:t>
      </w:r>
      <w:r w:rsidR="00AE1B41" w:rsidRPr="009E47A6">
        <w:rPr>
          <w:bCs/>
          <w:sz w:val="20"/>
          <w:szCs w:val="20"/>
          <w:lang w:bidi="en-US"/>
        </w:rPr>
        <w:t xml:space="preserve"> </w:t>
      </w:r>
      <w:r w:rsidRPr="009E47A6">
        <w:rPr>
          <w:bCs/>
          <w:sz w:val="20"/>
          <w:szCs w:val="20"/>
          <w:lang w:bidi="en-US"/>
        </w:rPr>
        <w:t>M,</w:t>
      </w:r>
      <w:r w:rsidR="00AE1B41" w:rsidRPr="009E47A6">
        <w:rPr>
          <w:bCs/>
          <w:sz w:val="20"/>
          <w:szCs w:val="20"/>
          <w:lang w:bidi="en-US"/>
        </w:rPr>
        <w:t xml:space="preserve"> </w:t>
      </w:r>
      <w:r w:rsidRPr="009E47A6">
        <w:rPr>
          <w:bCs/>
          <w:sz w:val="20"/>
          <w:szCs w:val="20"/>
          <w:lang w:bidi="en-US"/>
        </w:rPr>
        <w:t>Boddu</w:t>
      </w:r>
      <w:r w:rsidR="00AE1B41" w:rsidRPr="009E47A6">
        <w:rPr>
          <w:bCs/>
          <w:sz w:val="20"/>
          <w:szCs w:val="20"/>
          <w:lang w:bidi="en-US"/>
        </w:rPr>
        <w:t xml:space="preserve"> </w:t>
      </w:r>
      <w:r w:rsidRPr="009E47A6">
        <w:rPr>
          <w:bCs/>
          <w:sz w:val="20"/>
          <w:szCs w:val="20"/>
          <w:lang w:bidi="en-US"/>
        </w:rPr>
        <w:t>K,</w:t>
      </w:r>
      <w:r w:rsidR="00AE1B41" w:rsidRPr="009E47A6">
        <w:rPr>
          <w:bCs/>
          <w:sz w:val="20"/>
          <w:szCs w:val="20"/>
          <w:lang w:bidi="en-US"/>
        </w:rPr>
        <w:t xml:space="preserve"> </w:t>
      </w:r>
      <w:r w:rsidRPr="009E47A6">
        <w:rPr>
          <w:bCs/>
          <w:sz w:val="20"/>
          <w:szCs w:val="20"/>
          <w:lang w:bidi="en-US"/>
        </w:rPr>
        <w:t>Bilal</w:t>
      </w:r>
      <w:r w:rsidR="00AE1B41" w:rsidRPr="009E47A6">
        <w:rPr>
          <w:bCs/>
          <w:sz w:val="20"/>
          <w:szCs w:val="20"/>
          <w:lang w:bidi="en-US"/>
        </w:rPr>
        <w:t xml:space="preserve"> </w:t>
      </w:r>
      <w:r w:rsidRPr="009E47A6">
        <w:rPr>
          <w:bCs/>
          <w:sz w:val="20"/>
          <w:szCs w:val="20"/>
          <w:lang w:bidi="en-US"/>
        </w:rPr>
        <w:t>A,</w:t>
      </w:r>
      <w:r w:rsidR="00AE1B41" w:rsidRPr="009E47A6">
        <w:rPr>
          <w:bCs/>
          <w:sz w:val="20"/>
          <w:szCs w:val="20"/>
          <w:lang w:bidi="en-US"/>
        </w:rPr>
        <w:t xml:space="preserve"> </w:t>
      </w:r>
      <w:r w:rsidRPr="009E47A6">
        <w:rPr>
          <w:bCs/>
          <w:sz w:val="20"/>
          <w:szCs w:val="20"/>
          <w:lang w:bidi="en-US"/>
        </w:rPr>
        <w:t>Hester</w:t>
      </w:r>
      <w:r w:rsidR="00AE1B41" w:rsidRPr="009E47A6">
        <w:rPr>
          <w:bCs/>
          <w:sz w:val="20"/>
          <w:szCs w:val="20"/>
          <w:lang w:bidi="en-US"/>
        </w:rPr>
        <w:t xml:space="preserve"> </w:t>
      </w:r>
      <w:r w:rsidRPr="009E47A6">
        <w:rPr>
          <w:bCs/>
          <w:sz w:val="20"/>
          <w:szCs w:val="20"/>
          <w:lang w:bidi="en-US"/>
        </w:rPr>
        <w:t>TW,</w:t>
      </w:r>
      <w:r w:rsidR="00AE1B41" w:rsidRPr="009E47A6">
        <w:rPr>
          <w:bCs/>
          <w:sz w:val="20"/>
          <w:szCs w:val="20"/>
          <w:lang w:bidi="en-US"/>
        </w:rPr>
        <w:t xml:space="preserve"> </w:t>
      </w:r>
      <w:r w:rsidRPr="009E47A6">
        <w:rPr>
          <w:bCs/>
          <w:sz w:val="20"/>
          <w:szCs w:val="20"/>
          <w:lang w:bidi="en-US"/>
        </w:rPr>
        <w:t>Hardwick</w:t>
      </w:r>
      <w:r w:rsidR="00AE1B41" w:rsidRPr="009E47A6">
        <w:rPr>
          <w:bCs/>
          <w:sz w:val="20"/>
          <w:szCs w:val="20"/>
          <w:lang w:bidi="en-US"/>
        </w:rPr>
        <w:t xml:space="preserve"> </w:t>
      </w:r>
      <w:r w:rsidRPr="009E47A6">
        <w:rPr>
          <w:bCs/>
          <w:sz w:val="20"/>
          <w:szCs w:val="20"/>
          <w:lang w:bidi="en-US"/>
        </w:rPr>
        <w:t>T,</w:t>
      </w:r>
      <w:r w:rsidR="00AE1B41" w:rsidRPr="009E47A6">
        <w:rPr>
          <w:bCs/>
          <w:sz w:val="20"/>
          <w:szCs w:val="20"/>
          <w:lang w:bidi="en-US"/>
        </w:rPr>
        <w:t xml:space="preserve"> </w:t>
      </w:r>
      <w:r w:rsidRPr="009E47A6">
        <w:rPr>
          <w:bCs/>
          <w:sz w:val="20"/>
          <w:szCs w:val="20"/>
          <w:lang w:bidi="en-US"/>
        </w:rPr>
        <w:t>Fox</w:t>
      </w:r>
      <w:r w:rsidR="00AE1B41" w:rsidRPr="009E47A6">
        <w:rPr>
          <w:bCs/>
          <w:sz w:val="20"/>
          <w:szCs w:val="20"/>
          <w:lang w:bidi="en-US"/>
        </w:rPr>
        <w:t xml:space="preserve"> </w:t>
      </w:r>
      <w:r w:rsidRPr="009E47A6">
        <w:rPr>
          <w:bCs/>
          <w:sz w:val="20"/>
          <w:szCs w:val="20"/>
          <w:lang w:bidi="en-US"/>
        </w:rPr>
        <w:t>TP,</w:t>
      </w:r>
      <w:r w:rsidR="00AE1B41" w:rsidRPr="009E47A6">
        <w:rPr>
          <w:bCs/>
          <w:sz w:val="20"/>
          <w:szCs w:val="20"/>
          <w:lang w:bidi="en-US"/>
        </w:rPr>
        <w:t xml:space="preserve"> </w:t>
      </w:r>
      <w:r w:rsidRPr="009E47A6">
        <w:rPr>
          <w:bCs/>
          <w:sz w:val="20"/>
          <w:szCs w:val="20"/>
          <w:lang w:bidi="en-US"/>
        </w:rPr>
        <w:t>Edmonds</w:t>
      </w:r>
      <w:r w:rsidR="00AE1B41" w:rsidRPr="009E47A6">
        <w:rPr>
          <w:bCs/>
          <w:sz w:val="20"/>
          <w:szCs w:val="20"/>
          <w:lang w:bidi="en-US"/>
        </w:rPr>
        <w:t xml:space="preserve"> </w:t>
      </w:r>
      <w:r w:rsidRPr="009E47A6">
        <w:rPr>
          <w:bCs/>
          <w:sz w:val="20"/>
          <w:szCs w:val="20"/>
          <w:lang w:bidi="en-US"/>
        </w:rPr>
        <w:t>M,</w:t>
      </w:r>
      <w:r w:rsidR="00AE1B41" w:rsidRPr="009E47A6">
        <w:rPr>
          <w:bCs/>
          <w:sz w:val="20"/>
          <w:szCs w:val="20"/>
          <w:lang w:bidi="en-US"/>
        </w:rPr>
        <w:t xml:space="preserve"> </w:t>
      </w:r>
      <w:r w:rsidRPr="009E47A6">
        <w:rPr>
          <w:bCs/>
          <w:sz w:val="20"/>
          <w:szCs w:val="20"/>
          <w:lang w:bidi="en-US"/>
        </w:rPr>
        <w:t>Kavarthapu</w:t>
      </w:r>
      <w:r w:rsidR="00AE1B41" w:rsidRPr="009E47A6">
        <w:rPr>
          <w:bCs/>
          <w:sz w:val="20"/>
          <w:szCs w:val="20"/>
          <w:lang w:bidi="en-US"/>
        </w:rPr>
        <w:t xml:space="preserve"> </w:t>
      </w:r>
      <w:r w:rsidRPr="009E47A6">
        <w:rPr>
          <w:bCs/>
          <w:sz w:val="20"/>
          <w:szCs w:val="20"/>
          <w:lang w:bidi="en-US"/>
        </w:rPr>
        <w:t>V.</w:t>
      </w:r>
      <w:r w:rsidR="00AE1B41" w:rsidRPr="009E47A6">
        <w:rPr>
          <w:bCs/>
          <w:sz w:val="20"/>
          <w:szCs w:val="20"/>
          <w:lang w:bidi="en-US"/>
        </w:rPr>
        <w:t xml:space="preserve"> </w:t>
      </w:r>
      <w:r w:rsidRPr="009E47A6">
        <w:rPr>
          <w:sz w:val="20"/>
          <w:szCs w:val="20"/>
          <w:lang w:bidi="en-US"/>
        </w:rPr>
        <w:t>Outcome</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one-stage</w:t>
      </w:r>
      <w:r w:rsidR="00AE1B41" w:rsidRPr="009E47A6">
        <w:rPr>
          <w:sz w:val="20"/>
          <w:szCs w:val="20"/>
          <w:lang w:bidi="en-US"/>
        </w:rPr>
        <w:t xml:space="preserve"> </w:t>
      </w:r>
      <w:r w:rsidRPr="009E47A6">
        <w:rPr>
          <w:sz w:val="20"/>
          <w:szCs w:val="20"/>
          <w:lang w:bidi="en-US"/>
        </w:rPr>
        <w:t>correction</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deformities</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hindfoot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fusion</w:t>
      </w:r>
      <w:r w:rsidR="00AE1B41" w:rsidRPr="009E47A6">
        <w:rPr>
          <w:sz w:val="20"/>
          <w:szCs w:val="20"/>
          <w:lang w:bidi="en-US"/>
        </w:rPr>
        <w:t xml:space="preserve"> </w:t>
      </w:r>
      <w:r w:rsidRPr="009E47A6">
        <w:rPr>
          <w:sz w:val="20"/>
          <w:szCs w:val="20"/>
          <w:lang w:bidi="en-US"/>
        </w:rPr>
        <w:t>in</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neuroarthropathy</w:t>
      </w:r>
      <w:r w:rsidR="00AE1B41" w:rsidRPr="009E47A6">
        <w:rPr>
          <w:sz w:val="20"/>
          <w:szCs w:val="20"/>
          <w:lang w:bidi="en-US"/>
        </w:rPr>
        <w:t xml:space="preserve"> </w:t>
      </w:r>
      <w:r w:rsidRPr="009E47A6">
        <w:rPr>
          <w:sz w:val="20"/>
          <w:szCs w:val="20"/>
          <w:lang w:bidi="en-US"/>
        </w:rPr>
        <w:t>using</w:t>
      </w:r>
      <w:r w:rsidR="00AE1B41" w:rsidRPr="009E47A6">
        <w:rPr>
          <w:sz w:val="20"/>
          <w:szCs w:val="20"/>
          <w:lang w:bidi="en-US"/>
        </w:rPr>
        <w:t xml:space="preserve"> </w:t>
      </w:r>
      <w:r w:rsidRPr="009E47A6">
        <w:rPr>
          <w:sz w:val="20"/>
          <w:szCs w:val="20"/>
          <w:lang w:bidi="en-US"/>
        </w:rPr>
        <w:t>a</w:t>
      </w:r>
      <w:r w:rsidR="00AE1B41" w:rsidRPr="009E47A6">
        <w:rPr>
          <w:sz w:val="20"/>
          <w:szCs w:val="20"/>
          <w:lang w:bidi="en-US"/>
        </w:rPr>
        <w:t xml:space="preserve"> </w:t>
      </w:r>
      <w:r w:rsidRPr="009E47A6">
        <w:rPr>
          <w:sz w:val="20"/>
          <w:szCs w:val="20"/>
          <w:lang w:bidi="en-US"/>
        </w:rPr>
        <w:t>retrograde</w:t>
      </w:r>
      <w:r w:rsidR="00AE1B41" w:rsidRPr="009E47A6">
        <w:rPr>
          <w:sz w:val="20"/>
          <w:szCs w:val="20"/>
          <w:lang w:bidi="en-US"/>
        </w:rPr>
        <w:t xml:space="preserve"> </w:t>
      </w:r>
      <w:r w:rsidRPr="009E47A6">
        <w:rPr>
          <w:sz w:val="20"/>
          <w:szCs w:val="20"/>
          <w:lang w:bidi="en-US"/>
        </w:rPr>
        <w:t>intramedullary</w:t>
      </w:r>
      <w:r w:rsidR="00AE1B41" w:rsidRPr="009E47A6">
        <w:rPr>
          <w:sz w:val="20"/>
          <w:szCs w:val="20"/>
          <w:lang w:bidi="en-US"/>
        </w:rPr>
        <w:t xml:space="preserve"> </w:t>
      </w:r>
      <w:r w:rsidRPr="009E47A6">
        <w:rPr>
          <w:sz w:val="20"/>
          <w:szCs w:val="20"/>
          <w:lang w:bidi="en-US"/>
        </w:rPr>
        <w:t>hindfoot</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nail.</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Bone</w:t>
      </w:r>
      <w:r w:rsidR="00AE1B41" w:rsidRPr="009E47A6">
        <w:rPr>
          <w:sz w:val="20"/>
          <w:szCs w:val="20"/>
          <w:lang w:bidi="en-US"/>
        </w:rPr>
        <w:t xml:space="preserve"> &amp; </w:t>
      </w:r>
      <w:r w:rsidRPr="009E47A6">
        <w:rPr>
          <w:sz w:val="20"/>
          <w:szCs w:val="20"/>
          <w:lang w:bidi="en-US"/>
        </w:rPr>
        <w:t>Joint</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2015;</w:t>
      </w:r>
      <w:r w:rsidR="00AE1B41" w:rsidRPr="009E47A6">
        <w:rPr>
          <w:sz w:val="20"/>
          <w:szCs w:val="20"/>
          <w:lang w:bidi="en-US"/>
        </w:rPr>
        <w:t xml:space="preserve"> </w:t>
      </w:r>
      <w:r w:rsidRPr="009E47A6">
        <w:rPr>
          <w:sz w:val="20"/>
          <w:szCs w:val="20"/>
          <w:lang w:bidi="en-US"/>
        </w:rPr>
        <w:t>97(1):76-82.</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Verity</w:t>
      </w:r>
      <w:r w:rsidR="00AE1B41" w:rsidRPr="009E47A6">
        <w:rPr>
          <w:bCs/>
          <w:sz w:val="20"/>
          <w:szCs w:val="20"/>
          <w:lang w:bidi="en-US"/>
        </w:rPr>
        <w:t xml:space="preserve"> </w:t>
      </w:r>
      <w:r w:rsidRPr="009E47A6">
        <w:rPr>
          <w:bCs/>
          <w:sz w:val="20"/>
          <w:szCs w:val="20"/>
          <w:lang w:bidi="en-US"/>
        </w:rPr>
        <w:t>S,</w:t>
      </w:r>
      <w:r w:rsidR="00AE1B41" w:rsidRPr="009E47A6">
        <w:rPr>
          <w:bCs/>
          <w:sz w:val="20"/>
          <w:szCs w:val="20"/>
          <w:lang w:bidi="en-US"/>
        </w:rPr>
        <w:t xml:space="preserve"> </w:t>
      </w:r>
      <w:r w:rsidRPr="009E47A6">
        <w:rPr>
          <w:bCs/>
          <w:sz w:val="20"/>
          <w:szCs w:val="20"/>
          <w:lang w:bidi="en-US"/>
        </w:rPr>
        <w:t>Sochocki</w:t>
      </w:r>
      <w:r w:rsidR="00AE1B41" w:rsidRPr="009E47A6">
        <w:rPr>
          <w:bCs/>
          <w:sz w:val="20"/>
          <w:szCs w:val="20"/>
          <w:lang w:bidi="en-US"/>
        </w:rPr>
        <w:t xml:space="preserve"> </w:t>
      </w:r>
      <w:r w:rsidRPr="009E47A6">
        <w:rPr>
          <w:bCs/>
          <w:sz w:val="20"/>
          <w:szCs w:val="20"/>
          <w:lang w:bidi="en-US"/>
        </w:rPr>
        <w:t>M,</w:t>
      </w:r>
      <w:r w:rsidR="00AE1B41" w:rsidRPr="009E47A6">
        <w:rPr>
          <w:bCs/>
          <w:sz w:val="20"/>
          <w:szCs w:val="20"/>
          <w:lang w:bidi="en-US"/>
        </w:rPr>
        <w:t xml:space="preserve"> </w:t>
      </w:r>
      <w:r w:rsidRPr="009E47A6">
        <w:rPr>
          <w:bCs/>
          <w:sz w:val="20"/>
          <w:szCs w:val="20"/>
          <w:lang w:bidi="en-US"/>
        </w:rPr>
        <w:t>Embil</w:t>
      </w:r>
      <w:r w:rsidR="00AE1B41" w:rsidRPr="009E47A6">
        <w:rPr>
          <w:bCs/>
          <w:sz w:val="20"/>
          <w:szCs w:val="20"/>
          <w:lang w:bidi="en-US"/>
        </w:rPr>
        <w:t xml:space="preserve"> </w:t>
      </w:r>
      <w:r w:rsidRPr="009E47A6">
        <w:rPr>
          <w:bCs/>
          <w:sz w:val="20"/>
          <w:szCs w:val="20"/>
          <w:lang w:bidi="en-US"/>
        </w:rPr>
        <w:t>JM,</w:t>
      </w:r>
      <w:r w:rsidR="00AE1B41" w:rsidRPr="009E47A6">
        <w:rPr>
          <w:bCs/>
          <w:sz w:val="20"/>
          <w:szCs w:val="20"/>
          <w:lang w:bidi="en-US"/>
        </w:rPr>
        <w:t xml:space="preserve"> </w:t>
      </w:r>
      <w:r w:rsidRPr="009E47A6">
        <w:rPr>
          <w:bCs/>
          <w:sz w:val="20"/>
          <w:szCs w:val="20"/>
          <w:lang w:bidi="en-US"/>
        </w:rPr>
        <w:t>Trepman</w:t>
      </w:r>
      <w:r w:rsidR="00AE1B41" w:rsidRPr="009E47A6">
        <w:rPr>
          <w:bCs/>
          <w:sz w:val="20"/>
          <w:szCs w:val="20"/>
          <w:lang w:bidi="en-US"/>
        </w:rPr>
        <w:t xml:space="preserve"> </w:t>
      </w:r>
      <w:r w:rsidRPr="009E47A6">
        <w:rPr>
          <w:bCs/>
          <w:sz w:val="20"/>
          <w:szCs w:val="20"/>
          <w:lang w:bidi="en-US"/>
        </w:rPr>
        <w:t>E.</w:t>
      </w:r>
      <w:r w:rsidR="00AE1B41" w:rsidRPr="009E47A6">
        <w:rPr>
          <w:bCs/>
          <w:sz w:val="20"/>
          <w:szCs w:val="20"/>
          <w:lang w:bidi="en-US"/>
        </w:rPr>
        <w:t xml:space="preserve"> </w:t>
      </w:r>
      <w:r w:rsidRPr="009E47A6">
        <w:rPr>
          <w:sz w:val="20"/>
          <w:szCs w:val="20"/>
          <w:lang w:bidi="en-US"/>
        </w:rPr>
        <w:t>Treatment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Charcot</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with</w:t>
      </w:r>
      <w:r w:rsidR="00AE1B41" w:rsidRPr="009E47A6">
        <w:rPr>
          <w:sz w:val="20"/>
          <w:szCs w:val="20"/>
          <w:lang w:bidi="en-US"/>
        </w:rPr>
        <w:t xml:space="preserve"> </w:t>
      </w:r>
      <w:r w:rsidRPr="009E47A6">
        <w:rPr>
          <w:sz w:val="20"/>
          <w:szCs w:val="20"/>
          <w:lang w:bidi="en-US"/>
        </w:rPr>
        <w:t>a</w:t>
      </w:r>
      <w:r w:rsidR="00AE1B41" w:rsidRPr="009E47A6">
        <w:rPr>
          <w:sz w:val="20"/>
          <w:szCs w:val="20"/>
          <w:lang w:bidi="en-US"/>
        </w:rPr>
        <w:t xml:space="preserve"> </w:t>
      </w:r>
      <w:r w:rsidRPr="009E47A6">
        <w:rPr>
          <w:sz w:val="20"/>
          <w:szCs w:val="20"/>
          <w:lang w:bidi="en-US"/>
        </w:rPr>
        <w:t>prefabricated</w:t>
      </w:r>
      <w:r w:rsidR="00AE1B41" w:rsidRPr="009E47A6">
        <w:rPr>
          <w:sz w:val="20"/>
          <w:szCs w:val="20"/>
          <w:lang w:bidi="en-US"/>
        </w:rPr>
        <w:t xml:space="preserve"> </w:t>
      </w:r>
      <w:r w:rsidRPr="009E47A6">
        <w:rPr>
          <w:sz w:val="20"/>
          <w:szCs w:val="20"/>
          <w:lang w:bidi="en-US"/>
        </w:rPr>
        <w:t>removable</w:t>
      </w:r>
      <w:r w:rsidR="00AE1B41" w:rsidRPr="009E47A6">
        <w:rPr>
          <w:sz w:val="20"/>
          <w:szCs w:val="20"/>
          <w:lang w:bidi="en-US"/>
        </w:rPr>
        <w:t xml:space="preserve"> </w:t>
      </w:r>
      <w:r w:rsidRPr="009E47A6">
        <w:rPr>
          <w:sz w:val="20"/>
          <w:szCs w:val="20"/>
          <w:lang w:bidi="en-US"/>
        </w:rPr>
        <w:t>walker</w:t>
      </w:r>
      <w:r w:rsidR="00AE1B41" w:rsidRPr="009E47A6">
        <w:rPr>
          <w:sz w:val="20"/>
          <w:szCs w:val="20"/>
          <w:lang w:bidi="en-US"/>
        </w:rPr>
        <w:t xml:space="preserve"> </w:t>
      </w:r>
      <w:r w:rsidRPr="009E47A6">
        <w:rPr>
          <w:sz w:val="20"/>
          <w:szCs w:val="20"/>
          <w:lang w:bidi="en-US"/>
        </w:rPr>
        <w:t>brace</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custom</w:t>
      </w:r>
      <w:r w:rsidR="00AE1B41" w:rsidRPr="009E47A6">
        <w:rPr>
          <w:sz w:val="20"/>
          <w:szCs w:val="20"/>
          <w:lang w:bidi="en-US"/>
        </w:rPr>
        <w:t xml:space="preserve"> </w:t>
      </w:r>
      <w:r w:rsidRPr="009E47A6">
        <w:rPr>
          <w:sz w:val="20"/>
          <w:szCs w:val="20"/>
          <w:lang w:bidi="en-US"/>
        </w:rPr>
        <w:t>insole.</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surgery.</w:t>
      </w:r>
      <w:r w:rsidR="00AE1B41" w:rsidRPr="009E47A6">
        <w:rPr>
          <w:sz w:val="20"/>
          <w:szCs w:val="20"/>
          <w:lang w:bidi="en-US"/>
        </w:rPr>
        <w:t xml:space="preserve"> </w:t>
      </w:r>
      <w:r w:rsidRPr="009E47A6">
        <w:rPr>
          <w:sz w:val="20"/>
          <w:szCs w:val="20"/>
          <w:lang w:bidi="en-US"/>
        </w:rPr>
        <w:t>2008;</w:t>
      </w:r>
      <w:r w:rsidR="00AE1B41" w:rsidRPr="009E47A6">
        <w:rPr>
          <w:sz w:val="20"/>
          <w:szCs w:val="20"/>
          <w:lang w:bidi="en-US"/>
        </w:rPr>
        <w:t xml:space="preserve"> </w:t>
      </w:r>
      <w:r w:rsidRPr="009E47A6">
        <w:rPr>
          <w:sz w:val="20"/>
          <w:szCs w:val="20"/>
          <w:lang w:bidi="en-US"/>
        </w:rPr>
        <w:t>14(1):26-31.</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Yousry</w:t>
      </w:r>
      <w:r w:rsidR="00AE1B41" w:rsidRPr="009E47A6">
        <w:rPr>
          <w:bCs/>
          <w:sz w:val="20"/>
          <w:szCs w:val="20"/>
          <w:lang w:bidi="en-US"/>
        </w:rPr>
        <w:t xml:space="preserve"> </w:t>
      </w:r>
      <w:r w:rsidRPr="009E47A6">
        <w:rPr>
          <w:bCs/>
          <w:sz w:val="20"/>
          <w:szCs w:val="20"/>
          <w:lang w:bidi="en-US"/>
        </w:rPr>
        <w:t>AH</w:t>
      </w:r>
      <w:r w:rsidR="00AE1B41" w:rsidRPr="009E47A6">
        <w:rPr>
          <w:bCs/>
          <w:sz w:val="20"/>
          <w:szCs w:val="20"/>
          <w:lang w:bidi="en-US"/>
        </w:rPr>
        <w:t xml:space="preserve"> </w:t>
      </w:r>
      <w:r w:rsidRPr="009E47A6">
        <w:rPr>
          <w:bCs/>
          <w:sz w:val="20"/>
          <w:szCs w:val="20"/>
          <w:lang w:bidi="en-US"/>
        </w:rPr>
        <w:t>and</w:t>
      </w:r>
      <w:r w:rsidR="00AE1B41" w:rsidRPr="009E47A6">
        <w:rPr>
          <w:bCs/>
          <w:sz w:val="20"/>
          <w:szCs w:val="20"/>
          <w:lang w:bidi="en-US"/>
        </w:rPr>
        <w:t xml:space="preserve"> </w:t>
      </w:r>
      <w:r w:rsidRPr="009E47A6">
        <w:rPr>
          <w:bCs/>
          <w:sz w:val="20"/>
          <w:szCs w:val="20"/>
          <w:lang w:bidi="en-US"/>
        </w:rPr>
        <w:t>Abdalhady</w:t>
      </w:r>
      <w:r w:rsidR="00AE1B41" w:rsidRPr="009E47A6">
        <w:rPr>
          <w:bCs/>
          <w:sz w:val="20"/>
          <w:szCs w:val="20"/>
          <w:lang w:bidi="en-US"/>
        </w:rPr>
        <w:t xml:space="preserve"> </w:t>
      </w:r>
      <w:r w:rsidRPr="009E47A6">
        <w:rPr>
          <w:bCs/>
          <w:sz w:val="20"/>
          <w:szCs w:val="20"/>
          <w:lang w:bidi="en-US"/>
        </w:rPr>
        <w:t>AM.</w:t>
      </w:r>
      <w:r w:rsidR="00AE1B41" w:rsidRPr="009E47A6">
        <w:rPr>
          <w:bCs/>
          <w:sz w:val="20"/>
          <w:szCs w:val="20"/>
          <w:lang w:bidi="en-US"/>
        </w:rPr>
        <w:t xml:space="preserve"> </w:t>
      </w:r>
      <w:r w:rsidRPr="009E47A6">
        <w:rPr>
          <w:sz w:val="20"/>
          <w:szCs w:val="20"/>
          <w:lang w:bidi="en-US"/>
        </w:rPr>
        <w:t>Management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diabetic</w:t>
      </w:r>
      <w:r w:rsidR="00AE1B41" w:rsidRPr="009E47A6">
        <w:rPr>
          <w:sz w:val="20"/>
          <w:szCs w:val="20"/>
          <w:lang w:bidi="en-US"/>
        </w:rPr>
        <w:t xml:space="preserve"> </w:t>
      </w:r>
      <w:r w:rsidRPr="009E47A6">
        <w:rPr>
          <w:sz w:val="20"/>
          <w:szCs w:val="20"/>
          <w:lang w:bidi="en-US"/>
        </w:rPr>
        <w:t>neuropathic</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arthropathy</w:t>
      </w:r>
      <w:r w:rsidR="00AE1B41" w:rsidRPr="009E47A6">
        <w:rPr>
          <w:sz w:val="20"/>
          <w:szCs w:val="20"/>
          <w:lang w:bidi="en-US"/>
        </w:rPr>
        <w:t xml:space="preserve"> </w:t>
      </w:r>
      <w:r w:rsidRPr="009E47A6">
        <w:rPr>
          <w:sz w:val="20"/>
          <w:szCs w:val="20"/>
          <w:lang w:bidi="en-US"/>
        </w:rPr>
        <w:t>by</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using</w:t>
      </w:r>
      <w:r w:rsidR="00AE1B41" w:rsidRPr="009E47A6">
        <w:rPr>
          <w:sz w:val="20"/>
          <w:szCs w:val="20"/>
          <w:lang w:bidi="en-US"/>
        </w:rPr>
        <w:t xml:space="preserve"> </w:t>
      </w:r>
      <w:r w:rsidRPr="009E47A6">
        <w:rPr>
          <w:sz w:val="20"/>
          <w:szCs w:val="20"/>
          <w:lang w:bidi="en-US"/>
        </w:rPr>
        <w:t>an</w:t>
      </w:r>
      <w:r w:rsidR="00AE1B41" w:rsidRPr="009E47A6">
        <w:rPr>
          <w:sz w:val="20"/>
          <w:szCs w:val="20"/>
          <w:lang w:bidi="en-US"/>
        </w:rPr>
        <w:t xml:space="preserve"> </w:t>
      </w:r>
      <w:r w:rsidRPr="009E47A6">
        <w:rPr>
          <w:sz w:val="20"/>
          <w:szCs w:val="20"/>
          <w:lang w:bidi="en-US"/>
        </w:rPr>
        <w:t>Ilizarov</w:t>
      </w:r>
      <w:r w:rsidR="00AE1B41" w:rsidRPr="009E47A6">
        <w:rPr>
          <w:sz w:val="20"/>
          <w:szCs w:val="20"/>
          <w:lang w:bidi="en-US"/>
        </w:rPr>
        <w:t xml:space="preserve"> </w:t>
      </w:r>
      <w:r w:rsidRPr="009E47A6">
        <w:rPr>
          <w:sz w:val="20"/>
          <w:szCs w:val="20"/>
          <w:lang w:bidi="en-US"/>
        </w:rPr>
        <w:t>frame.</w:t>
      </w:r>
      <w:r w:rsidR="00AE1B41" w:rsidRPr="009E47A6">
        <w:rPr>
          <w:sz w:val="20"/>
          <w:szCs w:val="20"/>
          <w:lang w:bidi="en-US"/>
        </w:rPr>
        <w:t xml:space="preserve"> </w:t>
      </w:r>
      <w:r w:rsidRPr="009E47A6">
        <w:rPr>
          <w:sz w:val="20"/>
          <w:szCs w:val="20"/>
          <w:lang w:bidi="en-US"/>
        </w:rPr>
        <w:t>Acta</w:t>
      </w:r>
      <w:r w:rsidR="00AE1B41" w:rsidRPr="009E47A6">
        <w:rPr>
          <w:sz w:val="20"/>
          <w:szCs w:val="20"/>
          <w:lang w:bidi="en-US"/>
        </w:rPr>
        <w:t xml:space="preserve"> </w:t>
      </w:r>
      <w:r w:rsidRPr="009E47A6">
        <w:rPr>
          <w:sz w:val="20"/>
          <w:szCs w:val="20"/>
          <w:lang w:bidi="en-US"/>
        </w:rPr>
        <w:t>Orthopaedica</w:t>
      </w:r>
      <w:r w:rsidR="00AE1B41" w:rsidRPr="009E47A6">
        <w:rPr>
          <w:sz w:val="20"/>
          <w:szCs w:val="20"/>
          <w:lang w:bidi="en-US"/>
        </w:rPr>
        <w:t xml:space="preserve"> </w:t>
      </w:r>
      <w:r w:rsidRPr="009E47A6">
        <w:rPr>
          <w:sz w:val="20"/>
          <w:szCs w:val="20"/>
          <w:lang w:bidi="en-US"/>
        </w:rPr>
        <w:t>Belgica.</w:t>
      </w:r>
      <w:r w:rsidR="00AE1B41" w:rsidRPr="009E47A6">
        <w:rPr>
          <w:sz w:val="20"/>
          <w:szCs w:val="20"/>
          <w:lang w:bidi="en-US"/>
        </w:rPr>
        <w:t xml:space="preserve"> </w:t>
      </w:r>
      <w:r w:rsidRPr="009E47A6">
        <w:rPr>
          <w:sz w:val="20"/>
          <w:szCs w:val="20"/>
          <w:lang w:bidi="en-US"/>
        </w:rPr>
        <w:t>2010</w:t>
      </w:r>
      <w:r w:rsidR="00AE1B41" w:rsidRPr="009E47A6">
        <w:rPr>
          <w:sz w:val="20"/>
          <w:szCs w:val="20"/>
          <w:lang w:bidi="en-US"/>
        </w:rPr>
        <w:t xml:space="preserve"> </w:t>
      </w:r>
      <w:r w:rsidRPr="009E47A6">
        <w:rPr>
          <w:sz w:val="20"/>
          <w:szCs w:val="20"/>
          <w:lang w:bidi="en-US"/>
        </w:rPr>
        <w:t>Dec</w:t>
      </w:r>
      <w:r w:rsidR="00AE1B41" w:rsidRPr="009E47A6">
        <w:rPr>
          <w:sz w:val="20"/>
          <w:szCs w:val="20"/>
          <w:lang w:bidi="en-US"/>
        </w:rPr>
        <w:t xml:space="preserve"> </w:t>
      </w:r>
      <w:r w:rsidRPr="009E47A6">
        <w:rPr>
          <w:sz w:val="20"/>
          <w:szCs w:val="20"/>
          <w:lang w:bidi="en-US"/>
        </w:rPr>
        <w:t>1;76(6):821.</w:t>
      </w:r>
    </w:p>
    <w:p w:rsidR="00C22D76" w:rsidRPr="009E47A6" w:rsidRDefault="00C22D76" w:rsidP="009D397A">
      <w:pPr>
        <w:pStyle w:val="ListParagraph"/>
        <w:numPr>
          <w:ilvl w:val="0"/>
          <w:numId w:val="44"/>
        </w:numPr>
        <w:bidi w:val="0"/>
        <w:snapToGrid w:val="0"/>
        <w:ind w:left="425" w:hanging="425"/>
        <w:jc w:val="both"/>
        <w:rPr>
          <w:sz w:val="20"/>
          <w:szCs w:val="20"/>
          <w:lang w:bidi="en-US"/>
        </w:rPr>
      </w:pPr>
      <w:r w:rsidRPr="009E47A6">
        <w:rPr>
          <w:bCs/>
          <w:sz w:val="20"/>
          <w:szCs w:val="20"/>
          <w:lang w:bidi="en-US"/>
        </w:rPr>
        <w:t>Zarutsky</w:t>
      </w:r>
      <w:r w:rsidR="00AE1B41" w:rsidRPr="009E47A6">
        <w:rPr>
          <w:bCs/>
          <w:sz w:val="20"/>
          <w:szCs w:val="20"/>
          <w:lang w:bidi="en-US"/>
        </w:rPr>
        <w:t xml:space="preserve"> </w:t>
      </w:r>
      <w:r w:rsidRPr="009E47A6">
        <w:rPr>
          <w:bCs/>
          <w:sz w:val="20"/>
          <w:szCs w:val="20"/>
          <w:lang w:bidi="en-US"/>
        </w:rPr>
        <w:t>E,</w:t>
      </w:r>
      <w:r w:rsidR="00AE1B41" w:rsidRPr="009E47A6">
        <w:rPr>
          <w:bCs/>
          <w:sz w:val="20"/>
          <w:szCs w:val="20"/>
          <w:lang w:bidi="en-US"/>
        </w:rPr>
        <w:t xml:space="preserve"> </w:t>
      </w:r>
      <w:r w:rsidRPr="009E47A6">
        <w:rPr>
          <w:bCs/>
          <w:sz w:val="20"/>
          <w:szCs w:val="20"/>
          <w:lang w:bidi="en-US"/>
        </w:rPr>
        <w:t>Rush</w:t>
      </w:r>
      <w:r w:rsidR="00AE1B41" w:rsidRPr="009E47A6">
        <w:rPr>
          <w:bCs/>
          <w:sz w:val="20"/>
          <w:szCs w:val="20"/>
          <w:lang w:bidi="en-US"/>
        </w:rPr>
        <w:t xml:space="preserve"> </w:t>
      </w:r>
      <w:r w:rsidRPr="009E47A6">
        <w:rPr>
          <w:bCs/>
          <w:sz w:val="20"/>
          <w:szCs w:val="20"/>
          <w:lang w:bidi="en-US"/>
        </w:rPr>
        <w:t>SM,</w:t>
      </w:r>
      <w:r w:rsidR="00AE1B41" w:rsidRPr="009E47A6">
        <w:rPr>
          <w:bCs/>
          <w:sz w:val="20"/>
          <w:szCs w:val="20"/>
          <w:lang w:bidi="en-US"/>
        </w:rPr>
        <w:t xml:space="preserve"> </w:t>
      </w:r>
      <w:r w:rsidRPr="009E47A6">
        <w:rPr>
          <w:bCs/>
          <w:sz w:val="20"/>
          <w:szCs w:val="20"/>
          <w:lang w:bidi="en-US"/>
        </w:rPr>
        <w:t>Schuberth</w:t>
      </w:r>
      <w:r w:rsidR="00AE1B41" w:rsidRPr="009E47A6">
        <w:rPr>
          <w:bCs/>
          <w:sz w:val="20"/>
          <w:szCs w:val="20"/>
          <w:lang w:bidi="en-US"/>
        </w:rPr>
        <w:t xml:space="preserve"> </w:t>
      </w:r>
      <w:r w:rsidRPr="009E47A6">
        <w:rPr>
          <w:bCs/>
          <w:sz w:val="20"/>
          <w:szCs w:val="20"/>
          <w:lang w:bidi="en-US"/>
        </w:rPr>
        <w:t>JM.</w:t>
      </w:r>
      <w:r w:rsidR="00AE1B41" w:rsidRPr="009E47A6">
        <w:rPr>
          <w:bCs/>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use</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circular</w:t>
      </w:r>
      <w:r w:rsidR="00AE1B41" w:rsidRPr="009E47A6">
        <w:rPr>
          <w:sz w:val="20"/>
          <w:szCs w:val="20"/>
          <w:lang w:bidi="en-US"/>
        </w:rPr>
        <w:t xml:space="preserve"> </w:t>
      </w:r>
      <w:r w:rsidRPr="009E47A6">
        <w:rPr>
          <w:sz w:val="20"/>
          <w:szCs w:val="20"/>
          <w:lang w:bidi="en-US"/>
        </w:rPr>
        <w:t>wire</w:t>
      </w:r>
      <w:r w:rsidR="00AE1B41" w:rsidRPr="009E47A6">
        <w:rPr>
          <w:sz w:val="20"/>
          <w:szCs w:val="20"/>
          <w:lang w:bidi="en-US"/>
        </w:rPr>
        <w:t xml:space="preserve"> </w:t>
      </w:r>
      <w:r w:rsidRPr="009E47A6">
        <w:rPr>
          <w:sz w:val="20"/>
          <w:szCs w:val="20"/>
          <w:lang w:bidi="en-US"/>
        </w:rPr>
        <w:t>external</w:t>
      </w:r>
      <w:r w:rsidR="00AE1B41" w:rsidRPr="009E47A6">
        <w:rPr>
          <w:sz w:val="20"/>
          <w:szCs w:val="20"/>
          <w:lang w:bidi="en-US"/>
        </w:rPr>
        <w:t xml:space="preserve"> </w:t>
      </w:r>
      <w:r w:rsidRPr="009E47A6">
        <w:rPr>
          <w:sz w:val="20"/>
          <w:szCs w:val="20"/>
          <w:lang w:bidi="en-US"/>
        </w:rPr>
        <w:t>fixation</w:t>
      </w:r>
      <w:r w:rsidR="00AE1B41" w:rsidRPr="009E47A6">
        <w:rPr>
          <w:sz w:val="20"/>
          <w:szCs w:val="20"/>
          <w:lang w:bidi="en-US"/>
        </w:rPr>
        <w:t xml:space="preserve"> </w:t>
      </w:r>
      <w:r w:rsidRPr="009E47A6">
        <w:rPr>
          <w:sz w:val="20"/>
          <w:szCs w:val="20"/>
          <w:lang w:bidi="en-US"/>
        </w:rPr>
        <w:t>in</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treatment</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salvage</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arthrodesis.</w:t>
      </w:r>
      <w:r w:rsidR="00AE1B41" w:rsidRPr="009E47A6">
        <w:rPr>
          <w:sz w:val="20"/>
          <w:szCs w:val="20"/>
          <w:lang w:bidi="en-US"/>
        </w:rPr>
        <w:t xml:space="preserve"> </w:t>
      </w:r>
      <w:r w:rsidRPr="009E47A6">
        <w:rPr>
          <w:sz w:val="20"/>
          <w:szCs w:val="20"/>
          <w:lang w:bidi="en-US"/>
        </w:rPr>
        <w:t>The</w:t>
      </w:r>
      <w:r w:rsidR="00AE1B41" w:rsidRPr="009E47A6">
        <w:rPr>
          <w:sz w:val="20"/>
          <w:szCs w:val="20"/>
          <w:lang w:bidi="en-US"/>
        </w:rPr>
        <w:t xml:space="preserve"> </w:t>
      </w:r>
      <w:r w:rsidRPr="009E47A6">
        <w:rPr>
          <w:sz w:val="20"/>
          <w:szCs w:val="20"/>
          <w:lang w:bidi="en-US"/>
        </w:rPr>
        <w:t>Journal</w:t>
      </w:r>
      <w:r w:rsidR="00AE1B41" w:rsidRPr="009E47A6">
        <w:rPr>
          <w:sz w:val="20"/>
          <w:szCs w:val="20"/>
          <w:lang w:bidi="en-US"/>
        </w:rPr>
        <w:t xml:space="preserve"> </w:t>
      </w:r>
      <w:r w:rsidRPr="009E47A6">
        <w:rPr>
          <w:sz w:val="20"/>
          <w:szCs w:val="20"/>
          <w:lang w:bidi="en-US"/>
        </w:rPr>
        <w:t>of</w:t>
      </w:r>
      <w:r w:rsidR="00AE1B41" w:rsidRPr="009E47A6">
        <w:rPr>
          <w:sz w:val="20"/>
          <w:szCs w:val="20"/>
          <w:lang w:bidi="en-US"/>
        </w:rPr>
        <w:t xml:space="preserve"> </w:t>
      </w:r>
      <w:r w:rsidRPr="009E47A6">
        <w:rPr>
          <w:sz w:val="20"/>
          <w:szCs w:val="20"/>
          <w:lang w:bidi="en-US"/>
        </w:rPr>
        <w:t>foot</w:t>
      </w:r>
      <w:r w:rsidR="00AE1B41" w:rsidRPr="009E47A6">
        <w:rPr>
          <w:sz w:val="20"/>
          <w:szCs w:val="20"/>
          <w:lang w:bidi="en-US"/>
        </w:rPr>
        <w:t xml:space="preserve"> </w:t>
      </w:r>
      <w:r w:rsidRPr="009E47A6">
        <w:rPr>
          <w:sz w:val="20"/>
          <w:szCs w:val="20"/>
          <w:lang w:bidi="en-US"/>
        </w:rPr>
        <w:t>and</w:t>
      </w:r>
      <w:r w:rsidR="00AE1B41" w:rsidRPr="009E47A6">
        <w:rPr>
          <w:sz w:val="20"/>
          <w:szCs w:val="20"/>
          <w:lang w:bidi="en-US"/>
        </w:rPr>
        <w:t xml:space="preserve"> </w:t>
      </w:r>
      <w:r w:rsidRPr="009E47A6">
        <w:rPr>
          <w:sz w:val="20"/>
          <w:szCs w:val="20"/>
          <w:lang w:bidi="en-US"/>
        </w:rPr>
        <w:t>ankle</w:t>
      </w:r>
      <w:r w:rsidR="00AE1B41" w:rsidRPr="009E47A6">
        <w:rPr>
          <w:sz w:val="20"/>
          <w:szCs w:val="20"/>
          <w:lang w:bidi="en-US"/>
        </w:rPr>
        <w:t xml:space="preserve"> </w:t>
      </w:r>
      <w:r w:rsidRPr="009E47A6">
        <w:rPr>
          <w:sz w:val="20"/>
          <w:szCs w:val="20"/>
          <w:lang w:bidi="en-US"/>
        </w:rPr>
        <w:t>surgery.</w:t>
      </w:r>
      <w:r w:rsidR="00AE1B41" w:rsidRPr="009E47A6">
        <w:rPr>
          <w:sz w:val="20"/>
          <w:szCs w:val="20"/>
          <w:lang w:bidi="en-US"/>
        </w:rPr>
        <w:t xml:space="preserve"> </w:t>
      </w:r>
      <w:r w:rsidRPr="009E47A6">
        <w:rPr>
          <w:sz w:val="20"/>
          <w:szCs w:val="20"/>
          <w:lang w:bidi="en-US"/>
        </w:rPr>
        <w:t>2005;</w:t>
      </w:r>
      <w:r w:rsidR="00AE1B41" w:rsidRPr="009E47A6">
        <w:rPr>
          <w:sz w:val="20"/>
          <w:szCs w:val="20"/>
          <w:lang w:bidi="en-US"/>
        </w:rPr>
        <w:t xml:space="preserve"> </w:t>
      </w:r>
      <w:r w:rsidRPr="009E47A6">
        <w:rPr>
          <w:sz w:val="20"/>
          <w:szCs w:val="20"/>
          <w:lang w:bidi="en-US"/>
        </w:rPr>
        <w:t>44(1):22-31.</w:t>
      </w:r>
    </w:p>
    <w:p w:rsidR="00B91206" w:rsidRPr="009E47A6" w:rsidRDefault="00B91206" w:rsidP="009D397A">
      <w:pPr>
        <w:snapToGrid w:val="0"/>
        <w:ind w:left="425" w:hanging="425"/>
        <w:jc w:val="both"/>
        <w:rPr>
          <w:sz w:val="20"/>
          <w:szCs w:val="20"/>
          <w:lang w:bidi="en-US"/>
        </w:rPr>
        <w:sectPr w:rsidR="00B91206" w:rsidRPr="009E47A6" w:rsidSect="006247D3">
          <w:type w:val="continuous"/>
          <w:pgSz w:w="12242" w:h="15842" w:code="1"/>
          <w:pgMar w:top="1440" w:right="1440" w:bottom="1440" w:left="1440" w:header="720" w:footer="720" w:gutter="0"/>
          <w:cols w:num="2" w:space="600"/>
          <w:docGrid w:linePitch="360"/>
        </w:sectPr>
      </w:pPr>
    </w:p>
    <w:p w:rsidR="00AE1B41" w:rsidRPr="009E47A6" w:rsidRDefault="009D397A" w:rsidP="009D397A">
      <w:pPr>
        <w:snapToGrid w:val="0"/>
        <w:ind w:left="425" w:hanging="425"/>
        <w:jc w:val="both"/>
        <w:rPr>
          <w:sz w:val="20"/>
          <w:szCs w:val="20"/>
          <w:lang w:eastAsia="zh-CN" w:bidi="en-US"/>
        </w:rPr>
      </w:pPr>
      <w:r w:rsidRPr="009E47A6">
        <w:rPr>
          <w:rFonts w:hint="eastAsia"/>
          <w:sz w:val="20"/>
          <w:szCs w:val="20"/>
          <w:lang w:eastAsia="zh-CN" w:bidi="en-US"/>
        </w:rPr>
        <w:lastRenderedPageBreak/>
        <w:t xml:space="preserve"> </w:t>
      </w:r>
    </w:p>
    <w:p w:rsidR="006146B9" w:rsidRPr="009E47A6" w:rsidRDefault="00AE1B41" w:rsidP="009D397A">
      <w:pPr>
        <w:snapToGrid w:val="0"/>
        <w:jc w:val="both"/>
        <w:rPr>
          <w:sz w:val="20"/>
          <w:szCs w:val="20"/>
          <w:lang w:bidi="en-US"/>
        </w:rPr>
      </w:pPr>
      <w:r w:rsidRPr="009E47A6">
        <w:rPr>
          <w:sz w:val="20"/>
          <w:szCs w:val="20"/>
          <w:lang w:bidi="en-US"/>
        </w:rPr>
        <w:t xml:space="preserve"> </w:t>
      </w:r>
      <w:r w:rsidRPr="009E47A6">
        <w:rPr>
          <w:sz w:val="20"/>
          <w:szCs w:val="20"/>
          <w:lang w:bidi="en-US"/>
        </w:rPr>
        <w:cr/>
        <w:t>9/24/2018</w:t>
      </w:r>
    </w:p>
    <w:sectPr w:rsidR="006146B9" w:rsidRPr="009E47A6" w:rsidSect="006247D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A2C" w:rsidRDefault="000D2A2C">
      <w:r>
        <w:separator/>
      </w:r>
    </w:p>
  </w:endnote>
  <w:endnote w:type="continuationSeparator" w:id="0">
    <w:p w:rsidR="000D2A2C" w:rsidRDefault="000D2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swiss"/>
    <w:notTrueType/>
    <w:pitch w:val="default"/>
    <w:sig w:usb0="00000003" w:usb1="00000000" w:usb2="00000000" w:usb3="00000000" w:csb0="00000001" w:csb1="00000000"/>
  </w:font>
  <w:font w:name="NexusSerif-Regular">
    <w:altName w:val="Times New Roman"/>
    <w:panose1 w:val="00000000000000000000"/>
    <w:charset w:val="00"/>
    <w:family w:val="roman"/>
    <w:notTrueType/>
    <w:pitch w:val="default"/>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06F" w:rsidRDefault="005E301C" w:rsidP="00E928CA">
    <w:pPr>
      <w:pStyle w:val="Footer"/>
      <w:framePr w:wrap="around" w:vAnchor="text" w:hAnchor="margin" w:xAlign="center" w:y="1"/>
      <w:rPr>
        <w:rStyle w:val="PageNumber"/>
      </w:rPr>
    </w:pPr>
    <w:r>
      <w:rPr>
        <w:rStyle w:val="PageNumber"/>
        <w:rtl/>
      </w:rPr>
      <w:fldChar w:fldCharType="begin"/>
    </w:r>
    <w:r w:rsidR="009F006F">
      <w:rPr>
        <w:rStyle w:val="PageNumber"/>
      </w:rPr>
      <w:instrText xml:space="preserve">PAGE  </w:instrText>
    </w:r>
    <w:r>
      <w:rPr>
        <w:rStyle w:val="PageNumber"/>
        <w:rtl/>
      </w:rPr>
      <w:fldChar w:fldCharType="end"/>
    </w:r>
  </w:p>
  <w:p w:rsidR="009F006F" w:rsidRDefault="009F0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06F" w:rsidRPr="006247D3" w:rsidRDefault="005E301C" w:rsidP="006247D3">
    <w:pPr>
      <w:jc w:val="center"/>
      <w:rPr>
        <w:sz w:val="20"/>
      </w:rPr>
    </w:pPr>
    <w:r w:rsidRPr="006247D3">
      <w:rPr>
        <w:sz w:val="20"/>
      </w:rPr>
      <w:fldChar w:fldCharType="begin"/>
    </w:r>
    <w:r w:rsidR="006247D3" w:rsidRPr="006247D3">
      <w:rPr>
        <w:sz w:val="20"/>
      </w:rPr>
      <w:instrText xml:space="preserve"> page </w:instrText>
    </w:r>
    <w:r w:rsidRPr="006247D3">
      <w:rPr>
        <w:sz w:val="20"/>
      </w:rPr>
      <w:fldChar w:fldCharType="separate"/>
    </w:r>
    <w:r w:rsidR="005A63DE">
      <w:rPr>
        <w:noProof/>
        <w:sz w:val="20"/>
      </w:rPr>
      <w:t>8</w:t>
    </w:r>
    <w:r w:rsidRPr="006247D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A2C" w:rsidRDefault="000D2A2C">
      <w:r>
        <w:separator/>
      </w:r>
    </w:p>
  </w:footnote>
  <w:footnote w:type="continuationSeparator" w:id="0">
    <w:p w:rsidR="000D2A2C" w:rsidRDefault="000D2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D3" w:rsidRPr="006247D3" w:rsidRDefault="006247D3" w:rsidP="006247D3">
    <w:pPr>
      <w:pBdr>
        <w:bottom w:val="thinThickMediumGap" w:sz="12" w:space="1" w:color="auto"/>
      </w:pBdr>
      <w:tabs>
        <w:tab w:val="left" w:pos="851"/>
        <w:tab w:val="right" w:pos="8364"/>
      </w:tabs>
      <w:adjustRightInd w:val="0"/>
      <w:snapToGrid w:val="0"/>
      <w:jc w:val="both"/>
      <w:rPr>
        <w:iCs/>
        <w:sz w:val="20"/>
        <w:szCs w:val="20"/>
      </w:rPr>
    </w:pPr>
    <w:r w:rsidRPr="006247D3">
      <w:rPr>
        <w:rFonts w:hint="eastAsia"/>
        <w:iCs/>
        <w:color w:val="000000"/>
        <w:sz w:val="20"/>
        <w:szCs w:val="20"/>
      </w:rPr>
      <w:tab/>
    </w:r>
    <w:r w:rsidRPr="006247D3">
      <w:rPr>
        <w:iCs/>
        <w:color w:val="000000"/>
        <w:sz w:val="20"/>
        <w:szCs w:val="20"/>
      </w:rPr>
      <w:t xml:space="preserve">Researcher </w:t>
    </w:r>
    <w:r w:rsidRPr="006247D3">
      <w:rPr>
        <w:iCs/>
        <w:sz w:val="20"/>
        <w:szCs w:val="20"/>
      </w:rPr>
      <w:t>201</w:t>
    </w:r>
    <w:r w:rsidRPr="006247D3">
      <w:rPr>
        <w:rFonts w:hint="eastAsia"/>
        <w:iCs/>
        <w:sz w:val="20"/>
        <w:szCs w:val="20"/>
      </w:rPr>
      <w:t>8</w:t>
    </w:r>
    <w:r w:rsidRPr="006247D3">
      <w:rPr>
        <w:iCs/>
        <w:sz w:val="20"/>
        <w:szCs w:val="20"/>
      </w:rPr>
      <w:t>;</w:t>
    </w:r>
    <w:r w:rsidRPr="006247D3">
      <w:rPr>
        <w:rFonts w:hint="eastAsia"/>
        <w:iCs/>
        <w:sz w:val="20"/>
        <w:szCs w:val="20"/>
      </w:rPr>
      <w:t>10</w:t>
    </w:r>
    <w:r w:rsidRPr="006247D3">
      <w:rPr>
        <w:iCs/>
        <w:sz w:val="20"/>
        <w:szCs w:val="20"/>
      </w:rPr>
      <w:t>(</w:t>
    </w:r>
    <w:r w:rsidRPr="006247D3">
      <w:rPr>
        <w:rFonts w:hint="eastAsia"/>
        <w:iCs/>
        <w:sz w:val="20"/>
        <w:szCs w:val="20"/>
      </w:rPr>
      <w:t>9</w:t>
    </w:r>
    <w:r w:rsidRPr="006247D3">
      <w:rPr>
        <w:iCs/>
        <w:sz w:val="20"/>
        <w:szCs w:val="20"/>
      </w:rPr>
      <w:t xml:space="preserve">)  </w:t>
    </w:r>
    <w:r w:rsidRPr="006247D3">
      <w:rPr>
        <w:rFonts w:hint="eastAsia"/>
        <w:iCs/>
        <w:sz w:val="20"/>
        <w:szCs w:val="20"/>
      </w:rPr>
      <w:t xml:space="preserve"> </w:t>
    </w:r>
    <w:r w:rsidRPr="006247D3">
      <w:rPr>
        <w:iCs/>
        <w:sz w:val="20"/>
        <w:szCs w:val="20"/>
      </w:rPr>
      <w:t xml:space="preserve"> </w:t>
    </w:r>
    <w:r w:rsidRPr="006247D3">
      <w:rPr>
        <w:rFonts w:hint="eastAsia"/>
        <w:iCs/>
        <w:sz w:val="20"/>
        <w:szCs w:val="20"/>
      </w:rPr>
      <w:tab/>
    </w:r>
    <w:r w:rsidRPr="006247D3">
      <w:rPr>
        <w:iCs/>
        <w:sz w:val="20"/>
        <w:szCs w:val="20"/>
      </w:rPr>
      <w:t xml:space="preserve">    </w:t>
    </w:r>
    <w:r w:rsidRPr="006247D3">
      <w:rPr>
        <w:sz w:val="20"/>
        <w:szCs w:val="20"/>
      </w:rPr>
      <w:t xml:space="preserve"> </w:t>
    </w:r>
    <w:hyperlink r:id="rId1" w:history="1">
      <w:r w:rsidRPr="006247D3">
        <w:rPr>
          <w:rStyle w:val="Hyperlink"/>
          <w:sz w:val="20"/>
          <w:szCs w:val="20"/>
        </w:rPr>
        <w:t>http://www.sciencepub.net/researcher</w:t>
      </w:r>
    </w:hyperlink>
  </w:p>
  <w:p w:rsidR="006247D3" w:rsidRPr="006247D3" w:rsidRDefault="006247D3" w:rsidP="006247D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5420"/>
      </v:shape>
    </w:pict>
  </w:numPicBullet>
  <w:abstractNum w:abstractNumId="0">
    <w:nsid w:val="04C6540B"/>
    <w:multiLevelType w:val="hybridMultilevel"/>
    <w:tmpl w:val="EC762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237C4"/>
    <w:multiLevelType w:val="hybridMultilevel"/>
    <w:tmpl w:val="284C790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6B5210"/>
    <w:multiLevelType w:val="hybridMultilevel"/>
    <w:tmpl w:val="C762B536"/>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433FA"/>
    <w:multiLevelType w:val="hybridMultilevel"/>
    <w:tmpl w:val="8582706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4">
    <w:nsid w:val="0F2F3674"/>
    <w:multiLevelType w:val="hybridMultilevel"/>
    <w:tmpl w:val="59F4728C"/>
    <w:lvl w:ilvl="0" w:tplc="94A4008C">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BF76ED"/>
    <w:multiLevelType w:val="hybridMultilevel"/>
    <w:tmpl w:val="DEBC59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6">
    <w:nsid w:val="146B75E7"/>
    <w:multiLevelType w:val="multilevel"/>
    <w:tmpl w:val="25A227FA"/>
    <w:lvl w:ilvl="0">
      <w:start w:val="1"/>
      <w:numFmt w:val="bullet"/>
      <w:lvlText w:val=""/>
      <w:lvlJc w:val="left"/>
      <w:pPr>
        <w:ind w:left="1080" w:hanging="360"/>
      </w:pPr>
      <w:rPr>
        <w:rFonts w:ascii="Symbol" w:hAnsi="Symbol"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abstractNum w:abstractNumId="7">
    <w:nsid w:val="15AF0203"/>
    <w:multiLevelType w:val="hybridMultilevel"/>
    <w:tmpl w:val="B7805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03504"/>
    <w:multiLevelType w:val="hybridMultilevel"/>
    <w:tmpl w:val="D5022B60"/>
    <w:lvl w:ilvl="0" w:tplc="2856BD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E2189"/>
    <w:multiLevelType w:val="hybridMultilevel"/>
    <w:tmpl w:val="66822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D60714"/>
    <w:multiLevelType w:val="hybridMultilevel"/>
    <w:tmpl w:val="71647C9A"/>
    <w:lvl w:ilvl="0" w:tplc="04090007">
      <w:start w:val="1"/>
      <w:numFmt w:val="bullet"/>
      <w:lvlText w:val=""/>
      <w:lvlPicBulletId w:val="0"/>
      <w:lvlJc w:val="left"/>
      <w:pPr>
        <w:tabs>
          <w:tab w:val="num" w:pos="720"/>
        </w:tabs>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E379C"/>
    <w:multiLevelType w:val="hybridMultilevel"/>
    <w:tmpl w:val="25A22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2">
    <w:nsid w:val="2BCF5508"/>
    <w:multiLevelType w:val="hybridMultilevel"/>
    <w:tmpl w:val="08062CFA"/>
    <w:lvl w:ilvl="0" w:tplc="11A08EA6">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FE6427"/>
    <w:multiLevelType w:val="multilevel"/>
    <w:tmpl w:val="59F4728C"/>
    <w:lvl w:ilvl="0">
      <w:start w:val="1"/>
      <w:numFmt w:val="bullet"/>
      <w:lvlText w:val=""/>
      <w:lvlJc w:val="left"/>
      <w:pPr>
        <w:ind w:left="1800" w:hanging="360"/>
      </w:pPr>
      <w:rPr>
        <w:rFonts w:ascii="Symbol" w:eastAsia="Calibri" w:hAnsi="Symbol"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nsid w:val="2F6A2DC7"/>
    <w:multiLevelType w:val="hybridMultilevel"/>
    <w:tmpl w:val="C8B4595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9045F"/>
    <w:multiLevelType w:val="multilevel"/>
    <w:tmpl w:val="25A227FA"/>
    <w:lvl w:ilvl="0">
      <w:start w:val="1"/>
      <w:numFmt w:val="bullet"/>
      <w:lvlText w:val=""/>
      <w:lvlJc w:val="left"/>
      <w:pPr>
        <w:ind w:left="1080" w:hanging="360"/>
      </w:pPr>
      <w:rPr>
        <w:rFonts w:ascii="Symbol" w:hAnsi="Symbol"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abstractNum w:abstractNumId="16">
    <w:nsid w:val="3A8F32AF"/>
    <w:multiLevelType w:val="hybridMultilevel"/>
    <w:tmpl w:val="32AA0F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7">
    <w:nsid w:val="45836289"/>
    <w:multiLevelType w:val="hybridMultilevel"/>
    <w:tmpl w:val="EE2A888C"/>
    <w:lvl w:ilvl="0" w:tplc="04090005">
      <w:start w:val="1"/>
      <w:numFmt w:val="bullet"/>
      <w:lvlText w:val=""/>
      <w:lvlJc w:val="left"/>
      <w:pPr>
        <w:tabs>
          <w:tab w:val="num" w:pos="1080"/>
        </w:tabs>
        <w:ind w:left="108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233F54"/>
    <w:multiLevelType w:val="multilevel"/>
    <w:tmpl w:val="D5022B60"/>
    <w:lvl w:ilvl="0">
      <w:start w:val="3"/>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E756C5"/>
    <w:multiLevelType w:val="multilevel"/>
    <w:tmpl w:val="DEBC59DA"/>
    <w:lvl w:ilvl="0">
      <w:start w:val="1"/>
      <w:numFmt w:val="bullet"/>
      <w:lvlText w:val=""/>
      <w:lvlJc w:val="left"/>
      <w:pPr>
        <w:ind w:left="1080" w:hanging="360"/>
      </w:pPr>
      <w:rPr>
        <w:rFonts w:ascii="Wingdings" w:hAnsi="Wingdings"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abstractNum w:abstractNumId="20">
    <w:nsid w:val="4BD03C09"/>
    <w:multiLevelType w:val="hybridMultilevel"/>
    <w:tmpl w:val="393AE3E0"/>
    <w:lvl w:ilvl="0" w:tplc="C1626AE2">
      <w:start w:val="1"/>
      <w:numFmt w:val="decimal"/>
      <w:lvlText w:val="%1."/>
      <w:lvlJc w:val="left"/>
      <w:pPr>
        <w:ind w:left="360" w:hanging="360"/>
      </w:pPr>
      <w:rPr>
        <w:b/>
        <w:bC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1">
    <w:nsid w:val="4D160CCF"/>
    <w:multiLevelType w:val="hybridMultilevel"/>
    <w:tmpl w:val="22545012"/>
    <w:lvl w:ilvl="0" w:tplc="61AA1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4B7774"/>
    <w:multiLevelType w:val="hybridMultilevel"/>
    <w:tmpl w:val="DC4A9B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9B0463"/>
    <w:multiLevelType w:val="hybridMultilevel"/>
    <w:tmpl w:val="3C167F52"/>
    <w:lvl w:ilvl="0" w:tplc="7A2EC4CC">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654BF"/>
    <w:multiLevelType w:val="hybridMultilevel"/>
    <w:tmpl w:val="838C09A8"/>
    <w:lvl w:ilvl="0" w:tplc="93465F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08A0ED9"/>
    <w:multiLevelType w:val="hybridMultilevel"/>
    <w:tmpl w:val="3C0A99A8"/>
    <w:lvl w:ilvl="0" w:tplc="EC2010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20A56"/>
    <w:multiLevelType w:val="hybridMultilevel"/>
    <w:tmpl w:val="6AD84D6A"/>
    <w:lvl w:ilvl="0" w:tplc="7244F36C">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F37DF7"/>
    <w:multiLevelType w:val="multilevel"/>
    <w:tmpl w:val="71647C9A"/>
    <w:lvl w:ilvl="0">
      <w:start w:val="1"/>
      <w:numFmt w:val="bullet"/>
      <w:lvlText w:val=""/>
      <w:lvlPicBulletId w:val="0"/>
      <w:lvlJc w:val="left"/>
      <w:pPr>
        <w:tabs>
          <w:tab w:val="num" w:pos="720"/>
        </w:tabs>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9C35F6"/>
    <w:multiLevelType w:val="hybridMultilevel"/>
    <w:tmpl w:val="9F32CA24"/>
    <w:lvl w:ilvl="0" w:tplc="04090005">
      <w:start w:val="1"/>
      <w:numFmt w:val="bullet"/>
      <w:lvlText w:val=""/>
      <w:lvlJc w:val="left"/>
      <w:pPr>
        <w:tabs>
          <w:tab w:val="num" w:pos="1440"/>
        </w:tabs>
        <w:ind w:left="1440" w:hanging="360"/>
      </w:pPr>
      <w:rPr>
        <w:rFonts w:ascii="Wingdings" w:hAnsi="Wingdings"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4D317E"/>
    <w:multiLevelType w:val="multilevel"/>
    <w:tmpl w:val="B6FC8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F67FCB"/>
    <w:multiLevelType w:val="hybridMultilevel"/>
    <w:tmpl w:val="BC2EBF28"/>
    <w:lvl w:ilvl="0" w:tplc="BA34CB00">
      <w:start w:val="3"/>
      <w:numFmt w:val="bullet"/>
      <w:lvlText w:val=""/>
      <w:lvlJc w:val="left"/>
      <w:pPr>
        <w:ind w:left="720" w:hanging="360"/>
      </w:pPr>
      <w:rPr>
        <w:rFonts w:ascii="Wingdings" w:eastAsia="Times New Roman" w:hAnsi="Wingdings"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86DAD"/>
    <w:multiLevelType w:val="hybridMultilevel"/>
    <w:tmpl w:val="C6926FB0"/>
    <w:lvl w:ilvl="0" w:tplc="04090005">
      <w:start w:val="1"/>
      <w:numFmt w:val="bullet"/>
      <w:lvlText w:val=""/>
      <w:lvlJc w:val="left"/>
      <w:pPr>
        <w:tabs>
          <w:tab w:val="num" w:pos="720"/>
        </w:tabs>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lang w:bidi="ar-SA"/>
      </w:rPr>
    </w:lvl>
    <w:lvl w:ilvl="1" w:tplc="48C62BB4">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083A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6EE50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029D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438A0">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8F7AA">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47B10">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2141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5BB875E1"/>
    <w:multiLevelType w:val="hybridMultilevel"/>
    <w:tmpl w:val="39689E9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C1561FF"/>
    <w:multiLevelType w:val="hybridMultilevel"/>
    <w:tmpl w:val="81F07C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023A0C"/>
    <w:multiLevelType w:val="hybridMultilevel"/>
    <w:tmpl w:val="2996C9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5">
    <w:nsid w:val="64BE0905"/>
    <w:multiLevelType w:val="multilevel"/>
    <w:tmpl w:val="DEBC59DA"/>
    <w:lvl w:ilvl="0">
      <w:start w:val="1"/>
      <w:numFmt w:val="bullet"/>
      <w:lvlText w:val=""/>
      <w:lvlJc w:val="left"/>
      <w:pPr>
        <w:ind w:left="1080" w:hanging="360"/>
      </w:pPr>
      <w:rPr>
        <w:rFonts w:ascii="Wingdings" w:hAnsi="Wingdings"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abstractNum w:abstractNumId="36">
    <w:nsid w:val="67707AB6"/>
    <w:multiLevelType w:val="hybridMultilevel"/>
    <w:tmpl w:val="C100999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7">
    <w:nsid w:val="692C79C9"/>
    <w:multiLevelType w:val="multilevel"/>
    <w:tmpl w:val="08062CFA"/>
    <w:lvl w:ilvl="0">
      <w:numFmt w:val="bullet"/>
      <w:lvlText w:val=""/>
      <w:lvlJc w:val="left"/>
      <w:pPr>
        <w:ind w:left="1080" w:hanging="360"/>
      </w:pPr>
      <w:rPr>
        <w:rFonts w:ascii="Symbol" w:eastAsia="Times New Roman" w:hAnsi="Symbol" w:cs="Times New Roman" w:hint="default"/>
        <w:u w:val="no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6A923348"/>
    <w:multiLevelType w:val="hybridMultilevel"/>
    <w:tmpl w:val="3B98AF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65329E"/>
    <w:multiLevelType w:val="multilevel"/>
    <w:tmpl w:val="C762B53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2573DCF"/>
    <w:multiLevelType w:val="multilevel"/>
    <w:tmpl w:val="F7A2A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0028A4"/>
    <w:multiLevelType w:val="hybridMultilevel"/>
    <w:tmpl w:val="784EA49C"/>
    <w:lvl w:ilvl="0" w:tplc="615ECFF2">
      <w:start w:val="1"/>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3A577D"/>
    <w:multiLevelType w:val="hybridMultilevel"/>
    <w:tmpl w:val="1F66D45A"/>
    <w:lvl w:ilvl="0" w:tplc="41D02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E4279EC"/>
    <w:multiLevelType w:val="hybridMultilevel"/>
    <w:tmpl w:val="6206FBE0"/>
    <w:lvl w:ilvl="0" w:tplc="A072B9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3"/>
  </w:num>
  <w:num w:numId="3">
    <w:abstractNumId w:val="7"/>
  </w:num>
  <w:num w:numId="4">
    <w:abstractNumId w:val="41"/>
  </w:num>
  <w:num w:numId="5">
    <w:abstractNumId w:val="36"/>
  </w:num>
  <w:num w:numId="6">
    <w:abstractNumId w:val="12"/>
  </w:num>
  <w:num w:numId="7">
    <w:abstractNumId w:val="26"/>
  </w:num>
  <w:num w:numId="8">
    <w:abstractNumId w:val="5"/>
  </w:num>
  <w:num w:numId="9">
    <w:abstractNumId w:val="21"/>
  </w:num>
  <w:num w:numId="10">
    <w:abstractNumId w:val="43"/>
  </w:num>
  <w:num w:numId="11">
    <w:abstractNumId w:val="24"/>
  </w:num>
  <w:num w:numId="12">
    <w:abstractNumId w:val="42"/>
  </w:num>
  <w:num w:numId="13">
    <w:abstractNumId w:val="4"/>
  </w:num>
  <w:num w:numId="14">
    <w:abstractNumId w:val="40"/>
  </w:num>
  <w:num w:numId="15">
    <w:abstractNumId w:val="11"/>
  </w:num>
  <w:num w:numId="16">
    <w:abstractNumId w:val="30"/>
  </w:num>
  <w:num w:numId="17">
    <w:abstractNumId w:val="2"/>
  </w:num>
  <w:num w:numId="18">
    <w:abstractNumId w:val="29"/>
  </w:num>
  <w:num w:numId="19">
    <w:abstractNumId w:val="0"/>
  </w:num>
  <w:num w:numId="20">
    <w:abstractNumId w:val="8"/>
  </w:num>
  <w:num w:numId="21">
    <w:abstractNumId w:val="25"/>
  </w:num>
  <w:num w:numId="22">
    <w:abstractNumId w:val="23"/>
  </w:num>
  <w:num w:numId="23">
    <w:abstractNumId w:val="20"/>
  </w:num>
  <w:num w:numId="24">
    <w:abstractNumId w:val="32"/>
  </w:num>
  <w:num w:numId="25">
    <w:abstractNumId w:val="37"/>
  </w:num>
  <w:num w:numId="26">
    <w:abstractNumId w:val="28"/>
  </w:num>
  <w:num w:numId="27">
    <w:abstractNumId w:val="35"/>
  </w:num>
  <w:num w:numId="28">
    <w:abstractNumId w:val="16"/>
  </w:num>
  <w:num w:numId="29">
    <w:abstractNumId w:val="19"/>
  </w:num>
  <w:num w:numId="30">
    <w:abstractNumId w:val="3"/>
  </w:num>
  <w:num w:numId="31">
    <w:abstractNumId w:val="13"/>
  </w:num>
  <w:num w:numId="32">
    <w:abstractNumId w:val="1"/>
  </w:num>
  <w:num w:numId="33">
    <w:abstractNumId w:val="6"/>
  </w:num>
  <w:num w:numId="34">
    <w:abstractNumId w:val="34"/>
  </w:num>
  <w:num w:numId="35">
    <w:abstractNumId w:val="39"/>
  </w:num>
  <w:num w:numId="36">
    <w:abstractNumId w:val="10"/>
  </w:num>
  <w:num w:numId="37">
    <w:abstractNumId w:val="27"/>
  </w:num>
  <w:num w:numId="38">
    <w:abstractNumId w:val="17"/>
  </w:num>
  <w:num w:numId="39">
    <w:abstractNumId w:val="38"/>
  </w:num>
  <w:num w:numId="40">
    <w:abstractNumId w:val="15"/>
  </w:num>
  <w:num w:numId="41">
    <w:abstractNumId w:val="18"/>
  </w:num>
  <w:num w:numId="42">
    <w:abstractNumId w:val="14"/>
  </w:num>
  <w:num w:numId="43">
    <w:abstractNumId w:val="9"/>
  </w:num>
  <w:num w:numId="44">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CD76C8"/>
    <w:rsid w:val="000D2A2C"/>
    <w:rsid w:val="000E6274"/>
    <w:rsid w:val="000F03EC"/>
    <w:rsid w:val="001461B4"/>
    <w:rsid w:val="001D6848"/>
    <w:rsid w:val="001F6CB1"/>
    <w:rsid w:val="0028034E"/>
    <w:rsid w:val="002A65E2"/>
    <w:rsid w:val="002C2C61"/>
    <w:rsid w:val="003F5249"/>
    <w:rsid w:val="004076BE"/>
    <w:rsid w:val="00471217"/>
    <w:rsid w:val="00490862"/>
    <w:rsid w:val="004E5A5B"/>
    <w:rsid w:val="00532FB3"/>
    <w:rsid w:val="00537754"/>
    <w:rsid w:val="00571932"/>
    <w:rsid w:val="005A63DE"/>
    <w:rsid w:val="005E301C"/>
    <w:rsid w:val="005E3EB4"/>
    <w:rsid w:val="006146B9"/>
    <w:rsid w:val="006247D3"/>
    <w:rsid w:val="00660324"/>
    <w:rsid w:val="0067569C"/>
    <w:rsid w:val="006A4A8F"/>
    <w:rsid w:val="006E4A56"/>
    <w:rsid w:val="006F1A99"/>
    <w:rsid w:val="007C7467"/>
    <w:rsid w:val="007D2958"/>
    <w:rsid w:val="007D6B34"/>
    <w:rsid w:val="008252EA"/>
    <w:rsid w:val="00864676"/>
    <w:rsid w:val="008808AF"/>
    <w:rsid w:val="008C59F7"/>
    <w:rsid w:val="008E4AE7"/>
    <w:rsid w:val="009044DB"/>
    <w:rsid w:val="00904C73"/>
    <w:rsid w:val="00917E0D"/>
    <w:rsid w:val="009A73BE"/>
    <w:rsid w:val="009D397A"/>
    <w:rsid w:val="009E47A6"/>
    <w:rsid w:val="009F006F"/>
    <w:rsid w:val="00A575D6"/>
    <w:rsid w:val="00AC7B7B"/>
    <w:rsid w:val="00AE1B41"/>
    <w:rsid w:val="00B91206"/>
    <w:rsid w:val="00C01C23"/>
    <w:rsid w:val="00C22D76"/>
    <w:rsid w:val="00CC0EC4"/>
    <w:rsid w:val="00CC7A69"/>
    <w:rsid w:val="00CD76C8"/>
    <w:rsid w:val="00D54249"/>
    <w:rsid w:val="00D76270"/>
    <w:rsid w:val="00DC5772"/>
    <w:rsid w:val="00E514CF"/>
    <w:rsid w:val="00E743B4"/>
    <w:rsid w:val="00E928CA"/>
    <w:rsid w:val="00EA58D2"/>
    <w:rsid w:val="00EE6C32"/>
    <w:rsid w:val="00FA3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676"/>
    <w:rPr>
      <w:sz w:val="24"/>
      <w:szCs w:val="24"/>
      <w:lang w:eastAsia="en-US"/>
    </w:rPr>
  </w:style>
  <w:style w:type="paragraph" w:styleId="Heading1">
    <w:name w:val="heading 1"/>
    <w:basedOn w:val="Normal"/>
    <w:next w:val="Normal"/>
    <w:link w:val="Heading1Char1"/>
    <w:qFormat/>
    <w:rsid w:val="00471217"/>
    <w:pPr>
      <w:keepNext/>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1"/>
    <w:qFormat/>
    <w:rsid w:val="00471217"/>
    <w:pPr>
      <w:keepNext/>
      <w:spacing w:before="240" w:after="60"/>
      <w:outlineLvl w:val="1"/>
    </w:pPr>
    <w:rPr>
      <w:rFonts w:ascii="Albertus Extra Bold" w:hAnsi="Albertus Extra Bold" w:cs="Arial"/>
      <w:b/>
      <w:bCs/>
      <w:sz w:val="30"/>
      <w:szCs w:val="30"/>
      <w:lang w:bidi="ar-EG"/>
    </w:rPr>
  </w:style>
  <w:style w:type="paragraph" w:styleId="Heading3">
    <w:name w:val="heading 3"/>
    <w:basedOn w:val="Normal"/>
    <w:link w:val="Heading3Char1"/>
    <w:qFormat/>
    <w:rsid w:val="00471217"/>
    <w:pPr>
      <w:spacing w:before="100" w:beforeAutospacing="1" w:after="100" w:afterAutospacing="1"/>
      <w:outlineLvl w:val="2"/>
    </w:pPr>
    <w:rPr>
      <w:rFonts w:eastAsia="宋体"/>
      <w:b/>
      <w:bCs/>
      <w:sz w:val="27"/>
      <w:szCs w:val="27"/>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71217"/>
    <w:rPr>
      <w:rFonts w:ascii="Albertus Extra Bold" w:hAnsi="Albertus Extra Bold" w:cs="Arial"/>
      <w:b/>
      <w:bCs/>
      <w:smallCaps/>
      <w:kern w:val="32"/>
      <w:sz w:val="44"/>
      <w:szCs w:val="44"/>
      <w:lang w:val="en-US" w:eastAsia="en-US" w:bidi="ar-EG"/>
    </w:rPr>
  </w:style>
  <w:style w:type="character" w:customStyle="1" w:styleId="Heading3Char1">
    <w:name w:val="Heading 3 Char1"/>
    <w:link w:val="Heading3"/>
    <w:locked/>
    <w:rsid w:val="00471217"/>
    <w:rPr>
      <w:rFonts w:eastAsia="宋体"/>
      <w:b/>
      <w:bCs/>
      <w:sz w:val="27"/>
      <w:szCs w:val="27"/>
      <w:lang w:val="en-US" w:eastAsia="zh-CN" w:bidi="ar-EG"/>
    </w:rPr>
  </w:style>
  <w:style w:type="paragraph" w:styleId="Header">
    <w:name w:val="header"/>
    <w:aliases w:val="Char"/>
    <w:basedOn w:val="Normal"/>
    <w:link w:val="HeaderChar1"/>
    <w:rsid w:val="00471217"/>
    <w:pPr>
      <w:tabs>
        <w:tab w:val="center" w:pos="4153"/>
        <w:tab w:val="right" w:pos="8306"/>
      </w:tabs>
      <w:bidi/>
    </w:pPr>
  </w:style>
  <w:style w:type="character" w:customStyle="1" w:styleId="HeaderChar1">
    <w:name w:val="Header Char1"/>
    <w:aliases w:val="Char Char"/>
    <w:link w:val="Header"/>
    <w:rsid w:val="00471217"/>
    <w:rPr>
      <w:sz w:val="24"/>
      <w:szCs w:val="24"/>
      <w:lang w:val="en-US" w:eastAsia="en-US" w:bidi="ar-SA"/>
    </w:rPr>
  </w:style>
  <w:style w:type="paragraph" w:styleId="Footer">
    <w:name w:val="footer"/>
    <w:basedOn w:val="Normal"/>
    <w:link w:val="FooterChar1"/>
    <w:rsid w:val="00471217"/>
    <w:pPr>
      <w:tabs>
        <w:tab w:val="center" w:pos="4153"/>
        <w:tab w:val="right" w:pos="8306"/>
      </w:tabs>
      <w:bidi/>
    </w:pPr>
  </w:style>
  <w:style w:type="character" w:customStyle="1" w:styleId="FooterChar1">
    <w:name w:val="Footer Char1"/>
    <w:link w:val="Footer"/>
    <w:rsid w:val="00471217"/>
    <w:rPr>
      <w:sz w:val="24"/>
      <w:szCs w:val="24"/>
      <w:lang w:val="en-US" w:eastAsia="en-US" w:bidi="ar-SA"/>
    </w:rPr>
  </w:style>
  <w:style w:type="character" w:styleId="PageNumber">
    <w:name w:val="page number"/>
    <w:basedOn w:val="DefaultParagraphFont"/>
    <w:rsid w:val="00471217"/>
  </w:style>
  <w:style w:type="character" w:styleId="Hyperlink">
    <w:name w:val="Hyperlink"/>
    <w:uiPriority w:val="99"/>
    <w:rsid w:val="00471217"/>
    <w:rPr>
      <w:color w:val="0000FF"/>
      <w:u w:val="single"/>
    </w:rPr>
  </w:style>
  <w:style w:type="paragraph" w:styleId="Caption">
    <w:name w:val="caption"/>
    <w:basedOn w:val="Normal"/>
    <w:next w:val="Normal"/>
    <w:qFormat/>
    <w:rsid w:val="00471217"/>
    <w:pPr>
      <w:bidi/>
    </w:pPr>
    <w:rPr>
      <w:b/>
      <w:bCs/>
      <w:sz w:val="20"/>
      <w:szCs w:val="20"/>
    </w:rPr>
  </w:style>
  <w:style w:type="paragraph" w:styleId="HTMLPreformatted">
    <w:name w:val="HTML Preformatted"/>
    <w:basedOn w:val="Normal"/>
    <w:link w:val="HTMLPreformattedChar"/>
    <w:rsid w:val="004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71217"/>
    <w:rPr>
      <w:rFonts w:ascii="Courier New" w:hAnsi="Courier New" w:cs="Courier New"/>
      <w:lang w:val="en-US" w:eastAsia="en-US" w:bidi="ar-SA"/>
    </w:rPr>
  </w:style>
  <w:style w:type="paragraph" w:styleId="ListParagraph">
    <w:name w:val="List Paragraph"/>
    <w:basedOn w:val="Normal"/>
    <w:qFormat/>
    <w:rsid w:val="00471217"/>
    <w:pPr>
      <w:suppressAutoHyphens/>
      <w:bidi/>
      <w:ind w:left="720"/>
    </w:pPr>
    <w:rPr>
      <w:lang w:eastAsia="ar-SA"/>
    </w:rPr>
  </w:style>
  <w:style w:type="paragraph" w:customStyle="1" w:styleId="Default">
    <w:name w:val="Default"/>
    <w:rsid w:val="00471217"/>
    <w:pPr>
      <w:autoSpaceDE w:val="0"/>
      <w:autoSpaceDN w:val="0"/>
      <w:adjustRightInd w:val="0"/>
    </w:pPr>
    <w:rPr>
      <w:color w:val="000000"/>
      <w:sz w:val="24"/>
      <w:szCs w:val="24"/>
      <w:lang w:eastAsia="en-US"/>
    </w:rPr>
  </w:style>
  <w:style w:type="character" w:styleId="CommentReference">
    <w:name w:val="annotation reference"/>
    <w:rsid w:val="00471217"/>
    <w:rPr>
      <w:sz w:val="16"/>
      <w:szCs w:val="16"/>
    </w:rPr>
  </w:style>
  <w:style w:type="paragraph" w:styleId="CommentText">
    <w:name w:val="annotation text"/>
    <w:basedOn w:val="Normal"/>
    <w:link w:val="CommentTextChar"/>
    <w:rsid w:val="00471217"/>
    <w:pPr>
      <w:suppressAutoHyphens/>
      <w:bidi/>
    </w:pPr>
    <w:rPr>
      <w:sz w:val="20"/>
      <w:szCs w:val="20"/>
      <w:lang w:eastAsia="ar-SA"/>
    </w:rPr>
  </w:style>
  <w:style w:type="character" w:customStyle="1" w:styleId="CommentTextChar">
    <w:name w:val="Comment Text Char"/>
    <w:link w:val="CommentText"/>
    <w:rsid w:val="00471217"/>
    <w:rPr>
      <w:lang w:val="en-US" w:eastAsia="ar-SA" w:bidi="ar-SA"/>
    </w:rPr>
  </w:style>
  <w:style w:type="paragraph" w:styleId="CommentSubject">
    <w:name w:val="annotation subject"/>
    <w:basedOn w:val="CommentText"/>
    <w:next w:val="CommentText"/>
    <w:link w:val="CommentSubjectChar"/>
    <w:rsid w:val="00471217"/>
    <w:rPr>
      <w:b/>
      <w:bCs/>
    </w:rPr>
  </w:style>
  <w:style w:type="character" w:customStyle="1" w:styleId="CommentSubjectChar">
    <w:name w:val="Comment Subject Char"/>
    <w:link w:val="CommentSubject"/>
    <w:rsid w:val="00471217"/>
    <w:rPr>
      <w:b/>
      <w:bCs/>
      <w:lang w:val="en-US" w:eastAsia="ar-SA" w:bidi="ar-SA"/>
    </w:rPr>
  </w:style>
  <w:style w:type="paragraph" w:styleId="BalloonText">
    <w:name w:val="Balloon Text"/>
    <w:basedOn w:val="Normal"/>
    <w:link w:val="BalloonTextChar1"/>
    <w:rsid w:val="00471217"/>
    <w:pPr>
      <w:suppressAutoHyphens/>
      <w:bidi/>
    </w:pPr>
    <w:rPr>
      <w:rFonts w:ascii="Tahoma" w:hAnsi="Tahoma" w:cs="Tahoma"/>
      <w:sz w:val="16"/>
      <w:szCs w:val="16"/>
      <w:lang w:eastAsia="ar-SA"/>
    </w:rPr>
  </w:style>
  <w:style w:type="character" w:customStyle="1" w:styleId="BalloonTextChar1">
    <w:name w:val="Balloon Text Char1"/>
    <w:link w:val="BalloonText"/>
    <w:rsid w:val="00471217"/>
    <w:rPr>
      <w:rFonts w:ascii="Tahoma" w:hAnsi="Tahoma" w:cs="Tahoma"/>
      <w:sz w:val="16"/>
      <w:szCs w:val="16"/>
      <w:lang w:val="en-US" w:eastAsia="ar-SA" w:bidi="ar-SA"/>
    </w:rPr>
  </w:style>
  <w:style w:type="character" w:customStyle="1" w:styleId="BalloonTextChar">
    <w:name w:val="Balloon Text Char"/>
    <w:semiHidden/>
    <w:locked/>
    <w:rsid w:val="00471217"/>
    <w:rPr>
      <w:rFonts w:ascii="Tahoma" w:hAnsi="Tahoma" w:cs="Tahoma"/>
      <w:sz w:val="16"/>
      <w:szCs w:val="16"/>
    </w:rPr>
  </w:style>
  <w:style w:type="paragraph" w:styleId="NormalWeb">
    <w:name w:val="Normal (Web)"/>
    <w:basedOn w:val="Normal"/>
    <w:rsid w:val="00471217"/>
    <w:pPr>
      <w:spacing w:before="100" w:beforeAutospacing="1" w:after="100" w:afterAutospacing="1"/>
    </w:pPr>
  </w:style>
  <w:style w:type="paragraph" w:customStyle="1" w:styleId="Pa10">
    <w:name w:val="Pa10"/>
    <w:basedOn w:val="Normal"/>
    <w:next w:val="Normal"/>
    <w:rsid w:val="00471217"/>
    <w:pPr>
      <w:autoSpaceDE w:val="0"/>
      <w:autoSpaceDN w:val="0"/>
      <w:adjustRightInd w:val="0"/>
      <w:spacing w:line="141" w:lineRule="atLeast"/>
    </w:pPr>
    <w:rPr>
      <w:rFonts w:ascii="Tahoma" w:eastAsia="Calibri" w:hAnsi="Tahoma" w:cs="Tahoma"/>
    </w:rPr>
  </w:style>
  <w:style w:type="paragraph" w:customStyle="1" w:styleId="citation">
    <w:name w:val="citation"/>
    <w:basedOn w:val="Normal"/>
    <w:rsid w:val="00471217"/>
    <w:pPr>
      <w:spacing w:before="100" w:beforeAutospacing="1" w:after="100" w:afterAutospacing="1"/>
    </w:pPr>
    <w:rPr>
      <w:rFonts w:eastAsia="Calibri"/>
    </w:rPr>
  </w:style>
  <w:style w:type="character" w:customStyle="1" w:styleId="HeaderChar">
    <w:name w:val="Header Char"/>
    <w:semiHidden/>
    <w:locked/>
    <w:rsid w:val="00471217"/>
    <w:rPr>
      <w:rFonts w:ascii="Times New Roman" w:hAnsi="Times New Roman" w:cs="Times New Roman"/>
      <w:sz w:val="24"/>
      <w:szCs w:val="24"/>
    </w:rPr>
  </w:style>
  <w:style w:type="character" w:customStyle="1" w:styleId="FooterChar">
    <w:name w:val="Footer Char"/>
    <w:semiHidden/>
    <w:locked/>
    <w:rsid w:val="00471217"/>
    <w:rPr>
      <w:rFonts w:ascii="Times New Roman" w:hAnsi="Times New Roman" w:cs="Times New Roman"/>
      <w:sz w:val="24"/>
      <w:szCs w:val="24"/>
    </w:rPr>
  </w:style>
  <w:style w:type="paragraph" w:styleId="NoSpacing">
    <w:name w:val="No Spacing"/>
    <w:qFormat/>
    <w:rsid w:val="00471217"/>
    <w:rPr>
      <w:rFonts w:ascii="Arabic Transparent" w:eastAsia="Calibri" w:hAnsi="Arabic Transparent" w:cs="Arial"/>
      <w:sz w:val="22"/>
      <w:szCs w:val="22"/>
      <w:lang w:eastAsia="en-US"/>
    </w:rPr>
  </w:style>
  <w:style w:type="character" w:customStyle="1" w:styleId="apple-converted-space">
    <w:name w:val="apple-converted-space"/>
    <w:rsid w:val="00471217"/>
    <w:rPr>
      <w:rFonts w:cs="Times New Roman"/>
    </w:rPr>
  </w:style>
  <w:style w:type="character" w:customStyle="1" w:styleId="reference-text">
    <w:name w:val="reference-text"/>
    <w:rsid w:val="00471217"/>
    <w:rPr>
      <w:rFonts w:cs="Times New Roman"/>
    </w:rPr>
  </w:style>
  <w:style w:type="character" w:customStyle="1" w:styleId="emphasistypeitalic">
    <w:name w:val="emphasistypeitalic"/>
    <w:rsid w:val="00471217"/>
    <w:rPr>
      <w:rFonts w:cs="Times New Roman"/>
    </w:rPr>
  </w:style>
  <w:style w:type="paragraph" w:styleId="FootnoteText">
    <w:name w:val="footnote text"/>
    <w:basedOn w:val="Normal"/>
    <w:link w:val="FootnoteTextChar"/>
    <w:semiHidden/>
    <w:rsid w:val="00471217"/>
    <w:rPr>
      <w:rFonts w:eastAsia="Calibri"/>
      <w:sz w:val="20"/>
      <w:szCs w:val="20"/>
    </w:rPr>
  </w:style>
  <w:style w:type="character" w:customStyle="1" w:styleId="FootnoteTextChar">
    <w:name w:val="Footnote Text Char"/>
    <w:link w:val="FootnoteText"/>
    <w:semiHidden/>
    <w:locked/>
    <w:rsid w:val="00471217"/>
    <w:rPr>
      <w:rFonts w:eastAsia="Calibri"/>
      <w:lang w:val="en-US" w:eastAsia="en-US" w:bidi="ar-SA"/>
    </w:rPr>
  </w:style>
  <w:style w:type="character" w:styleId="FootnoteReference">
    <w:name w:val="footnote reference"/>
    <w:semiHidden/>
    <w:rsid w:val="00471217"/>
    <w:rPr>
      <w:rFonts w:cs="Times New Roman"/>
      <w:vertAlign w:val="superscript"/>
    </w:rPr>
  </w:style>
  <w:style w:type="paragraph" w:customStyle="1" w:styleId="Pa1">
    <w:name w:val="Pa1"/>
    <w:basedOn w:val="Default"/>
    <w:next w:val="Default"/>
    <w:rsid w:val="00471217"/>
    <w:pPr>
      <w:spacing w:line="241" w:lineRule="atLeast"/>
    </w:pPr>
    <w:rPr>
      <w:rFonts w:ascii="DINPro-Light" w:hAnsi="DINPro-Light" w:cs="Arial"/>
      <w:color w:val="auto"/>
    </w:rPr>
  </w:style>
  <w:style w:type="character" w:customStyle="1" w:styleId="A1">
    <w:name w:val="A1"/>
    <w:rsid w:val="00471217"/>
    <w:rPr>
      <w:color w:val="000000"/>
      <w:sz w:val="16"/>
    </w:rPr>
  </w:style>
  <w:style w:type="paragraph" w:customStyle="1" w:styleId="Pa0">
    <w:name w:val="Pa0"/>
    <w:basedOn w:val="Default"/>
    <w:next w:val="Default"/>
    <w:rsid w:val="00471217"/>
    <w:pPr>
      <w:spacing w:line="241" w:lineRule="atLeast"/>
    </w:pPr>
    <w:rPr>
      <w:rFonts w:ascii="DINPro-Light" w:hAnsi="DINPro-Light" w:cs="Arial"/>
      <w:color w:val="auto"/>
    </w:rPr>
  </w:style>
  <w:style w:type="character" w:customStyle="1" w:styleId="A2">
    <w:name w:val="A2"/>
    <w:rsid w:val="00471217"/>
    <w:rPr>
      <w:rFonts w:ascii="NexusSerif-Regular" w:hAnsi="NexusSerif-Regular"/>
      <w:color w:val="000000"/>
      <w:sz w:val="18"/>
    </w:rPr>
  </w:style>
  <w:style w:type="character" w:customStyle="1" w:styleId="A3">
    <w:name w:val="A3"/>
    <w:rsid w:val="00471217"/>
    <w:rPr>
      <w:rFonts w:ascii="NexusSerif-Regular" w:hAnsi="NexusSerif-Regular"/>
      <w:color w:val="000000"/>
      <w:sz w:val="12"/>
    </w:rPr>
  </w:style>
  <w:style w:type="paragraph" w:customStyle="1" w:styleId="Pa2">
    <w:name w:val="Pa2"/>
    <w:basedOn w:val="Default"/>
    <w:next w:val="Default"/>
    <w:rsid w:val="00471217"/>
    <w:pPr>
      <w:spacing w:line="241" w:lineRule="atLeast"/>
    </w:pPr>
    <w:rPr>
      <w:rFonts w:ascii="DINPro-Light" w:hAnsi="DINPro-Light" w:cs="Arial"/>
      <w:color w:val="auto"/>
    </w:rPr>
  </w:style>
  <w:style w:type="paragraph" w:customStyle="1" w:styleId="Pa13">
    <w:name w:val="Pa13"/>
    <w:basedOn w:val="Default"/>
    <w:next w:val="Default"/>
    <w:rsid w:val="00471217"/>
    <w:pPr>
      <w:spacing w:line="181" w:lineRule="atLeast"/>
    </w:pPr>
    <w:rPr>
      <w:color w:val="auto"/>
    </w:rPr>
  </w:style>
  <w:style w:type="character" w:customStyle="1" w:styleId="A5">
    <w:name w:val="A5"/>
    <w:rsid w:val="00471217"/>
    <w:rPr>
      <w:color w:val="000000"/>
      <w:sz w:val="16"/>
    </w:rPr>
  </w:style>
  <w:style w:type="character" w:styleId="FollowedHyperlink">
    <w:name w:val="FollowedHyperlink"/>
    <w:semiHidden/>
    <w:rsid w:val="00471217"/>
    <w:rPr>
      <w:rFonts w:cs="Times New Roman"/>
      <w:color w:val="800080"/>
      <w:u w:val="single"/>
    </w:rPr>
  </w:style>
  <w:style w:type="paragraph" w:customStyle="1" w:styleId="Pa3">
    <w:name w:val="Pa3"/>
    <w:basedOn w:val="Default"/>
    <w:next w:val="Default"/>
    <w:rsid w:val="00471217"/>
    <w:pPr>
      <w:spacing w:line="241" w:lineRule="atLeast"/>
    </w:pPr>
    <w:rPr>
      <w:color w:val="auto"/>
    </w:rPr>
  </w:style>
  <w:style w:type="paragraph" w:customStyle="1" w:styleId="authlist">
    <w:name w:val="auth_list"/>
    <w:basedOn w:val="Normal"/>
    <w:rsid w:val="00471217"/>
    <w:pPr>
      <w:spacing w:before="100" w:beforeAutospacing="1" w:after="100" w:afterAutospacing="1"/>
    </w:pPr>
  </w:style>
  <w:style w:type="character" w:customStyle="1" w:styleId="drf">
    <w:name w:val="drf"/>
    <w:rsid w:val="00471217"/>
    <w:rPr>
      <w:rFonts w:cs="Times New Roman"/>
    </w:rPr>
  </w:style>
  <w:style w:type="paragraph" w:customStyle="1" w:styleId="Pa26">
    <w:name w:val="Pa26"/>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28">
    <w:name w:val="Pa28"/>
    <w:basedOn w:val="Normal"/>
    <w:next w:val="Normal"/>
    <w:rsid w:val="00471217"/>
    <w:pPr>
      <w:autoSpaceDE w:val="0"/>
      <w:autoSpaceDN w:val="0"/>
      <w:adjustRightInd w:val="0"/>
      <w:spacing w:line="241" w:lineRule="atLeast"/>
    </w:pPr>
    <w:rPr>
      <w:rFonts w:ascii="Futura Std Book" w:hAnsi="Futura Std Book" w:cs="Arial"/>
    </w:rPr>
  </w:style>
  <w:style w:type="paragraph" w:customStyle="1" w:styleId="Pa30">
    <w:name w:val="Pa30"/>
    <w:basedOn w:val="Normal"/>
    <w:next w:val="Normal"/>
    <w:rsid w:val="00471217"/>
    <w:pPr>
      <w:autoSpaceDE w:val="0"/>
      <w:autoSpaceDN w:val="0"/>
      <w:adjustRightInd w:val="0"/>
      <w:spacing w:line="241" w:lineRule="atLeast"/>
    </w:pPr>
    <w:rPr>
      <w:rFonts w:ascii="Futura Std Book" w:hAnsi="Futura Std Book" w:cs="Arial"/>
    </w:rPr>
  </w:style>
  <w:style w:type="character" w:customStyle="1" w:styleId="A6">
    <w:name w:val="A6"/>
    <w:rsid w:val="00471217"/>
    <w:rPr>
      <w:rFonts w:ascii="ITC Garamond Std Book" w:hAnsi="ITC Garamond Std Book"/>
      <w:color w:val="000000"/>
    </w:rPr>
  </w:style>
  <w:style w:type="paragraph" w:customStyle="1" w:styleId="Pa32">
    <w:name w:val="Pa32"/>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33">
    <w:name w:val="Pa33"/>
    <w:basedOn w:val="Normal"/>
    <w:next w:val="Normal"/>
    <w:rsid w:val="00471217"/>
    <w:pPr>
      <w:autoSpaceDE w:val="0"/>
      <w:autoSpaceDN w:val="0"/>
      <w:adjustRightInd w:val="0"/>
      <w:spacing w:line="241" w:lineRule="atLeast"/>
    </w:pPr>
    <w:rPr>
      <w:rFonts w:ascii="ITC Garamond Std Book" w:hAnsi="ITC Garamond Std Book" w:cs="Arial"/>
    </w:rPr>
  </w:style>
  <w:style w:type="paragraph" w:customStyle="1" w:styleId="Pa11">
    <w:name w:val="Pa11"/>
    <w:basedOn w:val="Normal"/>
    <w:next w:val="Normal"/>
    <w:rsid w:val="00471217"/>
    <w:pPr>
      <w:autoSpaceDE w:val="0"/>
      <w:autoSpaceDN w:val="0"/>
      <w:adjustRightInd w:val="0"/>
      <w:spacing w:line="201" w:lineRule="atLeast"/>
    </w:pPr>
    <w:rPr>
      <w:rFonts w:ascii="Futura Std Light" w:hAnsi="Futura Std Light" w:cs="Arial"/>
    </w:rPr>
  </w:style>
  <w:style w:type="character" w:styleId="Emphasis">
    <w:name w:val="Emphasis"/>
    <w:qFormat/>
    <w:rsid w:val="00471217"/>
    <w:rPr>
      <w:i/>
    </w:rPr>
  </w:style>
  <w:style w:type="character" w:customStyle="1" w:styleId="color">
    <w:name w:val="color"/>
    <w:rsid w:val="00471217"/>
    <w:rPr>
      <w:rFonts w:cs="Times New Roman"/>
    </w:rPr>
  </w:style>
  <w:style w:type="character" w:customStyle="1" w:styleId="mb">
    <w:name w:val="mb"/>
    <w:rsid w:val="00471217"/>
    <w:rPr>
      <w:rFonts w:cs="Times New Roman"/>
    </w:rPr>
  </w:style>
  <w:style w:type="character" w:customStyle="1" w:styleId="caption1">
    <w:name w:val="caption1"/>
    <w:rsid w:val="00471217"/>
    <w:rPr>
      <w:rFonts w:cs="Times New Roman"/>
    </w:rPr>
  </w:style>
  <w:style w:type="character" w:customStyle="1" w:styleId="source">
    <w:name w:val="source"/>
    <w:rsid w:val="00471217"/>
    <w:rPr>
      <w:rFonts w:cs="Times New Roman"/>
    </w:rPr>
  </w:style>
  <w:style w:type="table" w:customStyle="1" w:styleId="LightList-Accent11">
    <w:name w:val="Light List - Accent 11"/>
    <w:rsid w:val="00471217"/>
    <w:rPr>
      <w:rFonts w:ascii="Calibri" w:hAnsi="Calibri" w:cs="Arial"/>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rsid w:val="00471217"/>
    <w:rPr>
      <w:rFonts w:ascii="Calibri" w:hAnsi="Calibri" w:cs="Arial"/>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
    <w:name w:val="No List1"/>
    <w:next w:val="NoList"/>
    <w:semiHidden/>
    <w:unhideWhenUsed/>
    <w:rsid w:val="00471217"/>
  </w:style>
  <w:style w:type="table" w:styleId="TableGrid">
    <w:name w:val="Table Grid"/>
    <w:basedOn w:val="TableNormal"/>
    <w:rsid w:val="0047121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71217"/>
    <w:pPr>
      <w:spacing w:before="100" w:beforeAutospacing="1" w:after="100" w:afterAutospacing="1"/>
    </w:pPr>
  </w:style>
  <w:style w:type="paragraph" w:customStyle="1" w:styleId="headinganchor">
    <w:name w:val="headinganchor"/>
    <w:basedOn w:val="Normal"/>
    <w:rsid w:val="00471217"/>
    <w:pPr>
      <w:spacing w:before="100" w:beforeAutospacing="1" w:after="100" w:afterAutospacing="1"/>
    </w:pPr>
  </w:style>
  <w:style w:type="character" w:customStyle="1" w:styleId="headingendmark">
    <w:name w:val="headingendmark"/>
    <w:rsid w:val="00471217"/>
  </w:style>
  <w:style w:type="character" w:customStyle="1" w:styleId="h2">
    <w:name w:val="h2"/>
    <w:rsid w:val="00471217"/>
  </w:style>
  <w:style w:type="paragraph" w:customStyle="1" w:styleId="bulletindent1">
    <w:name w:val="bulletindent1"/>
    <w:basedOn w:val="Normal"/>
    <w:rsid w:val="00471217"/>
    <w:pPr>
      <w:spacing w:before="100" w:beforeAutospacing="1" w:after="100" w:afterAutospacing="1"/>
    </w:pPr>
  </w:style>
  <w:style w:type="character" w:customStyle="1" w:styleId="glyph">
    <w:name w:val="glyph"/>
    <w:rsid w:val="00471217"/>
  </w:style>
  <w:style w:type="paragraph" w:styleId="TOC1">
    <w:name w:val="toc 1"/>
    <w:basedOn w:val="Normal"/>
    <w:next w:val="Normal"/>
    <w:autoRedefine/>
    <w:unhideWhenUsed/>
    <w:rsid w:val="00471217"/>
    <w:pPr>
      <w:bidi/>
    </w:pPr>
  </w:style>
  <w:style w:type="paragraph" w:styleId="TableofFigures">
    <w:name w:val="table of figures"/>
    <w:basedOn w:val="Normal"/>
    <w:next w:val="Normal"/>
    <w:unhideWhenUsed/>
    <w:rsid w:val="00471217"/>
    <w:pPr>
      <w:bidi/>
    </w:pPr>
  </w:style>
  <w:style w:type="character" w:customStyle="1" w:styleId="CharChar7">
    <w:name w:val="Char Char7"/>
    <w:rsid w:val="00471217"/>
    <w:rPr>
      <w:sz w:val="24"/>
      <w:szCs w:val="24"/>
      <w:lang w:val="en-US" w:eastAsia="en-US" w:bidi="ar-SA"/>
    </w:rPr>
  </w:style>
  <w:style w:type="character" w:customStyle="1" w:styleId="CharChar6">
    <w:name w:val="Char Char6"/>
    <w:rsid w:val="00471217"/>
    <w:rPr>
      <w:sz w:val="24"/>
      <w:szCs w:val="24"/>
      <w:lang w:val="en-US" w:eastAsia="en-US" w:bidi="ar-SA"/>
    </w:rPr>
  </w:style>
  <w:style w:type="paragraph" w:customStyle="1" w:styleId="msonospacing0">
    <w:name w:val="msonospacing"/>
    <w:rsid w:val="00471217"/>
    <w:rPr>
      <w:rFonts w:ascii="Calibri" w:hAnsi="Calibri" w:cs="Arial"/>
      <w:sz w:val="22"/>
      <w:szCs w:val="22"/>
      <w:lang w:eastAsia="en-US"/>
    </w:rPr>
  </w:style>
  <w:style w:type="character" w:customStyle="1" w:styleId="Heading2Char1">
    <w:name w:val="Heading 2 Char1"/>
    <w:link w:val="Heading2"/>
    <w:locked/>
    <w:rsid w:val="00471217"/>
    <w:rPr>
      <w:rFonts w:ascii="Albertus Extra Bold" w:hAnsi="Albertus Extra Bold" w:cs="Arial"/>
      <w:b/>
      <w:bCs/>
      <w:sz w:val="30"/>
      <w:szCs w:val="30"/>
      <w:lang w:val="en-US" w:eastAsia="en-US" w:bidi="ar-EG"/>
    </w:rPr>
  </w:style>
  <w:style w:type="paragraph" w:customStyle="1" w:styleId="msolistparagraph0">
    <w:name w:val="msolistparagraph"/>
    <w:basedOn w:val="Normal"/>
    <w:semiHidden/>
    <w:rsid w:val="00471217"/>
    <w:pPr>
      <w:bidi/>
      <w:spacing w:after="200" w:line="276" w:lineRule="auto"/>
      <w:ind w:left="720"/>
      <w:contextualSpacing/>
    </w:pPr>
    <w:rPr>
      <w:rFonts w:ascii="Calibri" w:hAnsi="Calibri" w:cs="Arial"/>
      <w:sz w:val="22"/>
      <w:szCs w:val="22"/>
    </w:rPr>
  </w:style>
  <w:style w:type="paragraph" w:customStyle="1" w:styleId="p">
    <w:name w:val="p"/>
    <w:basedOn w:val="Normal"/>
    <w:semiHidden/>
    <w:rsid w:val="00471217"/>
    <w:pPr>
      <w:spacing w:before="100" w:beforeAutospacing="1" w:after="100" w:afterAutospacing="1"/>
    </w:pPr>
  </w:style>
  <w:style w:type="paragraph" w:customStyle="1" w:styleId="first-child">
    <w:name w:val="first-child"/>
    <w:basedOn w:val="Normal"/>
    <w:semiHidden/>
    <w:rsid w:val="00471217"/>
    <w:pPr>
      <w:spacing w:before="100" w:beforeAutospacing="1" w:after="100" w:afterAutospacing="1"/>
    </w:pPr>
  </w:style>
  <w:style w:type="paragraph" w:customStyle="1" w:styleId="contribs">
    <w:name w:val="contribs"/>
    <w:basedOn w:val="Normal"/>
    <w:semiHidden/>
    <w:rsid w:val="00471217"/>
    <w:pPr>
      <w:spacing w:before="100" w:beforeAutospacing="1" w:after="100" w:afterAutospacing="1"/>
    </w:pPr>
  </w:style>
  <w:style w:type="paragraph" w:customStyle="1" w:styleId="fm-aai">
    <w:name w:val="fm-aai"/>
    <w:basedOn w:val="Normal"/>
    <w:semiHidden/>
    <w:rsid w:val="00471217"/>
    <w:pPr>
      <w:spacing w:before="100" w:beforeAutospacing="1" w:after="100" w:afterAutospacing="1"/>
    </w:pPr>
  </w:style>
  <w:style w:type="character" w:customStyle="1" w:styleId="element-citation">
    <w:name w:val="element-citation"/>
    <w:basedOn w:val="DefaultParagraphFont"/>
    <w:rsid w:val="00471217"/>
  </w:style>
  <w:style w:type="character" w:customStyle="1" w:styleId="kwd-text">
    <w:name w:val="kwd-text"/>
    <w:basedOn w:val="DefaultParagraphFont"/>
    <w:rsid w:val="00471217"/>
  </w:style>
  <w:style w:type="character" w:customStyle="1" w:styleId="figpopup-sensitive-area">
    <w:name w:val="figpopup-sensitive-area"/>
    <w:basedOn w:val="DefaultParagraphFont"/>
    <w:rsid w:val="00471217"/>
  </w:style>
  <w:style w:type="character" w:customStyle="1" w:styleId="ref-journal">
    <w:name w:val="ref-journal"/>
    <w:basedOn w:val="DefaultParagraphFont"/>
    <w:rsid w:val="00471217"/>
  </w:style>
  <w:style w:type="character" w:customStyle="1" w:styleId="ref-vol">
    <w:name w:val="ref-vol"/>
    <w:basedOn w:val="DefaultParagraphFont"/>
    <w:rsid w:val="00471217"/>
  </w:style>
  <w:style w:type="character" w:customStyle="1" w:styleId="current-selection">
    <w:name w:val="current-selection"/>
    <w:basedOn w:val="DefaultParagraphFont"/>
    <w:rsid w:val="00471217"/>
  </w:style>
  <w:style w:type="character" w:customStyle="1" w:styleId="a">
    <w:name w:val="_"/>
    <w:basedOn w:val="DefaultParagraphFont"/>
    <w:rsid w:val="00471217"/>
  </w:style>
  <w:style w:type="character" w:customStyle="1" w:styleId="label">
    <w:name w:val="label"/>
    <w:basedOn w:val="DefaultParagraphFont"/>
    <w:rsid w:val="00471217"/>
  </w:style>
  <w:style w:type="character" w:styleId="Strong">
    <w:name w:val="Strong"/>
    <w:qFormat/>
    <w:rsid w:val="00471217"/>
    <w:rPr>
      <w:b/>
      <w:bCs/>
    </w:rPr>
  </w:style>
  <w:style w:type="character" w:customStyle="1" w:styleId="Heading1Char">
    <w:name w:val="Heading 1 Char"/>
    <w:locked/>
    <w:rsid w:val="00471217"/>
    <w:rPr>
      <w:b/>
      <w:bCs/>
      <w:kern w:val="36"/>
      <w:sz w:val="48"/>
      <w:szCs w:val="48"/>
      <w:lang w:val="en-US" w:eastAsia="en-US" w:bidi="ar-SA"/>
    </w:rPr>
  </w:style>
  <w:style w:type="character" w:customStyle="1" w:styleId="Heading2Char">
    <w:name w:val="Heading 2 Char"/>
    <w:locked/>
    <w:rsid w:val="00471217"/>
    <w:rPr>
      <w:b/>
      <w:bCs/>
      <w:sz w:val="36"/>
      <w:szCs w:val="36"/>
      <w:lang w:val="en-US" w:eastAsia="en-US" w:bidi="ar-SA"/>
    </w:rPr>
  </w:style>
  <w:style w:type="character" w:customStyle="1" w:styleId="Heading3Char">
    <w:name w:val="Heading 3 Char"/>
    <w:locked/>
    <w:rsid w:val="00471217"/>
    <w:rPr>
      <w:b/>
      <w:bCs/>
      <w:sz w:val="27"/>
      <w:szCs w:val="27"/>
      <w:lang w:val="en-US" w:eastAsia="en-US" w:bidi="ar-SA"/>
    </w:rPr>
  </w:style>
  <w:style w:type="paragraph" w:customStyle="1" w:styleId="fn">
    <w:name w:val="fn"/>
    <w:basedOn w:val="Normal"/>
    <w:semiHidden/>
    <w:rsid w:val="00471217"/>
    <w:pPr>
      <w:spacing w:before="100" w:beforeAutospacing="1" w:after="100" w:afterAutospacing="1"/>
    </w:pPr>
  </w:style>
  <w:style w:type="character" w:customStyle="1" w:styleId="cit">
    <w:name w:val="cit"/>
    <w:basedOn w:val="DefaultParagraphFont"/>
    <w:rsid w:val="00471217"/>
  </w:style>
  <w:style w:type="character" w:customStyle="1" w:styleId="fm-vol-iss-date">
    <w:name w:val="fm-vol-iss-date"/>
    <w:basedOn w:val="DefaultParagraphFont"/>
    <w:rsid w:val="00471217"/>
  </w:style>
  <w:style w:type="character" w:customStyle="1" w:styleId="doi">
    <w:name w:val="doi"/>
    <w:basedOn w:val="DefaultParagraphFont"/>
    <w:rsid w:val="00471217"/>
  </w:style>
  <w:style w:type="character" w:customStyle="1" w:styleId="fm-citation-ids-label">
    <w:name w:val="fm-citation-ids-label"/>
    <w:basedOn w:val="DefaultParagraphFont"/>
    <w:rsid w:val="00471217"/>
  </w:style>
  <w:style w:type="character" w:customStyle="1" w:styleId="acknowledgment-journal-title">
    <w:name w:val="acknowledgment-journal-title"/>
    <w:basedOn w:val="DefaultParagraphFont"/>
    <w:rsid w:val="00471217"/>
  </w:style>
  <w:style w:type="character" w:customStyle="1" w:styleId="nowrap">
    <w:name w:val="nowrap"/>
    <w:basedOn w:val="DefaultParagraphFont"/>
    <w:rsid w:val="00471217"/>
  </w:style>
  <w:style w:type="character" w:customStyle="1" w:styleId="author-list">
    <w:name w:val="author-list"/>
    <w:basedOn w:val="DefaultParagraphFont"/>
    <w:rsid w:val="00471217"/>
  </w:style>
  <w:style w:type="character" w:customStyle="1" w:styleId="author-listauthor-name">
    <w:name w:val="author-list__author-name"/>
    <w:basedOn w:val="DefaultParagraphFont"/>
    <w:rsid w:val="00471217"/>
  </w:style>
  <w:style w:type="character" w:styleId="HTMLCite">
    <w:name w:val="HTML Cite"/>
    <w:rsid w:val="00471217"/>
    <w:rPr>
      <w:i/>
      <w:iCs/>
    </w:rPr>
  </w:style>
  <w:style w:type="character" w:customStyle="1" w:styleId="result">
    <w:name w:val="result"/>
    <w:rsid w:val="00471217"/>
    <w:rPr>
      <w:color w:val="000080"/>
    </w:rPr>
  </w:style>
  <w:style w:type="paragraph" w:customStyle="1" w:styleId="ordinrytext">
    <w:name w:val="ordinry text"/>
    <w:rsid w:val="009F006F"/>
    <w:pPr>
      <w:spacing w:after="240"/>
      <w:ind w:firstLine="680"/>
      <w:jc w:val="lowKashida"/>
    </w:pPr>
    <w:rPr>
      <w:rFonts w:ascii="Verdana"/>
      <w:sz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a.ghannam545@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918.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7420</Words>
  <Characters>42297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ABSTRACT</vt:lpstr>
    </vt:vector>
  </TitlesOfParts>
  <Company>Sky123.Org</Company>
  <LinksUpToDate>false</LinksUpToDate>
  <CharactersWithSpaces>49618</CharactersWithSpaces>
  <SharedDoc>false</SharedDoc>
  <HLinks>
    <vt:vector size="18" baseType="variant">
      <vt:variant>
        <vt:i4>4391003</vt:i4>
      </vt:variant>
      <vt:variant>
        <vt:i4>3</vt:i4>
      </vt:variant>
      <vt:variant>
        <vt:i4>0</vt:i4>
      </vt:variant>
      <vt:variant>
        <vt:i4>5</vt:i4>
      </vt:variant>
      <vt:variant>
        <vt:lpwstr>http://www.sciencepub.net/researcher</vt:lpwstr>
      </vt:variant>
      <vt:variant>
        <vt:lpwstr/>
      </vt:variant>
      <vt:variant>
        <vt:i4>5177459</vt:i4>
      </vt:variant>
      <vt:variant>
        <vt:i4>0</vt:i4>
      </vt:variant>
      <vt:variant>
        <vt:i4>0</vt:i4>
      </vt:variant>
      <vt:variant>
        <vt:i4>5</vt:i4>
      </vt:variant>
      <vt:variant>
        <vt:lpwstr>mailto:alaa.ghannam545@gmail.com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Ebrahim SMART</dc:creator>
  <cp:lastModifiedBy>Administrator</cp:lastModifiedBy>
  <cp:revision>4</cp:revision>
  <cp:lastPrinted>2018-09-25T10:55:00Z</cp:lastPrinted>
  <dcterms:created xsi:type="dcterms:W3CDTF">2018-09-26T13:50:00Z</dcterms:created>
  <dcterms:modified xsi:type="dcterms:W3CDTF">2018-09-27T02:31:00Z</dcterms:modified>
</cp:coreProperties>
</file>