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D6" w:rsidRPr="000F3911" w:rsidRDefault="00B503E8" w:rsidP="007A1E52">
      <w:pPr>
        <w:bidi w:val="0"/>
        <w:snapToGrid w:val="0"/>
        <w:jc w:val="center"/>
        <w:rPr>
          <w:b/>
          <w:bCs/>
          <w:noProof/>
          <w:sz w:val="20"/>
          <w:szCs w:val="20"/>
        </w:rPr>
      </w:pPr>
      <w:r w:rsidRPr="000F3911">
        <w:rPr>
          <w:b/>
          <w:bCs/>
          <w:noProof/>
          <w:sz w:val="20"/>
          <w:szCs w:val="20"/>
        </w:rPr>
        <w:t>Anterior Cervical Corpectomy versus Multilevel Discectomy and Caging in Cervical Spondylotic Mylopathy</w:t>
      </w:r>
    </w:p>
    <w:p w:rsidR="006244D6" w:rsidRPr="000F3911" w:rsidRDefault="006244D6" w:rsidP="007A1E52">
      <w:pPr>
        <w:bidi w:val="0"/>
        <w:snapToGrid w:val="0"/>
        <w:jc w:val="center"/>
        <w:rPr>
          <w:b/>
          <w:bCs/>
          <w:noProof/>
          <w:sz w:val="20"/>
          <w:szCs w:val="20"/>
        </w:rPr>
      </w:pPr>
    </w:p>
    <w:p w:rsidR="006244D6" w:rsidRPr="000F3911" w:rsidRDefault="00B503E8" w:rsidP="007A1E52">
      <w:pPr>
        <w:autoSpaceDE w:val="0"/>
        <w:autoSpaceDN w:val="0"/>
        <w:bidi w:val="0"/>
        <w:adjustRightInd w:val="0"/>
        <w:snapToGrid w:val="0"/>
        <w:jc w:val="center"/>
        <w:rPr>
          <w:rFonts w:eastAsiaTheme="minorEastAsia"/>
          <w:noProof/>
          <w:sz w:val="20"/>
          <w:szCs w:val="20"/>
          <w:lang w:eastAsia="zh-CN"/>
        </w:rPr>
      </w:pPr>
      <w:r w:rsidRPr="000F3911">
        <w:rPr>
          <w:noProof/>
          <w:sz w:val="20"/>
          <w:szCs w:val="20"/>
        </w:rPr>
        <w:t>Prof</w:t>
      </w:r>
      <w:r w:rsidR="007A1E52" w:rsidRPr="000F3911">
        <w:rPr>
          <w:noProof/>
          <w:sz w:val="20"/>
          <w:szCs w:val="20"/>
        </w:rPr>
        <w:t>. D</w:t>
      </w:r>
      <w:r w:rsidRPr="000F3911">
        <w:rPr>
          <w:noProof/>
          <w:sz w:val="20"/>
          <w:szCs w:val="20"/>
        </w:rPr>
        <w:t>r</w:t>
      </w:r>
      <w:r w:rsidR="007A1E52" w:rsidRPr="000F3911">
        <w:rPr>
          <w:noProof/>
          <w:sz w:val="20"/>
          <w:szCs w:val="20"/>
        </w:rPr>
        <w:t>. O</w:t>
      </w:r>
      <w:r w:rsidRPr="000F3911">
        <w:rPr>
          <w:noProof/>
          <w:sz w:val="20"/>
          <w:szCs w:val="20"/>
        </w:rPr>
        <w:t>sama AL-Ghanam</w:t>
      </w:r>
      <w:r w:rsidRPr="000F3911">
        <w:rPr>
          <w:noProof/>
          <w:sz w:val="20"/>
          <w:szCs w:val="20"/>
          <w:lang w:bidi="ar-EG"/>
        </w:rPr>
        <w:t>,</w:t>
      </w:r>
      <w:r w:rsidRPr="000F3911">
        <w:rPr>
          <w:noProof/>
          <w:sz w:val="20"/>
          <w:szCs w:val="20"/>
        </w:rPr>
        <w:t xml:space="preserve"> Prof</w:t>
      </w:r>
      <w:r w:rsidR="007A1E52" w:rsidRPr="000F3911">
        <w:rPr>
          <w:noProof/>
          <w:sz w:val="20"/>
          <w:szCs w:val="20"/>
        </w:rPr>
        <w:t>. D</w:t>
      </w:r>
      <w:r w:rsidRPr="000F3911">
        <w:rPr>
          <w:noProof/>
          <w:sz w:val="20"/>
          <w:szCs w:val="20"/>
        </w:rPr>
        <w:t>r. Mamoun Ab</w:t>
      </w:r>
      <w:r w:rsidR="00FD358B" w:rsidRPr="000F3911">
        <w:rPr>
          <w:noProof/>
          <w:sz w:val="20"/>
          <w:szCs w:val="20"/>
        </w:rPr>
        <w:t>o S</w:t>
      </w:r>
      <w:r w:rsidRPr="000F3911">
        <w:rPr>
          <w:noProof/>
          <w:sz w:val="20"/>
          <w:szCs w:val="20"/>
        </w:rPr>
        <w:t>hosha, Mahmoud Mamdouh Nasr</w:t>
      </w:r>
    </w:p>
    <w:p w:rsidR="006244D6" w:rsidRPr="000F3911" w:rsidRDefault="006244D6" w:rsidP="007A1E52">
      <w:pPr>
        <w:autoSpaceDE w:val="0"/>
        <w:autoSpaceDN w:val="0"/>
        <w:bidi w:val="0"/>
        <w:adjustRightInd w:val="0"/>
        <w:snapToGrid w:val="0"/>
        <w:jc w:val="center"/>
        <w:rPr>
          <w:rFonts w:eastAsiaTheme="minorEastAsia"/>
          <w:noProof/>
          <w:sz w:val="20"/>
          <w:szCs w:val="20"/>
          <w:lang w:eastAsia="zh-CN"/>
        </w:rPr>
      </w:pPr>
    </w:p>
    <w:p w:rsidR="00440791" w:rsidRPr="000F3911" w:rsidRDefault="00F241E2" w:rsidP="007A1E52">
      <w:pPr>
        <w:autoSpaceDE w:val="0"/>
        <w:autoSpaceDN w:val="0"/>
        <w:bidi w:val="0"/>
        <w:adjustRightInd w:val="0"/>
        <w:snapToGrid w:val="0"/>
        <w:jc w:val="center"/>
        <w:rPr>
          <w:rFonts w:eastAsiaTheme="minorEastAsia"/>
          <w:sz w:val="20"/>
          <w:szCs w:val="20"/>
          <w:lang w:eastAsia="zh-CN"/>
        </w:rPr>
      </w:pPr>
      <w:r w:rsidRPr="000F3911">
        <w:rPr>
          <w:sz w:val="20"/>
          <w:szCs w:val="20"/>
        </w:rPr>
        <w:t>Neurosurgery Department, Faculty of Medicine, Al Azhar University, Egypt</w:t>
      </w:r>
    </w:p>
    <w:p w:rsidR="006244D6" w:rsidRPr="000F3911" w:rsidRDefault="00F105E2" w:rsidP="007A1E52">
      <w:pPr>
        <w:autoSpaceDE w:val="0"/>
        <w:autoSpaceDN w:val="0"/>
        <w:bidi w:val="0"/>
        <w:adjustRightInd w:val="0"/>
        <w:snapToGrid w:val="0"/>
        <w:jc w:val="center"/>
        <w:rPr>
          <w:b/>
          <w:bCs/>
          <w:color w:val="17365D" w:themeColor="text2" w:themeShade="BF"/>
          <w:sz w:val="20"/>
          <w:szCs w:val="20"/>
        </w:rPr>
      </w:pPr>
      <w:hyperlink r:id="rId8" w:history="1">
        <w:r w:rsidR="00F241E2" w:rsidRPr="000F3911">
          <w:rPr>
            <w:rStyle w:val="Hyperlink"/>
            <w:sz w:val="20"/>
            <w:szCs w:val="20"/>
          </w:rPr>
          <w:t>Mahmoudnasr1980@gmail.com</w:t>
        </w:r>
      </w:hyperlink>
    </w:p>
    <w:p w:rsidR="006244D6" w:rsidRPr="000F3911" w:rsidRDefault="006244D6" w:rsidP="007A1E52">
      <w:pPr>
        <w:autoSpaceDE w:val="0"/>
        <w:autoSpaceDN w:val="0"/>
        <w:bidi w:val="0"/>
        <w:adjustRightInd w:val="0"/>
        <w:snapToGrid w:val="0"/>
        <w:jc w:val="center"/>
        <w:rPr>
          <w:b/>
          <w:bCs/>
          <w:color w:val="17365D" w:themeColor="text2" w:themeShade="BF"/>
          <w:sz w:val="20"/>
          <w:szCs w:val="20"/>
        </w:rPr>
      </w:pPr>
    </w:p>
    <w:p w:rsidR="00B503E8" w:rsidRPr="000F3911" w:rsidRDefault="00B503E8" w:rsidP="007A1E52">
      <w:pPr>
        <w:autoSpaceDE w:val="0"/>
        <w:autoSpaceDN w:val="0"/>
        <w:bidi w:val="0"/>
        <w:adjustRightInd w:val="0"/>
        <w:snapToGrid w:val="0"/>
        <w:jc w:val="both"/>
        <w:rPr>
          <w:color w:val="000000"/>
          <w:sz w:val="20"/>
          <w:szCs w:val="20"/>
        </w:rPr>
      </w:pPr>
      <w:r w:rsidRPr="000F3911">
        <w:rPr>
          <w:b/>
          <w:bCs/>
          <w:color w:val="000000"/>
          <w:sz w:val="20"/>
          <w:szCs w:val="20"/>
        </w:rPr>
        <w:t>Abstract</w:t>
      </w:r>
      <w:r w:rsidR="00F241E2" w:rsidRPr="000F3911">
        <w:rPr>
          <w:b/>
          <w:bCs/>
          <w:color w:val="000000"/>
          <w:sz w:val="20"/>
          <w:szCs w:val="20"/>
        </w:rPr>
        <w:t>:</w:t>
      </w:r>
      <w:r w:rsidR="00106802" w:rsidRPr="000F3911">
        <w:rPr>
          <w:color w:val="000000"/>
          <w:sz w:val="20"/>
          <w:szCs w:val="20"/>
        </w:rPr>
        <w:t xml:space="preserve"> </w:t>
      </w:r>
      <w:r w:rsidRPr="000F3911">
        <w:rPr>
          <w:color w:val="000000"/>
          <w:sz w:val="20"/>
          <w:szCs w:val="20"/>
        </w:rPr>
        <w:t>Cervical spondylotic myelopathy (CSM) is defined as spinal cord</w:t>
      </w:r>
      <w:r w:rsidR="00DD3FA0" w:rsidRPr="000F3911">
        <w:rPr>
          <w:rFonts w:eastAsiaTheme="minorEastAsia" w:hint="eastAsia"/>
          <w:color w:val="000000"/>
          <w:sz w:val="20"/>
          <w:szCs w:val="20"/>
          <w:lang w:eastAsia="zh-CN"/>
        </w:rPr>
        <w:t xml:space="preserve"> </w:t>
      </w:r>
      <w:r w:rsidRPr="000F3911">
        <w:rPr>
          <w:color w:val="000000"/>
          <w:sz w:val="20"/>
          <w:szCs w:val="20"/>
        </w:rPr>
        <w:t>dysfunction secondary to extrinsic compression of the cord or its vascular</w:t>
      </w:r>
      <w:r w:rsidR="00C72816" w:rsidRPr="000F3911">
        <w:rPr>
          <w:rFonts w:eastAsiaTheme="minorEastAsia" w:hint="eastAsia"/>
          <w:color w:val="000000"/>
          <w:sz w:val="20"/>
          <w:szCs w:val="20"/>
          <w:lang w:eastAsia="zh-CN"/>
        </w:rPr>
        <w:t xml:space="preserve"> </w:t>
      </w:r>
      <w:r w:rsidRPr="000F3911">
        <w:rPr>
          <w:color w:val="000000"/>
          <w:sz w:val="20"/>
          <w:szCs w:val="20"/>
        </w:rPr>
        <w:t>supply, or both, that is caused by degenerative disease of the cervical</w:t>
      </w:r>
      <w:r w:rsidR="007A1E52" w:rsidRPr="000F3911">
        <w:rPr>
          <w:rFonts w:eastAsiaTheme="minorEastAsia" w:hint="eastAsia"/>
          <w:color w:val="000000"/>
          <w:sz w:val="20"/>
          <w:szCs w:val="20"/>
          <w:lang w:eastAsia="zh-CN"/>
        </w:rPr>
        <w:t xml:space="preserve"> </w:t>
      </w:r>
      <w:r w:rsidRPr="000F3911">
        <w:rPr>
          <w:color w:val="000000"/>
          <w:sz w:val="20"/>
          <w:szCs w:val="20"/>
        </w:rPr>
        <w:t>spine. It is the most common type of spinal cord dysfunction in patients</w:t>
      </w:r>
      <w:r w:rsidR="00DD3FA0" w:rsidRPr="000F3911">
        <w:rPr>
          <w:rFonts w:eastAsiaTheme="minorEastAsia" w:hint="eastAsia"/>
          <w:color w:val="000000"/>
          <w:sz w:val="20"/>
          <w:szCs w:val="20"/>
          <w:lang w:eastAsia="zh-CN"/>
        </w:rPr>
        <w:t xml:space="preserve"> </w:t>
      </w:r>
      <w:r w:rsidRPr="000F3911">
        <w:rPr>
          <w:color w:val="000000"/>
          <w:sz w:val="20"/>
          <w:szCs w:val="20"/>
        </w:rPr>
        <w:t>who are older than 50 years of age. This is a prospective non-randomized comparative study that was including20</w:t>
      </w:r>
      <w:r w:rsidRPr="000F3911">
        <w:rPr>
          <w:noProof/>
          <w:sz w:val="20"/>
          <w:szCs w:val="20"/>
          <w:lang w:bidi="ar-EG"/>
        </w:rPr>
        <w:t xml:space="preserve"> patients complaining of symptoms and signs of cervical myelopathy and radiculopathy. All the patient were enrolled from Neurosurger</w:t>
      </w:r>
      <w:r w:rsidR="00FD358B" w:rsidRPr="000F3911">
        <w:rPr>
          <w:noProof/>
          <w:sz w:val="20"/>
          <w:szCs w:val="20"/>
          <w:lang w:bidi="ar-EG"/>
        </w:rPr>
        <w:t>y D</w:t>
      </w:r>
      <w:r w:rsidRPr="000F3911">
        <w:rPr>
          <w:noProof/>
          <w:sz w:val="20"/>
          <w:szCs w:val="20"/>
          <w:lang w:bidi="ar-EG"/>
        </w:rPr>
        <w:t>epartment Outpatient Clinic, Al Azhar Unversity Hospital, and Shbein ElKom Teaching Hospital.</w:t>
      </w:r>
      <w:r w:rsidR="00440791" w:rsidRPr="000F3911">
        <w:rPr>
          <w:rFonts w:eastAsiaTheme="minorEastAsia" w:hint="eastAsia"/>
          <w:noProof/>
          <w:sz w:val="20"/>
          <w:szCs w:val="20"/>
          <w:lang w:eastAsia="zh-CN" w:bidi="ar-EG"/>
        </w:rPr>
        <w:t xml:space="preserve"> </w:t>
      </w:r>
      <w:r w:rsidRPr="000F3911">
        <w:rPr>
          <w:color w:val="000000"/>
          <w:sz w:val="20"/>
          <w:szCs w:val="20"/>
        </w:rPr>
        <w:t>The diagnosis of CSM was based on careful history, taking</w:t>
      </w:r>
      <w:r w:rsidR="00DD3FA0" w:rsidRPr="000F3911">
        <w:rPr>
          <w:rFonts w:eastAsiaTheme="minorEastAsia" w:hint="eastAsia"/>
          <w:color w:val="000000"/>
          <w:sz w:val="20"/>
          <w:szCs w:val="20"/>
          <w:lang w:eastAsia="zh-CN"/>
        </w:rPr>
        <w:t xml:space="preserve"> </w:t>
      </w:r>
      <w:r w:rsidRPr="000F3911">
        <w:rPr>
          <w:color w:val="000000"/>
          <w:sz w:val="20"/>
          <w:szCs w:val="20"/>
        </w:rPr>
        <w:t>complete physical and neurological examination, radiographic</w:t>
      </w:r>
      <w:r w:rsidR="00DD3FA0" w:rsidRPr="000F3911">
        <w:rPr>
          <w:rFonts w:eastAsiaTheme="minorEastAsia" w:hint="eastAsia"/>
          <w:color w:val="000000"/>
          <w:sz w:val="20"/>
          <w:szCs w:val="20"/>
          <w:lang w:eastAsia="zh-CN"/>
        </w:rPr>
        <w:t xml:space="preserve"> </w:t>
      </w:r>
      <w:r w:rsidRPr="000F3911">
        <w:rPr>
          <w:color w:val="000000"/>
          <w:sz w:val="20"/>
          <w:szCs w:val="20"/>
        </w:rPr>
        <w:t>documentation.</w:t>
      </w:r>
      <w:r w:rsidR="00440791" w:rsidRPr="000F3911">
        <w:rPr>
          <w:rFonts w:eastAsiaTheme="minorEastAsia" w:hint="eastAsia"/>
          <w:color w:val="000000"/>
          <w:sz w:val="20"/>
          <w:szCs w:val="20"/>
          <w:lang w:eastAsia="zh-CN"/>
        </w:rPr>
        <w:t xml:space="preserve"> </w:t>
      </w:r>
      <w:r w:rsidRPr="000F3911">
        <w:rPr>
          <w:b/>
          <w:bCs/>
          <w:noProof/>
          <w:sz w:val="20"/>
          <w:szCs w:val="20"/>
          <w:lang w:bidi="ar-EG"/>
        </w:rPr>
        <w:t>The study population was divided into two groups:</w:t>
      </w:r>
      <w:r w:rsidR="00440791" w:rsidRPr="000F3911">
        <w:rPr>
          <w:rFonts w:eastAsiaTheme="minorEastAsia" w:hint="eastAsia"/>
          <w:b/>
          <w:bCs/>
          <w:noProof/>
          <w:sz w:val="20"/>
          <w:szCs w:val="20"/>
          <w:lang w:eastAsia="zh-CN" w:bidi="ar-EG"/>
        </w:rPr>
        <w:t xml:space="preserve"> </w:t>
      </w:r>
      <w:r w:rsidRPr="000F3911">
        <w:rPr>
          <w:noProof/>
          <w:sz w:val="20"/>
          <w:szCs w:val="20"/>
          <w:lang w:bidi="ar-EG"/>
        </w:rPr>
        <w:t>Group A: contain 10 patients underwent multilevel anterior cervical discectomy and fusion using interbodyfusion cages (PEEK cages).</w:t>
      </w:r>
      <w:r w:rsidR="00440791" w:rsidRPr="000F3911">
        <w:rPr>
          <w:rFonts w:eastAsiaTheme="minorEastAsia" w:hint="eastAsia"/>
          <w:noProof/>
          <w:sz w:val="20"/>
          <w:szCs w:val="20"/>
          <w:lang w:eastAsia="zh-CN" w:bidi="ar-EG"/>
        </w:rPr>
        <w:t xml:space="preserve"> </w:t>
      </w:r>
      <w:r w:rsidRPr="000F3911">
        <w:rPr>
          <w:noProof/>
          <w:sz w:val="20"/>
          <w:szCs w:val="20"/>
          <w:lang w:bidi="ar-EG"/>
        </w:rPr>
        <w:t xml:space="preserve">Group B: contain 10 patients underwent anterior cervical corpectomy and fusion using </w:t>
      </w:r>
      <w:r w:rsidRPr="000F3911">
        <w:rPr>
          <w:sz w:val="20"/>
          <w:szCs w:val="20"/>
          <w:lang w:bidi="en-US"/>
        </w:rPr>
        <w:t>titanium mesh (Pyra®mesh)</w:t>
      </w:r>
      <w:r w:rsidRPr="000F3911">
        <w:rPr>
          <w:noProof/>
          <w:sz w:val="20"/>
          <w:szCs w:val="20"/>
          <w:lang w:bidi="ar-EG"/>
        </w:rPr>
        <w:t xml:space="preserve">. </w:t>
      </w:r>
      <w:r w:rsidRPr="000F3911">
        <w:rPr>
          <w:color w:val="000000"/>
          <w:sz w:val="20"/>
          <w:szCs w:val="20"/>
        </w:rPr>
        <w:t>Follow up was done clinically and radiologically, immediate</w:t>
      </w:r>
      <w:r w:rsidR="00DD3FA0" w:rsidRPr="000F3911">
        <w:rPr>
          <w:rFonts w:eastAsiaTheme="minorEastAsia" w:hint="eastAsia"/>
          <w:color w:val="000000"/>
          <w:sz w:val="20"/>
          <w:szCs w:val="20"/>
          <w:lang w:eastAsia="zh-CN"/>
        </w:rPr>
        <w:t xml:space="preserve"> </w:t>
      </w:r>
      <w:r w:rsidRPr="000F3911">
        <w:rPr>
          <w:color w:val="000000"/>
          <w:sz w:val="20"/>
          <w:szCs w:val="20"/>
        </w:rPr>
        <w:t>postoperative, 3, and 6 months postoperative for all cases.</w:t>
      </w:r>
      <w:r w:rsidR="00440791" w:rsidRPr="000F3911">
        <w:rPr>
          <w:rFonts w:eastAsiaTheme="minorEastAsia" w:hint="eastAsia"/>
          <w:color w:val="000000"/>
          <w:sz w:val="20"/>
          <w:szCs w:val="20"/>
          <w:lang w:eastAsia="zh-CN"/>
        </w:rPr>
        <w:t xml:space="preserve"> </w:t>
      </w:r>
      <w:r w:rsidRPr="000F3911">
        <w:rPr>
          <w:color w:val="000000"/>
          <w:sz w:val="20"/>
          <w:szCs w:val="20"/>
        </w:rPr>
        <w:t>The patients were assessed</w:t>
      </w:r>
      <w:r w:rsidR="00DD3FA0" w:rsidRPr="000F3911">
        <w:rPr>
          <w:rFonts w:eastAsiaTheme="minorEastAsia" w:hint="eastAsia"/>
          <w:color w:val="000000"/>
          <w:sz w:val="20"/>
          <w:szCs w:val="20"/>
          <w:lang w:eastAsia="zh-CN"/>
        </w:rPr>
        <w:t xml:space="preserve"> </w:t>
      </w:r>
      <w:r w:rsidRPr="000F3911">
        <w:rPr>
          <w:color w:val="000000"/>
          <w:sz w:val="20"/>
          <w:szCs w:val="20"/>
        </w:rPr>
        <w:t>clinically by Japanese Orthopedic Association</w:t>
      </w:r>
      <w:r w:rsidR="00DD3FA0" w:rsidRPr="000F3911">
        <w:rPr>
          <w:rFonts w:eastAsiaTheme="minorEastAsia" w:hint="eastAsia"/>
          <w:color w:val="000000"/>
          <w:sz w:val="20"/>
          <w:szCs w:val="20"/>
          <w:lang w:eastAsia="zh-CN"/>
        </w:rPr>
        <w:t xml:space="preserve"> </w:t>
      </w:r>
      <w:r w:rsidRPr="000F3911">
        <w:rPr>
          <w:color w:val="000000"/>
          <w:sz w:val="20"/>
          <w:szCs w:val="20"/>
        </w:rPr>
        <w:t>scale (JOA). The radiological assessment was done by plain radiography, CT scans, and MRI.</w:t>
      </w:r>
      <w:r w:rsidR="00440791" w:rsidRPr="000F3911">
        <w:rPr>
          <w:rFonts w:eastAsiaTheme="minorEastAsia" w:hint="eastAsia"/>
          <w:color w:val="000000"/>
          <w:sz w:val="20"/>
          <w:szCs w:val="20"/>
          <w:lang w:eastAsia="zh-CN"/>
        </w:rPr>
        <w:t xml:space="preserve"> </w:t>
      </w:r>
      <w:r w:rsidRPr="000F3911">
        <w:rPr>
          <w:sz w:val="20"/>
          <w:szCs w:val="20"/>
          <w:lang w:bidi="en-US"/>
        </w:rPr>
        <w:t>The aim of this study was</w:t>
      </w:r>
      <w:r w:rsidR="00DD3FA0" w:rsidRPr="000F3911">
        <w:rPr>
          <w:rFonts w:eastAsiaTheme="minorEastAsia" w:hint="eastAsia"/>
          <w:sz w:val="20"/>
          <w:szCs w:val="20"/>
          <w:lang w:eastAsia="zh-CN" w:bidi="en-US"/>
        </w:rPr>
        <w:t xml:space="preserve"> </w:t>
      </w:r>
      <w:r w:rsidRPr="000F3911">
        <w:rPr>
          <w:sz w:val="20"/>
          <w:szCs w:val="20"/>
          <w:lang w:bidi="en-US"/>
        </w:rPr>
        <w:t>to compare the efficacy of multilevel ACDF using inter</w:t>
      </w:r>
      <w:r w:rsidR="00DD3FA0" w:rsidRPr="000F3911">
        <w:rPr>
          <w:rFonts w:eastAsiaTheme="minorEastAsia" w:hint="eastAsia"/>
          <w:sz w:val="20"/>
          <w:szCs w:val="20"/>
          <w:lang w:eastAsia="zh-CN" w:bidi="en-US"/>
        </w:rPr>
        <w:t xml:space="preserve"> </w:t>
      </w:r>
      <w:r w:rsidRPr="000F3911">
        <w:rPr>
          <w:sz w:val="20"/>
          <w:szCs w:val="20"/>
          <w:lang w:bidi="en-US"/>
        </w:rPr>
        <w:t>body fusion cages (PEEK cages) versus ACCF using titanium mesh (Pyra®mesh) for CSM through evaluating the clinical and radiological outcomes.</w:t>
      </w:r>
      <w:r w:rsidR="00440791" w:rsidRPr="000F3911">
        <w:rPr>
          <w:rFonts w:eastAsiaTheme="minorEastAsia" w:hint="eastAsia"/>
          <w:sz w:val="20"/>
          <w:szCs w:val="20"/>
          <w:lang w:eastAsia="zh-CN" w:bidi="en-US"/>
        </w:rPr>
        <w:t xml:space="preserve"> </w:t>
      </w:r>
      <w:r w:rsidRPr="000F3911">
        <w:rPr>
          <w:b/>
          <w:bCs/>
          <w:color w:val="000000"/>
          <w:sz w:val="20"/>
          <w:szCs w:val="20"/>
        </w:rPr>
        <w:t>From the present study it was noticed that:</w:t>
      </w:r>
      <w:r w:rsidR="00440791" w:rsidRPr="000F3911">
        <w:rPr>
          <w:rFonts w:eastAsiaTheme="minorEastAsia" w:hint="eastAsia"/>
          <w:b/>
          <w:bCs/>
          <w:color w:val="000000"/>
          <w:sz w:val="20"/>
          <w:szCs w:val="20"/>
          <w:lang w:eastAsia="zh-CN"/>
        </w:rPr>
        <w:t xml:space="preserve"> (1) </w:t>
      </w:r>
      <w:r w:rsidRPr="000F3911">
        <w:rPr>
          <w:color w:val="000000"/>
          <w:sz w:val="20"/>
          <w:szCs w:val="20"/>
        </w:rPr>
        <w:t>Both groups demonstrated a significant post-operative increase in JOA scores, an increase that was maintained at the final follow-up. These findings indicate that both groups achieved adequate decompression of the spinal cord and nerve roots, and that these patients benefited from reconstruction of the spinal column.</w:t>
      </w:r>
      <w:r w:rsidR="00440791" w:rsidRPr="000F3911">
        <w:rPr>
          <w:rFonts w:eastAsiaTheme="minorEastAsia" w:hint="eastAsia"/>
          <w:color w:val="000000"/>
          <w:sz w:val="20"/>
          <w:szCs w:val="20"/>
          <w:lang w:eastAsia="zh-CN"/>
        </w:rPr>
        <w:t xml:space="preserve"> (2) </w:t>
      </w:r>
      <w:r w:rsidRPr="000F3911">
        <w:rPr>
          <w:color w:val="000000"/>
          <w:sz w:val="20"/>
          <w:szCs w:val="20"/>
        </w:rPr>
        <w:t>Both the ACDF and ACCF groups had significantly increased cervical lordosis, but the increase was greater in the ACDF group than in the ACCF group. This is because ACDF can provide multiple points of distraction and fixation in addition to the cage and inter</w:t>
      </w:r>
      <w:r w:rsidR="00DD3FA0" w:rsidRPr="000F3911">
        <w:rPr>
          <w:rFonts w:eastAsiaTheme="minorEastAsia" w:hint="eastAsia"/>
          <w:color w:val="000000"/>
          <w:sz w:val="20"/>
          <w:szCs w:val="20"/>
          <w:lang w:eastAsia="zh-CN"/>
        </w:rPr>
        <w:t xml:space="preserve"> </w:t>
      </w:r>
      <w:r w:rsidRPr="000F3911">
        <w:rPr>
          <w:color w:val="000000"/>
          <w:sz w:val="20"/>
          <w:szCs w:val="20"/>
        </w:rPr>
        <w:t>body space shaping. However, ACCF meshmay straighten the cervical spinal column between the remaining vertebral bodies.</w:t>
      </w:r>
      <w:r w:rsidR="00440791" w:rsidRPr="000F3911">
        <w:rPr>
          <w:rFonts w:eastAsiaTheme="minorEastAsia" w:hint="eastAsia"/>
          <w:color w:val="000000"/>
          <w:sz w:val="20"/>
          <w:szCs w:val="20"/>
          <w:lang w:eastAsia="zh-CN"/>
        </w:rPr>
        <w:t xml:space="preserve"> (3) </w:t>
      </w:r>
      <w:r w:rsidRPr="000F3911">
        <w:rPr>
          <w:color w:val="000000"/>
          <w:sz w:val="20"/>
          <w:szCs w:val="20"/>
        </w:rPr>
        <w:t>There was no case with hardware dislodgement in both groups.</w:t>
      </w:r>
      <w:r w:rsidR="006244D6" w:rsidRPr="000F3911">
        <w:rPr>
          <w:color w:val="000000"/>
          <w:sz w:val="20"/>
          <w:szCs w:val="20"/>
        </w:rPr>
        <w:t xml:space="preserve"> </w:t>
      </w:r>
      <w:r w:rsidRPr="000F3911">
        <w:rPr>
          <w:color w:val="000000"/>
          <w:sz w:val="20"/>
          <w:szCs w:val="20"/>
        </w:rPr>
        <w:t>The union rate was same in both groups.</w:t>
      </w:r>
      <w:r w:rsidR="00440791" w:rsidRPr="000F3911">
        <w:rPr>
          <w:rFonts w:eastAsiaTheme="minorEastAsia" w:hint="eastAsia"/>
          <w:color w:val="000000"/>
          <w:sz w:val="20"/>
          <w:szCs w:val="20"/>
          <w:lang w:eastAsia="zh-CN"/>
        </w:rPr>
        <w:t xml:space="preserve"> (4) </w:t>
      </w:r>
      <w:r w:rsidRPr="000F3911">
        <w:rPr>
          <w:color w:val="000000"/>
          <w:sz w:val="20"/>
          <w:szCs w:val="20"/>
        </w:rPr>
        <w:t>There was no difference between both groups in the incidence of Hardware related complications, but the incidence of wound infection and dysphagia was higher in ACCF group which can be explained by the prolonged operative time and the need for more dissection in this group.</w:t>
      </w:r>
    </w:p>
    <w:p w:rsidR="007A1E52" w:rsidRPr="000F3911" w:rsidRDefault="0075778A" w:rsidP="007A1E52">
      <w:pPr>
        <w:bidi w:val="0"/>
        <w:snapToGrid w:val="0"/>
        <w:jc w:val="both"/>
        <w:rPr>
          <w:rFonts w:eastAsiaTheme="minorEastAsia"/>
          <w:noProof/>
          <w:sz w:val="20"/>
          <w:szCs w:val="20"/>
          <w:lang w:eastAsia="zh-CN"/>
        </w:rPr>
      </w:pPr>
      <w:r w:rsidRPr="000F3911">
        <w:rPr>
          <w:noProof/>
          <w:sz w:val="20"/>
          <w:szCs w:val="20"/>
        </w:rPr>
        <w:t>[Osama AL-Ghanam</w:t>
      </w:r>
      <w:r w:rsidRPr="000F3911">
        <w:rPr>
          <w:noProof/>
          <w:sz w:val="20"/>
          <w:szCs w:val="20"/>
          <w:lang w:bidi="ar-EG"/>
        </w:rPr>
        <w:t>,</w:t>
      </w:r>
      <w:r w:rsidRPr="000F3911">
        <w:rPr>
          <w:noProof/>
          <w:sz w:val="20"/>
          <w:szCs w:val="20"/>
        </w:rPr>
        <w:t xml:space="preserve"> Prof</w:t>
      </w:r>
      <w:r w:rsidR="007A1E52" w:rsidRPr="000F3911">
        <w:rPr>
          <w:noProof/>
          <w:sz w:val="20"/>
          <w:szCs w:val="20"/>
        </w:rPr>
        <w:t>. D</w:t>
      </w:r>
      <w:r w:rsidRPr="000F3911">
        <w:rPr>
          <w:noProof/>
          <w:sz w:val="20"/>
          <w:szCs w:val="20"/>
        </w:rPr>
        <w:t>r. Mamoun AboShosha, Mahmoud Mamdouh Nasr</w:t>
      </w:r>
      <w:r w:rsidR="007A1E52" w:rsidRPr="000F3911">
        <w:rPr>
          <w:rFonts w:eastAsiaTheme="minorEastAsia" w:hint="eastAsia"/>
          <w:noProof/>
          <w:sz w:val="20"/>
          <w:szCs w:val="20"/>
          <w:lang w:eastAsia="zh-CN"/>
        </w:rPr>
        <w:t>.</w:t>
      </w:r>
      <w:r w:rsidRPr="000F3911">
        <w:rPr>
          <w:noProof/>
          <w:sz w:val="20"/>
          <w:szCs w:val="20"/>
        </w:rPr>
        <w:t xml:space="preserve"> </w:t>
      </w:r>
      <w:r w:rsidRPr="000F3911">
        <w:rPr>
          <w:b/>
          <w:bCs/>
          <w:noProof/>
          <w:sz w:val="20"/>
          <w:szCs w:val="20"/>
        </w:rPr>
        <w:t>Anterior Cervical Corpectomy versus Multilevel Discectomy and Caging in Cervical Spondylotic Mylopathy</w:t>
      </w:r>
      <w:r w:rsidR="007A1E52" w:rsidRPr="000F3911">
        <w:rPr>
          <w:b/>
          <w:bCs/>
          <w:sz w:val="20"/>
          <w:szCs w:val="20"/>
          <w:lang w:bidi="fa-IR"/>
        </w:rPr>
        <w:t>.</w:t>
      </w:r>
      <w:r w:rsidR="007A1E52" w:rsidRPr="000F3911">
        <w:rPr>
          <w:bCs/>
          <w:i/>
          <w:sz w:val="20"/>
          <w:szCs w:val="20"/>
        </w:rPr>
        <w:t xml:space="preserve"> Researcher</w:t>
      </w:r>
      <w:r w:rsidR="007A1E52" w:rsidRPr="000F3911">
        <w:rPr>
          <w:bCs/>
          <w:sz w:val="20"/>
          <w:szCs w:val="20"/>
        </w:rPr>
        <w:t xml:space="preserve"> 201</w:t>
      </w:r>
      <w:r w:rsidR="007A1E52" w:rsidRPr="000F3911">
        <w:rPr>
          <w:rFonts w:hint="eastAsia"/>
          <w:bCs/>
          <w:sz w:val="20"/>
          <w:szCs w:val="20"/>
        </w:rPr>
        <w:t>8</w:t>
      </w:r>
      <w:r w:rsidR="007A1E52" w:rsidRPr="000F3911">
        <w:rPr>
          <w:bCs/>
          <w:sz w:val="20"/>
          <w:szCs w:val="20"/>
        </w:rPr>
        <w:t>;</w:t>
      </w:r>
      <w:r w:rsidR="007A1E52" w:rsidRPr="000F3911">
        <w:rPr>
          <w:rFonts w:hint="eastAsia"/>
          <w:bCs/>
          <w:sz w:val="20"/>
          <w:szCs w:val="20"/>
        </w:rPr>
        <w:t>10</w:t>
      </w:r>
      <w:r w:rsidR="007A1E52" w:rsidRPr="000F3911">
        <w:rPr>
          <w:bCs/>
          <w:sz w:val="20"/>
          <w:szCs w:val="20"/>
        </w:rPr>
        <w:t>(</w:t>
      </w:r>
      <w:r w:rsidR="007A1E52" w:rsidRPr="000F3911">
        <w:rPr>
          <w:rFonts w:hint="eastAsia"/>
          <w:bCs/>
          <w:sz w:val="20"/>
          <w:szCs w:val="20"/>
        </w:rPr>
        <w:t>3</w:t>
      </w:r>
      <w:r w:rsidR="007A1E52" w:rsidRPr="000F3911">
        <w:rPr>
          <w:bCs/>
          <w:sz w:val="20"/>
          <w:szCs w:val="20"/>
        </w:rPr>
        <w:t>):</w:t>
      </w:r>
      <w:r w:rsidR="00EF23F3" w:rsidRPr="000F3911">
        <w:rPr>
          <w:noProof/>
          <w:color w:val="000000"/>
          <w:sz w:val="20"/>
          <w:szCs w:val="20"/>
        </w:rPr>
        <w:t>32-4</w:t>
      </w:r>
      <w:r w:rsidR="000F3911">
        <w:rPr>
          <w:rFonts w:eastAsiaTheme="minorEastAsia" w:hint="eastAsia"/>
          <w:noProof/>
          <w:color w:val="000000"/>
          <w:sz w:val="20"/>
          <w:szCs w:val="20"/>
          <w:lang w:eastAsia="zh-CN"/>
        </w:rPr>
        <w:t>5</w:t>
      </w:r>
      <w:r w:rsidR="007A1E52" w:rsidRPr="000F3911">
        <w:rPr>
          <w:bCs/>
          <w:sz w:val="20"/>
          <w:szCs w:val="20"/>
        </w:rPr>
        <w:t xml:space="preserve">]. </w:t>
      </w:r>
      <w:r w:rsidR="007A1E52" w:rsidRPr="000F3911">
        <w:rPr>
          <w:sz w:val="20"/>
          <w:szCs w:val="20"/>
        </w:rPr>
        <w:t>ISSN 1553-9865 (print); ISSN 2163-8950 (online)</w:t>
      </w:r>
      <w:r w:rsidR="007A1E52" w:rsidRPr="000F3911">
        <w:rPr>
          <w:bCs/>
          <w:sz w:val="20"/>
          <w:szCs w:val="20"/>
        </w:rPr>
        <w:t xml:space="preserve">. </w:t>
      </w:r>
      <w:hyperlink r:id="rId9" w:history="1">
        <w:r w:rsidR="007A1E52" w:rsidRPr="000F3911">
          <w:rPr>
            <w:rStyle w:val="Hyperlink"/>
            <w:color w:val="0000FF"/>
            <w:sz w:val="20"/>
            <w:szCs w:val="20"/>
          </w:rPr>
          <w:t>http://www.sciencepub.net/researcher</w:t>
        </w:r>
      </w:hyperlink>
      <w:r w:rsidR="007A1E52" w:rsidRPr="000F3911">
        <w:rPr>
          <w:bCs/>
          <w:sz w:val="20"/>
          <w:szCs w:val="20"/>
        </w:rPr>
        <w:t>.</w:t>
      </w:r>
      <w:r w:rsidR="007A1E52" w:rsidRPr="000F3911">
        <w:rPr>
          <w:rFonts w:hint="eastAsia"/>
          <w:bCs/>
          <w:sz w:val="20"/>
          <w:szCs w:val="20"/>
        </w:rPr>
        <w:t xml:space="preserve"> </w:t>
      </w:r>
      <w:r w:rsidR="007A1E52" w:rsidRPr="000F3911">
        <w:rPr>
          <w:rFonts w:eastAsiaTheme="minorEastAsia" w:hint="eastAsia"/>
          <w:bCs/>
          <w:sz w:val="20"/>
          <w:szCs w:val="20"/>
          <w:lang w:eastAsia="zh-CN"/>
        </w:rPr>
        <w:t>5</w:t>
      </w:r>
      <w:r w:rsidR="007A1E52" w:rsidRPr="000F3911">
        <w:rPr>
          <w:rFonts w:hint="eastAsia"/>
          <w:bCs/>
          <w:sz w:val="20"/>
          <w:szCs w:val="20"/>
        </w:rPr>
        <w:t xml:space="preserve">. </w:t>
      </w:r>
      <w:r w:rsidR="007A1E52" w:rsidRPr="000F3911">
        <w:rPr>
          <w:color w:val="000000"/>
          <w:sz w:val="20"/>
          <w:szCs w:val="20"/>
          <w:shd w:val="clear" w:color="auto" w:fill="FFFFFF"/>
        </w:rPr>
        <w:t>doi:</w:t>
      </w:r>
      <w:hyperlink r:id="rId10" w:history="1">
        <w:r w:rsidR="007A1E52" w:rsidRPr="000F3911">
          <w:rPr>
            <w:rStyle w:val="Hyperlink"/>
            <w:color w:val="0000FF"/>
            <w:sz w:val="20"/>
            <w:szCs w:val="20"/>
            <w:shd w:val="clear" w:color="auto" w:fill="FFFFFF"/>
          </w:rPr>
          <w:t>10.7537/mars</w:t>
        </w:r>
        <w:r w:rsidR="007A1E52" w:rsidRPr="000F3911">
          <w:rPr>
            <w:rStyle w:val="Hyperlink"/>
            <w:rFonts w:hint="eastAsia"/>
            <w:color w:val="0000FF"/>
            <w:sz w:val="20"/>
            <w:szCs w:val="20"/>
            <w:shd w:val="clear" w:color="auto" w:fill="FFFFFF"/>
          </w:rPr>
          <w:t>r</w:t>
        </w:r>
        <w:r w:rsidR="007A1E52" w:rsidRPr="000F3911">
          <w:rPr>
            <w:rStyle w:val="Hyperlink"/>
            <w:color w:val="0000FF"/>
            <w:sz w:val="20"/>
            <w:szCs w:val="20"/>
            <w:shd w:val="clear" w:color="auto" w:fill="FFFFFF"/>
          </w:rPr>
          <w:t>sj</w:t>
        </w:r>
        <w:r w:rsidR="007A1E52" w:rsidRPr="000F3911">
          <w:rPr>
            <w:rStyle w:val="Hyperlink"/>
            <w:rFonts w:hint="eastAsia"/>
            <w:color w:val="0000FF"/>
            <w:sz w:val="20"/>
            <w:szCs w:val="20"/>
            <w:shd w:val="clear" w:color="auto" w:fill="FFFFFF"/>
          </w:rPr>
          <w:t>100318.</w:t>
        </w:r>
        <w:r w:rsidR="007A1E52" w:rsidRPr="000F3911">
          <w:rPr>
            <w:rStyle w:val="Hyperlink"/>
            <w:color w:val="0000FF"/>
            <w:sz w:val="20"/>
            <w:szCs w:val="20"/>
            <w:shd w:val="clear" w:color="auto" w:fill="FFFFFF"/>
          </w:rPr>
          <w:t>0</w:t>
        </w:r>
        <w:r w:rsidR="007A1E52" w:rsidRPr="000F3911">
          <w:rPr>
            <w:rStyle w:val="Hyperlink"/>
            <w:rFonts w:eastAsiaTheme="minorEastAsia" w:hint="eastAsia"/>
            <w:color w:val="0000FF"/>
            <w:sz w:val="20"/>
            <w:szCs w:val="20"/>
            <w:shd w:val="clear" w:color="auto" w:fill="FFFFFF"/>
            <w:lang w:eastAsia="zh-CN"/>
          </w:rPr>
          <w:t>5</w:t>
        </w:r>
      </w:hyperlink>
      <w:r w:rsidR="007A1E52" w:rsidRPr="000F3911">
        <w:rPr>
          <w:color w:val="000000"/>
          <w:sz w:val="20"/>
          <w:szCs w:val="20"/>
          <w:shd w:val="clear" w:color="auto" w:fill="FFFFFF"/>
        </w:rPr>
        <w:t>.</w:t>
      </w:r>
    </w:p>
    <w:p w:rsidR="00440791" w:rsidRPr="000F3911" w:rsidRDefault="00440791" w:rsidP="007A1E52">
      <w:pPr>
        <w:bidi w:val="0"/>
        <w:snapToGrid w:val="0"/>
        <w:jc w:val="both"/>
        <w:rPr>
          <w:rFonts w:eastAsiaTheme="minorEastAsia"/>
          <w:sz w:val="20"/>
          <w:szCs w:val="20"/>
          <w:lang w:eastAsia="zh-CN"/>
        </w:rPr>
      </w:pPr>
    </w:p>
    <w:p w:rsidR="00440791" w:rsidRPr="000F3911" w:rsidRDefault="00440791" w:rsidP="007A1E52">
      <w:pPr>
        <w:bidi w:val="0"/>
        <w:snapToGrid w:val="0"/>
        <w:jc w:val="both"/>
        <w:rPr>
          <w:rFonts w:eastAsiaTheme="minorEastAsia"/>
          <w:sz w:val="20"/>
          <w:szCs w:val="20"/>
          <w:lang w:eastAsia="zh-CN"/>
        </w:rPr>
      </w:pPr>
      <w:r w:rsidRPr="000F3911">
        <w:rPr>
          <w:rFonts w:eastAsiaTheme="minorEastAsia" w:hint="eastAsia"/>
          <w:b/>
          <w:sz w:val="20"/>
          <w:szCs w:val="20"/>
          <w:lang w:eastAsia="zh-CN"/>
        </w:rPr>
        <w:t xml:space="preserve">Keywords: </w:t>
      </w:r>
      <w:r w:rsidRPr="000F3911">
        <w:rPr>
          <w:bCs/>
          <w:noProof/>
          <w:sz w:val="20"/>
          <w:szCs w:val="20"/>
        </w:rPr>
        <w:t>Anterior</w:t>
      </w:r>
      <w:r w:rsidRPr="000F3911">
        <w:rPr>
          <w:rFonts w:eastAsiaTheme="minorEastAsia" w:hint="eastAsia"/>
          <w:bCs/>
          <w:noProof/>
          <w:sz w:val="20"/>
          <w:szCs w:val="20"/>
          <w:lang w:eastAsia="zh-CN"/>
        </w:rPr>
        <w:t>;</w:t>
      </w:r>
      <w:r w:rsidRPr="000F3911">
        <w:rPr>
          <w:bCs/>
          <w:noProof/>
          <w:sz w:val="20"/>
          <w:szCs w:val="20"/>
        </w:rPr>
        <w:t xml:space="preserve"> Cervical</w:t>
      </w:r>
      <w:r w:rsidRPr="000F3911">
        <w:rPr>
          <w:rFonts w:eastAsiaTheme="minorEastAsia" w:hint="eastAsia"/>
          <w:bCs/>
          <w:noProof/>
          <w:sz w:val="20"/>
          <w:szCs w:val="20"/>
          <w:lang w:eastAsia="zh-CN"/>
        </w:rPr>
        <w:t>;</w:t>
      </w:r>
      <w:r w:rsidRPr="000F3911">
        <w:rPr>
          <w:bCs/>
          <w:noProof/>
          <w:sz w:val="20"/>
          <w:szCs w:val="20"/>
        </w:rPr>
        <w:t xml:space="preserve"> Corpectomy</w:t>
      </w:r>
      <w:r w:rsidRPr="000F3911">
        <w:rPr>
          <w:rFonts w:eastAsiaTheme="minorEastAsia" w:hint="eastAsia"/>
          <w:bCs/>
          <w:noProof/>
          <w:sz w:val="20"/>
          <w:szCs w:val="20"/>
          <w:lang w:eastAsia="zh-CN"/>
        </w:rPr>
        <w:t>;</w:t>
      </w:r>
      <w:r w:rsidRPr="000F3911">
        <w:rPr>
          <w:bCs/>
          <w:noProof/>
          <w:sz w:val="20"/>
          <w:szCs w:val="20"/>
        </w:rPr>
        <w:t xml:space="preserve"> versus</w:t>
      </w:r>
      <w:r w:rsidRPr="000F3911">
        <w:rPr>
          <w:rFonts w:eastAsiaTheme="minorEastAsia" w:hint="eastAsia"/>
          <w:bCs/>
          <w:noProof/>
          <w:sz w:val="20"/>
          <w:szCs w:val="20"/>
          <w:lang w:eastAsia="zh-CN"/>
        </w:rPr>
        <w:t>;</w:t>
      </w:r>
      <w:r w:rsidRPr="000F3911">
        <w:rPr>
          <w:bCs/>
          <w:noProof/>
          <w:sz w:val="20"/>
          <w:szCs w:val="20"/>
        </w:rPr>
        <w:t xml:space="preserve"> Multilevel</w:t>
      </w:r>
      <w:r w:rsidRPr="000F3911">
        <w:rPr>
          <w:rFonts w:eastAsiaTheme="minorEastAsia" w:hint="eastAsia"/>
          <w:bCs/>
          <w:noProof/>
          <w:sz w:val="20"/>
          <w:szCs w:val="20"/>
          <w:lang w:eastAsia="zh-CN"/>
        </w:rPr>
        <w:t>;</w:t>
      </w:r>
      <w:r w:rsidRPr="000F3911">
        <w:rPr>
          <w:bCs/>
          <w:noProof/>
          <w:sz w:val="20"/>
          <w:szCs w:val="20"/>
        </w:rPr>
        <w:t xml:space="preserve"> Discectomy</w:t>
      </w:r>
      <w:r w:rsidRPr="000F3911">
        <w:rPr>
          <w:rFonts w:eastAsiaTheme="minorEastAsia" w:hint="eastAsia"/>
          <w:bCs/>
          <w:noProof/>
          <w:sz w:val="20"/>
          <w:szCs w:val="20"/>
          <w:lang w:eastAsia="zh-CN"/>
        </w:rPr>
        <w:t>;</w:t>
      </w:r>
      <w:r w:rsidRPr="000F3911">
        <w:rPr>
          <w:bCs/>
          <w:noProof/>
          <w:sz w:val="20"/>
          <w:szCs w:val="20"/>
        </w:rPr>
        <w:t xml:space="preserve"> Caging</w:t>
      </w:r>
      <w:r w:rsidRPr="000F3911">
        <w:rPr>
          <w:rFonts w:eastAsiaTheme="minorEastAsia" w:hint="eastAsia"/>
          <w:bCs/>
          <w:noProof/>
          <w:sz w:val="20"/>
          <w:szCs w:val="20"/>
          <w:lang w:eastAsia="zh-CN"/>
        </w:rPr>
        <w:t>;</w:t>
      </w:r>
      <w:r w:rsidRPr="000F3911">
        <w:rPr>
          <w:bCs/>
          <w:noProof/>
          <w:sz w:val="20"/>
          <w:szCs w:val="20"/>
        </w:rPr>
        <w:t xml:space="preserve"> Spondylotic Mylopathy</w:t>
      </w:r>
    </w:p>
    <w:p w:rsidR="006244D6" w:rsidRPr="000F3911" w:rsidRDefault="006244D6" w:rsidP="007A1E52">
      <w:pPr>
        <w:autoSpaceDE w:val="0"/>
        <w:autoSpaceDN w:val="0"/>
        <w:bidi w:val="0"/>
        <w:adjustRightInd w:val="0"/>
        <w:snapToGrid w:val="0"/>
        <w:jc w:val="both"/>
        <w:rPr>
          <w:b/>
          <w:bCs/>
          <w:color w:val="000000"/>
          <w:sz w:val="20"/>
          <w:szCs w:val="20"/>
        </w:rPr>
      </w:pPr>
    </w:p>
    <w:p w:rsidR="006244D6" w:rsidRPr="000F3911" w:rsidRDefault="006244D6" w:rsidP="007A1E52">
      <w:pPr>
        <w:autoSpaceDE w:val="0"/>
        <w:autoSpaceDN w:val="0"/>
        <w:bidi w:val="0"/>
        <w:adjustRightInd w:val="0"/>
        <w:snapToGrid w:val="0"/>
        <w:jc w:val="both"/>
        <w:rPr>
          <w:b/>
          <w:bCs/>
          <w:color w:val="000000"/>
          <w:sz w:val="20"/>
          <w:szCs w:val="20"/>
        </w:rPr>
        <w:sectPr w:rsidR="006244D6" w:rsidRPr="000F3911" w:rsidSect="00EF23F3">
          <w:headerReference w:type="default" r:id="rId11"/>
          <w:footerReference w:type="default" r:id="rId12"/>
          <w:type w:val="continuous"/>
          <w:pgSz w:w="12242" w:h="15842" w:code="1"/>
          <w:pgMar w:top="1440" w:right="1440" w:bottom="1440" w:left="1440" w:header="720" w:footer="720" w:gutter="0"/>
          <w:pgNumType w:start="32"/>
          <w:cols w:space="708"/>
          <w:bidi/>
          <w:docGrid w:linePitch="360"/>
        </w:sectPr>
      </w:pPr>
    </w:p>
    <w:p w:rsidR="00B503E8" w:rsidRPr="000F3911" w:rsidRDefault="00F241E2" w:rsidP="007A1E52">
      <w:pPr>
        <w:autoSpaceDE w:val="0"/>
        <w:autoSpaceDN w:val="0"/>
        <w:bidi w:val="0"/>
        <w:adjustRightInd w:val="0"/>
        <w:snapToGrid w:val="0"/>
        <w:jc w:val="both"/>
        <w:rPr>
          <w:b/>
          <w:bCs/>
          <w:color w:val="000000"/>
          <w:sz w:val="20"/>
          <w:szCs w:val="20"/>
        </w:rPr>
      </w:pPr>
      <w:r w:rsidRPr="000F3911">
        <w:rPr>
          <w:b/>
          <w:bCs/>
          <w:color w:val="000000"/>
          <w:sz w:val="20"/>
          <w:szCs w:val="20"/>
        </w:rPr>
        <w:lastRenderedPageBreak/>
        <w:t>1. Introduction</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Myelopathy describes any neurological deficit related to the spinal cord, cervical myelopathy results from compression of the spinal cord usually due to congenital cervical canal stenosis, prolapsed inter-vertebral disc, impinging osteophyte, ossified posterior longitudinal ligament, hypertrophic ligamentum flavum and dynamic instability. Cervical spondylotic myelopathy (CSM) is the most common cause of spinal cord dysfunction in the older population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"10.1016/j.wneu.2016.06.115", "ISSN" : "1878-8769 (Electronic)", "PMID" : "27389941", "abstract" : "BACKGROUND: Cervical myelopathy due to bilateral laminar cleft of the axis is extremely rare, and few cases have been previously reported. However, its treatment is relatively simple. Surgical removal of the anomalous bony structure compromising the spinal canal can sufficiently achieve a good outcome. CASE DESCRIPTION: A 56-year-old man presented with a 2-year history of stiffness of the left upper and lower extremities. Cervical spine computed tomography showed a bony cleft at both laminae of the posterior arch of the axis, with obvious cord compression on magnetic resonance imaging. Although absence of right pedicle and spina bifida of C7 were also detected, there was no cord compression at this level. The patient underwent surgical removal of the anomalous laminar cleft and the spinous process of the axis. Postoperatively, he improved rapidly and was discharged on the seventh postoperative day. He was asymptomatic at the 3-year follow-up. After surgery, the preoperative myelopathy status was much improved. About 7 years after surgery, radiographs showed no kyphosis and instability. CONCLUSION: Invaginated bilateral laminar cleft of the axis is a rare cause of cervical myelopathy. The findings in our case should broaden the radiographic differential diagnosis in patients with cervical myelopathy. Surgical removal is an appropriate and simple treatment for this patient, resulting in a satisfactory outcome.", "author" : [ { "dropping-particle" : "", "family" : "Moon", "given" : "Bong Ju", "non-dropping-particle" : "", "parse-names" : false, "suffix" : "" }, { "dropping-particle" : "", "family" : "Choi", "given" : "Ki-Young", "non-dropping-particle" : "", "parse-names" : false, "suffix" : "" }, { "dropping-particle" : "", "family" : "Lee", "given" : "Jung-Kil", "non-dropping-particle" : "", "parse-names" : false, "suffix" : "" } ], "container-title" : "World neurosurgery", "id" : "ITEM-1", "issued" : { "date-parts" : [ [ "2016", "9" ] ] }, "language" : "eng", "page" : "487.e11-4", "publisher-place" : "United States", "title" : "Cervical Myelopathy Caused by Bilateral Laminar Cleft of the Axis: Case Report and Review of Literature.", "type" : "article-journal", "volume" : "93" }, "uris" : [ "http://www.mendeley.com/documents/?uuid=31a710c0-2567-4bd7-a4c1-42501114ba98" ] }, { "id" : "ITEM-2", "itemData" : { "DOI" : "10.1177/1073858412467377", "ISSN" : "1089-4098 (Electronic)", "PMID" : "23204243", "abstract" : "Cervical spondylotic myelopathy (CSM) is a common disorder involving chronic progressive compression of the cervical spinal cord due to degenerative disc disease, spondylosis, or other degenerative pathology. CSM is the most common form of spinal cord impairment and causes functional decline leading to reduced independence and quality of life. Despite a sound understanding of the disease process, clinical presentation and management, a universal definition of CSM and a standardized index of severity are not currently used universally. Work is required to develop a definition and establish clinical predictors of progression to improve management of CSM. Despite advances in decompressive and reconstructive surgery, patients are often left with residual disability. Gaps in knowledge of the pathobiology of CSM have limited therapeutic advances to complement surgery. Although the histopathologic and pathophysiologic similarities between CSM and traumatic spinal cord injury have long been acknowledged, the unique pathomechanisms of CSM remain unexplored. Increased efforts to elucidate CSM pathobiology could lead to the discovery of novel therapeutic targets for human CSM and other spinal cord diseases. Here, the natural history of CSM, epidemiology, clinical presentation, and current methods of clinical management are reported, along with the current state of basic scientific research in the field.", "author" : [ { "dropping-particle" : "", "family" : "Kalsi-Ryan", "given" : "Sukhvinder", "non-dropping-particle" : "", "parse-names" : false, "suffix" : "" }, { "dropping-particle" : "", "family" : "Karadimas", "given" : "Spyridon K", "non-dropping-particle" : "", "parse-names" : false, "suffix" : "" }, { "dropping-particle" : "", "family" : "Fehlings", "given" : "Michael G", "non-dropping-particle" : "", "parse-names" : false, "suffix" : "" } ], "container-title" : "The Neuroscientist : a review journal bringing neurobiology, neurology and psychiatry", "id" : "ITEM-2", "issue" : "4", "issued" : { "date-parts" : [ [ "2013", "8" ] ] }, "language" : "eng", "page" : "409-421", "publisher-place" : "United States", "title" : "Cervical spondylotic myelopathy: the clinical phenomenon and the current pathobiology of an increasingly prevalent and devastating disorder.", "type" : "article-journal", "volume" : "19" }, "uris" : [ "http://www.mendeley.com/documents/?uuid=65f3aa90-3ab1-4838-bf7d-75b03c217680" ] } ], "mendeley" : { "formattedCitation" : "(Kalsi-Ryan, Karadimas and Fehlings, 2013; Moon, Choi and Lee, 2016)", "plainTextFormattedCitation" : "(Kalsi-Ryan, Karadimas and Fehlings, 2013; Moon, Choi and Lee, 2016)", "previouslyFormattedCitation" : "(Kalsi-Ryan, Karadimas and Fehlings, 2013; Moon, Choi and Lee, 2016)"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(Kalsi-Ryan, Karadimas and Fehlings, 2013; Moon, Choi and Lee, 2016)</w:t>
      </w:r>
      <w:r w:rsidR="00F105E2" w:rsidRPr="000F3911">
        <w:rPr>
          <w:b/>
          <w:bCs/>
          <w:color w:val="000000"/>
          <w:sz w:val="20"/>
          <w:szCs w:val="20"/>
        </w:rPr>
        <w:fldChar w:fldCharType="end"/>
      </w:r>
      <w:r w:rsidRPr="000F3911">
        <w:rPr>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Multilevel cervical degenerative myelopathy (CDM), which is characterized by multisegmental spinal cord compression because of cervical spondylotic myelopathy (CSM), ossification of the posterior longitudinal ligament (OPLL), and cervical </w:t>
      </w:r>
      <w:r w:rsidRPr="000F3911">
        <w:rPr>
          <w:color w:val="000000"/>
          <w:sz w:val="20"/>
          <w:szCs w:val="20"/>
        </w:rPr>
        <w:lastRenderedPageBreak/>
        <w:t>stenotic myelopathy, is a common spinal disorder all over the world</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"author" : [ { "dropping-particle" : "", "family" : "Harry Nerkowitz", "given" : "", "non-dropping-particle" : "", "parse-names" : false, "suffix" : "" } ], "chapter-number" : "5", "container-title" : "The Cervical Spine Surgery Atlas", "edition" : "2", "editor" : [ { "dropping-particle" : "", "family" : "Ashok Biyani", "given" : "", "non-dropping-particle" : "", "parse-names" : false, "suffix" : "" }, { "dropping-particle" : "", "family" : "Howard S. An", "given" : "", "non-dropping-particle" : "", "parse-names" : false, "suffix" : "" } ], "id" : "ITEM-1", "issued" : { "date-parts" : [ [ "2004" ] ] }, "page" : "400", "publisher" : "Lippincots &amp; Williams", "publisher-place" : "New York", "title" : "the anterior upper cervical spine approaches", "type" : "chapter" }, "uris" : [ "http://www.mendeley.com/documents/?uuid=338ee18a-e2a2-315b-bb4e-67d0a83ef946" ] } ], "mendeley" : { "formattedCitation" : "(Harry Nerkowitz, 2004)", "plainTextFormattedCitation" : "(Harry Nerkowitz, 2004)", "previouslyFormattedCitation" : "(Harry Nerkowitz, 2004)"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(Harry Nerkowitz, 2004)</w:t>
      </w:r>
      <w:r w:rsidR="00F105E2" w:rsidRPr="000F3911">
        <w:rPr>
          <w:b/>
          <w:bCs/>
          <w:color w:val="000000"/>
          <w:sz w:val="20"/>
          <w:szCs w:val="20"/>
        </w:rPr>
        <w:fldChar w:fldCharType="end"/>
      </w:r>
      <w:r w:rsidRPr="000F3911">
        <w:rPr>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Cervical kyphosis, which often leads to the coexistence of OPLL with CSM and cervical stenotic myelopathy, is the result of progressive degeneration of the facet joints and discs</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"10.1007/s00586-015-4299-x", "ISSN" : "1432-0932 (Electronic)", "PMID" : "26530299", "abstract" : "PURPOSE: Spinal cord back shift has been considered the desired end point of posterior decompression procedures for cervical spondylotic myelopathy (CSM). However, the association with postoperative outcomes has not been definitively demonstrated. The aim of this review is to obtain an overview of the current knowledge on the spinal back shift after posterior decompression to clarify the main controversial aspects and provide recommendations for further studies on the subject. METHODS: A comprehensive quantitative review of the literature was performed. Bibliographic databases were searched using the following keywords: spinal cord drift, spinal cord shift, CSM, ossification of posterior longitudinal ligament, posterior decompression, laminoplasty, laminectomy and fusion. RESULTS: Twelve eligible studies were included. The authors measured the spinal cord back shift in different ways, using the posterior edge, the center or the anterior margin of the spinal cord as reference points. Six studies analyzed the correlation between the spinal cord back shift and the recovery rate, but their results were discordant. The correlation between the posterior cord migration and cervical alignment was not confirmed in all studies. CONCLUSIONS: There is a need for a consensus on the best way to measure the spinal cord back shift. The action of multiple factors on spinal cord back shift can explain the difference in the results collected from the studies. We recommend further studies to clarify the behavior of the spinal cord after posterior decompression and its clinical meaning.", "author" : [ { "dropping-particle" : "", "family" : "Denaro", "given" : "Vincenzo", "non-dropping-particle" : "", "parse-names" : false, "suffix" : "" }, { "dropping-particle" : "", "family" : "Longo", "given" : "Umile Giuseppe", "non-dropping-particle" : "", "parse-names" : false, "suffix" : "" }, { "dropping-particle" : "", "family" : "Berton", "given" : "Alessandra", "non-dropping-particle" : "", "parse-names" : false, "suffix" : "" }, { "dropping-particle" : "", "family" : "Salvatore", "given" : "Giuseppe", "non-dropping-particle" : "", "parse-names" : false, "suffix" : "" }, { "dropping-particle" : "", "family" : "Denaro", "given" : "Luca", "non-dropping-particle" : "", "parse-names" : false, "suffix" : "" } ], "container-title" : "European spine journal : official publication of the European Spine Society, the  European Spinal Deformity Society, and the European Section of the Cervical Spine Research Society", "id" : "ITEM-1", "issued" : { "date-parts" : [ [ "2015", "11" ] ] }, "language" : "eng", "page" : "832-841", "publisher-place" : "Germany", "title" : "Cervical spondylotic myelopathy: the relevance of the spinal cord back shift after posterior multilevel decompression. A systematic review.", "type" : "article-journal", "volume" : "24 Suppl 7" }, "uris" : [ "http://www.mendeley.com/documents/?uuid=7fd4ae6a-8d05-4eb0-9f07-4dbc06902ce6" ] } ], "mendeley" : { "formattedCitation" : "(Denaro &lt;i&gt;et al.&lt;/i&gt;, 2015)", "plainTextFormattedCitation" : "(Denaro et al., 2015)", "previouslyFormattedCitation" : "(Denaro &lt;i&gt;et al.&lt;/i&gt;, 2015)"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(Denaro </w:t>
      </w:r>
      <w:r w:rsidRPr="000F3911">
        <w:rPr>
          <w:b/>
          <w:bCs/>
          <w:i/>
          <w:noProof/>
          <w:color w:val="000000"/>
          <w:sz w:val="20"/>
          <w:szCs w:val="20"/>
        </w:rPr>
        <w:t>et al.</w:t>
      </w:r>
      <w:r w:rsidRPr="000F3911">
        <w:rPr>
          <w:b/>
          <w:bCs/>
          <w:noProof/>
          <w:color w:val="000000"/>
          <w:sz w:val="20"/>
          <w:szCs w:val="20"/>
        </w:rPr>
        <w:t>, 2015)</w:t>
      </w:r>
      <w:r w:rsidR="00F105E2" w:rsidRPr="000F3911">
        <w:rPr>
          <w:b/>
          <w:bCs/>
          <w:color w:val="000000"/>
          <w:sz w:val="20"/>
          <w:szCs w:val="20"/>
        </w:rPr>
        <w:fldChar w:fldCharType="end"/>
      </w:r>
      <w:r w:rsidRPr="000F3911">
        <w:rPr>
          <w:b/>
          <w:bCs/>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Various surgical approaches to the cervical spinal cord have developed as the clinical syndromes, mechanism of disease and pathological changes that ensue have been better defined</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"10.1007/s11420-014-9426-4", "ISSN" : "1556-3316 (Print)", "PMID" : "25737666", "abstract" : "BACKGROUND: Cervical spondylotic myelopathy (CSM) is a devastating pathology that can severely impair quality of life. The symptoms in CSM progress slowly and often do not manifest until they become severe and potentially irreversible. There is a consensus that surgical intervention is warranted in symptomatic patients. The recovery of the neurologic deficit after surgical decompression of the spinal cord varies, and halting the progression of the disease remains the principle aim of surgery. QUESTIONS/PURPOSES: The aim of this review is to address the key question of whether or not to intervene in cases that have radiographic evidence of significant cervical stenosis yet are asymptomatic or exhibit minimal symptoms? METHODS: The PubMed databases for publications that addressed asymptomatic cervical spondylotic myelopathy were reviewed. The relevant articles were selected after screening all the resulting abstracts. The references of the relevant articles were then reviewed, and cross references with titles discussing CSM were picked up for review. RESULTS: The search identified 14 papers which were reviewed. Seven articles were found to be relevant to the subject in question. Going through the references of the relevant articles, three articles were found to be directly related to the topic in study. CONCLUSION: There is paucity of evidence to support for or against surgery in the setting of asymptomatic cervical spondylotic myelopathy despite radiographic evidence of severe stenosis. Patient factors such as age, level of activity, and risk of injury should be considered in formulating a management plan. Moreover, the patient should play an integral role in the process of decision making.", "author" : [ { "dropping-particle" : "", "family" : "Sheikh Taha", "given" : "Abdel Majid", "non-dropping-particle" : "", "parse-names" : false, "suffix" : "" }, { "dropping-particle" : "", "family" : "Shue", "given" : "Jennifer", "non-dropping-particle" : "", "parse-names" : false, "suffix" : "" }, { "dropping-particle" : "", "family" : "Lebl", "given" : "Darren", "non-dropping-particle" : "", "parse-names" : false, "suffix" : "" }, { "dropping-particle" : "", "family" : "Girardi", "given" : "Federico", "non-dropping-particle" : "", "parse-names" : false, "suffix" : "" } ], "container-title" : "HSS journal : the musculoskeletal journal of Hospital for Special Surgery", "id" : "ITEM-1", "issue" : "1", "issued" : { "date-parts" : [ [ "2015", "2" ] ] }, "language" : "eng", "page" : "31-35", "publisher-place" : "United States", "title" : "Considerations for prophylactic surgery in asymptomatic severe cervical stenosis: review article.", "type" : "article-journal", "volume" : "11" }, "uris" : [ "http://www.mendeley.com/documents/?uuid=2a0823c0-1d1a-419a-84a4-baaf9fd8f553" ] } ], "mendeley" : { "formattedCitation" : "(Sheikh Taha &lt;i&gt;et al.&lt;/i&gt;, 2015)", "plainTextFormattedCitation" : "(Sheikh Taha et al., 2015)", "previouslyFormattedCitation" : "(Sheikh Taha &lt;i&gt;et al.&lt;/i&gt;, 2015)"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(Sheikh Taha </w:t>
      </w:r>
      <w:r w:rsidRPr="000F3911">
        <w:rPr>
          <w:b/>
          <w:bCs/>
          <w:i/>
          <w:noProof/>
          <w:color w:val="000000"/>
          <w:sz w:val="20"/>
          <w:szCs w:val="20"/>
        </w:rPr>
        <w:t>et al.</w:t>
      </w:r>
      <w:r w:rsidRPr="000F3911">
        <w:rPr>
          <w:b/>
          <w:bCs/>
          <w:noProof/>
          <w:color w:val="000000"/>
          <w:sz w:val="20"/>
          <w:szCs w:val="20"/>
        </w:rPr>
        <w:t>, 2015)</w:t>
      </w:r>
      <w:r w:rsidR="00F105E2" w:rsidRPr="000F3911">
        <w:rPr>
          <w:b/>
          <w:bCs/>
          <w:color w:val="000000"/>
          <w:sz w:val="20"/>
          <w:szCs w:val="20"/>
        </w:rPr>
        <w:fldChar w:fldCharType="end"/>
      </w:r>
      <w:r w:rsidRPr="000F3911">
        <w:rPr>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A posterior approach is the traditional method, and has been the standard route by which the cervical canal and its contents are approached</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"10.1007/s00586-015-4299-x", "ISSN" : "1432-0932 (Electronic)", "PMID" : "26530299", "abstract" : "PURPOSE: Spinal cord back shift has been considered the desired end point of posterior decompression procedures for cervical spondylotic myelopathy (CSM). However, the association with postoperative outcomes has not been definitively demonstrated. The aim of this review is to obtain an overview of the current knowledge on the spinal back shift after posterior decompression to clarify the main controversial aspects and provide recommendations for further studies on the subject. METHODS: A comprehensive quantitative review of the literature was performed. Bibliographic databases were searched using the following keywords: spinal cord drift, spinal cord shift, CSM, ossification of posterior longitudinal ligament, posterior decompression, laminoplasty, laminectomy and fusion. RESULTS: Twelve eligible studies were included. The authors measured the spinal cord back shift in different ways, using the posterior edge, the center or the anterior margin of the spinal cord as reference points. Six studies analyzed the correlation between the spinal cord back shift and the recovery rate, but their results were discordant. The correlation between the posterior cord migration and cervical alignment was not confirmed in all studies. CONCLUSIONS: There is a need for a consensus on the best way to measure the spinal cord back shift. The action of multiple factors on spinal cord back shift can explain the difference in the results collected from the studies. We recommend further studies to clarify the behavior of the spinal cord after posterior decompression and its clinical meaning.", "author" : [ { "dropping-particle" : "", "family" : "Denaro", "given" : "Vincenzo", "non-dropping-particle" : "", "parse-names" : false, "suffix" : "" }, { "dropping-particle" : "", "family" : "Longo", "given" : "Umile Giuseppe", "non-dropping-particle" : "", "parse-names" : false, "suffix" : "" }, { "dropping-particle" : "", "family" : "Berton", "given" : "Alessandra", "non-dropping-particle" : "", "parse-names" : false, "suffix" : "" }, { "dropping-particle" : "", "family" : "Salvatore", "given" : "Giuseppe", "non-dropping-particle" : "", "parse-names" : false, "suffix" : "" }, { "dropping-particle" : "", "family" : "Denaro", "given" : "Luca", "non-dropping-particle" : "", "parse-names" : false, "suffix" : "" } ], "container-title" : "European spine journal : official publication of the European Spine Society, the  European Spinal Deformity Society, and the European Section of the Cervical Spine Research Society", "id" : "ITEM-1", "issued" : { "date-parts" : [ [ "2015", "11" ] ] }, "language" : "eng", "page" : "832-841", "publisher-place" : "Germany", "title" : "Cervical spondylotic myelopathy: the relevance of the spinal cord back shift after posterior multilevel decompression. A systematic review.", "type" : "article-journal", "volume" : "24 Suppl 7" }, "uris" : [ "http://www.mendeley.com/documents/?uuid=7fd4ae6a-8d05-4eb0-9f07-4dbc06902ce6" ] } ], "mendeley" : { "formattedCitation" : "(Denaro &lt;i&gt;et al.&lt;/i&gt;, 2015)", "plainTextFormattedCitation" : "(Denaro et al., 2015)", "previouslyFormattedCitation" : "(Denaro &lt;i&gt;et al.&lt;/i&gt;, 2015)"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(Denaro </w:t>
      </w:r>
      <w:r w:rsidRPr="000F3911">
        <w:rPr>
          <w:b/>
          <w:bCs/>
          <w:i/>
          <w:noProof/>
          <w:color w:val="000000"/>
          <w:sz w:val="20"/>
          <w:szCs w:val="20"/>
        </w:rPr>
        <w:t>et al.</w:t>
      </w:r>
      <w:r w:rsidRPr="000F3911">
        <w:rPr>
          <w:b/>
          <w:bCs/>
          <w:noProof/>
          <w:color w:val="000000"/>
          <w:sz w:val="20"/>
          <w:szCs w:val="20"/>
        </w:rPr>
        <w:t>, 2015)</w:t>
      </w:r>
      <w:r w:rsidR="00F105E2" w:rsidRPr="000F3911">
        <w:rPr>
          <w:b/>
          <w:bCs/>
          <w:color w:val="000000"/>
          <w:sz w:val="20"/>
          <w:szCs w:val="20"/>
        </w:rPr>
        <w:fldChar w:fldCharType="end"/>
      </w:r>
      <w:r w:rsidRPr="000F3911">
        <w:rPr>
          <w:color w:val="000000"/>
          <w:sz w:val="20"/>
          <w:szCs w:val="20"/>
        </w:rPr>
        <w:t xml:space="preserve">. It includes laminectomy, hemilaminectomy, Keyhole laminoforaminotomy and laminoplasty </w:t>
      </w:r>
      <w:r w:rsidR="000F3911" w:rsidRPr="000F3911">
        <w:rPr>
          <w:color w:val="000000"/>
          <w:sz w:val="20"/>
          <w:szCs w:val="20"/>
        </w:rPr>
        <w:t>and is</w:t>
      </w:r>
      <w:r w:rsidRPr="000F3911">
        <w:rPr>
          <w:color w:val="000000"/>
          <w:sz w:val="20"/>
          <w:szCs w:val="20"/>
        </w:rPr>
        <w:t xml:space="preserve"> indicated where a myelopathy and radiculopathy </w:t>
      </w:r>
      <w:r w:rsidRPr="000F3911">
        <w:rPr>
          <w:color w:val="000000"/>
          <w:sz w:val="20"/>
          <w:szCs w:val="20"/>
        </w:rPr>
        <w:lastRenderedPageBreak/>
        <w:t>coexist, as for</w:t>
      </w:r>
      <w:r w:rsidR="000F3911">
        <w:rPr>
          <w:rFonts w:eastAsiaTheme="minorEastAsia" w:hint="eastAsia"/>
          <w:color w:val="000000"/>
          <w:sz w:val="20"/>
          <w:szCs w:val="20"/>
          <w:lang w:eastAsia="zh-CN"/>
        </w:rPr>
        <w:t xml:space="preserve"> </w:t>
      </w:r>
      <w:r w:rsidRPr="000F3911">
        <w:rPr>
          <w:color w:val="000000"/>
          <w:sz w:val="20"/>
          <w:szCs w:val="20"/>
        </w:rPr>
        <w:t>aminotomy at one or several levels can be combined with laminectomy. The goal of the foraminotomy is the early relief of brachial neuralgia and neurologic symptoms such as paraesthesiae</w:t>
      </w:r>
      <w:r w:rsidR="000F3911">
        <w:rPr>
          <w:rFonts w:eastAsiaTheme="minorEastAsia" w:hint="eastAsia"/>
          <w:color w:val="000000"/>
          <w:sz w:val="20"/>
          <w:szCs w:val="20"/>
          <w:lang w:eastAsia="zh-CN"/>
        </w:rPr>
        <w:t xml:space="preserve">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"10.1177/2192568217699208", "ISSN" : "2192-5682 (Print)", "PMID" : "28894688", "abstract" : "STUDY DESIGN: Review. OBJECTIVES: Cervical spondylotic myelopathy (CSM) is a major cause of disability, particular in elderly patients. Awareness and understanding of CSM is imperative to facilitate early diagnosis and management. This review article addresses CSM with regard to its epidemiology, anatomical considerations, pathophysiology, clinical manifestations, imaging characteristics, treatment approaches and outcomes, and the cost-effectiveness of surgical options. METHODS: The authors performed an extensive review of the peer-reviewed literature addressing the aforementioned objectives. RESULTS: The clinical presentation and natural history of CSM is variable, alternating between quiescent and insidious to stepwise decline or rapid neurological deterioration. For mild CSM, conservative options could be employed with careful observation. However, surgical intervention has shown to be superior for moderate to severe CSM. The success of operative or conservative management of CSM is multifactorial and high-quality studies are lacking. The optimal surgical approach is still under debate, and can vary depending on the number of levels involved, location of the pathology and baseline cervical sagittal alignment. CONCLUSIONS: Early recognition and treatment of CSM, before the onset of spinal cord damage, is essential for optimal outcomes. The goal of surgery is to decompress the cord with expansion of the spinal canal, while restoring cervical lordosis, and stabilizing when the risk of cervical kyphosis is high. Further high-quality randomized clinical studies with long-term follow up are still needed to further define the natural history and help predict the ideal surgical strategy.", "author" : [ { "dropping-particle" : "", "family" : "Bakhsheshian", "given" : "Joshua", "non-dropping-particle" : "", "parse-names" : false, "suffix" : "" }, { "dropping-particle" : "", "family" : "Mehta", "given" : "Vivek A", "non-dropping-particle" : "", "parse-names" : false, "suffix" : "" }, { "dropping-particle" : "", "family" : "Liu", "given" : "John C", "non-dropping-particle" : "", "parse-names" : false, "suffix" : "" } ], "container-title" : "Global spine journal", "id" : "ITEM-1", "issue" : "6", "issued" : { "date-parts" : [ [ "2017", "9" ] ] }, "language" : "eng", "page" : "572-586", "publisher-place" : "England", "title" : "Current Diagnosis and Management of Cervical Spondylotic Myelopathy.", "type" : "article-journal", "volume" : "7" }, "uris" : [ "http://www.mendeley.com/documents/?uuid=06d37dcf-af99-4494-a491-142573b4dd3d" ] } ], "mendeley" : { "formattedCitation" : "(Bakhsheshian, Mehta and Liu, 2017)", "plainTextFormattedCitation" : "(Bakhsheshian, Mehta and Liu, 2017)", "previouslyFormattedCitation" : "(Bakhsheshian, Mehta and Liu, 2017)"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(Bakhsheshian, Mehta and Liu, 2017)</w:t>
      </w:r>
      <w:r w:rsidR="00F105E2" w:rsidRPr="000F3911">
        <w:rPr>
          <w:b/>
          <w:bCs/>
          <w:color w:val="000000"/>
          <w:sz w:val="20"/>
          <w:szCs w:val="20"/>
        </w:rPr>
        <w:fldChar w:fldCharType="end"/>
      </w:r>
      <w:r w:rsidRPr="000F3911">
        <w:rPr>
          <w:b/>
          <w:bCs/>
          <w:color w:val="000000"/>
          <w:sz w:val="20"/>
          <w:szCs w:val="20"/>
        </w:rPr>
        <w:t>.</w:t>
      </w:r>
    </w:p>
    <w:p w:rsidR="006244D6"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This approach should take place in the midline to avoid injury of the greater occipital nerve lateral to the external occipital protuberance in the roof of the suboccipital triangle, the posterior arch of atlas should not be exposed more than 1.5 cm from the midline because of risk of injury to the 3rd part of the vertebral artery and the suboccipital nerve</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"10.1016/j.wneu.2016.06.109", "ISSN" : "1878-8769 (Electronic)", "PMID" : "27389939", "abstract" : "OBJECTIVE: Cervical spondylotic myelopathy (CSM) is the most common progressive degenerative disease of the spine in the geriatric population. The aim of the current review is to provide an evidence-based stepwise surgical approach to CSM according to the recent literature. METHODS: We searched for evidence regarding the surgical approach to CSM in medical databases with articles dated from 1985 to 2016. RESULTS: In patients with effective cervical lordosis (fewer than 3 levels of ventral disease), anterior cervical discectomy and fusion (ACDF) or arthroplasty is preferred. Patients with more than 3 levels of compression are generally treated by laminoplasty, especially with preserved lordotic curvature. In patients with straightened spine who have less than 3 involved levels, ACDF with a plate is recommended, whereas patients with more than 3 involved levels with instability should undergo posterior decompression and fusion. In young patients who have a stable cervical spine, laminoplasty is recommended and in old patients with ankylosed spine, only laminectomy should be performed. Patients with mild cervical kyphosis (kyphotic angle &lt;/=10 degrees ) should be managed in the same way as patients with straightened spine. However, in severe kyphosis, cervical traction is recommended. If the kyphosis is reducible, further posterior decompression and fusion is adequate. In patients with irreducible kyphosis, if the number of involved levels is less than 2, ACDF is adequate, but if it is more than 2 levels, anterior cervical corpectomy and fusion should be performed using cervical magnetic resonance imaging for evaluation of the patency of the subarachnoid space (SAS). With patent SAS, only posterior fusion is adequate, whereas in closed SAS, posterior decompression with posterior fusion is required. These approaches are based on the most recent evidence. CONCLUSIONS: This article provides a stepwise evidence-based surgical approach for the management and treatment of patients with CSM.", "author" : [ { "dropping-particle" : "", "family" : "Farrokhi", "given" : "Majid Reza", "non-dropping-particle" : "", "parse-names" : false, "suffix" : "" }, { "dropping-particle" : "", "family" : "Ghaffarpasand", "given" : "Fariborz", "non-dropping-particle" : "", "parse-names" : false, "suffix" : "" }, { "dropping-particle" : "", "family" : "Khani", "given" : "Mehdi", "non-dropping-particle" : "", "parse-names" : false, "suffix" : "" }, { "dropping-particle" : "", "family" : "Gholami", "given" : "Mehrnaz", "non-dropping-particle" : "", "parse-names" : false, "suffix" : "" } ], "container-title" : "World neurosurgery", "id" : "ITEM-1", "issued" : { "date-parts" : [ [ "2016", "10" ] ] }, "language" : "eng", "page" : "97-110", "publisher-place" : "United States", "title" : "An Evidence-Based Stepwise Surgical Approach to Cervical Spondylotic Myelopathy:  A Narrative Review of the Current Literature.", "type" : "article-journal", "volume" : "94" }, "uris" : [ "http://www.mendeley.com/documents/?uuid=65579e8e-b5d3-4a10-aeb8-35054c6df841" ] } ], "mendeley" : { "formattedCitation" : "(Farrokhi &lt;i&gt;et al.&lt;/i&gt;, 2016)", "plainTextFormattedCitation" : "(Farrokhi et al., 2016)", "previouslyFormattedCitation" : "(Farrokhi &lt;i&gt;et al.&lt;/i&gt;, 2016)"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(Farrokhi </w:t>
      </w:r>
      <w:r w:rsidRPr="000F3911">
        <w:rPr>
          <w:b/>
          <w:bCs/>
          <w:i/>
          <w:noProof/>
          <w:color w:val="000000"/>
          <w:sz w:val="20"/>
          <w:szCs w:val="20"/>
        </w:rPr>
        <w:t>et al.</w:t>
      </w:r>
      <w:r w:rsidRPr="000F3911">
        <w:rPr>
          <w:b/>
          <w:bCs/>
          <w:noProof/>
          <w:color w:val="000000"/>
          <w:sz w:val="20"/>
          <w:szCs w:val="20"/>
        </w:rPr>
        <w:t>, 2016)</w:t>
      </w:r>
      <w:r w:rsidR="00F105E2" w:rsidRPr="000F3911">
        <w:rPr>
          <w:b/>
          <w:bCs/>
          <w:color w:val="000000"/>
          <w:sz w:val="20"/>
          <w:szCs w:val="20"/>
        </w:rPr>
        <w:fldChar w:fldCharType="end"/>
      </w:r>
      <w:r w:rsidRPr="000F3911">
        <w:rPr>
          <w:color w:val="000000"/>
          <w:sz w:val="20"/>
          <w:szCs w:val="20"/>
        </w:rPr>
        <w:t>.</w:t>
      </w:r>
    </w:p>
    <w:p w:rsidR="00B503E8" w:rsidRPr="000F3911" w:rsidRDefault="006244D6" w:rsidP="007A1E52">
      <w:pPr>
        <w:autoSpaceDE w:val="0"/>
        <w:autoSpaceDN w:val="0"/>
        <w:bidi w:val="0"/>
        <w:adjustRightInd w:val="0"/>
        <w:snapToGrid w:val="0"/>
        <w:ind w:firstLine="425"/>
        <w:jc w:val="both"/>
        <w:rPr>
          <w:color w:val="000000"/>
          <w:sz w:val="20"/>
          <w:szCs w:val="20"/>
        </w:rPr>
      </w:pPr>
      <w:r w:rsidRPr="000F3911">
        <w:rPr>
          <w:color w:val="000000"/>
          <w:sz w:val="20"/>
          <w:szCs w:val="20"/>
        </w:rPr>
        <w:t>F</w:t>
      </w:r>
      <w:r w:rsidR="00B503E8" w:rsidRPr="000F3911">
        <w:rPr>
          <w:color w:val="000000"/>
          <w:sz w:val="20"/>
          <w:szCs w:val="20"/>
        </w:rPr>
        <w:t>or a posterior approach to be successful the cervical lordosis should be intact and if affected the laminectomy with lateral mass screw fixation is an alternative</w:t>
      </w:r>
      <w:r w:rsidR="00F105E2" w:rsidRPr="000F3911">
        <w:rPr>
          <w:b/>
          <w:bCs/>
          <w:color w:val="000000"/>
          <w:sz w:val="20"/>
          <w:szCs w:val="20"/>
        </w:rPr>
        <w:fldChar w:fldCharType="begin" w:fldLock="1"/>
      </w:r>
      <w:r w:rsidR="00B503E8" w:rsidRPr="000F3911">
        <w:rPr>
          <w:b/>
          <w:bCs/>
          <w:color w:val="000000"/>
          <w:sz w:val="20"/>
          <w:szCs w:val="20"/>
        </w:rPr>
        <w:instrText>ADDIN CSL_CITATION { "citationItems" : [ { "id" : "ITEM-1", "itemData" : { "DOI" : "10.1016/j.wneu.2016.06.109", "ISSN" : "1878-8769 (Electronic)", "PMID" : "27389939", "abstract" : "OBJECTIVE: Cervical spondylotic myelopathy (CSM) is the most common progressive degenerative disease of the spine in the geriatric population. The aim of the current review is to provide an evidence-based stepwise surgical approach to CSM according to the recent literature. METHODS: We searched for evidence regarding the surgical approach to CSM in medical databases with articles dated from 1985 to 2016. RESULTS: In patients with effective cervical lordosis (fewer than 3 levels of ventral disease), anterior cervical discectomy and fusion (ACDF) or arthroplasty is preferred. Patients with more than 3 levels of compression are generally treated by laminoplasty, especially with preserved lordotic curvature. In patients with straightened spine who have less than 3 involved levels, ACDF with a plate is recommended, whereas patients with more than 3 involved levels with instability should undergo posterior decompression and fusion. In young patients who have a stable cervical spine, laminoplasty is recommended and in old patients with ankylosed spine, only laminectomy should be performed. Patients with mild cervical kyphosis (kyphotic angle &lt;/=10 degrees ) should be managed in the same way as patients with straightened spine. However, in severe kyphosis, cervical traction is recommended. If the kyphosis is reducible, further posterior decompression and fusion is adequate. In patients with irreducible kyphosis, if the number of involved levels is less than 2, ACDF is adequate, but if it is more than 2 levels, anterior cervical corpectomy and fusion should be performed using cervical magnetic resonance imaging for evaluation of the patency of the subarachnoid space (SAS). With patent SAS, only posterior fusion is adequate, whereas in closed SAS, posterior decompression with posterior fusion is required. These approaches are based on the most recent evidence. CONCLUSIONS: This article provides a stepwise evidence-based surgical approach for the management and treatment of patients with CSM.", "author" : [ { "dropping-particle" : "", "family" : "Farrokhi", "given" : "Majid Reza", "non-dropping-particle" : "", "parse-names" : false, "suffix" : "" }, { "dropping-particle" : "", "family" : "Ghaffarpasand", "given" : "Fariborz", "non-dropping-particle" : "", "parse-names" : false, "suffix" : "" }, { "dropping-particle" : "", "family" : "Khani", "given" : "Mehdi", "non-dropping-particle" : "", "parse-names" : false, "suffix" : "" }, { "dropping-particle" : "", "family" : "Gholami", "given" : "Mehrnaz", "non-dropping-particle" : "", "parse-names" : false, "suffix" : "" } ], "container-title" : "World neurosurgery", "id" : "ITEM-1", "issued" : { "date-parts" : [ [ "2016", "10" ] ] }, "language" : "eng", "page" : "97-110", "publisher-place" : "United States", "title" : "An Evidence-Based Stepwise Surgical Approach to Cervical Spondylotic Myelopathy:  A Narrative Review of the Current Literature.", "type" : "article-journal", "volume" : "94" }, "uris" : [ "http://www.mendeley.com/documents/?uuid=65579e8e-b5d3-4a10-aeb8-35054c6df841" ] } ], "mendeley" : { "formattedCitation" : "(Farrokhi &lt;i&gt;et al.&lt;/i&gt;, 2016)", "plainTextFormattedCitation" : "(Farrokhi et al., 2016)", "previouslyFormattedCitation" : "(Farrokhi &lt;i&gt;et al.&lt;/i&gt;, 2016)" }, "properties" : { "noteIndex" : 0 }, "schema" : "https://github.com/citation-style-language/schema/raw/master/csl-citation.json" }</w:instrText>
      </w:r>
      <w:r w:rsidR="00F105E2" w:rsidRPr="000F3911">
        <w:rPr>
          <w:b/>
          <w:bCs/>
          <w:color w:val="000000"/>
          <w:sz w:val="20"/>
          <w:szCs w:val="20"/>
        </w:rPr>
        <w:fldChar w:fldCharType="separate"/>
      </w:r>
      <w:r w:rsidR="00B503E8" w:rsidRPr="000F3911">
        <w:rPr>
          <w:b/>
          <w:bCs/>
          <w:noProof/>
          <w:color w:val="000000"/>
          <w:sz w:val="20"/>
          <w:szCs w:val="20"/>
        </w:rPr>
        <w:t xml:space="preserve">(Farrokhi </w:t>
      </w:r>
      <w:r w:rsidR="00B503E8" w:rsidRPr="000F3911">
        <w:rPr>
          <w:b/>
          <w:bCs/>
          <w:i/>
          <w:noProof/>
          <w:color w:val="000000"/>
          <w:sz w:val="20"/>
          <w:szCs w:val="20"/>
        </w:rPr>
        <w:t>et al.</w:t>
      </w:r>
      <w:r w:rsidR="00B503E8" w:rsidRPr="000F3911">
        <w:rPr>
          <w:b/>
          <w:bCs/>
          <w:noProof/>
          <w:color w:val="000000"/>
          <w:sz w:val="20"/>
          <w:szCs w:val="20"/>
        </w:rPr>
        <w:t>, 2016)</w:t>
      </w:r>
      <w:r w:rsidR="00F105E2" w:rsidRPr="000F3911">
        <w:rPr>
          <w:b/>
          <w:bCs/>
          <w:color w:val="000000"/>
          <w:sz w:val="20"/>
          <w:szCs w:val="20"/>
        </w:rPr>
        <w:fldChar w:fldCharType="end"/>
      </w:r>
      <w:r w:rsidR="00B503E8" w:rsidRPr="000F3911">
        <w:rPr>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Anterior techniques for cervical cord decompression were first developed in the 1950s to address the poor clinical </w:t>
      </w:r>
      <w:r w:rsidR="000F3911" w:rsidRPr="000F3911">
        <w:rPr>
          <w:color w:val="000000"/>
          <w:sz w:val="20"/>
          <w:szCs w:val="20"/>
        </w:rPr>
        <w:t>results and</w:t>
      </w:r>
      <w:r w:rsidRPr="000F3911">
        <w:rPr>
          <w:color w:val="000000"/>
          <w:sz w:val="20"/>
          <w:szCs w:val="20"/>
        </w:rPr>
        <w:t xml:space="preserve"> the late difficulties of posterior laminectomy procedures</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"10.1097/BRS.0b013e3182413930", "ISSN" : "1528-1159 (Electronic)", "PMID" : "22146281", "abstract" : "STUDY DESIGN: Case report and literature review. OBJECTIVE: This article reports  2 cases in which the patients accepted revision surgery after cervical total disc arthroplasty (CTDA) because of iatrogenic neurological injury. SUMMARY OF BACKGROUND DATA: CTDA has been increasingly investigated to treat cervical degenerative disc disease. However, there are limited reports focused on its complications, especially the neurological complications after the procedure. METHODS: A 52-year-old man underwent total disc arthroplasty for C5-C6, but immediately after surgery, he experienced paralysis of his upper and lower limbs. Radiographical images indicated residual compression to the spinal cord in the level of C5-C6. Another patient, a 60-year-old man, underwent total disc arthroplasty for C4-C5. Afterward, he experienced severe neck pain and paralysis of upper and lower limbs. He was unresponsive to conservative treatments; thus, a laminectomy was performed 3 months later. However, little improvement was observed. Radiographical images indicated kyphosis and spinal cord compression at the level of C4-C5. Furthermore, both cases showed a high signal in the spinal cord by T2-weighted magnetic resonance image, suggestive of spinal cord injuries. RESULTS: Revision surgeries were performed in both cases. Cervical implants were first removed by the anterior approach, and fusion was then performed after a complete decompression. Motor examination of the patient in case 1 showed grade 3 strength in both of his hands and feet 6 months after revision surgery. In case 2, the patient's severe neck pain was resolved at the early postoperative stage. Motor examination showed grade 1 strength in both of his hands and feet 3 months after revision surgery. CONCLUSION: On the basis of presented cases and other reports, the surgical goals in these patients were prioritized as follows: (1) safe and adequate neurological decompression and (2) establishment and maintenance of cervical sagittal balance. Moreover, a criterion for selecting patients undergoing CTDA needs to be established in order to reduce the occurrence of neurological complications associated with the procedure.", "author" : [ { "dropping-particle" : "", "family" : "Chen", "given" : "Jian", "non-dropping-particle" : "", "parse-names" : false, "suffix" : "" }, { "dropping-particle" : "", "family" : "Wang", "given" : "Xinwei", "non-dropping-particle" : "", "parse-names" : false, "suffix" : "" }, { "dropping-particle" : "", "family" : "Yuan", "given" : "Wen", "non-dropping-particle" : "", "parse-names" : false, "suffix" : "" }, { "dropping-particle" : "", "family" : "Tang", "given" : "Yong", "non-dropping-particle" : "", "parse-names" : false, "suffix" : "" }, { "dropping-particle" : "", "family" : "Zhang", "given" : "Ying", "non-dropping-particle" : "", "parse-names" : false, "suffix" : "" }, { "dropping-particle" : "", "family" : "Wan", "given" : "Min", "non-dropping-particle" : "", "parse-names" : false, "suffix" : "" } ], "container-title" : "Spine", "id" : "ITEM-1", "issue" : "10", "issued" : { "date-parts" : [ [ "2012", "5" ] ] }, "language" : "eng", "page" : "E624-8", "publisher-place" : "United States", "title" : "Cervical myelopathy after cervical total disc arthroplasty: case report and literature review.", "type" : "article-journal", "volume" : "37" }, "uris" : [ "http://www.mendeley.com/documents/?uuid=500bb663-3ff9-4d2e-b6b6-543865e41dd3" ] } ], "mendeley" : { "formattedCitation" : "(Chen &lt;i&gt;et al.&lt;/i&gt;, 2012)", "plainTextFormattedCitation" : "(Chen et al., 2012)", "previouslyFormattedCitation" : "(Chen &lt;i&gt;et al.&lt;/i&gt;, 2012)"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(Chen </w:t>
      </w:r>
      <w:r w:rsidRPr="000F3911">
        <w:rPr>
          <w:b/>
          <w:bCs/>
          <w:i/>
          <w:noProof/>
          <w:color w:val="000000"/>
          <w:sz w:val="20"/>
          <w:szCs w:val="20"/>
        </w:rPr>
        <w:t>et al.</w:t>
      </w:r>
      <w:r w:rsidRPr="000F3911">
        <w:rPr>
          <w:b/>
          <w:bCs/>
          <w:noProof/>
          <w:color w:val="000000"/>
          <w:sz w:val="20"/>
          <w:szCs w:val="20"/>
        </w:rPr>
        <w:t>, 2012)</w:t>
      </w:r>
      <w:r w:rsidR="00F105E2" w:rsidRPr="000F3911">
        <w:rPr>
          <w:b/>
          <w:bCs/>
          <w:color w:val="000000"/>
          <w:sz w:val="20"/>
          <w:szCs w:val="20"/>
        </w:rPr>
        <w:fldChar w:fldCharType="end"/>
      </w:r>
      <w:r w:rsidRPr="000F3911">
        <w:rPr>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The anterior and anterolateral approaches to the cervical spine expose the anterior aspects of the cervical vertebral bodies and intervening intervertebral discs, they are most useful for anterior cervical cord and nerve root decompression through excision of herniated discs, tumors and vertebral corpectomies</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"ISSN" : "1532-0650 (Electronic)", "PMID" : "27175952", "abstract" : "Cervical radiculopathy describes pain in one or both of the upper extremities, often in the setting of neck pain, secondary to compression or irritation of nerve roots in the cervical spine. It can be accompanied by motor, sensory, or reflex deficits and is most prevalent in persons 50 to 54 years of age. Cervical radiculopathy most often stems from degenerative disease in the cervical spine. The most common examination findings are painful neck movements and muscle spasm. Diminished deep tendon reflexes, particularly of the triceps, are the most common neurologic finding. The Spurling test, shoulder abduction test, and upper limb tension test can be used to confirm the diagnosis. Imaging is not required unless there is a history of trauma, persistent symptoms, or red flags for malignancy, myelopathy, or abscess. Electrodiagnostic testing is not needed if the diagnosis is clear, but has clinical utility when peripheral neuropathy of the upper extremity is a likely alternate diagnosis. Patients should be reassured that most cases will resolve regardless of the type of treatment. Nonoperative treatment includes physical therapy involving strengthening, stretching, and potentially traction, as well as nonsteroidal anti-inflammatory drugs, muscle relaxants, and massage. Epidural steroid injections may be helpful but have higher risks of serious complications. In patients with red flag symptoms or persistent symptoms after four to six weeks of treatment, magnetic resonance imaging can identify pathology amenable to epidural steroid injections or surgery.", "author" : [ { "dropping-particle" : "", "family" : "Childress", "given" : "Marc A", "non-dropping-particle" : "", "parse-names" : false, "suffix" : "" }, { "dropping-particle" : "", "family" : "Becker", "given" : "Blair A", "non-dropping-particle" : "", "parse-names" : false, "suffix" : "" } ], "container-title" : "American family physician", "id" : "ITEM-1", "issue" : "9", "issued" : { "date-parts" : [ [ "2016", "5" ] ] }, "language" : "eng", "page" : "746-754", "publisher-place" : "United States", "title" : "Nonoperative Management of Cervical Radiculopathy.", "type" : "article-journal", "volume" : "93" }, "uris" : [ "http://www.mendeley.com/documents/?uuid=67e533b0-f612-4ede-a4d5-3686cb114da4" ] } ], "mendeley" : { "formattedCitation" : "(Childress and Becker, 2016)", "plainTextFormattedCitation" : "(Childress and Becker, 2016)", "previouslyFormattedCitation" : "(Childress and Becker, 2016)"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(Childress and Becker, 2016)</w:t>
      </w:r>
      <w:r w:rsidR="00F105E2" w:rsidRPr="000F3911">
        <w:rPr>
          <w:b/>
          <w:bCs/>
          <w:color w:val="000000"/>
          <w:sz w:val="20"/>
          <w:szCs w:val="20"/>
        </w:rPr>
        <w:fldChar w:fldCharType="end"/>
      </w:r>
      <w:r w:rsidRPr="000F3911">
        <w:rPr>
          <w:b/>
          <w:bCs/>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They allow exposure of all levels and proper positioning of patients is a key point to give good operative exposure and prevent complications of excessive pressure </w:t>
      </w:r>
      <w:r w:rsidR="000F3911" w:rsidRPr="000F3911">
        <w:rPr>
          <w:color w:val="000000"/>
          <w:sz w:val="20"/>
          <w:szCs w:val="20"/>
        </w:rPr>
        <w:t>on neural</w:t>
      </w:r>
      <w:r w:rsidRPr="000F3911">
        <w:rPr>
          <w:color w:val="000000"/>
          <w:sz w:val="20"/>
          <w:szCs w:val="20"/>
        </w:rPr>
        <w:t xml:space="preserve"> or vascular structures</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"10.1007/s00586-013-2817-2", "ISSN" : "1432-0932 (Electronic)", "PMID" : "23657624", "abstract" : "PURPOSE: To compare the clinical outcomes, complications, and surgical trauma between anterior and posterior approaches for the treatment of multilevel cervical spondylotic myelopathy. STUDY DESIGN: Systematic review and meta-analysis. METHODS: We searched MEDLINE, EMBASE, and the Cochrane Central Register of Controlled Trials databases for randomized controlled trials or non-randomized controlled trials that compared anterior and posterior surgical approaches for the treatment of multilevel cervical spondylotic myelopathy. Exclusion criteria were non-controlled studies, combined anterior and posterior surgery, follow-up &lt;1 year, cervical kyphosis &gt;15 degrees , and cervical myelopathy caused by ossification of the posterior longitudinal ligament. The main end points included: recovery rate; Japanese Orthopedic Association (JOA) score; reoperation rate; complication rate; blood loss; and operation time. Subgroup analysis was conducted according to the mean number of surgical segments. RESULT: A total of eight studies were included in the meta-analysis; none of which were randomized controlled trials. All of the selected studies were of high quality as indicated by the Newcastle-Ottawa scale. In five studies involving 351 patients, the preoperative JOA score was similar between the anterior and posterior groups [P &gt; 0.05, WMD: -0.00 (-0.56, 0.56)]. In four studies involving 268 patients, the postoperative JOA score was higher in the anterior group compared with the posterior group [P &lt; 0.05, WMD: 0.79 (0.16, 1.42)]. For recovery rate, there was significant heterogeneity among the four studies involving 304 patients, hence, only descriptive analysis was performed. In seven studies involving 447 patients, the postoperative complication rate was significant higher in the anterior group compared with the posterior group [P &lt; 0.05, odds ratio: 2.60 (1.63, 4.15)]. Of the 245 patients in the 8 studies who received anterior surgery, 21 (8.57%) received reoperation. Of the 285 patients who received posterior surgery, only 1 (0.3%) received reoperation. The reoperation rate was significantly higher in the anterior group compared with the posterior group (P &lt; 0.001). In the 3 studies involving 236 patients compared subtotal corpectomy and laminoplasty/laminectomy, blood loss and operation time were significantly higher in the anterior subtotal corpectomy group compared with the posterior laminoplasty/laminectomy group [P &lt; 0.05, WMD: 150.10 (63.53, 236.66) and P &lt; 0\u2026", "author" : [ { "dropping-particle" : "", "family" : "Zhu", "given" : "Bin", "non-dropping-particle" : "", "parse-names" : false, "suffix" : "" }, { "dropping-particle" : "", "family" : "Xu", "given" : "Yilan", "non-dropping-particle" : "", "parse-names" : false, "suffix" : "" }, { "dropping-particle" : "", "family" : "Liu", "given" : "Xiaoguang", "non-dropping-particle" : "", "parse-names" : false, "suffix" : "" }, { "dropping-particle" : "", "family" : "Liu", "given" : "Zhongjun", "non-dropping-particle" : "", "parse-names" : false, "suffix" : "" }, { "dropping-particle" : "", "family" : "Dang", "given" : "Gengting", "non-dropping-particle" : "", "parse-names" : false, "suffix" : "" } ], "container-title" : "European spine journal : official publication of the European Spine Society, the  European Spinal Deformity Society, and the European Section of the Cervical Spine Research Society", "id" : "ITEM-1", "issue" : "7", "issued" : { "date-parts" : [ [ "2013", "7" ] ] }, "language" : "eng", "page" : "1583-1593", "publisher-place" : "Germany", "title" : "Anterior approach versus posterior approach for the treatment of multilevel cervical spondylotic myelopathy: a systemic review and meta-analysis.", "type" : "article-journal", "volume" : "22" }, "uris" : [ "http://www.mendeley.com/documents/?uuid=1684daa1-8406-4020-a9ee-2f53e1afe44f" ] } ], "mendeley" : { "formattedCitation" : "(Zhu &lt;i&gt;et al.&lt;/i&gt;, 2013)", "plainTextFormattedCitation" : "(Zhu et al., 2013)", "previouslyFormattedCitation" : "(Zhu &lt;i&gt;et al.&lt;/i&gt;, 2013)"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(Zhu </w:t>
      </w:r>
      <w:r w:rsidRPr="000F3911">
        <w:rPr>
          <w:b/>
          <w:bCs/>
          <w:i/>
          <w:noProof/>
          <w:color w:val="000000"/>
          <w:sz w:val="20"/>
          <w:szCs w:val="20"/>
        </w:rPr>
        <w:t>et al.</w:t>
      </w:r>
      <w:r w:rsidRPr="000F3911">
        <w:rPr>
          <w:b/>
          <w:bCs/>
          <w:noProof/>
          <w:color w:val="000000"/>
          <w:sz w:val="20"/>
          <w:szCs w:val="20"/>
        </w:rPr>
        <w:t>, 2013)</w:t>
      </w:r>
      <w:r w:rsidR="00F105E2" w:rsidRPr="000F3911">
        <w:rPr>
          <w:b/>
          <w:bCs/>
          <w:color w:val="000000"/>
          <w:sz w:val="20"/>
          <w:szCs w:val="20"/>
        </w:rPr>
        <w:fldChar w:fldCharType="end"/>
      </w:r>
      <w:r w:rsidRPr="000F3911">
        <w:rPr>
          <w:b/>
          <w:bCs/>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Many anatomical structures must be handled carefully during this approach as the sternomastoid and omohyoid muscles, the carotid sheath containing the common carotid and internal carotid arteries, the internal jugular vein and vagus nerve, the2</w:t>
      </w:r>
      <w:r w:rsidRPr="000F3911">
        <w:rPr>
          <w:color w:val="000000"/>
          <w:sz w:val="20"/>
          <w:szCs w:val="20"/>
          <w:vertAlign w:val="superscript"/>
        </w:rPr>
        <w:t>nd</w:t>
      </w:r>
      <w:r w:rsidRPr="000F3911">
        <w:rPr>
          <w:color w:val="000000"/>
          <w:sz w:val="20"/>
          <w:szCs w:val="20"/>
        </w:rPr>
        <w:t>part of the vertebral artery, the superior thyroid artery, the superior laryngeal and phrenic nerves as well as the cervical sympathetic chain, the larynx, trachea and esophagus</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"10.1016/j.spinee.2012.10.038", "ISSN" : "1878-1632 (Electronic)", "PMID" : "23266147", "abstract" : "BACKGROUND CONTEXT: In the cervical spine, the combination of ossification of the ligamentum flavum (OLF) and ossification of the posterior longitudinal ligament (OPLL) is rarely seen. There have been only four cases reported in the English literature. PURPOSE: We describe two more cases that exhibited cervical myelopathy resulting from the combination of cervical OLF and OPLL and required surgery. A literature review with a comparative analysis between previous reports and present cases was also performed. STUDY DESIGN: Case report and literature review. PATIENT SAMPLE: Two patients with combined OLF and OPLL. OUTCOME MEASURES: Preoperative computed tomography, magnetic resonance imaging, and pathological findings from operative specimens were used to confirm the diagnoses. METHODS: A 76-year-old man (Case 1) presented with disturbance of gait and fine finger movement. Magnetic resonance imaging showed severe spinal canal stenosis and cord compression at the C3-C4 level. Computed tomography showed OPLL at the C2-C6 levels (segmental type) and OLF at the left C3-C4 level. The patient underwent posterior decompression and OLF resection. A 75-year-old man (Case 2) presented with sensory disturbance and muscle weakness in his bilateral upper extremities and disturbance in fine finger movements. Magnetic resonance imaging showed severe spinal canal stenosis and cord compression at the C2-C3 and C3 levels. Computed tomography showed OPLL at the C3-C7 levels (mixed type) and OLF at the left C2-C3 and C3 levels. The patient also underwent posterior decompression and OLF resection. RESULTS: In both cases, histological examination of the surgical specimens showed osseous tissue and enchondral ossification within the ligamentum flavum, and the diagnosis in each case was OLF. After surgery, both patients' symptoms immediately improved, and no recurrence was observed at 2 years after surgery. CONCLUSIONS: We experienced two cases of cervical myelopathy resulting from the combination of OLF and OPLL in the cervical spine. The symptoms of myelopathy were treated successfully by laminectomy and laminoplasty with OLF resection in both cases. The literature review including the present two cases revealed that cervical OLF tended to occur adjacent or close to the margin of cervical OPLL, suggesting that the increased mechanical stress at the junction of OPLL may be a causative factor.", "author" : [ { "dropping-particle" : "", "family" : "Kotani", "given" : "Yoshihisa", "non-dropping-particle" : "", "parse-names" : false, "suffix" : "" }, { "dropping-particle" : "", "family" : "Takahata", "given" : "Masahiko", "non-dropping-particle" : "", "parse-names" : false, "suffix" : "" }, { "dropping-particle" : "", "family" : "Abumi", "given" : "Kuniyoshi", "non-dropping-particle" : "", "parse-names" : false, "suffix" : "" }, { "dropping-particle" : "", "family" : "Ito", "given" : "Manabu", "non-dropping-particle" : "", "parse-names" : false, "suffix" : "" }, { "dropping-particle" : "", "family" : "Sudo", "given" : "Hideki", "non-dropping-particle" : "", "parse-names" : false, "suffix" : "" }, { "dropping-particle" : "", "family" : "Minami", "given" : "Akio", "non-dropping-particle" : "", "parse-names" : false, "suffix" : "" } ], "container-title" : "The spine journal : official journal of the North American Spine Society", "id" : "ITEM-1", "issue" : "1", "issued" : { "date-parts" : [ [ "2013", "1" ] ] }, "language" : "eng", "page" : "e1-6", "publisher-place" : "United States", "title" : "Cervical myelopathy resulting from combined ossification of the ligamentum flavum and posterior longitudinal ligament: report of two cases and literature review.", "type" : "article-journal", "volume" : "13" }, "uris" : [ "http://www.mendeley.com/documents/?uuid=1914e90c-1a4e-4257-951f-d62ef09c0dca" ] } ], "mendeley" : { "formattedCitation" : "(Kotani &lt;i&gt;et al.&lt;/i&gt;, 2013)", "plainTextFormattedCitation" : "(Kotani et al., 2013)" }, "properties" : { "noteIndex" : 0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(Kotani </w:t>
      </w:r>
      <w:r w:rsidRPr="000F3911">
        <w:rPr>
          <w:b/>
          <w:bCs/>
          <w:i/>
          <w:noProof/>
          <w:color w:val="000000"/>
          <w:sz w:val="20"/>
          <w:szCs w:val="20"/>
        </w:rPr>
        <w:t>et al.</w:t>
      </w:r>
      <w:r w:rsidRPr="000F3911">
        <w:rPr>
          <w:b/>
          <w:bCs/>
          <w:noProof/>
          <w:color w:val="000000"/>
          <w:sz w:val="20"/>
          <w:szCs w:val="20"/>
        </w:rPr>
        <w:t>, 2013)</w:t>
      </w:r>
      <w:r w:rsidR="00F105E2" w:rsidRPr="000F3911">
        <w:rPr>
          <w:b/>
          <w:bCs/>
          <w:color w:val="000000"/>
          <w:sz w:val="20"/>
          <w:szCs w:val="20"/>
        </w:rPr>
        <w:fldChar w:fldCharType="end"/>
      </w:r>
      <w:r w:rsidRPr="000F3911">
        <w:rPr>
          <w:color w:val="000000"/>
          <w:sz w:val="20"/>
          <w:szCs w:val="20"/>
        </w:rPr>
        <w:t>.</w:t>
      </w:r>
    </w:p>
    <w:p w:rsidR="003920FC" w:rsidRPr="000F3911" w:rsidRDefault="003920FC" w:rsidP="007A1E52">
      <w:pPr>
        <w:bidi w:val="0"/>
        <w:snapToGrid w:val="0"/>
        <w:ind w:firstLine="425"/>
        <w:jc w:val="both"/>
        <w:rPr>
          <w:sz w:val="20"/>
          <w:szCs w:val="20"/>
          <w:lang w:bidi="ar-EG"/>
        </w:rPr>
      </w:pPr>
    </w:p>
    <w:p w:rsidR="00B503E8" w:rsidRPr="000F3911" w:rsidRDefault="0075778A" w:rsidP="007A1E52">
      <w:pPr>
        <w:autoSpaceDE w:val="0"/>
        <w:autoSpaceDN w:val="0"/>
        <w:bidi w:val="0"/>
        <w:adjustRightInd w:val="0"/>
        <w:snapToGrid w:val="0"/>
        <w:jc w:val="both"/>
        <w:rPr>
          <w:b/>
          <w:bCs/>
          <w:color w:val="000000"/>
          <w:sz w:val="20"/>
          <w:szCs w:val="20"/>
        </w:rPr>
      </w:pPr>
      <w:r w:rsidRPr="000F3911">
        <w:rPr>
          <w:b/>
          <w:bCs/>
          <w:color w:val="000000"/>
          <w:sz w:val="20"/>
          <w:szCs w:val="20"/>
        </w:rPr>
        <w:t>2. Patients</w:t>
      </w:r>
      <w:r w:rsidR="006244D6" w:rsidRPr="000F3911">
        <w:rPr>
          <w:b/>
          <w:bCs/>
          <w:color w:val="000000"/>
          <w:sz w:val="20"/>
          <w:szCs w:val="20"/>
        </w:rPr>
        <w:t xml:space="preserve"> &amp; </w:t>
      </w:r>
      <w:r w:rsidRPr="000F3911">
        <w:rPr>
          <w:b/>
          <w:bCs/>
          <w:color w:val="000000"/>
          <w:sz w:val="20"/>
          <w:szCs w:val="20"/>
        </w:rPr>
        <w:t>Methods</w:t>
      </w:r>
      <w:r w:rsidRPr="000F3911">
        <w:rPr>
          <w:b/>
          <w:bCs/>
          <w:color w:val="000000"/>
          <w:sz w:val="20"/>
          <w:szCs w:val="20"/>
        </w:rPr>
        <w:tab/>
      </w:r>
    </w:p>
    <w:p w:rsidR="00B503E8" w:rsidRPr="000F3911" w:rsidRDefault="00B503E8" w:rsidP="007A1E52">
      <w:pPr>
        <w:bidi w:val="0"/>
        <w:snapToGrid w:val="0"/>
        <w:jc w:val="both"/>
        <w:outlineLvl w:val="0"/>
        <w:rPr>
          <w:noProof/>
          <w:sz w:val="20"/>
          <w:szCs w:val="20"/>
          <w:lang w:val="en-GB" w:bidi="ar-EG"/>
        </w:rPr>
      </w:pPr>
      <w:r w:rsidRPr="000F3911">
        <w:rPr>
          <w:b/>
          <w:bCs/>
          <w:noProof/>
          <w:sz w:val="20"/>
          <w:szCs w:val="20"/>
        </w:rPr>
        <w:t>Data Selection</w:t>
      </w:r>
    </w:p>
    <w:p w:rsidR="006244D6" w:rsidRPr="000F3911" w:rsidRDefault="00B503E8" w:rsidP="007A1E52">
      <w:pPr>
        <w:autoSpaceDE w:val="0"/>
        <w:autoSpaceDN w:val="0"/>
        <w:bidi w:val="0"/>
        <w:adjustRightInd w:val="0"/>
        <w:snapToGrid w:val="0"/>
        <w:jc w:val="both"/>
        <w:rPr>
          <w:b/>
          <w:bCs/>
          <w:noProof/>
          <w:sz w:val="20"/>
          <w:szCs w:val="20"/>
          <w:lang w:bidi="ar-EG"/>
        </w:rPr>
      </w:pPr>
      <w:r w:rsidRPr="000F3911">
        <w:rPr>
          <w:b/>
          <w:bCs/>
          <w:noProof/>
          <w:sz w:val="20"/>
          <w:szCs w:val="20"/>
          <w:lang w:bidi="ar-EG"/>
        </w:rPr>
        <w:t>Study Design</w:t>
      </w:r>
    </w:p>
    <w:p w:rsidR="00FD358B" w:rsidRPr="000F3911" w:rsidRDefault="006244D6" w:rsidP="007A1E52">
      <w:pPr>
        <w:tabs>
          <w:tab w:val="left" w:pos="270"/>
        </w:tabs>
        <w:autoSpaceDE w:val="0"/>
        <w:autoSpaceDN w:val="0"/>
        <w:bidi w:val="0"/>
        <w:adjustRightInd w:val="0"/>
        <w:snapToGrid w:val="0"/>
        <w:ind w:firstLine="425"/>
        <w:jc w:val="both"/>
        <w:rPr>
          <w:color w:val="000000"/>
          <w:sz w:val="20"/>
          <w:szCs w:val="20"/>
        </w:rPr>
      </w:pPr>
      <w:r w:rsidRPr="000F3911">
        <w:rPr>
          <w:color w:val="000000"/>
          <w:sz w:val="20"/>
          <w:szCs w:val="20"/>
        </w:rPr>
        <w:t>T</w:t>
      </w:r>
      <w:r w:rsidR="00B503E8" w:rsidRPr="000F3911">
        <w:rPr>
          <w:color w:val="000000"/>
          <w:sz w:val="20"/>
          <w:szCs w:val="20"/>
        </w:rPr>
        <w:t>his study was a prospective non-randomized comparative stud</w:t>
      </w:r>
      <w:r w:rsidR="00FD358B" w:rsidRPr="000F3911">
        <w:rPr>
          <w:color w:val="000000"/>
          <w:sz w:val="20"/>
          <w:szCs w:val="20"/>
        </w:rPr>
        <w:t>y.</w:t>
      </w:r>
    </w:p>
    <w:p w:rsidR="00B503E8" w:rsidRPr="000F3911" w:rsidRDefault="00B503E8" w:rsidP="007A1E52">
      <w:pPr>
        <w:bidi w:val="0"/>
        <w:snapToGrid w:val="0"/>
        <w:jc w:val="both"/>
        <w:outlineLvl w:val="0"/>
        <w:rPr>
          <w:b/>
          <w:bCs/>
          <w:noProof/>
          <w:sz w:val="20"/>
          <w:szCs w:val="20"/>
          <w:lang w:bidi="ar-EG"/>
        </w:rPr>
      </w:pPr>
      <w:r w:rsidRPr="000F3911">
        <w:rPr>
          <w:b/>
          <w:bCs/>
          <w:noProof/>
          <w:sz w:val="20"/>
          <w:szCs w:val="20"/>
          <w:lang w:bidi="ar-EG"/>
        </w:rPr>
        <w:t>Study Population</w:t>
      </w:r>
    </w:p>
    <w:p w:rsidR="00B503E8" w:rsidRPr="000F3911" w:rsidRDefault="00B503E8" w:rsidP="007A1E52">
      <w:pPr>
        <w:widowControl w:val="0"/>
        <w:tabs>
          <w:tab w:val="left" w:pos="0"/>
          <w:tab w:val="left" w:pos="540"/>
        </w:tabs>
        <w:autoSpaceDE w:val="0"/>
        <w:autoSpaceDN w:val="0"/>
        <w:bidi w:val="0"/>
        <w:adjustRightInd w:val="0"/>
        <w:snapToGrid w:val="0"/>
        <w:ind w:firstLine="425"/>
        <w:jc w:val="both"/>
        <w:rPr>
          <w:noProof/>
          <w:sz w:val="20"/>
          <w:szCs w:val="20"/>
          <w:lang w:bidi="ar-EG"/>
        </w:rPr>
      </w:pPr>
      <w:r w:rsidRPr="000F3911">
        <w:rPr>
          <w:noProof/>
          <w:sz w:val="20"/>
          <w:szCs w:val="20"/>
          <w:lang w:bidi="ar-EG"/>
        </w:rPr>
        <w:t xml:space="preserve">This study was including 20 patients complaining of symptoms and signs of cervical myelopathy and radiculopathy. All the patient were enrolled from Neurosurgery Department Outpatient Clinics, Al Azhar Unversity Hospitals, and Shbein El Kom Teaching Hospital from June 2016 to </w:t>
      </w:r>
      <w:r w:rsidRPr="000F3911">
        <w:rPr>
          <w:noProof/>
          <w:sz w:val="20"/>
          <w:szCs w:val="20"/>
          <w:lang w:bidi="ar-EG"/>
        </w:rPr>
        <w:lastRenderedPageBreak/>
        <w:t>January2018.</w:t>
      </w:r>
    </w:p>
    <w:p w:rsidR="00B503E8" w:rsidRPr="000F3911" w:rsidRDefault="00B503E8" w:rsidP="007A1E52">
      <w:pPr>
        <w:bidi w:val="0"/>
        <w:snapToGrid w:val="0"/>
        <w:jc w:val="both"/>
        <w:outlineLvl w:val="0"/>
        <w:rPr>
          <w:b/>
          <w:bCs/>
          <w:noProof/>
          <w:sz w:val="20"/>
          <w:szCs w:val="20"/>
        </w:rPr>
      </w:pPr>
      <w:r w:rsidRPr="000F3911">
        <w:rPr>
          <w:b/>
          <w:bCs/>
          <w:noProof/>
          <w:sz w:val="20"/>
          <w:szCs w:val="20"/>
        </w:rPr>
        <w:t>Ethical Committee Approval</w:t>
      </w:r>
    </w:p>
    <w:p w:rsidR="00FD358B" w:rsidRPr="000F3911" w:rsidRDefault="00B503E8" w:rsidP="007A1E52">
      <w:pPr>
        <w:bidi w:val="0"/>
        <w:snapToGrid w:val="0"/>
        <w:ind w:firstLine="425"/>
        <w:jc w:val="both"/>
        <w:rPr>
          <w:rFonts w:eastAsia="Calibri"/>
          <w:sz w:val="20"/>
          <w:szCs w:val="20"/>
        </w:rPr>
      </w:pPr>
      <w:r w:rsidRPr="000F3911">
        <w:rPr>
          <w:rFonts w:eastAsia="Calibri"/>
          <w:sz w:val="20"/>
          <w:szCs w:val="20"/>
        </w:rPr>
        <w:t>After approval of the ethics committee of researches of Al-Azhar University and obtaining written consent from all patients scheduled for surgical interventio</w:t>
      </w:r>
      <w:r w:rsidR="00FD358B" w:rsidRPr="000F3911">
        <w:rPr>
          <w:rFonts w:eastAsia="Calibri"/>
          <w:sz w:val="20"/>
          <w:szCs w:val="20"/>
        </w:rPr>
        <w:t>n.</w:t>
      </w:r>
    </w:p>
    <w:p w:rsidR="00B503E8" w:rsidRPr="000F3911" w:rsidRDefault="00B503E8" w:rsidP="007A1E52">
      <w:pPr>
        <w:widowControl w:val="0"/>
        <w:tabs>
          <w:tab w:val="left" w:pos="0"/>
          <w:tab w:val="left" w:pos="540"/>
        </w:tabs>
        <w:autoSpaceDE w:val="0"/>
        <w:autoSpaceDN w:val="0"/>
        <w:bidi w:val="0"/>
        <w:adjustRightInd w:val="0"/>
        <w:snapToGrid w:val="0"/>
        <w:jc w:val="both"/>
        <w:rPr>
          <w:b/>
          <w:bCs/>
          <w:noProof/>
          <w:sz w:val="20"/>
          <w:szCs w:val="20"/>
          <w:lang w:bidi="ar-EG"/>
        </w:rPr>
      </w:pPr>
      <w:r w:rsidRPr="000F3911">
        <w:rPr>
          <w:b/>
          <w:bCs/>
          <w:noProof/>
          <w:sz w:val="20"/>
          <w:szCs w:val="20"/>
          <w:lang w:bidi="ar-EG"/>
        </w:rPr>
        <w:t>Inclusion criteria</w:t>
      </w:r>
    </w:p>
    <w:p w:rsidR="00FD358B" w:rsidRPr="000F3911" w:rsidRDefault="00B503E8" w:rsidP="007A1E52">
      <w:pPr>
        <w:widowControl w:val="0"/>
        <w:numPr>
          <w:ilvl w:val="0"/>
          <w:numId w:val="2"/>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Symptoms of cervical myelopathy and/or radiculopath</w:t>
      </w:r>
      <w:r w:rsidR="00FD358B" w:rsidRPr="000F3911">
        <w:rPr>
          <w:noProof/>
          <w:sz w:val="20"/>
          <w:szCs w:val="20"/>
          <w:lang w:bidi="ar-EG"/>
        </w:rPr>
        <w:t>y.</w:t>
      </w:r>
    </w:p>
    <w:p w:rsidR="00B503E8" w:rsidRPr="000F3911" w:rsidRDefault="00B503E8" w:rsidP="007A1E52">
      <w:pPr>
        <w:widowControl w:val="0"/>
        <w:numPr>
          <w:ilvl w:val="0"/>
          <w:numId w:val="2"/>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Imaging studies showed degeneration and herniation of cervical intervertebral disc.</w:t>
      </w:r>
    </w:p>
    <w:p w:rsidR="00B503E8" w:rsidRPr="000F3911" w:rsidRDefault="00B503E8" w:rsidP="007A1E52">
      <w:pPr>
        <w:widowControl w:val="0"/>
        <w:numPr>
          <w:ilvl w:val="0"/>
          <w:numId w:val="2"/>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Multilevel cervical pathology.</w:t>
      </w:r>
    </w:p>
    <w:p w:rsidR="00B503E8" w:rsidRPr="000F3911" w:rsidRDefault="00B503E8" w:rsidP="007A1E52">
      <w:pPr>
        <w:widowControl w:val="0"/>
        <w:tabs>
          <w:tab w:val="left" w:pos="0"/>
          <w:tab w:val="left" w:pos="540"/>
        </w:tabs>
        <w:autoSpaceDE w:val="0"/>
        <w:autoSpaceDN w:val="0"/>
        <w:bidi w:val="0"/>
        <w:adjustRightInd w:val="0"/>
        <w:snapToGrid w:val="0"/>
        <w:jc w:val="both"/>
        <w:rPr>
          <w:b/>
          <w:bCs/>
          <w:noProof/>
          <w:sz w:val="20"/>
          <w:szCs w:val="20"/>
          <w:lang w:bidi="ar-EG"/>
        </w:rPr>
      </w:pPr>
      <w:r w:rsidRPr="000F3911">
        <w:rPr>
          <w:b/>
          <w:bCs/>
          <w:noProof/>
          <w:sz w:val="20"/>
          <w:szCs w:val="20"/>
          <w:lang w:bidi="ar-EG"/>
        </w:rPr>
        <w:t>Exclusion criteria</w:t>
      </w:r>
    </w:p>
    <w:p w:rsidR="00B503E8" w:rsidRPr="000F3911" w:rsidRDefault="00B503E8" w:rsidP="007A1E52">
      <w:pPr>
        <w:widowControl w:val="0"/>
        <w:numPr>
          <w:ilvl w:val="0"/>
          <w:numId w:val="6"/>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 xml:space="preserve">Ossification of the posterior longitudinal ligament (OPLL). </w:t>
      </w:r>
    </w:p>
    <w:p w:rsidR="00B503E8" w:rsidRPr="000F3911" w:rsidRDefault="00B503E8" w:rsidP="007A1E52">
      <w:pPr>
        <w:widowControl w:val="0"/>
        <w:numPr>
          <w:ilvl w:val="0"/>
          <w:numId w:val="6"/>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 xml:space="preserve">Presence of rheumatoid arthritis, cerebral palsy, tumor, traumatic injury. </w:t>
      </w:r>
    </w:p>
    <w:p w:rsidR="00B503E8" w:rsidRPr="000F3911" w:rsidRDefault="00B503E8" w:rsidP="007A1E52">
      <w:pPr>
        <w:widowControl w:val="0"/>
        <w:numPr>
          <w:ilvl w:val="0"/>
          <w:numId w:val="6"/>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Spondyloarthritis caused by hemodialysis.</w:t>
      </w:r>
    </w:p>
    <w:p w:rsidR="00B503E8" w:rsidRPr="000F3911" w:rsidRDefault="00B503E8" w:rsidP="007A1E52">
      <w:pPr>
        <w:widowControl w:val="0"/>
        <w:numPr>
          <w:ilvl w:val="0"/>
          <w:numId w:val="6"/>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Previous cervical surgery, thoracic spondylotic myelopathy and lumbar spinal canal stenosis.</w:t>
      </w:r>
    </w:p>
    <w:p w:rsidR="000F3911" w:rsidRDefault="000F3911" w:rsidP="007A1E52">
      <w:pPr>
        <w:widowControl w:val="0"/>
        <w:tabs>
          <w:tab w:val="left" w:pos="0"/>
          <w:tab w:val="left" w:pos="540"/>
        </w:tabs>
        <w:autoSpaceDE w:val="0"/>
        <w:autoSpaceDN w:val="0"/>
        <w:bidi w:val="0"/>
        <w:adjustRightInd w:val="0"/>
        <w:snapToGrid w:val="0"/>
        <w:jc w:val="both"/>
        <w:rPr>
          <w:rFonts w:eastAsiaTheme="minorEastAsia" w:hint="eastAsia"/>
          <w:b/>
          <w:bCs/>
          <w:noProof/>
          <w:sz w:val="20"/>
          <w:szCs w:val="20"/>
          <w:lang w:eastAsia="zh-CN" w:bidi="ar-EG"/>
        </w:rPr>
      </w:pPr>
    </w:p>
    <w:p w:rsidR="00B503E8" w:rsidRPr="000F3911" w:rsidRDefault="00B503E8" w:rsidP="000F3911">
      <w:pPr>
        <w:widowControl w:val="0"/>
        <w:tabs>
          <w:tab w:val="left" w:pos="0"/>
          <w:tab w:val="left" w:pos="540"/>
        </w:tabs>
        <w:autoSpaceDE w:val="0"/>
        <w:autoSpaceDN w:val="0"/>
        <w:bidi w:val="0"/>
        <w:adjustRightInd w:val="0"/>
        <w:snapToGrid w:val="0"/>
        <w:jc w:val="both"/>
        <w:rPr>
          <w:noProof/>
          <w:sz w:val="20"/>
          <w:szCs w:val="20"/>
          <w:lang w:bidi="ar-EG"/>
        </w:rPr>
      </w:pPr>
      <w:r w:rsidRPr="000F3911">
        <w:rPr>
          <w:b/>
          <w:bCs/>
          <w:noProof/>
          <w:sz w:val="20"/>
          <w:szCs w:val="20"/>
          <w:lang w:bidi="ar-EG"/>
        </w:rPr>
        <w:t>Study Groups</w:t>
      </w:r>
    </w:p>
    <w:p w:rsidR="00B503E8" w:rsidRPr="000F3911" w:rsidRDefault="00B503E8" w:rsidP="007A1E52">
      <w:pPr>
        <w:widowControl w:val="0"/>
        <w:tabs>
          <w:tab w:val="left" w:pos="0"/>
          <w:tab w:val="left" w:pos="540"/>
        </w:tabs>
        <w:autoSpaceDE w:val="0"/>
        <w:autoSpaceDN w:val="0"/>
        <w:bidi w:val="0"/>
        <w:adjustRightInd w:val="0"/>
        <w:snapToGrid w:val="0"/>
        <w:jc w:val="both"/>
        <w:rPr>
          <w:b/>
          <w:bCs/>
          <w:noProof/>
          <w:sz w:val="20"/>
          <w:szCs w:val="20"/>
          <w:lang w:bidi="ar-EG"/>
        </w:rPr>
      </w:pPr>
      <w:r w:rsidRPr="000F3911">
        <w:rPr>
          <w:b/>
          <w:bCs/>
          <w:noProof/>
          <w:sz w:val="20"/>
          <w:szCs w:val="20"/>
          <w:lang w:bidi="ar-EG"/>
        </w:rPr>
        <w:t>The study population was divided into two groups:</w:t>
      </w:r>
    </w:p>
    <w:p w:rsidR="00B503E8" w:rsidRPr="000F3911" w:rsidRDefault="00B503E8" w:rsidP="007A1E52">
      <w:pPr>
        <w:pStyle w:val="ListParagraph"/>
        <w:numPr>
          <w:ilvl w:val="0"/>
          <w:numId w:val="8"/>
        </w:numPr>
        <w:tabs>
          <w:tab w:val="left" w:pos="0"/>
          <w:tab w:val="left" w:pos="540"/>
        </w:tabs>
        <w:wordWrap/>
        <w:adjustRightInd w:val="0"/>
        <w:snapToGrid w:val="0"/>
        <w:ind w:left="0" w:firstLine="425"/>
        <w:rPr>
          <w:rFonts w:ascii="Times New Roman"/>
          <w:noProof/>
          <w:kern w:val="0"/>
          <w:lang w:bidi="ar-EG"/>
        </w:rPr>
      </w:pPr>
      <w:r w:rsidRPr="000F3911">
        <w:rPr>
          <w:rFonts w:ascii="Times New Roman"/>
          <w:noProof/>
          <w:kern w:val="0"/>
          <w:lang w:bidi="ar-EG"/>
        </w:rPr>
        <w:t>Group A: contain 10 patients underwent multilevel anterior cervical discectomy and fusion using interbody fusion cages (PEEK cages).</w:t>
      </w:r>
    </w:p>
    <w:p w:rsidR="00B503E8" w:rsidRPr="000F3911" w:rsidRDefault="00B503E8" w:rsidP="007A1E52">
      <w:pPr>
        <w:pStyle w:val="ListParagraph"/>
        <w:numPr>
          <w:ilvl w:val="0"/>
          <w:numId w:val="8"/>
        </w:numPr>
        <w:tabs>
          <w:tab w:val="left" w:pos="0"/>
          <w:tab w:val="left" w:pos="540"/>
        </w:tabs>
        <w:wordWrap/>
        <w:adjustRightInd w:val="0"/>
        <w:snapToGrid w:val="0"/>
        <w:ind w:left="0" w:firstLine="425"/>
        <w:rPr>
          <w:rFonts w:ascii="Times New Roman"/>
          <w:noProof/>
          <w:kern w:val="0"/>
          <w:lang w:bidi="ar-EG"/>
        </w:rPr>
      </w:pPr>
      <w:r w:rsidRPr="000F3911">
        <w:rPr>
          <w:rFonts w:ascii="Times New Roman"/>
          <w:noProof/>
          <w:kern w:val="0"/>
          <w:lang w:bidi="ar-EG"/>
        </w:rPr>
        <w:t>Group B</w:t>
      </w:r>
      <w:r w:rsidR="007A1E52" w:rsidRPr="000F3911">
        <w:rPr>
          <w:rFonts w:ascii="Times New Roman"/>
          <w:noProof/>
          <w:kern w:val="0"/>
          <w:lang w:bidi="ar-EG"/>
        </w:rPr>
        <w:t>: c</w:t>
      </w:r>
      <w:r w:rsidRPr="000F3911">
        <w:rPr>
          <w:rFonts w:ascii="Times New Roman"/>
          <w:noProof/>
          <w:kern w:val="0"/>
          <w:lang w:bidi="ar-EG"/>
        </w:rPr>
        <w:t xml:space="preserve">ontain 10 patients underwent anterior cervical corpectomy and fusion using </w:t>
      </w:r>
      <w:r w:rsidRPr="000F3911">
        <w:rPr>
          <w:rFonts w:ascii="Times New Roman"/>
          <w:kern w:val="0"/>
          <w:lang w:bidi="en-US"/>
        </w:rPr>
        <w:t>titanium mesh (Pyra® mesh)</w:t>
      </w:r>
      <w:r w:rsidRPr="000F3911">
        <w:rPr>
          <w:rFonts w:ascii="Times New Roman"/>
          <w:noProof/>
          <w:kern w:val="0"/>
          <w:lang w:bidi="ar-EG"/>
        </w:rPr>
        <w:t xml:space="preserve">. </w:t>
      </w:r>
    </w:p>
    <w:p w:rsidR="00B503E8" w:rsidRPr="000F3911" w:rsidRDefault="00B503E8" w:rsidP="007A1E52">
      <w:pPr>
        <w:bidi w:val="0"/>
        <w:snapToGrid w:val="0"/>
        <w:jc w:val="both"/>
        <w:outlineLvl w:val="0"/>
        <w:rPr>
          <w:b/>
          <w:bCs/>
          <w:noProof/>
          <w:sz w:val="20"/>
          <w:szCs w:val="20"/>
        </w:rPr>
      </w:pPr>
      <w:r w:rsidRPr="000F3911">
        <w:rPr>
          <w:b/>
          <w:bCs/>
          <w:noProof/>
          <w:sz w:val="20"/>
          <w:szCs w:val="20"/>
        </w:rPr>
        <w:t>Data Processing</w:t>
      </w:r>
    </w:p>
    <w:p w:rsidR="00B503E8" w:rsidRPr="000F3911" w:rsidRDefault="00B503E8" w:rsidP="007A1E52">
      <w:pPr>
        <w:widowControl w:val="0"/>
        <w:numPr>
          <w:ilvl w:val="0"/>
          <w:numId w:val="3"/>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History taking: age, sex and patient main complain and duration.</w:t>
      </w:r>
    </w:p>
    <w:p w:rsidR="00FD358B" w:rsidRPr="000F3911" w:rsidRDefault="00B503E8" w:rsidP="007A1E52">
      <w:pPr>
        <w:widowControl w:val="0"/>
        <w:numPr>
          <w:ilvl w:val="0"/>
          <w:numId w:val="3"/>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Neurological examinatio</w:t>
      </w:r>
      <w:r w:rsidR="00FD358B" w:rsidRPr="000F3911">
        <w:rPr>
          <w:noProof/>
          <w:sz w:val="20"/>
          <w:szCs w:val="20"/>
          <w:lang w:bidi="ar-EG"/>
        </w:rPr>
        <w:t>n.</w:t>
      </w:r>
    </w:p>
    <w:p w:rsidR="00B503E8" w:rsidRPr="000F3911" w:rsidRDefault="00B503E8" w:rsidP="007A1E52">
      <w:pPr>
        <w:bidi w:val="0"/>
        <w:adjustRightInd w:val="0"/>
        <w:snapToGrid w:val="0"/>
        <w:ind w:firstLine="425"/>
        <w:jc w:val="both"/>
        <w:rPr>
          <w:noProof/>
          <w:sz w:val="20"/>
          <w:szCs w:val="20"/>
          <w:lang w:bidi="ar-EG"/>
        </w:rPr>
      </w:pPr>
      <w:r w:rsidRPr="000F3911">
        <w:rPr>
          <w:i/>
          <w:iCs/>
          <w:sz w:val="20"/>
          <w:szCs w:val="20"/>
        </w:rPr>
        <w:t>a</w:t>
      </w:r>
      <w:r w:rsidRPr="000F3911">
        <w:rPr>
          <w:noProof/>
          <w:sz w:val="20"/>
          <w:szCs w:val="20"/>
          <w:lang w:bidi="ar-EG"/>
        </w:rPr>
        <w:t>) Sensory examination</w:t>
      </w:r>
      <w:r w:rsidR="007A1E52" w:rsidRPr="000F3911">
        <w:rPr>
          <w:noProof/>
          <w:sz w:val="20"/>
          <w:szCs w:val="20"/>
          <w:lang w:bidi="ar-EG"/>
        </w:rPr>
        <w:t>: S</w:t>
      </w:r>
      <w:r w:rsidRPr="000F3911">
        <w:rPr>
          <w:noProof/>
          <w:sz w:val="20"/>
          <w:szCs w:val="20"/>
          <w:lang w:bidi="ar-EG"/>
        </w:rPr>
        <w:t>ensory</w:t>
      </w:r>
      <w:r w:rsidR="006244D6" w:rsidRPr="000F3911">
        <w:rPr>
          <w:noProof/>
          <w:sz w:val="20"/>
          <w:szCs w:val="20"/>
          <w:lang w:bidi="ar-EG"/>
        </w:rPr>
        <w:t xml:space="preserve"> </w:t>
      </w:r>
      <w:r w:rsidRPr="000F3911">
        <w:rPr>
          <w:noProof/>
          <w:sz w:val="20"/>
          <w:szCs w:val="20"/>
          <w:lang w:bidi="ar-EG"/>
        </w:rPr>
        <w:t>level</w:t>
      </w:r>
      <w:r w:rsidR="006244D6" w:rsidRPr="000F3911">
        <w:rPr>
          <w:noProof/>
          <w:sz w:val="20"/>
          <w:szCs w:val="20"/>
          <w:lang w:bidi="ar-EG"/>
        </w:rPr>
        <w:t xml:space="preserve"> </w:t>
      </w:r>
      <w:r w:rsidRPr="000F3911">
        <w:rPr>
          <w:noProof/>
          <w:sz w:val="20"/>
          <w:szCs w:val="20"/>
          <w:lang w:bidi="ar-EG"/>
        </w:rPr>
        <w:t>(spinothalamic</w:t>
      </w:r>
      <w:r w:rsidR="006244D6" w:rsidRPr="000F3911">
        <w:rPr>
          <w:noProof/>
          <w:sz w:val="20"/>
          <w:szCs w:val="20"/>
          <w:lang w:bidi="ar-EG"/>
        </w:rPr>
        <w:t xml:space="preserve"> </w:t>
      </w:r>
      <w:r w:rsidRPr="000F3911">
        <w:rPr>
          <w:noProof/>
          <w:sz w:val="20"/>
          <w:szCs w:val="20"/>
          <w:lang w:bidi="ar-EG"/>
        </w:rPr>
        <w:t>tract</w:t>
      </w:r>
      <w:r w:rsidR="006244D6" w:rsidRPr="000F3911">
        <w:rPr>
          <w:noProof/>
          <w:sz w:val="20"/>
          <w:szCs w:val="20"/>
          <w:lang w:bidi="ar-EG"/>
        </w:rPr>
        <w:t xml:space="preserve"> </w:t>
      </w:r>
      <w:r w:rsidRPr="000F3911">
        <w:rPr>
          <w:noProof/>
          <w:sz w:val="20"/>
          <w:szCs w:val="20"/>
          <w:lang w:bidi="ar-EG"/>
        </w:rPr>
        <w:t>affection)</w:t>
      </w:r>
      <w:r w:rsidR="006244D6" w:rsidRPr="000F3911">
        <w:rPr>
          <w:noProof/>
          <w:sz w:val="20"/>
          <w:szCs w:val="20"/>
          <w:lang w:bidi="ar-EG"/>
        </w:rPr>
        <w:t xml:space="preserve"> </w:t>
      </w:r>
      <w:r w:rsidRPr="000F3911">
        <w:rPr>
          <w:noProof/>
          <w:sz w:val="20"/>
          <w:szCs w:val="20"/>
          <w:lang w:bidi="ar-EG"/>
        </w:rPr>
        <w:t>radicular hypothesia</w:t>
      </w:r>
      <w:r w:rsidR="006244D6" w:rsidRPr="000F3911">
        <w:rPr>
          <w:noProof/>
          <w:sz w:val="20"/>
          <w:szCs w:val="20"/>
          <w:lang w:bidi="ar-EG"/>
        </w:rPr>
        <w:t xml:space="preserve"> </w:t>
      </w:r>
      <w:r w:rsidRPr="000F3911">
        <w:rPr>
          <w:noProof/>
          <w:sz w:val="20"/>
          <w:szCs w:val="20"/>
          <w:lang w:bidi="ar-EG"/>
        </w:rPr>
        <w:t>or</w:t>
      </w:r>
      <w:r w:rsidR="006244D6" w:rsidRPr="000F3911">
        <w:rPr>
          <w:noProof/>
          <w:sz w:val="20"/>
          <w:szCs w:val="20"/>
          <w:lang w:bidi="ar-EG"/>
        </w:rPr>
        <w:t xml:space="preserve"> </w:t>
      </w:r>
      <w:r w:rsidRPr="000F3911">
        <w:rPr>
          <w:noProof/>
          <w:sz w:val="20"/>
          <w:szCs w:val="20"/>
          <w:lang w:bidi="ar-EG"/>
        </w:rPr>
        <w:t>hyperthesia</w:t>
      </w:r>
      <w:r w:rsidR="006244D6" w:rsidRPr="000F3911">
        <w:rPr>
          <w:noProof/>
          <w:sz w:val="20"/>
          <w:szCs w:val="20"/>
          <w:lang w:bidi="ar-EG"/>
        </w:rPr>
        <w:t xml:space="preserve"> </w:t>
      </w:r>
      <w:r w:rsidRPr="000F3911">
        <w:rPr>
          <w:noProof/>
          <w:sz w:val="20"/>
          <w:szCs w:val="20"/>
          <w:lang w:bidi="ar-EG"/>
        </w:rPr>
        <w:t>(radiculopathy),</w:t>
      </w:r>
      <w:r w:rsidR="006244D6" w:rsidRPr="000F3911">
        <w:rPr>
          <w:noProof/>
          <w:sz w:val="20"/>
          <w:szCs w:val="20"/>
          <w:lang w:bidi="ar-EG"/>
        </w:rPr>
        <w:t xml:space="preserve"> </w:t>
      </w:r>
      <w:r w:rsidRPr="000F3911">
        <w:rPr>
          <w:noProof/>
          <w:sz w:val="20"/>
          <w:szCs w:val="20"/>
          <w:lang w:bidi="ar-EG"/>
        </w:rPr>
        <w:t>and</w:t>
      </w:r>
      <w:r w:rsidR="006244D6" w:rsidRPr="000F3911">
        <w:rPr>
          <w:noProof/>
          <w:sz w:val="20"/>
          <w:szCs w:val="20"/>
          <w:lang w:bidi="ar-EG"/>
        </w:rPr>
        <w:t xml:space="preserve"> </w:t>
      </w:r>
      <w:r w:rsidRPr="000F3911">
        <w:rPr>
          <w:noProof/>
          <w:sz w:val="20"/>
          <w:szCs w:val="20"/>
          <w:lang w:bidi="ar-EG"/>
        </w:rPr>
        <w:t>deep sensation.</w:t>
      </w:r>
    </w:p>
    <w:p w:rsidR="00B503E8" w:rsidRPr="000F3911" w:rsidRDefault="00B503E8" w:rsidP="007A1E52">
      <w:pPr>
        <w:bidi w:val="0"/>
        <w:adjustRightInd w:val="0"/>
        <w:snapToGrid w:val="0"/>
        <w:ind w:firstLine="425"/>
        <w:jc w:val="both"/>
        <w:rPr>
          <w:noProof/>
          <w:sz w:val="20"/>
          <w:szCs w:val="20"/>
          <w:lang w:bidi="ar-EG"/>
        </w:rPr>
      </w:pPr>
      <w:r w:rsidRPr="000F3911">
        <w:rPr>
          <w:noProof/>
          <w:sz w:val="20"/>
          <w:szCs w:val="20"/>
          <w:lang w:bidi="ar-EG"/>
        </w:rPr>
        <w:t>b) Motor system examination:</w:t>
      </w:r>
    </w:p>
    <w:p w:rsidR="00B503E8" w:rsidRPr="000F3911" w:rsidRDefault="00B503E8" w:rsidP="007A1E52">
      <w:pPr>
        <w:bidi w:val="0"/>
        <w:adjustRightInd w:val="0"/>
        <w:snapToGrid w:val="0"/>
        <w:ind w:firstLine="425"/>
        <w:jc w:val="both"/>
        <w:rPr>
          <w:noProof/>
          <w:sz w:val="20"/>
          <w:szCs w:val="20"/>
          <w:lang w:bidi="ar-EG"/>
        </w:rPr>
      </w:pPr>
      <w:r w:rsidRPr="000F3911">
        <w:rPr>
          <w:noProof/>
          <w:sz w:val="20"/>
          <w:szCs w:val="20"/>
          <w:lang w:bidi="ar-EG"/>
        </w:rPr>
        <w:t>Motor power, muscle tone, tendon jerks, clonus and planter response. Motor powers were assessed according to United Kingdom Medical Research Council (MRC, 1978) grading system for muscle strength.</w:t>
      </w:r>
    </w:p>
    <w:p w:rsidR="00B503E8" w:rsidRPr="000F3911" w:rsidRDefault="00B503E8" w:rsidP="007A1E52">
      <w:pPr>
        <w:pStyle w:val="ListParagraph"/>
        <w:numPr>
          <w:ilvl w:val="0"/>
          <w:numId w:val="7"/>
        </w:numPr>
        <w:wordWrap/>
        <w:adjustRightInd w:val="0"/>
        <w:snapToGrid w:val="0"/>
        <w:ind w:left="0" w:firstLine="425"/>
        <w:rPr>
          <w:rFonts w:ascii="Times New Roman"/>
          <w:noProof/>
          <w:kern w:val="0"/>
          <w:lang w:bidi="ar-EG"/>
        </w:rPr>
      </w:pPr>
      <w:r w:rsidRPr="000F3911">
        <w:rPr>
          <w:rFonts w:ascii="Times New Roman"/>
          <w:noProof/>
          <w:kern w:val="0"/>
          <w:lang w:bidi="ar-EG"/>
        </w:rPr>
        <w:t>Grade 0: No voluntary muscle contraction.</w:t>
      </w:r>
    </w:p>
    <w:p w:rsidR="00B503E8" w:rsidRPr="000F3911" w:rsidRDefault="00B503E8" w:rsidP="007A1E52">
      <w:pPr>
        <w:pStyle w:val="ListParagraph"/>
        <w:numPr>
          <w:ilvl w:val="0"/>
          <w:numId w:val="7"/>
        </w:numPr>
        <w:wordWrap/>
        <w:adjustRightInd w:val="0"/>
        <w:snapToGrid w:val="0"/>
        <w:ind w:left="0" w:firstLine="425"/>
        <w:rPr>
          <w:rFonts w:ascii="Times New Roman"/>
          <w:noProof/>
          <w:kern w:val="0"/>
          <w:lang w:bidi="ar-EG"/>
        </w:rPr>
      </w:pPr>
      <w:r w:rsidRPr="000F3911">
        <w:rPr>
          <w:rFonts w:ascii="Times New Roman"/>
          <w:noProof/>
          <w:kern w:val="0"/>
          <w:lang w:bidi="ar-EG"/>
        </w:rPr>
        <w:t>Grade 1: Flicker or trace of muscle contractions, no joint movement.</w:t>
      </w:r>
    </w:p>
    <w:p w:rsidR="00B503E8" w:rsidRPr="000F3911" w:rsidRDefault="00B503E8" w:rsidP="007A1E52">
      <w:pPr>
        <w:pStyle w:val="ListParagraph"/>
        <w:numPr>
          <w:ilvl w:val="0"/>
          <w:numId w:val="7"/>
        </w:numPr>
        <w:wordWrap/>
        <w:adjustRightInd w:val="0"/>
        <w:snapToGrid w:val="0"/>
        <w:ind w:left="0" w:firstLine="425"/>
        <w:rPr>
          <w:rFonts w:ascii="Times New Roman"/>
          <w:noProof/>
          <w:kern w:val="0"/>
          <w:lang w:bidi="ar-EG"/>
        </w:rPr>
      </w:pPr>
      <w:r w:rsidRPr="000F3911">
        <w:rPr>
          <w:rFonts w:ascii="Times New Roman"/>
          <w:noProof/>
          <w:kern w:val="0"/>
          <w:lang w:bidi="ar-EG"/>
        </w:rPr>
        <w:t>Grade 2: Active</w:t>
      </w:r>
      <w:r w:rsidR="006244D6" w:rsidRPr="000F3911">
        <w:rPr>
          <w:rFonts w:ascii="Times New Roman"/>
          <w:noProof/>
          <w:kern w:val="0"/>
          <w:lang w:bidi="ar-EG"/>
        </w:rPr>
        <w:t xml:space="preserve"> </w:t>
      </w:r>
      <w:r w:rsidRPr="000F3911">
        <w:rPr>
          <w:rFonts w:ascii="Times New Roman"/>
          <w:noProof/>
          <w:kern w:val="0"/>
          <w:lang w:bidi="ar-EG"/>
        </w:rPr>
        <w:t>movement</w:t>
      </w:r>
      <w:r w:rsidR="006244D6" w:rsidRPr="000F3911">
        <w:rPr>
          <w:rFonts w:ascii="Times New Roman"/>
          <w:noProof/>
          <w:kern w:val="0"/>
          <w:lang w:bidi="ar-EG"/>
        </w:rPr>
        <w:t xml:space="preserve"> </w:t>
      </w:r>
      <w:r w:rsidRPr="000F3911">
        <w:rPr>
          <w:rFonts w:ascii="Times New Roman"/>
          <w:noProof/>
          <w:kern w:val="0"/>
          <w:lang w:bidi="ar-EG"/>
        </w:rPr>
        <w:t>but</w:t>
      </w:r>
      <w:r w:rsidR="006244D6" w:rsidRPr="000F3911">
        <w:rPr>
          <w:rFonts w:ascii="Times New Roman"/>
          <w:noProof/>
          <w:kern w:val="0"/>
          <w:lang w:bidi="ar-EG"/>
        </w:rPr>
        <w:t xml:space="preserve"> </w:t>
      </w:r>
      <w:r w:rsidRPr="000F3911">
        <w:rPr>
          <w:rFonts w:ascii="Times New Roman"/>
          <w:noProof/>
          <w:kern w:val="0"/>
          <w:lang w:bidi="ar-EG"/>
        </w:rPr>
        <w:t>only</w:t>
      </w:r>
      <w:r w:rsidR="006244D6" w:rsidRPr="000F3911">
        <w:rPr>
          <w:rFonts w:ascii="Times New Roman"/>
          <w:noProof/>
          <w:kern w:val="0"/>
          <w:lang w:bidi="ar-EG"/>
        </w:rPr>
        <w:t xml:space="preserve"> </w:t>
      </w:r>
      <w:r w:rsidRPr="000F3911">
        <w:rPr>
          <w:rFonts w:ascii="Times New Roman"/>
          <w:noProof/>
          <w:kern w:val="0"/>
          <w:lang w:bidi="ar-EG"/>
        </w:rPr>
        <w:t>with</w:t>
      </w:r>
      <w:r w:rsidR="006244D6" w:rsidRPr="000F3911">
        <w:rPr>
          <w:rFonts w:ascii="Times New Roman"/>
          <w:noProof/>
          <w:kern w:val="0"/>
          <w:lang w:bidi="ar-EG"/>
        </w:rPr>
        <w:t xml:space="preserve"> </w:t>
      </w:r>
      <w:r w:rsidRPr="000F3911">
        <w:rPr>
          <w:rFonts w:ascii="Times New Roman"/>
          <w:noProof/>
          <w:kern w:val="0"/>
          <w:lang w:bidi="ar-EG"/>
        </w:rPr>
        <w:t>gravity eliminated.</w:t>
      </w:r>
    </w:p>
    <w:p w:rsidR="00B503E8" w:rsidRPr="000F3911" w:rsidRDefault="00B503E8" w:rsidP="007A1E52">
      <w:pPr>
        <w:pStyle w:val="ListParagraph"/>
        <w:numPr>
          <w:ilvl w:val="0"/>
          <w:numId w:val="7"/>
        </w:numPr>
        <w:wordWrap/>
        <w:adjustRightInd w:val="0"/>
        <w:snapToGrid w:val="0"/>
        <w:ind w:left="0" w:firstLine="425"/>
        <w:rPr>
          <w:rFonts w:ascii="Times New Roman"/>
          <w:noProof/>
          <w:kern w:val="0"/>
          <w:lang w:bidi="ar-EG"/>
        </w:rPr>
      </w:pPr>
      <w:r w:rsidRPr="000F3911">
        <w:rPr>
          <w:rFonts w:ascii="Times New Roman"/>
          <w:noProof/>
          <w:kern w:val="0"/>
          <w:lang w:bidi="ar-EG"/>
        </w:rPr>
        <w:t>Grade 3: Active movement against gravity but not against resistance.</w:t>
      </w:r>
    </w:p>
    <w:p w:rsidR="00B503E8" w:rsidRPr="000F3911" w:rsidRDefault="00B503E8" w:rsidP="007A1E52">
      <w:pPr>
        <w:pStyle w:val="ListParagraph"/>
        <w:numPr>
          <w:ilvl w:val="0"/>
          <w:numId w:val="9"/>
        </w:numPr>
        <w:wordWrap/>
        <w:adjustRightInd w:val="0"/>
        <w:snapToGrid w:val="0"/>
        <w:ind w:left="0" w:firstLine="425"/>
        <w:rPr>
          <w:rFonts w:ascii="Times New Roman"/>
          <w:noProof/>
          <w:kern w:val="0"/>
          <w:lang w:bidi="ar-EG"/>
        </w:rPr>
      </w:pPr>
      <w:r w:rsidRPr="000F3911">
        <w:rPr>
          <w:rFonts w:ascii="Times New Roman"/>
          <w:noProof/>
          <w:kern w:val="0"/>
          <w:lang w:bidi="ar-EG"/>
        </w:rPr>
        <w:t>Grade 4: Active movement against minimal resistance.</w:t>
      </w:r>
    </w:p>
    <w:p w:rsidR="00B503E8" w:rsidRPr="000F3911" w:rsidRDefault="00B503E8" w:rsidP="007A1E52">
      <w:pPr>
        <w:pStyle w:val="ListParagraph"/>
        <w:numPr>
          <w:ilvl w:val="0"/>
          <w:numId w:val="9"/>
        </w:numPr>
        <w:wordWrap/>
        <w:adjustRightInd w:val="0"/>
        <w:snapToGrid w:val="0"/>
        <w:ind w:left="0" w:firstLine="425"/>
        <w:rPr>
          <w:rFonts w:ascii="Times New Roman"/>
          <w:noProof/>
          <w:kern w:val="0"/>
          <w:lang w:bidi="ar-EG"/>
        </w:rPr>
      </w:pPr>
      <w:r w:rsidRPr="000F3911">
        <w:rPr>
          <w:rFonts w:ascii="Times New Roman"/>
          <w:noProof/>
          <w:kern w:val="0"/>
          <w:lang w:bidi="ar-EG"/>
        </w:rPr>
        <w:t>Grade 4+: Active movement against moderate resistance.</w:t>
      </w:r>
      <w:r w:rsidR="006244D6" w:rsidRPr="000F3911">
        <w:rPr>
          <w:rFonts w:ascii="Times New Roman"/>
          <w:noProof/>
          <w:kern w:val="0"/>
          <w:lang w:bidi="ar-EG"/>
        </w:rPr>
        <w:t xml:space="preserve"> </w:t>
      </w:r>
    </w:p>
    <w:p w:rsidR="00B503E8" w:rsidRPr="000F3911" w:rsidRDefault="00B503E8" w:rsidP="007A1E52">
      <w:pPr>
        <w:pStyle w:val="ListParagraph"/>
        <w:numPr>
          <w:ilvl w:val="0"/>
          <w:numId w:val="9"/>
        </w:numPr>
        <w:wordWrap/>
        <w:adjustRightInd w:val="0"/>
        <w:snapToGrid w:val="0"/>
        <w:ind w:left="0" w:firstLine="425"/>
        <w:rPr>
          <w:rFonts w:ascii="Times New Roman"/>
          <w:kern w:val="0"/>
        </w:rPr>
      </w:pPr>
      <w:r w:rsidRPr="000F3911">
        <w:rPr>
          <w:rFonts w:ascii="Times New Roman"/>
          <w:noProof/>
          <w:kern w:val="0"/>
          <w:lang w:bidi="ar-EG"/>
        </w:rPr>
        <w:t>Grade 5: Normal strength</w:t>
      </w:r>
      <w:r w:rsidRPr="000F3911">
        <w:rPr>
          <w:rFonts w:ascii="Times New Roman"/>
          <w:kern w:val="0"/>
        </w:rPr>
        <w:t>.</w:t>
      </w:r>
    </w:p>
    <w:p w:rsidR="00B503E8" w:rsidRPr="000F3911" w:rsidRDefault="00B503E8" w:rsidP="007A1E52">
      <w:pPr>
        <w:widowControl w:val="0"/>
        <w:numPr>
          <w:ilvl w:val="0"/>
          <w:numId w:val="3"/>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lastRenderedPageBreak/>
        <w:t>Operative segments, operation time, hospital stay, and complications.</w:t>
      </w:r>
    </w:p>
    <w:p w:rsidR="00B503E8" w:rsidRPr="000F3911" w:rsidRDefault="00B503E8" w:rsidP="007A1E52">
      <w:pPr>
        <w:widowControl w:val="0"/>
        <w:numPr>
          <w:ilvl w:val="0"/>
          <w:numId w:val="3"/>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Japanese Orthopaedic Association (JOA) score to assess the clinical status (see APPENDIX A).</w:t>
      </w:r>
    </w:p>
    <w:p w:rsidR="00B503E8" w:rsidRPr="000F3911" w:rsidRDefault="00B503E8" w:rsidP="007A1E52">
      <w:pPr>
        <w:widowControl w:val="0"/>
        <w:numPr>
          <w:ilvl w:val="0"/>
          <w:numId w:val="3"/>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The radiological parameters (fusion rate, and cervical lordosis) were examined using anteroposterior (AP), lateral, and flexion/extension plain radiographs, and this including measurement of Cobb’s angles.</w:t>
      </w:r>
    </w:p>
    <w:p w:rsidR="000F3911" w:rsidRDefault="000F3911" w:rsidP="007A1E52">
      <w:pPr>
        <w:widowControl w:val="0"/>
        <w:tabs>
          <w:tab w:val="left" w:pos="0"/>
          <w:tab w:val="left" w:pos="540"/>
        </w:tabs>
        <w:autoSpaceDE w:val="0"/>
        <w:autoSpaceDN w:val="0"/>
        <w:bidi w:val="0"/>
        <w:adjustRightInd w:val="0"/>
        <w:snapToGrid w:val="0"/>
        <w:jc w:val="both"/>
        <w:rPr>
          <w:rFonts w:eastAsiaTheme="minorEastAsia" w:hint="eastAsia"/>
          <w:b/>
          <w:bCs/>
          <w:noProof/>
          <w:sz w:val="20"/>
          <w:szCs w:val="20"/>
          <w:lang w:eastAsia="zh-CN"/>
        </w:rPr>
      </w:pPr>
    </w:p>
    <w:p w:rsidR="00B503E8" w:rsidRPr="000F3911" w:rsidRDefault="00B503E8" w:rsidP="000F3911">
      <w:pPr>
        <w:widowControl w:val="0"/>
        <w:tabs>
          <w:tab w:val="left" w:pos="0"/>
          <w:tab w:val="left" w:pos="540"/>
        </w:tabs>
        <w:autoSpaceDE w:val="0"/>
        <w:autoSpaceDN w:val="0"/>
        <w:bidi w:val="0"/>
        <w:adjustRightInd w:val="0"/>
        <w:snapToGrid w:val="0"/>
        <w:jc w:val="both"/>
        <w:rPr>
          <w:b/>
          <w:bCs/>
          <w:noProof/>
          <w:sz w:val="20"/>
          <w:szCs w:val="20"/>
        </w:rPr>
      </w:pPr>
      <w:r w:rsidRPr="000F3911">
        <w:rPr>
          <w:b/>
          <w:bCs/>
          <w:noProof/>
          <w:sz w:val="20"/>
          <w:szCs w:val="20"/>
        </w:rPr>
        <w:t>Establishment of Fusion and Lordosis Difinition</w:t>
      </w:r>
    </w:p>
    <w:p w:rsidR="00B503E8" w:rsidRPr="000F3911" w:rsidRDefault="00B503E8" w:rsidP="007A1E52">
      <w:pPr>
        <w:bidi w:val="0"/>
        <w:snapToGrid w:val="0"/>
        <w:ind w:firstLine="425"/>
        <w:jc w:val="both"/>
        <w:rPr>
          <w:noProof/>
          <w:sz w:val="20"/>
          <w:szCs w:val="20"/>
          <w:lang w:bidi="ar-EG"/>
        </w:rPr>
      </w:pPr>
      <w:r w:rsidRPr="000F3911">
        <w:rPr>
          <w:noProof/>
          <w:sz w:val="20"/>
          <w:szCs w:val="20"/>
          <w:lang w:bidi="ar-EG"/>
        </w:rPr>
        <w:t>Radiographic fusion was considered present if the following features were observed:</w:t>
      </w:r>
    </w:p>
    <w:p w:rsidR="00B503E8" w:rsidRPr="000F3911" w:rsidRDefault="00B503E8" w:rsidP="007A1E52">
      <w:pPr>
        <w:pStyle w:val="ListParagraph"/>
        <w:numPr>
          <w:ilvl w:val="0"/>
          <w:numId w:val="5"/>
        </w:numPr>
        <w:wordWrap/>
        <w:snapToGrid w:val="0"/>
        <w:ind w:left="0" w:firstLine="425"/>
        <w:rPr>
          <w:rFonts w:ascii="Times New Roman"/>
          <w:noProof/>
          <w:kern w:val="0"/>
          <w:lang w:bidi="ar-EG"/>
        </w:rPr>
      </w:pPr>
      <w:r w:rsidRPr="000F3911">
        <w:rPr>
          <w:rFonts w:ascii="Times New Roman"/>
          <w:noProof/>
          <w:kern w:val="0"/>
          <w:lang w:bidi="ar-EG"/>
        </w:rPr>
        <w:t>No motion across the fusion site on flexion–extension X-rays,</w:t>
      </w:r>
    </w:p>
    <w:p w:rsidR="00B503E8" w:rsidRPr="000F3911" w:rsidRDefault="00B503E8" w:rsidP="007A1E52">
      <w:pPr>
        <w:pStyle w:val="ListParagraph"/>
        <w:numPr>
          <w:ilvl w:val="0"/>
          <w:numId w:val="5"/>
        </w:numPr>
        <w:wordWrap/>
        <w:snapToGrid w:val="0"/>
        <w:ind w:left="0" w:firstLine="425"/>
        <w:rPr>
          <w:rFonts w:ascii="Times New Roman"/>
          <w:noProof/>
          <w:kern w:val="0"/>
          <w:lang w:bidi="ar-EG"/>
        </w:rPr>
      </w:pPr>
      <w:r w:rsidRPr="000F3911">
        <w:rPr>
          <w:rFonts w:ascii="Times New Roman"/>
          <w:noProof/>
          <w:kern w:val="0"/>
          <w:lang w:bidi="ar-EG"/>
        </w:rPr>
        <w:t xml:space="preserve">Trabeculae across the fusion site, </w:t>
      </w:r>
    </w:p>
    <w:p w:rsidR="00B503E8" w:rsidRPr="000F3911" w:rsidRDefault="00B503E8" w:rsidP="007A1E52">
      <w:pPr>
        <w:pStyle w:val="ListParagraph"/>
        <w:numPr>
          <w:ilvl w:val="0"/>
          <w:numId w:val="5"/>
        </w:numPr>
        <w:wordWrap/>
        <w:snapToGrid w:val="0"/>
        <w:ind w:left="0" w:firstLine="425"/>
        <w:rPr>
          <w:rFonts w:ascii="Times New Roman"/>
          <w:noProof/>
          <w:kern w:val="0"/>
          <w:lang w:bidi="ar-EG"/>
        </w:rPr>
      </w:pPr>
      <w:r w:rsidRPr="000F3911">
        <w:rPr>
          <w:rFonts w:ascii="Times New Roman"/>
          <w:noProof/>
          <w:kern w:val="0"/>
          <w:lang w:bidi="ar-EG"/>
        </w:rPr>
        <w:t xml:space="preserve">No lucency across the fusion site or around any of the screw sites. </w:t>
      </w:r>
    </w:p>
    <w:p w:rsidR="00B503E8" w:rsidRPr="000F3911" w:rsidRDefault="00B503E8" w:rsidP="007A1E52">
      <w:pPr>
        <w:bidi w:val="0"/>
        <w:snapToGrid w:val="0"/>
        <w:ind w:firstLine="425"/>
        <w:jc w:val="both"/>
        <w:rPr>
          <w:noProof/>
          <w:sz w:val="20"/>
          <w:szCs w:val="20"/>
          <w:lang w:bidi="ar-EG"/>
        </w:rPr>
      </w:pPr>
      <w:r w:rsidRPr="000F3911">
        <w:rPr>
          <w:noProof/>
          <w:sz w:val="20"/>
          <w:szCs w:val="20"/>
          <w:lang w:bidi="ar-EG"/>
        </w:rPr>
        <w:t>If the fusion was questionable, CT scans were performed.</w:t>
      </w:r>
    </w:p>
    <w:p w:rsidR="00B503E8" w:rsidRPr="000F3911" w:rsidRDefault="00B503E8" w:rsidP="007A1E52">
      <w:pPr>
        <w:bidi w:val="0"/>
        <w:snapToGrid w:val="0"/>
        <w:ind w:firstLine="425"/>
        <w:jc w:val="both"/>
        <w:rPr>
          <w:noProof/>
          <w:sz w:val="20"/>
          <w:szCs w:val="20"/>
          <w:lang w:bidi="ar-EG"/>
        </w:rPr>
      </w:pPr>
      <w:r w:rsidRPr="000F3911">
        <w:rPr>
          <w:b/>
          <w:bCs/>
          <w:i/>
          <w:iCs/>
          <w:noProof/>
          <w:sz w:val="20"/>
          <w:szCs w:val="20"/>
          <w:lang w:bidi="ar-EG"/>
        </w:rPr>
        <w:t>Cervical lordosis</w:t>
      </w:r>
      <w:r w:rsidRPr="000F3911">
        <w:rPr>
          <w:noProof/>
          <w:sz w:val="20"/>
          <w:szCs w:val="20"/>
          <w:lang w:bidi="ar-EG"/>
        </w:rPr>
        <w:t xml:space="preserve"> was defined as the angle formed between the lower endplate of C2 and the upper end- plate of C7 by Cobb’s method on plain lateral radiographs with the patient in a neutral position.</w:t>
      </w:r>
    </w:p>
    <w:p w:rsidR="000F3911" w:rsidRDefault="000F3911" w:rsidP="007A1E52">
      <w:pPr>
        <w:widowControl w:val="0"/>
        <w:tabs>
          <w:tab w:val="left" w:pos="0"/>
          <w:tab w:val="left" w:pos="540"/>
        </w:tabs>
        <w:autoSpaceDE w:val="0"/>
        <w:autoSpaceDN w:val="0"/>
        <w:bidi w:val="0"/>
        <w:adjustRightInd w:val="0"/>
        <w:snapToGrid w:val="0"/>
        <w:jc w:val="both"/>
        <w:rPr>
          <w:rFonts w:eastAsiaTheme="minorEastAsia" w:hint="eastAsia"/>
          <w:b/>
          <w:bCs/>
          <w:noProof/>
          <w:sz w:val="20"/>
          <w:szCs w:val="20"/>
          <w:lang w:eastAsia="zh-CN"/>
        </w:rPr>
      </w:pPr>
    </w:p>
    <w:p w:rsidR="00B503E8" w:rsidRPr="000F3911" w:rsidRDefault="00B503E8" w:rsidP="000F3911">
      <w:pPr>
        <w:widowControl w:val="0"/>
        <w:tabs>
          <w:tab w:val="left" w:pos="0"/>
          <w:tab w:val="left" w:pos="540"/>
        </w:tabs>
        <w:autoSpaceDE w:val="0"/>
        <w:autoSpaceDN w:val="0"/>
        <w:bidi w:val="0"/>
        <w:adjustRightInd w:val="0"/>
        <w:snapToGrid w:val="0"/>
        <w:jc w:val="both"/>
        <w:rPr>
          <w:b/>
          <w:bCs/>
          <w:noProof/>
          <w:sz w:val="20"/>
          <w:szCs w:val="20"/>
        </w:rPr>
      </w:pPr>
      <w:r w:rsidRPr="000F3911">
        <w:rPr>
          <w:b/>
          <w:bCs/>
          <w:noProof/>
          <w:sz w:val="20"/>
          <w:szCs w:val="20"/>
        </w:rPr>
        <w:t>Time of Assessment</w:t>
      </w:r>
    </w:p>
    <w:p w:rsidR="00FD358B" w:rsidRPr="000F3911" w:rsidRDefault="00B503E8" w:rsidP="007A1E52">
      <w:pPr>
        <w:widowControl w:val="0"/>
        <w:numPr>
          <w:ilvl w:val="0"/>
          <w:numId w:val="4"/>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Preoperative assessment of clinical and radiographic studies (MRI, CT and Xray</w:t>
      </w:r>
      <w:r w:rsidR="00FD358B" w:rsidRPr="000F3911">
        <w:rPr>
          <w:noProof/>
          <w:sz w:val="20"/>
          <w:szCs w:val="20"/>
          <w:lang w:bidi="ar-EG"/>
        </w:rPr>
        <w:t>).</w:t>
      </w:r>
    </w:p>
    <w:p w:rsidR="00B503E8" w:rsidRPr="000F3911" w:rsidRDefault="00B503E8" w:rsidP="007A1E52">
      <w:pPr>
        <w:widowControl w:val="0"/>
        <w:numPr>
          <w:ilvl w:val="0"/>
          <w:numId w:val="4"/>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Postoperative assesment immediately after surgery (clinically and radiologically).</w:t>
      </w:r>
    </w:p>
    <w:p w:rsidR="00B503E8" w:rsidRPr="000F3911" w:rsidRDefault="00B503E8" w:rsidP="007A1E52">
      <w:pPr>
        <w:widowControl w:val="0"/>
        <w:numPr>
          <w:ilvl w:val="0"/>
          <w:numId w:val="4"/>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 xml:space="preserve">Postoperative assessment at third month postoperatively (clinically and radiologically). </w:t>
      </w:r>
    </w:p>
    <w:p w:rsidR="00B503E8" w:rsidRPr="000F3911" w:rsidRDefault="00B503E8" w:rsidP="007A1E52">
      <w:pPr>
        <w:widowControl w:val="0"/>
        <w:numPr>
          <w:ilvl w:val="0"/>
          <w:numId w:val="4"/>
        </w:numPr>
        <w:tabs>
          <w:tab w:val="left" w:pos="0"/>
          <w:tab w:val="left" w:pos="540"/>
        </w:tabs>
        <w:autoSpaceDE w:val="0"/>
        <w:autoSpaceDN w:val="0"/>
        <w:bidi w:val="0"/>
        <w:adjustRightInd w:val="0"/>
        <w:snapToGrid w:val="0"/>
        <w:ind w:left="0" w:firstLine="425"/>
        <w:jc w:val="both"/>
        <w:rPr>
          <w:noProof/>
          <w:sz w:val="20"/>
          <w:szCs w:val="20"/>
          <w:lang w:bidi="ar-EG"/>
        </w:rPr>
      </w:pPr>
      <w:r w:rsidRPr="000F3911">
        <w:rPr>
          <w:noProof/>
          <w:sz w:val="20"/>
          <w:szCs w:val="20"/>
          <w:lang w:bidi="ar-EG"/>
        </w:rPr>
        <w:t xml:space="preserve">Postoperative assessment at sixth month postoperatively (clinically and radiologically). </w:t>
      </w:r>
    </w:p>
    <w:p w:rsidR="000F3911" w:rsidRDefault="000F3911" w:rsidP="007A1E52">
      <w:pPr>
        <w:bidi w:val="0"/>
        <w:snapToGrid w:val="0"/>
        <w:jc w:val="both"/>
        <w:outlineLvl w:val="0"/>
        <w:rPr>
          <w:rFonts w:eastAsiaTheme="minorEastAsia" w:hint="eastAsia"/>
          <w:b/>
          <w:bCs/>
          <w:noProof/>
          <w:sz w:val="20"/>
          <w:szCs w:val="20"/>
          <w:lang w:eastAsia="zh-CN" w:bidi="ar-EG"/>
        </w:rPr>
      </w:pPr>
    </w:p>
    <w:p w:rsidR="00B503E8" w:rsidRPr="000F3911" w:rsidRDefault="00B503E8" w:rsidP="000F3911">
      <w:pPr>
        <w:bidi w:val="0"/>
        <w:snapToGrid w:val="0"/>
        <w:jc w:val="both"/>
        <w:outlineLvl w:val="0"/>
        <w:rPr>
          <w:b/>
          <w:bCs/>
          <w:noProof/>
          <w:sz w:val="20"/>
          <w:szCs w:val="20"/>
          <w:lang w:bidi="ar-EG"/>
        </w:rPr>
      </w:pPr>
      <w:r w:rsidRPr="000F3911">
        <w:rPr>
          <w:b/>
          <w:bCs/>
          <w:noProof/>
          <w:sz w:val="20"/>
          <w:szCs w:val="20"/>
          <w:lang w:bidi="ar-EG"/>
        </w:rPr>
        <w:t>Statistical Analysis</w:t>
      </w:r>
    </w:p>
    <w:p w:rsidR="00B503E8" w:rsidRPr="000F3911" w:rsidRDefault="00B503E8" w:rsidP="007A1E52">
      <w:pPr>
        <w:bidi w:val="0"/>
        <w:snapToGrid w:val="0"/>
        <w:ind w:firstLine="425"/>
        <w:jc w:val="both"/>
        <w:rPr>
          <w:noProof/>
          <w:sz w:val="20"/>
          <w:szCs w:val="20"/>
          <w:lang w:bidi="ar-EG"/>
        </w:rPr>
      </w:pPr>
      <w:r w:rsidRPr="000F3911">
        <w:rPr>
          <w:noProof/>
          <w:sz w:val="20"/>
          <w:szCs w:val="20"/>
          <w:lang w:bidi="ar-EG"/>
        </w:rPr>
        <w:t>Data</w:t>
      </w:r>
      <w:r w:rsidR="006244D6" w:rsidRPr="000F3911">
        <w:rPr>
          <w:noProof/>
          <w:sz w:val="20"/>
          <w:szCs w:val="20"/>
          <w:lang w:bidi="ar-EG"/>
        </w:rPr>
        <w:t xml:space="preserve"> </w:t>
      </w:r>
      <w:r w:rsidRPr="000F3911">
        <w:rPr>
          <w:noProof/>
          <w:sz w:val="20"/>
          <w:szCs w:val="20"/>
          <w:lang w:bidi="ar-EG"/>
        </w:rPr>
        <w:t>was analyzed using IBM SPSS advanced statistics version 21 (SPSS Inc., Chicago, IL). Numerical data were expressed as mean and standard deviation or median and range as appropriate. Pearson Chi-square tests were used to compare the incidence of postoperative complications.</w:t>
      </w:r>
    </w:p>
    <w:p w:rsidR="00B503E8" w:rsidRPr="000F3911" w:rsidRDefault="00B503E8" w:rsidP="007A1E52">
      <w:pPr>
        <w:bidi w:val="0"/>
        <w:snapToGrid w:val="0"/>
        <w:ind w:firstLine="425"/>
        <w:jc w:val="both"/>
        <w:rPr>
          <w:sz w:val="20"/>
          <w:szCs w:val="20"/>
        </w:rPr>
      </w:pPr>
      <w:r w:rsidRPr="000F3911">
        <w:rPr>
          <w:noProof/>
          <w:sz w:val="20"/>
          <w:szCs w:val="20"/>
          <w:lang w:bidi="ar-EG"/>
        </w:rPr>
        <w:t>Qualitative data was</w:t>
      </w:r>
      <w:r w:rsidR="006244D6" w:rsidRPr="000F3911">
        <w:rPr>
          <w:noProof/>
          <w:sz w:val="20"/>
          <w:szCs w:val="20"/>
          <w:lang w:bidi="ar-EG"/>
        </w:rPr>
        <w:t xml:space="preserve"> </w:t>
      </w:r>
      <w:r w:rsidRPr="000F3911">
        <w:rPr>
          <w:noProof/>
          <w:sz w:val="20"/>
          <w:szCs w:val="20"/>
          <w:lang w:bidi="ar-EG"/>
        </w:rPr>
        <w:t>expressed as frequency and percentage. Chi-square test was</w:t>
      </w:r>
      <w:r w:rsidR="006244D6" w:rsidRPr="000F3911">
        <w:rPr>
          <w:noProof/>
          <w:sz w:val="20"/>
          <w:szCs w:val="20"/>
          <w:lang w:bidi="ar-EG"/>
        </w:rPr>
        <w:t xml:space="preserve"> </w:t>
      </w:r>
      <w:r w:rsidRPr="000F3911">
        <w:rPr>
          <w:noProof/>
          <w:sz w:val="20"/>
          <w:szCs w:val="20"/>
          <w:lang w:bidi="ar-EG"/>
        </w:rPr>
        <w:t>used to examine the relation between qualitative variables. For not normally distributed quantitative data, comparison between two groups was done using Mann-Whitney test (non-parametric t-test). Comparison between quantitative repeated measures was done using ANOVA with repeated measures. Wilcoxon-signed ranks test (non-parametric paired t-test) was</w:t>
      </w:r>
      <w:r w:rsidR="006244D6" w:rsidRPr="000F3911">
        <w:rPr>
          <w:noProof/>
          <w:sz w:val="20"/>
          <w:szCs w:val="20"/>
          <w:lang w:bidi="ar-EG"/>
        </w:rPr>
        <w:t xml:space="preserve"> </w:t>
      </w:r>
      <w:r w:rsidRPr="000F3911">
        <w:rPr>
          <w:noProof/>
          <w:sz w:val="20"/>
          <w:szCs w:val="20"/>
          <w:lang w:bidi="ar-EG"/>
        </w:rPr>
        <w:t>used to compare two consecutive measures of numerical variables. A p-value &lt; 0.05 was considered significant.</w:t>
      </w:r>
    </w:p>
    <w:p w:rsidR="00B503E8" w:rsidRPr="000F3911" w:rsidRDefault="00B503E8" w:rsidP="007A1E52">
      <w:pPr>
        <w:autoSpaceDE w:val="0"/>
        <w:autoSpaceDN w:val="0"/>
        <w:bidi w:val="0"/>
        <w:adjustRightInd w:val="0"/>
        <w:snapToGrid w:val="0"/>
        <w:jc w:val="both"/>
        <w:rPr>
          <w:b/>
          <w:bCs/>
          <w:color w:val="000000"/>
          <w:sz w:val="20"/>
          <w:szCs w:val="20"/>
        </w:rPr>
      </w:pPr>
    </w:p>
    <w:p w:rsidR="00B503E8" w:rsidRPr="000F3911" w:rsidRDefault="0075778A" w:rsidP="007A1E52">
      <w:pPr>
        <w:autoSpaceDE w:val="0"/>
        <w:autoSpaceDN w:val="0"/>
        <w:bidi w:val="0"/>
        <w:adjustRightInd w:val="0"/>
        <w:snapToGrid w:val="0"/>
        <w:jc w:val="both"/>
        <w:rPr>
          <w:b/>
          <w:bCs/>
          <w:color w:val="000000"/>
          <w:sz w:val="20"/>
          <w:szCs w:val="20"/>
        </w:rPr>
      </w:pPr>
      <w:r w:rsidRPr="000F3911">
        <w:rPr>
          <w:b/>
          <w:bCs/>
          <w:color w:val="000000"/>
          <w:sz w:val="20"/>
          <w:szCs w:val="20"/>
        </w:rPr>
        <w:lastRenderedPageBreak/>
        <w:t>3. Results</w:t>
      </w:r>
    </w:p>
    <w:p w:rsidR="006244D6"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Demographic Distribution</w:t>
      </w:r>
    </w:p>
    <w:p w:rsidR="00B503E8" w:rsidRDefault="006244D6" w:rsidP="007A1E52">
      <w:pPr>
        <w:autoSpaceDE w:val="0"/>
        <w:autoSpaceDN w:val="0"/>
        <w:bidi w:val="0"/>
        <w:adjustRightInd w:val="0"/>
        <w:snapToGrid w:val="0"/>
        <w:ind w:firstLine="425"/>
        <w:jc w:val="both"/>
        <w:rPr>
          <w:rFonts w:eastAsiaTheme="minorEastAsia" w:hint="eastAsia"/>
          <w:sz w:val="20"/>
          <w:szCs w:val="20"/>
          <w:lang w:eastAsia="zh-CN"/>
        </w:rPr>
      </w:pPr>
      <w:r w:rsidRPr="000F3911">
        <w:rPr>
          <w:sz w:val="20"/>
          <w:szCs w:val="20"/>
        </w:rPr>
        <w:t>T</w:t>
      </w:r>
      <w:r w:rsidR="00B503E8" w:rsidRPr="000F3911">
        <w:rPr>
          <w:sz w:val="20"/>
          <w:szCs w:val="20"/>
        </w:rPr>
        <w:t>he mean age of our patients was 47 years ± 14. There was wide range of age 45 years (25-70). The bar graph of age is illustrated in figure 28.</w:t>
      </w:r>
    </w:p>
    <w:p w:rsidR="000F3911" w:rsidRPr="000F3911" w:rsidRDefault="000F3911" w:rsidP="000F3911">
      <w:pPr>
        <w:autoSpaceDE w:val="0"/>
        <w:autoSpaceDN w:val="0"/>
        <w:bidi w:val="0"/>
        <w:adjustRightInd w:val="0"/>
        <w:snapToGrid w:val="0"/>
        <w:ind w:firstLine="425"/>
        <w:jc w:val="both"/>
        <w:rPr>
          <w:rFonts w:eastAsiaTheme="minorEastAsia" w:hint="eastAsia"/>
          <w:sz w:val="20"/>
          <w:szCs w:val="20"/>
          <w:lang w:eastAsia="zh-CN"/>
        </w:rPr>
      </w:pPr>
    </w:p>
    <w:p w:rsidR="00B503E8" w:rsidRPr="000F3911" w:rsidRDefault="007B7339" w:rsidP="007A1E52">
      <w:pPr>
        <w:autoSpaceDE w:val="0"/>
        <w:autoSpaceDN w:val="0"/>
        <w:bidi w:val="0"/>
        <w:adjustRightInd w:val="0"/>
        <w:snapToGrid w:val="0"/>
        <w:jc w:val="center"/>
        <w:rPr>
          <w:sz w:val="20"/>
          <w:szCs w:val="20"/>
        </w:rPr>
      </w:pPr>
      <w:r w:rsidRPr="000F3911">
        <w:rPr>
          <w:noProof/>
          <w:sz w:val="20"/>
          <w:szCs w:val="20"/>
          <w:lang w:eastAsia="zh-CN"/>
        </w:rPr>
        <w:drawing>
          <wp:inline distT="0" distB="0" distL="0" distR="0">
            <wp:extent cx="2770545" cy="232973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774639" cy="2333174"/>
                    </a:xfrm>
                    <a:prstGeom prst="rect">
                      <a:avLst/>
                    </a:prstGeom>
                    <a:noFill/>
                    <a:ln w="9525">
                      <a:noFill/>
                      <a:miter lim="800000"/>
                      <a:headEnd/>
                      <a:tailEnd/>
                    </a:ln>
                  </pic:spPr>
                </pic:pic>
              </a:graphicData>
            </a:graphic>
          </wp:inline>
        </w:drawing>
      </w:r>
    </w:p>
    <w:p w:rsidR="006244D6" w:rsidRPr="000F3911" w:rsidRDefault="003842D3" w:rsidP="007A1E52">
      <w:pPr>
        <w:autoSpaceDE w:val="0"/>
        <w:autoSpaceDN w:val="0"/>
        <w:bidi w:val="0"/>
        <w:adjustRightInd w:val="0"/>
        <w:snapToGrid w:val="0"/>
        <w:jc w:val="center"/>
        <w:rPr>
          <w:b/>
          <w:bCs/>
          <w:sz w:val="20"/>
          <w:szCs w:val="20"/>
        </w:rPr>
      </w:pPr>
      <w:r w:rsidRPr="000F3911">
        <w:rPr>
          <w:b/>
          <w:bCs/>
          <w:sz w:val="20"/>
          <w:szCs w:val="20"/>
        </w:rPr>
        <w:t xml:space="preserve">Figure 1: </w:t>
      </w:r>
      <w:r w:rsidRPr="000F3911">
        <w:rPr>
          <w:rFonts w:eastAsiaTheme="minorHAnsi"/>
          <w:b/>
          <w:bCs/>
          <w:color w:val="000000"/>
          <w:sz w:val="20"/>
          <w:szCs w:val="20"/>
        </w:rPr>
        <w:t>Bar chart of age distribution</w:t>
      </w:r>
    </w:p>
    <w:p w:rsidR="007A1E52" w:rsidRPr="000F3911" w:rsidRDefault="007A1E52" w:rsidP="007A1E52">
      <w:pPr>
        <w:autoSpaceDE w:val="0"/>
        <w:autoSpaceDN w:val="0"/>
        <w:bidi w:val="0"/>
        <w:adjustRightInd w:val="0"/>
        <w:snapToGrid w:val="0"/>
        <w:ind w:firstLine="425"/>
        <w:jc w:val="both"/>
        <w:rPr>
          <w:rFonts w:eastAsiaTheme="minorEastAsia"/>
          <w:sz w:val="20"/>
          <w:szCs w:val="20"/>
          <w:lang w:eastAsia="zh-CN"/>
        </w:rPr>
      </w:pPr>
    </w:p>
    <w:p w:rsidR="00B503E8" w:rsidRPr="000F3911" w:rsidRDefault="006244D6" w:rsidP="007A1E52">
      <w:pPr>
        <w:autoSpaceDE w:val="0"/>
        <w:autoSpaceDN w:val="0"/>
        <w:bidi w:val="0"/>
        <w:adjustRightInd w:val="0"/>
        <w:snapToGrid w:val="0"/>
        <w:ind w:firstLine="425"/>
        <w:jc w:val="both"/>
        <w:rPr>
          <w:sz w:val="20"/>
          <w:szCs w:val="20"/>
        </w:rPr>
      </w:pPr>
      <w:r w:rsidRPr="000F3911">
        <w:rPr>
          <w:sz w:val="20"/>
          <w:szCs w:val="20"/>
        </w:rPr>
        <w:t>T</w:t>
      </w:r>
      <w:r w:rsidR="00B503E8" w:rsidRPr="000F3911">
        <w:rPr>
          <w:sz w:val="20"/>
          <w:szCs w:val="20"/>
        </w:rPr>
        <w:t>he gender distribution showed predominant male over females with 3:2 Males were found 60% (12) while females were 8 (40%). See pie graph</w:t>
      </w:r>
    </w:p>
    <w:p w:rsidR="003842D3" w:rsidRPr="000F3911" w:rsidRDefault="003842D3" w:rsidP="007A1E52">
      <w:pPr>
        <w:autoSpaceDE w:val="0"/>
        <w:autoSpaceDN w:val="0"/>
        <w:bidi w:val="0"/>
        <w:adjustRightInd w:val="0"/>
        <w:snapToGrid w:val="0"/>
        <w:jc w:val="center"/>
        <w:rPr>
          <w:rFonts w:eastAsia="Batang"/>
          <w:b/>
          <w:bCs/>
          <w:color w:val="000000"/>
          <w:sz w:val="20"/>
          <w:szCs w:val="20"/>
        </w:rPr>
      </w:pPr>
    </w:p>
    <w:p w:rsidR="003842D3" w:rsidRPr="000F3911" w:rsidRDefault="003842D3" w:rsidP="007A1E52">
      <w:pPr>
        <w:autoSpaceDE w:val="0"/>
        <w:autoSpaceDN w:val="0"/>
        <w:bidi w:val="0"/>
        <w:adjustRightInd w:val="0"/>
        <w:snapToGrid w:val="0"/>
        <w:jc w:val="center"/>
        <w:rPr>
          <w:rFonts w:eastAsia="Batang"/>
          <w:b/>
          <w:bCs/>
          <w:color w:val="000000"/>
          <w:sz w:val="20"/>
          <w:szCs w:val="20"/>
        </w:rPr>
      </w:pPr>
      <w:r w:rsidRPr="000F3911">
        <w:rPr>
          <w:rFonts w:eastAsia="Batang"/>
          <w:b/>
          <w:bCs/>
          <w:color w:val="000000"/>
          <w:sz w:val="20"/>
          <w:szCs w:val="20"/>
        </w:rPr>
        <w:t>Table</w:t>
      </w:r>
      <w:r w:rsidR="000F3911">
        <w:rPr>
          <w:rFonts w:eastAsiaTheme="minorEastAsia" w:hint="eastAsia"/>
          <w:b/>
          <w:bCs/>
          <w:color w:val="000000"/>
          <w:sz w:val="20"/>
          <w:szCs w:val="20"/>
          <w:lang w:eastAsia="zh-CN"/>
        </w:rPr>
        <w:t xml:space="preserve"> </w:t>
      </w:r>
      <w:r w:rsidRPr="000F3911">
        <w:rPr>
          <w:rFonts w:eastAsia="Batang"/>
          <w:b/>
          <w:bCs/>
          <w:color w:val="000000"/>
          <w:sz w:val="20"/>
          <w:szCs w:val="20"/>
        </w:rPr>
        <w:t>1: Gender distribution in our study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221"/>
        <w:gridCol w:w="984"/>
        <w:gridCol w:w="1879"/>
        <w:gridCol w:w="1411"/>
      </w:tblGrid>
      <w:tr w:rsidR="00B503E8" w:rsidRPr="000F3911" w:rsidTr="006244D6">
        <w:trPr>
          <w:jc w:val="center"/>
        </w:trPr>
        <w:tc>
          <w:tcPr>
            <w:tcW w:w="1340" w:type="pct"/>
            <w:gridSpan w:val="2"/>
            <w:shd w:val="clear" w:color="auto" w:fill="DBE5F1"/>
            <w:vAlign w:val="center"/>
          </w:tcPr>
          <w:p w:rsidR="00B503E8" w:rsidRPr="000F3911" w:rsidRDefault="00B503E8" w:rsidP="007A1E52">
            <w:pPr>
              <w:autoSpaceDE w:val="0"/>
              <w:autoSpaceDN w:val="0"/>
              <w:bidi w:val="0"/>
              <w:adjustRightInd w:val="0"/>
              <w:snapToGrid w:val="0"/>
              <w:jc w:val="both"/>
              <w:rPr>
                <w:rFonts w:eastAsia="Batang"/>
                <w:sz w:val="20"/>
                <w:szCs w:val="20"/>
              </w:rPr>
            </w:pPr>
          </w:p>
        </w:tc>
        <w:tc>
          <w:tcPr>
            <w:tcW w:w="2090"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Frequency</w:t>
            </w:r>
          </w:p>
        </w:tc>
        <w:tc>
          <w:tcPr>
            <w:tcW w:w="1570"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Percent</w:t>
            </w:r>
          </w:p>
        </w:tc>
      </w:tr>
      <w:tr w:rsidR="00B503E8" w:rsidRPr="000F3911" w:rsidTr="006244D6">
        <w:trPr>
          <w:jc w:val="center"/>
        </w:trPr>
        <w:tc>
          <w:tcPr>
            <w:tcW w:w="245" w:type="pct"/>
            <w:vMerge w:val="restar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095"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M</w:t>
            </w:r>
          </w:p>
        </w:tc>
        <w:tc>
          <w:tcPr>
            <w:tcW w:w="209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12</w:t>
            </w:r>
          </w:p>
        </w:tc>
        <w:tc>
          <w:tcPr>
            <w:tcW w:w="157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60.0</w:t>
            </w:r>
          </w:p>
        </w:tc>
      </w:tr>
      <w:tr w:rsidR="00B503E8" w:rsidRPr="000F3911" w:rsidTr="006244D6">
        <w:trPr>
          <w:jc w:val="center"/>
        </w:trPr>
        <w:tc>
          <w:tcPr>
            <w:tcW w:w="245"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095"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F</w:t>
            </w:r>
          </w:p>
        </w:tc>
        <w:tc>
          <w:tcPr>
            <w:tcW w:w="209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8</w:t>
            </w:r>
          </w:p>
        </w:tc>
        <w:tc>
          <w:tcPr>
            <w:tcW w:w="157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40.0</w:t>
            </w:r>
          </w:p>
        </w:tc>
      </w:tr>
      <w:tr w:rsidR="00B503E8" w:rsidRPr="000F3911" w:rsidTr="006244D6">
        <w:trPr>
          <w:jc w:val="center"/>
        </w:trPr>
        <w:tc>
          <w:tcPr>
            <w:tcW w:w="245"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095"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Total</w:t>
            </w:r>
          </w:p>
        </w:tc>
        <w:tc>
          <w:tcPr>
            <w:tcW w:w="209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20</w:t>
            </w:r>
          </w:p>
        </w:tc>
        <w:tc>
          <w:tcPr>
            <w:tcW w:w="157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100.0</w:t>
            </w:r>
          </w:p>
        </w:tc>
      </w:tr>
    </w:tbl>
    <w:p w:rsidR="00B503E8" w:rsidRPr="000F3911" w:rsidRDefault="00B503E8" w:rsidP="007A1E52">
      <w:pPr>
        <w:autoSpaceDE w:val="0"/>
        <w:autoSpaceDN w:val="0"/>
        <w:bidi w:val="0"/>
        <w:adjustRightInd w:val="0"/>
        <w:snapToGrid w:val="0"/>
        <w:ind w:firstLine="425"/>
        <w:jc w:val="both"/>
        <w:rPr>
          <w:sz w:val="20"/>
          <w:szCs w:val="20"/>
        </w:rPr>
      </w:pPr>
    </w:p>
    <w:p w:rsidR="00B503E8" w:rsidRPr="000F3911" w:rsidRDefault="00B503E8" w:rsidP="007A1E52">
      <w:pPr>
        <w:autoSpaceDE w:val="0"/>
        <w:autoSpaceDN w:val="0"/>
        <w:bidi w:val="0"/>
        <w:adjustRightInd w:val="0"/>
        <w:snapToGrid w:val="0"/>
        <w:jc w:val="center"/>
        <w:rPr>
          <w:sz w:val="20"/>
          <w:szCs w:val="20"/>
        </w:rPr>
      </w:pPr>
      <w:r w:rsidRPr="000F3911">
        <w:rPr>
          <w:noProof/>
          <w:sz w:val="20"/>
          <w:szCs w:val="20"/>
          <w:lang w:eastAsia="zh-CN"/>
        </w:rPr>
        <w:drawing>
          <wp:inline distT="0" distB="0" distL="0" distR="0">
            <wp:extent cx="2812176" cy="1725433"/>
            <wp:effectExtent l="19050" t="0" r="722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6260" r="4157"/>
                    <a:stretch>
                      <a:fillRect/>
                    </a:stretch>
                  </pic:blipFill>
                  <pic:spPr bwMode="auto">
                    <a:xfrm>
                      <a:off x="0" y="0"/>
                      <a:ext cx="2816751" cy="1728240"/>
                    </a:xfrm>
                    <a:prstGeom prst="rect">
                      <a:avLst/>
                    </a:prstGeom>
                    <a:noFill/>
                    <a:ln w="9525">
                      <a:noFill/>
                      <a:miter lim="800000"/>
                      <a:headEnd/>
                      <a:tailEnd/>
                    </a:ln>
                  </pic:spPr>
                </pic:pic>
              </a:graphicData>
            </a:graphic>
          </wp:inline>
        </w:drawing>
      </w:r>
    </w:p>
    <w:p w:rsidR="00B503E8" w:rsidRPr="000F3911" w:rsidRDefault="003842D3" w:rsidP="007A1E52">
      <w:pPr>
        <w:pStyle w:val="figuresstyle"/>
        <w:snapToGrid w:val="0"/>
        <w:spacing w:after="0"/>
        <w:jc w:val="center"/>
      </w:pPr>
      <w:r w:rsidRPr="000F3911">
        <w:t>Figure 2</w:t>
      </w:r>
      <w:r w:rsidR="00B503E8" w:rsidRPr="000F3911">
        <w:t>: Pie chart of gender</w:t>
      </w:r>
    </w:p>
    <w:p w:rsidR="00B503E8" w:rsidRPr="000F3911" w:rsidRDefault="00B503E8" w:rsidP="007A1E52">
      <w:pPr>
        <w:pStyle w:val="figuresstyle"/>
        <w:snapToGrid w:val="0"/>
        <w:spacing w:after="0"/>
        <w:rPr>
          <w:noProof/>
        </w:rPr>
      </w:pP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The clinical presentations of study’s candidates were variable. The frequency and percentages of all presentations are illustrated in table 5 and figure 30. Quadriparesis and spasticity were frequent among study candidates. </w:t>
      </w:r>
    </w:p>
    <w:p w:rsidR="003842D3" w:rsidRDefault="003842D3" w:rsidP="007A1E52">
      <w:pPr>
        <w:autoSpaceDE w:val="0"/>
        <w:autoSpaceDN w:val="0"/>
        <w:bidi w:val="0"/>
        <w:adjustRightInd w:val="0"/>
        <w:snapToGrid w:val="0"/>
        <w:jc w:val="center"/>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0F3911" w:rsidRP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3842D3" w:rsidRPr="000F3911" w:rsidRDefault="003842D3" w:rsidP="007A1E52">
      <w:pPr>
        <w:autoSpaceDE w:val="0"/>
        <w:autoSpaceDN w:val="0"/>
        <w:bidi w:val="0"/>
        <w:adjustRightInd w:val="0"/>
        <w:snapToGrid w:val="0"/>
        <w:jc w:val="center"/>
        <w:rPr>
          <w:color w:val="000000"/>
          <w:sz w:val="20"/>
          <w:szCs w:val="20"/>
        </w:rPr>
      </w:pPr>
      <w:r w:rsidRPr="000F3911">
        <w:rPr>
          <w:rFonts w:eastAsia="Batang"/>
          <w:b/>
          <w:bCs/>
          <w:color w:val="000000"/>
          <w:sz w:val="20"/>
          <w:szCs w:val="20"/>
        </w:rPr>
        <w:lastRenderedPageBreak/>
        <w:t>Table 2: Clinical presentations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20"/>
        <w:gridCol w:w="2580"/>
        <w:gridCol w:w="1025"/>
        <w:gridCol w:w="770"/>
      </w:tblGrid>
      <w:tr w:rsidR="00B503E8" w:rsidRPr="000F3911" w:rsidTr="000F3911">
        <w:trPr>
          <w:jc w:val="center"/>
        </w:trPr>
        <w:tc>
          <w:tcPr>
            <w:tcW w:w="0" w:type="auto"/>
            <w:gridSpan w:val="2"/>
            <w:shd w:val="clear" w:color="auto" w:fill="DBE5F1"/>
            <w:vAlign w:val="center"/>
          </w:tcPr>
          <w:p w:rsidR="00B503E8" w:rsidRPr="000F3911" w:rsidRDefault="00B503E8" w:rsidP="000F3911">
            <w:pPr>
              <w:autoSpaceDE w:val="0"/>
              <w:autoSpaceDN w:val="0"/>
              <w:bidi w:val="0"/>
              <w:adjustRightInd w:val="0"/>
              <w:snapToGrid w:val="0"/>
              <w:rPr>
                <w:rFonts w:eastAsia="Batang"/>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b/>
                <w:bCs/>
                <w:color w:val="000000"/>
                <w:sz w:val="20"/>
                <w:szCs w:val="20"/>
              </w:rPr>
            </w:pPr>
            <w:r w:rsidRPr="000F3911">
              <w:rPr>
                <w:rFonts w:eastAsia="Batang"/>
                <w:b/>
                <w:bCs/>
                <w:color w:val="000000"/>
                <w:sz w:val="20"/>
                <w:szCs w:val="20"/>
              </w:rPr>
              <w:t>Frequency</w:t>
            </w: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b/>
                <w:bCs/>
                <w:color w:val="000000"/>
                <w:sz w:val="20"/>
                <w:szCs w:val="20"/>
              </w:rPr>
            </w:pPr>
            <w:r w:rsidRPr="000F3911">
              <w:rPr>
                <w:rFonts w:eastAsia="Batang"/>
                <w:b/>
                <w:bCs/>
                <w:color w:val="000000"/>
                <w:sz w:val="20"/>
                <w:szCs w:val="20"/>
              </w:rPr>
              <w:t>Percent</w:t>
            </w:r>
          </w:p>
        </w:tc>
      </w:tr>
      <w:tr w:rsidR="00B503E8" w:rsidRPr="000F3911" w:rsidTr="000F3911">
        <w:trPr>
          <w:jc w:val="center"/>
        </w:trPr>
        <w:tc>
          <w:tcPr>
            <w:tcW w:w="0" w:type="auto"/>
            <w:vMerge w:val="restar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Theme="minorEastAsia" w:hint="eastAsia"/>
                <w:color w:val="000000"/>
                <w:sz w:val="20"/>
                <w:szCs w:val="20"/>
                <w:lang w:eastAsia="zh-CN"/>
              </w:rPr>
            </w:pPr>
            <w:r w:rsidRPr="000F3911">
              <w:rPr>
                <w:rFonts w:eastAsia="Batang"/>
                <w:color w:val="000000"/>
                <w:sz w:val="20"/>
                <w:szCs w:val="20"/>
              </w:rPr>
              <w:t>Motor dysfunction:</w:t>
            </w:r>
            <w:r w:rsidR="000F3911">
              <w:rPr>
                <w:rFonts w:eastAsiaTheme="minorEastAsia" w:hint="eastAsia"/>
                <w:color w:val="000000"/>
                <w:sz w:val="20"/>
                <w:szCs w:val="20"/>
                <w:lang w:eastAsia="zh-CN"/>
              </w:rPr>
              <w:t xml:space="preserve"> </w:t>
            </w:r>
            <w:r w:rsidRPr="000F3911">
              <w:rPr>
                <w:rFonts w:eastAsia="Batang"/>
                <w:color w:val="000000"/>
                <w:sz w:val="20"/>
                <w:szCs w:val="20"/>
              </w:rPr>
              <w:t>Quadriparesis</w:t>
            </w:r>
          </w:p>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 Bladder dysfunction.</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6</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30.0</w:t>
            </w:r>
          </w:p>
        </w:tc>
      </w:tr>
      <w:tr w:rsidR="00B503E8" w:rsidRPr="000F3911" w:rsidTr="000F3911">
        <w:trPr>
          <w:jc w:val="center"/>
        </w:trPr>
        <w:tc>
          <w:tcPr>
            <w:tcW w:w="0" w:type="auto"/>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Motor dysfunction:</w:t>
            </w:r>
            <w:r w:rsidR="000F3911">
              <w:rPr>
                <w:rFonts w:eastAsiaTheme="minorEastAsia" w:hint="eastAsia"/>
                <w:color w:val="000000"/>
                <w:sz w:val="20"/>
                <w:szCs w:val="20"/>
                <w:lang w:eastAsia="zh-CN"/>
              </w:rPr>
              <w:t xml:space="preserve"> </w:t>
            </w:r>
            <w:r w:rsidRPr="000F3911">
              <w:rPr>
                <w:rFonts w:eastAsia="Batang"/>
                <w:color w:val="000000"/>
                <w:sz w:val="20"/>
                <w:szCs w:val="20"/>
              </w:rPr>
              <w:t>Spasticity</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6</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30.0</w:t>
            </w:r>
          </w:p>
        </w:tc>
      </w:tr>
      <w:tr w:rsidR="00B503E8" w:rsidRPr="000F3911" w:rsidTr="000F3911">
        <w:trPr>
          <w:jc w:val="center"/>
        </w:trPr>
        <w:tc>
          <w:tcPr>
            <w:tcW w:w="0" w:type="auto"/>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Dysthesia</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4</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20.0</w:t>
            </w:r>
          </w:p>
        </w:tc>
      </w:tr>
      <w:tr w:rsidR="00B503E8" w:rsidRPr="000F3911" w:rsidTr="000F3911">
        <w:trPr>
          <w:jc w:val="center"/>
        </w:trPr>
        <w:tc>
          <w:tcPr>
            <w:tcW w:w="0" w:type="auto"/>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Brachialgia Bilateral</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2</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10.0</w:t>
            </w:r>
          </w:p>
        </w:tc>
      </w:tr>
      <w:tr w:rsidR="00B503E8" w:rsidRPr="000F3911" w:rsidTr="000F3911">
        <w:trPr>
          <w:jc w:val="center"/>
        </w:trPr>
        <w:tc>
          <w:tcPr>
            <w:tcW w:w="0" w:type="auto"/>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Brachialgia unilateral</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2</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10.0</w:t>
            </w:r>
          </w:p>
        </w:tc>
      </w:tr>
      <w:tr w:rsidR="00B503E8" w:rsidRPr="000F3911" w:rsidTr="000F3911">
        <w:trPr>
          <w:jc w:val="center"/>
        </w:trPr>
        <w:tc>
          <w:tcPr>
            <w:tcW w:w="0" w:type="auto"/>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0" w:type="auto"/>
            <w:shd w:val="clear" w:color="auto" w:fill="DBE5F1"/>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Total</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20</w:t>
            </w:r>
          </w:p>
        </w:tc>
        <w:tc>
          <w:tcPr>
            <w:tcW w:w="0" w:type="auto"/>
            <w:vAlign w:val="center"/>
          </w:tcPr>
          <w:p w:rsidR="00B503E8" w:rsidRPr="000F3911" w:rsidRDefault="00B503E8" w:rsidP="000F3911">
            <w:pPr>
              <w:autoSpaceDE w:val="0"/>
              <w:autoSpaceDN w:val="0"/>
              <w:bidi w:val="0"/>
              <w:adjustRightInd w:val="0"/>
              <w:snapToGrid w:val="0"/>
              <w:rPr>
                <w:rFonts w:eastAsia="Batang"/>
                <w:color w:val="000000"/>
                <w:sz w:val="20"/>
                <w:szCs w:val="20"/>
              </w:rPr>
            </w:pPr>
            <w:r w:rsidRPr="000F3911">
              <w:rPr>
                <w:rFonts w:eastAsia="Batang"/>
                <w:color w:val="000000"/>
                <w:sz w:val="20"/>
                <w:szCs w:val="20"/>
              </w:rPr>
              <w:t>100.0</w:t>
            </w:r>
          </w:p>
        </w:tc>
      </w:tr>
    </w:tbl>
    <w:p w:rsidR="00B503E8" w:rsidRPr="000F3911" w:rsidRDefault="00B503E8" w:rsidP="007A1E52">
      <w:pPr>
        <w:autoSpaceDE w:val="0"/>
        <w:autoSpaceDN w:val="0"/>
        <w:bidi w:val="0"/>
        <w:adjustRightInd w:val="0"/>
        <w:snapToGrid w:val="0"/>
        <w:ind w:firstLine="425"/>
        <w:jc w:val="both"/>
        <w:rPr>
          <w:color w:val="000000"/>
          <w:sz w:val="20"/>
          <w:szCs w:val="20"/>
        </w:rPr>
      </w:pPr>
    </w:p>
    <w:p w:rsidR="007B7339" w:rsidRPr="000F3911" w:rsidRDefault="007B7339" w:rsidP="007A1E52">
      <w:pPr>
        <w:autoSpaceDE w:val="0"/>
        <w:autoSpaceDN w:val="0"/>
        <w:bidi w:val="0"/>
        <w:adjustRightInd w:val="0"/>
        <w:snapToGrid w:val="0"/>
        <w:jc w:val="center"/>
        <w:rPr>
          <w:sz w:val="20"/>
          <w:szCs w:val="20"/>
        </w:rPr>
      </w:pPr>
      <w:r w:rsidRPr="000F3911">
        <w:rPr>
          <w:noProof/>
          <w:color w:val="000000"/>
          <w:sz w:val="20"/>
          <w:szCs w:val="20"/>
          <w:lang w:eastAsia="zh-CN"/>
        </w:rPr>
        <w:drawing>
          <wp:inline distT="0" distB="0" distL="0" distR="0">
            <wp:extent cx="2373928" cy="1510748"/>
            <wp:effectExtent l="19050" t="0" r="7322"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377075" cy="1512751"/>
                    </a:xfrm>
                    <a:prstGeom prst="rect">
                      <a:avLst/>
                    </a:prstGeom>
                    <a:noFill/>
                    <a:ln w="9525">
                      <a:noFill/>
                      <a:miter lim="800000"/>
                      <a:headEnd/>
                      <a:tailEnd/>
                    </a:ln>
                  </pic:spPr>
                </pic:pic>
              </a:graphicData>
            </a:graphic>
          </wp:inline>
        </w:drawing>
      </w:r>
    </w:p>
    <w:p w:rsidR="007B7339" w:rsidRPr="000F3911" w:rsidRDefault="007B7339" w:rsidP="007A1E52">
      <w:pPr>
        <w:autoSpaceDE w:val="0"/>
        <w:autoSpaceDN w:val="0"/>
        <w:bidi w:val="0"/>
        <w:adjustRightInd w:val="0"/>
        <w:snapToGrid w:val="0"/>
        <w:ind w:firstLine="425"/>
        <w:jc w:val="both"/>
        <w:rPr>
          <w:color w:val="000000"/>
          <w:sz w:val="20"/>
          <w:szCs w:val="20"/>
        </w:rPr>
      </w:pPr>
      <w:r w:rsidRPr="000F3911">
        <w:rPr>
          <w:b/>
          <w:bCs/>
          <w:sz w:val="20"/>
          <w:szCs w:val="20"/>
        </w:rPr>
        <w:t>Figure</w:t>
      </w:r>
      <w:r w:rsidR="003842D3" w:rsidRPr="000F3911">
        <w:rPr>
          <w:b/>
          <w:bCs/>
          <w:sz w:val="20"/>
          <w:szCs w:val="20"/>
        </w:rPr>
        <w:t>3</w:t>
      </w:r>
      <w:r w:rsidRPr="000F3911">
        <w:rPr>
          <w:b/>
          <w:bCs/>
          <w:sz w:val="20"/>
          <w:szCs w:val="20"/>
        </w:rPr>
        <w:t>:</w:t>
      </w:r>
      <w:r w:rsidRPr="000F3911">
        <w:rPr>
          <w:sz w:val="20"/>
          <w:szCs w:val="20"/>
        </w:rPr>
        <w:t xml:space="preserve"> Pie chart of chief complains</w:t>
      </w:r>
    </w:p>
    <w:p w:rsidR="007B7339" w:rsidRPr="000F3911" w:rsidRDefault="007B7339" w:rsidP="007A1E52">
      <w:pPr>
        <w:autoSpaceDE w:val="0"/>
        <w:autoSpaceDN w:val="0"/>
        <w:bidi w:val="0"/>
        <w:adjustRightInd w:val="0"/>
        <w:snapToGrid w:val="0"/>
        <w:ind w:firstLine="425"/>
        <w:jc w:val="both"/>
        <w:rPr>
          <w:color w:val="000000"/>
          <w:sz w:val="20"/>
          <w:szCs w:val="20"/>
        </w:rPr>
      </w:pP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The duration of symptomatology in our study case was ranging from 1-7 months. The mean and standard deviation was 3.7 months±1.3. </w:t>
      </w:r>
    </w:p>
    <w:p w:rsidR="003842D3" w:rsidRPr="000F3911" w:rsidRDefault="003842D3" w:rsidP="007A1E52">
      <w:pPr>
        <w:autoSpaceDE w:val="0"/>
        <w:autoSpaceDN w:val="0"/>
        <w:bidi w:val="0"/>
        <w:adjustRightInd w:val="0"/>
        <w:snapToGrid w:val="0"/>
        <w:jc w:val="both"/>
        <w:rPr>
          <w:rFonts w:eastAsiaTheme="minorHAnsi"/>
          <w:b/>
          <w:bCs/>
          <w:color w:val="000000"/>
          <w:sz w:val="20"/>
          <w:szCs w:val="20"/>
        </w:rPr>
      </w:pPr>
    </w:p>
    <w:p w:rsidR="003842D3" w:rsidRPr="000F3911" w:rsidRDefault="003842D3" w:rsidP="007A1E52">
      <w:pPr>
        <w:autoSpaceDE w:val="0"/>
        <w:autoSpaceDN w:val="0"/>
        <w:bidi w:val="0"/>
        <w:adjustRightInd w:val="0"/>
        <w:snapToGrid w:val="0"/>
        <w:jc w:val="center"/>
        <w:rPr>
          <w:rFonts w:eastAsiaTheme="minorHAnsi"/>
          <w:b/>
          <w:bCs/>
          <w:color w:val="000000"/>
          <w:sz w:val="20"/>
          <w:szCs w:val="20"/>
        </w:rPr>
      </w:pPr>
      <w:r w:rsidRPr="000F3911">
        <w:rPr>
          <w:noProof/>
          <w:sz w:val="20"/>
          <w:szCs w:val="20"/>
          <w:lang w:eastAsia="zh-CN"/>
        </w:rPr>
        <w:drawing>
          <wp:inline distT="0" distB="0" distL="0" distR="0">
            <wp:extent cx="2373531" cy="1810823"/>
            <wp:effectExtent l="19050" t="0" r="771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380184" cy="1815899"/>
                    </a:xfrm>
                    <a:prstGeom prst="rect">
                      <a:avLst/>
                    </a:prstGeom>
                  </pic:spPr>
                </pic:pic>
              </a:graphicData>
            </a:graphic>
          </wp:inline>
        </w:drawing>
      </w:r>
    </w:p>
    <w:p w:rsidR="00B503E8" w:rsidRPr="000F3911" w:rsidRDefault="003842D3" w:rsidP="007A1E52">
      <w:pPr>
        <w:autoSpaceDE w:val="0"/>
        <w:autoSpaceDN w:val="0"/>
        <w:bidi w:val="0"/>
        <w:adjustRightInd w:val="0"/>
        <w:snapToGrid w:val="0"/>
        <w:jc w:val="center"/>
        <w:rPr>
          <w:rFonts w:eastAsiaTheme="minorHAnsi"/>
          <w:b/>
          <w:bCs/>
          <w:color w:val="000000"/>
          <w:sz w:val="20"/>
          <w:szCs w:val="20"/>
        </w:rPr>
      </w:pPr>
      <w:r w:rsidRPr="000F3911">
        <w:rPr>
          <w:rFonts w:eastAsiaTheme="minorHAnsi"/>
          <w:b/>
          <w:bCs/>
          <w:color w:val="000000"/>
          <w:sz w:val="20"/>
          <w:szCs w:val="20"/>
        </w:rPr>
        <w:t>Figure 4: Box-plot of duration</w:t>
      </w:r>
    </w:p>
    <w:p w:rsidR="006244D6" w:rsidRPr="000F3911" w:rsidRDefault="006244D6" w:rsidP="007A1E52">
      <w:pPr>
        <w:autoSpaceDE w:val="0"/>
        <w:autoSpaceDN w:val="0"/>
        <w:bidi w:val="0"/>
        <w:adjustRightInd w:val="0"/>
        <w:snapToGrid w:val="0"/>
        <w:ind w:firstLine="425"/>
        <w:jc w:val="both"/>
        <w:rPr>
          <w:color w:val="000000"/>
          <w:sz w:val="20"/>
          <w:szCs w:val="20"/>
        </w:rPr>
      </w:pPr>
    </w:p>
    <w:p w:rsidR="00B503E8" w:rsidRPr="000F3911" w:rsidRDefault="00F90A8B" w:rsidP="007A1E52">
      <w:pPr>
        <w:autoSpaceDE w:val="0"/>
        <w:autoSpaceDN w:val="0"/>
        <w:bidi w:val="0"/>
        <w:adjustRightInd w:val="0"/>
        <w:snapToGrid w:val="0"/>
        <w:jc w:val="center"/>
        <w:rPr>
          <w:color w:val="000000"/>
          <w:sz w:val="20"/>
          <w:szCs w:val="20"/>
        </w:rPr>
      </w:pPr>
      <w:r w:rsidRPr="000F3911">
        <w:rPr>
          <w:rFonts w:eastAsia="Batang"/>
          <w:b/>
          <w:bCs/>
          <w:color w:val="000000"/>
          <w:sz w:val="20"/>
          <w:szCs w:val="20"/>
        </w:rPr>
        <w:t>Table 3</w:t>
      </w:r>
      <w:r w:rsidR="003842D3" w:rsidRPr="000F3911">
        <w:rPr>
          <w:rFonts w:eastAsia="Batang"/>
          <w:b/>
          <w:bCs/>
          <w:color w:val="000000"/>
          <w:sz w:val="20"/>
          <w:szCs w:val="20"/>
        </w:rPr>
        <w:t>: Frequency of segments affected.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E0"/>
      </w:tblPr>
      <w:tblGrid>
        <w:gridCol w:w="211"/>
        <w:gridCol w:w="1136"/>
        <w:gridCol w:w="1798"/>
        <w:gridCol w:w="1350"/>
      </w:tblGrid>
      <w:tr w:rsidR="00B503E8" w:rsidRPr="000F3911" w:rsidTr="006244D6">
        <w:trPr>
          <w:jc w:val="center"/>
        </w:trPr>
        <w:tc>
          <w:tcPr>
            <w:tcW w:w="1498" w:type="pct"/>
            <w:gridSpan w:val="2"/>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c>
          <w:tcPr>
            <w:tcW w:w="2000"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Frequency</w:t>
            </w:r>
          </w:p>
        </w:tc>
        <w:tc>
          <w:tcPr>
            <w:tcW w:w="150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Percent</w:t>
            </w:r>
          </w:p>
        </w:tc>
      </w:tr>
      <w:tr w:rsidR="00B503E8" w:rsidRPr="000F3911" w:rsidTr="006244D6">
        <w:trPr>
          <w:jc w:val="center"/>
        </w:trPr>
        <w:tc>
          <w:tcPr>
            <w:tcW w:w="234" w:type="pct"/>
            <w:vMerge w:val="restar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C2-C4</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C3-C5</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5</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C3-C6</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C3-C7</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C4-C6</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C4-C7</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5</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C5-C7</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3</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C5-T1</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5.0</w:t>
            </w:r>
          </w:p>
        </w:tc>
      </w:tr>
      <w:tr w:rsidR="00B503E8" w:rsidRPr="000F3911" w:rsidTr="006244D6">
        <w:trPr>
          <w:jc w:val="center"/>
        </w:trPr>
        <w:tc>
          <w:tcPr>
            <w:tcW w:w="234"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26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Total</w:t>
            </w:r>
          </w:p>
        </w:tc>
        <w:tc>
          <w:tcPr>
            <w:tcW w:w="200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20</w:t>
            </w:r>
          </w:p>
        </w:tc>
        <w:tc>
          <w:tcPr>
            <w:tcW w:w="150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100.0</w:t>
            </w:r>
          </w:p>
        </w:tc>
      </w:tr>
    </w:tbl>
    <w:p w:rsidR="00B503E8" w:rsidRPr="000F3911" w:rsidRDefault="00B503E8" w:rsidP="007A1E52">
      <w:pPr>
        <w:autoSpaceDE w:val="0"/>
        <w:autoSpaceDN w:val="0"/>
        <w:bidi w:val="0"/>
        <w:adjustRightInd w:val="0"/>
        <w:snapToGrid w:val="0"/>
        <w:ind w:firstLine="425"/>
        <w:jc w:val="both"/>
        <w:rPr>
          <w:sz w:val="20"/>
          <w:szCs w:val="20"/>
        </w:rPr>
      </w:pPr>
    </w:p>
    <w:p w:rsidR="003842D3" w:rsidRPr="000F3911" w:rsidRDefault="003842D3" w:rsidP="007A1E52">
      <w:pPr>
        <w:autoSpaceDE w:val="0"/>
        <w:autoSpaceDN w:val="0"/>
        <w:bidi w:val="0"/>
        <w:adjustRightInd w:val="0"/>
        <w:snapToGrid w:val="0"/>
        <w:jc w:val="center"/>
        <w:rPr>
          <w:sz w:val="20"/>
          <w:szCs w:val="20"/>
        </w:rPr>
      </w:pPr>
      <w:r w:rsidRPr="000F3911">
        <w:rPr>
          <w:noProof/>
          <w:sz w:val="20"/>
          <w:szCs w:val="20"/>
          <w:lang w:eastAsia="zh-CN"/>
        </w:rPr>
        <w:lastRenderedPageBreak/>
        <w:drawing>
          <wp:inline distT="0" distB="0" distL="0" distR="0">
            <wp:extent cx="2676442" cy="192049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699761" cy="1937231"/>
                    </a:xfrm>
                    <a:prstGeom prst="rect">
                      <a:avLst/>
                    </a:prstGeom>
                  </pic:spPr>
                </pic:pic>
              </a:graphicData>
            </a:graphic>
          </wp:inline>
        </w:drawing>
      </w:r>
    </w:p>
    <w:p w:rsidR="003842D3" w:rsidRPr="000F3911" w:rsidRDefault="003842D3" w:rsidP="007A1E52">
      <w:pPr>
        <w:autoSpaceDE w:val="0"/>
        <w:autoSpaceDN w:val="0"/>
        <w:bidi w:val="0"/>
        <w:adjustRightInd w:val="0"/>
        <w:snapToGrid w:val="0"/>
        <w:jc w:val="center"/>
        <w:rPr>
          <w:sz w:val="20"/>
          <w:szCs w:val="20"/>
        </w:rPr>
      </w:pPr>
      <w:r w:rsidRPr="000F3911">
        <w:rPr>
          <w:rFonts w:eastAsiaTheme="minorHAnsi"/>
          <w:b/>
          <w:bCs/>
          <w:color w:val="000000"/>
          <w:sz w:val="20"/>
          <w:szCs w:val="20"/>
        </w:rPr>
        <w:t>Figure 5: Pie chart of segments affected</w:t>
      </w:r>
    </w:p>
    <w:p w:rsidR="007B7339" w:rsidRPr="000F3911" w:rsidRDefault="003842D3" w:rsidP="007A1E52">
      <w:pPr>
        <w:autoSpaceDE w:val="0"/>
        <w:autoSpaceDN w:val="0"/>
        <w:bidi w:val="0"/>
        <w:adjustRightInd w:val="0"/>
        <w:snapToGrid w:val="0"/>
        <w:jc w:val="center"/>
        <w:rPr>
          <w:sz w:val="20"/>
          <w:szCs w:val="20"/>
        </w:rPr>
      </w:pPr>
      <w:r w:rsidRPr="000F3911">
        <w:rPr>
          <w:noProof/>
          <w:sz w:val="20"/>
          <w:szCs w:val="20"/>
          <w:lang w:eastAsia="zh-CN"/>
        </w:rPr>
        <w:drawing>
          <wp:inline distT="0" distB="0" distL="0" distR="0">
            <wp:extent cx="2590678" cy="2250219"/>
            <wp:effectExtent l="19050" t="0" r="12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593559" cy="2252721"/>
                    </a:xfrm>
                    <a:prstGeom prst="rect">
                      <a:avLst/>
                    </a:prstGeom>
                  </pic:spPr>
                </pic:pic>
              </a:graphicData>
            </a:graphic>
          </wp:inline>
        </w:drawing>
      </w:r>
    </w:p>
    <w:p w:rsidR="003842D3" w:rsidRPr="000F3911" w:rsidRDefault="003842D3" w:rsidP="007A1E52">
      <w:pPr>
        <w:autoSpaceDE w:val="0"/>
        <w:autoSpaceDN w:val="0"/>
        <w:bidi w:val="0"/>
        <w:adjustRightInd w:val="0"/>
        <w:snapToGrid w:val="0"/>
        <w:jc w:val="center"/>
        <w:rPr>
          <w:rFonts w:eastAsiaTheme="minorHAnsi"/>
          <w:b/>
          <w:bCs/>
          <w:color w:val="000000"/>
          <w:sz w:val="20"/>
          <w:szCs w:val="20"/>
        </w:rPr>
      </w:pPr>
      <w:r w:rsidRPr="000F3911">
        <w:rPr>
          <w:rFonts w:eastAsiaTheme="minorHAnsi"/>
          <w:b/>
          <w:bCs/>
          <w:color w:val="000000"/>
          <w:sz w:val="20"/>
          <w:szCs w:val="20"/>
        </w:rPr>
        <w:t>Figure 6: Bar chart of operative hours.</w:t>
      </w:r>
    </w:p>
    <w:p w:rsidR="00CB3DAA" w:rsidRPr="000F3911" w:rsidRDefault="00CB3DAA" w:rsidP="007A1E52">
      <w:pPr>
        <w:autoSpaceDE w:val="0"/>
        <w:autoSpaceDN w:val="0"/>
        <w:bidi w:val="0"/>
        <w:adjustRightInd w:val="0"/>
        <w:snapToGrid w:val="0"/>
        <w:ind w:firstLine="425"/>
        <w:jc w:val="both"/>
        <w:rPr>
          <w:sz w:val="20"/>
          <w:szCs w:val="20"/>
        </w:rPr>
      </w:pPr>
    </w:p>
    <w:p w:rsidR="00B503E8" w:rsidRPr="000F3911" w:rsidRDefault="003842D3" w:rsidP="007A1E52">
      <w:pPr>
        <w:autoSpaceDE w:val="0"/>
        <w:autoSpaceDN w:val="0"/>
        <w:bidi w:val="0"/>
        <w:adjustRightInd w:val="0"/>
        <w:snapToGrid w:val="0"/>
        <w:jc w:val="center"/>
        <w:rPr>
          <w:sz w:val="20"/>
          <w:szCs w:val="20"/>
        </w:rPr>
      </w:pPr>
      <w:r w:rsidRPr="000F3911">
        <w:rPr>
          <w:noProof/>
          <w:sz w:val="20"/>
          <w:szCs w:val="20"/>
          <w:lang w:eastAsia="zh-CN"/>
        </w:rPr>
        <w:drawing>
          <wp:inline distT="0" distB="0" distL="0" distR="0">
            <wp:extent cx="2461757" cy="222569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468881" cy="2232138"/>
                    </a:xfrm>
                    <a:prstGeom prst="rect">
                      <a:avLst/>
                    </a:prstGeom>
                  </pic:spPr>
                </pic:pic>
              </a:graphicData>
            </a:graphic>
          </wp:inline>
        </w:drawing>
      </w:r>
    </w:p>
    <w:p w:rsidR="006244D6" w:rsidRPr="000F3911" w:rsidRDefault="003842D3" w:rsidP="007A1E52">
      <w:pPr>
        <w:autoSpaceDE w:val="0"/>
        <w:autoSpaceDN w:val="0"/>
        <w:bidi w:val="0"/>
        <w:adjustRightInd w:val="0"/>
        <w:snapToGrid w:val="0"/>
        <w:jc w:val="center"/>
        <w:rPr>
          <w:rFonts w:eastAsiaTheme="minorEastAsia"/>
          <w:b/>
          <w:bCs/>
          <w:color w:val="000000"/>
          <w:sz w:val="20"/>
          <w:szCs w:val="20"/>
          <w:lang w:eastAsia="zh-CN"/>
        </w:rPr>
      </w:pPr>
      <w:r w:rsidRPr="000F3911">
        <w:rPr>
          <w:rFonts w:eastAsiaTheme="minorHAnsi"/>
          <w:b/>
          <w:bCs/>
          <w:color w:val="000000"/>
          <w:sz w:val="20"/>
          <w:szCs w:val="20"/>
        </w:rPr>
        <w:t>Figure 7: Bar chart of hospital stay</w:t>
      </w:r>
    </w:p>
    <w:p w:rsidR="007A1E52" w:rsidRPr="000F3911" w:rsidRDefault="007A1E52" w:rsidP="007A1E52">
      <w:pPr>
        <w:autoSpaceDE w:val="0"/>
        <w:autoSpaceDN w:val="0"/>
        <w:bidi w:val="0"/>
        <w:adjustRightInd w:val="0"/>
        <w:snapToGrid w:val="0"/>
        <w:jc w:val="center"/>
        <w:rPr>
          <w:rFonts w:eastAsiaTheme="minorEastAsia"/>
          <w:sz w:val="20"/>
          <w:szCs w:val="20"/>
          <w:lang w:eastAsia="zh-CN"/>
        </w:rPr>
      </w:pPr>
    </w:p>
    <w:p w:rsidR="00CB3DAA" w:rsidRPr="000F3911" w:rsidRDefault="00CB3DAA" w:rsidP="007A1E52">
      <w:pPr>
        <w:autoSpaceDE w:val="0"/>
        <w:autoSpaceDN w:val="0"/>
        <w:bidi w:val="0"/>
        <w:adjustRightInd w:val="0"/>
        <w:snapToGrid w:val="0"/>
        <w:jc w:val="center"/>
        <w:rPr>
          <w:sz w:val="20"/>
          <w:szCs w:val="20"/>
        </w:rPr>
      </w:pPr>
    </w:p>
    <w:p w:rsidR="00B503E8" w:rsidRPr="000F3911" w:rsidRDefault="00F90A8B" w:rsidP="007A1E52">
      <w:pPr>
        <w:autoSpaceDE w:val="0"/>
        <w:autoSpaceDN w:val="0"/>
        <w:bidi w:val="0"/>
        <w:adjustRightInd w:val="0"/>
        <w:snapToGrid w:val="0"/>
        <w:jc w:val="center"/>
        <w:rPr>
          <w:sz w:val="20"/>
          <w:szCs w:val="20"/>
        </w:rPr>
      </w:pPr>
      <w:r w:rsidRPr="000F3911">
        <w:rPr>
          <w:rFonts w:eastAsia="Batang"/>
          <w:b/>
          <w:bCs/>
          <w:color w:val="000000"/>
          <w:sz w:val="20"/>
          <w:szCs w:val="20"/>
        </w:rPr>
        <w:t>Table 4</w:t>
      </w:r>
      <w:r w:rsidR="00CB3DAA" w:rsidRPr="000F3911">
        <w:rPr>
          <w:rFonts w:eastAsia="Batang"/>
          <w:b/>
          <w:bCs/>
          <w:color w:val="000000"/>
          <w:sz w:val="20"/>
          <w:szCs w:val="20"/>
        </w:rPr>
        <w:t>: Prevalence of complications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217"/>
        <w:gridCol w:w="1031"/>
        <w:gridCol w:w="1854"/>
        <w:gridCol w:w="1393"/>
      </w:tblGrid>
      <w:tr w:rsidR="00B503E8" w:rsidRPr="000F3911" w:rsidTr="006244D6">
        <w:trPr>
          <w:jc w:val="center"/>
        </w:trPr>
        <w:tc>
          <w:tcPr>
            <w:tcW w:w="1388" w:type="pct"/>
            <w:gridSpan w:val="2"/>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06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Frequency</w:t>
            </w:r>
          </w:p>
        </w:tc>
        <w:tc>
          <w:tcPr>
            <w:tcW w:w="1549"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Percent</w:t>
            </w:r>
          </w:p>
        </w:tc>
      </w:tr>
      <w:tr w:rsidR="00B503E8" w:rsidRPr="000F3911" w:rsidTr="006244D6">
        <w:trPr>
          <w:jc w:val="center"/>
        </w:trPr>
        <w:tc>
          <w:tcPr>
            <w:tcW w:w="241" w:type="pct"/>
            <w:vMerge w:val="restar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c>
          <w:tcPr>
            <w:tcW w:w="1147"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No</w:t>
            </w:r>
          </w:p>
        </w:tc>
        <w:tc>
          <w:tcPr>
            <w:tcW w:w="206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13</w:t>
            </w:r>
          </w:p>
        </w:tc>
        <w:tc>
          <w:tcPr>
            <w:tcW w:w="1549"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65.0</w:t>
            </w:r>
          </w:p>
        </w:tc>
      </w:tr>
      <w:tr w:rsidR="00B503E8" w:rsidRPr="000F3911" w:rsidTr="006244D6">
        <w:trPr>
          <w:jc w:val="center"/>
        </w:trPr>
        <w:tc>
          <w:tcPr>
            <w:tcW w:w="241"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c>
          <w:tcPr>
            <w:tcW w:w="1147"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Yes</w:t>
            </w:r>
          </w:p>
        </w:tc>
        <w:tc>
          <w:tcPr>
            <w:tcW w:w="206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7</w:t>
            </w:r>
          </w:p>
        </w:tc>
        <w:tc>
          <w:tcPr>
            <w:tcW w:w="1549"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35.0</w:t>
            </w:r>
          </w:p>
        </w:tc>
      </w:tr>
      <w:tr w:rsidR="00B503E8" w:rsidRPr="000F3911" w:rsidTr="006244D6">
        <w:trPr>
          <w:jc w:val="center"/>
        </w:trPr>
        <w:tc>
          <w:tcPr>
            <w:tcW w:w="241" w:type="pct"/>
            <w:vMerge/>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c>
          <w:tcPr>
            <w:tcW w:w="1147"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Total</w:t>
            </w:r>
          </w:p>
        </w:tc>
        <w:tc>
          <w:tcPr>
            <w:tcW w:w="2062"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20</w:t>
            </w:r>
          </w:p>
        </w:tc>
        <w:tc>
          <w:tcPr>
            <w:tcW w:w="1549"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100.0</w:t>
            </w:r>
          </w:p>
        </w:tc>
      </w:tr>
    </w:tbl>
    <w:p w:rsidR="007A1E52" w:rsidRDefault="007A1E52" w:rsidP="007A1E52">
      <w:pPr>
        <w:pStyle w:val="figuresstyle"/>
        <w:snapToGrid w:val="0"/>
        <w:spacing w:after="0"/>
        <w:jc w:val="center"/>
        <w:rPr>
          <w:rFonts w:eastAsiaTheme="minorEastAsia" w:hint="eastAsia"/>
          <w:lang w:eastAsia="zh-CN"/>
        </w:rPr>
      </w:pPr>
    </w:p>
    <w:p w:rsidR="000F3911" w:rsidRDefault="000F3911" w:rsidP="007A1E52">
      <w:pPr>
        <w:pStyle w:val="figuresstyle"/>
        <w:snapToGrid w:val="0"/>
        <w:spacing w:after="0"/>
        <w:jc w:val="center"/>
        <w:rPr>
          <w:rFonts w:eastAsiaTheme="minorEastAsia" w:hint="eastAsia"/>
          <w:lang w:eastAsia="zh-CN"/>
        </w:rPr>
      </w:pPr>
    </w:p>
    <w:p w:rsidR="000F3911" w:rsidRDefault="000F3911" w:rsidP="007A1E52">
      <w:pPr>
        <w:pStyle w:val="figuresstyle"/>
        <w:snapToGrid w:val="0"/>
        <w:spacing w:after="0"/>
        <w:jc w:val="center"/>
        <w:rPr>
          <w:rFonts w:eastAsiaTheme="minorEastAsia" w:hint="eastAsia"/>
          <w:lang w:eastAsia="zh-CN"/>
        </w:rPr>
      </w:pPr>
    </w:p>
    <w:p w:rsidR="00B503E8" w:rsidRPr="000F3911" w:rsidRDefault="007B7339" w:rsidP="007A1E52">
      <w:pPr>
        <w:pStyle w:val="figuresstyle"/>
        <w:snapToGrid w:val="0"/>
        <w:spacing w:after="0"/>
        <w:jc w:val="center"/>
      </w:pPr>
      <w:r w:rsidRPr="000F3911">
        <w:rPr>
          <w:noProof/>
          <w:lang w:eastAsia="zh-CN"/>
        </w:rPr>
        <w:drawing>
          <wp:inline distT="0" distB="0" distL="0" distR="0">
            <wp:extent cx="2708246" cy="19798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721946" cy="1989891"/>
                    </a:xfrm>
                    <a:prstGeom prst="rect">
                      <a:avLst/>
                    </a:prstGeom>
                    <a:noFill/>
                    <a:ln w="9525">
                      <a:noFill/>
                      <a:miter lim="800000"/>
                      <a:headEnd/>
                      <a:tailEnd/>
                    </a:ln>
                  </pic:spPr>
                </pic:pic>
              </a:graphicData>
            </a:graphic>
          </wp:inline>
        </w:drawing>
      </w:r>
    </w:p>
    <w:p w:rsidR="00B503E8" w:rsidRPr="000F3911" w:rsidRDefault="00CB3DAA" w:rsidP="007A1E52">
      <w:pPr>
        <w:pStyle w:val="figuresstyle"/>
        <w:snapToGrid w:val="0"/>
        <w:spacing w:after="0"/>
        <w:rPr>
          <w:noProof/>
        </w:rPr>
      </w:pPr>
      <w:r w:rsidRPr="000F3911">
        <w:t>Figure</w:t>
      </w:r>
      <w:r w:rsidR="000F3911">
        <w:rPr>
          <w:rFonts w:eastAsiaTheme="minorEastAsia" w:hint="eastAsia"/>
          <w:lang w:eastAsia="zh-CN"/>
        </w:rPr>
        <w:t xml:space="preserve"> </w:t>
      </w:r>
      <w:r w:rsidRPr="000F3911">
        <w:t>8</w:t>
      </w:r>
      <w:r w:rsidR="00B503E8" w:rsidRPr="000F3911">
        <w:t>: Pie chart of complications' prevalence</w:t>
      </w:r>
    </w:p>
    <w:p w:rsidR="000F3911" w:rsidRDefault="000F3911" w:rsidP="000F3911">
      <w:pPr>
        <w:autoSpaceDE w:val="0"/>
        <w:autoSpaceDN w:val="0"/>
        <w:bidi w:val="0"/>
        <w:adjustRightInd w:val="0"/>
        <w:snapToGrid w:val="0"/>
        <w:ind w:firstLine="425"/>
        <w:jc w:val="both"/>
        <w:rPr>
          <w:rFonts w:eastAsiaTheme="minorEastAsia" w:hint="eastAsia"/>
          <w:sz w:val="20"/>
          <w:szCs w:val="20"/>
          <w:lang w:eastAsia="zh-CN"/>
        </w:rPr>
      </w:pPr>
    </w:p>
    <w:p w:rsidR="000F3911" w:rsidRPr="000F3911" w:rsidRDefault="000F3911" w:rsidP="000F3911">
      <w:pPr>
        <w:autoSpaceDE w:val="0"/>
        <w:autoSpaceDN w:val="0"/>
        <w:bidi w:val="0"/>
        <w:adjustRightInd w:val="0"/>
        <w:snapToGrid w:val="0"/>
        <w:ind w:firstLine="425"/>
        <w:jc w:val="both"/>
        <w:rPr>
          <w:rFonts w:eastAsiaTheme="minorEastAsia"/>
          <w:sz w:val="20"/>
          <w:szCs w:val="20"/>
          <w:lang w:eastAsia="zh-CN"/>
        </w:rPr>
      </w:pPr>
    </w:p>
    <w:p w:rsidR="007A1E52" w:rsidRPr="000F3911" w:rsidRDefault="007A1E52"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The most common level affected in our study was C3 and C4 in 78% of cases. The frequency of segments affected as in the table 6 below. </w:t>
      </w:r>
    </w:p>
    <w:p w:rsidR="007A1E52" w:rsidRPr="000F3911" w:rsidRDefault="007A1E52" w:rsidP="007A1E52">
      <w:pPr>
        <w:autoSpaceDE w:val="0"/>
        <w:autoSpaceDN w:val="0"/>
        <w:bidi w:val="0"/>
        <w:adjustRightInd w:val="0"/>
        <w:snapToGrid w:val="0"/>
        <w:ind w:firstLine="425"/>
        <w:jc w:val="both"/>
        <w:rPr>
          <w:rFonts w:eastAsiaTheme="minorEastAsia"/>
          <w:color w:val="000000"/>
          <w:sz w:val="20"/>
          <w:szCs w:val="20"/>
          <w:lang w:eastAsia="zh-CN"/>
        </w:rPr>
      </w:pPr>
      <w:r w:rsidRPr="000F3911">
        <w:rPr>
          <w:color w:val="000000"/>
          <w:sz w:val="20"/>
          <w:szCs w:val="20"/>
        </w:rPr>
        <w:t>The operative time (in minutes) was estimated for all surgical procedures. The mean and standard deviation of operative time was 289.8 minutes ±76.8. The mean time when divided by 60 (minutes per hour) showed 4.6 hours.</w:t>
      </w:r>
    </w:p>
    <w:p w:rsidR="007A1E52" w:rsidRPr="000F3911" w:rsidRDefault="007A1E52" w:rsidP="007A1E52">
      <w:pPr>
        <w:autoSpaceDE w:val="0"/>
        <w:autoSpaceDN w:val="0"/>
        <w:bidi w:val="0"/>
        <w:adjustRightInd w:val="0"/>
        <w:snapToGrid w:val="0"/>
        <w:ind w:firstLine="425"/>
        <w:jc w:val="both"/>
        <w:rPr>
          <w:sz w:val="20"/>
          <w:szCs w:val="20"/>
        </w:rPr>
      </w:pPr>
      <w:r w:rsidRPr="000F3911">
        <w:rPr>
          <w:sz w:val="20"/>
          <w:szCs w:val="20"/>
        </w:rPr>
        <w:t xml:space="preserve">The hospital stay (in days) was estimated during our survey. The mean and SD of hospital stay was 5.8± 0.9 days. The hospital stay was ranging from 4-7days. </w:t>
      </w:r>
    </w:p>
    <w:p w:rsidR="007A1E52" w:rsidRPr="000F3911" w:rsidRDefault="007A1E52" w:rsidP="007A1E52">
      <w:pPr>
        <w:autoSpaceDE w:val="0"/>
        <w:autoSpaceDN w:val="0"/>
        <w:bidi w:val="0"/>
        <w:adjustRightInd w:val="0"/>
        <w:snapToGrid w:val="0"/>
        <w:ind w:firstLine="425"/>
        <w:jc w:val="both"/>
        <w:rPr>
          <w:sz w:val="20"/>
          <w:szCs w:val="20"/>
        </w:rPr>
      </w:pPr>
      <w:r w:rsidRPr="000F3911">
        <w:rPr>
          <w:sz w:val="20"/>
          <w:szCs w:val="20"/>
        </w:rPr>
        <w:t xml:space="preserve">There were prevalent complications in our study procedures. Overall complications was found in 7 cases (35%) (See table 7). </w:t>
      </w:r>
    </w:p>
    <w:p w:rsidR="00B503E8" w:rsidRPr="000F3911" w:rsidRDefault="00B503E8" w:rsidP="007A1E52">
      <w:pPr>
        <w:autoSpaceDE w:val="0"/>
        <w:autoSpaceDN w:val="0"/>
        <w:bidi w:val="0"/>
        <w:adjustRightInd w:val="0"/>
        <w:snapToGrid w:val="0"/>
        <w:ind w:firstLine="425"/>
        <w:jc w:val="both"/>
        <w:rPr>
          <w:sz w:val="20"/>
          <w:szCs w:val="20"/>
        </w:rPr>
      </w:pPr>
      <w:r w:rsidRPr="000F3911">
        <w:rPr>
          <w:sz w:val="20"/>
          <w:szCs w:val="20"/>
        </w:rPr>
        <w:t>The complications that occurred in our study (in total) were temporary (see table 8). There was no mortality in our study.</w:t>
      </w:r>
    </w:p>
    <w:p w:rsidR="00806765" w:rsidRDefault="00806765" w:rsidP="007A1E52">
      <w:pPr>
        <w:autoSpaceDE w:val="0"/>
        <w:autoSpaceDN w:val="0"/>
        <w:bidi w:val="0"/>
        <w:adjustRightInd w:val="0"/>
        <w:snapToGrid w:val="0"/>
        <w:jc w:val="both"/>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both"/>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both"/>
        <w:rPr>
          <w:rFonts w:eastAsiaTheme="minorEastAsia" w:hint="eastAsia"/>
          <w:b/>
          <w:bCs/>
          <w:color w:val="000000"/>
          <w:sz w:val="20"/>
          <w:szCs w:val="20"/>
          <w:lang w:eastAsia="zh-CN"/>
        </w:rPr>
      </w:pPr>
    </w:p>
    <w:p w:rsidR="00B503E8" w:rsidRPr="000F3911" w:rsidRDefault="00F90A8B" w:rsidP="007A1E52">
      <w:pPr>
        <w:autoSpaceDE w:val="0"/>
        <w:autoSpaceDN w:val="0"/>
        <w:bidi w:val="0"/>
        <w:adjustRightInd w:val="0"/>
        <w:snapToGrid w:val="0"/>
        <w:jc w:val="center"/>
        <w:rPr>
          <w:sz w:val="20"/>
          <w:szCs w:val="20"/>
        </w:rPr>
      </w:pPr>
      <w:r w:rsidRPr="000F3911">
        <w:rPr>
          <w:rFonts w:eastAsia="Batang"/>
          <w:b/>
          <w:bCs/>
          <w:color w:val="000000"/>
          <w:sz w:val="20"/>
          <w:szCs w:val="20"/>
        </w:rPr>
        <w:t>Table 5</w:t>
      </w:r>
      <w:r w:rsidR="00CB3DAA" w:rsidRPr="000F3911">
        <w:rPr>
          <w:rFonts w:eastAsia="Batang"/>
          <w:b/>
          <w:bCs/>
          <w:color w:val="000000"/>
          <w:sz w:val="20"/>
          <w:szCs w:val="20"/>
        </w:rPr>
        <w:t>: Types of complications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37"/>
        <w:gridCol w:w="2295"/>
        <w:gridCol w:w="1178"/>
        <w:gridCol w:w="885"/>
      </w:tblGrid>
      <w:tr w:rsidR="00B503E8" w:rsidRPr="000F3911" w:rsidTr="006244D6">
        <w:trPr>
          <w:jc w:val="center"/>
        </w:trPr>
        <w:tc>
          <w:tcPr>
            <w:tcW w:w="2706" w:type="pct"/>
            <w:gridSpan w:val="2"/>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c>
          <w:tcPr>
            <w:tcW w:w="1310"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Frequency</w:t>
            </w:r>
          </w:p>
        </w:tc>
        <w:tc>
          <w:tcPr>
            <w:tcW w:w="984"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Percent</w:t>
            </w:r>
          </w:p>
        </w:tc>
      </w:tr>
      <w:tr w:rsidR="00B503E8" w:rsidRPr="000F3911" w:rsidTr="006244D6">
        <w:trPr>
          <w:jc w:val="center"/>
        </w:trPr>
        <w:tc>
          <w:tcPr>
            <w:tcW w:w="153" w:type="pct"/>
            <w:vMerge w:val="restar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No complications</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13</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65.0</w:t>
            </w:r>
          </w:p>
        </w:tc>
      </w:tr>
      <w:tr w:rsidR="00B503E8" w:rsidRPr="000F3911" w:rsidTr="006244D6">
        <w:trPr>
          <w:jc w:val="center"/>
        </w:trPr>
        <w:tc>
          <w:tcPr>
            <w:tcW w:w="153" w:type="pct"/>
            <w:vMerge/>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Temporary hoarseness</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w:t>
            </w:r>
          </w:p>
        </w:tc>
      </w:tr>
      <w:tr w:rsidR="00B503E8" w:rsidRPr="000F3911" w:rsidTr="006244D6">
        <w:trPr>
          <w:jc w:val="center"/>
        </w:trPr>
        <w:tc>
          <w:tcPr>
            <w:tcW w:w="153" w:type="pct"/>
            <w:vMerge/>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Temporary dysphagia</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3</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15.0</w:t>
            </w:r>
          </w:p>
        </w:tc>
      </w:tr>
      <w:tr w:rsidR="00B503E8" w:rsidRPr="000F3911" w:rsidTr="006244D6">
        <w:trPr>
          <w:jc w:val="center"/>
        </w:trPr>
        <w:tc>
          <w:tcPr>
            <w:tcW w:w="153" w:type="pct"/>
            <w:vMerge/>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Incision infection</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w:t>
            </w:r>
          </w:p>
        </w:tc>
      </w:tr>
      <w:tr w:rsidR="00B503E8" w:rsidRPr="000F3911" w:rsidTr="006244D6">
        <w:trPr>
          <w:jc w:val="center"/>
        </w:trPr>
        <w:tc>
          <w:tcPr>
            <w:tcW w:w="153" w:type="pct"/>
            <w:vMerge/>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Hardware complication</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w:t>
            </w:r>
          </w:p>
        </w:tc>
      </w:tr>
      <w:tr w:rsidR="00B503E8" w:rsidRPr="000F3911" w:rsidTr="006244D6">
        <w:trPr>
          <w:jc w:val="center"/>
        </w:trPr>
        <w:tc>
          <w:tcPr>
            <w:tcW w:w="153" w:type="pct"/>
            <w:vMerge/>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2552" w:type="pct"/>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Total</w:t>
            </w:r>
          </w:p>
        </w:tc>
        <w:tc>
          <w:tcPr>
            <w:tcW w:w="1310"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20</w:t>
            </w:r>
          </w:p>
        </w:tc>
        <w:tc>
          <w:tcPr>
            <w:tcW w:w="984" w:type="pct"/>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100.0</w:t>
            </w:r>
          </w:p>
        </w:tc>
      </w:tr>
    </w:tbl>
    <w:p w:rsidR="00B503E8" w:rsidRPr="000F3911" w:rsidRDefault="00B503E8" w:rsidP="007A1E52">
      <w:pPr>
        <w:autoSpaceDE w:val="0"/>
        <w:autoSpaceDN w:val="0"/>
        <w:bidi w:val="0"/>
        <w:adjustRightInd w:val="0"/>
        <w:snapToGrid w:val="0"/>
        <w:ind w:firstLine="425"/>
        <w:jc w:val="both"/>
        <w:rPr>
          <w:sz w:val="20"/>
          <w:szCs w:val="20"/>
        </w:rPr>
      </w:pPr>
    </w:p>
    <w:p w:rsidR="00B503E8" w:rsidRPr="000F3911" w:rsidRDefault="007B7339" w:rsidP="007A1E52">
      <w:pPr>
        <w:autoSpaceDE w:val="0"/>
        <w:autoSpaceDN w:val="0"/>
        <w:bidi w:val="0"/>
        <w:adjustRightInd w:val="0"/>
        <w:snapToGrid w:val="0"/>
        <w:jc w:val="center"/>
        <w:rPr>
          <w:sz w:val="20"/>
          <w:szCs w:val="20"/>
        </w:rPr>
      </w:pPr>
      <w:r w:rsidRPr="000F3911">
        <w:rPr>
          <w:noProof/>
          <w:sz w:val="20"/>
          <w:szCs w:val="20"/>
          <w:lang w:eastAsia="zh-CN"/>
        </w:rPr>
        <w:lastRenderedPageBreak/>
        <w:drawing>
          <wp:inline distT="0" distB="0" distL="0" distR="0">
            <wp:extent cx="2579986" cy="165387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2577746" cy="1652435"/>
                    </a:xfrm>
                    <a:prstGeom prst="rect">
                      <a:avLst/>
                    </a:prstGeom>
                    <a:noFill/>
                    <a:ln w="9525">
                      <a:noFill/>
                      <a:miter lim="800000"/>
                      <a:headEnd/>
                      <a:tailEnd/>
                    </a:ln>
                  </pic:spPr>
                </pic:pic>
              </a:graphicData>
            </a:graphic>
          </wp:inline>
        </w:drawing>
      </w:r>
    </w:p>
    <w:p w:rsidR="00B503E8" w:rsidRPr="000F3911" w:rsidRDefault="00CB3DAA" w:rsidP="007A1E52">
      <w:pPr>
        <w:pStyle w:val="figuresstyle"/>
        <w:snapToGrid w:val="0"/>
        <w:spacing w:after="0"/>
        <w:jc w:val="center"/>
        <w:rPr>
          <w:noProof/>
        </w:rPr>
      </w:pPr>
      <w:r w:rsidRPr="000F3911">
        <w:t>Figure 9</w:t>
      </w:r>
      <w:r w:rsidR="00B503E8" w:rsidRPr="000F3911">
        <w:t>: Bar chart of complications</w:t>
      </w:r>
    </w:p>
    <w:p w:rsidR="00B503E8" w:rsidRPr="000F3911" w:rsidRDefault="00B503E8" w:rsidP="007A1E52">
      <w:pPr>
        <w:autoSpaceDE w:val="0"/>
        <w:autoSpaceDN w:val="0"/>
        <w:bidi w:val="0"/>
        <w:adjustRightInd w:val="0"/>
        <w:snapToGrid w:val="0"/>
        <w:ind w:firstLine="425"/>
        <w:jc w:val="both"/>
        <w:rPr>
          <w:sz w:val="20"/>
          <w:szCs w:val="20"/>
        </w:rPr>
      </w:pP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rStyle w:val="st"/>
          <w:sz w:val="20"/>
          <w:szCs w:val="20"/>
        </w:rPr>
        <w:t>Japanese Orthopaedic Association (JOA) score is widely used to assess the severity of clinical symptoms in patients with cervical compressive myelopathy. In our study the median score preoperatively for all study’s participants was 11. The range of score was 10-15. The distribution of curve was skewed to left.</w:t>
      </w:r>
    </w:p>
    <w:p w:rsidR="00B503E8" w:rsidRPr="000F3911" w:rsidRDefault="00B503E8" w:rsidP="007A1E52">
      <w:pPr>
        <w:autoSpaceDE w:val="0"/>
        <w:autoSpaceDN w:val="0"/>
        <w:bidi w:val="0"/>
        <w:adjustRightInd w:val="0"/>
        <w:snapToGrid w:val="0"/>
        <w:ind w:firstLine="425"/>
        <w:jc w:val="both"/>
        <w:rPr>
          <w:sz w:val="20"/>
          <w:szCs w:val="20"/>
        </w:rPr>
      </w:pPr>
    </w:p>
    <w:p w:rsidR="00CB3DAA" w:rsidRPr="000F3911" w:rsidRDefault="00CB3DAA" w:rsidP="007A1E52">
      <w:pPr>
        <w:autoSpaceDE w:val="0"/>
        <w:autoSpaceDN w:val="0"/>
        <w:bidi w:val="0"/>
        <w:adjustRightInd w:val="0"/>
        <w:snapToGrid w:val="0"/>
        <w:jc w:val="center"/>
        <w:rPr>
          <w:sz w:val="20"/>
          <w:szCs w:val="20"/>
        </w:rPr>
      </w:pPr>
      <w:r w:rsidRPr="000F3911">
        <w:rPr>
          <w:noProof/>
          <w:sz w:val="20"/>
          <w:szCs w:val="20"/>
          <w:lang w:eastAsia="zh-CN"/>
        </w:rPr>
        <w:drawing>
          <wp:inline distT="0" distB="0" distL="0" distR="0">
            <wp:extent cx="2570564" cy="2297927"/>
            <wp:effectExtent l="19050" t="0" r="118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576269" cy="2303027"/>
                    </a:xfrm>
                    <a:prstGeom prst="rect">
                      <a:avLst/>
                    </a:prstGeom>
                  </pic:spPr>
                </pic:pic>
              </a:graphicData>
            </a:graphic>
          </wp:inline>
        </w:drawing>
      </w:r>
    </w:p>
    <w:p w:rsidR="00B503E8" w:rsidRPr="000F3911" w:rsidRDefault="00CB3DAA" w:rsidP="007A1E52">
      <w:pPr>
        <w:autoSpaceDE w:val="0"/>
        <w:autoSpaceDN w:val="0"/>
        <w:bidi w:val="0"/>
        <w:adjustRightInd w:val="0"/>
        <w:snapToGrid w:val="0"/>
        <w:jc w:val="both"/>
        <w:rPr>
          <w:sz w:val="20"/>
          <w:szCs w:val="20"/>
        </w:rPr>
      </w:pPr>
      <w:r w:rsidRPr="000F3911">
        <w:rPr>
          <w:rFonts w:eastAsiaTheme="minorHAnsi"/>
          <w:b/>
          <w:bCs/>
          <w:color w:val="000000"/>
          <w:sz w:val="20"/>
          <w:szCs w:val="20"/>
        </w:rPr>
        <w:t>Figure 10: Bar chart of JOA score among our patients</w:t>
      </w:r>
    </w:p>
    <w:p w:rsidR="00CB3DAA" w:rsidRPr="000F3911" w:rsidRDefault="00CB3DAA" w:rsidP="007A1E52">
      <w:pPr>
        <w:autoSpaceDE w:val="0"/>
        <w:autoSpaceDN w:val="0"/>
        <w:bidi w:val="0"/>
        <w:adjustRightInd w:val="0"/>
        <w:snapToGrid w:val="0"/>
        <w:jc w:val="both"/>
        <w:rPr>
          <w:b/>
          <w:bCs/>
          <w:color w:val="000000"/>
          <w:sz w:val="20"/>
          <w:szCs w:val="20"/>
        </w:rPr>
      </w:pPr>
    </w:p>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Comparative studies</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In this section, we compared both modalities of treatment as regard demographic distribution, clinical and scores perioperatively. Clinical and demographic distributions were compared to delineate the difference between two groups. While scores postoperatively, Cobb’s angles and rate of complications were compared to define the success of each modality. </w:t>
      </w:r>
    </w:p>
    <w:p w:rsidR="006244D6" w:rsidRPr="000F3911" w:rsidRDefault="007B7339" w:rsidP="007A1E52">
      <w:pPr>
        <w:autoSpaceDE w:val="0"/>
        <w:autoSpaceDN w:val="0"/>
        <w:bidi w:val="0"/>
        <w:adjustRightInd w:val="0"/>
        <w:snapToGrid w:val="0"/>
        <w:ind w:firstLine="425"/>
        <w:jc w:val="both"/>
        <w:rPr>
          <w:rFonts w:eastAsiaTheme="minorEastAsia"/>
          <w:sz w:val="20"/>
          <w:szCs w:val="20"/>
          <w:lang w:eastAsia="zh-CN"/>
        </w:rPr>
      </w:pPr>
      <w:r w:rsidRPr="000F3911">
        <w:rPr>
          <w:sz w:val="20"/>
          <w:szCs w:val="20"/>
        </w:rPr>
        <w:t>In table 9, both ACDF and ACCF surgeries were compared as regard clinical and symptomatology</w:t>
      </w:r>
      <w:r w:rsidR="007A1E52" w:rsidRPr="000F3911">
        <w:rPr>
          <w:rFonts w:eastAsiaTheme="minorEastAsia" w:hint="eastAsia"/>
          <w:sz w:val="20"/>
          <w:szCs w:val="20"/>
          <w:lang w:eastAsia="zh-CN"/>
        </w:rPr>
        <w:t>.</w:t>
      </w: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7A1E52">
          <w:headerReference w:type="default" r:id="rId23"/>
          <w:type w:val="continuous"/>
          <w:pgSz w:w="12242" w:h="15842" w:code="1"/>
          <w:pgMar w:top="1440" w:right="1440" w:bottom="1440" w:left="1440" w:header="720" w:footer="720" w:gutter="0"/>
          <w:cols w:num="2" w:space="600"/>
          <w:docGrid w:linePitch="360"/>
        </w:sectPr>
      </w:pPr>
    </w:p>
    <w:p w:rsidR="007A1E52" w:rsidRPr="000F3911" w:rsidRDefault="007A1E52" w:rsidP="007A1E52">
      <w:pPr>
        <w:autoSpaceDE w:val="0"/>
        <w:autoSpaceDN w:val="0"/>
        <w:bidi w:val="0"/>
        <w:adjustRightInd w:val="0"/>
        <w:snapToGrid w:val="0"/>
        <w:jc w:val="both"/>
        <w:rPr>
          <w:rFonts w:eastAsiaTheme="minorEastAsia"/>
          <w:b/>
          <w:bCs/>
          <w:color w:val="000000"/>
          <w:sz w:val="20"/>
          <w:szCs w:val="20"/>
          <w:lang w:eastAsia="zh-CN"/>
        </w:rPr>
      </w:pPr>
    </w:p>
    <w:p w:rsidR="000F3911" w:rsidRDefault="000F3911" w:rsidP="007A1E52">
      <w:pPr>
        <w:autoSpaceDE w:val="0"/>
        <w:autoSpaceDN w:val="0"/>
        <w:bidi w:val="0"/>
        <w:adjustRightInd w:val="0"/>
        <w:snapToGrid w:val="0"/>
        <w:jc w:val="center"/>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B503E8" w:rsidRPr="000F3911" w:rsidRDefault="00F90A8B" w:rsidP="000F3911">
      <w:pPr>
        <w:autoSpaceDE w:val="0"/>
        <w:autoSpaceDN w:val="0"/>
        <w:bidi w:val="0"/>
        <w:adjustRightInd w:val="0"/>
        <w:snapToGrid w:val="0"/>
        <w:jc w:val="center"/>
        <w:rPr>
          <w:rFonts w:eastAsiaTheme="minorHAnsi"/>
          <w:b/>
          <w:bCs/>
          <w:color w:val="000000"/>
          <w:sz w:val="20"/>
          <w:szCs w:val="20"/>
        </w:rPr>
      </w:pPr>
      <w:r w:rsidRPr="000F3911">
        <w:rPr>
          <w:rFonts w:eastAsiaTheme="minorHAnsi"/>
          <w:b/>
          <w:bCs/>
          <w:color w:val="000000"/>
          <w:sz w:val="20"/>
          <w:szCs w:val="20"/>
        </w:rPr>
        <w:lastRenderedPageBreak/>
        <w:t>Table 6</w:t>
      </w:r>
      <w:r w:rsidR="00CB3DAA" w:rsidRPr="000F3911">
        <w:rPr>
          <w:rFonts w:eastAsiaTheme="minorHAnsi"/>
          <w:b/>
          <w:bCs/>
          <w:color w:val="000000"/>
          <w:sz w:val="20"/>
          <w:szCs w:val="20"/>
        </w:rPr>
        <w:t>: Cross tabulation of demographic and clinical symptomatology betwee</w:t>
      </w:r>
      <w:r w:rsidR="00FD358B" w:rsidRPr="000F3911">
        <w:rPr>
          <w:rFonts w:eastAsiaTheme="minorHAnsi"/>
          <w:b/>
          <w:bCs/>
          <w:color w:val="000000"/>
          <w:sz w:val="20"/>
          <w:szCs w:val="20"/>
        </w:rPr>
        <w:t>n A</w:t>
      </w:r>
      <w:r w:rsidR="00CB3DAA" w:rsidRPr="000F3911">
        <w:rPr>
          <w:rFonts w:eastAsiaTheme="minorHAnsi"/>
          <w:b/>
          <w:bCs/>
          <w:color w:val="000000"/>
          <w:sz w:val="20"/>
          <w:szCs w:val="20"/>
        </w:rPr>
        <w:t>CDF and ACCF.</w:t>
      </w:r>
    </w:p>
    <w:p w:rsidR="00CB3DAA" w:rsidRPr="000F3911" w:rsidRDefault="00CB3DAA" w:rsidP="007A1E52">
      <w:pPr>
        <w:autoSpaceDE w:val="0"/>
        <w:autoSpaceDN w:val="0"/>
        <w:bidi w:val="0"/>
        <w:adjustRightInd w:val="0"/>
        <w:snapToGrid w:val="0"/>
        <w:jc w:val="center"/>
        <w:rPr>
          <w:rFonts w:eastAsiaTheme="minorHAnsi"/>
          <w:b/>
          <w:bCs/>
          <w:color w:val="000000"/>
          <w:sz w:val="20"/>
          <w:szCs w:val="20"/>
        </w:rPr>
      </w:pPr>
      <w:r w:rsidRPr="000F3911">
        <w:rPr>
          <w:noProof/>
          <w:sz w:val="20"/>
          <w:szCs w:val="20"/>
          <w:lang w:eastAsia="zh-CN"/>
        </w:rPr>
        <w:drawing>
          <wp:inline distT="0" distB="0" distL="0" distR="0">
            <wp:extent cx="5173534" cy="3236181"/>
            <wp:effectExtent l="19050" t="0" r="806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177680" cy="3238774"/>
                    </a:xfrm>
                    <a:prstGeom prst="rect">
                      <a:avLst/>
                    </a:prstGeom>
                  </pic:spPr>
                </pic:pic>
              </a:graphicData>
            </a:graphic>
          </wp:inline>
        </w:drawing>
      </w:r>
    </w:p>
    <w:p w:rsidR="006244D6" w:rsidRPr="000F3911" w:rsidRDefault="006244D6" w:rsidP="007A1E52">
      <w:pPr>
        <w:autoSpaceDE w:val="0"/>
        <w:autoSpaceDN w:val="0"/>
        <w:bidi w:val="0"/>
        <w:adjustRightInd w:val="0"/>
        <w:snapToGrid w:val="0"/>
        <w:ind w:firstLine="425"/>
        <w:jc w:val="both"/>
        <w:rPr>
          <w:sz w:val="20"/>
          <w:szCs w:val="20"/>
        </w:rPr>
      </w:pP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6244D6">
          <w:headerReference w:type="default" r:id="rId25"/>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ind w:firstLine="425"/>
        <w:jc w:val="both"/>
        <w:rPr>
          <w:sz w:val="20"/>
          <w:szCs w:val="20"/>
        </w:rPr>
      </w:pPr>
      <w:r w:rsidRPr="000F3911">
        <w:rPr>
          <w:sz w:val="20"/>
          <w:szCs w:val="20"/>
        </w:rPr>
        <w:lastRenderedPageBreak/>
        <w:t xml:space="preserve">In table 10, time taking for operation and hospital admission stay length were compared in both groups. There were statistical significance difference </w:t>
      </w:r>
      <w:r w:rsidRPr="000F3911">
        <w:rPr>
          <w:sz w:val="20"/>
          <w:szCs w:val="20"/>
        </w:rPr>
        <w:lastRenderedPageBreak/>
        <w:t>between both modalities as regard hospital stay and operative time (0.014 and 0.023) respectively.</w:t>
      </w:r>
    </w:p>
    <w:p w:rsidR="006244D6" w:rsidRPr="000F3911" w:rsidRDefault="006244D6" w:rsidP="007A1E52">
      <w:pPr>
        <w:autoSpaceDE w:val="0"/>
        <w:autoSpaceDN w:val="0"/>
        <w:bidi w:val="0"/>
        <w:adjustRightInd w:val="0"/>
        <w:snapToGrid w:val="0"/>
        <w:jc w:val="both"/>
        <w:rPr>
          <w:b/>
          <w:bCs/>
          <w:color w:val="000000"/>
          <w:sz w:val="20"/>
          <w:szCs w:val="20"/>
        </w:rPr>
        <w:sectPr w:rsidR="006244D6" w:rsidRPr="000F3911" w:rsidSect="007A1E52">
          <w:headerReference w:type="default" r:id="rId26"/>
          <w:type w:val="continuous"/>
          <w:pgSz w:w="12242" w:h="15842" w:code="1"/>
          <w:pgMar w:top="1440" w:right="1440" w:bottom="1440" w:left="1440" w:header="720" w:footer="720" w:gutter="0"/>
          <w:cols w:num="2" w:space="600"/>
          <w:docGrid w:linePitch="360"/>
        </w:sectPr>
      </w:pPr>
      <w:bookmarkStart w:id="0" w:name="_GoBack"/>
      <w:bookmarkEnd w:id="0"/>
    </w:p>
    <w:p w:rsidR="00F90A8B" w:rsidRPr="000F3911" w:rsidRDefault="00F90A8B" w:rsidP="007A1E52">
      <w:pPr>
        <w:autoSpaceDE w:val="0"/>
        <w:autoSpaceDN w:val="0"/>
        <w:bidi w:val="0"/>
        <w:adjustRightInd w:val="0"/>
        <w:snapToGrid w:val="0"/>
        <w:jc w:val="center"/>
        <w:rPr>
          <w:b/>
          <w:bCs/>
          <w:color w:val="000000"/>
          <w:sz w:val="20"/>
          <w:szCs w:val="20"/>
        </w:rPr>
      </w:pPr>
    </w:p>
    <w:p w:rsidR="00CB3DAA" w:rsidRPr="000F3911" w:rsidRDefault="00F90A8B" w:rsidP="007A1E52">
      <w:pPr>
        <w:autoSpaceDE w:val="0"/>
        <w:autoSpaceDN w:val="0"/>
        <w:bidi w:val="0"/>
        <w:adjustRightInd w:val="0"/>
        <w:snapToGrid w:val="0"/>
        <w:jc w:val="center"/>
        <w:rPr>
          <w:b/>
          <w:bCs/>
          <w:color w:val="000000"/>
          <w:sz w:val="20"/>
          <w:szCs w:val="20"/>
        </w:rPr>
      </w:pPr>
      <w:r w:rsidRPr="000F3911">
        <w:rPr>
          <w:b/>
          <w:bCs/>
          <w:color w:val="000000"/>
          <w:sz w:val="20"/>
          <w:szCs w:val="20"/>
        </w:rPr>
        <w:t>Table 7</w:t>
      </w:r>
      <w:r w:rsidR="00CB3DAA" w:rsidRPr="000F3911">
        <w:rPr>
          <w:b/>
          <w:bCs/>
          <w:color w:val="000000"/>
          <w:sz w:val="20"/>
          <w:szCs w:val="20"/>
        </w:rPr>
        <w:t>: Difference between ACDF and ACCF</w:t>
      </w:r>
      <w:r w:rsidR="006244D6" w:rsidRPr="000F3911">
        <w:rPr>
          <w:b/>
          <w:bCs/>
          <w:color w:val="000000"/>
          <w:sz w:val="20"/>
          <w:szCs w:val="20"/>
        </w:rPr>
        <w:t xml:space="preserve"> </w:t>
      </w:r>
      <w:r w:rsidR="00CB3DAA" w:rsidRPr="000F3911">
        <w:rPr>
          <w:b/>
          <w:bCs/>
          <w:color w:val="000000"/>
          <w:sz w:val="20"/>
          <w:szCs w:val="20"/>
        </w:rPr>
        <w:t>as regard operative time and hospital stay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887"/>
        <w:gridCol w:w="686"/>
        <w:gridCol w:w="2034"/>
        <w:gridCol w:w="686"/>
        <w:gridCol w:w="2034"/>
        <w:gridCol w:w="843"/>
        <w:gridCol w:w="1306"/>
      </w:tblGrid>
      <w:tr w:rsidR="00B503E8" w:rsidRPr="000F3911" w:rsidTr="007A1E52">
        <w:trPr>
          <w:cantSplit/>
          <w:jc w:val="center"/>
        </w:trPr>
        <w:tc>
          <w:tcPr>
            <w:tcW w:w="996"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87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Operation</w:t>
            </w:r>
          </w:p>
        </w:tc>
        <w:tc>
          <w:tcPr>
            <w:tcW w:w="445" w:type="pct"/>
            <w:vMerge w:val="restart"/>
            <w:tcBorders>
              <w:top w:val="single" w:sz="4" w:space="0" w:color="auto"/>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 value</w:t>
            </w:r>
          </w:p>
        </w:tc>
        <w:tc>
          <w:tcPr>
            <w:tcW w:w="689" w:type="pct"/>
            <w:vMerge w:val="restart"/>
            <w:tcBorders>
              <w:top w:val="single" w:sz="4" w:space="0" w:color="auto"/>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Significance</w:t>
            </w:r>
          </w:p>
        </w:tc>
      </w:tr>
      <w:tr w:rsidR="00B503E8" w:rsidRPr="000F3911" w:rsidTr="006244D6">
        <w:trPr>
          <w:cantSplit/>
          <w:jc w:val="center"/>
        </w:trPr>
        <w:tc>
          <w:tcPr>
            <w:tcW w:w="996"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43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ACDF</w:t>
            </w:r>
          </w:p>
        </w:tc>
        <w:tc>
          <w:tcPr>
            <w:tcW w:w="143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ACCF</w:t>
            </w:r>
          </w:p>
        </w:tc>
        <w:tc>
          <w:tcPr>
            <w:tcW w:w="445" w:type="pct"/>
            <w:vMerge/>
            <w:tcBorders>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89" w:type="pct"/>
            <w:vMerge/>
            <w:tcBorders>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6244D6">
        <w:trPr>
          <w:cantSplit/>
          <w:jc w:val="center"/>
        </w:trPr>
        <w:tc>
          <w:tcPr>
            <w:tcW w:w="996"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36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Mean</w:t>
            </w:r>
          </w:p>
        </w:tc>
        <w:tc>
          <w:tcPr>
            <w:tcW w:w="1073"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Standard Deviation</w:t>
            </w:r>
          </w:p>
        </w:tc>
        <w:tc>
          <w:tcPr>
            <w:tcW w:w="36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Mean</w:t>
            </w:r>
          </w:p>
        </w:tc>
        <w:tc>
          <w:tcPr>
            <w:tcW w:w="1073"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Standard Deviation</w:t>
            </w:r>
          </w:p>
        </w:tc>
        <w:tc>
          <w:tcPr>
            <w:tcW w:w="445" w:type="pct"/>
            <w:vMerge/>
            <w:tcBorders>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89" w:type="pct"/>
            <w:vMerge/>
            <w:tcBorders>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6244D6">
        <w:trPr>
          <w:cantSplit/>
          <w:jc w:val="center"/>
        </w:trPr>
        <w:tc>
          <w:tcPr>
            <w:tcW w:w="99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Operative time</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257.2</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56.9</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342.4</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75.6</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0.023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S</w:t>
            </w:r>
          </w:p>
        </w:tc>
      </w:tr>
      <w:tr w:rsidR="006244D6" w:rsidRPr="000F3911" w:rsidTr="006244D6">
        <w:trPr>
          <w:cantSplit/>
          <w:jc w:val="center"/>
        </w:trPr>
        <w:tc>
          <w:tcPr>
            <w:tcW w:w="99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Hospital time stay</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5.71</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0.96</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6.9</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0.88</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0.014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S</w:t>
            </w:r>
          </w:p>
        </w:tc>
      </w:tr>
    </w:tbl>
    <w:p w:rsidR="00CB3DAA" w:rsidRPr="000F3911" w:rsidRDefault="00CB3DAA" w:rsidP="007A1E52">
      <w:pPr>
        <w:autoSpaceDE w:val="0"/>
        <w:autoSpaceDN w:val="0"/>
        <w:bidi w:val="0"/>
        <w:adjustRightInd w:val="0"/>
        <w:snapToGrid w:val="0"/>
        <w:ind w:firstLine="425"/>
        <w:jc w:val="both"/>
        <w:rPr>
          <w:color w:val="000000"/>
          <w:sz w:val="20"/>
          <w:szCs w:val="20"/>
        </w:rPr>
      </w:pP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The most affected segments were C3-C5 and C4-C7 in both surgeries. The frequency of each diseased segment of both groups is illustrated in table 11. </w:t>
      </w:r>
    </w:p>
    <w:p w:rsidR="00806765" w:rsidRPr="000F3911" w:rsidRDefault="00806765" w:rsidP="007A1E52">
      <w:pPr>
        <w:autoSpaceDE w:val="0"/>
        <w:autoSpaceDN w:val="0"/>
        <w:bidi w:val="0"/>
        <w:adjustRightInd w:val="0"/>
        <w:snapToGrid w:val="0"/>
        <w:jc w:val="center"/>
        <w:rPr>
          <w:color w:val="000000"/>
          <w:sz w:val="20"/>
          <w:szCs w:val="20"/>
        </w:rPr>
      </w:pPr>
    </w:p>
    <w:p w:rsidR="00806765" w:rsidRPr="000F3911" w:rsidRDefault="00F90A8B" w:rsidP="007A1E52">
      <w:pPr>
        <w:autoSpaceDE w:val="0"/>
        <w:autoSpaceDN w:val="0"/>
        <w:bidi w:val="0"/>
        <w:adjustRightInd w:val="0"/>
        <w:snapToGrid w:val="0"/>
        <w:jc w:val="center"/>
        <w:rPr>
          <w:color w:val="000000"/>
          <w:sz w:val="20"/>
          <w:szCs w:val="20"/>
        </w:rPr>
      </w:pPr>
      <w:r w:rsidRPr="000F3911">
        <w:rPr>
          <w:b/>
          <w:bCs/>
          <w:color w:val="000000"/>
          <w:sz w:val="20"/>
          <w:szCs w:val="20"/>
        </w:rPr>
        <w:t>Table 8</w:t>
      </w:r>
      <w:r w:rsidR="00806765" w:rsidRPr="000F3911">
        <w:rPr>
          <w:b/>
          <w:bCs/>
          <w:color w:val="000000"/>
          <w:sz w:val="20"/>
          <w:szCs w:val="20"/>
        </w:rPr>
        <w:t>: Frequency of diseased segment among ACDF and ACCF patients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786"/>
        <w:gridCol w:w="1162"/>
        <w:gridCol w:w="1122"/>
        <w:gridCol w:w="1643"/>
        <w:gridCol w:w="1122"/>
        <w:gridCol w:w="1641"/>
      </w:tblGrid>
      <w:tr w:rsidR="00B503E8" w:rsidRPr="000F3911" w:rsidTr="006244D6">
        <w:trPr>
          <w:cantSplit/>
          <w:jc w:val="center"/>
        </w:trPr>
        <w:tc>
          <w:tcPr>
            <w:tcW w:w="2083" w:type="pct"/>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91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Operation</w:t>
            </w:r>
          </w:p>
        </w:tc>
      </w:tr>
      <w:tr w:rsidR="00B503E8" w:rsidRPr="000F3911" w:rsidTr="006244D6">
        <w:trPr>
          <w:cantSplit/>
          <w:jc w:val="center"/>
        </w:trPr>
        <w:tc>
          <w:tcPr>
            <w:tcW w:w="2083" w:type="pct"/>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ACDF</w:t>
            </w: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ACCF</w:t>
            </w:r>
          </w:p>
        </w:tc>
      </w:tr>
      <w:tr w:rsidR="006244D6" w:rsidRPr="000F3911" w:rsidTr="006244D6">
        <w:trPr>
          <w:cantSplit/>
          <w:jc w:val="center"/>
        </w:trPr>
        <w:tc>
          <w:tcPr>
            <w:tcW w:w="2083" w:type="pct"/>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59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86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c>
          <w:tcPr>
            <w:tcW w:w="59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86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r>
      <w:tr w:rsidR="006244D6" w:rsidRPr="000F3911" w:rsidTr="006244D6">
        <w:trPr>
          <w:cantSplit/>
          <w:jc w:val="center"/>
        </w:trPr>
        <w:tc>
          <w:tcPr>
            <w:tcW w:w="1470"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Diseased segment</w:t>
            </w: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C2-C4</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lang w:bidi="ar-EG"/>
              </w:rPr>
            </w:pPr>
            <w:r w:rsidRPr="000F3911">
              <w:rPr>
                <w:color w:val="000000"/>
                <w:sz w:val="20"/>
                <w:szCs w:val="20"/>
              </w:rPr>
              <w:t>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C3-C5</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3</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30.0%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C3-C6</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C3-C7</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C4-C6</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C4-C7</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3</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30.0%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C5-C7</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20.0%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10.0%</w:t>
            </w:r>
          </w:p>
        </w:tc>
      </w:tr>
      <w:tr w:rsidR="006244D6" w:rsidRPr="000F3911" w:rsidTr="006244D6">
        <w:trPr>
          <w:cantSplit/>
          <w:jc w:val="center"/>
        </w:trPr>
        <w:tc>
          <w:tcPr>
            <w:tcW w:w="147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C5-T1</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0.0%</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bidi w:val="0"/>
              <w:snapToGrid w:val="0"/>
              <w:jc w:val="both"/>
              <w:rPr>
                <w:color w:val="000000"/>
                <w:sz w:val="20"/>
                <w:szCs w:val="20"/>
              </w:rPr>
            </w:pPr>
            <w:r w:rsidRPr="000F3911">
              <w:rPr>
                <w:color w:val="000000"/>
                <w:sz w:val="20"/>
                <w:szCs w:val="20"/>
              </w:rPr>
              <w:t>10.0%</w:t>
            </w:r>
          </w:p>
        </w:tc>
      </w:tr>
    </w:tbl>
    <w:p w:rsidR="006244D6" w:rsidRPr="000F3911" w:rsidRDefault="006244D6" w:rsidP="007A1E52">
      <w:pPr>
        <w:autoSpaceDE w:val="0"/>
        <w:autoSpaceDN w:val="0"/>
        <w:bidi w:val="0"/>
        <w:adjustRightInd w:val="0"/>
        <w:snapToGrid w:val="0"/>
        <w:ind w:firstLine="425"/>
        <w:jc w:val="both"/>
        <w:rPr>
          <w:sz w:val="20"/>
          <w:szCs w:val="20"/>
        </w:rPr>
      </w:pP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6244D6">
          <w:headerReference w:type="default" r:id="rId27"/>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ind w:firstLine="425"/>
        <w:jc w:val="both"/>
        <w:rPr>
          <w:sz w:val="20"/>
          <w:szCs w:val="20"/>
        </w:rPr>
      </w:pPr>
      <w:r w:rsidRPr="000F3911">
        <w:rPr>
          <w:sz w:val="20"/>
          <w:szCs w:val="20"/>
        </w:rPr>
        <w:lastRenderedPageBreak/>
        <w:t xml:space="preserve">As regard complications, there was no statistical significant difference between two groups in both rate </w:t>
      </w:r>
      <w:r w:rsidRPr="000F3911">
        <w:rPr>
          <w:sz w:val="20"/>
          <w:szCs w:val="20"/>
        </w:rPr>
        <w:lastRenderedPageBreak/>
        <w:t>and types of complications (0.113</w:t>
      </w:r>
      <w:r w:rsidR="00806765" w:rsidRPr="000F3911">
        <w:rPr>
          <w:sz w:val="20"/>
          <w:szCs w:val="20"/>
        </w:rPr>
        <w:t>, 0.627</w:t>
      </w:r>
      <w:r w:rsidRPr="000F3911">
        <w:rPr>
          <w:sz w:val="20"/>
          <w:szCs w:val="20"/>
        </w:rPr>
        <w:t>) respectively as illustrated in table 12.</w:t>
      </w: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CB3DAA" w:rsidRPr="000F3911" w:rsidRDefault="00CB3DAA" w:rsidP="007A1E52">
      <w:pPr>
        <w:autoSpaceDE w:val="0"/>
        <w:autoSpaceDN w:val="0"/>
        <w:bidi w:val="0"/>
        <w:adjustRightInd w:val="0"/>
        <w:snapToGrid w:val="0"/>
        <w:jc w:val="center"/>
        <w:rPr>
          <w:sz w:val="20"/>
          <w:szCs w:val="20"/>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center"/>
        <w:rPr>
          <w:rFonts w:eastAsiaTheme="minorEastAsia" w:hint="eastAsia"/>
          <w:b/>
          <w:bCs/>
          <w:color w:val="000000"/>
          <w:sz w:val="20"/>
          <w:szCs w:val="20"/>
          <w:lang w:eastAsia="zh-CN"/>
        </w:rPr>
      </w:pPr>
    </w:p>
    <w:p w:rsidR="00CB3DAA" w:rsidRPr="000F3911" w:rsidRDefault="00F90A8B" w:rsidP="000F3911">
      <w:pPr>
        <w:autoSpaceDE w:val="0"/>
        <w:autoSpaceDN w:val="0"/>
        <w:bidi w:val="0"/>
        <w:adjustRightInd w:val="0"/>
        <w:snapToGrid w:val="0"/>
        <w:jc w:val="center"/>
        <w:rPr>
          <w:b/>
          <w:bCs/>
          <w:color w:val="000000"/>
          <w:sz w:val="20"/>
          <w:szCs w:val="20"/>
        </w:rPr>
      </w:pPr>
      <w:r w:rsidRPr="000F3911">
        <w:rPr>
          <w:b/>
          <w:bCs/>
          <w:color w:val="000000"/>
          <w:sz w:val="20"/>
          <w:szCs w:val="20"/>
        </w:rPr>
        <w:t>Table 9</w:t>
      </w:r>
      <w:r w:rsidR="00CB3DAA" w:rsidRPr="000F3911">
        <w:rPr>
          <w:b/>
          <w:bCs/>
          <w:color w:val="000000"/>
          <w:sz w:val="20"/>
          <w:szCs w:val="20"/>
        </w:rPr>
        <w:t>: Difference between ACDF and ACCF as regard complications</w:t>
      </w:r>
    </w:p>
    <w:tbl>
      <w:tblPr>
        <w:tblW w:w="4840" w:type="pct"/>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790"/>
        <w:gridCol w:w="2420"/>
        <w:gridCol w:w="732"/>
        <w:gridCol w:w="1070"/>
        <w:gridCol w:w="732"/>
        <w:gridCol w:w="1073"/>
        <w:gridCol w:w="877"/>
        <w:gridCol w:w="479"/>
      </w:tblGrid>
      <w:tr w:rsidR="006244D6" w:rsidRPr="000F3911" w:rsidTr="000F3911">
        <w:trPr>
          <w:cantSplit/>
          <w:jc w:val="center"/>
        </w:trPr>
        <w:tc>
          <w:tcPr>
            <w:tcW w:w="2295" w:type="pct"/>
            <w:gridSpan w:val="2"/>
            <w:vMerge w:val="restar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966" w:type="pct"/>
            <w:gridSpan w:val="4"/>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Operation</w:t>
            </w:r>
          </w:p>
        </w:tc>
        <w:tc>
          <w:tcPr>
            <w:tcW w:w="478"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6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0F3911">
        <w:trPr>
          <w:cantSplit/>
          <w:jc w:val="center"/>
        </w:trPr>
        <w:tc>
          <w:tcPr>
            <w:tcW w:w="2295" w:type="pct"/>
            <w:gridSpan w:val="2"/>
            <w:vMerge/>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982" w:type="pct"/>
            <w:gridSpan w:val="2"/>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ACDF</w:t>
            </w:r>
          </w:p>
        </w:tc>
        <w:tc>
          <w:tcPr>
            <w:tcW w:w="984" w:type="pct"/>
            <w:gridSpan w:val="2"/>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ACCF</w:t>
            </w:r>
          </w:p>
        </w:tc>
        <w:tc>
          <w:tcPr>
            <w:tcW w:w="478"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6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0F3911">
        <w:trPr>
          <w:cantSplit/>
          <w:jc w:val="center"/>
        </w:trPr>
        <w:tc>
          <w:tcPr>
            <w:tcW w:w="2295" w:type="pct"/>
            <w:gridSpan w:val="2"/>
            <w:vMerge/>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399"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583"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c>
          <w:tcPr>
            <w:tcW w:w="399"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585"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c>
          <w:tcPr>
            <w:tcW w:w="478" w:type="pct"/>
            <w:shd w:val="clear" w:color="auto" w:fill="DBE5F1"/>
            <w:vAlign w:val="center"/>
          </w:tcPr>
          <w:p w:rsidR="00B503E8" w:rsidRPr="000F3911" w:rsidRDefault="00B503E8" w:rsidP="000F3911">
            <w:pPr>
              <w:autoSpaceDE w:val="0"/>
              <w:autoSpaceDN w:val="0"/>
              <w:bidi w:val="0"/>
              <w:adjustRightInd w:val="0"/>
              <w:snapToGrid w:val="0"/>
              <w:jc w:val="both"/>
              <w:rPr>
                <w:b/>
                <w:bCs/>
                <w:color w:val="000000"/>
                <w:sz w:val="20"/>
                <w:szCs w:val="20"/>
              </w:rPr>
            </w:pPr>
            <w:r w:rsidRPr="000F3911">
              <w:rPr>
                <w:b/>
                <w:bCs/>
                <w:color w:val="000000"/>
                <w:sz w:val="20"/>
                <w:szCs w:val="20"/>
              </w:rPr>
              <w:t>P</w:t>
            </w:r>
            <w:r w:rsidR="000F3911">
              <w:rPr>
                <w:rFonts w:eastAsiaTheme="minorEastAsia" w:hint="eastAsia"/>
                <w:b/>
                <w:bCs/>
                <w:color w:val="000000"/>
                <w:sz w:val="20"/>
                <w:szCs w:val="20"/>
                <w:lang w:eastAsia="zh-CN"/>
              </w:rPr>
              <w:t xml:space="preserve"> </w:t>
            </w:r>
            <w:r w:rsidRPr="000F3911">
              <w:rPr>
                <w:b/>
                <w:bCs/>
                <w:color w:val="000000"/>
                <w:sz w:val="20"/>
                <w:szCs w:val="20"/>
              </w:rPr>
              <w:t>Value</w:t>
            </w:r>
          </w:p>
        </w:tc>
        <w:tc>
          <w:tcPr>
            <w:tcW w:w="26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Sig.</w:t>
            </w:r>
          </w:p>
        </w:tc>
      </w:tr>
      <w:tr w:rsidR="006244D6" w:rsidRPr="000F3911" w:rsidTr="000F3911">
        <w:trPr>
          <w:cantSplit/>
          <w:jc w:val="center"/>
        </w:trPr>
        <w:tc>
          <w:tcPr>
            <w:tcW w:w="976" w:type="pct"/>
            <w:vMerge w:val="restar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Yes: No complications</w:t>
            </w: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No</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7</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53.8%</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46.2%</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0.627</w:t>
            </w: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0F3911">
        <w:trPr>
          <w:cantSplit/>
          <w:jc w:val="center"/>
        </w:trPr>
        <w:tc>
          <w:tcPr>
            <w:tcW w:w="976" w:type="pct"/>
            <w:vMerge/>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Yes</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3</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42.9%</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57.1%</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0.113</w:t>
            </w: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0F3911">
        <w:trPr>
          <w:cantSplit/>
          <w:jc w:val="center"/>
        </w:trPr>
        <w:tc>
          <w:tcPr>
            <w:tcW w:w="976" w:type="pct"/>
            <w:vMerge w:val="restar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Complications</w:t>
            </w: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No complications</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7</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57.1%</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42.9%</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0F3911">
        <w:trPr>
          <w:cantSplit/>
          <w:jc w:val="center"/>
        </w:trPr>
        <w:tc>
          <w:tcPr>
            <w:tcW w:w="976" w:type="pct"/>
            <w:vMerge/>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Temporary hoarseness</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100.0%</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0F3911">
        <w:trPr>
          <w:cantSplit/>
          <w:jc w:val="center"/>
        </w:trPr>
        <w:tc>
          <w:tcPr>
            <w:tcW w:w="976" w:type="pct"/>
            <w:vMerge/>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Temporary dysphagia</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33.3%</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66.7%</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0F3911">
        <w:trPr>
          <w:cantSplit/>
          <w:jc w:val="center"/>
        </w:trPr>
        <w:tc>
          <w:tcPr>
            <w:tcW w:w="976" w:type="pct"/>
            <w:vMerge/>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Incision infection</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50.0%</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0F3911">
        <w:trPr>
          <w:cantSplit/>
          <w:jc w:val="center"/>
        </w:trPr>
        <w:tc>
          <w:tcPr>
            <w:tcW w:w="976" w:type="pct"/>
            <w:vMerge/>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319" w:type="pct"/>
            <w:shd w:val="clear" w:color="auto" w:fill="E0E0E0"/>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Hardware complication</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w:t>
            </w:r>
          </w:p>
        </w:tc>
        <w:tc>
          <w:tcPr>
            <w:tcW w:w="58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w:t>
            </w:r>
          </w:p>
        </w:tc>
        <w:tc>
          <w:tcPr>
            <w:tcW w:w="399"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w:t>
            </w:r>
          </w:p>
        </w:tc>
        <w:tc>
          <w:tcPr>
            <w:tcW w:w="585"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100.0%</w:t>
            </w:r>
          </w:p>
        </w:tc>
        <w:tc>
          <w:tcPr>
            <w:tcW w:w="478"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6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bl>
    <w:p w:rsidR="00B503E8" w:rsidRPr="000F3911" w:rsidRDefault="00B503E8" w:rsidP="007A1E52">
      <w:pPr>
        <w:autoSpaceDE w:val="0"/>
        <w:autoSpaceDN w:val="0"/>
        <w:bidi w:val="0"/>
        <w:adjustRightInd w:val="0"/>
        <w:snapToGrid w:val="0"/>
        <w:ind w:firstLine="425"/>
        <w:jc w:val="both"/>
        <w:rPr>
          <w:color w:val="000000"/>
          <w:sz w:val="20"/>
          <w:szCs w:val="20"/>
        </w:rPr>
      </w:pPr>
    </w:p>
    <w:p w:rsidR="00CB3DAA"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In table 13 and 14, there were statistically significant difference between preoperative JOA and later postoperative</w:t>
      </w:r>
    </w:p>
    <w:p w:rsidR="00CB3DAA" w:rsidRPr="000F3911" w:rsidRDefault="00CB3DAA" w:rsidP="007A1E52">
      <w:pPr>
        <w:autoSpaceDE w:val="0"/>
        <w:autoSpaceDN w:val="0"/>
        <w:bidi w:val="0"/>
        <w:adjustRightInd w:val="0"/>
        <w:snapToGrid w:val="0"/>
        <w:jc w:val="center"/>
        <w:rPr>
          <w:color w:val="000000"/>
          <w:sz w:val="20"/>
          <w:szCs w:val="20"/>
        </w:rPr>
      </w:pPr>
    </w:p>
    <w:p w:rsidR="00CB3DAA" w:rsidRPr="000F3911" w:rsidRDefault="00F90A8B" w:rsidP="00937CCC">
      <w:pPr>
        <w:autoSpaceDE w:val="0"/>
        <w:autoSpaceDN w:val="0"/>
        <w:bidi w:val="0"/>
        <w:adjustRightInd w:val="0"/>
        <w:snapToGrid w:val="0"/>
        <w:jc w:val="center"/>
        <w:rPr>
          <w:color w:val="000000"/>
          <w:sz w:val="20"/>
          <w:szCs w:val="20"/>
        </w:rPr>
      </w:pPr>
      <w:r w:rsidRPr="000F3911">
        <w:rPr>
          <w:b/>
          <w:bCs/>
          <w:color w:val="000000"/>
          <w:sz w:val="20"/>
          <w:szCs w:val="20"/>
        </w:rPr>
        <w:t>Table 10</w:t>
      </w:r>
      <w:r w:rsidR="00CB3DAA" w:rsidRPr="000F3911">
        <w:rPr>
          <w:b/>
          <w:bCs/>
          <w:color w:val="000000"/>
          <w:sz w:val="20"/>
          <w:szCs w:val="20"/>
        </w:rPr>
        <w:t>: Preoperative and postoperative mean comparison and P value between preoperative and different times of assessment in group of ACDF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849"/>
        <w:gridCol w:w="1524"/>
        <w:gridCol w:w="1173"/>
        <w:gridCol w:w="1838"/>
        <w:gridCol w:w="1092"/>
      </w:tblGrid>
      <w:tr w:rsidR="006244D6" w:rsidRPr="000F3911" w:rsidTr="007A1E52">
        <w:trPr>
          <w:jc w:val="center"/>
        </w:trPr>
        <w:tc>
          <w:tcPr>
            <w:tcW w:w="203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804"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Mean</w:t>
            </w:r>
          </w:p>
        </w:tc>
        <w:tc>
          <w:tcPr>
            <w:tcW w:w="619"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SD</w:t>
            </w:r>
          </w:p>
        </w:tc>
        <w:tc>
          <w:tcPr>
            <w:tcW w:w="970"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 Value</w:t>
            </w:r>
          </w:p>
        </w:tc>
        <w:tc>
          <w:tcPr>
            <w:tcW w:w="576"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Sig.</w:t>
            </w:r>
          </w:p>
        </w:tc>
      </w:tr>
      <w:tr w:rsidR="00B503E8" w:rsidRPr="000F3911" w:rsidTr="007A1E52">
        <w:trPr>
          <w:jc w:val="center"/>
        </w:trPr>
        <w:tc>
          <w:tcPr>
            <w:tcW w:w="203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Preoperative JOA</w:t>
            </w:r>
          </w:p>
        </w:tc>
        <w:tc>
          <w:tcPr>
            <w:tcW w:w="804"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12.00</w:t>
            </w:r>
          </w:p>
        </w:tc>
        <w:tc>
          <w:tcPr>
            <w:tcW w:w="619"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1.76</w:t>
            </w:r>
          </w:p>
        </w:tc>
        <w:tc>
          <w:tcPr>
            <w:tcW w:w="970"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w:t>
            </w:r>
          </w:p>
        </w:tc>
        <w:tc>
          <w:tcPr>
            <w:tcW w:w="576"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w:t>
            </w:r>
          </w:p>
        </w:tc>
      </w:tr>
      <w:tr w:rsidR="00B503E8" w:rsidRPr="000F3911" w:rsidTr="007A1E52">
        <w:trPr>
          <w:jc w:val="center"/>
        </w:trPr>
        <w:tc>
          <w:tcPr>
            <w:tcW w:w="203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Immediate JOA</w:t>
            </w:r>
          </w:p>
        </w:tc>
        <w:tc>
          <w:tcPr>
            <w:tcW w:w="804"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12.00</w:t>
            </w:r>
          </w:p>
        </w:tc>
        <w:tc>
          <w:tcPr>
            <w:tcW w:w="619"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1.66</w:t>
            </w:r>
          </w:p>
        </w:tc>
        <w:tc>
          <w:tcPr>
            <w:tcW w:w="970"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0.013</w:t>
            </w:r>
          </w:p>
        </w:tc>
        <w:tc>
          <w:tcPr>
            <w:tcW w:w="576"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w:t>
            </w:r>
          </w:p>
        </w:tc>
      </w:tr>
      <w:tr w:rsidR="00B503E8" w:rsidRPr="000F3911" w:rsidTr="007A1E52">
        <w:trPr>
          <w:jc w:val="center"/>
        </w:trPr>
        <w:tc>
          <w:tcPr>
            <w:tcW w:w="203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3-Months JOA</w:t>
            </w:r>
          </w:p>
        </w:tc>
        <w:tc>
          <w:tcPr>
            <w:tcW w:w="804"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13.00</w:t>
            </w:r>
          </w:p>
        </w:tc>
        <w:tc>
          <w:tcPr>
            <w:tcW w:w="619"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1.70</w:t>
            </w:r>
          </w:p>
        </w:tc>
        <w:tc>
          <w:tcPr>
            <w:tcW w:w="970"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0.0001</w:t>
            </w:r>
          </w:p>
        </w:tc>
        <w:tc>
          <w:tcPr>
            <w:tcW w:w="576"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w:t>
            </w:r>
          </w:p>
        </w:tc>
      </w:tr>
      <w:tr w:rsidR="00B503E8" w:rsidRPr="000F3911" w:rsidTr="007A1E52">
        <w:trPr>
          <w:jc w:val="center"/>
        </w:trPr>
        <w:tc>
          <w:tcPr>
            <w:tcW w:w="203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6-Months JOA</w:t>
            </w:r>
          </w:p>
        </w:tc>
        <w:tc>
          <w:tcPr>
            <w:tcW w:w="804"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14.00</w:t>
            </w:r>
          </w:p>
        </w:tc>
        <w:tc>
          <w:tcPr>
            <w:tcW w:w="619" w:type="pct"/>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1.81</w:t>
            </w:r>
          </w:p>
        </w:tc>
        <w:tc>
          <w:tcPr>
            <w:tcW w:w="970"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0.009</w:t>
            </w:r>
          </w:p>
        </w:tc>
        <w:tc>
          <w:tcPr>
            <w:tcW w:w="576"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w:t>
            </w:r>
          </w:p>
        </w:tc>
      </w:tr>
    </w:tbl>
    <w:p w:rsidR="007A1E52" w:rsidRPr="000F3911" w:rsidRDefault="007A1E52" w:rsidP="007A1E52">
      <w:pPr>
        <w:autoSpaceDE w:val="0"/>
        <w:autoSpaceDN w:val="0"/>
        <w:bidi w:val="0"/>
        <w:adjustRightInd w:val="0"/>
        <w:snapToGrid w:val="0"/>
        <w:jc w:val="both"/>
        <w:rPr>
          <w:color w:val="000000"/>
          <w:sz w:val="20"/>
          <w:szCs w:val="20"/>
        </w:rPr>
      </w:pPr>
      <w:r w:rsidRPr="000F3911">
        <w:rPr>
          <w:color w:val="000000"/>
          <w:sz w:val="20"/>
          <w:szCs w:val="20"/>
        </w:rPr>
        <w:t>Intervals (immediate, 3 months and 6 months) in ACDF and ACCF group.</w:t>
      </w:r>
    </w:p>
    <w:p w:rsidR="00937CCC" w:rsidRDefault="00937CCC" w:rsidP="007A1E52">
      <w:pPr>
        <w:autoSpaceDE w:val="0"/>
        <w:autoSpaceDN w:val="0"/>
        <w:bidi w:val="0"/>
        <w:adjustRightInd w:val="0"/>
        <w:snapToGrid w:val="0"/>
        <w:jc w:val="both"/>
        <w:rPr>
          <w:rFonts w:eastAsiaTheme="minorEastAsia" w:hint="eastAsia"/>
          <w:b/>
          <w:bCs/>
          <w:sz w:val="20"/>
          <w:szCs w:val="20"/>
          <w:lang w:eastAsia="zh-CN"/>
        </w:rPr>
      </w:pPr>
    </w:p>
    <w:p w:rsidR="007A1E52" w:rsidRPr="000F3911" w:rsidRDefault="007A1E52" w:rsidP="00937CCC">
      <w:pPr>
        <w:autoSpaceDE w:val="0"/>
        <w:autoSpaceDN w:val="0"/>
        <w:bidi w:val="0"/>
        <w:adjustRightInd w:val="0"/>
        <w:snapToGrid w:val="0"/>
        <w:jc w:val="both"/>
        <w:rPr>
          <w:color w:val="000000"/>
          <w:sz w:val="20"/>
          <w:szCs w:val="20"/>
        </w:rPr>
      </w:pPr>
      <w:r w:rsidRPr="000F3911">
        <w:rPr>
          <w:b/>
          <w:bCs/>
          <w:sz w:val="20"/>
          <w:szCs w:val="20"/>
        </w:rPr>
        <w:t>Table 11: Preoperative and postoperative mean comparison and P value between preoperative and different times of assessment in group of ACCF.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6"/>
        <w:gridCol w:w="1780"/>
        <w:gridCol w:w="1780"/>
        <w:gridCol w:w="1780"/>
        <w:gridCol w:w="942"/>
      </w:tblGrid>
      <w:tr w:rsidR="007A1E52" w:rsidRPr="000F3911" w:rsidTr="007A1E52">
        <w:trPr>
          <w:trHeight w:val="244"/>
          <w:jc w:val="center"/>
        </w:trPr>
        <w:tc>
          <w:tcPr>
            <w:tcW w:w="1721"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p>
        </w:tc>
        <w:tc>
          <w:tcPr>
            <w:tcW w:w="929" w:type="pct"/>
            <w:shd w:val="clear" w:color="auto" w:fill="DBE5F1"/>
          </w:tcPr>
          <w:p w:rsidR="007A1E52" w:rsidRPr="000F3911" w:rsidRDefault="007A1E52" w:rsidP="007A1E52">
            <w:pPr>
              <w:tabs>
                <w:tab w:val="left" w:pos="1005"/>
              </w:tabs>
              <w:autoSpaceDE w:val="0"/>
              <w:autoSpaceDN w:val="0"/>
              <w:bidi w:val="0"/>
              <w:adjustRightInd w:val="0"/>
              <w:snapToGrid w:val="0"/>
              <w:jc w:val="both"/>
              <w:rPr>
                <w:b/>
                <w:bCs/>
                <w:sz w:val="20"/>
                <w:szCs w:val="20"/>
              </w:rPr>
            </w:pPr>
            <w:r w:rsidRPr="000F3911">
              <w:rPr>
                <w:b/>
                <w:bCs/>
                <w:sz w:val="20"/>
                <w:szCs w:val="20"/>
              </w:rPr>
              <w:t>Mean</w:t>
            </w:r>
          </w:p>
        </w:tc>
        <w:tc>
          <w:tcPr>
            <w:tcW w:w="929"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SD</w:t>
            </w:r>
          </w:p>
        </w:tc>
        <w:tc>
          <w:tcPr>
            <w:tcW w:w="929"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P Value</w:t>
            </w:r>
          </w:p>
        </w:tc>
        <w:tc>
          <w:tcPr>
            <w:tcW w:w="492"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Sig</w:t>
            </w:r>
          </w:p>
        </w:tc>
      </w:tr>
      <w:tr w:rsidR="007A1E52" w:rsidRPr="000F3911" w:rsidTr="007A1E52">
        <w:trPr>
          <w:trHeight w:val="64"/>
          <w:jc w:val="center"/>
        </w:trPr>
        <w:tc>
          <w:tcPr>
            <w:tcW w:w="1721"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Preoperative JOA</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11.00</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1.40</w:t>
            </w:r>
          </w:p>
        </w:tc>
        <w:tc>
          <w:tcPr>
            <w:tcW w:w="929" w:type="pct"/>
            <w:vAlign w:val="center"/>
          </w:tcPr>
          <w:p w:rsidR="007A1E52" w:rsidRPr="000F3911" w:rsidRDefault="007A1E52" w:rsidP="007A1E52">
            <w:pPr>
              <w:autoSpaceDE w:val="0"/>
              <w:autoSpaceDN w:val="0"/>
              <w:bidi w:val="0"/>
              <w:adjustRightInd w:val="0"/>
              <w:snapToGrid w:val="0"/>
              <w:jc w:val="both"/>
              <w:rPr>
                <w:sz w:val="20"/>
                <w:szCs w:val="20"/>
              </w:rPr>
            </w:pPr>
            <w:r w:rsidRPr="000F3911">
              <w:rPr>
                <w:sz w:val="20"/>
                <w:szCs w:val="20"/>
              </w:rPr>
              <w:t>-</w:t>
            </w:r>
          </w:p>
        </w:tc>
        <w:tc>
          <w:tcPr>
            <w:tcW w:w="492" w:type="pct"/>
            <w:vAlign w:val="center"/>
          </w:tcPr>
          <w:p w:rsidR="007A1E52" w:rsidRPr="000F3911" w:rsidRDefault="007A1E52" w:rsidP="007A1E52">
            <w:pPr>
              <w:autoSpaceDE w:val="0"/>
              <w:autoSpaceDN w:val="0"/>
              <w:bidi w:val="0"/>
              <w:adjustRightInd w:val="0"/>
              <w:snapToGrid w:val="0"/>
              <w:jc w:val="both"/>
              <w:rPr>
                <w:sz w:val="20"/>
                <w:szCs w:val="20"/>
              </w:rPr>
            </w:pPr>
            <w:r w:rsidRPr="000F3911">
              <w:rPr>
                <w:sz w:val="20"/>
                <w:szCs w:val="20"/>
              </w:rPr>
              <w:t>-</w:t>
            </w:r>
          </w:p>
        </w:tc>
      </w:tr>
      <w:tr w:rsidR="007A1E52" w:rsidRPr="000F3911" w:rsidTr="007A1E52">
        <w:trPr>
          <w:trHeight w:val="64"/>
          <w:jc w:val="center"/>
        </w:trPr>
        <w:tc>
          <w:tcPr>
            <w:tcW w:w="1721"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Immediate JOA</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11.00</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1.43</w:t>
            </w:r>
          </w:p>
        </w:tc>
        <w:tc>
          <w:tcPr>
            <w:tcW w:w="929"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0.06</w:t>
            </w:r>
          </w:p>
        </w:tc>
        <w:tc>
          <w:tcPr>
            <w:tcW w:w="492"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S</w:t>
            </w:r>
          </w:p>
        </w:tc>
      </w:tr>
      <w:tr w:rsidR="007A1E52" w:rsidRPr="000F3911" w:rsidTr="007A1E52">
        <w:trPr>
          <w:trHeight w:val="98"/>
          <w:jc w:val="center"/>
        </w:trPr>
        <w:tc>
          <w:tcPr>
            <w:tcW w:w="1721"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3-Months JOA</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13.00</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1.55</w:t>
            </w:r>
          </w:p>
        </w:tc>
        <w:tc>
          <w:tcPr>
            <w:tcW w:w="929"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0.0002</w:t>
            </w:r>
          </w:p>
        </w:tc>
        <w:tc>
          <w:tcPr>
            <w:tcW w:w="492"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S</w:t>
            </w:r>
          </w:p>
        </w:tc>
      </w:tr>
      <w:tr w:rsidR="007A1E52" w:rsidRPr="000F3911" w:rsidTr="007A1E52">
        <w:trPr>
          <w:trHeight w:val="64"/>
          <w:jc w:val="center"/>
        </w:trPr>
        <w:tc>
          <w:tcPr>
            <w:tcW w:w="1721" w:type="pct"/>
            <w:shd w:val="clear" w:color="auto" w:fill="DBE5F1"/>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6-Months JOA</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13.00</w:t>
            </w:r>
          </w:p>
        </w:tc>
        <w:tc>
          <w:tcPr>
            <w:tcW w:w="929" w:type="pct"/>
            <w:vAlign w:val="center"/>
          </w:tcPr>
          <w:p w:rsidR="007A1E52" w:rsidRPr="000F3911" w:rsidRDefault="007A1E52" w:rsidP="007A1E52">
            <w:pPr>
              <w:autoSpaceDE w:val="0"/>
              <w:autoSpaceDN w:val="0"/>
              <w:bidi w:val="0"/>
              <w:adjustRightInd w:val="0"/>
              <w:snapToGrid w:val="0"/>
              <w:jc w:val="both"/>
              <w:rPr>
                <w:color w:val="010205"/>
                <w:sz w:val="20"/>
                <w:szCs w:val="20"/>
              </w:rPr>
            </w:pPr>
            <w:r w:rsidRPr="000F3911">
              <w:rPr>
                <w:color w:val="010205"/>
                <w:sz w:val="20"/>
                <w:szCs w:val="20"/>
              </w:rPr>
              <w:t>1.91</w:t>
            </w:r>
          </w:p>
        </w:tc>
        <w:tc>
          <w:tcPr>
            <w:tcW w:w="929"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0.0065</w:t>
            </w:r>
          </w:p>
        </w:tc>
        <w:tc>
          <w:tcPr>
            <w:tcW w:w="492" w:type="pct"/>
            <w:shd w:val="clear" w:color="auto" w:fill="DBE5F1"/>
            <w:vAlign w:val="center"/>
          </w:tcPr>
          <w:p w:rsidR="007A1E52" w:rsidRPr="000F3911" w:rsidRDefault="007A1E52" w:rsidP="007A1E52">
            <w:pPr>
              <w:autoSpaceDE w:val="0"/>
              <w:autoSpaceDN w:val="0"/>
              <w:bidi w:val="0"/>
              <w:adjustRightInd w:val="0"/>
              <w:snapToGrid w:val="0"/>
              <w:jc w:val="both"/>
              <w:rPr>
                <w:b/>
                <w:bCs/>
                <w:sz w:val="20"/>
                <w:szCs w:val="20"/>
              </w:rPr>
            </w:pPr>
            <w:r w:rsidRPr="000F3911">
              <w:rPr>
                <w:b/>
                <w:bCs/>
                <w:sz w:val="20"/>
                <w:szCs w:val="20"/>
              </w:rPr>
              <w:t>S</w:t>
            </w:r>
          </w:p>
        </w:tc>
      </w:tr>
    </w:tbl>
    <w:p w:rsidR="006244D6" w:rsidRPr="000F3911" w:rsidRDefault="006244D6" w:rsidP="007A1E52">
      <w:pPr>
        <w:autoSpaceDE w:val="0"/>
        <w:autoSpaceDN w:val="0"/>
        <w:bidi w:val="0"/>
        <w:adjustRightInd w:val="0"/>
        <w:snapToGrid w:val="0"/>
        <w:ind w:firstLine="425"/>
        <w:jc w:val="both"/>
        <w:rPr>
          <w:sz w:val="20"/>
          <w:szCs w:val="20"/>
        </w:rPr>
      </w:pP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6244D6">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ind w:firstLine="425"/>
        <w:jc w:val="both"/>
        <w:rPr>
          <w:sz w:val="20"/>
          <w:szCs w:val="20"/>
        </w:rPr>
      </w:pPr>
      <w:r w:rsidRPr="000F3911">
        <w:rPr>
          <w:sz w:val="20"/>
          <w:szCs w:val="20"/>
        </w:rPr>
        <w:lastRenderedPageBreak/>
        <w:t xml:space="preserve">Japanese orthopedic association score was compared four times between ACDF and ACCF. These four times reflects times of assessment. In general, JOA score was inclined over two months </w:t>
      </w:r>
      <w:r w:rsidRPr="000F3911">
        <w:rPr>
          <w:sz w:val="20"/>
          <w:szCs w:val="20"/>
        </w:rPr>
        <w:lastRenderedPageBreak/>
        <w:t>later on. At some points, the score may become stable at 3 and 6 months. The mean percentage of JOA score was 15.4% for ACDF and 17.4% for ACCF (see Table 15).</w:t>
      </w: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C1075F" w:rsidRPr="000F3911" w:rsidRDefault="00C1075F" w:rsidP="007A1E52">
      <w:pPr>
        <w:autoSpaceDE w:val="0"/>
        <w:autoSpaceDN w:val="0"/>
        <w:bidi w:val="0"/>
        <w:adjustRightInd w:val="0"/>
        <w:snapToGrid w:val="0"/>
        <w:ind w:firstLine="425"/>
        <w:jc w:val="both"/>
        <w:rPr>
          <w:sz w:val="20"/>
          <w:szCs w:val="20"/>
        </w:rPr>
      </w:pPr>
    </w:p>
    <w:p w:rsidR="00C1075F" w:rsidRPr="000F3911" w:rsidRDefault="00F90A8B" w:rsidP="007A1E52">
      <w:pPr>
        <w:autoSpaceDE w:val="0"/>
        <w:autoSpaceDN w:val="0"/>
        <w:bidi w:val="0"/>
        <w:adjustRightInd w:val="0"/>
        <w:snapToGrid w:val="0"/>
        <w:jc w:val="center"/>
        <w:rPr>
          <w:rFonts w:eastAsia="Batang"/>
          <w:b/>
          <w:bCs/>
          <w:color w:val="000000"/>
          <w:sz w:val="20"/>
          <w:szCs w:val="20"/>
        </w:rPr>
      </w:pPr>
      <w:r w:rsidRPr="000F3911">
        <w:rPr>
          <w:rFonts w:eastAsia="Batang"/>
          <w:b/>
          <w:bCs/>
          <w:color w:val="000000"/>
          <w:sz w:val="20"/>
          <w:szCs w:val="20"/>
        </w:rPr>
        <w:t>Table 12</w:t>
      </w:r>
      <w:r w:rsidR="00C1075F" w:rsidRPr="000F3911">
        <w:rPr>
          <w:rFonts w:eastAsia="Batang"/>
          <w:b/>
          <w:bCs/>
          <w:color w:val="000000"/>
          <w:sz w:val="20"/>
          <w:szCs w:val="20"/>
        </w:rPr>
        <w:t>: Preoperative and postoperative mean comparison between both modalities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3013"/>
        <w:gridCol w:w="1179"/>
        <w:gridCol w:w="906"/>
        <w:gridCol w:w="1179"/>
        <w:gridCol w:w="906"/>
        <w:gridCol w:w="1450"/>
        <w:gridCol w:w="843"/>
      </w:tblGrid>
      <w:tr w:rsidR="00C1075F" w:rsidRPr="000F3911" w:rsidTr="006244D6">
        <w:trPr>
          <w:jc w:val="center"/>
        </w:trPr>
        <w:tc>
          <w:tcPr>
            <w:tcW w:w="1590"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11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ACDF</w:t>
            </w:r>
          </w:p>
        </w:tc>
        <w:tc>
          <w:tcPr>
            <w:tcW w:w="11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ACCF</w:t>
            </w:r>
          </w:p>
        </w:tc>
        <w:tc>
          <w:tcPr>
            <w:tcW w:w="121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p>
        </w:tc>
      </w:tr>
      <w:tr w:rsidR="006244D6" w:rsidRPr="000F3911" w:rsidTr="006244D6">
        <w:trPr>
          <w:jc w:val="center"/>
        </w:trPr>
        <w:tc>
          <w:tcPr>
            <w:tcW w:w="159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Mean</w:t>
            </w: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SD</w:t>
            </w:r>
          </w:p>
        </w:tc>
        <w:tc>
          <w:tcPr>
            <w:tcW w:w="62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Mean</w:t>
            </w: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SD</w:t>
            </w:r>
          </w:p>
        </w:tc>
        <w:tc>
          <w:tcPr>
            <w:tcW w:w="765"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P value</w:t>
            </w:r>
          </w:p>
        </w:tc>
        <w:tc>
          <w:tcPr>
            <w:tcW w:w="444"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rFonts w:eastAsia="Batang"/>
                <w:b/>
                <w:bCs/>
                <w:color w:val="000000"/>
                <w:sz w:val="20"/>
                <w:szCs w:val="20"/>
              </w:rPr>
            </w:pPr>
            <w:r w:rsidRPr="000F3911">
              <w:rPr>
                <w:rFonts w:eastAsia="Batang"/>
                <w:b/>
                <w:bCs/>
                <w:color w:val="000000"/>
                <w:sz w:val="20"/>
                <w:szCs w:val="20"/>
              </w:rPr>
              <w:t>Sig.</w:t>
            </w:r>
          </w:p>
        </w:tc>
      </w:tr>
      <w:tr w:rsidR="006244D6" w:rsidRPr="000F3911" w:rsidTr="006244D6">
        <w:trPr>
          <w:jc w:val="center"/>
        </w:trPr>
        <w:tc>
          <w:tcPr>
            <w:tcW w:w="1590" w:type="pct"/>
            <w:tcBorders>
              <w:top w:val="single" w:sz="4" w:space="0" w:color="auto"/>
              <w:left w:val="single" w:sz="4" w:space="0" w:color="auto"/>
              <w:bottom w:val="single" w:sz="4" w:space="0" w:color="auto"/>
              <w:right w:val="single" w:sz="4" w:space="0" w:color="auto"/>
            </w:tcBorders>
            <w:shd w:val="clear" w:color="auto" w:fill="D5DCE4"/>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Preoperative JOA</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12.00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1.76</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11.00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1.40</w:t>
            </w:r>
          </w:p>
        </w:tc>
        <w:tc>
          <w:tcPr>
            <w:tcW w:w="76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0.729</w:t>
            </w:r>
          </w:p>
        </w:tc>
        <w:tc>
          <w:tcPr>
            <w:tcW w:w="444"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NS</w:t>
            </w:r>
          </w:p>
        </w:tc>
      </w:tr>
      <w:tr w:rsidR="006244D6" w:rsidRPr="000F3911" w:rsidTr="006244D6">
        <w:trPr>
          <w:jc w:val="center"/>
        </w:trPr>
        <w:tc>
          <w:tcPr>
            <w:tcW w:w="1590" w:type="pct"/>
            <w:tcBorders>
              <w:top w:val="single" w:sz="4" w:space="0" w:color="auto"/>
              <w:left w:val="single" w:sz="4" w:space="0" w:color="auto"/>
              <w:bottom w:val="single" w:sz="4" w:space="0" w:color="auto"/>
              <w:right w:val="single" w:sz="4" w:space="0" w:color="auto"/>
            </w:tcBorders>
            <w:shd w:val="clear" w:color="auto" w:fill="D5DCE4"/>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Immediate JOA</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12.00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1.66</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11.00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1.43</w:t>
            </w:r>
          </w:p>
        </w:tc>
        <w:tc>
          <w:tcPr>
            <w:tcW w:w="76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0.885</w:t>
            </w:r>
          </w:p>
        </w:tc>
        <w:tc>
          <w:tcPr>
            <w:tcW w:w="444"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NS</w:t>
            </w:r>
          </w:p>
        </w:tc>
      </w:tr>
      <w:tr w:rsidR="006244D6" w:rsidRPr="000F3911" w:rsidTr="006244D6">
        <w:trPr>
          <w:jc w:val="center"/>
        </w:trPr>
        <w:tc>
          <w:tcPr>
            <w:tcW w:w="1590" w:type="pct"/>
            <w:tcBorders>
              <w:top w:val="single" w:sz="4" w:space="0" w:color="auto"/>
              <w:left w:val="single" w:sz="4" w:space="0" w:color="auto"/>
              <w:bottom w:val="single" w:sz="4" w:space="0" w:color="auto"/>
              <w:right w:val="single" w:sz="4" w:space="0" w:color="auto"/>
            </w:tcBorders>
            <w:shd w:val="clear" w:color="auto" w:fill="D5DCE4"/>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3-month JOA</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13.00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1.70</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13.00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1.55</w:t>
            </w:r>
          </w:p>
        </w:tc>
        <w:tc>
          <w:tcPr>
            <w:tcW w:w="76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0.945</w:t>
            </w:r>
          </w:p>
        </w:tc>
        <w:tc>
          <w:tcPr>
            <w:tcW w:w="444"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NS</w:t>
            </w:r>
          </w:p>
        </w:tc>
      </w:tr>
      <w:tr w:rsidR="006244D6" w:rsidRPr="000F3911" w:rsidTr="006244D6">
        <w:trPr>
          <w:jc w:val="center"/>
        </w:trPr>
        <w:tc>
          <w:tcPr>
            <w:tcW w:w="1590" w:type="pct"/>
            <w:tcBorders>
              <w:top w:val="single" w:sz="4" w:space="0" w:color="auto"/>
              <w:left w:val="single" w:sz="4" w:space="0" w:color="auto"/>
              <w:bottom w:val="single" w:sz="4" w:space="0" w:color="auto"/>
              <w:right w:val="single" w:sz="4" w:space="0" w:color="auto"/>
            </w:tcBorders>
            <w:shd w:val="clear" w:color="auto" w:fill="D5DCE4"/>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6-month JOA</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14.00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1.81</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13.00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1.91</w:t>
            </w:r>
          </w:p>
        </w:tc>
        <w:tc>
          <w:tcPr>
            <w:tcW w:w="76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0.677</w:t>
            </w:r>
          </w:p>
        </w:tc>
        <w:tc>
          <w:tcPr>
            <w:tcW w:w="444"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NS</w:t>
            </w:r>
          </w:p>
        </w:tc>
      </w:tr>
      <w:tr w:rsidR="006244D6" w:rsidRPr="000F3911" w:rsidTr="006244D6">
        <w:trPr>
          <w:jc w:val="center"/>
        </w:trPr>
        <w:tc>
          <w:tcPr>
            <w:tcW w:w="1590" w:type="pct"/>
            <w:tcBorders>
              <w:top w:val="single" w:sz="4" w:space="0" w:color="auto"/>
              <w:left w:val="single" w:sz="4" w:space="0" w:color="auto"/>
              <w:bottom w:val="single" w:sz="4" w:space="0" w:color="auto"/>
              <w:right w:val="single" w:sz="4" w:space="0" w:color="auto"/>
            </w:tcBorders>
            <w:shd w:val="clear" w:color="auto" w:fill="D5DCE4"/>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JOA (%)</w:t>
            </w: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15.39</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62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17.40</w:t>
            </w:r>
          </w:p>
        </w:tc>
        <w:tc>
          <w:tcPr>
            <w:tcW w:w="47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p>
        </w:tc>
        <w:tc>
          <w:tcPr>
            <w:tcW w:w="76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0.771</w:t>
            </w:r>
          </w:p>
        </w:tc>
        <w:tc>
          <w:tcPr>
            <w:tcW w:w="444"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autoSpaceDE w:val="0"/>
              <w:autoSpaceDN w:val="0"/>
              <w:bidi w:val="0"/>
              <w:adjustRightInd w:val="0"/>
              <w:snapToGrid w:val="0"/>
              <w:jc w:val="both"/>
              <w:rPr>
                <w:rFonts w:eastAsia="Batang"/>
                <w:color w:val="000000"/>
                <w:sz w:val="20"/>
                <w:szCs w:val="20"/>
              </w:rPr>
            </w:pPr>
            <w:r w:rsidRPr="000F3911">
              <w:rPr>
                <w:rFonts w:eastAsia="Batang"/>
                <w:color w:val="000000"/>
                <w:sz w:val="20"/>
                <w:szCs w:val="20"/>
              </w:rPr>
              <w:t>NS</w:t>
            </w:r>
          </w:p>
        </w:tc>
      </w:tr>
    </w:tbl>
    <w:p w:rsidR="006244D6" w:rsidRDefault="006244D6" w:rsidP="007A1E52">
      <w:pPr>
        <w:autoSpaceDE w:val="0"/>
        <w:autoSpaceDN w:val="0"/>
        <w:bidi w:val="0"/>
        <w:adjustRightInd w:val="0"/>
        <w:snapToGrid w:val="0"/>
        <w:ind w:firstLine="425"/>
        <w:jc w:val="both"/>
        <w:rPr>
          <w:rFonts w:eastAsiaTheme="minorEastAsia" w:hint="eastAsia"/>
          <w:color w:val="000000"/>
          <w:sz w:val="20"/>
          <w:szCs w:val="20"/>
          <w:lang w:eastAsia="zh-CN"/>
        </w:rPr>
      </w:pPr>
    </w:p>
    <w:p w:rsidR="00937CCC" w:rsidRPr="00937CCC" w:rsidRDefault="00937CCC" w:rsidP="00937CCC">
      <w:pPr>
        <w:autoSpaceDE w:val="0"/>
        <w:autoSpaceDN w:val="0"/>
        <w:bidi w:val="0"/>
        <w:adjustRightInd w:val="0"/>
        <w:snapToGrid w:val="0"/>
        <w:ind w:firstLine="425"/>
        <w:jc w:val="both"/>
        <w:rPr>
          <w:rFonts w:eastAsiaTheme="minorEastAsia" w:hint="eastAsia"/>
          <w:color w:val="000000"/>
          <w:sz w:val="20"/>
          <w:szCs w:val="20"/>
          <w:lang w:eastAsia="zh-CN"/>
        </w:rPr>
      </w:pPr>
    </w:p>
    <w:p w:rsidR="006244D6" w:rsidRPr="000F3911" w:rsidRDefault="006244D6" w:rsidP="007A1E52">
      <w:pPr>
        <w:autoSpaceDE w:val="0"/>
        <w:autoSpaceDN w:val="0"/>
        <w:bidi w:val="0"/>
        <w:adjustRightInd w:val="0"/>
        <w:snapToGrid w:val="0"/>
        <w:ind w:firstLine="425"/>
        <w:jc w:val="both"/>
        <w:rPr>
          <w:color w:val="000000"/>
          <w:sz w:val="20"/>
          <w:szCs w:val="20"/>
        </w:rPr>
        <w:sectPr w:rsidR="006244D6" w:rsidRPr="000F3911" w:rsidSect="006244D6">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lastRenderedPageBreak/>
        <w:t xml:space="preserve">As regard Cobb’s angle, mean and SD of each procedure was estimated preoperatively and showed no statistically significant difference between two groups (0.067) which reflected homogenous </w:t>
      </w:r>
      <w:r w:rsidRPr="000F3911">
        <w:rPr>
          <w:color w:val="000000"/>
          <w:sz w:val="20"/>
          <w:szCs w:val="20"/>
        </w:rPr>
        <w:lastRenderedPageBreak/>
        <w:t xml:space="preserve">distribution </w:t>
      </w:r>
      <w:r w:rsidR="000F3911" w:rsidRPr="000F3911">
        <w:rPr>
          <w:color w:val="000000"/>
          <w:sz w:val="20"/>
          <w:szCs w:val="20"/>
        </w:rPr>
        <w:t>between study’s</w:t>
      </w:r>
      <w:r w:rsidRPr="000F3911">
        <w:rPr>
          <w:color w:val="000000"/>
          <w:sz w:val="20"/>
          <w:szCs w:val="20"/>
        </w:rPr>
        <w:t xml:space="preserve"> participants. Although, there was no difference in angle correction by either modality at 3 and 6 months interval (0.066, 0.386) respectively.</w:t>
      </w:r>
    </w:p>
    <w:p w:rsidR="006244D6" w:rsidRPr="000F3911" w:rsidRDefault="006244D6" w:rsidP="007A1E52">
      <w:pPr>
        <w:autoSpaceDE w:val="0"/>
        <w:autoSpaceDN w:val="0"/>
        <w:bidi w:val="0"/>
        <w:adjustRightInd w:val="0"/>
        <w:snapToGrid w:val="0"/>
        <w:jc w:val="both"/>
        <w:rPr>
          <w:b/>
          <w:bCs/>
          <w:color w:val="000000"/>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75778A" w:rsidRPr="000F3911" w:rsidRDefault="0075778A" w:rsidP="007A1E52">
      <w:pPr>
        <w:autoSpaceDE w:val="0"/>
        <w:autoSpaceDN w:val="0"/>
        <w:bidi w:val="0"/>
        <w:adjustRightInd w:val="0"/>
        <w:snapToGrid w:val="0"/>
        <w:jc w:val="center"/>
        <w:rPr>
          <w:b/>
          <w:bCs/>
          <w:color w:val="000000"/>
          <w:sz w:val="20"/>
          <w:szCs w:val="20"/>
        </w:rPr>
      </w:pPr>
    </w:p>
    <w:p w:rsidR="000F3911" w:rsidRDefault="000F3911" w:rsidP="007A1E52">
      <w:pPr>
        <w:autoSpaceDE w:val="0"/>
        <w:autoSpaceDN w:val="0"/>
        <w:bidi w:val="0"/>
        <w:adjustRightInd w:val="0"/>
        <w:snapToGrid w:val="0"/>
        <w:jc w:val="both"/>
        <w:rPr>
          <w:rFonts w:eastAsiaTheme="minorEastAsia" w:hint="eastAsia"/>
          <w:b/>
          <w:bCs/>
          <w:color w:val="000000"/>
          <w:sz w:val="20"/>
          <w:szCs w:val="20"/>
          <w:lang w:eastAsia="zh-CN"/>
        </w:rPr>
      </w:pPr>
    </w:p>
    <w:p w:rsidR="000F3911" w:rsidRDefault="000F3911" w:rsidP="000F3911">
      <w:pPr>
        <w:autoSpaceDE w:val="0"/>
        <w:autoSpaceDN w:val="0"/>
        <w:bidi w:val="0"/>
        <w:adjustRightInd w:val="0"/>
        <w:snapToGrid w:val="0"/>
        <w:jc w:val="both"/>
        <w:rPr>
          <w:rFonts w:eastAsiaTheme="minorEastAsia" w:hint="eastAsia"/>
          <w:b/>
          <w:bCs/>
          <w:color w:val="000000"/>
          <w:sz w:val="20"/>
          <w:szCs w:val="20"/>
          <w:lang w:eastAsia="zh-CN"/>
        </w:rPr>
      </w:pPr>
    </w:p>
    <w:p w:rsidR="00C1075F" w:rsidRPr="000F3911" w:rsidRDefault="00F90A8B" w:rsidP="000F3911">
      <w:pPr>
        <w:autoSpaceDE w:val="0"/>
        <w:autoSpaceDN w:val="0"/>
        <w:bidi w:val="0"/>
        <w:adjustRightInd w:val="0"/>
        <w:snapToGrid w:val="0"/>
        <w:jc w:val="both"/>
        <w:rPr>
          <w:b/>
          <w:bCs/>
          <w:color w:val="000000"/>
          <w:sz w:val="20"/>
          <w:szCs w:val="20"/>
        </w:rPr>
      </w:pPr>
      <w:r w:rsidRPr="000F3911">
        <w:rPr>
          <w:b/>
          <w:bCs/>
          <w:color w:val="000000"/>
          <w:sz w:val="20"/>
          <w:szCs w:val="20"/>
        </w:rPr>
        <w:t>Table</w:t>
      </w:r>
      <w:r w:rsidR="000F3911">
        <w:rPr>
          <w:rFonts w:eastAsiaTheme="minorEastAsia" w:hint="eastAsia"/>
          <w:b/>
          <w:bCs/>
          <w:color w:val="000000"/>
          <w:sz w:val="20"/>
          <w:szCs w:val="20"/>
          <w:lang w:eastAsia="zh-CN"/>
        </w:rPr>
        <w:t xml:space="preserve"> </w:t>
      </w:r>
      <w:r w:rsidRPr="000F3911">
        <w:rPr>
          <w:b/>
          <w:bCs/>
          <w:color w:val="000000"/>
          <w:sz w:val="20"/>
          <w:szCs w:val="20"/>
        </w:rPr>
        <w:t>13</w:t>
      </w:r>
      <w:r w:rsidR="00C1075F" w:rsidRPr="000F3911">
        <w:rPr>
          <w:b/>
          <w:bCs/>
          <w:color w:val="000000"/>
          <w:sz w:val="20"/>
          <w:szCs w:val="20"/>
        </w:rPr>
        <w:t>: Comparison between ACCF and ACDF as regard Cobb’s angle preoperative, 3-months and 6-months interval</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622"/>
        <w:gridCol w:w="917"/>
        <w:gridCol w:w="705"/>
        <w:gridCol w:w="917"/>
        <w:gridCol w:w="705"/>
        <w:gridCol w:w="866"/>
        <w:gridCol w:w="1744"/>
      </w:tblGrid>
      <w:tr w:rsidR="00B503E8" w:rsidRPr="000F3911" w:rsidTr="007A1E52">
        <w:trPr>
          <w:cantSplit/>
          <w:jc w:val="center"/>
        </w:trPr>
        <w:tc>
          <w:tcPr>
            <w:tcW w:w="1911"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171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Operation</w:t>
            </w:r>
          </w:p>
        </w:tc>
        <w:tc>
          <w:tcPr>
            <w:tcW w:w="457" w:type="pct"/>
            <w:vMerge w:val="restart"/>
            <w:tcBorders>
              <w:top w:val="single" w:sz="4" w:space="0" w:color="auto"/>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w:t>
            </w:r>
          </w:p>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value</w:t>
            </w:r>
          </w:p>
        </w:tc>
        <w:tc>
          <w:tcPr>
            <w:tcW w:w="921" w:type="pct"/>
            <w:vMerge w:val="restart"/>
            <w:tcBorders>
              <w:top w:val="single" w:sz="4" w:space="0" w:color="auto"/>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Significance</w:t>
            </w:r>
          </w:p>
        </w:tc>
      </w:tr>
      <w:tr w:rsidR="006244D6" w:rsidRPr="000F3911" w:rsidTr="007A1E52">
        <w:trPr>
          <w:cantSplit/>
          <w:jc w:val="center"/>
        </w:trPr>
        <w:tc>
          <w:tcPr>
            <w:tcW w:w="1911"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85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ACDF</w:t>
            </w:r>
          </w:p>
        </w:tc>
        <w:tc>
          <w:tcPr>
            <w:tcW w:w="85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ACCF</w:t>
            </w:r>
          </w:p>
        </w:tc>
        <w:tc>
          <w:tcPr>
            <w:tcW w:w="457" w:type="pct"/>
            <w:vMerge/>
            <w:tcBorders>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921" w:type="pct"/>
            <w:vMerge/>
            <w:tcBorders>
              <w:left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7A1E52">
        <w:trPr>
          <w:cantSplit/>
          <w:jc w:val="center"/>
        </w:trPr>
        <w:tc>
          <w:tcPr>
            <w:tcW w:w="1911"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Mean</w:t>
            </w:r>
          </w:p>
        </w:tc>
        <w:tc>
          <w:tcPr>
            <w:tcW w:w="37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SD</w:t>
            </w:r>
          </w:p>
        </w:tc>
        <w:tc>
          <w:tcPr>
            <w:tcW w:w="484"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Mean</w:t>
            </w:r>
          </w:p>
        </w:tc>
        <w:tc>
          <w:tcPr>
            <w:tcW w:w="37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SD</w:t>
            </w:r>
          </w:p>
        </w:tc>
        <w:tc>
          <w:tcPr>
            <w:tcW w:w="457" w:type="pct"/>
            <w:vMerge/>
            <w:tcBorders>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921" w:type="pct"/>
            <w:vMerge/>
            <w:tcBorders>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7A1E52">
        <w:trPr>
          <w:cantSplit/>
          <w:jc w:val="center"/>
        </w:trPr>
        <w:tc>
          <w:tcPr>
            <w:tcW w:w="1911"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Preoperative Cobb’s angle</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10.19</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2.12</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9.59</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1.82</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0.067</w:t>
            </w:r>
          </w:p>
        </w:tc>
        <w:tc>
          <w:tcPr>
            <w:tcW w:w="921"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7A1E52">
        <w:trPr>
          <w:cantSplit/>
          <w:jc w:val="center"/>
        </w:trPr>
        <w:tc>
          <w:tcPr>
            <w:tcW w:w="1911"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3-Months Cobb’s Angle</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12.16</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2.37</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10.89</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2.30</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0.066</w:t>
            </w:r>
          </w:p>
        </w:tc>
        <w:tc>
          <w:tcPr>
            <w:tcW w:w="921"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7A1E52">
        <w:trPr>
          <w:cantSplit/>
          <w:jc w:val="center"/>
        </w:trPr>
        <w:tc>
          <w:tcPr>
            <w:tcW w:w="1911"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6-Months Cobb’s Angle</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14.52</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2.20</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12.97</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2.56</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0.386</w:t>
            </w:r>
          </w:p>
        </w:tc>
        <w:tc>
          <w:tcPr>
            <w:tcW w:w="921" w:type="pct"/>
            <w:tcBorders>
              <w:top w:val="single" w:sz="4" w:space="0" w:color="auto"/>
              <w:left w:val="single" w:sz="4" w:space="0" w:color="auto"/>
              <w:bottom w:val="single" w:sz="4" w:space="0" w:color="auto"/>
              <w:right w:val="single" w:sz="4" w:space="0" w:color="auto"/>
            </w:tcBorders>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bl>
    <w:p w:rsidR="006244D6" w:rsidRDefault="006244D6" w:rsidP="007A1E52">
      <w:pPr>
        <w:autoSpaceDE w:val="0"/>
        <w:autoSpaceDN w:val="0"/>
        <w:bidi w:val="0"/>
        <w:adjustRightInd w:val="0"/>
        <w:snapToGrid w:val="0"/>
        <w:ind w:firstLine="425"/>
        <w:jc w:val="both"/>
        <w:rPr>
          <w:rFonts w:eastAsiaTheme="minorEastAsia" w:hint="eastAsia"/>
          <w:sz w:val="20"/>
          <w:szCs w:val="20"/>
          <w:lang w:eastAsia="zh-CN"/>
        </w:rPr>
      </w:pPr>
    </w:p>
    <w:p w:rsidR="00937CCC" w:rsidRPr="00937CCC" w:rsidRDefault="00937CCC" w:rsidP="00937CCC">
      <w:pPr>
        <w:autoSpaceDE w:val="0"/>
        <w:autoSpaceDN w:val="0"/>
        <w:bidi w:val="0"/>
        <w:adjustRightInd w:val="0"/>
        <w:snapToGrid w:val="0"/>
        <w:ind w:firstLine="425"/>
        <w:jc w:val="both"/>
        <w:rPr>
          <w:rFonts w:eastAsiaTheme="minorEastAsia" w:hint="eastAsia"/>
          <w:sz w:val="20"/>
          <w:szCs w:val="20"/>
          <w:lang w:eastAsia="zh-CN"/>
        </w:rPr>
      </w:pP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6244D6">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ind w:firstLine="425"/>
        <w:jc w:val="both"/>
        <w:rPr>
          <w:sz w:val="20"/>
          <w:szCs w:val="20"/>
        </w:rPr>
      </w:pPr>
      <w:r w:rsidRPr="000F3911">
        <w:rPr>
          <w:sz w:val="20"/>
          <w:szCs w:val="20"/>
        </w:rPr>
        <w:lastRenderedPageBreak/>
        <w:t xml:space="preserve">As regard signs of fusion and stability at operated segment, there was no statistical significant </w:t>
      </w:r>
      <w:r w:rsidRPr="000F3911">
        <w:rPr>
          <w:sz w:val="20"/>
          <w:szCs w:val="20"/>
        </w:rPr>
        <w:lastRenderedPageBreak/>
        <w:t xml:space="preserve">difference at either interval between two groups illustrated in table 17. </w:t>
      </w:r>
    </w:p>
    <w:p w:rsidR="006244D6" w:rsidRPr="000F3911" w:rsidRDefault="006244D6" w:rsidP="007A1E52">
      <w:pPr>
        <w:autoSpaceDE w:val="0"/>
        <w:autoSpaceDN w:val="0"/>
        <w:bidi w:val="0"/>
        <w:adjustRightInd w:val="0"/>
        <w:snapToGrid w:val="0"/>
        <w:ind w:firstLine="425"/>
        <w:jc w:val="both"/>
        <w:rPr>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C1075F" w:rsidRPr="000F3911" w:rsidRDefault="00C1075F" w:rsidP="007A1E52">
      <w:pPr>
        <w:autoSpaceDE w:val="0"/>
        <w:autoSpaceDN w:val="0"/>
        <w:bidi w:val="0"/>
        <w:adjustRightInd w:val="0"/>
        <w:snapToGrid w:val="0"/>
        <w:jc w:val="center"/>
        <w:rPr>
          <w:sz w:val="20"/>
          <w:szCs w:val="20"/>
        </w:rPr>
      </w:pPr>
    </w:p>
    <w:p w:rsidR="00937CCC" w:rsidRDefault="00937CCC" w:rsidP="007A1E52">
      <w:pPr>
        <w:autoSpaceDE w:val="0"/>
        <w:autoSpaceDN w:val="0"/>
        <w:bidi w:val="0"/>
        <w:adjustRightInd w:val="0"/>
        <w:snapToGrid w:val="0"/>
        <w:jc w:val="center"/>
        <w:rPr>
          <w:rFonts w:eastAsiaTheme="minorEastAsia" w:hint="eastAsia"/>
          <w:b/>
          <w:bCs/>
          <w:color w:val="000000"/>
          <w:sz w:val="20"/>
          <w:szCs w:val="20"/>
          <w:lang w:eastAsia="zh-CN"/>
        </w:rPr>
      </w:pPr>
    </w:p>
    <w:p w:rsidR="00C1075F" w:rsidRPr="000F3911" w:rsidRDefault="00F90A8B" w:rsidP="00937CCC">
      <w:pPr>
        <w:autoSpaceDE w:val="0"/>
        <w:autoSpaceDN w:val="0"/>
        <w:bidi w:val="0"/>
        <w:adjustRightInd w:val="0"/>
        <w:snapToGrid w:val="0"/>
        <w:jc w:val="center"/>
        <w:rPr>
          <w:b/>
          <w:bCs/>
          <w:color w:val="000000"/>
          <w:sz w:val="20"/>
          <w:szCs w:val="20"/>
        </w:rPr>
      </w:pPr>
      <w:r w:rsidRPr="000F3911">
        <w:rPr>
          <w:b/>
          <w:bCs/>
          <w:color w:val="000000"/>
          <w:sz w:val="20"/>
          <w:szCs w:val="20"/>
        </w:rPr>
        <w:t>Table 14</w:t>
      </w:r>
      <w:r w:rsidR="00C1075F" w:rsidRPr="000F3911">
        <w:rPr>
          <w:b/>
          <w:bCs/>
          <w:color w:val="000000"/>
          <w:sz w:val="20"/>
          <w:szCs w:val="20"/>
        </w:rPr>
        <w:t>: Cross tabulation between ACDF and ACCF as regard osseous fusion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563"/>
        <w:gridCol w:w="427"/>
        <w:gridCol w:w="651"/>
        <w:gridCol w:w="949"/>
        <w:gridCol w:w="650"/>
        <w:gridCol w:w="949"/>
        <w:gridCol w:w="743"/>
        <w:gridCol w:w="544"/>
      </w:tblGrid>
      <w:tr w:rsidR="006244D6" w:rsidRPr="000F3911" w:rsidTr="006244D6">
        <w:trPr>
          <w:cantSplit/>
          <w:jc w:val="center"/>
        </w:trPr>
        <w:tc>
          <w:tcPr>
            <w:tcW w:w="2632" w:type="pct"/>
            <w:gridSpan w:val="2"/>
            <w:vMerge w:val="restar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1688" w:type="pct"/>
            <w:gridSpan w:val="4"/>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Operation</w:t>
            </w:r>
          </w:p>
        </w:tc>
        <w:tc>
          <w:tcPr>
            <w:tcW w:w="392"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87"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6244D6">
        <w:trPr>
          <w:cantSplit/>
          <w:jc w:val="center"/>
        </w:trPr>
        <w:tc>
          <w:tcPr>
            <w:tcW w:w="2632" w:type="pct"/>
            <w:gridSpan w:val="2"/>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844" w:type="pct"/>
            <w:gridSpan w:val="2"/>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ACDF</w:t>
            </w:r>
          </w:p>
        </w:tc>
        <w:tc>
          <w:tcPr>
            <w:tcW w:w="844" w:type="pct"/>
            <w:gridSpan w:val="2"/>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ACCF</w:t>
            </w:r>
          </w:p>
        </w:tc>
        <w:tc>
          <w:tcPr>
            <w:tcW w:w="392"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c>
          <w:tcPr>
            <w:tcW w:w="287"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p>
        </w:tc>
      </w:tr>
      <w:tr w:rsidR="006244D6" w:rsidRPr="000F3911" w:rsidTr="006244D6">
        <w:trPr>
          <w:cantSplit/>
          <w:jc w:val="center"/>
        </w:trPr>
        <w:tc>
          <w:tcPr>
            <w:tcW w:w="2632" w:type="pct"/>
            <w:gridSpan w:val="2"/>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343"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50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c>
          <w:tcPr>
            <w:tcW w:w="343"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Count</w:t>
            </w:r>
          </w:p>
        </w:tc>
        <w:tc>
          <w:tcPr>
            <w:tcW w:w="501"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Row N %</w:t>
            </w:r>
          </w:p>
        </w:tc>
        <w:tc>
          <w:tcPr>
            <w:tcW w:w="392"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P value</w:t>
            </w:r>
          </w:p>
        </w:tc>
        <w:tc>
          <w:tcPr>
            <w:tcW w:w="287" w:type="pct"/>
            <w:shd w:val="clear" w:color="auto" w:fill="DBE5F1"/>
            <w:vAlign w:val="center"/>
          </w:tcPr>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t>Sign.</w:t>
            </w:r>
          </w:p>
        </w:tc>
      </w:tr>
      <w:tr w:rsidR="006244D6" w:rsidRPr="000F3911" w:rsidTr="006244D6">
        <w:trPr>
          <w:cantSplit/>
          <w:jc w:val="center"/>
        </w:trPr>
        <w:tc>
          <w:tcPr>
            <w:tcW w:w="2407" w:type="pct"/>
            <w:vMerge w:val="restar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Osseous fusion at 3M</w:t>
            </w: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No</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50.0%</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50.0%</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0.675</w:t>
            </w: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6244D6">
        <w:trPr>
          <w:cantSplit/>
          <w:jc w:val="center"/>
        </w:trPr>
        <w:tc>
          <w:tcPr>
            <w:tcW w:w="2407" w:type="pct"/>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Yes</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50.0%</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50.0%</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6244D6">
        <w:trPr>
          <w:cantSplit/>
          <w:jc w:val="center"/>
        </w:trPr>
        <w:tc>
          <w:tcPr>
            <w:tcW w:w="2407" w:type="pct"/>
            <w:vMerge w:val="restar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Osseous fusion at 6M</w:t>
            </w: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No</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100.0%</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0.5</w:t>
            </w: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6244D6">
        <w:trPr>
          <w:cantSplit/>
          <w:jc w:val="center"/>
        </w:trPr>
        <w:tc>
          <w:tcPr>
            <w:tcW w:w="2407" w:type="pct"/>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Yes</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9</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47.4%</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52.6%</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6244D6">
        <w:trPr>
          <w:cantSplit/>
          <w:jc w:val="center"/>
        </w:trPr>
        <w:tc>
          <w:tcPr>
            <w:tcW w:w="2407" w:type="pct"/>
            <w:vMerge w:val="restar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Absence of gap between graft and endplate at 3 months</w:t>
            </w: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No</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45.5%</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6</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54.5%</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0.5</w:t>
            </w: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6244D6">
        <w:trPr>
          <w:cantSplit/>
          <w:jc w:val="center"/>
        </w:trPr>
        <w:tc>
          <w:tcPr>
            <w:tcW w:w="2407" w:type="pct"/>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Yes</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55.6%</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44.4%</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r w:rsidR="006244D6" w:rsidRPr="000F3911" w:rsidTr="006244D6">
        <w:trPr>
          <w:cantSplit/>
          <w:jc w:val="center"/>
        </w:trPr>
        <w:tc>
          <w:tcPr>
            <w:tcW w:w="2407" w:type="pct"/>
            <w:vMerge w:val="restar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Absence of gap between graft and endplate at 6 months</w:t>
            </w: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No</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100.0%</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0.0%</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0.331</w:t>
            </w: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NS</w:t>
            </w:r>
          </w:p>
        </w:tc>
      </w:tr>
      <w:tr w:rsidR="006244D6" w:rsidRPr="000F3911" w:rsidTr="006244D6">
        <w:trPr>
          <w:cantSplit/>
          <w:jc w:val="center"/>
        </w:trPr>
        <w:tc>
          <w:tcPr>
            <w:tcW w:w="2407" w:type="pct"/>
            <w:vMerge/>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25" w:type="pct"/>
            <w:shd w:val="clear" w:color="auto" w:fill="DBE5F1"/>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Yes</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9</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47.4%</w:t>
            </w:r>
          </w:p>
        </w:tc>
        <w:tc>
          <w:tcPr>
            <w:tcW w:w="343"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10</w:t>
            </w:r>
          </w:p>
        </w:tc>
        <w:tc>
          <w:tcPr>
            <w:tcW w:w="501"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52.6%</w:t>
            </w:r>
          </w:p>
        </w:tc>
        <w:tc>
          <w:tcPr>
            <w:tcW w:w="392"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c>
          <w:tcPr>
            <w:tcW w:w="287" w:type="pct"/>
            <w:shd w:val="clear" w:color="auto" w:fill="FFFFFF"/>
            <w:vAlign w:val="center"/>
          </w:tcPr>
          <w:p w:rsidR="00B503E8" w:rsidRPr="000F3911" w:rsidRDefault="00B503E8" w:rsidP="007A1E52">
            <w:pPr>
              <w:autoSpaceDE w:val="0"/>
              <w:autoSpaceDN w:val="0"/>
              <w:bidi w:val="0"/>
              <w:adjustRightInd w:val="0"/>
              <w:snapToGrid w:val="0"/>
              <w:jc w:val="both"/>
              <w:rPr>
                <w:color w:val="000000"/>
                <w:sz w:val="20"/>
                <w:szCs w:val="20"/>
              </w:rPr>
            </w:pPr>
          </w:p>
        </w:tc>
      </w:tr>
    </w:tbl>
    <w:p w:rsidR="006244D6" w:rsidRDefault="006244D6" w:rsidP="007A1E52">
      <w:pPr>
        <w:autoSpaceDE w:val="0"/>
        <w:autoSpaceDN w:val="0"/>
        <w:bidi w:val="0"/>
        <w:adjustRightInd w:val="0"/>
        <w:snapToGrid w:val="0"/>
        <w:jc w:val="both"/>
        <w:rPr>
          <w:rFonts w:eastAsiaTheme="minorEastAsia" w:hint="eastAsia"/>
          <w:b/>
          <w:bCs/>
          <w:color w:val="000000"/>
          <w:sz w:val="20"/>
          <w:szCs w:val="20"/>
          <w:lang w:eastAsia="zh-CN"/>
        </w:rPr>
      </w:pPr>
    </w:p>
    <w:p w:rsidR="00937CCC" w:rsidRPr="00937CCC" w:rsidRDefault="00937CCC" w:rsidP="00937CCC">
      <w:pPr>
        <w:autoSpaceDE w:val="0"/>
        <w:autoSpaceDN w:val="0"/>
        <w:bidi w:val="0"/>
        <w:adjustRightInd w:val="0"/>
        <w:snapToGrid w:val="0"/>
        <w:jc w:val="both"/>
        <w:rPr>
          <w:rFonts w:eastAsiaTheme="minorEastAsia" w:hint="eastAsia"/>
          <w:b/>
          <w:bCs/>
          <w:color w:val="000000"/>
          <w:sz w:val="20"/>
          <w:szCs w:val="20"/>
          <w:lang w:eastAsia="zh-CN"/>
        </w:rPr>
      </w:pPr>
    </w:p>
    <w:p w:rsidR="006244D6" w:rsidRPr="000F3911" w:rsidRDefault="006244D6" w:rsidP="007A1E52">
      <w:pPr>
        <w:autoSpaceDE w:val="0"/>
        <w:autoSpaceDN w:val="0"/>
        <w:bidi w:val="0"/>
        <w:adjustRightInd w:val="0"/>
        <w:snapToGrid w:val="0"/>
        <w:jc w:val="both"/>
        <w:rPr>
          <w:b/>
          <w:bCs/>
          <w:color w:val="000000"/>
          <w:sz w:val="20"/>
          <w:szCs w:val="20"/>
        </w:rPr>
        <w:sectPr w:rsidR="006244D6" w:rsidRPr="000F3911" w:rsidSect="006244D6">
          <w:type w:val="continuous"/>
          <w:pgSz w:w="12242" w:h="15842" w:code="1"/>
          <w:pgMar w:top="1440" w:right="1440" w:bottom="1440" w:left="1440" w:header="720" w:footer="720" w:gutter="0"/>
          <w:cols w:space="708"/>
          <w:bidi/>
          <w:docGrid w:linePitch="360"/>
        </w:sectPr>
      </w:pPr>
    </w:p>
    <w:p w:rsidR="00B503E8" w:rsidRPr="000F3911" w:rsidRDefault="00B503E8" w:rsidP="007A1E52">
      <w:pPr>
        <w:autoSpaceDE w:val="0"/>
        <w:autoSpaceDN w:val="0"/>
        <w:bidi w:val="0"/>
        <w:adjustRightInd w:val="0"/>
        <w:snapToGrid w:val="0"/>
        <w:jc w:val="both"/>
        <w:rPr>
          <w:b/>
          <w:bCs/>
          <w:color w:val="000000"/>
          <w:sz w:val="20"/>
          <w:szCs w:val="20"/>
        </w:rPr>
      </w:pPr>
      <w:r w:rsidRPr="000F3911">
        <w:rPr>
          <w:b/>
          <w:bCs/>
          <w:color w:val="000000"/>
          <w:sz w:val="20"/>
          <w:szCs w:val="20"/>
        </w:rPr>
        <w:lastRenderedPageBreak/>
        <w:t>Correlation studies</w:t>
      </w:r>
    </w:p>
    <w:p w:rsidR="00B503E8" w:rsidRPr="000F3911" w:rsidRDefault="00B503E8" w:rsidP="007A1E52">
      <w:pPr>
        <w:bidi w:val="0"/>
        <w:snapToGrid w:val="0"/>
        <w:ind w:firstLine="425"/>
        <w:jc w:val="both"/>
        <w:rPr>
          <w:color w:val="000000"/>
          <w:sz w:val="20"/>
          <w:szCs w:val="20"/>
        </w:rPr>
      </w:pPr>
      <w:r w:rsidRPr="000F3911">
        <w:rPr>
          <w:color w:val="000000"/>
          <w:sz w:val="20"/>
          <w:szCs w:val="20"/>
        </w:rPr>
        <w:t xml:space="preserve">There was a positive correlation between the recovery rates and the pre-operative JOA score </w:t>
      </w:r>
      <w:r w:rsidR="000F3911" w:rsidRPr="000F3911">
        <w:rPr>
          <w:color w:val="000000"/>
          <w:sz w:val="20"/>
          <w:szCs w:val="20"/>
        </w:rPr>
        <w:t>with recovery</w:t>
      </w:r>
      <w:r w:rsidRPr="000F3911">
        <w:rPr>
          <w:color w:val="000000"/>
          <w:sz w:val="20"/>
          <w:szCs w:val="20"/>
        </w:rPr>
        <w:t xml:space="preserve"> rates below 50% in the </w:t>
      </w:r>
      <w:r w:rsidR="000F3911" w:rsidRPr="000F3911">
        <w:rPr>
          <w:color w:val="000000"/>
          <w:sz w:val="20"/>
          <w:szCs w:val="20"/>
        </w:rPr>
        <w:t>patients with</w:t>
      </w:r>
      <w:r w:rsidRPr="000F3911">
        <w:rPr>
          <w:color w:val="000000"/>
          <w:sz w:val="20"/>
          <w:szCs w:val="20"/>
        </w:rPr>
        <w:t xml:space="preserve"> pre-operative JOA score below 12 in each group. The correlation</w:t>
      </w:r>
      <w:r w:rsidR="00FD358B" w:rsidRPr="000F3911">
        <w:rPr>
          <w:rFonts w:eastAsiaTheme="minorEastAsia" w:hint="eastAsia"/>
          <w:color w:val="000000"/>
          <w:sz w:val="20"/>
          <w:szCs w:val="20"/>
          <w:lang w:eastAsia="zh-CN"/>
        </w:rPr>
        <w:t xml:space="preserve"> </w:t>
      </w:r>
      <w:r w:rsidRPr="000F3911">
        <w:rPr>
          <w:color w:val="000000"/>
          <w:sz w:val="20"/>
          <w:szCs w:val="20"/>
        </w:rPr>
        <w:t xml:space="preserve">coefficient was reasonable (r = 0.43); reasonable (r = 0.49) for group </w:t>
      </w:r>
      <w:r w:rsidRPr="000F3911">
        <w:rPr>
          <w:b/>
          <w:bCs/>
          <w:color w:val="000000"/>
          <w:sz w:val="20"/>
          <w:szCs w:val="20"/>
        </w:rPr>
        <w:t>ACDF</w:t>
      </w:r>
      <w:r w:rsidR="00106802" w:rsidRPr="000F3911">
        <w:rPr>
          <w:color w:val="000000"/>
          <w:sz w:val="20"/>
          <w:szCs w:val="20"/>
        </w:rPr>
        <w:t xml:space="preserve"> </w:t>
      </w:r>
      <w:r w:rsidRPr="000F3911">
        <w:rPr>
          <w:color w:val="000000"/>
          <w:sz w:val="20"/>
          <w:szCs w:val="20"/>
        </w:rPr>
        <w:t xml:space="preserve">but low (r = 0.2) for group </w:t>
      </w:r>
      <w:r w:rsidRPr="000F3911">
        <w:rPr>
          <w:b/>
          <w:bCs/>
          <w:color w:val="000000"/>
          <w:sz w:val="20"/>
          <w:szCs w:val="20"/>
        </w:rPr>
        <w:t>ACCF</w:t>
      </w:r>
      <w:r w:rsidRPr="000F3911">
        <w:rPr>
          <w:color w:val="000000"/>
          <w:sz w:val="20"/>
          <w:szCs w:val="20"/>
        </w:rPr>
        <w:t>, this was statistically significant.</w:t>
      </w:r>
    </w:p>
    <w:p w:rsidR="00B503E8" w:rsidRPr="000F3911" w:rsidRDefault="00B503E8" w:rsidP="007A1E52">
      <w:pPr>
        <w:bidi w:val="0"/>
        <w:snapToGrid w:val="0"/>
        <w:ind w:firstLine="425"/>
        <w:jc w:val="both"/>
        <w:rPr>
          <w:color w:val="000000"/>
          <w:sz w:val="20"/>
          <w:szCs w:val="20"/>
        </w:rPr>
      </w:pPr>
      <w:r w:rsidRPr="000F3911">
        <w:rPr>
          <w:color w:val="000000"/>
          <w:sz w:val="20"/>
          <w:szCs w:val="20"/>
        </w:rPr>
        <w:lastRenderedPageBreak/>
        <w:t xml:space="preserve">There was a negative correlation between the recovery rates and </w:t>
      </w:r>
      <w:r w:rsidR="000F3911" w:rsidRPr="000F3911">
        <w:rPr>
          <w:color w:val="000000"/>
          <w:sz w:val="20"/>
          <w:szCs w:val="20"/>
        </w:rPr>
        <w:t>the number</w:t>
      </w:r>
      <w:r w:rsidRPr="000F3911">
        <w:rPr>
          <w:color w:val="000000"/>
          <w:sz w:val="20"/>
          <w:szCs w:val="20"/>
        </w:rPr>
        <w:t xml:space="preserve"> of affected levels with recovery rates below 50% </w:t>
      </w:r>
      <w:r w:rsidR="000F3911" w:rsidRPr="000F3911">
        <w:rPr>
          <w:color w:val="000000"/>
          <w:sz w:val="20"/>
          <w:szCs w:val="20"/>
        </w:rPr>
        <w:t>with increasing</w:t>
      </w:r>
      <w:r w:rsidRPr="000F3911">
        <w:rPr>
          <w:color w:val="000000"/>
          <w:sz w:val="20"/>
          <w:szCs w:val="20"/>
        </w:rPr>
        <w:t xml:space="preserve"> number of affected levels in each group. The correlation</w:t>
      </w:r>
      <w:r w:rsidR="00FD358B" w:rsidRPr="000F3911">
        <w:rPr>
          <w:rFonts w:eastAsiaTheme="minorEastAsia" w:hint="eastAsia"/>
          <w:color w:val="000000"/>
          <w:sz w:val="20"/>
          <w:szCs w:val="20"/>
          <w:lang w:eastAsia="zh-CN"/>
        </w:rPr>
        <w:t xml:space="preserve"> </w:t>
      </w:r>
      <w:r w:rsidRPr="000F3911">
        <w:rPr>
          <w:color w:val="000000"/>
          <w:sz w:val="20"/>
          <w:szCs w:val="20"/>
        </w:rPr>
        <w:t>coefficients were low to very low and were statistically insignificant.</w:t>
      </w:r>
    </w:p>
    <w:p w:rsidR="006244D6" w:rsidRPr="000F3911" w:rsidRDefault="006244D6" w:rsidP="007A1E52">
      <w:pPr>
        <w:bidi w:val="0"/>
        <w:snapToGrid w:val="0"/>
        <w:jc w:val="both"/>
        <w:rPr>
          <w:b/>
          <w:bCs/>
          <w:color w:val="000000"/>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75778A" w:rsidRDefault="0075778A" w:rsidP="007A1E52">
      <w:pPr>
        <w:bidi w:val="0"/>
        <w:snapToGrid w:val="0"/>
        <w:jc w:val="both"/>
        <w:rPr>
          <w:rFonts w:eastAsiaTheme="minorEastAsia" w:hint="eastAsia"/>
          <w:b/>
          <w:bCs/>
          <w:color w:val="000000"/>
          <w:sz w:val="20"/>
          <w:szCs w:val="20"/>
          <w:lang w:eastAsia="zh-CN"/>
        </w:rPr>
      </w:pPr>
    </w:p>
    <w:p w:rsidR="00937CCC" w:rsidRPr="00937CCC" w:rsidRDefault="00937CCC" w:rsidP="00937CCC">
      <w:pPr>
        <w:bidi w:val="0"/>
        <w:snapToGrid w:val="0"/>
        <w:jc w:val="both"/>
        <w:rPr>
          <w:rFonts w:eastAsiaTheme="minorEastAsia" w:hint="eastAsia"/>
          <w:b/>
          <w:bCs/>
          <w:color w:val="000000"/>
          <w:sz w:val="20"/>
          <w:szCs w:val="20"/>
          <w:lang w:eastAsia="zh-CN"/>
        </w:rPr>
      </w:pPr>
    </w:p>
    <w:p w:rsidR="00B503E8" w:rsidRPr="000F3911" w:rsidRDefault="00F90A8B" w:rsidP="007A1E52">
      <w:pPr>
        <w:bidi w:val="0"/>
        <w:snapToGrid w:val="0"/>
        <w:jc w:val="center"/>
        <w:rPr>
          <w:sz w:val="20"/>
          <w:szCs w:val="20"/>
        </w:rPr>
      </w:pPr>
      <w:r w:rsidRPr="000F3911">
        <w:rPr>
          <w:b/>
          <w:bCs/>
          <w:color w:val="000000"/>
          <w:sz w:val="20"/>
          <w:szCs w:val="20"/>
        </w:rPr>
        <w:t>Table 15</w:t>
      </w:r>
      <w:r w:rsidR="00B503E8" w:rsidRPr="000F3911">
        <w:rPr>
          <w:b/>
          <w:bCs/>
          <w:color w:val="000000"/>
          <w:sz w:val="20"/>
          <w:szCs w:val="20"/>
        </w:rPr>
        <w:t>: Factors affecting the recovery rate among patients groups.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A0"/>
      </w:tblPr>
      <w:tblGrid>
        <w:gridCol w:w="3318"/>
        <w:gridCol w:w="769"/>
        <w:gridCol w:w="1275"/>
        <w:gridCol w:w="915"/>
        <w:gridCol w:w="1109"/>
        <w:gridCol w:w="849"/>
        <w:gridCol w:w="1241"/>
      </w:tblGrid>
      <w:tr w:rsidR="00B503E8" w:rsidRPr="000F3911" w:rsidTr="006244D6">
        <w:trPr>
          <w:jc w:val="center"/>
        </w:trPr>
        <w:tc>
          <w:tcPr>
            <w:tcW w:w="1750" w:type="pct"/>
            <w:vMerge w:val="restart"/>
            <w:tcBorders>
              <w:top w:val="single" w:sz="4" w:space="0" w:color="auto"/>
              <w:left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Factors</w:t>
            </w:r>
          </w:p>
        </w:tc>
        <w:tc>
          <w:tcPr>
            <w:tcW w:w="107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ACDF</w:t>
            </w:r>
          </w:p>
        </w:tc>
        <w:tc>
          <w:tcPr>
            <w:tcW w:w="106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ACCF</w:t>
            </w:r>
          </w:p>
        </w:tc>
        <w:tc>
          <w:tcPr>
            <w:tcW w:w="110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Patients groups</w:t>
            </w:r>
          </w:p>
        </w:tc>
      </w:tr>
      <w:tr w:rsidR="006244D6" w:rsidRPr="000F3911" w:rsidTr="006244D6">
        <w:trPr>
          <w:jc w:val="center"/>
        </w:trPr>
        <w:tc>
          <w:tcPr>
            <w:tcW w:w="1750" w:type="pct"/>
            <w:vMerge/>
            <w:tcBorders>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sz w:val="20"/>
                <w:szCs w:val="20"/>
              </w:rPr>
            </w:pPr>
            <w:r w:rsidRPr="000F3911">
              <w:rPr>
                <w:b/>
                <w:bCs/>
                <w:color w:val="000000"/>
                <w:sz w:val="20"/>
                <w:szCs w:val="20"/>
              </w:rPr>
              <w:t>r</w:t>
            </w:r>
          </w:p>
        </w:tc>
        <w:tc>
          <w:tcPr>
            <w:tcW w:w="672"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sz w:val="20"/>
                <w:szCs w:val="20"/>
              </w:rPr>
            </w:pPr>
            <w:r w:rsidRPr="000F3911">
              <w:rPr>
                <w:b/>
                <w:bCs/>
                <w:color w:val="000000"/>
                <w:sz w:val="20"/>
                <w:szCs w:val="20"/>
              </w:rPr>
              <w:t>p</w:t>
            </w:r>
          </w:p>
        </w:tc>
        <w:tc>
          <w:tcPr>
            <w:tcW w:w="483"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sz w:val="20"/>
                <w:szCs w:val="20"/>
              </w:rPr>
            </w:pPr>
            <w:r w:rsidRPr="000F3911">
              <w:rPr>
                <w:b/>
                <w:bCs/>
                <w:color w:val="000000"/>
                <w:sz w:val="20"/>
                <w:szCs w:val="20"/>
              </w:rPr>
              <w:t>r</w:t>
            </w:r>
          </w:p>
        </w:tc>
        <w:tc>
          <w:tcPr>
            <w:tcW w:w="585"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sz w:val="20"/>
                <w:szCs w:val="20"/>
              </w:rPr>
            </w:pPr>
            <w:r w:rsidRPr="000F3911">
              <w:rPr>
                <w:b/>
                <w:bCs/>
                <w:color w:val="000000"/>
                <w:sz w:val="20"/>
                <w:szCs w:val="20"/>
              </w:rPr>
              <w:t>p</w:t>
            </w:r>
          </w:p>
        </w:tc>
        <w:tc>
          <w:tcPr>
            <w:tcW w:w="448"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color w:val="000000"/>
                <w:sz w:val="20"/>
                <w:szCs w:val="20"/>
              </w:rPr>
            </w:pPr>
            <w:r w:rsidRPr="000F3911">
              <w:rPr>
                <w:b/>
                <w:bCs/>
                <w:color w:val="000000"/>
                <w:sz w:val="20"/>
                <w:szCs w:val="20"/>
              </w:rPr>
              <w:t>r</w:t>
            </w:r>
          </w:p>
        </w:tc>
        <w:tc>
          <w:tcPr>
            <w:tcW w:w="656"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sz w:val="20"/>
                <w:szCs w:val="20"/>
              </w:rPr>
            </w:pPr>
            <w:r w:rsidRPr="000F3911">
              <w:rPr>
                <w:b/>
                <w:bCs/>
                <w:color w:val="000000"/>
                <w:sz w:val="20"/>
                <w:szCs w:val="20"/>
              </w:rPr>
              <w:t>p</w:t>
            </w:r>
          </w:p>
        </w:tc>
      </w:tr>
      <w:tr w:rsidR="006244D6" w:rsidRPr="000F3911" w:rsidTr="006244D6">
        <w:trPr>
          <w:jc w:val="center"/>
        </w:trPr>
        <w:tc>
          <w:tcPr>
            <w:tcW w:w="1750"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sz w:val="20"/>
                <w:szCs w:val="20"/>
              </w:rPr>
            </w:pPr>
            <w:r w:rsidRPr="000F3911">
              <w:rPr>
                <w:b/>
                <w:bCs/>
                <w:color w:val="000000"/>
                <w:sz w:val="20"/>
                <w:szCs w:val="20"/>
              </w:rPr>
              <w:t xml:space="preserve">Number of affected levels </w:t>
            </w:r>
          </w:p>
        </w:tc>
        <w:tc>
          <w:tcPr>
            <w:tcW w:w="40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-0.31</w:t>
            </w:r>
          </w:p>
        </w:tc>
        <w:tc>
          <w:tcPr>
            <w:tcW w:w="67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 xml:space="preserve">0.22 </w:t>
            </w:r>
          </w:p>
        </w:tc>
        <w:tc>
          <w:tcPr>
            <w:tcW w:w="483"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-0.032</w:t>
            </w:r>
          </w:p>
        </w:tc>
        <w:tc>
          <w:tcPr>
            <w:tcW w:w="58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0.8</w:t>
            </w:r>
          </w:p>
        </w:tc>
        <w:tc>
          <w:tcPr>
            <w:tcW w:w="44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-0.25</w:t>
            </w:r>
          </w:p>
        </w:tc>
        <w:tc>
          <w:tcPr>
            <w:tcW w:w="65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0.27</w:t>
            </w:r>
          </w:p>
        </w:tc>
      </w:tr>
      <w:tr w:rsidR="006244D6" w:rsidRPr="000F3911" w:rsidTr="006244D6">
        <w:trPr>
          <w:jc w:val="center"/>
        </w:trPr>
        <w:tc>
          <w:tcPr>
            <w:tcW w:w="1750"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sz w:val="20"/>
                <w:szCs w:val="20"/>
              </w:rPr>
            </w:pPr>
            <w:r w:rsidRPr="000F3911">
              <w:rPr>
                <w:b/>
                <w:bCs/>
                <w:color w:val="000000"/>
                <w:sz w:val="20"/>
                <w:szCs w:val="20"/>
              </w:rPr>
              <w:t xml:space="preserve">Surgical delay time </w:t>
            </w:r>
          </w:p>
        </w:tc>
        <w:tc>
          <w:tcPr>
            <w:tcW w:w="40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-0.84</w:t>
            </w:r>
          </w:p>
        </w:tc>
        <w:tc>
          <w:tcPr>
            <w:tcW w:w="67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b/>
                <w:bCs/>
                <w:color w:val="000000"/>
                <w:sz w:val="20"/>
                <w:szCs w:val="20"/>
              </w:rPr>
              <w:t xml:space="preserve">&lt;0.0001* </w:t>
            </w:r>
          </w:p>
        </w:tc>
        <w:tc>
          <w:tcPr>
            <w:tcW w:w="483"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-0.7</w:t>
            </w:r>
          </w:p>
        </w:tc>
        <w:tc>
          <w:tcPr>
            <w:tcW w:w="58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b/>
                <w:bCs/>
                <w:color w:val="000000"/>
                <w:sz w:val="20"/>
                <w:szCs w:val="20"/>
              </w:rPr>
              <w:t xml:space="preserve">0.0001* </w:t>
            </w:r>
          </w:p>
        </w:tc>
        <w:tc>
          <w:tcPr>
            <w:tcW w:w="44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 xml:space="preserve">-0.79 </w:t>
            </w:r>
          </w:p>
        </w:tc>
        <w:tc>
          <w:tcPr>
            <w:tcW w:w="65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b/>
                <w:bCs/>
                <w:color w:val="000000"/>
                <w:sz w:val="20"/>
                <w:szCs w:val="20"/>
              </w:rPr>
              <w:t>&lt;0.001*</w:t>
            </w:r>
          </w:p>
        </w:tc>
      </w:tr>
      <w:tr w:rsidR="006244D6" w:rsidRPr="000F3911" w:rsidTr="006244D6">
        <w:trPr>
          <w:jc w:val="center"/>
        </w:trPr>
        <w:tc>
          <w:tcPr>
            <w:tcW w:w="1750" w:type="pct"/>
            <w:tcBorders>
              <w:top w:val="single" w:sz="4" w:space="0" w:color="auto"/>
              <w:left w:val="single" w:sz="4" w:space="0" w:color="auto"/>
              <w:bottom w:val="single" w:sz="4" w:space="0" w:color="auto"/>
              <w:right w:val="single" w:sz="4" w:space="0" w:color="auto"/>
            </w:tcBorders>
            <w:shd w:val="clear" w:color="auto" w:fill="DBE5F1"/>
            <w:vAlign w:val="center"/>
          </w:tcPr>
          <w:p w:rsidR="00B503E8" w:rsidRPr="000F3911" w:rsidRDefault="00B503E8" w:rsidP="007A1E52">
            <w:pPr>
              <w:bidi w:val="0"/>
              <w:snapToGrid w:val="0"/>
              <w:jc w:val="both"/>
              <w:rPr>
                <w:b/>
                <w:bCs/>
                <w:sz w:val="20"/>
                <w:szCs w:val="20"/>
              </w:rPr>
            </w:pPr>
            <w:r w:rsidRPr="000F3911">
              <w:rPr>
                <w:b/>
                <w:bCs/>
                <w:color w:val="000000"/>
                <w:sz w:val="20"/>
                <w:szCs w:val="20"/>
              </w:rPr>
              <w:t xml:space="preserve">Pre JOA score </w:t>
            </w:r>
          </w:p>
        </w:tc>
        <w:tc>
          <w:tcPr>
            <w:tcW w:w="40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0.50</w:t>
            </w:r>
          </w:p>
        </w:tc>
        <w:tc>
          <w:tcPr>
            <w:tcW w:w="672"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b/>
                <w:bCs/>
                <w:color w:val="000000"/>
                <w:sz w:val="20"/>
                <w:szCs w:val="20"/>
              </w:rPr>
              <w:t xml:space="preserve">0.021* </w:t>
            </w:r>
          </w:p>
        </w:tc>
        <w:tc>
          <w:tcPr>
            <w:tcW w:w="483"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0.25</w:t>
            </w:r>
          </w:p>
        </w:tc>
        <w:tc>
          <w:tcPr>
            <w:tcW w:w="585"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0.1</w:t>
            </w:r>
          </w:p>
        </w:tc>
        <w:tc>
          <w:tcPr>
            <w:tcW w:w="448"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color w:val="000000"/>
                <w:sz w:val="20"/>
                <w:szCs w:val="20"/>
              </w:rPr>
              <w:t>0.47</w:t>
            </w:r>
          </w:p>
        </w:tc>
        <w:tc>
          <w:tcPr>
            <w:tcW w:w="656" w:type="pct"/>
            <w:tcBorders>
              <w:top w:val="single" w:sz="4" w:space="0" w:color="auto"/>
              <w:left w:val="single" w:sz="4" w:space="0" w:color="auto"/>
              <w:bottom w:val="single" w:sz="4" w:space="0" w:color="auto"/>
              <w:right w:val="single" w:sz="4" w:space="0" w:color="auto"/>
            </w:tcBorders>
            <w:vAlign w:val="center"/>
          </w:tcPr>
          <w:p w:rsidR="00B503E8" w:rsidRPr="000F3911" w:rsidRDefault="00B503E8" w:rsidP="007A1E52">
            <w:pPr>
              <w:bidi w:val="0"/>
              <w:snapToGrid w:val="0"/>
              <w:jc w:val="both"/>
              <w:rPr>
                <w:sz w:val="20"/>
                <w:szCs w:val="20"/>
              </w:rPr>
            </w:pPr>
            <w:r w:rsidRPr="000F3911">
              <w:rPr>
                <w:b/>
                <w:bCs/>
                <w:color w:val="000000"/>
                <w:sz w:val="20"/>
                <w:szCs w:val="20"/>
              </w:rPr>
              <w:t>&lt;0.001*</w:t>
            </w:r>
          </w:p>
        </w:tc>
      </w:tr>
    </w:tbl>
    <w:p w:rsidR="006244D6"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Spearman Correlation, for categorical and non-parametric quantitative data</w:t>
      </w:r>
    </w:p>
    <w:p w:rsidR="006244D6"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p value&lt;0.05 = Significant</w:t>
      </w:r>
    </w:p>
    <w:p w:rsidR="006244D6"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r = 0–0.2</w:t>
      </w:r>
      <w:r w:rsidR="006244D6" w:rsidRPr="000F3911">
        <w:rPr>
          <w:color w:val="000000"/>
          <w:sz w:val="20"/>
          <w:szCs w:val="20"/>
        </w:rPr>
        <w:t>:</w:t>
      </w:r>
      <w:r w:rsidRPr="000F3911">
        <w:rPr>
          <w:color w:val="000000"/>
          <w:sz w:val="20"/>
          <w:szCs w:val="20"/>
        </w:rPr>
        <w:t xml:space="preserve"> very low and probably meaningless</w:t>
      </w:r>
      <w:r w:rsidR="00106802" w:rsidRPr="000F3911">
        <w:rPr>
          <w:color w:val="000000"/>
          <w:sz w:val="20"/>
          <w:szCs w:val="20"/>
        </w:rPr>
        <w:t xml:space="preserve"> </w:t>
      </w:r>
      <w:r w:rsidRPr="000F3911">
        <w:rPr>
          <w:color w:val="000000"/>
          <w:sz w:val="20"/>
          <w:szCs w:val="20"/>
        </w:rPr>
        <w:t>r = 0.2–0.4</w:t>
      </w:r>
      <w:r w:rsidR="006244D6" w:rsidRPr="000F3911">
        <w:rPr>
          <w:color w:val="000000"/>
          <w:sz w:val="20"/>
          <w:szCs w:val="20"/>
        </w:rPr>
        <w:t>:</w:t>
      </w:r>
      <w:r w:rsidRPr="000F3911">
        <w:rPr>
          <w:color w:val="000000"/>
          <w:sz w:val="20"/>
          <w:szCs w:val="20"/>
        </w:rPr>
        <w:t xml:space="preserve"> a low correlation</w:t>
      </w:r>
    </w:p>
    <w:p w:rsidR="006244D6"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r = 0.4–0.6</w:t>
      </w:r>
      <w:r w:rsidR="006244D6" w:rsidRPr="000F3911">
        <w:rPr>
          <w:color w:val="000000"/>
          <w:sz w:val="20"/>
          <w:szCs w:val="20"/>
        </w:rPr>
        <w:t>:</w:t>
      </w:r>
      <w:r w:rsidRPr="000F3911">
        <w:rPr>
          <w:color w:val="000000"/>
          <w:sz w:val="20"/>
          <w:szCs w:val="20"/>
        </w:rPr>
        <w:t xml:space="preserve"> a reasonable correlation.</w:t>
      </w:r>
      <w:r w:rsidR="00106802" w:rsidRPr="000F3911">
        <w:rPr>
          <w:color w:val="000000"/>
          <w:sz w:val="20"/>
          <w:szCs w:val="20"/>
        </w:rPr>
        <w:t xml:space="preserve"> </w:t>
      </w:r>
      <w:r w:rsidRPr="000F3911">
        <w:rPr>
          <w:color w:val="000000"/>
          <w:sz w:val="20"/>
          <w:szCs w:val="20"/>
        </w:rPr>
        <w:t>r = 0.6–0.8</w:t>
      </w:r>
      <w:r w:rsidR="006244D6" w:rsidRPr="000F3911">
        <w:rPr>
          <w:color w:val="000000"/>
          <w:sz w:val="20"/>
          <w:szCs w:val="20"/>
        </w:rPr>
        <w:t>:</w:t>
      </w:r>
      <w:r w:rsidRPr="000F3911">
        <w:rPr>
          <w:color w:val="000000"/>
          <w:sz w:val="20"/>
          <w:szCs w:val="20"/>
        </w:rPr>
        <w:t xml:space="preserve"> a high correlation.</w:t>
      </w:r>
    </w:p>
    <w:p w:rsidR="006244D6" w:rsidRPr="000F3911" w:rsidRDefault="00B503E8" w:rsidP="007A1E52">
      <w:pPr>
        <w:autoSpaceDE w:val="0"/>
        <w:autoSpaceDN w:val="0"/>
        <w:bidi w:val="0"/>
        <w:adjustRightInd w:val="0"/>
        <w:snapToGrid w:val="0"/>
        <w:jc w:val="both"/>
        <w:rPr>
          <w:color w:val="000000"/>
          <w:sz w:val="20"/>
          <w:szCs w:val="20"/>
        </w:rPr>
      </w:pPr>
      <w:r w:rsidRPr="000F3911">
        <w:rPr>
          <w:color w:val="000000"/>
          <w:sz w:val="20"/>
          <w:szCs w:val="20"/>
        </w:rPr>
        <w:t>r = 0.8–1.0</w:t>
      </w:r>
      <w:r w:rsidR="006244D6" w:rsidRPr="000F3911">
        <w:rPr>
          <w:color w:val="000000"/>
          <w:sz w:val="20"/>
          <w:szCs w:val="20"/>
        </w:rPr>
        <w:t>:</w:t>
      </w:r>
      <w:r w:rsidRPr="000F3911">
        <w:rPr>
          <w:color w:val="000000"/>
          <w:sz w:val="20"/>
          <w:szCs w:val="20"/>
        </w:rPr>
        <w:t xml:space="preserve"> a very high correlation</w:t>
      </w:r>
    </w:p>
    <w:p w:rsidR="00B503E8" w:rsidRPr="000F3911" w:rsidRDefault="00B503E8" w:rsidP="007A1E52">
      <w:pPr>
        <w:autoSpaceDE w:val="0"/>
        <w:autoSpaceDN w:val="0"/>
        <w:bidi w:val="0"/>
        <w:adjustRightInd w:val="0"/>
        <w:snapToGrid w:val="0"/>
        <w:jc w:val="both"/>
        <w:rPr>
          <w:sz w:val="20"/>
          <w:szCs w:val="20"/>
        </w:rPr>
      </w:pPr>
      <w:r w:rsidRPr="000F3911">
        <w:rPr>
          <w:i/>
          <w:iCs/>
          <w:color w:val="000000"/>
          <w:sz w:val="20"/>
          <w:szCs w:val="20"/>
        </w:rPr>
        <w:t>N: Number, JOA: Japanese orthopaedic association, P: probability</w:t>
      </w:r>
    </w:p>
    <w:p w:rsidR="006244D6" w:rsidRDefault="006244D6" w:rsidP="007A1E52">
      <w:pPr>
        <w:autoSpaceDE w:val="0"/>
        <w:autoSpaceDN w:val="0"/>
        <w:bidi w:val="0"/>
        <w:adjustRightInd w:val="0"/>
        <w:snapToGrid w:val="0"/>
        <w:jc w:val="both"/>
        <w:rPr>
          <w:rFonts w:eastAsiaTheme="minorEastAsia" w:hint="eastAsia"/>
          <w:b/>
          <w:bCs/>
          <w:color w:val="000000"/>
          <w:sz w:val="20"/>
          <w:szCs w:val="20"/>
          <w:lang w:eastAsia="zh-CN"/>
        </w:rPr>
      </w:pPr>
    </w:p>
    <w:p w:rsidR="00937CCC" w:rsidRDefault="00937CCC" w:rsidP="00937CCC">
      <w:pPr>
        <w:autoSpaceDE w:val="0"/>
        <w:autoSpaceDN w:val="0"/>
        <w:bidi w:val="0"/>
        <w:adjustRightInd w:val="0"/>
        <w:snapToGrid w:val="0"/>
        <w:jc w:val="both"/>
        <w:rPr>
          <w:rFonts w:eastAsiaTheme="minorEastAsia" w:hint="eastAsia"/>
          <w:b/>
          <w:bCs/>
          <w:color w:val="000000"/>
          <w:sz w:val="20"/>
          <w:szCs w:val="20"/>
          <w:lang w:eastAsia="zh-CN"/>
        </w:rPr>
      </w:pPr>
    </w:p>
    <w:p w:rsidR="00937CCC" w:rsidRDefault="00937CCC" w:rsidP="00937CCC">
      <w:pPr>
        <w:autoSpaceDE w:val="0"/>
        <w:autoSpaceDN w:val="0"/>
        <w:bidi w:val="0"/>
        <w:adjustRightInd w:val="0"/>
        <w:snapToGrid w:val="0"/>
        <w:jc w:val="both"/>
        <w:rPr>
          <w:rFonts w:eastAsiaTheme="minorEastAsia" w:hint="eastAsia"/>
          <w:b/>
          <w:bCs/>
          <w:color w:val="000000"/>
          <w:sz w:val="20"/>
          <w:szCs w:val="20"/>
          <w:lang w:eastAsia="zh-CN"/>
        </w:rPr>
      </w:pPr>
    </w:p>
    <w:p w:rsidR="00937CCC" w:rsidRDefault="00937CCC" w:rsidP="00937CCC">
      <w:pPr>
        <w:autoSpaceDE w:val="0"/>
        <w:autoSpaceDN w:val="0"/>
        <w:bidi w:val="0"/>
        <w:adjustRightInd w:val="0"/>
        <w:snapToGrid w:val="0"/>
        <w:jc w:val="both"/>
        <w:rPr>
          <w:rFonts w:eastAsiaTheme="minorEastAsia" w:hint="eastAsia"/>
          <w:b/>
          <w:bCs/>
          <w:color w:val="000000"/>
          <w:sz w:val="20"/>
          <w:szCs w:val="20"/>
          <w:lang w:eastAsia="zh-CN"/>
        </w:rPr>
      </w:pPr>
    </w:p>
    <w:p w:rsidR="00937CCC" w:rsidRPr="00937CCC" w:rsidRDefault="00937CCC" w:rsidP="00937CCC">
      <w:pPr>
        <w:autoSpaceDE w:val="0"/>
        <w:autoSpaceDN w:val="0"/>
        <w:bidi w:val="0"/>
        <w:adjustRightInd w:val="0"/>
        <w:snapToGrid w:val="0"/>
        <w:jc w:val="both"/>
        <w:rPr>
          <w:rFonts w:eastAsiaTheme="minorEastAsia" w:hint="eastAsia"/>
          <w:b/>
          <w:bCs/>
          <w:color w:val="000000"/>
          <w:sz w:val="20"/>
          <w:szCs w:val="20"/>
          <w:lang w:eastAsia="zh-CN"/>
        </w:rPr>
      </w:pPr>
    </w:p>
    <w:p w:rsidR="006244D6" w:rsidRPr="000F3911" w:rsidRDefault="006244D6" w:rsidP="007A1E52">
      <w:pPr>
        <w:autoSpaceDE w:val="0"/>
        <w:autoSpaceDN w:val="0"/>
        <w:bidi w:val="0"/>
        <w:adjustRightInd w:val="0"/>
        <w:snapToGrid w:val="0"/>
        <w:jc w:val="both"/>
        <w:rPr>
          <w:b/>
          <w:bCs/>
          <w:color w:val="000000"/>
          <w:sz w:val="20"/>
          <w:szCs w:val="20"/>
        </w:rPr>
        <w:sectPr w:rsidR="006244D6" w:rsidRPr="000F3911" w:rsidSect="006244D6">
          <w:type w:val="continuous"/>
          <w:pgSz w:w="12242" w:h="15842" w:code="1"/>
          <w:pgMar w:top="1440" w:right="1440" w:bottom="1440" w:left="1440" w:header="720" w:footer="720" w:gutter="0"/>
          <w:cols w:space="708"/>
          <w:bidi/>
          <w:docGrid w:linePitch="360"/>
        </w:sectPr>
      </w:pPr>
    </w:p>
    <w:p w:rsidR="00B503E8" w:rsidRPr="000F3911" w:rsidRDefault="0075778A" w:rsidP="007A1E52">
      <w:pPr>
        <w:autoSpaceDE w:val="0"/>
        <w:autoSpaceDN w:val="0"/>
        <w:bidi w:val="0"/>
        <w:adjustRightInd w:val="0"/>
        <w:snapToGrid w:val="0"/>
        <w:jc w:val="both"/>
        <w:rPr>
          <w:b/>
          <w:bCs/>
          <w:color w:val="000000"/>
          <w:sz w:val="20"/>
          <w:szCs w:val="20"/>
        </w:rPr>
      </w:pPr>
      <w:r w:rsidRPr="000F3911">
        <w:rPr>
          <w:b/>
          <w:bCs/>
          <w:color w:val="000000"/>
          <w:sz w:val="20"/>
          <w:szCs w:val="20"/>
        </w:rPr>
        <w:lastRenderedPageBreak/>
        <w:t>4. Discussion</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Anterior cervical discectomy for cervical spondylosis was initially</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described in the mid–1950s by </w:t>
      </w:r>
      <w:r w:rsidRPr="000F3911">
        <w:rPr>
          <w:rStyle w:val="fontstyle21"/>
          <w:rFonts w:ascii="Times New Roman" w:hAnsi="Times New Roman"/>
          <w:sz w:val="20"/>
          <w:szCs w:val="20"/>
        </w:rPr>
        <w:t xml:space="preserve">Smith </w:t>
      </w:r>
      <w:r w:rsidRPr="000F3911">
        <w:rPr>
          <w:rStyle w:val="fontstyle01"/>
          <w:rFonts w:ascii="Times New Roman" w:hAnsi="Times New Roman"/>
          <w:sz w:val="20"/>
          <w:szCs w:val="20"/>
        </w:rPr>
        <w:t xml:space="preserve">and </w:t>
      </w:r>
      <w:r w:rsidRPr="000F3911">
        <w:rPr>
          <w:rStyle w:val="fontstyle21"/>
          <w:rFonts w:ascii="Times New Roman" w:hAnsi="Times New Roman"/>
          <w:sz w:val="20"/>
          <w:szCs w:val="20"/>
        </w:rPr>
        <w:t xml:space="preserve">Robinson </w:t>
      </w:r>
      <w:r w:rsidRPr="000F3911">
        <w:rPr>
          <w:rStyle w:val="fontstyle01"/>
          <w:rFonts w:ascii="Times New Roman" w:hAnsi="Times New Roman"/>
          <w:sz w:val="20"/>
          <w:szCs w:val="20"/>
        </w:rPr>
        <w:t>and</w:t>
      </w:r>
      <w:r w:rsidRPr="000F3911">
        <w:rPr>
          <w:rStyle w:val="fontstyle21"/>
          <w:rFonts w:ascii="Times New Roman" w:hAnsi="Times New Roman"/>
          <w:sz w:val="20"/>
          <w:szCs w:val="20"/>
        </w:rPr>
        <w:t xml:space="preserve"> Cloward</w:t>
      </w:r>
      <w:r w:rsidRPr="000F3911">
        <w:rPr>
          <w:rStyle w:val="fontstyle01"/>
          <w:rFonts w:ascii="Times New Roman" w:hAnsi="Times New Roman"/>
          <w:sz w:val="20"/>
          <w:szCs w:val="20"/>
        </w:rPr>
        <w:t xml:space="preserve"> and has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been reported with good clinical outcome and fusion rates. In the decades</w:t>
      </w:r>
      <w:r w:rsidR="00FD358B" w:rsidRP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that followed, various modifications of these landmark techniques have been</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described in the literature, including the addition of cages</w:t>
      </w:r>
      <w:r w:rsidR="006244D6"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Surgical treatment of multi-level cervical spondylosis is challenging. Type of decompression and the technique of reconstruction are the two</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important decisions to be made. The types of anterior decompression </w:t>
      </w:r>
      <w:r w:rsidR="000F3911" w:rsidRPr="000F3911">
        <w:rPr>
          <w:rStyle w:val="fontstyle01"/>
          <w:rFonts w:ascii="Times New Roman" w:hAnsi="Times New Roman"/>
          <w:sz w:val="20"/>
          <w:szCs w:val="20"/>
        </w:rPr>
        <w:t>usually used</w:t>
      </w:r>
      <w:r w:rsidRPr="000F3911">
        <w:rPr>
          <w:rStyle w:val="fontstyle01"/>
          <w:rFonts w:ascii="Times New Roman" w:hAnsi="Times New Roman"/>
          <w:sz w:val="20"/>
          <w:szCs w:val="20"/>
        </w:rPr>
        <w:t xml:space="preserve"> are multi-level anterior cervical discectomy and fusion ACDF </w:t>
      </w:r>
      <w:r w:rsidR="000F3911" w:rsidRPr="000F3911">
        <w:rPr>
          <w:rStyle w:val="fontstyle01"/>
          <w:rFonts w:ascii="Times New Roman" w:hAnsi="Times New Roman"/>
          <w:sz w:val="20"/>
          <w:szCs w:val="20"/>
        </w:rPr>
        <w:t>or single</w:t>
      </w:r>
      <w:r w:rsidRPr="000F3911">
        <w:rPr>
          <w:rStyle w:val="fontstyle01"/>
          <w:rFonts w:ascii="Times New Roman" w:hAnsi="Times New Roman"/>
          <w:sz w:val="20"/>
          <w:szCs w:val="20"/>
        </w:rPr>
        <w:t>-/multi-level anterior cervical corpectomy and fusion ACCF</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"10.1097/BSD.0000000000000499", "ISSN" : "2380-0194 (Electronic)", "PMID" : "28079682", "abstract" : "STUDY DESIGN: Multicenter propensity score-adjusted retrospective cohort study. OBJECTIVE: To determine baseline 30-day complication rates for anterior cervical discectomy and fusion (ACDF) and compare clinical complications for patients undergoing single-level ACDFs between inpatient and outpatient settings. SUMMARY OF BACKGROUND DATA: ACDF remains the most common procedure in the treatment of a variety of cervical disc pathologies, making it a focus of quality improvement initiatives. Outpatient single-level ACDFs are becoming more common and offer advantages including reducing nosocomial infections and costs, as well as improved patient satisfaction. MATERIALS AND METHODS: The 2011-2013 NSQIP datasets were queried to identify all patients who underwent single-level ACDF procedures using current procedural terminology codes. Outpatient and inpatient cohorts were matched 1:1 using propensity score analysis to assess short-term outcomes. The outcomes assessed included 30-day medical and surgical complications, reoperation, readmission, and mortality. RESULTS: In total, 6940 patients underwent a single-level ACDF with an overall complication rate of 4.2%. A total of 5162 patients (74.4%) had an inpatient hospital stay after surgery, whereas 1778 patients (25.6%) had outpatient surgery. After matching based on preoperative and operative characteristics to account for potential confounders, the overall complication rate was higher in the inpatient arm compared with the outpatient arm (2.5% vs. 1.2%; P=0.003). The 30-day readmission rate was also higher but not significant in the inpatient group than the outpatient group (2.2% vs. 1.8%; P=0.355). Mortality was the same with 0.1% in both groups (P=0.564). CONCLUSIONS: Patients undergoing outpatient single-level ACDF had a lower 30-day complication rates than those undergoing it in the inpatient setting. Outpatient surgery for single-level ACDF is safe and a favorable option for suitable patients. LEVEL OF EVIDENCE: Level 3.", "author" : [ { "dropping-particle" : "", "family" : "Khanna", "given" : "Ryan", "non-dropping-particle" : "", "parse-names" : false, "suffix" : "" }, { "dropping-particle" : "", "family" : "Kim", "given" : "Robert B", "non-dropping-particle" : "", "parse-names" : false, "suffix" : "" }, { "dropping-particle" : "", "family" : "Lam", "given" : "Sandi K", "non-dropping-particle" : "", "parse-names" : false, "suffix" : "" }, { "dropping-particle" : "", "family" : "Cybulski", "given" : "George R", "non-dropping-particle" : "", "parse-names" : false, "suffix" : "" }, { "dropping-particle" : "", "family" : "Smith", "given" : "Zachary A", "non-dropping-particle" : "", "parse-names" : false, "suffix" : "" }, { "dropping-particle" : "", "family" : "Dahdaleh", "given" : "Nader S", "non-dropping-particle" : "", "parse-names" : false, "suffix" : "" } ], "container-title" : "Clinical spine surgery", "id" : "ITEM-1", "issued" : { "date-parts" : [ [ "2017", "1" ] ] }, "language" : "eng", "publisher-place" : "United States", "title" : "Comparing Short-term Complications of Inpatient Versus Outpatient Single-level Anterior Cervical Discectomy and Fusion: An Analysis of 6940 Patients Using the ACS-NSQIP Database.", "type" : "article-journal" }, "uris" : [ "http://www.mendeley.com/documents/?uuid=fcd50913-a682-4242-87c3-587a69023628" ] } ], "mendeley" : { "formattedCitation" : "(Khanna &lt;i&gt;et al.&lt;/i&gt;, 2017)", "plainTextFormattedCitation" : "(Khanna et al., 2017)", "previouslyFormattedCitation" : "(Khanna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(Khanna</w:t>
      </w:r>
      <w:r w:rsidR="000F3911">
        <w:rPr>
          <w:rStyle w:val="fontstyle01"/>
          <w:rFonts w:ascii="Times New Roman" w:eastAsiaTheme="minorEastAsia" w:hAnsi="Times New Roman" w:hint="eastAsia"/>
          <w:b/>
          <w:bCs/>
          <w:noProof/>
          <w:sz w:val="20"/>
          <w:szCs w:val="20"/>
          <w:lang w:eastAsia="zh-CN"/>
        </w:rPr>
        <w:t xml:space="preserve">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2017)</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6244D6"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Although the surgical treatment for cervical spondylotic myelopathy (CSM) has a history going back sixty years, the selection of surgical procedures remains controversial and challenging. The common surgical procedures used include the anterior, posterior, and combined anteroposterior approaches</w:t>
      </w:r>
      <w:r w:rsidR="000F3911">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"10.1097/BSD.0000000000000238", "ISSN" : "2380-0194 (Electronic)", "PMID" : "28525490", "abstract" : "STUDY DESIGN: Retrospective study using the MarketScan longitudinal database (2006-2010). OBJECTIVE: Compare complication rates between groups of patients undergoing anterior cervical discectomy and fusion (ACDF) procedures performed by surgeons with high versus low mean annual ACDF volume. SUMMARY OF BACKGROUND DATA: Over the past decade the volume of ACDFs performed has increased, concurrent with greater appreciation of potential for associated complications. The effect of surgeon procedure volume on adverse events occurrence in the postoperative period has not been described. MATERIALS AND METHODS: We evaluated the relationship between surgeon procedure volume and postoperative incidence of any complication using a multivariate logistic regression model. A total of 24,461 patients undergoing single and multiple level ACDFs were identified in the MarketScan database by Current Procedural Terminology coding. Annual surgeon volume was determined by tracking of anonymized surgeon identification numbers, with high-volume surgeons defined as those performing an average of at least 30 ACDF procedures annually. RESULTS: Over 50% of unique surgeon identifiers reported &lt;9 ACDF operations per year, whereas the highest decile reported a range of 44-101. High surgeon volume was protective for any complication [odds ratio (OR), 72; 95% confidence interval, 0.65-0.81; P&lt;0.0001], with an adjusted number needed to harm of 44. Patients treated by high-volume physicians specifically had lower odds of dysphagia (2.22% vs. 3.08%; OR, 0.71; P&lt;0.0013), neurological complications (0.33% vs. 0.64%; OR, 0.52; P&lt;0.0107), new diagnosis of chronic pain (0.48% vs. 0.82%; OR, 0.58; P&lt;0.0119), pulmonary complications (1.10% vs. 1.58%; OR, 0.69; P&lt;0.0138), and other wound complications (0.06% vs. 0.22%; OR, 0.28; P&lt;0.0242). CONCLUSIONS: We demonstrate a possible association between higher surgeon procedure volume and decreased postoperative complications after ACDF. There was no difference observed in need for revision surgery or readmission rates.", "author" : [ { "dropping-particle" : "", "family" : "Cole", "given" : "Tyler", "non-dropping-particle" : "", "parse-names" : false, "suffix" : "" }, { "dropping-particle" : "", "family" : "Veeravagu", "given" : "Anand", "non-dropping-particle" : "", "parse-names" : false, "suffix" : "" }, { "dropping-particle" : "", "family" : "Zhang", "given" : "Michael", "non-dropping-particle" : "", "parse-names" : false, "suffix" : "" }, { "dropping-particle" : "", "family" : "Ratliff", "given" : "John K", "non-dropping-particle" : "", "parse-names" : false, "suffix" : "" } ], "container-title" : "Clinical spine surgery", "id" : "ITEM-1", "issue" : "5", "issued" : { "date-parts" : [ [ "2017", "6" ] ] }, "language" : "eng", "page" : "E633-E639", "publisher-place" : "United States", "title" : "Surgeon Procedure Volume and Complication Rates in Anterior Cervical Discectomy and Fusions: Analysis of a National Longitudinal Database.", "type" : "article-journal", "volume" : "30" }, "uris" : [ "http://www.mendeley.com/documents/?uuid=b6155246-3f96-4df1-85e6-0740b6d82483" ] } ], "mendeley" : { "formattedCitation" : "(Cole &lt;i&gt;et al.&lt;/i&gt;, 2017)", "plainTextFormattedCitation" : "(Cole et al., 2017)", "previouslyFormattedCitation" : "(Cole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sz w:val="20"/>
          <w:szCs w:val="20"/>
        </w:rPr>
        <w:t>(Cole et al., 2017)</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 xml:space="preserve">. </w:t>
      </w:r>
    </w:p>
    <w:p w:rsidR="006244D6" w:rsidRPr="000F3911" w:rsidRDefault="006244D6" w:rsidP="007A1E52">
      <w:pPr>
        <w:bidi w:val="0"/>
        <w:snapToGrid w:val="0"/>
        <w:ind w:firstLine="425"/>
        <w:jc w:val="both"/>
        <w:rPr>
          <w:rStyle w:val="fontstyle01"/>
          <w:rFonts w:ascii="Times New Roman" w:hAnsi="Times New Roman"/>
          <w:b/>
          <w:bCs/>
          <w:sz w:val="20"/>
          <w:szCs w:val="20"/>
        </w:rPr>
      </w:pPr>
      <w:r w:rsidRPr="000F3911">
        <w:rPr>
          <w:rStyle w:val="fontstyle01"/>
          <w:rFonts w:ascii="Times New Roman" w:hAnsi="Times New Roman"/>
          <w:sz w:val="20"/>
          <w:szCs w:val="20"/>
        </w:rPr>
        <w:t>A</w:t>
      </w:r>
      <w:r w:rsidR="00B503E8" w:rsidRPr="000F3911">
        <w:rPr>
          <w:rStyle w:val="fontstyle01"/>
          <w:rFonts w:ascii="Times New Roman" w:hAnsi="Times New Roman"/>
          <w:sz w:val="20"/>
          <w:szCs w:val="20"/>
        </w:rPr>
        <w:t>nterior approaches to the cervical spine are recognized as a reliable and effective method to treat CSM and they have been widely accepted as an appropriate operative procedure. Anterior decompression and fusion can remove the compressive pathology and reconstruct the alignment of the cervical spine, yielding good clinical results. The type of decompression and reconstruction technique are the two important decisions to be made</w:t>
      </w:r>
      <w:r w:rsidR="00F105E2" w:rsidRPr="000F3911">
        <w:rPr>
          <w:rStyle w:val="fontstyle01"/>
          <w:rFonts w:ascii="Times New Roman" w:hAnsi="Times New Roman"/>
          <w:b/>
          <w:bCs/>
          <w:sz w:val="20"/>
          <w:szCs w:val="20"/>
        </w:rPr>
        <w:fldChar w:fldCharType="begin" w:fldLock="1"/>
      </w:r>
      <w:r w:rsidR="00B503E8" w:rsidRPr="000F3911">
        <w:rPr>
          <w:rStyle w:val="fontstyle01"/>
          <w:rFonts w:ascii="Times New Roman" w:hAnsi="Times New Roman"/>
          <w:b/>
          <w:bCs/>
          <w:sz w:val="20"/>
          <w:szCs w:val="20"/>
        </w:rPr>
        <w:instrText>ADDIN CSL_CITATION { "citationItems" : [ { "id" : "ITEM-1", "itemData" : { "DOI" : "10.1177/2192568217699207", "ISSN" : "2192-5682 (Print)", "PMID" : "28989837", "abstract" : "STUDY DESIGN: Retrospective database review. OBJECTIVES: After the Food and Drug  Administration approved bone morphogenetic protein-2 (BMP) in 2002, BMP was used off-label in the cervical spine to increase bone growth and bony fusion. Since then, concerns have been raised regarding complication rates and safety. This study was conducted to examine the use of BMP in anterior cervical discectomy and fusion (ACDF) in the Medicare population and to determine risk of complications and associated costs within 90 days of surgery. METHODS: Patients who underwent ACDF were identified using Current Procedural Terminology (CPT) and International Classification of Diseases, Ninth Revision Procedure codes (ICD9-P). Complications were identified using ICD9 diagnostic codes. Charges were calculated as amount billed, and reimbursements were calculated as amounts paid by Medicare. Data for these analyses came from a nationwide claims database. RESULTS: A total of 215 047 patients were identified who had ACDF from 2005 to 2011. For the majority of the procedures (89.0%), BMP was not used. BMP use rose from 11.84% in 2005 to a peak of 16.73% in 2007 before decreasing to 12.01% in 2011. BMP was used 16% more in women than men. BMP use was the highest in the West (13.6%) followed by Midwest (11.8%), South (10.6%), and Northeast (7.5%). There was a higher overall complication rate in the BMP group (2.1%) compared with the non-BMP group (1.9%) (odds ratio [OR] = 1.11, 95% CI = 1.01-1.22). The BMP group also had a higher rate of wound complications (0.98% vs 0.76%, OR = 1.29, 95% CI = 1.12-1.48). In this study population, there was no difference in dysphagia/hoarseness, neurologic, medical, or other complications. During the 90-day perioperative period, BMP surgeries were charged at 17.6% higher than non-BMP surgeries. CONCLUSIONS: The use of BMP in ACDF in the Medicare population has decreased since a peak in 2007. The rate of wound and overall complications for BMP use with ACDF was higher than without. Our results regarding dysphagia/hoarseness did not show a statistically meaningful difference, which is in contrast with many other studies. Charges associated with BMP use were higher during the 90-day perioperative period.", "author" : [ { "dropping-particle" : "", "family" : "Lord", "given" : "Elizabeth L", "non-dropping-particle" : "", "parse-names" : false, "suffix" : "" }, { "dropping-particle" : "", "family" : "Cohen", "given" : "Jeremiah R", "non-dropping-particle" : "", "parse-names" : false, "suffix" : "" }, { "dropping-particle" : "", "family" : "Buser", "given" : "Zorica", "non-dropping-particle" : "", "parse-names" : false, "suffix" : "" }, { "dropping-particle" : "", "family" : "Meisel", "given" : "Hans-Joerg", "non-dropping-particle" : "", "parse-names" : false, "suffix" : "" }, { "dropping-particle" : "", "family" : "Brodke", "given" : "Darrel S", "non-dropping-particle" : "", "parse-names" : false, "suffix" : "" }, { "dropping-particle" : "", "family" : "Yoon", "given" : "S Tim", "non-dropping-particle" : "", "parse-names" : false, "suffix" : "" }, { "dropping-particle" : "", "family" : "Youssef", "given" : "Jim A", "non-dropping-particle" : "", "parse-names" : false, "suffix" : "" }, { "dropping-particle" : "", "family" : "Wang", "given" : "Jeffrey C", "non-dropping-particle" : "", "parse-names" : false, "suffix" : "" }, { "dropping-particle" : "", "family" : "Park", "given" : "Jong-Beom", "non-dropping-particle" : "", "parse-names" : false, "suffix" : "" } ], "container-title" : "Global spine journal", "id" : "ITEM-1", "issue" : "7", "issued" : { "date-parts" : [ [ "2017", "10" ] ] }, "language" : "eng", "page" : "603-608", "publisher-place" : "England", "title" : "Trends, Costs, and Complications of Anterior Cervical Discectomy and Fusion With  and Without Bone Morphogenetic Protein in the United States Medicare Population.", "type" : "article-journal", "volume" : "7" }, "uris" : [ "http://www.mendeley.com/documents/?uuid=bfdaba02-df1f-4a99-bd07-65618c2b2641" ] } ], "mendeley" : { "formattedCitation" : "(Lord &lt;i&gt;et al.&lt;/i&gt;, 2017)", "plainTextFormattedCitation" : "(Lord et al., 2017)", "previouslyFormattedCitation" : "(Lord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00B503E8" w:rsidRPr="000F3911">
        <w:rPr>
          <w:rStyle w:val="fontstyle01"/>
          <w:rFonts w:ascii="Times New Roman" w:hAnsi="Times New Roman"/>
          <w:b/>
          <w:bCs/>
          <w:sz w:val="20"/>
          <w:szCs w:val="20"/>
        </w:rPr>
        <w:t>(Lord et al., 2017)</w:t>
      </w:r>
      <w:r w:rsidR="00F105E2" w:rsidRPr="000F3911">
        <w:rPr>
          <w:rStyle w:val="fontstyle01"/>
          <w:rFonts w:ascii="Times New Roman" w:hAnsi="Times New Roman"/>
          <w:b/>
          <w:bCs/>
          <w:sz w:val="20"/>
          <w:szCs w:val="20"/>
        </w:rPr>
        <w:fldChar w:fldCharType="end"/>
      </w:r>
      <w:r w:rsidR="00B503E8" w:rsidRPr="000F3911">
        <w:rPr>
          <w:rStyle w:val="fontstyle01"/>
          <w:rFonts w:ascii="Times New Roman" w:hAnsi="Times New Roman"/>
          <w:b/>
          <w:bCs/>
          <w:sz w:val="20"/>
          <w:szCs w:val="20"/>
        </w:rPr>
        <w:t xml:space="preserve">. </w:t>
      </w:r>
    </w:p>
    <w:p w:rsidR="00B503E8" w:rsidRPr="000F3911" w:rsidRDefault="006244D6" w:rsidP="007A1E52">
      <w:pPr>
        <w:bidi w:val="0"/>
        <w:snapToGrid w:val="0"/>
        <w:ind w:firstLine="425"/>
        <w:jc w:val="both"/>
        <w:rPr>
          <w:rStyle w:val="fontstyle01"/>
          <w:rFonts w:ascii="Times New Roman" w:hAnsi="Times New Roman"/>
          <w:sz w:val="20"/>
          <w:szCs w:val="20"/>
        </w:rPr>
      </w:pPr>
      <w:r w:rsidRPr="000F3911">
        <w:rPr>
          <w:rFonts w:eastAsiaTheme="minorHAnsi"/>
          <w:sz w:val="20"/>
          <w:szCs w:val="20"/>
        </w:rPr>
        <w:t>A</w:t>
      </w:r>
      <w:r w:rsidR="00B503E8" w:rsidRPr="000F3911">
        <w:rPr>
          <w:rFonts w:eastAsiaTheme="minorHAnsi"/>
          <w:sz w:val="20"/>
          <w:szCs w:val="20"/>
        </w:rPr>
        <w:t>nterior decompression and fusion include cervical discectomy with fusion (ACDF) and anterior cervical corpectomy with fusion (ACCF), however, the ideal anterior decompression method is controversial. Although some relevant studies comparing the ACDF and ACCF have been reported, the evidence regarding whether ACDF is superior to ACCF remains insufficient, owing to ambiguous results</w:t>
      </w:r>
      <w:r w:rsidR="00F105E2" w:rsidRPr="000F3911">
        <w:rPr>
          <w:rFonts w:eastAsiaTheme="minorHAnsi"/>
          <w:b/>
          <w:bCs/>
          <w:sz w:val="20"/>
          <w:szCs w:val="20"/>
        </w:rPr>
        <w:fldChar w:fldCharType="begin" w:fldLock="1"/>
      </w:r>
      <w:r w:rsidR="00B503E8" w:rsidRPr="000F3911">
        <w:rPr>
          <w:rFonts w:eastAsiaTheme="minorHAnsi"/>
          <w:b/>
          <w:bCs/>
          <w:sz w:val="20"/>
          <w:szCs w:val="20"/>
        </w:rPr>
        <w:instrText>ADDIN CSL_CITATION { "citationItems" : [ { "id" : "ITEM-1",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"ITEM-1",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"mendeley" : { "formattedCitation" : "(Han &lt;i&gt;et al.&lt;/i&gt;, 2014)", "plainTextFormattedCitation" : "(Han et al., 2014)", "previouslyFormattedCitation" : "(Han &lt;i&gt;et al.&lt;/i&gt;, 2014)" }, "properties" : {  }, "schema" : "https://github.com/citation-style-language/schema/raw/master/csl-citation.json" }</w:instrText>
      </w:r>
      <w:r w:rsidR="00F105E2" w:rsidRPr="000F3911">
        <w:rPr>
          <w:rFonts w:eastAsiaTheme="minorHAnsi"/>
          <w:b/>
          <w:bCs/>
          <w:sz w:val="20"/>
          <w:szCs w:val="20"/>
        </w:rPr>
        <w:fldChar w:fldCharType="separate"/>
      </w:r>
      <w:r w:rsidR="00B503E8" w:rsidRPr="000F3911">
        <w:rPr>
          <w:rFonts w:eastAsiaTheme="minorHAnsi"/>
          <w:b/>
          <w:bCs/>
          <w:noProof/>
          <w:sz w:val="20"/>
          <w:szCs w:val="20"/>
        </w:rPr>
        <w:t xml:space="preserve">(Han </w:t>
      </w:r>
      <w:r w:rsidR="00B503E8" w:rsidRPr="000F3911">
        <w:rPr>
          <w:rFonts w:eastAsiaTheme="minorHAnsi"/>
          <w:b/>
          <w:bCs/>
          <w:i/>
          <w:noProof/>
          <w:sz w:val="20"/>
          <w:szCs w:val="20"/>
        </w:rPr>
        <w:t>et al.</w:t>
      </w:r>
      <w:r w:rsidR="00B503E8" w:rsidRPr="000F3911">
        <w:rPr>
          <w:rFonts w:eastAsiaTheme="minorHAnsi"/>
          <w:b/>
          <w:bCs/>
          <w:noProof/>
          <w:sz w:val="20"/>
          <w:szCs w:val="20"/>
        </w:rPr>
        <w:t>, 2014)</w:t>
      </w:r>
      <w:r w:rsidR="00F105E2" w:rsidRPr="000F3911">
        <w:rPr>
          <w:rFonts w:eastAsiaTheme="minorHAnsi"/>
          <w:b/>
          <w:bCs/>
          <w:sz w:val="20"/>
          <w:szCs w:val="20"/>
        </w:rPr>
        <w:fldChar w:fldCharType="end"/>
      </w:r>
      <w:r w:rsidR="00B503E8" w:rsidRPr="000F3911">
        <w:rPr>
          <w:rFonts w:eastAsiaTheme="minorHAnsi"/>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Several studies have demonstrated the superior </w:t>
      </w:r>
      <w:r w:rsidR="000F3911" w:rsidRPr="000F3911">
        <w:rPr>
          <w:rStyle w:val="fontstyle01"/>
          <w:rFonts w:ascii="Times New Roman" w:hAnsi="Times New Roman"/>
          <w:sz w:val="20"/>
          <w:szCs w:val="20"/>
        </w:rPr>
        <w:t>biomechanical properties</w:t>
      </w:r>
      <w:r w:rsidRPr="000F3911">
        <w:rPr>
          <w:rStyle w:val="fontstyle01"/>
          <w:rFonts w:ascii="Times New Roman" w:hAnsi="Times New Roman"/>
          <w:sz w:val="20"/>
          <w:szCs w:val="20"/>
        </w:rPr>
        <w:t xml:space="preserve"> of cages in comparison with an autologous bone graft</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"10.1177/1941738115610753", "ISSN" : "1941-7381", "PMID" : "26502187", "abstract" : "CONTEXT Currently, there is a national focus on establishing and disseminating standardized guidelines for return to play for athletes at all levels of competition. As more data become available, protocols and guidelines are being refined and implemented to assist physicians, coaches, trainers, players, and parents in making decisions about return to play. To date, no standardized criteria for returning to play exist for injuries to the spine. EVIDENCE ACQUISITION Electronic databases including PubMed and MEDLINE and professional orthopaedic, neurosurgical, and spine organizational websites were reviewed between 1980 and 2015. STUDY DESIGN Clinical review. LEVEL OF EVIDENCE Level 4. RESULTS Although clinical guidelines have been published for return to play after spine injury, they are almost exclusively derived from expert opinion and clinical experience rather than from well-designed studies. Furthermore, recommendations differ and vary depending on anatomic location, type of sport, and surgery performed. CONCLUSION Despite a lack of consensus and specific recommendations, there is universal agreement that athletes should be pain free, completely neurologically intact, and have full strength and range of motion before returning to play after spinal injury.", "author" : [ { "dropping-particle" : "", "family" : "Huang", "given" : "Philip", "non-dropping-particle" : "", "parse-names" : false, "suffix" : "" }, { "dropping-particle" : "", "family" : "Anissipour", "given" : "Alireza", "non-dropping-particle" : "", "parse-names" : false, "suffix" : "" }, { "dropping-particle" : "", "family" : "McGee", "given" : "William", "non-dropping-particle" : "", "parse-names" : false, "suffix" : "" }, { "dropping-particle" : "", "family" : "Lemak", "given" : "Lawrence", "non-dropping-particle" : "", "parse-names" : false, "suffix" : "" } ], "container-title" : "Sports Health: A Multidisciplinary Approach", "id" : "ITEM-1", "issue" : "1", "issued" : { "date-parts" : [ [ "2016" ] ] }, "page" : "19-25", "title" : "Return-to-Play Recommendations After Cervical, Thoracic, and Lumbar Spine Injuries", "type" : "article-journal", "volume" : "8" }, "uris" : [ "http://www.mendeley.com/documents/?uuid=642c824c-9d23-4196-a4ca-70b2bb553939" ] } ], "mendeley" : { "formattedCitation" : "(Huang &lt;i&gt;et al.&lt;/i&gt;, 2016)", "plainTextFormattedCitation" : "(Huang et al., 2016)", "previouslyFormattedCitation" : "(Huang &lt;i&gt;et al.&lt;/i&gt;, 2016)"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(Huang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2016)</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Polyether-etherketone (PEEK) is a semicrystalline thermoplastic </w:t>
      </w:r>
      <w:r w:rsidR="000F3911" w:rsidRPr="000F3911">
        <w:rPr>
          <w:rStyle w:val="fontstyle01"/>
          <w:rFonts w:ascii="Times New Roman" w:hAnsi="Times New Roman"/>
          <w:sz w:val="20"/>
          <w:szCs w:val="20"/>
        </w:rPr>
        <w:t>with excellent</w:t>
      </w:r>
      <w:r w:rsidRPr="000F3911">
        <w:rPr>
          <w:rStyle w:val="fontstyle01"/>
          <w:rFonts w:ascii="Times New Roman" w:hAnsi="Times New Roman"/>
          <w:sz w:val="20"/>
          <w:szCs w:val="20"/>
        </w:rPr>
        <w:t xml:space="preserve"> mechanical and chemical resistance properties that are retained </w:t>
      </w:r>
      <w:r w:rsidR="000F3911" w:rsidRPr="000F3911">
        <w:rPr>
          <w:rStyle w:val="fontstyle01"/>
          <w:rFonts w:ascii="Times New Roman" w:hAnsi="Times New Roman"/>
          <w:sz w:val="20"/>
          <w:szCs w:val="20"/>
        </w:rPr>
        <w:t>to high</w:t>
      </w:r>
      <w:r w:rsidRPr="000F3911">
        <w:rPr>
          <w:rStyle w:val="fontstyle01"/>
          <w:rFonts w:ascii="Times New Roman" w:hAnsi="Times New Roman"/>
          <w:sz w:val="20"/>
          <w:szCs w:val="20"/>
        </w:rPr>
        <w:t xml:space="preserve"> temperatures. The tensile strength is 90 to 100 MPa and its </w:t>
      </w:r>
      <w:r w:rsidR="000F3911" w:rsidRPr="000F3911">
        <w:rPr>
          <w:rStyle w:val="fontstyle01"/>
          <w:rFonts w:ascii="Times New Roman" w:hAnsi="Times New Roman"/>
          <w:sz w:val="20"/>
          <w:szCs w:val="20"/>
        </w:rPr>
        <w:t>Young’s modulus</w:t>
      </w:r>
      <w:r w:rsidRPr="000F3911">
        <w:rPr>
          <w:rStyle w:val="fontstyle01"/>
          <w:rFonts w:ascii="Times New Roman" w:hAnsi="Times New Roman"/>
          <w:sz w:val="20"/>
          <w:szCs w:val="20"/>
        </w:rPr>
        <w:t xml:space="preserve"> is 3.6 GPa, which is closely related to that of the cancellous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bone</w:t>
      </w:r>
      <w:r w:rsidR="000F3911">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"10.1097/BRS.0b013e3182a7eaaf", "ISSN" : "1528-1159 (Electronic)", "PMID" : "23962995", "abstract" : "STUDY DESIGN: Systematic review. OBJECTIVE: We performed a systematic review to determine the comparative effectiveness and safety profiles of anterior versus posterior decompression procedures for multilevel cervical spondylotic myelopathy (CSM). SUMMARY OF BACKGROUND DATA: CSM is a common cause of neurological dysfunction. It is well established that surgical decompression of the cervical spinal cord is an effective treatment option for CSM. Because of the lack of well-designed prospective studies, there remains a lack of consensus whether multilevel spondylotic compression is best treated via an anterior or posterior surgical route and whether one of these surgical approaches is superior in terms of patient outcomes and/or complication profiles. METHODS: We conducted a systematic search for literature published through September 2012. We sought to identify comparative studies (e.g., randomized controlled trials, cohort studies) comparing anterior with posterior procedures in patients with 2-level or greater cord compression resulting in CSM. Standardized mean differences were calculated to allow comparisons of the change (i.e., improvement or decline) in scores between anterior and posterior surgical procedures by study. Clinical recommendations were made through a modified Delphi approach by applying the GRADE (Grading of Recommendation Assessment, Development and Evaluation)/AHRQ (Agency for Healthcare Research and Quality) criteria. RESULTS: We identified 8 level III retrospective cohort studies that met the inclusion criteria from a total of 135 possible studies for review. With regard to effectiveness between the 2 approaches, improvements in JOA (Japanese Orthopaedic Association) scores were similar, whereas canal diameter change was larger after posterior surgery. With regard to safety, postoperative C5 palsy rates were similar, infection rates were lower with anterior surgery, and dysphagia rates were lower with posterior surgery. CONCLUSION: This systematic review demonstrates that, for both effectiveness and safety, there is no clear advantage to either an anterior surgical approach or a posterior surgical approach when treating patients with multilevel CSM. With that, a surgical strategy developed on a patient-to-patient basis should be used to achieve optimal patient outcomes. In addition, development of a consensus for standardized reporting of outcome measures and complication profiles would facilitate improved comparisons across differ\u2026", "author" : [ { "dropping-particle" : "", "family" : "Lawrence", "given" : "Brandon D", "non-dropping-particle" : "", "parse-names" : false, "suffix" : "" }, { "dropping-particle" : "", "family" : "Jacobs", "given" : "W Bradley", "non-dropping-particle" : "", "parse-names" : false, "suffix" : "" }, { "dropping-particle" : "", "family" : "Norvell", "given" : "Daniel C", "non-dropping-particle" : "", "parse-names" : false, "suffix" : "" }, { "dropping-particle" : "", "family" : "Hermsmeyer", "given" : "Jeffrey T", "non-dropping-particle" : "", "parse-names" : false, "suffix" : "" }, { "dropping-particle" : "", "family" : "Chapman", "given" : "Jens R", "non-dropping-particle" : "", "parse-names" : false, "suffix" : "" }, { "dropping-particle" : "", "family" : "Brodke", "given" : "Darrel S", "non-dropping-particle" : "", "parse-names" : false, "suffix" : "" } ], "container-title" : "Spine", "id" : "ITEM-1", "issue" : "22 Suppl 1", "issued" : { "date-parts" : [ [ "2013", "10" ] ] }, "language" : "eng", "page" : "S173-82", "publisher-place" : "United States", "title" : "Anterior versus posterior approach for treatment of cervical spondylotic myelopathy: a systematic review.", "type" : "article-journal", "volume" : "38" }, "uris" : [ "http://www.mendeley.com/documents/?uuid=c5a609c7-2ba7-4820-899b-2f6d6e521c55" ] } ], "mendeley" : { "formattedCitation" : "(Lawrence &lt;i&gt;et al.&lt;/i&gt;, 2013)", "plainTextFormattedCitation" : "(Lawrence et al., 2013)", "previouslyFormattedCitation" : "(Lawrence &lt;i&gt;et al.&lt;/i&gt;, 2013)"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(Lawrence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2013)</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Previous studies have shown that surgical treatments of two-level CSM using ACDF or ACCF are similar in terms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of clinical outcome. However, </w:t>
      </w:r>
      <w:r w:rsidRPr="000F3911">
        <w:rPr>
          <w:rStyle w:val="fontstyle01"/>
          <w:rFonts w:ascii="Times New Roman" w:hAnsi="Times New Roman"/>
          <w:sz w:val="20"/>
          <w:szCs w:val="20"/>
        </w:rPr>
        <w:lastRenderedPageBreak/>
        <w:t>with regard to the amount of bleeding and radiological results, two-level ACDF was found to be superior to one-level ACCF in terms of operation times</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"ISSN" : "2150-1149 (Electronic)", "PMID" : "29149157", "author" : [ { "dropping-particle" : "", "family" : "Yang", "given" : "Jun-Song", "non-dropping-particle" : "", "parse-names" : false, "suffix" : "" }, { "dropping-particle" : "", "family" : "Zeng", "given" : "Yong-Sheng", "non-dropping-particle" : "", "parse-names" : false, "suffix" : "" }, { "dropping-particle" : "", "family" : "Liu", "given" : "Tuan-Jiang", "non-dropping-particle" : "", "parse-names" : false, "suffix" : "" }, { "dropping-particle" : "", "family" : "Hao", "given" : "Ding-Jun", "non-dropping-particle" : "", "parse-names" : false, "suffix" : "" } ], "container-title" : "Pain physician", "id" : "ITEM-1", "issue" : "7", "issued" : { "date-parts" : [ [ "2017", "11" ] ] }, "language" : "eng", "page" : "E1123-E1124", "publisher-place" : "United States", "title" : "Full-Endoscopic Procedures Versus Traditional Discectomy Surgery for Discectomy:  A Systematic Review and Meta-analysis of Current Global Clinical Trials.", "type" : "article-journal", "volume" : "20" }, "uris" : [ "http://www.mendeley.com/documents/?uuid=7eb4f24c-81ca-4ea7-86a1-c5ed0a14361a" ] } ], "mendeley" : { "formattedCitation" : "(Yang &lt;i&gt;et al.&lt;/i&gt;, 2017)", "plainTextFormattedCitation" : "(Yang et al., 2017)", "previouslyFormattedCitation" : "(Yang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(Yang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2017)</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b/>
          <w:bCs/>
          <w:sz w:val="20"/>
          <w:szCs w:val="20"/>
        </w:rPr>
      </w:pPr>
      <w:r w:rsidRPr="000F3911">
        <w:rPr>
          <w:rStyle w:val="fontstyle01"/>
          <w:rFonts w:ascii="Times New Roman" w:hAnsi="Times New Roman"/>
          <w:b/>
          <w:bCs/>
          <w:sz w:val="20"/>
          <w:szCs w:val="20"/>
        </w:rPr>
        <w:t>Cunningham et al</w:t>
      </w:r>
      <w:r w:rsidRPr="000F3911">
        <w:rPr>
          <w:rStyle w:val="fontstyle01"/>
          <w:rFonts w:ascii="Times New Roman" w:hAnsi="Times New Roman"/>
          <w:sz w:val="20"/>
          <w:szCs w:val="20"/>
        </w:rPr>
        <w:t xml:space="preserve"> reviewed retrospective cohort studies comparing ACDF, corpectomy, laminoplasty, and</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laminectomy and fusion as surgical options for CSM from 1980 to January 2008, and concluded that all approaches yield similar neuro-recovery rates. Recently, </w:t>
      </w:r>
      <w:r w:rsidRPr="000F3911">
        <w:rPr>
          <w:rStyle w:val="fontstyle01"/>
          <w:rFonts w:ascii="Times New Roman" w:hAnsi="Times New Roman"/>
          <w:b/>
          <w:bCs/>
          <w:sz w:val="20"/>
          <w:szCs w:val="20"/>
        </w:rPr>
        <w:t>Shamjietal</w:t>
      </w:r>
      <w:r w:rsidR="000F3911">
        <w:rPr>
          <w:rStyle w:val="fontstyle01"/>
          <w:rFonts w:ascii="Times New Roman" w:eastAsiaTheme="minorEastAsia" w:hAnsi="Times New Roman" w:hint="eastAsia"/>
          <w:b/>
          <w:bCs/>
          <w:sz w:val="20"/>
          <w:szCs w:val="20"/>
          <w:lang w:eastAsia="zh-CN"/>
        </w:rPr>
        <w:t xml:space="preserve"> </w:t>
      </w:r>
      <w:r w:rsidRPr="000F3911">
        <w:rPr>
          <w:rStyle w:val="fontstyle01"/>
          <w:rFonts w:ascii="Times New Roman" w:hAnsi="Times New Roman"/>
          <w:sz w:val="20"/>
          <w:szCs w:val="20"/>
        </w:rPr>
        <w:t>reviewed</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studies comparing multiple discectomies with single or multiple corpectomy, multiple discectomies with a hybrid discectomy–corpectomy procedure, and multiple corpectomies with a hybrid discectomy–corpectomy procedure, and concluded that all three operative approaches are effective strategies for the anterior surgical management of CSM. However, which surgery is a better option in the treatment of multilevel CSM remains unclear</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"10.1097/BRS.0b013e3181b204cc", "ISSN" : "1528-1159", "PMID" : "20190625", "abstract" : "STUDY DESIGN Systematic review of cohort studies comparing surgical treatment options for cervical spondylotic myelopathy. OBJECTIVE Compare results of major surgical treatments. SUMMARY OF BACKGROUND DATA Controversy exists between various surgical options for the treatment of multilevel cervical spondylotic myelopathy, including multilevel corpectomy (CORP) and fusion, anterior cervical discectomy and fusion, laminoplasty (LAMP), and laminectomy and fusion (LAMI). A systematic review was done in order to compare results and complications among these procedures. METHODS Systematic review of retrospective cohort studies comparing anterior cervical discectomy and fusion (ACDF), CORP, LAMP, and LAMI from 1980 to January 2008. Separately, a review was performed of case series with greater than 10-year follow-up. RESULTS About 1735 articles found initially, 591 abstracts screened, 36 articles retrieved in full, 11 studies included in review. All comparison studies are retrospective cohort studies. Four studies compared multilevel CORP versus LAMP, 1 study compared LAMI with LAMP, and 2 studies compared ACDF with LAMP. There were 3 case studies with greater than 10-year follow-up. CONCLUSION All approaches yield similar neuro recovery rates. Laminoplasty has a significant incidence of neck pain compared with multilevel CORP. ACDFs increase the rate of adjacent secondary spondylosis compared with LAMP. Multilevel CORP and laminectomy with fusion have a significantly higher rate of graft, instrumentation, and approach related complications. Multilevel CORP and laminectomy with fusion have a significant decrease in range of motion of neck compared with LAMP.", "author" : [ { "dropping-particle" : "", "family" : "Cunningham", "given" : "Mary R A", "non-dropping-particle" : "", "parse-names" : false, "suffix" : "" }, { "dropping-particle" : "", "family" : "Hershman", "given" : "Stuart", "non-dropping-particle" : "", "parse-names" : false, "suffix" : "" }, { "dropping-particle" : "", "family" : "Bendo", "given" : "John", "non-dropping-particle" : "", "parse-names" : false, "suffix" : "" } ], "container-title" : "Spine", "id" : "ITEM-1", "issue" : "5", "issued" : { "date-parts" : [ [ "2010", "3", "1" ] ] }, "page" : "537-43", "title" : "Systematic review of cohort studies comparing surgical treatments for cervical spondylotic myelopathy.", "type" : "article-journal", "volume" : "35" }, "uris" : [ "http://www.mendeley.com/documents/?uuid=016d6c34-791e-4ede-a7a0-5b82b6a582ea" ] } ], "mendeley" : { "formattedCitation" : "(Cunningham, Hershman and Bendo, 2010a)", "plainTextFormattedCitation" : "(Cunningham, Hershman and Bendo, 2010a)", "previouslyFormattedCitation" : "(Cunningham, Hershman and Bendo, 2010a)"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(Cunningham, Hershman and Bendo, 2010)</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b/>
          <w:bCs/>
          <w:sz w:val="20"/>
          <w:szCs w:val="20"/>
        </w:rPr>
        <w:t>.</w:t>
      </w:r>
    </w:p>
    <w:p w:rsidR="00B503E8" w:rsidRPr="000F3911" w:rsidRDefault="00B503E8" w:rsidP="007A1E52">
      <w:pPr>
        <w:autoSpaceDE w:val="0"/>
        <w:autoSpaceDN w:val="0"/>
        <w:bidi w:val="0"/>
        <w:adjustRightInd w:val="0"/>
        <w:snapToGrid w:val="0"/>
        <w:ind w:firstLine="425"/>
        <w:jc w:val="both"/>
        <w:rPr>
          <w:rStyle w:val="fontstyle21"/>
          <w:rFonts w:ascii="Times New Roman" w:hAnsi="Times New Roman"/>
          <w:b w:val="0"/>
          <w:bCs w:val="0"/>
          <w:sz w:val="20"/>
          <w:szCs w:val="20"/>
        </w:rPr>
      </w:pPr>
      <w:r w:rsidRPr="000F3911">
        <w:rPr>
          <w:rStyle w:val="fontstyle21"/>
          <w:rFonts w:ascii="Times New Roman" w:hAnsi="Times New Roman"/>
          <w:b w:val="0"/>
          <w:bCs w:val="0"/>
          <w:sz w:val="20"/>
          <w:szCs w:val="20"/>
        </w:rPr>
        <w:t xml:space="preserve">Based on 15 studies and a total of 1,368 cases of multi-level CSM using ACDF or ACCF,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"10.2147/TCRM.S72699", "ISSN" : "1176-6336", "PMID" : "25673996", "abstract" : "BACKGROUND: To date, the decision to treat multilevel cervical spondylotic myelopathy (CSM) with anterior cervical discectomy and fusion (ACDF) or anterior cervical corpectomy and fusion (ACCF) remains controversial. Therefore, we conducted a meta-analysis to quantitatively determine the efficacy of ACDF and ACCF in the treatment of multilevel CSM.\\n\\nMETHODS: We searched several databases for related research articles published in English or Chinese. We extracted and assessed the data independently. We determined the pooled data, data heterogeneity, and overall effect, respectively.\\n\\nRESULTS: We identified 15 eligible studies with 1,368 patients. We found that blood loss and numbers of complications during surgery in ACDF were significantly less that in ACCF; however, other clinical outcomes, such as operation time, bone fusion failure, post Japanese Orthopedic Association scores, recovery rates, and visual analog scale scores between ACDF and ACCF with multilevel CSM were not significantly different.\\n\\nCONCLUSION: Our results strongly suggest that surgical treatments of multilevel CSM are similar in terms of most clinical outcomes using ACDF or ACCF.", "author" : [ { "dropping-particle" : "", "family" : "Wen", "given" : "Zhi-Qiang", "non-dropping-particle" : "", "parse-names" : false, "suffix" : "" }, { "dropping-particle" : "", "family" : "Du", "given" : "Jing-Yu", "non-dropping-particle" : "", "parse-names" : false, "suffix" : "" }, { "dropping-particle" : "", "family" : "Ling", "given" : "Zhi-Heng", "non-dropping-particle" : "", "parse-names" : false, "suffix" : "" }, { "dropping-particle" : "", "family" : "Xu", "given" : "Hai-Dong", "non-dropping-particle" : "", "parse-names" : false, "suffix" : "" }, { "dropping-particle" : "", "family" : "Lin", "given" : "Xiang-Jin", "non-dropping-particle" : "", "parse-names" : false, "suffix" : "" } ], "container-title" : "Therapeutics and clinical risk management", "id" : "ITEM-1", "issued" : { "date-parts" : [ [ "2015" ] ] }, "page" : "161-70", "title" : "Anterior cervical discectomy and fusion versus anterior cervical corpectomy and fusion in the treatment of multilevel cervical spondylotic myelopathy: systematic review and a meta-analysis.", "type" : "article-journal", "volume" : "11" }, "uris" : [ "http://www.mendeley.com/documents/?uuid=bf00a861-f1fa-4d3c-b138-cb6a0885c044" ] } ], "mendeley" : { "formattedCitation" : "(Wen &lt;i&gt;et al.&lt;/i&gt;, 2015)", "manualFormatting" : "Wen et al., (2015)", "plainTextFormattedCitation" : "(Wen et al., 2015)", "previouslyFormattedCitation" : "(Wen &lt;i&gt;et al.&lt;/i&gt;, 2015)"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Wen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(2015)</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21"/>
          <w:rFonts w:ascii="Times New Roman" w:hAnsi="Times New Roman"/>
          <w:b w:val="0"/>
          <w:bCs w:val="0"/>
          <w:sz w:val="20"/>
          <w:szCs w:val="20"/>
        </w:rPr>
        <w:t>conducted a pooled analysis comprehensively assessed the clinical outcomes after surgery. Using pooled analysis from the included studies, they found that although blood loss and numbers of complications in ACDF was significantly less than in ACCF, other clinical outcomes, such as operation time, bone fusion failure, and</w:t>
      </w:r>
      <w:r w:rsidR="000F3911">
        <w:rPr>
          <w:rStyle w:val="fontstyle21"/>
          <w:rFonts w:ascii="Times New Roman" w:eastAsiaTheme="minorEastAsia" w:hAnsi="Times New Roman" w:hint="eastAsia"/>
          <w:b w:val="0"/>
          <w:bCs w:val="0"/>
          <w:sz w:val="20"/>
          <w:szCs w:val="20"/>
          <w:lang w:eastAsia="zh-CN"/>
        </w:rPr>
        <w:t xml:space="preserve"> </w:t>
      </w:r>
      <w:r w:rsidRPr="000F3911">
        <w:rPr>
          <w:rStyle w:val="fontstyle21"/>
          <w:rFonts w:ascii="Times New Roman" w:hAnsi="Times New Roman"/>
          <w:b w:val="0"/>
          <w:bCs w:val="0"/>
          <w:sz w:val="20"/>
          <w:szCs w:val="20"/>
        </w:rPr>
        <w:t xml:space="preserve">post JOA scores between ACDF and ACCF for multilevel CSM were not significantly different. Indeed, they found evidence of publication bias, and </w:t>
      </w:r>
      <w:r w:rsidR="000F3911" w:rsidRPr="000F3911">
        <w:rPr>
          <w:rStyle w:val="fontstyle21"/>
          <w:rFonts w:ascii="Times New Roman" w:hAnsi="Times New Roman"/>
          <w:b w:val="0"/>
          <w:bCs w:val="0"/>
          <w:sz w:val="20"/>
          <w:szCs w:val="20"/>
        </w:rPr>
        <w:t>consistent results</w:t>
      </w:r>
      <w:r w:rsidRPr="000F3911">
        <w:rPr>
          <w:rStyle w:val="fontstyle21"/>
          <w:rFonts w:ascii="Times New Roman" w:hAnsi="Times New Roman"/>
          <w:b w:val="0"/>
          <w:bCs w:val="0"/>
          <w:sz w:val="20"/>
          <w:szCs w:val="20"/>
        </w:rPr>
        <w:t xml:space="preserve"> are shown in sensitivity analyses. </w:t>
      </w:r>
    </w:p>
    <w:p w:rsidR="00B503E8" w:rsidRPr="000F3911" w:rsidRDefault="00B503E8" w:rsidP="007A1E52">
      <w:pPr>
        <w:autoSpaceDE w:val="0"/>
        <w:autoSpaceDN w:val="0"/>
        <w:bidi w:val="0"/>
        <w:adjustRightInd w:val="0"/>
        <w:snapToGrid w:val="0"/>
        <w:ind w:firstLine="425"/>
        <w:jc w:val="both"/>
        <w:rPr>
          <w:rStyle w:val="fontstyle21"/>
          <w:rFonts w:ascii="Times New Roman" w:hAnsi="Times New Roman"/>
          <w:b w:val="0"/>
          <w:bCs w:val="0"/>
          <w:sz w:val="20"/>
          <w:szCs w:val="20"/>
        </w:rPr>
      </w:pPr>
      <w:r w:rsidRPr="000F3911">
        <w:rPr>
          <w:color w:val="000000"/>
          <w:sz w:val="20"/>
          <w:szCs w:val="20"/>
        </w:rPr>
        <w:t xml:space="preserve">In a meta-analysis conducted by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"ITEM-1",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"mendeley" : { "formattedCitation" : "(Han &lt;i&gt;et al.&lt;/i&gt;, 2014)", "manualFormatting" : "Han et al., (2014)", "plainTextFormattedCitation" : "(Han et al., 2014)", "previouslyFormattedCitation" : "(Han &lt;i&gt;et al.&lt;/i&gt;, 2014)"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Han </w:t>
      </w:r>
      <w:r w:rsidRPr="000F3911">
        <w:rPr>
          <w:b/>
          <w:bCs/>
          <w:i/>
          <w:noProof/>
          <w:color w:val="000000"/>
          <w:sz w:val="20"/>
          <w:szCs w:val="20"/>
        </w:rPr>
        <w:t>et al.</w:t>
      </w:r>
      <w:r w:rsidRPr="000F3911">
        <w:rPr>
          <w:b/>
          <w:bCs/>
          <w:noProof/>
          <w:color w:val="000000"/>
          <w:sz w:val="20"/>
          <w:szCs w:val="20"/>
        </w:rPr>
        <w:t>, (2014)</w:t>
      </w:r>
      <w:r w:rsidR="00F105E2" w:rsidRPr="000F3911">
        <w:rPr>
          <w:b/>
          <w:bCs/>
          <w:color w:val="000000"/>
          <w:sz w:val="20"/>
          <w:szCs w:val="20"/>
        </w:rPr>
        <w:fldChar w:fldCharType="end"/>
      </w:r>
      <w:r w:rsidRPr="000F3911">
        <w:rPr>
          <w:color w:val="000000"/>
          <w:sz w:val="20"/>
          <w:szCs w:val="20"/>
        </w:rPr>
        <w:t>, operation time and blood loss were selected to evaluate surgical trauma. Both the overall and subgroup analyses revealed that although blood loss was significantly higher in the ACCF group than in the ACDF group, the operation time was similar in the two groups. This indicates that, in the treatment of CSM, the surgical trauma associated with ACCF is higher than with ACDF.</w:t>
      </w:r>
    </w:p>
    <w:p w:rsidR="00B503E8" w:rsidRPr="000F3911" w:rsidRDefault="00F105E2"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"DOI" : "10.1097/BSD.0000000000000180", "ISSN" : "2380-0194 (Electronic)", "PMID" : "28525477", "abstract" : "STUDY DESIGN: Retrospective study. OBJECTIVE: To analyze the reasons, clinical manifestation, risk factors, prevention, and treatment of dysphagia after operation of anterior cervical decompression and fusion (ACDF). SUMMARY OF BACKGROUND DATA: Dysphagia is one of severe complications after ACDF. There were a few studies about reasons and prevention of dysphagia. METHODS: We retrospectively reviewed medical charts of patients who underwent ACDF in our hospital from January 2012 to December 2012. Clinical symptom of dysphagia was recorded at the perioperative period and at the third and sixth month of the follow-up after surgery and assigned according to the Bazaz dysphagia score. We analyzed the reasons and risk factors leading to dysphagia and tried to find effective programs of prevention and treatment. RESULTS: There were 358 patients who underwent ACDF. Of 358 patients, 39 patients including 14 men and 25 women complained of dysphagia. The mean age was 46.8 years, with an age range of 38-67 years. Clinical manifestation of dysphagia included difficulty to swallow, pain during swallowing, sticky throat feeling, and choking. All the patients were followed up over 6 months. The incidences of dysphagia were 10.9%, 6.4%, and 2.7%, respectively, at 1-5 days, 3 months, and 6 months after surgery. There was no severe dysphagia at 3 months after surgery. Mild or moderate dysphagia slightly affected the quality of life. Logistic regression showed multilevel cervical spine, and high-level cervical spine surgeries are high-risk factors for postoperative dysphagia. CONCLUSIONS: Dysphagia is a common complication of ACDF. Causes of dysphagia include multilevel cervical spine and upper cervical spine surgeries. Use of methylprednisolone and careful operation can reduce the incidence and result in good prognosis.", "author" : [ { "dropping-particle" : "", "family" : "Wu", "given" : "Bing", "non-dropping-particle" : "", "parse-names" : false, "suffix" : "" }, { "dropping-particle" : "", "family" : "Song", "given" : "Fei", "non-dropping-particle" : "", "parse-names" : false, "suffix" : "" }, { "dropping-particle" : "", "family" : "Zhu", "given" : "Shourong", "non-dropping-particle" : "", "parse-names" : false, "suffix" : "" } ], "container-title" : "Clinical spine surgery", "id" : "ITEM-1", "issue" : "5", "issued" : { "date-parts" : [ [ "2017", "6" ] ] }, "language" : "eng", "page" : "E554-E559", "publisher-place" : "United States", "title" : "Reasons of Dysphagia After Operation of Anterior Cervical Decompression and Fusion.", "type" : "article-journal", "volume" : "30" }, "uris" : [ "http://www.mendeley.com/documents/?uuid=7a542942-fd05-43af-a45e-3ea5b735c450" ] } ], "mendeley" : { "formattedCitation" : "(Wu, Song and Zhu, 2017)", "manualFormatting" : "Wu et al., (2017)", "plainTextFormattedCitation" : "(Wu, Song and Zhu, 2017)", "previouslyFormattedCitation" : "(Wu, Song and Zhu, 2017)"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Wu</w:t>
      </w:r>
      <w:r w:rsidR="0027630E">
        <w:rPr>
          <w:rStyle w:val="fontstyle21"/>
          <w:rFonts w:ascii="Times New Roman" w:eastAsiaTheme="minorEastAsia" w:hAnsi="Times New Roman" w:hint="eastAsia"/>
          <w:noProof/>
          <w:sz w:val="20"/>
          <w:szCs w:val="20"/>
          <w:lang w:eastAsia="zh-CN"/>
        </w:rPr>
        <w:t xml:space="preserve"> </w:t>
      </w:r>
      <w:r w:rsidR="00B503E8" w:rsidRPr="000F3911">
        <w:rPr>
          <w:rStyle w:val="fontstyle21"/>
          <w:rFonts w:ascii="Times New Roman" w:hAnsi="Times New Roman"/>
          <w:i/>
          <w:iCs/>
          <w:noProof/>
          <w:sz w:val="20"/>
          <w:szCs w:val="20"/>
        </w:rPr>
        <w:t>et al.</w:t>
      </w:r>
      <w:r w:rsidR="006244D6" w:rsidRPr="000F3911">
        <w:rPr>
          <w:rStyle w:val="fontstyle21"/>
          <w:rFonts w:ascii="Times New Roman" w:hAnsi="Times New Roman"/>
          <w:i/>
          <w:iCs/>
          <w:noProof/>
          <w:sz w:val="20"/>
          <w:szCs w:val="20"/>
        </w:rPr>
        <w:t xml:space="preserve">, </w:t>
      </w:r>
      <w:r w:rsidR="006244D6" w:rsidRPr="000F3911">
        <w:rPr>
          <w:rStyle w:val="fontstyle21"/>
          <w:rFonts w:ascii="Times New Roman" w:hAnsi="Times New Roman"/>
          <w:noProof/>
          <w:sz w:val="20"/>
          <w:szCs w:val="20"/>
        </w:rPr>
        <w:t>(</w:t>
      </w:r>
      <w:r w:rsidR="00B503E8" w:rsidRPr="000F3911">
        <w:rPr>
          <w:rStyle w:val="fontstyle21"/>
          <w:rFonts w:ascii="Times New Roman" w:hAnsi="Times New Roman"/>
          <w:noProof/>
          <w:sz w:val="20"/>
          <w:szCs w:val="20"/>
        </w:rPr>
        <w:t>2017)</w:t>
      </w:r>
      <w:r w:rsidRPr="000F3911">
        <w:rPr>
          <w:rStyle w:val="fontstyle21"/>
          <w:rFonts w:ascii="Times New Roman" w:hAnsi="Times New Roman"/>
          <w:sz w:val="20"/>
          <w:szCs w:val="20"/>
        </w:rPr>
        <w:fldChar w:fldCharType="end"/>
      </w:r>
      <w:r w:rsidR="0027630E">
        <w:rPr>
          <w:rStyle w:val="fontstyle2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studied the stand-alone titanium box cage for ACDF on57 consecutive patients with 5-year follow-up and found that the clinical and</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radiological outcome was satisfactory and subsidence caused by non-</w:t>
      </w:r>
      <w:r w:rsidR="000F3911" w:rsidRPr="000F3911">
        <w:rPr>
          <w:rStyle w:val="fontstyle01"/>
          <w:rFonts w:ascii="Times New Roman" w:hAnsi="Times New Roman"/>
          <w:sz w:val="20"/>
          <w:szCs w:val="20"/>
        </w:rPr>
        <w:t>plating did</w:t>
      </w:r>
      <w:r w:rsidR="00B503E8" w:rsidRPr="000F3911">
        <w:rPr>
          <w:rStyle w:val="fontstyle01"/>
          <w:rFonts w:ascii="Times New Roman" w:hAnsi="Times New Roman"/>
          <w:sz w:val="20"/>
          <w:szCs w:val="20"/>
        </w:rPr>
        <w:t xml:space="preserve"> not affect the long-term clinical outcome.</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There are few studies in the literature regarding the stand-alone PEEK</w:t>
      </w:r>
      <w:r w:rsidR="00FD358B" w:rsidRP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cage for interbody fusion in multiple levels ACDF.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"10.2147/TCRM.S72699", "ISSN" : "1176-6336", "PMID" : "25673996", "abstract" : "BACKGROUND: To date, the decision to treat multilevel cervical spondylotic myelopathy (CSM) with anterior cervical discectomy and fusion (ACDF) or anterior cervical corpectomy and fusion (ACCF) remains controversial. Therefore, we conducted a meta-analysis to quantitatively determine the efficacy of ACDF and ACCF in the treatment of multilevel CSM.\\n\\nMETHODS: We searched several databases for related research articles published in English or Chinese. We extracted and assessed the data independently. We determined the pooled data, data heterogeneity, and overall effect, respectively.\\n\\nRESULTS: We identified 15 eligible studies with 1,368 patients. We found that blood loss and numbers of complications during surgery in ACDF were significantly less that in ACCF; however, other clinical outcomes, such as operation time, bone fusion failure, post Japanese Orthopedic Association scores, recovery rates, and visual analog scale scores between ACDF and ACCF with multilevel CSM were not significantly different.\\n\\nCONCLUSION: Our results strongly suggest that surgical treatments of multilevel CSM are similar in terms of most clinical outcomes using ACDF or ACCF.", "author" : [ { "dropping-particle" : "", "family" : "Wen", "given" : "Zhi-Qiang", "non-dropping-particle" : "", "parse-names" : false, "suffix" : "" }, { "dropping-particle" : "", "family" : "Du", "given" : "Jing-Yu", "non-dropping-particle" : "", "parse-names" : false, "suffix" : "" }, { "dropping-particle" : "", "family" : "Ling", "given" : "Zhi-Heng", "non-dropping-particle" : "", "parse-names" : false, "suffix" : "" }, { "dropping-particle" : "", "family" : "Xu", "given" : "Hai-Dong", "non-dropping-particle" : "", "parse-names" : false, "suffix" : "" }, { "dropping-particle" : "", "family" : "Lin", "given" : "Xiang-Jin", "non-dropping-particle" : "", "parse-names" : false, "suffix" : "" } ], "container-title" : "Therapeutics and clinical risk management", "id" : "ITEM-1", "issued" : { "date-parts" : [ [ "2015" ] ] }, "page" : "161-70", "title" : "Anterior cervical discectomy and fusion versus anterior cervical corpectomy and fusion in the treatment of multilevel cervical spondylotic myelopathy: systematic review and a meta-analysis.", "type" : "article-journal", "volume" : "11" }, "uris" : [ "http://www.mendeley.com/documents/?uuid=bf00a861-f1fa-4d3c-b138-cb6a0885c044" ] } ], "mendeley" : { "formattedCitation" : "(Wen &lt;i&gt;et al.&lt;/i&gt;, 2015)", "manualFormatting" : "Wen et al., (2015)", "plainTextFormattedCitation" : "(Wen et al., 2015)", "previouslyFormattedCitation" : "(Wen &lt;i&gt;et al.&lt;/i&gt;, 2015)"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Wen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(2015)</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on studying 84 patients reported that the fusion rate using</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polyetheretherketone (PEEK) stand-alone cages reaches as high as 97% </w:t>
      </w:r>
      <w:r w:rsidR="000F3911" w:rsidRPr="000F3911">
        <w:rPr>
          <w:rStyle w:val="fontstyle01"/>
          <w:rFonts w:ascii="Times New Roman" w:hAnsi="Times New Roman"/>
          <w:sz w:val="20"/>
          <w:szCs w:val="20"/>
        </w:rPr>
        <w:t>with lower</w:t>
      </w:r>
      <w:r w:rsidRPr="000F3911">
        <w:rPr>
          <w:rStyle w:val="fontstyle01"/>
          <w:rFonts w:ascii="Times New Roman" w:hAnsi="Times New Roman"/>
          <w:sz w:val="20"/>
          <w:szCs w:val="20"/>
        </w:rPr>
        <w:t xml:space="preserve"> subsidence.</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lastRenderedPageBreak/>
        <w:t>In another study of stand-alone PEEK cage in 36 cases with aminimum 12-month, follow-up showed no subsidence</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"10.1007/s00264-007-0378-x", "ISSN" : "0341-2695", "PMID" : "17639386", "abstract" : "From July 2004 to June 2005, 19 patients with 25 discs underwent anterior cervical discectomy and interbody fusion (ACDF) in which polyetheretherketone (PEEK) cages were filled with freeze-dried cancellous allograft bone. This kind of bone graft was made from femoral condyle that was harvested during total knee arthroplasty. Patient age at surgery was 52.9 (28-68) years. All patients were followed up at least 1 year. We measured the height of the disc and segmental sagittal angulation by pre-operative and post-operative radiographs. CT scan of the cervical spine at 1 year was used to evaluate fusion rates. Odom's criteria were used to assess the clinical outcome. All interbody disc spaces achieved successful union at 1-year follow-up. The use of a PEEK cage was found to increase the height of the disc immediately after surgery (5.0 mm pre-operatively, 7.3 mm immediately post-operatively). The final disc height was 6.2 mm, and the collapse of the disc height was 1.1 mm. The segmental lordosis also increased after surgery (2.0 degrees pre-operatively, 6.6 degrees immediately post-operatively), but the mean loss of lordosis correction was 3.3 degrees at final follow-up. Seventy-four percent of patients (14/19) exhibited excellent/good clinical outcomes. Analysis of the results indicated the cancellous allograft bone-filled PEEK cage used in ACDF is a good choice for patients with cervical disc disease, and avoids the complications of harvesting iliac autograft.", "author" : [ { "dropping-particle" : "", "family" : "Liao", "given" : "Jen-Chung", "non-dropping-particle" : "", "parse-names" : false, "suffix" : "" }, { "dropping-particle" : "", "family" : "Niu", "given" : "Chi-Chien", "non-dropping-particle" : "", "parse-names" : false, "suffix" : "" }, { "dropping-particle" : "", "family" : "Chen", "given" : "Wen-Jer", "non-dropping-particle" : "", "parse-names" : false, "suffix" : "" }, { "dropping-particle" : "", "family" : "Chen", "given" : "Lih-Huei", "non-dropping-particle" : "", "parse-names" : false, "suffix" : "" } ], "container-title" : "International orthopaedics", "id" : "ITEM-1", "issue" : "5", "issued" : { "date-parts" : [ [ "2008", "10" ] ] }, "page" : "643-8", "title" : "Polyetheretherketone (PEEK) cage filled with cancellous allograft in anterior cervical discectomy and fusion.", "type" : "article-journal", "volume" : "32" }, "uris" : [ "http://www.mendeley.com/documents/?uuid=7c108b98-f3d9-4b53-ae13-d080af89d87c" ] } ], "mendeley" : { "formattedCitation" : "(Liao &lt;i&gt;et al.&lt;/i&gt;, 2008)", "plainTextFormattedCitation" : "(Liao et al., 2008)", "previouslyFormattedCitation" : "(Liao &lt;i&gt;et al.&lt;/i&gt;, 2008)"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(Liao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2008)</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In the current study cage-assisted fusion in ACDF group allowed</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restoration of disc space height in all cases with fusion rate 95% at 6 months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follow up. The preoperative cervical kyphosis improved in many patient</w:t>
      </w:r>
      <w:r w:rsidR="006244D6" w:rsidRPr="000F3911">
        <w:rPr>
          <w:rStyle w:val="fontstyle01"/>
          <w:rFonts w:ascii="Times New Roman" w:hAnsi="Times New Roman"/>
          <w:sz w:val="20"/>
          <w:szCs w:val="20"/>
        </w:rPr>
        <w:t xml:space="preserve"> </w:t>
      </w:r>
      <w:r w:rsidRPr="000F3911">
        <w:rPr>
          <w:rStyle w:val="fontstyle01"/>
          <w:rFonts w:ascii="Times New Roman" w:hAnsi="Times New Roman"/>
          <w:sz w:val="20"/>
          <w:szCs w:val="20"/>
        </w:rPr>
        <w:t>in</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whom it was lost preoperatively with an average subsidence of 1 mm in 20%</w:t>
      </w:r>
      <w:r w:rsidR="0027630E">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of patients. There was no postoperative loss of lordosis in patients with</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normal preoperative curvature.</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As one of the reasons postulated for the high non-union rates after</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multilevel ACDF is the higher number of fusion surfaces involved, Somesurgeons have advocated the use of cervical corpectomies as an alternative</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to multiple interbody grafts, citing a decreased rate of pseudarthrosis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secondary to fewer graft–host interfaces where fusion needs to occur</w:t>
      </w:r>
      <w:r w:rsidR="0027630E">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"10.1097/BRS.0b013e3181b204cc", "ISSN" : "1528-1159", "PMID" : "20190625", "abstract" : "STUDY DESIGN Systematic review of cohort studies comparing surgical treatment options for cervical spondylotic myelopathy. OBJECTIVE Compare results of major surgical treatments. SUMMARY OF BACKGROUND DATA Controversy exists between various surgical options for the treatment of multilevel cervical spondylotic myelopathy, including multilevel corpectomy (CORP) and fusion, anterior cervical discectomy and fusion, laminoplasty (LAMP), and laminectomy and fusion (LAMI). A systematic review was done in order to compare results and complications among these procedures. METHODS Systematic review of retrospective cohort studies comparing anterior cervical discectomy and fusion (ACDF), CORP, LAMP, and LAMI from 1980 to January 2008. Separately, a review was performed of case series with greater than 10-year follow-up. RESULTS About 1735 articles found initially, 591 abstracts screened, 36 articles retrieved in full, 11 studies included in review. All comparison studies are retrospective cohort studies. Four studies compared multilevel CORP versus LAMP, 1 study compared LAMI with LAMP, and 2 studies compared ACDF with LAMP. There were 3 case studies with greater than 10-year follow-up. CONCLUSION All approaches yield similar neuro recovery rates. Laminoplasty has a significant incidence of neck pain compared with multilevel CORP. ACDFs increase the rate of adjacent secondary spondylosis compared with LAMP. Multilevel CORP and laminectomy with fusion have a significantly higher rate of graft, instrumentation, and approach related complications. Multilevel CORP and laminectomy with fusion have a significant decrease in range of motion of neck compared with LAMP.", "author" : [ { "dropping-particle" : "", "family" : "Cunningham", "given" : "Mary R A", "non-dropping-particle" : "", "parse-names" : false, "suffix" : "" }, { "dropping-particle" : "", "family" : "Hershman", "given" : "Stuart", "non-dropping-particle" : "", "parse-names" : false, "suffix" : "" }, { "dropping-particle" : "", "family" : "Bendo", "given" : "John", "non-dropping-particle" : "", "parse-names" : false, "suffix" : "" } ], "container-title" : "Spine", "id" : "ITEM-1", "issue" : "5", "issued" : { "date-parts" : [ [ "2010", "3", "1" ] ] }, "page" : "537-43", "title" : "Systematic review of cohort studies comparing surgical treatments for cervical spondylotic myelopathy.", "type" : "article-journal", "volume" : "35" }, "uris" : [ "http://www.mendeley.com/documents/?uuid=016d6c34-791e-4ede-a7a0-5b82b6a582ea" ] }, { "id" : "ITEM-2", "itemData" : { "DOI" : "10.1038/s41598-017-14300-4", "ISSN" : "2045-2322 (Electronic)", "PMID" : "29089564", "abstract" : "While cervical lordosis alteration is not uncommon after anterior cervical arthrodesis, its influence on radiological adjacent segment pathology (RASP) is still unclear. Biomechanical changes induced by arthrodesis may contribute to ASP onset. To investigate the correlation between cervical lordosis decrease and RASP onset after anterior cervical corpectomy and fusion (ACCF) and to determine its biomechanical effect on adjacent segments after surgery, 80 CSM patients treated with ACCF were retrospectively studied, and a baseline finite element model of the cervical spine as well as post-operation models with normal and decreased lordosis were established and validated. We found that post-operative lordosis decrease was prognostic in predicting RASP onset, with the hazard ratio of 0.45. In the FE models, ROM at the adjacent segment increased after surgery, and the increase was greater in the model with decreased lordosis. Thus, post-operative cervical lordosis change significantly correlated with RASP occurrence, and it may be of prognostic value. The biomechanical changes induced by lordosis change at the adjacent segments after corpectomy may be one of the mechanisms for this phenomenon. Restoring a well lordotic cervical spine after corpectomy may reduce RASP occurrence and be beneficial to long-term surgical outcomes.", "author" : [ { "dropping-particle" : "", "family" : "Liu", "given" : "Yin", "non-dropping-particle" : "", "parse-names" : false, "suffix" : "" }, { "dropping-particle" : "", "family" : "Li", "given" : "Na", "non-dropping-particle" : "", "parse-names" : false, "suffix" : "" }, { "dropping-particle" : "", "family" : "Wei", "given" : "Wei", "non-dropping-particle" : "", "parse-names" : false, "suffix" : "" }, { "dropping-particle" : "", "family" : "Deng", "given" : "Jing", "non-dropping-particle" : "", "parse-names" : false, "suffix" : "" }, { "dropping-particle" : "", "family" : "Hu", "given" : "Yuequn", "non-dropping-particle" : "", "parse-names" : false, "suffix" : "" }, { "dropping-particle" : "", "family" : "Ye", "given" : "Bin", "non-dropping-particle" : "", "parse-names" : false, "suffix" : "" }, { "dropping-particle" : "", "family" : "Wang", "given" : "Wei", "non-dropping-particle" : "", "parse-names" : false, "suffix" : "" } ], "container-title" : "Scientific reports", "id" : "ITEM-2", "issue" : "1", "issued" : { "date-parts" : [ [ "2017", "10" ] ] }, "language" : "eng", "page" : "14414", "publisher-place" : "England", "title" : "Prognostic Value of Lordosis Decrease in Radiographic Adjacent Segment Pathology  After Anterior Cervical Corpectomy and Fusion.", "type" : "article-journal", "volume" : "7" }, "uris" : [ "http://www.mendeley.com/documents/?uuid=7ca6b6b4-591d-4b56-ac68-770fe4a087c3" ] } ], "mendeley" : { "formattedCitation" : "(Cunningham, Hershman and Bendo, 2010a; Liu &lt;i&gt;et al.&lt;/i&gt;, 2017)", "plainTextFormattedCitation" : "(Cunningham, Hershman and Bendo, 2010a; Liu et al., 2017)", "previouslyFormattedCitation" : "(Cunningham, Hershman and Bendo, 2010a; Liu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(Cunningham, Hershman and Bendo, 2010; Liu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2017)</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b/>
          <w:bCs/>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Advantages of anterior corpectomy and fusion for multilevel </w:t>
      </w:r>
      <w:r w:rsidR="000F3911" w:rsidRPr="000F3911">
        <w:rPr>
          <w:rStyle w:val="fontstyle01"/>
          <w:rFonts w:ascii="Times New Roman" w:hAnsi="Times New Roman"/>
          <w:sz w:val="20"/>
          <w:szCs w:val="20"/>
        </w:rPr>
        <w:t>cervical decompression</w:t>
      </w:r>
      <w:r w:rsidRPr="000F3911">
        <w:rPr>
          <w:rStyle w:val="fontstyle01"/>
          <w:rFonts w:ascii="Times New Roman" w:hAnsi="Times New Roman"/>
          <w:sz w:val="20"/>
          <w:szCs w:val="20"/>
        </w:rPr>
        <w:t xml:space="preserve"> include improved visualization, allowing for a morextensive decompression, and fewer graft-hostinterfaces requiring fusion (compared with segmental anterior cervical discectomy and fusion)</w:t>
      </w:r>
      <w:r w:rsidR="007A1E52" w:rsidRPr="000F3911">
        <w:rPr>
          <w:rStyle w:val="fontstyle01"/>
          <w:rFonts w:ascii="Times New Roman" w:hAnsi="Times New Roman"/>
          <w:sz w:val="20"/>
          <w:szCs w:val="20"/>
        </w:rPr>
        <w:t>, t</w:t>
      </w:r>
      <w:r w:rsidRPr="000F3911">
        <w:rPr>
          <w:rStyle w:val="fontstyle01"/>
          <w:rFonts w:ascii="Times New Roman" w:hAnsi="Times New Roman"/>
          <w:sz w:val="20"/>
          <w:szCs w:val="20"/>
        </w:rPr>
        <w:t>heoretically leading to improved rates of arthrodesis</w:t>
      </w:r>
      <w:r w:rsidR="0027630E">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"10.1097/BRS.0b013e3181b204cc", "ISSN" : "1528-1159 (Electronic)", "PMID" : "20190625", "abstract" : "STUDY DESIGN: Systematic review of cohort studies comparing surgical treatment options for cervical spondylotic myelopathy. OBJECTIVE: Compare results of major surgical treatments. SUMMARY OF BACKGROUND DATA: Controversy exists between various surgical options for the treatment of multilevel cervical spondylotic myelopathy, including multilevel corpectomy (CORP) and fusion, anterior cervical discectomy and fusion, laminoplasty (LAMP), and laminectomy and fusion (LAMI). A systematic review was done in order to compare results and complications among these procedures. METHODS: Systematic review of retrospective cohort studies comparing anterior cervical discectomy and fusion (ACDF), CORP, LAMP, and LAMI from 1980 to January 2008. Separately, a review was performed of case series with greater than 10-year follow-up. RESULTS: About 1735 articles found initially, 591 abstracts screened, 36 articles retrieved in full, 11 studies included in review. All comparison studies are retrospective cohort studies. Four studies compared multilevel CORP versus LAMP, 1 study compared LAMI with LAMP, and 2 studies compared ACDF with LAMP. There were 3 case studies with greater than 10-year follow-up. CONCLUSION: All approaches yield similar neuro recovery rates. Laminoplasty has a significant incidence of neck pain compared with multilevel CORP. ACDFs increase the rate of adjacent secondary spondylosis compared with LAMP. Multilevel CORP and laminectomy with fusion have a significantly higher rate of graft, instrumentation, and approach related complications. Multilevel CORP and laminectomy with fusion have a significant decrease in range of motion of neck compared with LAMP.", "author" : [ { "dropping-particle" : "", "family" : "Cunningham", "given" : "Mary R A", "non-dropping-particle" : "", "parse-names" : false, "suffix" : "" }, { "dropping-particle" : "", "family" : "Hershman", "given" : "Stuart", "non-dropping-particle" : "", "parse-names" : false, "suffix" : "" }, { "dropping-particle" : "", "family" : "Bendo", "given" : "John", "non-dropping-particle" : "", "parse-names" : false, "suffix" : "" } ], "container-title" : "Spine", "id" : "ITEM-1", "issue" : "5", "issued" : { "date-parts" : [ [ "2010", "3" ] ] }, "language" : "eng", "page" : "537-543", "publisher-place" : "United States", "title" : "Systematic review of cohort studies comparing surgical treatments for cervical spondylotic myelopathy.", "type" : "article-journal", "volume" : "35" }, "uris" : [ "http://www.mendeley.com/documents/?uuid=5f309969-e842-47a9-aea4-efc7c9fac820" ] } ], "mendeley" : { "formattedCitation" : "(Cunningham, Hershman and Bendo, 2010b)", "manualFormatting" : "(Cunningham, Hershman and Bendo, 2010)", "plainTextFormattedCitation" : "(Cunningham, Hershman and Bendo, 2010b)", "previouslyFormattedCitation" : "(Cunningham, Hershman and Bendo, 2010b)"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(Cunningham, Hershman and Bendo, 2010)</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In anterior reconstruction after corpectomy</w:t>
      </w:r>
      <w:r w:rsidR="007A1E52" w:rsidRPr="000F3911">
        <w:rPr>
          <w:rStyle w:val="fontstyle01"/>
          <w:rFonts w:ascii="Times New Roman" w:hAnsi="Times New Roman"/>
          <w:sz w:val="20"/>
          <w:szCs w:val="20"/>
        </w:rPr>
        <w:t>, f</w:t>
      </w:r>
      <w:r w:rsidR="00C1075F" w:rsidRPr="000F3911">
        <w:rPr>
          <w:rStyle w:val="fontstyle01"/>
          <w:rFonts w:ascii="Times New Roman" w:hAnsi="Times New Roman"/>
          <w:sz w:val="20"/>
          <w:szCs w:val="20"/>
        </w:rPr>
        <w:t>ibular</w:t>
      </w:r>
      <w:r w:rsidRPr="000F3911">
        <w:rPr>
          <w:rStyle w:val="fontstyle01"/>
          <w:rFonts w:ascii="Times New Roman" w:hAnsi="Times New Roman"/>
          <w:sz w:val="20"/>
          <w:szCs w:val="20"/>
        </w:rPr>
        <w:t xml:space="preserve"> strut grafts </w:t>
      </w:r>
      <w:r w:rsidR="000F3911" w:rsidRPr="000F3911">
        <w:rPr>
          <w:rStyle w:val="fontstyle01"/>
          <w:rFonts w:ascii="Times New Roman" w:hAnsi="Times New Roman"/>
          <w:sz w:val="20"/>
          <w:szCs w:val="20"/>
        </w:rPr>
        <w:t>were associated</w:t>
      </w:r>
      <w:r w:rsidRPr="000F3911">
        <w:rPr>
          <w:rStyle w:val="fontstyle01"/>
          <w:rFonts w:ascii="Times New Roman" w:hAnsi="Times New Roman"/>
          <w:sz w:val="20"/>
          <w:szCs w:val="20"/>
        </w:rPr>
        <w:t xml:space="preserve"> with a non-union rate as high as 41% for allograft and 27% for</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autograft. However, the use of autograft has significant donor sitemorbidity</w:t>
      </w:r>
      <w:r w:rsidR="000F3911">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"ISSN" : "0148-396X (Print)", "PMID" : "11844257", "abstract" : "OBJECTIVE: Anterior plate fixation has gained widespread acceptance for the treatment of cervical spondylosis, theoretically enhancing the rate of arthrodesis. There are few studies comparing fusion rates after anterior cervical discectomy and fusion (ACDF) with and without a plate. The purpose of this study was to evaluate the efficacy of anterior cervical plating for fusion enhancement after one- and two-level ACDF with cortical allograft. METHODS: A retrospective review was performed with 251 patients who underwent one- or two-level ACDF with cortical allograft and plate stabilization between 1993 and 1999. An independent surgeon reviewer determined fusion status and complications. A successful fusion was defined by the absence of lucency around the graft, evidence of bridging bone between the endplate and the graft, and the absence of movement on dynamic imaging scans. Follow-up data, ranging from 9 months to 3.6 years, were available for 233 patients. A control group of 289 patients who underwent ACDF without plating was described in a previously published report by the senior author (RWH). Therefore, a total of 540 patients were evaluated for determination of the efficacy of anterior cervical plating with cortical allograft bone. Statistical significance was determined by chi(2) test. RESULTS: The fusion rates for one- and two-level ACDF with anterior fixation were 96 and 91%, respectively, compared with 90 and 72% for one- and two-level ACDF without anterior fixation. The observed increases in fusion rates for both one- and two-level procedures proved to be statistically significant (P &lt; 0.05). There were no recorded infectious, neurological, or graft-related complications among the cohort treated with anterior cervical plating. Compared with the results for the cohort treated without anterior cervical plates, there was a statistically significant decrease in the graft-related complication rate with the application of plates (P &lt; 0.001). Two patients who received plates were noted to have adjacent-segment degenerative changes that required surgical intervention. No hardware fractures were noted; however, one patient was noted to have a single displaced screw, without clinical consequences. CONCLUSION: The use of anterior cervical plating after one- and two-level ACDF with allograft cortical bone significantly enhanced arthrodesis. The improved fusion rate and negligible complication rate associated with anterior cervical plating are compelling fa\u2026", "author" : [ { "dropping-particle" : "", "family" : "Kaiser", "given" : "Michael G", "non-dropping-particle" : "", "parse-names" : false, "suffix" : "" }, { "dropping-particle" : "", "family" : "Haid", "given" : "Regis W Jr", "non-dropping-particle" : "", "parse-names" : false, "suffix" : "" }, { "dropping-particle" : "", "family" : "Subach", "given" : "Brian R", "non-dropping-particle" : "", "parse-names" : false, "suffix" : "" }, { "dropping-particle" : "", "family" : "Barnes", "given" : "Bryan", "non-dropping-particle" : "", "parse-names" : false, "suffix" : "" }, { "dropping-particle" : "", "family" : "Rodts", "given" : "Gerald E Jr", "non-dropping-particle" : "", "parse-names" : false, "suffix" : "" } ], "container-title" : "Neurosurgery", "id" : "ITEM-1", "issue" : "2", "issued" : { "date-parts" : [ [ "2002", "2" ] ] }, "language" : "eng", "page" : "228-229", "publisher-place" : "United States", "title" : "Anterior cervical plating enhances arthrodesis after discectomy and fusion with cortical allograft.", "type" : "article-journal", "volume" : "50" }, "uris" : [ "http://www.mendeley.com/documents/?uuid=b7377d5b-59c3-47b9-941f-261c9f445ad1" ] } ], "mendeley" : { "formattedCitation" : "(Kaiser &lt;i&gt;et al.&lt;/i&gt;, 2002)", "plainTextFormattedCitation" : "(Kaiser et al., 2002)", "previouslyFormattedCitation" : "(Kaiser &lt;i&gt;et al.&lt;/i&gt;, 2002)"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(Kaiser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2002)</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In view of the disadvantages of both allograft and autograft, th</w:t>
      </w:r>
      <w:r w:rsidR="00FD358B" w:rsidRPr="000F3911">
        <w:rPr>
          <w:rStyle w:val="fontstyle01"/>
          <w:rFonts w:ascii="Times New Roman" w:hAnsi="Times New Roman"/>
          <w:sz w:val="20"/>
          <w:szCs w:val="20"/>
        </w:rPr>
        <w:t>e T</w:t>
      </w:r>
      <w:r w:rsidRPr="000F3911">
        <w:rPr>
          <w:rStyle w:val="fontstyle01"/>
          <w:rFonts w:ascii="Times New Roman" w:hAnsi="Times New Roman"/>
          <w:sz w:val="20"/>
          <w:szCs w:val="20"/>
        </w:rPr>
        <w:t>itanium mesh cage TMC designed by Harms in 1986 became an alternative</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method of reconstruction in these procedures. Titanium mesh cages have</w:t>
      </w:r>
      <w:r w:rsidR="00FD358B" w:rsidRP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been used in anterior reconstruction of the spine for trauma and tumors with</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adequate results</w:t>
      </w:r>
      <w:r w:rsidR="0027630E">
        <w:rPr>
          <w:rStyle w:val="fontstyle01"/>
          <w:rFonts w:ascii="Times New Roman" w:eastAsiaTheme="minorEastAsia" w:hAnsi="Times New Roman" w:hint="eastAsia"/>
          <w:sz w:val="20"/>
          <w:szCs w:val="20"/>
          <w:lang w:eastAsia="zh-CN"/>
        </w:rPr>
        <w:t xml:space="preserve">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"10.1055/s-0036-1580610", "ISSN" : "2192-5682", "author" : [ { "dropping-particle" : "", "family" : "Tuchman", "given" : "Alexander", "non-dropping-particle" : "", "parse-names" : false, "suffix" : "" }, { "dropping-particle" : "", "family" : "Brodke", "given" : "Darrel S.", "non-dropping-particle" : "", "parse-names" : false, "suffix" : "" }, { "dropping-particle" : "", "family" : "Youssef", "given" : "Jim A.", "non-dropping-particle" : "", "parse-names" : false, "suffix" : "" }, { "dropping-particle" : "", "family" : "Meisel", "given" : "Hans-J\u00f6rg", "non-dropping-particle" : "", "parse-names" : false, "suffix" : "" }, { "dropping-particle" : "", "family" : "Dettori", "given" : "Joseph R.", "non-dropping-particle" : "", "parse-names" : false, "suffix" : "" }, { "dropping-particle" : "", "family" : "Park", "given" : "Jong-Beom", "non-dropping-particle" : "", "parse-names" : false, "suffix" : "" }, { "dropping-particle" : "", "family" : "Yoon", "given" : "S. Tim", "non-dropping-particle" : "", "parse-names" : false, "suffix" : "" }, { "dropping-particle" : "", "family" : "Wang", "given" : "Jeffrey C.", "non-dropping-particle" : "", "parse-names" : false, "suffix" : "" } ], "container-title" : "Global Spine Journal", "id" : "ITEM-1", "issue" : "1", "issued" : { "date-parts" : [ [ "2017", "2", "3" ] ] }, "page" : "59-70", "title" : "Autograft versus Allograft for Cervical Spinal Fusion", "type" : "article-journal", "volume" : "7" }, "uris" : [ "http://www.mendeley.com/documents/?uuid=2bc6be18-b554-4760-83d6-829573846f6b" ] } ], "mendeley" : { "formattedCitation" : "(Tuchman &lt;i&gt;et al.&lt;/i&gt;, 2017)", "plainTextFormattedCitation" : "(Tuchman et al., 2017)", "previouslyFormattedCitation" : "(Tuchman &lt;i&gt;et al.&lt;/i&gt;, 2017)"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(Tuchman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2017)</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b/>
          <w:bCs/>
          <w:sz w:val="20"/>
          <w:szCs w:val="20"/>
        </w:rPr>
        <w:t>.</w:t>
      </w:r>
    </w:p>
    <w:p w:rsidR="00B503E8" w:rsidRPr="000F3911" w:rsidRDefault="00F105E2"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"ISSN" : "0009-921X", "PMID" : "11795751", "abstract" : "Titanium mesh cages have been used widely for spinal reconstruction since 1986 when they first were introduced. Despite their popularity, relatively few studies have been published on their use in the cervical spine. These cages can be used as structural devices containing autologous local bone or iliac crest bone graft, obviating the need to harvest large structural bone grafts. The main disadvantages of their use are the increased costs and the difficulty of assessing fusion status. The authors review surgical techniques that can be used using titanium mesh cages in cervical spine applications and discuss some of their advantages and disadvantages.", "author" : [ { "dropping-particle" : "", "family" : "Riew", "given" : "K Daniel", "non-dropping-particle" : "", "parse-names" : false, "suffix" : "" }, { "dropping-particle" : "", "family" : "Rhee", "given" : "John M", "non-dropping-particle" : "", "parse-names" : false, "suffix" : "" } ], "container-title" : "Clinical orthopaedics and related research", "id" : "ITEM-1", "issue" : "394", "issued" : { "date-parts" : [ [ "2002", "1" ] ] }, "page" : "47-54", "title" : "The use of titanium mesh cages in the cervical spine.", "type" : "article-journal" }, "uris" : [ "http://www.mendeley.com/documents/?uuid=18907836-a512-41e0-b9d9-8f70f1de41f3" ] } ], "mendeley" : { "formattedCitation" : "(Riew and Rhee, 2002)", "manualFormatting" : "Riew and Rhee (2002)", "plainTextFormattedCitation" : "(Riew and Rhee, 2002)", "previouslyFormattedCitation" : "(Riew and Rhee, 2002)"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Riew and Rhee (2002)</w:t>
      </w:r>
      <w:r w:rsidRPr="000F3911">
        <w:rPr>
          <w:rStyle w:val="fontstyle21"/>
          <w:rFonts w:ascii="Times New Roman" w:hAnsi="Times New Roman"/>
          <w:sz w:val="20"/>
          <w:szCs w:val="20"/>
        </w:rPr>
        <w:fldChar w:fldCharType="end"/>
      </w:r>
      <w:r w:rsidR="0027630E">
        <w:rPr>
          <w:rStyle w:val="fontstyle2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reported high fusion rates after cervical</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corpectomies using TMC (up to 100%).</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In a 2-year follow up study on subsidence of titanium cage after</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anterior cervical interbody fusion;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"10.1093/neuros/nyx289", "ISSN" : "1524-4040 (Electronic)", "PMID" : "28973385", "abstract" : "BACKGROUND: Healthcare readmissions are important causes of increased cost and have profound clinical impact. Thirty-day readmissions in spine surgery have been well documented. However, rates, causes, and outcomes are not well understood outside 30 d. OBJECTIVE: To analyze 30- and 90-d readmissions for a retrospective cohort of anterior cervical discectomy and fusions (ACDF) and total disc replacement (TDR) for degenerative cervical conditions. METHODS: The Nationwide Readmissions Database approximates 50% of all US hospitalizations with patient identifiers to track patients longitudinally. Patients greater than 18 yr old were identified. Rates of readmission for 30 and 90 d were calculated. Predictor variables, complications, outcomes, and costs were analyzed via univariate and multivariable analyses. RESULTS: Between January and September 2013, 72 688 patients were identified. The 30- and 90-d readmission rates were 2.67% and 5.97%, respectively. The most prevalent reason for 30-d readmission was complication of medical/surgical care (20.3%), whereas for 90-d readmission it was degenerative spine etiology (19.2%). Common risk factors for 30- and 90-d readmission included older age, male gender, Medicare/Medicaid, prolonged initial length of stay, and various comorbidities. Unique risk factors for 30- and 90-d readmissions included adverse discharge disposition and mechanical implant-related complications, respectively. When comparing ACDF and TDR, ACDFs were associated with increased 90-d readmissions (6.0% vs 4.3%). The TDR cohort had a shorter length of stay, lower complication rate, and fewer adverse discharge dispositions. CONCLUSION: Identification of readmission causes and predictors is important to potentially allow for changes in periperative management. Decreasing readmissions would improve patient outcomes and reduce healthcare costs.", "author" : [ { "dropping-particle" : "", "family" : "Rumalla", "given" : "Kavelin", "non-dropping-particle" : "", "parse-names" : false, "suffix" : "" }, { "dropping-particle" : "", "family" : "Smith", "given" : "Kyle A", "non-dropping-particle" : "", "parse-names" : false, "suffix" : "" }, { "dropping-particle" : "", "family" : "Arnold", "given" : "Paul M", "non-dropping-particle" : "", "parse-names" : false, "suffix" : "" } ], "container-title" : "Neurosurgery", "id" : "ITEM-1", "issued" : { "date-parts" : [ [ "2017", "7" ] ] }, "language" : "eng", "publisher-place" : "United States", "title" : "Cervical Total Disc Replacement and Anterior Cervical Discectomy and Fusion: Reoperation Rates, Complications, and Hospital Resource Utilization in 72 688 Patients in the United States.", "type" : "article-journal" }, "uris" : [ "http://www.mendeley.com/documents/?uuid=7379acee-57be-4962-8670-ea96fe9c85c2" ] } ], "mendeley" : { "formattedCitation" : "(Rumalla, Smith and Arnold, 2017)", "manualFormatting" : "Rumalla et al., (2017)", "plainTextFormattedCitation" : "(Rumalla, Smith and Arnold, 2017)", "previouslyFormattedCitation" : "(Rumalla, Smith and Arnold, 2017)"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Rumalla </w:t>
      </w:r>
      <w:r w:rsidRPr="000F3911">
        <w:rPr>
          <w:rStyle w:val="fontstyle21"/>
          <w:rFonts w:ascii="Times New Roman" w:hAnsi="Times New Roman"/>
          <w:i/>
          <w:iCs/>
          <w:noProof/>
          <w:sz w:val="20"/>
          <w:szCs w:val="20"/>
        </w:rPr>
        <w:t>et al.,</w:t>
      </w:r>
      <w:r w:rsidRPr="000F3911">
        <w:rPr>
          <w:rStyle w:val="fontstyle21"/>
          <w:rFonts w:ascii="Times New Roman" w:hAnsi="Times New Roman"/>
          <w:noProof/>
          <w:sz w:val="20"/>
          <w:szCs w:val="20"/>
        </w:rPr>
        <w:t xml:space="preserve"> (2017)</w:t>
      </w:r>
      <w:r w:rsidR="00F105E2" w:rsidRPr="000F3911">
        <w:rPr>
          <w:rStyle w:val="fontstyle21"/>
          <w:rFonts w:ascii="Times New Roman" w:hAnsi="Times New Roman"/>
          <w:sz w:val="20"/>
          <w:szCs w:val="20"/>
        </w:rPr>
        <w:fldChar w:fldCharType="end"/>
      </w:r>
      <w:r w:rsidRPr="000F3911">
        <w:rPr>
          <w:rStyle w:val="fontstyle01"/>
          <w:rFonts w:ascii="Times New Roman" w:hAnsi="Times New Roman"/>
          <w:sz w:val="20"/>
          <w:szCs w:val="20"/>
        </w:rPr>
        <w:t>decided that</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careful preservation of the end plates and avoiding of over-distraction are</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very important to avoid significant subsidence. </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Most of the studies reviewed have reported higher fusion rates after</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corpectomy than multi-level ACDF</w:t>
      </w:r>
      <w:r w:rsidR="007A1E52" w:rsidRPr="000F3911">
        <w:rPr>
          <w:rStyle w:val="fontstyle01"/>
          <w:rFonts w:ascii="Times New Roman" w:hAnsi="Times New Roman"/>
          <w:sz w:val="20"/>
          <w:szCs w:val="20"/>
        </w:rPr>
        <w:t>; a</w:t>
      </w:r>
      <w:r w:rsidRPr="000F3911">
        <w:rPr>
          <w:rStyle w:val="fontstyle01"/>
          <w:rFonts w:ascii="Times New Roman" w:hAnsi="Times New Roman"/>
          <w:sz w:val="20"/>
          <w:szCs w:val="20"/>
        </w:rPr>
        <w:t>ll using similar reconstruction</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techniques.</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Contrary to these results, on studying 80 patients with </w:t>
      </w:r>
      <w:r w:rsidR="000F3911" w:rsidRPr="000F3911">
        <w:rPr>
          <w:rStyle w:val="fontstyle01"/>
          <w:rFonts w:ascii="Times New Roman" w:hAnsi="Times New Roman"/>
          <w:sz w:val="20"/>
          <w:szCs w:val="20"/>
        </w:rPr>
        <w:t>anterior cervical</w:t>
      </w:r>
      <w:r w:rsidRPr="000F3911">
        <w:rPr>
          <w:rStyle w:val="fontstyle01"/>
          <w:rFonts w:ascii="Times New Roman" w:hAnsi="Times New Roman"/>
          <w:sz w:val="20"/>
          <w:szCs w:val="20"/>
        </w:rPr>
        <w:t xml:space="preserve"> discectomy fusion versus cervical corpectomy and fusion using</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titanium cages in both groups,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"10.1007/s00586-009-0897-9", "ISSN" : "1432-0932", "PMID" : "19214597", "abstract" : "Retrospective comparative study of 80 consecutive patients treated with either anterior cervical discectomy fusion (ACDF) or anterior cervical corpectomy fusion (ACCF) for multi-level cervical spondylosis. To compare clinical outcome, fusion rates, and complications of anterior cervical reconstruction of multi-level ACDF and single-/multi-level ACCF performed using titanium mesh cages (TMCs) filled with autograft and anterior cervical plates (ACPs). Reconstruction of the cervical spine after discectomy or corpectomy with titanium cages filled with autograft has become an acceptable alternative to both allograft and autograft; however, there is no data comparing the outcome of multi-level ACDF and single-/multi-level ACCF using this reconstruction. We evaluated 80 consecutive patients who underwent surgery for the treatment of multi-level cervical spondylosis at our institution from 1998 to 2001. In this series, 42 patients underwent multi-level ACDF (Group 1) and 38 patients underwent ACCF (Group 2). Interbody TMCs and local autograft bone with ACPs were used in both procedures. Medical records were reviewed to assess outcome. Clinical outcome was measured by Odom's criteria. Operative time and blood loss were noted. Radiographs were obtained at 6 and 12 weeks, 6 months, 1 year, and 2 years (if necessary). Early hardware failures and pseudarthroses were noted. Cervical sagittal curvature was measured by Ishihara's index at 1 year. Group 1 had a mean age 46.2 years (range 35-60 years). Group 2 had a mean age 50.1 years (range 35-70 years).The operative time was significantly lower (P &lt; 0.001) and blood loss significantly higher (P &lt; 0.001) in Group 2 than in Group 1. At a minimum of 1 year follow up, patients in both groups had equivalent improvement in their clinical symptoms. The fusion rates for Group 1 were 97.6 and 92.1% for Group 2. The rates of early hardware failure were higher in Group 2 (2.6%) than in Group 1 (0%). The fusion rates for Group 1 were not significantly higher than Group 2 (P &gt; 0.28). There was one patient in Group 1 and 2 patients in Group 2 with pseudarthroses. Complication rates in Group 2 were not significantly higher (P &gt; 0.341). Cervical lordosis was well-maintained (80%) in both groups. Both multi-level ACDF and ACCF with anterior cervical reconstruction using TMC filled with autograft and ACP for treatment of multi-level cervical spondylosis have high fusion rates and good clinical outcome. However, there is a higher rate o\u2026", "author" : [ { "dropping-particle" : "", "family" : "Uribe", "given" : "Juan S", "non-dropping-particle" : "", "parse-names" : false, "suffix" : "" }, { "dropping-particle" : "", "family" : "Sangala", "given" : "Jaypal Reddy", "non-dropping-particle" : "", "parse-names" : false, "suffix" : "" }, { "dropping-particle" : "", "family" : "Duckworth", "given" : "Edward A M", "non-dropping-particle" : "", "parse-names" : false, "suffix" : "" }, { "dropping-particle" : "", "family" : "Vale", "given" : "Fernando L", "non-dropping-particle" : "", "parse-names" : false, "suffix" : "" } ], "container-title" : "European spine journal : official publication of the European Spine Society, the European Spinal Deformity Society, and the European Section of the Cervical Spine Research Society", "id" : "ITEM-1", "issue" : "5", "issued" : { "date-parts" : [ [ "2009", "5" ] ] }, "page" : "654-62", "title" : "Comparison between anterior cervical discectomy fusion and cervical corpectomy fusion using titanium cages for reconstruction: analysis of outcome and long-term follow-up.", "type" : "article-journal", "volume" : "18" }, "uris" : [ "http://www.mendeley.com/documents/?uuid=ed1b76f6-8163-4817-8564-90c9e630d758" ] } ], "mendeley" : { "formattedCitation" : "(Uribe &lt;i&gt;et al.&lt;/i&gt;, 2009)", "manualFormatting" : "Uribe et al., (2009)", "plainTextFormattedCitation" : "(Uribe et al., 2009)", "previouslyFormattedCitation" : "(Uribe &lt;i&gt;et al.&lt;/i&gt;, 2009)"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Uribe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(2009)</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found slightly</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lastRenderedPageBreak/>
        <w:t>higher fusion rates after multi-level ACDF than ACCF, they believed that</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the higher fusion rates in the ACDF group could be due to strict adherence</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to surgical principles of anterior cervical fusion.</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In the current study there was the same fusion rate in both ACDF</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and</w:t>
      </w:r>
      <w:r w:rsidR="00C1075F" w:rsidRPr="000F3911">
        <w:rPr>
          <w:rStyle w:val="fontstyle01"/>
          <w:rFonts w:ascii="Times New Roman" w:hAnsi="Times New Roman"/>
          <w:sz w:val="20"/>
          <w:szCs w:val="20"/>
        </w:rPr>
        <w:t xml:space="preserve"> ACCF groups. These results are </w:t>
      </w:r>
      <w:r w:rsidRPr="000F3911">
        <w:rPr>
          <w:rStyle w:val="fontstyle01"/>
          <w:rFonts w:ascii="Times New Roman" w:hAnsi="Times New Roman"/>
          <w:sz w:val="20"/>
          <w:szCs w:val="20"/>
        </w:rPr>
        <w:t xml:space="preserve">similar to those of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"10.1097/MD.0000000000005437", "ISSN" : "1536-5964 (Electronic)", "PMID" : "27930523", "abstract" : "BACKGROUND: Both anterior cervical discectomy and fusion (ACDF) and anterior cervical corpectomy and fusion (ACCF) are used to treat multilevel cervical spondylotic myelopathy (mCSM); however, which one is better treatment for mCSM remains considerable controversy. A meta-analysis was performed to compare clinical outcomes, radiographic outcomes, and surgical outcomes between ACDF and ACCF in treatment for mCSM. METHODS: An extensive search of literature was performed in Pubmed/MEDLINE, Embase, the Cochrane library, CNKI, and WANFANG databases on ACDF versus ACCF treatment for mCSM from January 2011 to August 2016. The following variables were extracted: length of hospital stay, blood loss, operation time, Japanese Orthopedic Association (JOA) scores, Neck Disability Index (NDI) score, fusion rate, Cobb angles of C2 to C7, dysphagia, hoarseness, C5 palsy, infection, cerebral fluid leakage, donor site pain, epidural hematoma, graft subsidence, graft dislodgment, pseudoarthrosis, and total complications. Data analysis was conducted with RevMan 5.3 and STATA 12.0. RESULTS: A total of 8 studies containing 878 patients were included in our study. The results showed that ACDF is better than ACCF in the angle of C2 to C7 at the final follow-up (P &lt; 0.00001, standardized mean difference = 4.76 [3.48, 6.03]; heterogeneity: P = 0.17, I = 43%), C5 plasy (P = 0.02, odds ratio [OR] 0.42, 95% confidence interval [CI] 0.21, 0.86; heterogeneity: P = 0.52, I = 0%), blood loss (P &lt; 0.00001, standardized mean difference = -53.12, 95% CI -64.61, -41.64; heterogeneity: P = 0.29, I = 20%), fusion rate (P = 0.04, OR 2.54, 95% CI 1.05, 6.11; heterogeneity: P = 0.29, I = 20%), graft subsidence (P = 0.004, OR 0.11, 95% CI 0.02, 0.48; heterogeneity: P = 0.94, I = 0%), and total complications (P = 0.0009, OR 0.56, 95% CI 0.40, 0.79; heterogeneity: P = 0.29, I = 18%).However, there are no significant differences in length of hospital stay, operation time, JOA scores, NDI scores, preoperative angle of C2 to C7, dysphagia, hoarseness, infection, cerebral fluid leakage, donor site pain, epidural hematoma, graft dislodgment, and pseudoarthrosis (all P &gt; 0.05). CONCLUSIONS: Based on our meta-analysis, our results suggest that both ACDF and ACCF are good plans in clinical outcomes; however, ACDF is a better choice in radiographic outcomes and total complications for the treatment of multilevel CSM.", "author" : [ { "dropping-particle" : "", "family" : "Wang", "given" : "Tao", "non-dropping-particle" : "", "parse-names" : false, "suffix" : "" }, { "dropping-particle" : "", "family" : "Wang", "given" : "Hui", "non-dropping-particle" : "", "parse-names" : false, "suffix" : "" }, { "dropping-particle" : "", "family" : "Liu", "given" : "Sen", "non-dropping-particle" : "", "parse-names" : false, "suffix" : "" }, { "dropping-particle" : "", "family" : "An", "given" : "Huang-Da", "non-dropping-particle" : "", "parse-names" : false, "suffix" : "" }, { "dropping-particle" : "", "family" : "Liu", "given" : "Huan", "non-dropping-particle" : "", "parse-names" : false, "suffix" : "" }, { "dropping-particle" : "", "family" : "Ding", "given" : "Wen-Yuan", "non-dropping-particle" : "", "parse-names" : false, "suffix" : "" } ], "container-title" : "Medicine", "id" : "ITEM-1", "issue" : "49", "issued" : { "date-parts" : [ [ "2016", "12" ] ] }, "language" : "eng", "page" : "e5437", "publisher-place" : "United States", "title" : "Anterior cervical discectomy and fusion versus anterior cervical corpectomy and fusion in multilevel cervical spondylotic myelopathy: A meta-analysis.", "type" : "article-journal", "volume" : "95" }, "uris" : [ "http://www.mendeley.com/documents/?uuid=f9935c9f-f634-419e-8f22-70644650abad" ] } ], "mendeley" : { "formattedCitation" : "(Wang &lt;i&gt;et al.&lt;/i&gt;, 2016)", "manualFormatting" : "Wang et al., (2016)", "plainTextFormattedCitation" : "(Wang et al., 2016)", "previouslyFormattedCitation" : "(Wang &lt;i&gt;et al.&lt;/i&gt;, 2016)"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Wang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(2016)</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who reported similar fusion rates in both multi-level ACDF and ACCF</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groups using allograft with cervical plating.</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The clinical outcome was compared to other series,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"10.1007/s00586-013-3043-7", "ISSN" : "1432-0932 (Electronic)", "PMID" : "24097230", "abstract" : "BACKGROUND: Surgical strategy for multilevel cervical myelopathy resulting from cervical spondylotic myelopathy (CSM) or ossification of posterior longitudinal ligament (OPLL) still remains controversial. There are still questions about the relative benefit and safety of direct decompression by anterior corpectomy (CORP) versus indirect decompression by posterior laminoplasty (LAMP). OBJECTIVE: To perform a systematic review and meta-analysis evaluating the results of anterior CORP compared with posterior LAMP for patients with multilevel cervical myelopathy. METHODS: Systematic review and meta-analysis of cohort studies comparing anterior CORP with posterior LAMP for the treatment of multilevel cervical myelopathy due to CSM or OPLL from 1990 to December 2012. An extensive search of literature was performed in Pubmed, Embase, and the Cochrane library. The quality of the studies was assessed according to GRADE. The following outcome measures were extracted: pre- and postoperative Japanese orthopedic association (JOA) score, neurological recovery rate (RR), surgical complications, reoperation rate, operation time and blood loss. Two reviewers independently assessed each study for quality and extracted data. Subgroup analysis was conducted according to the mean number of surgical segments. RESULTS: A total of 12 studies were included in this review, all of which were prospective or retrospective cohort studies with relatively low quality. The results indicated that the mean JOA score system for cervical myelopathy and the neurological RR in the CORP group were superior to those in the LAMP group when the mean surgical segments were &lt;3, but were similar between the two groups in the case of the mean surgical segments equal to 3 or more. There was no statistical difference in the surgical complication rate between the two groups when the mean surgical segments &lt;3, but were significantly higher incidences of surgical complications and complication-related reoperation in the CORP group compared with the LAMP group in the case of the mean surgical segments equal to 3 or more. Besides, the operation time in the CORP group was longer than that in the LAMP group, and the average blood loss was significantly more in the CORP group compared with the LAMP group. CONCLUSION: Based on the results above, anterior CORP and fusion is recommended for the treatment of multilevel cervical myelopathy when the involved surgical segments were &lt;3. Given the higher rates of surg\u2026", "author" : [ { "dropping-particle" : "", "family" : "Liu", "given" : "Xuzhou", "non-dropping-particle" : "", "parse-names" : false, "suffix" : "" }, { "dropping-particle" : "", "family" : "Min", "given" : "Shaoxiong", "non-dropping-particle" : "", "parse-names" : false, "suffix" : "" }, { "dropping-particle" : "", "family" : "Zhang", "given" : "Hui", "non-dropping-particle" : "", "parse-names" : false, "suffix" : "" }, { "dropping-particle" : "", "family" : "Zhou", "given" : "Zhilai", "non-dropping-particle" : "", "parse-names" : false, "suffix" : "" }, { "dropping-particle" : "", "family" : "Wang", "given" : "Hehui", "non-dropping-particle" : "", "parse-names" : false, "suffix" : "" }, { "dropping-particle" : "", "family" : "Jin", "given" : "Anmin", "non-dropping-particle" : "", "parse-names" : false, "suffix" : "" } ], "container-title" : "European spine journal : official publication of the European Spine Society, the  European Spinal Deformity Society, and the European Section of the Cervical Spine Research Society", "id" : "ITEM-1", "issue" : "2", "issued" : { "date-parts" : [ [ "2014", "2" ] ] }, "language" : "eng", "page" : "362-372", "publisher-place" : "Germany", "title" : "Anterior corpectomy versus posterior laminoplasty for multilevel cervical myelopathy: a systematic review and meta-analysis.", "type" : "article-journal", "volume" : "23" }, "uris" : [ "http://www.mendeley.com/documents/?uuid=e6dadfa7-381c-460d-8e17-84035c858f03" ] } ], "mendeley" : { "formattedCitation" : "(Liu &lt;i&gt;et al.&lt;/i&gt;, 2014)", "manualFormatting" : "Liu et al., (2014)", "plainTextFormattedCitation" : "(Liu et al., 2014)", "previouslyFormattedCitation" : "(Liu &lt;i&gt;et al.&lt;/i&gt;, 2014)"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Liu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(2014)</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followed up 75 patients with anterior decompression and anterior spinal</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fusion done for cervical spondylotic myelopathy for 1 year. They found that</w:t>
      </w:r>
      <w:r w:rsidR="0027630E">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46.7% of patients had improvement of lower limb function and 75.4%</w:t>
      </w:r>
      <w:r w:rsidR="0027630E">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patients had improvement in upper limb function.</w:t>
      </w:r>
    </w:p>
    <w:p w:rsidR="00B503E8" w:rsidRPr="000F3911" w:rsidRDefault="00F105E2"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"DOI" : "10.1016/j.otsr.2017.05.011", "ISSN" : "1877-0568 (Electronic)", "PMID" : "28619269", "abstract" : "INTRODUCTION: The laminoplasty has been the most widely used surgical method for  OPLL. In recent years, increasing attention has been drawn to the anterior operative approaches for surgical treatment of cervical OPLL. However, which method is the optimum selection for therapy of cervical OPLL is still obscure. Therefore, we performed this prospective nonrandomized clinical study in patients with multilevel cervical myelopathy due to OPLL and compare the therapeutic efficiency of laminoplasty and anterior approach (cervical discectomy and/or cervical corpectomy) in the management of multilevel cervical OPLL. HYPOTHESIS: There is no difference in clinical effects between anterior cervical spine surgery and laminoplasty in the treatment of multilevel cervical OPLL. MATERIAL AND METHODS: A total of 150 consecutive patients with multilevels of cervical OPLL underwent anterior approaches (ACDF, ACCF and HDF) from July 2010 to June 2014, which were enrolled in this study. During the same period, one hundred and two patients receiving the laminoplasty were enrolled in the study. The clinical effects, alignment and range of motion (ROM) of cervical spine in patients of the anterior group and posterior group were assessed, respectively. The effects of high signals in T2 weighed MRI scans and percentage of spinal canal stenosis in these patients were also evaluated. Finally, postoperative complications regarding each group were analyzed. RESULTS: Although significant differences in types of OPLL and preoperative sagittal alignment of cervical spine occurred in the two groups (P&lt;0.05), clinical effects of the two groups were similar (P&gt;0.05). The cervical curvature in laminoplasty group showed significant decrease at final follow-up (P&lt;0.05). For ROM of cervical spine, no significant alteration was observed in both groups. The high T2 weighed signals and rate of spinal canal stenosis can influence clinical effects of both anterior group and laminoplasty group. In addition, significantly higher complication rate was observed in laminoplasty group compared with anterior group (P&lt;0.05). DISCUSSION: Both anterior and laminoplasty approaches can be considered effective and safe procedures in the treatment of the multilevel OPLL. However, the anterior approach with relatively lower incidence of postoperative complications is a better choice for cases with poor cervical curvature and serious spinal canal stenosis. TYPE OF STUDY AND LEVEL OF PROOF: Level 3 nonrandomized, \u2026", "author" : [ { "dropping-particle" : "", "family" : "Hou", "given" : "Y", "non-dropping-particle" : "", "parse-names" : false, "suffix" : "" }, { "dropping-particle" : "", "family" : "Liang", "given" : "L", "non-dropping-particle" : "", "parse-names" : false, "suffix" : "" }, { "dropping-particle" : "", "family" : "Shi", "given" : "G D", "non-dropping-particle" : "", "parse-names" : false, "suffix" : "" }, { "dropping-particle" : "", "family" : "Xu", "given" : "P", "non-dropping-particle" : "", "parse-names" : false, "suffix" : "" }, { "dropping-particle" : "", "family" : "Xu", "given" : "G H", "non-dropping-particle" : "", "parse-names" : false, "suffix" : "" }, { "dropping-particle" : "", "family" : "Shi", "given" : "J G", "non-dropping-particle" : "", "parse-names" : false, "suffix" : "" }, { "dropping-particle" : "", "family" : "Yuan", "given" : "W", "non-dropping-particle" : "", "parse-names" : false, "suffix" : "" } ], "container-title" : "Orthopaedics &amp; traumatology, surgery &amp; research : OTSR", "id" : "ITEM-1", "issue" : "5", "issued" : { "date-parts" : [ [ "2017", "9" ] ] }, "language" : "eng", "page" : "733-740", "publisher-place" : "France", "title" : "Comparing effects of cervical anterior approach and laminoplasty in surgical management of cervical ossification of posterior longitudinal ligament by a prospective nonrandomized controlled study.", "type" : "article-journal", "volume" : "103" }, "uris" : [ "http://www.mendeley.com/documents/?uuid=7782484f-59a8-47b5-bd81-b72e8ffa67fa" ] } ], "mendeley" : { "formattedCitation" : "(Hou &lt;i&gt;et al.&lt;/i&gt;, 2017)", "manualFormatting" : "Hou et al., (2017)", "plainTextFormattedCitation" : "(Hou et al., 2017)", "previouslyFormattedCitation" : "(Hou &lt;i&gt;et al.&lt;/i&gt;, 2017)"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 xml:space="preserve">Hou </w:t>
      </w:r>
      <w:r w:rsidR="00B503E8" w:rsidRPr="000F3911">
        <w:rPr>
          <w:rStyle w:val="fontstyle21"/>
          <w:rFonts w:ascii="Times New Roman" w:hAnsi="Times New Roman"/>
          <w:i/>
          <w:noProof/>
          <w:sz w:val="20"/>
          <w:szCs w:val="20"/>
        </w:rPr>
        <w:t>et al.</w:t>
      </w:r>
      <w:r w:rsidR="00B503E8" w:rsidRPr="000F3911">
        <w:rPr>
          <w:rStyle w:val="fontstyle21"/>
          <w:rFonts w:ascii="Times New Roman" w:hAnsi="Times New Roman"/>
          <w:noProof/>
          <w:sz w:val="20"/>
          <w:szCs w:val="20"/>
        </w:rPr>
        <w:t>, (2017)</w:t>
      </w:r>
      <w:r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studied 55 consecutive patients suffering from</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 xml:space="preserve">cervical spondylotic myelopathy by either laminoplasty or </w:t>
      </w:r>
      <w:r w:rsidR="000F3911" w:rsidRPr="000F3911">
        <w:rPr>
          <w:rStyle w:val="fontstyle01"/>
          <w:rFonts w:ascii="Times New Roman" w:hAnsi="Times New Roman"/>
          <w:sz w:val="20"/>
          <w:szCs w:val="20"/>
        </w:rPr>
        <w:t>anterior decompression</w:t>
      </w:r>
      <w:r w:rsidR="00B503E8" w:rsidRPr="000F3911">
        <w:rPr>
          <w:rStyle w:val="fontstyle01"/>
          <w:rFonts w:ascii="Times New Roman" w:hAnsi="Times New Roman"/>
          <w:sz w:val="20"/>
          <w:szCs w:val="20"/>
        </w:rPr>
        <w:t xml:space="preserve"> and fusion using autologous iliac crest bone, they found animprovement of the JOA scores in 71% of patients. The mean recovery </w:t>
      </w:r>
      <w:r w:rsidR="000F3911" w:rsidRPr="000F3911">
        <w:rPr>
          <w:rStyle w:val="fontstyle01"/>
          <w:rFonts w:ascii="Times New Roman" w:hAnsi="Times New Roman"/>
          <w:sz w:val="20"/>
          <w:szCs w:val="20"/>
        </w:rPr>
        <w:t>rate was</w:t>
      </w:r>
      <w:r w:rsidR="00B503E8" w:rsidRPr="000F3911">
        <w:rPr>
          <w:rStyle w:val="fontstyle01"/>
          <w:rFonts w:ascii="Times New Roman" w:hAnsi="Times New Roman"/>
          <w:sz w:val="20"/>
          <w:szCs w:val="20"/>
        </w:rPr>
        <w:t xml:space="preserve"> 55%. These results correlate well with the current study</w:t>
      </w:r>
      <w:r w:rsidR="007A1E52" w:rsidRPr="000F3911">
        <w:rPr>
          <w:rStyle w:val="fontstyle01"/>
          <w:rFonts w:ascii="Times New Roman" w:hAnsi="Times New Roman"/>
          <w:sz w:val="20"/>
          <w:szCs w:val="20"/>
        </w:rPr>
        <w:t>. P</w:t>
      </w:r>
      <w:r w:rsidR="00B503E8" w:rsidRPr="000F3911">
        <w:rPr>
          <w:rStyle w:val="fontstyle01"/>
          <w:rFonts w:ascii="Times New Roman" w:hAnsi="Times New Roman"/>
          <w:sz w:val="20"/>
          <w:szCs w:val="20"/>
        </w:rPr>
        <w:t xml:space="preserve">rognostic factors for surgical treatment of cervical spondyloticmyelopathy are still controversial. </w:t>
      </w:r>
    </w:p>
    <w:p w:rsidR="00B503E8" w:rsidRPr="000F3911" w:rsidRDefault="00F105E2"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"DOI" : "10.1007/s00586-015-3911-4", "ISSN" : "1432-0932 (Electronic)", "PMID" : "25840781", "abstract" : "PURPOSE: The purpose of this study is to evaluate the clinical outcomes, complications, and surgical trauma between anterior and posterior approaches for the treatment of multilevel cervical spondylotic myelopathy (CSM). STUDY DESIGN: Systematic review and meta-analysis. METHODS: Randomized controlled trials or non-randomized controlled trials published up to November 2014 that compared the clinical effectiveness of anterior and posterior surgical approaches for the treatment of multilevel CSM were acquired by a comprehensive search in four electronic databases (PubMed, EMBASE, Cochrane Controlled Trial Register and MEDLINE). Exclusion criteria were non-controlled studies, combined anterior and posterior surgery and cervical myelopathy caused by ossification of the posterior longitudinal ligament. The main end points included: recovery rate; Japanese Orthopedic Association (JOA) score; complication rate; reoperation rate; blood loss; operation time and length of stay. RESULTS: A total of ten studies were included in the meta-analysis; none of which were randomized controlled trials. All of the selected studies were of high quality as indicated by the Newcastle-Ottawa scale. In six studies involving 467 patients, there was no significant difference in the preoperative JOA score between the anterior surgery group and the posterior group [P &gt; 0.05, WMD -0.00 (-0.50, 0.50)]. In four studies involving 268 patients, the postoperative JOA score was significantly higher in the anterior surgery group compared with the posterior surgery group [P &lt; 0.05, WMD 0.79 (0.16, 1.42)]. In five studies involving 420 patients, there was no statistically significant difference in recovery rate between the anterior and posterior surgery groups [P &gt; 0.05, WMD 2.73 (-8.69, 14.15)]. In nine studies involving 804 patients, the postoperative complication rate was significantly higher in the anterior surgery group compared with the posterior surgery group [P = 0.009, OR 1.65 (1.13, 2.39)]. In five studies involving 294 patients, the reoperation rate was significantly higher in the anterior surgery group compared with the posterior surgery group [P = 0.0001, OR 8.67 (2.85, 26.34)]. In the four studies involving 252 patients, the intraoperative blood loss and operation time was significantly higher in the anterior surgery group compared with the posterior surgery group [P &lt; 0.05, WMD -40.25 (-76.96, -3.53) and P &lt; 0.00001, WMD 61.3 (52.33, 70.28)]. In the three studies involving 192 \u2026", "author" : [ { "dropping-particle" : "", "family" : "Luo", "given" : "Jiaquan", "non-dropping-particle" : "", "parse-names" : false, "suffix" : "" }, { "dropping-particle" : "", "family" : "Cao", "given" : "Kai", "non-dropping-particle" : "", "parse-names" : false, "suffix" : "" }, { "dropping-particle" : "", "family" : "Huang", "given" : "Sheng", "non-dropping-particle" : "", "parse-names" : false, "suffix" : "" }, { "dropping-particle" : "", "family" : "Li", "given" : "Liangping", "non-dropping-particle" : "", "parse-names" : false, "suffix" : "" }, { "dropping-particle" : "", "family" : "Yu", "given" : "Ting", "non-dropping-particle" : "", "parse-names" : false, "suffix" : "" }, { "dropping-particle" : "", "family" : "Cao", "given" : "Cong", "non-dropping-particle" : "", "parse-names" : false, "suffix" : "" }, { "dropping-particle" : "", "family" : "Zhong", "given" : "Rui", "non-dropping-particle" : "", "parse-names" : false, "suffix" : "" }, { "dropping-particle" : "", "family" : "Gong", "given" : "Ming", "non-dropping-particle" : "", "parse-names" : false, "suffix" : "" }, { "dropping-particle" : "", "family" : "Zhou", "given" : "Zhiyu", "non-dropping-particle" : "", "parse-names" : false, "suffix" : "" }, { "dropping-particle" : "", "family" : "Zou", "given" : "Xuenong", "non-dropping-particle" : "", "parse-names" : false, "suffix" : "" } ], "container-title" : "European spine journal : official publication of the European Spine Society, the  European Spinal Deformity Society, and the European Section of the Cervical Spine Research Society", "id" : "ITEM-1", "issue" : "8", "issued" : { "date-parts" : [ [ "2015", "8" ] ] }, "language" : "eng", "page" : "1621-1630", "publisher-place" : "Germany", "title" : "Comparison of anterior approach versus posterior approach for the treatment of multilevel cervical spondylotic myelopathy.", "type" : "article-journal", "volume" : "24" }, "uris" : [ "http://www.mendeley.com/documents/?uuid=cdecf5da-d571-4e2f-98c1-1ef842eb8f7a" ] } ], "mendeley" : { "formattedCitation" : "(Luo &lt;i&gt;et al.&lt;/i&gt;, 2015)", "manualFormatting" : "Luo et al., (2015)", "plainTextFormattedCitation" : "(Luo et al., 2015)", "previouslyFormattedCitation" : "(Luo &lt;i&gt;et al.&lt;/i&gt;, 2015)"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 xml:space="preserve">Luo </w:t>
      </w:r>
      <w:r w:rsidR="00B503E8" w:rsidRPr="000F3911">
        <w:rPr>
          <w:rStyle w:val="fontstyle21"/>
          <w:rFonts w:ascii="Times New Roman" w:hAnsi="Times New Roman"/>
          <w:i/>
          <w:noProof/>
          <w:sz w:val="20"/>
          <w:szCs w:val="20"/>
        </w:rPr>
        <w:t>et al.</w:t>
      </w:r>
      <w:r w:rsidR="00B503E8" w:rsidRPr="000F3911">
        <w:rPr>
          <w:rStyle w:val="fontstyle21"/>
          <w:rFonts w:ascii="Times New Roman" w:hAnsi="Times New Roman"/>
          <w:noProof/>
          <w:sz w:val="20"/>
          <w:szCs w:val="20"/>
        </w:rPr>
        <w:t>, (2015)</w:t>
      </w:r>
      <w:r w:rsidRPr="000F3911">
        <w:rPr>
          <w:rStyle w:val="fontstyle21"/>
          <w:rFonts w:ascii="Times New Roman" w:hAnsi="Times New Roman"/>
          <w:sz w:val="20"/>
          <w:szCs w:val="20"/>
        </w:rPr>
        <w:fldChar w:fldCharType="end"/>
      </w:r>
      <w:r w:rsidR="0027630E">
        <w:rPr>
          <w:rStyle w:val="fontstyle2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reported no difference in neurological recovery for patient's age groups after surgical decompression by anterior cervical corpectomy</w:t>
      </w:r>
      <w:r w:rsidR="007A1E52" w:rsidRPr="000F3911">
        <w:rPr>
          <w:rStyle w:val="fontstyle01"/>
          <w:rFonts w:ascii="Times New Roman" w:hAnsi="Times New Roman"/>
          <w:sz w:val="20"/>
          <w:szCs w:val="20"/>
        </w:rPr>
        <w:t>. H</w:t>
      </w:r>
      <w:r w:rsidR="00B503E8" w:rsidRPr="000F3911">
        <w:rPr>
          <w:rStyle w:val="fontstyle01"/>
          <w:rFonts w:ascii="Times New Roman" w:hAnsi="Times New Roman"/>
          <w:sz w:val="20"/>
          <w:szCs w:val="20"/>
        </w:rPr>
        <w:t xml:space="preserve">owever, </w:t>
      </w: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"DOI" : "10.1093/neuros/nyx289", "ISSN" : "1524-4040 (Electronic)", "PMID" : "28973385", "abstract" : "BACKGROUND: Healthcare readmissions are important causes of increased cost and have profound clinical impact. Thirty-day readmissions in spine surgery have been well documented. However, rates, causes, and outcomes are not well understood outside 30 d. OBJECTIVE: To analyze 30- and 90-d readmissions for a retrospective cohort of anterior cervical discectomy and fusions (ACDF) and total disc replacement (TDR) for degenerative cervical conditions. METHODS: The Nationwide Readmissions Database approximates 50% of all US hospitalizations with patient identifiers to track patients longitudinally. Patients greater than 18 yr old were identified. Rates of readmission for 30 and 90 d were calculated. Predictor variables, complications, outcomes, and costs were analyzed via univariate and multivariable analyses. RESULTS: Between January and September 2013, 72 688 patients were identified. The 30- and 90-d readmission rates were 2.67% and 5.97%, respectively. The most prevalent reason for 30-d readmission was complication of medical/surgical care (20.3%), whereas for 90-d readmission it was degenerative spine etiology (19.2%). Common risk factors for 30- and 90-d readmission included older age, male gender, Medicare/Medicaid, prolonged initial length of stay, and various comorbidities. Unique risk factors for 30- and 90-d readmissions included adverse discharge disposition and mechanical implant-related complications, respectively. When comparing ACDF and TDR, ACDFs were associated with increased 90-d readmissions (6.0% vs 4.3%). The TDR cohort had a shorter length of stay, lower complication rate, and fewer adverse discharge dispositions. CONCLUSION: Identification of readmission causes and predictors is important to potentially allow for changes in periperative management. Decreasing readmissions would improve patient outcomes and reduce healthcare costs.", "author" : [ { "dropping-particle" : "", "family" : "Rumalla", "given" : "Kavelin", "non-dropping-particle" : "", "parse-names" : false, "suffix" : "" }, { "dropping-particle" : "", "family" : "Smith", "given" : "Kyle A", "non-dropping-particle" : "", "parse-names" : false, "suffix" : "" }, { "dropping-particle" : "", "family" : "Arnold", "given" : "Paul M", "non-dropping-particle" : "", "parse-names" : false, "suffix" : "" } ], "container-title" : "Neurosurgery", "id" : "ITEM-1", "issued" : { "date-parts" : [ [ "2017", "7" ] ] }, "language" : "eng", "publisher-place" : "United States", "title" : "Cervical Total Disc Replacement and Anterior Cervical Discectomy and Fusion: Reoperation Rates, Complications, and Hospital Resource Utilization in 72 688 Patients in the United States.", "type" : "article-journal" }, "uris" : [ "http://www.mendeley.com/documents/?uuid=7379acee-57be-4962-8670-ea96fe9c85c2" ] } ], "mendeley" : { "formattedCitation" : "(Rumalla, Smith and Arnold, 2017)", "manualFormatting" : "Rumalla (2017)", "plainTextFormattedCitation" : "(Rumalla, Smith and Arnold, 2017)", "previouslyFormattedCitation" : "(Rumalla, Smith and Arnold, 2017)"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Rumalla (2017)</w:t>
      </w:r>
      <w:r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showed post-operative</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recovery of</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spinal cord function in the older age group is inferior to that of younger</w:t>
      </w:r>
      <w:r w:rsidR="00FD358B" w:rsidRP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patients.</w:t>
      </w:r>
    </w:p>
    <w:p w:rsidR="00B503E8" w:rsidRPr="000F3911" w:rsidRDefault="00F105E2"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21"/>
          <w:rFonts w:ascii="Times New Roman" w:hAnsi="Times New Roman"/>
          <w:sz w:val="20"/>
          <w:szCs w:val="20"/>
        </w:rPr>
        <w:fldChar w:fldCharType="begin" w:fldLock="1"/>
      </w:r>
      <w:r w:rsidR="00B503E8" w:rsidRPr="000F3911">
        <w:rPr>
          <w:rStyle w:val="fontstyle21"/>
          <w:rFonts w:ascii="Times New Roman" w:hAnsi="Times New Roman"/>
          <w:sz w:val="20"/>
          <w:szCs w:val="20"/>
        </w:rPr>
        <w:instrText>ADDIN CSL_CITATION { "citationItems" : [ { "id" : "ITEM-1", "itemData" : { "DOI" : "10.1097/BRS.0b013e318239ccd8", "ISSN" : "1528-1159", "PMID" : "22020587", "abstract" : "STUDY DESIGN Review of surgical technique. OBJECTIVE To provide accounts of the authors' preferred methods for performing anterior cervical surgery with personal tips and pearls. SUMMARY OF BACKGROUND DATA Many have described the various anterior surgical approaches to the cervical spine, and in this review, we hope to describe our preferences, highlighted with some tips and pearls. METHODS Various accounts of the transoral, the anterolateral (Smith-Robinson), and the split manubrium approaches were reviewed and used as the basis of the review. Additional notes with regard to the authors' preferences were noted to provide further guidance. The descriptions were delineated from the most cephalad to the most caudal. RESULTS The transoral, the anterolateral (Smith-Robinson), and the manubriotomy approaches were described. Each account starts with the basic preoperative considerations, then describes the incision and the main anatomical landmarks, and finally concludes with closure and main complications to monitor for. A brief description of the main pathologies that each approach may address is also provided. CONCLUSION The 3 anterior approaches to the cervical spine are direct and elegant solutions to pathologies arising from the anterior column. They supplement the more commonly used posterior approaches, which provide stronger multilevel fixation, and thus provide an essential tool in the armamentarium of spine surgeons.", "author" : [ { "dropping-particle" : "", "family" : "Cheung", "given" : "Kenneth M C", "non-dropping-particle" : "", "parse-names" : false, "suffix" : "" }, { "dropping-particle" : "", "family" : "Mak", "given" : "K C", "non-dropping-particle" : "", "parse-names" : false, "suffix" : "" }, { "dropping-particle" : "", "family" : "Luk", "given" : "Keith D K", "non-dropping-particle" : "", "parse-names" : false, "suffix" : "" } ], "container-title" : "Spine", "id" : "ITEM-1", "issue" : "5", "issued" : { "date-parts" : [ [ "2012", "3", "1" ] ] }, "page" : "E297-302", "title" : "Anterior approach to cervical spine.", "type" : "article-journal", "volume" : "37" }, "uris" : [ "http://www.mendeley.com/documents/?uuid=bf46fe79-bcaa-4191-9708-6466f74af88d" ] } ], "mendeley" : { "formattedCitation" : "(Cheung, Mak and Luk, 2012)", "manualFormatting" : "Cheung et al., (2012)", "plainTextFormattedCitation" : "(Cheung, Mak and Luk, 2012)", "previouslyFormattedCitation" : "(Cheung, Mak and Luk, 2012)" }, "properties" : {  }, "schema" : "https://github.com/citation-style-language/schema/raw/master/csl-citation.json" }</w:instrText>
      </w:r>
      <w:r w:rsidRPr="000F3911">
        <w:rPr>
          <w:rStyle w:val="fontstyle21"/>
          <w:rFonts w:ascii="Times New Roman" w:hAnsi="Times New Roman"/>
          <w:sz w:val="20"/>
          <w:szCs w:val="20"/>
        </w:rPr>
        <w:fldChar w:fldCharType="separate"/>
      </w:r>
      <w:r w:rsidR="00B503E8" w:rsidRPr="000F3911">
        <w:rPr>
          <w:rStyle w:val="fontstyle21"/>
          <w:rFonts w:ascii="Times New Roman" w:hAnsi="Times New Roman"/>
          <w:noProof/>
          <w:sz w:val="20"/>
          <w:szCs w:val="20"/>
        </w:rPr>
        <w:t>Cheung et al., (2012)</w:t>
      </w:r>
      <w:r w:rsidRPr="000F3911">
        <w:rPr>
          <w:rStyle w:val="fontstyle21"/>
          <w:rFonts w:ascii="Times New Roman" w:hAnsi="Times New Roman"/>
          <w:sz w:val="20"/>
          <w:szCs w:val="20"/>
        </w:rPr>
        <w:fldChar w:fldCharType="end"/>
      </w:r>
      <w:r w:rsidR="00B503E8" w:rsidRPr="000F3911">
        <w:rPr>
          <w:rStyle w:val="fontstyle01"/>
          <w:rFonts w:ascii="Times New Roman" w:hAnsi="Times New Roman"/>
          <w:sz w:val="20"/>
          <w:szCs w:val="20"/>
        </w:rPr>
        <w:t xml:space="preserve"> found that older patients had a significantly lower</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pre-operative JOA score and suggested that was due to the less functional</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demand of elderly patients compared with younger patients so tolerate more</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functional loss before seeking medical advice. The recovery rate for older</w:t>
      </w:r>
      <w:r w:rsidR="000F3911">
        <w:rPr>
          <w:rStyle w:val="fontstyle01"/>
          <w:rFonts w:ascii="Times New Roman" w:eastAsiaTheme="minorEastAsia" w:hAnsi="Times New Roman" w:hint="eastAsia"/>
          <w:sz w:val="20"/>
          <w:szCs w:val="20"/>
          <w:lang w:eastAsia="zh-CN"/>
        </w:rPr>
        <w:t xml:space="preserve"> </w:t>
      </w:r>
      <w:r w:rsidR="00B503E8" w:rsidRPr="000F3911">
        <w:rPr>
          <w:rStyle w:val="fontstyle01"/>
          <w:rFonts w:ascii="Times New Roman" w:hAnsi="Times New Roman"/>
          <w:sz w:val="20"/>
          <w:szCs w:val="20"/>
        </w:rPr>
        <w:t xml:space="preserve">patients with lower pre-operative JOA score was less than that of </w:t>
      </w:r>
      <w:r w:rsidR="000F3911" w:rsidRPr="000F3911">
        <w:rPr>
          <w:rStyle w:val="fontstyle01"/>
          <w:rFonts w:ascii="Times New Roman" w:hAnsi="Times New Roman"/>
          <w:sz w:val="20"/>
          <w:szCs w:val="20"/>
        </w:rPr>
        <w:t>the younger</w:t>
      </w:r>
      <w:r w:rsidR="00B503E8" w:rsidRPr="000F3911">
        <w:rPr>
          <w:rStyle w:val="fontstyle01"/>
          <w:rFonts w:ascii="Times New Roman" w:hAnsi="Times New Roman"/>
          <w:sz w:val="20"/>
          <w:szCs w:val="20"/>
        </w:rPr>
        <w:t xml:space="preserve"> patients.</w:t>
      </w:r>
    </w:p>
    <w:p w:rsidR="006244D6" w:rsidRPr="000F3911" w:rsidRDefault="00B503E8" w:rsidP="007A1E52">
      <w:pPr>
        <w:autoSpaceDE w:val="0"/>
        <w:autoSpaceDN w:val="0"/>
        <w:bidi w:val="0"/>
        <w:adjustRightInd w:val="0"/>
        <w:snapToGrid w:val="0"/>
        <w:ind w:firstLine="425"/>
        <w:jc w:val="both"/>
        <w:rPr>
          <w:color w:val="000000"/>
          <w:sz w:val="20"/>
          <w:szCs w:val="20"/>
        </w:rPr>
      </w:pPr>
      <w:r w:rsidRPr="000F3911">
        <w:rPr>
          <w:rStyle w:val="fontstyle01"/>
          <w:rFonts w:ascii="Times New Roman" w:hAnsi="Times New Roman"/>
          <w:sz w:val="20"/>
          <w:szCs w:val="20"/>
        </w:rPr>
        <w:t>These results correlate well with the results of the current study for</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both groups. There was a statistically significant positive correlation</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between the recovery rates and the pre-operative JOA score with recovery</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rates below 50% in the patients with pre-operative JOA score below 12 </w:t>
      </w:r>
      <w:r w:rsidR="000F3911" w:rsidRPr="000F3911">
        <w:rPr>
          <w:rStyle w:val="fontstyle01"/>
          <w:rFonts w:ascii="Times New Roman" w:hAnsi="Times New Roman"/>
          <w:sz w:val="20"/>
          <w:szCs w:val="20"/>
        </w:rPr>
        <w:t>in each</w:t>
      </w:r>
      <w:r w:rsidRPr="000F3911">
        <w:rPr>
          <w:rStyle w:val="fontstyle01"/>
          <w:rFonts w:ascii="Times New Roman" w:hAnsi="Times New Roman"/>
          <w:sz w:val="20"/>
          <w:szCs w:val="20"/>
        </w:rPr>
        <w:t xml:space="preserve"> group with reasonable correlation coefficient.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Some studies reported that the duration of symptoms did not affect</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surgical outcomes.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"10.1097/BRS.0b013e318239ccd8", "ISSN" : "1528-1159", "PMID" : "22020587", "abstract" : "STUDY DESIGN Review of surgical technique. OBJECTIVE To provide accounts of the authors' preferred methods for performing anterior cervical surgery with personal tips and pearls. SUMMARY OF BACKGROUND DATA Many have described the various anterior surgical approaches to the cervical spine, and in this review, we hope to describe our preferences, highlighted with some tips and pearls. METHODS Various accounts of the transoral, the anterolateral (Smith-Robinson), and the split manubrium approaches were reviewed and used as the basis of the review. Additional notes with regard to the authors' preferences were noted to provide further guidance. The descriptions were delineated from the most cephalad to the most caudal. RESULTS The transoral, the anterolateral (Smith-Robinson), and the manubriotomy approaches were described. Each account starts with the basic preoperative considerations, then describes the incision and the main anatomical landmarks, and finally concludes with closure and main complications to monitor for. A brief description of the main pathologies that each approach may address is also provided. CONCLUSION The 3 anterior approaches to the cervical spine are direct and elegant solutions to pathologies arising from the anterior column. They supplement the more commonly used posterior approaches, which provide stronger multilevel fixation, and thus provide an essential tool in the armamentarium of spine surgeons.", "author" : [ { "dropping-particle" : "", "family" : "Cheung", "given" : "Kenneth M C", "non-dropping-particle" : "", "parse-names" : false, "suffix" : "" }, { "dropping-particle" : "", "family" : "Mak", "given" : "K C", "non-dropping-particle" : "", "parse-names" : false, "suffix" : "" }, { "dropping-particle" : "", "family" : "Luk", "given" : "Keith D K", "non-dropping-particle" : "", "parse-names" : false, "suffix" : "" } ], "container-title" : "Spine", "id" : "ITEM-1", "issue" : "5", "issued" : { "date-parts" : [ [ "2012", "3", "1" ] ] }, "page" : "E297-302", "title" : "Anterior approach to cervical spine.", "type" : "article-journal", "volume" : "37" }, "uris" : [ "http://www.mendeley.com/documents/?uuid=bf46fe79-bcaa-4191-9708-6466f74af88d" ] } ], "mendeley" : { "formattedCitation" : "(Cheung, Mak and Luk, 2012)", "manualFormatting" : "Cheung et al., (2012)", "plainTextFormattedCitation" : "(Cheung, Mak and Luk, 2012)", "previouslyFormattedCitation" : "(Cheung, Mak and Luk, 2012)"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Cheung et al., (2012)</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found there was no </w:t>
      </w:r>
      <w:r w:rsidR="000F3911" w:rsidRPr="000F3911">
        <w:rPr>
          <w:rStyle w:val="fontstyle01"/>
          <w:rFonts w:ascii="Times New Roman" w:hAnsi="Times New Roman"/>
          <w:sz w:val="20"/>
          <w:szCs w:val="20"/>
        </w:rPr>
        <w:t>significant difference</w:t>
      </w:r>
      <w:r w:rsidRPr="000F3911">
        <w:rPr>
          <w:rStyle w:val="fontstyle01"/>
          <w:rFonts w:ascii="Times New Roman" w:hAnsi="Times New Roman"/>
          <w:sz w:val="20"/>
          <w:szCs w:val="20"/>
        </w:rPr>
        <w:t xml:space="preserve"> in neurological recovery in patients </w:t>
      </w:r>
      <w:r w:rsidR="000F3911" w:rsidRPr="000F3911">
        <w:rPr>
          <w:rStyle w:val="fontstyle01"/>
          <w:rFonts w:ascii="Times New Roman" w:hAnsi="Times New Roman"/>
          <w:sz w:val="20"/>
          <w:szCs w:val="20"/>
        </w:rPr>
        <w:t>with different</w:t>
      </w:r>
      <w:r w:rsidRPr="000F3911">
        <w:rPr>
          <w:rStyle w:val="fontstyle01"/>
          <w:rFonts w:ascii="Times New Roman" w:hAnsi="Times New Roman"/>
          <w:sz w:val="20"/>
          <w:szCs w:val="20"/>
        </w:rPr>
        <w:t xml:space="preserve"> pre-</w:t>
      </w:r>
      <w:r w:rsidR="000F3911" w:rsidRPr="000F3911">
        <w:rPr>
          <w:rStyle w:val="fontstyle01"/>
          <w:rFonts w:ascii="Times New Roman" w:hAnsi="Times New Roman"/>
          <w:sz w:val="20"/>
          <w:szCs w:val="20"/>
        </w:rPr>
        <w:t>operative durations</w:t>
      </w:r>
      <w:r w:rsidRPr="000F3911">
        <w:rPr>
          <w:rStyle w:val="fontstyle01"/>
          <w:rFonts w:ascii="Times New Roman" w:hAnsi="Times New Roman"/>
          <w:sz w:val="20"/>
          <w:szCs w:val="20"/>
        </w:rPr>
        <w:t xml:space="preserve"> of symptoms.</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Contrary to this result, in a series of long-term results of </w:t>
      </w:r>
      <w:r w:rsidR="000F3911" w:rsidRPr="000F3911">
        <w:rPr>
          <w:rStyle w:val="fontstyle01"/>
          <w:rFonts w:ascii="Times New Roman" w:hAnsi="Times New Roman"/>
          <w:sz w:val="20"/>
          <w:szCs w:val="20"/>
        </w:rPr>
        <w:t>anterior cervical</w:t>
      </w:r>
      <w:r w:rsidRPr="000F3911">
        <w:rPr>
          <w:rStyle w:val="fontstyle01"/>
          <w:rFonts w:ascii="Times New Roman" w:hAnsi="Times New Roman"/>
          <w:sz w:val="20"/>
          <w:szCs w:val="20"/>
        </w:rPr>
        <w:t xml:space="preserve"> spondylosis,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"10.1136/bmjopen-2013-004581", "ISSN" : "2044-6055 (Print)", "PMID" : "25031189", "abstract" : "OBJECTIVE: The aim of this study was to evaluate the efficacy and safety of anterior cervical corpectomy and fusion (ACCF) and anterior cervical discectomy and fusion (ACDF) for treating two-adjacent-level cervical spondylosis myelopathy (CSM). DESIGN: A meta-analysis of the two anterior fusion methods was conducted. The electronic databases of PubMed, the Cochrane Central Register of Controlled Trials, ScienceDirect, CNKI, WANFANG DATA and CQVIP were searched. Quality assessment of the included studies was evaluated using the Cochrane Risk of Bias Tool and the Methodological Index for Non-Randomised Studies criteria. Pooled risk ratios of dichotomous outcomes and standardised mean differences (SMDs) of continuous outcomes were generated. Using the chi(2) and I(2) tests, the statistical heterogeneity was assessed. Subgroup and sensitivity analyses were also performed. PARTICIPANTS: Nine eligible trials with a total of 631 patients and a male-to-female ratio of 1.38:1 were included in this meta-analysis. INCLUSION CRITERIA: Randomised controlled trials (RCTs) and non-randomised controlled trials that adopted ACCF and ACDF to treat two-adjacent-level CSM were included. RESULTS: No significant differences were identified between the two groups regarding hospital stay, the Japanese Orthopaedic Association (JOA) score, visual analogue scale (VAS) scores for neck and arm pain, total cervical range of motion (ROM), fusion ROM, fusion rate, adjacent-level ossification and complications, while ACDF had significantly less bleeding (SMD=1.14, 95% CI (0.74 to 1.53)); a shorter operation time (SMD=1.13, 95% CI (0.82 to 1.45)); greater cervical lordosis, total cervical (SMD=-2.95, 95% CI (-4.79 to -1.12)) and fused segment (SMD=-2.24, 95% CI (-3.31 to -1.17)); higher segmental height (SMD=-0.68, 95% CI (-1.03 to -0.34)) and less graft subsidence (SMD=0.40, 95% CI (0.06 to 0.75)) compared to ACCF. CONCLUSIONS: The results suggested that ACDF has more advantages compared to ACCF. However, additional high-quality RCTs and a longer follow-up duration are needed.", "author" : [ { "dropping-particle" : "", "family" : "Huang", "given" : "Zhe-Yu", "non-dropping-particle" : "", "parse-names" : false, "suffix" : "" }, { "dropping-particle" : "", "family" : "Wu", "given" : "Ai-Min", "non-dropping-particle" : "", "parse-names" : false, "suffix" : "" }, { "dropping-particle" : "", "family" : "Li", "given" : "Qing-Long", "non-dropping-particle" : "", "parse-names" : false, "suffix" : "" }, { "dropping-particle" : "", "family" : "Lei", "given" : "Tao", "non-dropping-particle" : "", "parse-names" : false, "suffix" : "" }, { "dropping-particle" : "", "family" : "Wang", "given" : "Kang-Yi", "non-dropping-particle" : "", "parse-names" : false, "suffix" : "" }, { "dropping-particle" : "", "family" : "Xu", "given" : "Hua-Zi", "non-dropping-particle" : "", "parse-names" : false, "suffix" : "" }, { "dropping-particle" : "", "family" : "Ni", "given" : "Wen-Fei", "non-dropping-particle" : "", "parse-names" : false, "suffix" : "" } ], "container-title" : "BMJ open", "id" : "ITEM-1", "issue" : "7", "issued" : { "date-parts" : [ [ "2014", "7" ] ] }, "language" : "eng", "page" : "e004581", "publisher-place" : "England", "title" : "Comparison of two anterior fusion methods in two-level cervical spondylosis myelopathy: a meta-analysis.", "type" : "article-journal", "volume" : "4" }, "uris" : [ "http://www.mendeley.com/documents/?uuid=c04c1ca1-0f5d-403c-b519-dc8b347572ae" ] } ], "mendeley" : { "formattedCitation" : "(Huang &lt;i&gt;et al.&lt;/i&gt;, 2014)", "manualFormatting" : "Huang et al., (2014)", "plainTextFormattedCitation" : "(Huang et al., 2014)", "previouslyFormattedCitation" : "(Huang &lt;i&gt;et al.&lt;/i&gt;, 2014)"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Huang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(2014)</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demonstrated that patients with</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a longer </w:t>
      </w:r>
      <w:r w:rsidRPr="000F3911">
        <w:rPr>
          <w:rStyle w:val="fontstyle01"/>
          <w:rFonts w:ascii="Times New Roman" w:hAnsi="Times New Roman"/>
          <w:sz w:val="20"/>
          <w:szCs w:val="20"/>
        </w:rPr>
        <w:lastRenderedPageBreak/>
        <w:t>duration of symptoms had inferior neurological recovery.</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In the study conducted by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"ITEM-1",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"mendeley" : { "formattedCitation" : "(Han &lt;i&gt;et al.&lt;/i&gt;, 2014)", "manualFormatting" : "Han et al., (2014)", "plainTextFormattedCitation" : "(Han et al., 2014)", "previouslyFormattedCitation" : "(Han &lt;i&gt;et al.&lt;/i&gt;, 2014)"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 xml:space="preserve">Han </w:t>
      </w:r>
      <w:r w:rsidRPr="000F3911">
        <w:rPr>
          <w:rStyle w:val="fontstyle01"/>
          <w:rFonts w:ascii="Times New Roman" w:hAnsi="Times New Roman"/>
          <w:b/>
          <w:bCs/>
          <w:i/>
          <w:noProof/>
          <w:sz w:val="20"/>
          <w:szCs w:val="20"/>
        </w:rPr>
        <w:t>et al.</w:t>
      </w:r>
      <w:r w:rsidRPr="000F3911">
        <w:rPr>
          <w:rStyle w:val="fontstyle01"/>
          <w:rFonts w:ascii="Times New Roman" w:hAnsi="Times New Roman"/>
          <w:b/>
          <w:bCs/>
          <w:noProof/>
          <w:sz w:val="20"/>
          <w:szCs w:val="20"/>
        </w:rPr>
        <w:t>, (2014)</w:t>
      </w:r>
      <w:r w:rsidR="00F105E2" w:rsidRPr="000F3911">
        <w:rPr>
          <w:rStyle w:val="fontstyle01"/>
          <w:rFonts w:ascii="Times New Roman" w:hAnsi="Times New Roman"/>
          <w:b/>
          <w:bCs/>
          <w:sz w:val="20"/>
          <w:szCs w:val="20"/>
        </w:rPr>
        <w:fldChar w:fldCharType="end"/>
      </w:r>
      <w:r w:rsidR="000F3911">
        <w:rPr>
          <w:rStyle w:val="fontstyle01"/>
          <w:rFonts w:ascii="Times New Roman" w:eastAsiaTheme="minorEastAsia" w:hAnsi="Times New Roman" w:hint="eastAsia"/>
          <w:b/>
          <w:bCs/>
          <w:sz w:val="20"/>
          <w:szCs w:val="20"/>
          <w:lang w:eastAsia="zh-CN"/>
        </w:rPr>
        <w:t xml:space="preserve"> </w:t>
      </w:r>
      <w:r w:rsidRPr="000F3911">
        <w:rPr>
          <w:rStyle w:val="fontstyle01"/>
          <w:rFonts w:ascii="Times New Roman" w:hAnsi="Times New Roman"/>
          <w:sz w:val="20"/>
          <w:szCs w:val="20"/>
        </w:rPr>
        <w:t>there was a statistically significant negative</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correlation between the recovery rates and the delay time before surgery</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with recovery rates below 50% in the patients with delay time more than 12months with high correlation coefficient.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Comparing the results of this study with </w:t>
      </w:r>
      <w:r w:rsidRPr="000F3911">
        <w:rPr>
          <w:rStyle w:val="fontstyle21"/>
          <w:rFonts w:ascii="Times New Roman" w:hAnsi="Times New Roman"/>
          <w:sz w:val="20"/>
          <w:szCs w:val="20"/>
        </w:rPr>
        <w:t xml:space="preserve">Uribe </w:t>
      </w:r>
      <w:r w:rsidRPr="000F3911">
        <w:rPr>
          <w:rStyle w:val="fontstyle01"/>
          <w:rFonts w:ascii="Times New Roman" w:hAnsi="Times New Roman"/>
          <w:sz w:val="20"/>
          <w:szCs w:val="20"/>
        </w:rPr>
        <w:t xml:space="preserve">et al </w:t>
      </w:r>
      <w:r w:rsidRPr="000F3911">
        <w:rPr>
          <w:rStyle w:val="fontstyle21"/>
          <w:rFonts w:ascii="Times New Roman" w:hAnsi="Times New Roman"/>
          <w:sz w:val="20"/>
          <w:szCs w:val="20"/>
        </w:rPr>
        <w:t>2009</w:t>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demonstrated that similar outcomes were noted for improvement in neckpain and brachialgia and improvements were maintained at 1 year, 80consecutive patients were treated with either anterior cervical discectomy</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fusion or anterior cervical corpectomy fusion with excellent outcome was</w:t>
      </w:r>
      <w:r w:rsid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reported by 83.3% of the patients in group 1 and 79% in group 2.</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These results were mentioned was not included in our methodology.</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As regarding complications, in the current series, 20% experienced temporary hoarseness of voice, no patient experienced cage extrusion, no esophageal perforations or CSF leak, 30% percent developed postoperative transient dysphagia, and 10% developed superficial wound infection due to non-compliance with postoperative antibiotic administration, these results were acceptable comparable with similar studies and even less than it.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color w:val="000000"/>
          <w:sz w:val="20"/>
          <w:szCs w:val="20"/>
        </w:rPr>
        <w:t xml:space="preserve">In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"ITEM-1",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"mendeley" : { "formattedCitation" : "(Han &lt;i&gt;et al.&lt;/i&gt;, 2014)", "manualFormatting" : "Han et al., (2014)", "plainTextFormattedCitation" : "(Han et al., 2014)", "previouslyFormattedCitation" : "(Han &lt;i&gt;et al.&lt;/i&gt;, 2014)"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Han </w:t>
      </w:r>
      <w:r w:rsidRPr="000F3911">
        <w:rPr>
          <w:b/>
          <w:bCs/>
          <w:i/>
          <w:noProof/>
          <w:color w:val="000000"/>
          <w:sz w:val="20"/>
          <w:szCs w:val="20"/>
        </w:rPr>
        <w:t>et al.</w:t>
      </w:r>
      <w:r w:rsidRPr="000F3911">
        <w:rPr>
          <w:b/>
          <w:bCs/>
          <w:noProof/>
          <w:color w:val="000000"/>
          <w:sz w:val="20"/>
          <w:szCs w:val="20"/>
        </w:rPr>
        <w:t>, (2014)</w:t>
      </w:r>
      <w:r w:rsidR="00F105E2" w:rsidRPr="000F3911">
        <w:rPr>
          <w:b/>
          <w:bCs/>
          <w:color w:val="000000"/>
          <w:sz w:val="20"/>
          <w:szCs w:val="20"/>
        </w:rPr>
        <w:fldChar w:fldCharType="end"/>
      </w:r>
      <w:r w:rsidR="000F3911">
        <w:rPr>
          <w:rFonts w:eastAsiaTheme="minorEastAsia" w:hint="eastAsia"/>
          <w:b/>
          <w:bCs/>
          <w:color w:val="000000"/>
          <w:sz w:val="20"/>
          <w:szCs w:val="20"/>
          <w:lang w:eastAsia="zh-CN"/>
        </w:rPr>
        <w:t xml:space="preserve"> </w:t>
      </w:r>
      <w:r w:rsidRPr="000F3911">
        <w:rPr>
          <w:color w:val="000000"/>
          <w:sz w:val="20"/>
          <w:szCs w:val="20"/>
        </w:rPr>
        <w:t xml:space="preserve">study, they selected the total complications for meta-analysis to evaluate complication-related outcomes, and found a higher incidence of complications with ACCF than with ACDF (OR=0.50, 95% CI=0.35 to 0.73, p=0.0003). Subgroup analysis observed apart from graft related complications is significantly higher in the ACCF group (p=0.005), while other subgroups, namely dysphagia, hoarseness, C5 palsy, infection, cerebral fluid leakage, donor site pain, epidural hematoma and hardware-related complications, were similar between the two groups. There was no heterogeneity between the two groups for total complications for all subgroups (I2=0). </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rStyle w:val="fontstyle01"/>
          <w:rFonts w:ascii="Times New Roman" w:hAnsi="Times New Roman"/>
          <w:sz w:val="20"/>
          <w:szCs w:val="20"/>
        </w:rPr>
        <w:t xml:space="preserve">According to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"10.1055/s-0036-1583944", "ISSN" : "2192-5682 (Print)", "PMID" : "28451514", "abstract" : "STUDY DESIGN: Systematic review and meta-analysis. OBJECTIVE: Anterior cervical diskectomy and fusion (ACDF) is an effective surgical option for patients with cervical radiculopathy, myelopathy, or deformity. Although ACDF is generally safe, dysphagia is a common complication. Despite its high incidence, prolonged postoperative dysphagia is poorly understood; its etiology remains relatively unknown, and its risk factors are widely debated. METHODS: We searched MEDLINE, Scopus, Web of Science, and Embase for studies reporting complications for cervical diskectomy with plating. We recorded dysphagia events from all included studies and calculated effect summary values, 95% confidence intervals (CIs), Q values, and I2 values. RESULTS: Of the 7,780 retrieved articles, 14 met inclusion criteria. The overall dysphagia rate was 8.5% (95% CI 5.7 to 11.3%). The rate of moderate or severe dysphagia was 4.4% (0.4 to 8.4%). Follow-up times of &lt;12, 12 to 24, and &gt;24 months reported rates of 19.9% (6.0 to 33.7%), 7.0% (5.2 to 8.7%), and 7.6% (1.4 to 13.8%), respectively. Studies utilizing the Bazaz Dysphagia Score resulted in an increase in dysphagia diagnosis relative to studies with no outlined criteria (19.8%, 5.9 to 33.7% and 6.9%, 3.7 to 10.0%, respectively), indicating that the criteria used for dysphagia identification are critical. There was no difference in dysphagia rate with the use of autograft versus allograft. CONCLUSIONS: This review represents a comprehensive estimation of the actual incidence of dysphagia across a heterogeneous group of surgeons, patients, and criteria. The classification scheme for dysphagia varied significantly within the literature. To ensure its diagnosis and identification, we recommend the use of a standardized, well-outlined method for dysphagia diagnosis.", "author" : [ { "dropping-particle" : "", "family" : "Shriver", "given" : "Michael F", "non-dropping-particle" : "", "parse-names" : false, "suffix" : "" }, { "dropping-particle" : "", "family" : "Lewis", "given" : "Daniel J", "non-dropping-particle" : "", "parse-names" : false, "suffix" : "" }, { "dropping-particle" : "", "family" : "Kshettry", "given" : "Varun R", "non-dropping-particle" : "", "parse-names" : false, "suffix" : "" }, { "dropping-particle" : "", "family" : "Rosenbaum", "given" : "Benjamin P", "non-dropping-particle" : "", "parse-names" : false, "suffix" : "" }, { "dropping-particle" : "", "family" : "Benzel", "given" : "Edward C", "non-dropping-particle" : "", "parse-names" : false, "suffix" : "" }, { "dropping-particle" : "", "family" : "Mroz", "given" : "Thomas E", "non-dropping-particle" : "", "parse-names" : false, "suffix" : "" } ], "container-title" : "Global spine journal", "id" : "ITEM-1", "issue" : "1", "issued" : { "date-parts" : [ [ "2017", "2" ] ] }, "language" : "eng", "page" : "95-103", "publisher-place" : "England", "title" : "Dysphagia Rates after Anterior Cervical Diskectomy and Fusion: A Systematic Review and Meta-Analysis.", "type" : "article-journal", "volume" : "7" }, "uris" : [ "http://www.mendeley.com/documents/?uuid=045f633d-e144-4363-b1dd-81840c9a11c0" ] } ], "mendeley" : { "formattedCitation" : "(Shriver &lt;i&gt;et al.&lt;/i&gt;, 2017)", "manualFormatting" : "Shriver et al., (2017)", "plainTextFormattedCitation" : "(Shriver et al., 2017)", "previouslyFormattedCitation" : "(Shriver &lt;i&gt;et al.&lt;/i&gt;, 2017)"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Shriver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(2017)</w:t>
      </w:r>
      <w:r w:rsidR="00F105E2" w:rsidRPr="000F3911">
        <w:rPr>
          <w:rStyle w:val="fontstyle21"/>
          <w:rFonts w:ascii="Times New Roman" w:hAnsi="Times New Roman"/>
          <w:sz w:val="20"/>
          <w:szCs w:val="20"/>
        </w:rPr>
        <w:fldChar w:fldCharType="end"/>
      </w:r>
      <w:r w:rsidR="000F3911">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48% of patients will suffer short-term dysphagia, however </w:t>
      </w:r>
      <w:r w:rsidR="00F105E2" w:rsidRPr="000F3911">
        <w:rPr>
          <w:rStyle w:val="fontstyle21"/>
          <w:rFonts w:ascii="Times New Roman" w:hAnsi="Times New Roman"/>
          <w:sz w:val="20"/>
          <w:szCs w:val="20"/>
        </w:rPr>
        <w:fldChar w:fldCharType="begin" w:fldLock="1"/>
      </w:r>
      <w:r w:rsidRPr="000F3911">
        <w:rPr>
          <w:rStyle w:val="fontstyle21"/>
          <w:rFonts w:ascii="Times New Roman" w:hAnsi="Times New Roman"/>
          <w:sz w:val="20"/>
          <w:szCs w:val="20"/>
        </w:rPr>
        <w:instrText>ADDIN CSL_CITATION { "citationItems" : [ { "id" : "ITEM-1", "itemData" : { "DOI" : "10.1007/s00586-007-0398-7", "ISSN" : "0940-6719", "author" : [ { "dropping-particle" : "", "family" : "Koller", "given" : "Heiko", "non-dropping-particle" : "", "parse-names" : false, "suffix" : "" }, { "dropping-particle" : "", "family" : "Hempfing", "given" : "Axel", "non-dropping-particle" : "", "parse-names" : false, "suffix" : "" }, { "dropping-particle" : "", "family" : "Ferraris", "given" : "Luis", "non-dropping-particle" : "", "parse-names" : false, "suffix" : "" }, { "dropping-particle" : "", "family" : "Maier", "given" : "Oliver", "non-dropping-particle" : "", "parse-names" : false, "suffix" : "" }, { "dropping-particle" : "", "family" : "Hitzl", "given" : "Wolfgang", "non-dropping-particle" : "", "parse-names" : false, "suffix" : "" }, { "dropping-particle" : "", "family" : "Metz-Stavenhagen", "given" : "Peter", "non-dropping-particle" : "", "parse-names" : false, "suffix" : "" } ], "container-title" : "European Spine Journal", "id" : "ITEM-1", "issue" : "12", "issued" : { "date-parts" : [ [ "2007", "12", "29" ] ] }, "page" : "2055-2071", "title" : "4- and 5-level anterior fusions of the cervical spine: review of literature and clinical results", "type" : "article-journal", "volume" : "16" }, "uris" : [ "http://www.mendeley.com/documents/?uuid=b9a2dfbb-a120-4460-8adc-67eb99064e9a" ] } ], "mendeley" : { "formattedCitation" : "(Koller &lt;i&gt;et al.&lt;/i&gt;, 2007)", "manualFormatting" : "Koller et al., (2007)", "plainTextFormattedCitation" : "(Koller et al., 2007)", "previouslyFormattedCitation" : "(Koller &lt;i&gt;et al.&lt;/i&gt;, 2007)" }, "properties" : {  }, "schema" : "https://github.com/citation-style-language/schema/raw/master/csl-citation.json" }</w:instrText>
      </w:r>
      <w:r w:rsidR="00F105E2" w:rsidRPr="000F3911">
        <w:rPr>
          <w:rStyle w:val="fontstyle21"/>
          <w:rFonts w:ascii="Times New Roman" w:hAnsi="Times New Roman"/>
          <w:sz w:val="20"/>
          <w:szCs w:val="20"/>
        </w:rPr>
        <w:fldChar w:fldCharType="separate"/>
      </w:r>
      <w:r w:rsidRPr="000F3911">
        <w:rPr>
          <w:rStyle w:val="fontstyle21"/>
          <w:rFonts w:ascii="Times New Roman" w:hAnsi="Times New Roman"/>
          <w:noProof/>
          <w:sz w:val="20"/>
          <w:szCs w:val="20"/>
        </w:rPr>
        <w:t xml:space="preserve">Koller </w:t>
      </w:r>
      <w:r w:rsidRPr="000F3911">
        <w:rPr>
          <w:rStyle w:val="fontstyle21"/>
          <w:rFonts w:ascii="Times New Roman" w:hAnsi="Times New Roman"/>
          <w:i/>
          <w:noProof/>
          <w:sz w:val="20"/>
          <w:szCs w:val="20"/>
        </w:rPr>
        <w:t>et al.</w:t>
      </w:r>
      <w:r w:rsidRPr="000F3911">
        <w:rPr>
          <w:rStyle w:val="fontstyle21"/>
          <w:rFonts w:ascii="Times New Roman" w:hAnsi="Times New Roman"/>
          <w:noProof/>
          <w:sz w:val="20"/>
          <w:szCs w:val="20"/>
        </w:rPr>
        <w:t>, (2007)</w:t>
      </w:r>
      <w:r w:rsidR="00F105E2" w:rsidRPr="000F3911">
        <w:rPr>
          <w:rStyle w:val="fontstyle21"/>
          <w:rFonts w:ascii="Times New Roman" w:hAnsi="Times New Roman"/>
          <w:sz w:val="20"/>
          <w:szCs w:val="20"/>
        </w:rPr>
        <w:fldChar w:fldCharType="end"/>
      </w:r>
      <w:r w:rsidR="00937CCC">
        <w:rPr>
          <w:rStyle w:val="fontstyle2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 xml:space="preserve">observed </w:t>
      </w:r>
      <w:r w:rsidR="000F3911" w:rsidRPr="000F3911">
        <w:rPr>
          <w:rStyle w:val="fontstyle01"/>
          <w:rFonts w:ascii="Times New Roman" w:hAnsi="Times New Roman"/>
          <w:sz w:val="20"/>
          <w:szCs w:val="20"/>
        </w:rPr>
        <w:t>postoperative temporary</w:t>
      </w:r>
      <w:r w:rsidRPr="000F3911">
        <w:rPr>
          <w:rStyle w:val="fontstyle01"/>
          <w:rFonts w:ascii="Times New Roman" w:hAnsi="Times New Roman"/>
          <w:sz w:val="20"/>
          <w:szCs w:val="20"/>
        </w:rPr>
        <w:t xml:space="preserve"> dysphagia in 17.6%, and transient hoarseness in 11.8%, this</w:t>
      </w:r>
      <w:r w:rsidR="00FD358B" w:rsidRP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correlates well with the current study.</w:t>
      </w:r>
    </w:p>
    <w:p w:rsidR="00B503E8" w:rsidRPr="000F3911" w:rsidRDefault="00B503E8" w:rsidP="007A1E52">
      <w:pPr>
        <w:autoSpaceDE w:val="0"/>
        <w:autoSpaceDN w:val="0"/>
        <w:bidi w:val="0"/>
        <w:adjustRightInd w:val="0"/>
        <w:snapToGrid w:val="0"/>
        <w:ind w:firstLine="425"/>
        <w:jc w:val="both"/>
        <w:rPr>
          <w:b/>
          <w:bCs/>
          <w:color w:val="000000"/>
          <w:sz w:val="20"/>
          <w:szCs w:val="20"/>
        </w:rPr>
      </w:pPr>
      <w:r w:rsidRPr="000F3911">
        <w:rPr>
          <w:color w:val="000000"/>
          <w:sz w:val="20"/>
          <w:szCs w:val="20"/>
        </w:rPr>
        <w:t xml:space="preserve">Some studies have reported that post-operative dysphagia occurs in 2–48% of patients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"10.1097/BRS.0b013e3181b204cc", "ISSN" : "1528-1159", "PMID" : "20190625", "abstract" : "STUDY DESIGN Systematic review of cohort studies comparing surgical treatment options for cervical spondylotic myelopathy. OBJECTIVE Compare results of major surgical treatments. SUMMARY OF BACKGROUND DATA Controversy exists between various surgical options for the treatment of multilevel cervical spondylotic myelopathy, including multilevel corpectomy (CORP) and fusion, anterior cervical discectomy and fusion, laminoplasty (LAMP), and laminectomy and fusion (LAMI). A systematic review was done in order to compare results and complications among these procedures. METHODS Systematic review of retrospective cohort studies comparing anterior cervical discectomy and fusion (ACDF), CORP, LAMP, and LAMI from 1980 to January 2008. Separately, a review was performed of case series with greater than 10-year follow-up. RESULTS About 1735 articles found initially, 591 abstracts screened, 36 articles retrieved in full, 11 studies included in review. All comparison studies are retrospective cohort studies. Four studies compared multilevel CORP versus LAMP, 1 study compared LAMI with LAMP, and 2 studies compared ACDF with LAMP. There were 3 case studies with greater than 10-year follow-up. CONCLUSION All approaches yield similar neuro recovery rates. Laminoplasty has a significant incidence of neck pain compared with multilevel CORP. ACDFs increase the rate of adjacent secondary spondylosis compared with LAMP. Multilevel CORP and laminectomy with fusion have a significantly higher rate of graft, instrumentation, and approach related complications. Multilevel CORP and laminectomy with fusion have a significant decrease in range of motion of neck compared with LAMP.", "author" : [ { "dropping-particle" : "", "family" : "Cunningham", "given" : "Mary R A", "non-dropping-particle" : "", "parse-names" : false, "suffix" : "" }, { "dropping-particle" : "", "family" : "Hershman", "given" : "Stuart", "non-dropping-particle" : "", "parse-names" : false, "suffix" : "" }, { "dropping-particle" : "", "family" : "Bendo", "given" : "John", "non-dropping-particle" : "", "parse-names" : false, "suffix" : "" } ], "container-title" : "Spine", "id" : "ITEM-1", "issue" : "5", "issued" : { "date-parts" : [ [ "2010", "3", "1" ] ] }, "page" : "537-43", "title" : "Systematic review of cohort studies comparing surgical treatments for cervical spondylotic myelopathy.", "type" : "article-journal", "volume" : "35" }, "uris" : [ "http://www.mendeley.com/documents/?uuid=016d6c34-791e-4ede-a7a0-5b82b6a582ea" ] }, { "id" : "ITEM-2", "itemData" : { "DOI" : "10.1007/s00586-007-0398-7", "ISSN" : "0940-6719", "author" : [ { "dropping-particle" : "", "family" : "Koller", "given" : "Heiko", "non-dropping-particle" : "", "parse-names" : false, "suffix" : "" }, { "dropping-particle" : "", "family" : "Hempfing", "given" : "Axel", "non-dropping-particle" : "", "parse-names" : false, "suffix" : "" }, { "dropping-particle" : "", "family" : "Ferraris", "given" : "Luis", "non-dropping-particle" : "", "parse-names" : false, "suffix" : "" }, { "dropping-particle" : "", "family" : "Maier", "given" : "Oliver", "non-dropping-particle" : "", "parse-names" : false, "suffix" : "" }, { "dropping-particle" : "", "family" : "Hitzl", "given" : "Wolfgang", "non-dropping-particle" : "", "parse-names" : false, "suffix" : "" }, { "dropping-particle" : "", "family" : "Metz-Stavenhagen", "given" : "Peter", "non-dropping-particle" : "", "parse-names" : false, "suffix" : "" } ], "container-title" : "European Spine Journal", "id" : "ITEM-2", "issue" : "12", "issued" : { "date-parts" : [ [ "2007", "12", "29" ] ] }, "page" : "2055-2071", "title" : "4- and 5-level anterior fusions of the cervical spine: review of literature and clinical results", "type" : "article-journal", "volume" : "16" }, "uris" : [ "http://www.mendeley.com/documents/?uuid=b9a2dfbb-a120-4460-8adc-67eb99064e9a" ] } ], "mendeley" : { "formattedCitation" : "(Koller &lt;i&gt;et al.&lt;/i&gt;, 2007; Cunningham, Hershman and Bendo, 2010a)", "manualFormatting" : "(Koller et al., 2007; Cunningham, Hershman and Bendo, 2010)", "plainTextFormattedCitation" : "(Koller et al., 2007; Cunningham, Hershman and Bendo, 2010a)", "previouslyFormattedCitation" : "(Koller &lt;i&gt;et al.&lt;/i&gt;, 2007; Cunningham, Hershman and Bendo, 2010a)"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(Koller </w:t>
      </w:r>
      <w:r w:rsidRPr="000F3911">
        <w:rPr>
          <w:b/>
          <w:bCs/>
          <w:i/>
          <w:noProof/>
          <w:color w:val="000000"/>
          <w:sz w:val="20"/>
          <w:szCs w:val="20"/>
        </w:rPr>
        <w:t>et al.</w:t>
      </w:r>
      <w:r w:rsidRPr="000F3911">
        <w:rPr>
          <w:b/>
          <w:bCs/>
          <w:noProof/>
          <w:color w:val="000000"/>
          <w:sz w:val="20"/>
          <w:szCs w:val="20"/>
        </w:rPr>
        <w:t>, 2007; Cunningham, Hershman and Bendo, 2010)</w:t>
      </w:r>
      <w:r w:rsidR="00F105E2" w:rsidRPr="000F3911">
        <w:rPr>
          <w:b/>
          <w:bCs/>
          <w:color w:val="000000"/>
          <w:sz w:val="20"/>
          <w:szCs w:val="20"/>
        </w:rPr>
        <w:fldChar w:fldCharType="end"/>
      </w:r>
      <w:r w:rsidRPr="000F3911">
        <w:rPr>
          <w:b/>
          <w:bCs/>
          <w:color w:val="000000"/>
          <w:sz w:val="20"/>
          <w:szCs w:val="20"/>
        </w:rPr>
        <w:t>.</w:t>
      </w:r>
    </w:p>
    <w:p w:rsidR="00B503E8" w:rsidRPr="000F3911" w:rsidRDefault="00B503E8" w:rsidP="007A1E52">
      <w:pPr>
        <w:autoSpaceDE w:val="0"/>
        <w:autoSpaceDN w:val="0"/>
        <w:bidi w:val="0"/>
        <w:adjustRightInd w:val="0"/>
        <w:snapToGrid w:val="0"/>
        <w:ind w:firstLine="425"/>
        <w:jc w:val="both"/>
        <w:rPr>
          <w:rStyle w:val="fontstyle01"/>
          <w:rFonts w:ascii="Times New Roman" w:hAnsi="Times New Roman"/>
          <w:sz w:val="20"/>
          <w:szCs w:val="20"/>
        </w:rPr>
      </w:pPr>
      <w:r w:rsidRPr="000F3911">
        <w:rPr>
          <w:color w:val="000000"/>
          <w:sz w:val="20"/>
          <w:szCs w:val="20"/>
        </w:rPr>
        <w:t xml:space="preserve">There were similar rates of dysphagia and hoarseness between the two groups in this meta-analysis; and they are the most common sequelae, these symptoms are frequently transient. The etiology of dysphagia may be multifactorial, including </w:t>
      </w:r>
      <w:r w:rsidRPr="000F3911">
        <w:rPr>
          <w:color w:val="000000"/>
          <w:sz w:val="20"/>
          <w:szCs w:val="20"/>
        </w:rPr>
        <w:lastRenderedPageBreak/>
        <w:t xml:space="preserve">hematoma formation and prolonged retraction and denervation of the upper esophagus by injury to the pharyngeal plexus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"10.1007/s00586-009-0897-9", "ISSN" : "1432-0932", "PMID" : "19214597", "abstract" : "Retrospective comparative study of 80 consecutive patients treated with either anterior cervical discectomy fusion (ACDF) or anterior cervical corpectomy fusion (ACCF) for multi-level cervical spondylosis. To compare clinical outcome, fusion rates, and complications of anterior cervical reconstruction of multi-level ACDF and single-/multi-level ACCF performed using titanium mesh cages (TMCs) filled with autograft and anterior cervical plates (ACPs). Reconstruction of the cervical spine after discectomy or corpectomy with titanium cages filled with autograft has become an acceptable alternative to both allograft and autograft; however, there is no data comparing the outcome of multi-level ACDF and single-/multi-level ACCF using this reconstruction. We evaluated 80 consecutive patients who underwent surgery for the treatment of multi-level cervical spondylosis at our institution from 1998 to 2001. In this series, 42 patients underwent multi-level ACDF (Group 1) and 38 patients underwent ACCF (Group 2). Interbody TMCs and local autograft bone with ACPs were used in both procedures. Medical records were reviewed to assess outcome. Clinical outcome was measured by Odom's criteria. Operative time and blood loss were noted. Radiographs were obtained at 6 and 12 weeks, 6 months, 1 year, and 2 years (if necessary). Early hardware failures and pseudarthroses were noted. Cervical sagittal curvature was measured by Ishihara's index at 1 year. Group 1 had a mean age 46.2 years (range 35-60 years). Group 2 had a mean age 50.1 years (range 35-70 years).The operative time was significantly lower (P &lt; 0.001) and blood loss significantly higher (P &lt; 0.001) in Group 2 than in Group 1. At a minimum of 1 year follow up, patients in both groups had equivalent improvement in their clinical symptoms. The fusion rates for Group 1 were 97.6 and 92.1% for Group 2. The rates of early hardware failure were higher in Group 2 (2.6%) than in Group 1 (0%). The fusion rates for Group 1 were not significantly higher than Group 2 (P &gt; 0.28). There was one patient in Group 1 and 2 patients in Group 2 with pseudarthroses. Complication rates in Group 2 were not significantly higher (P &gt; 0.341). Cervical lordosis was well-maintained (80%) in both groups. Both multi-level ACDF and ACCF with anterior cervical reconstruction using TMC filled with autograft and ACP for treatment of multi-level cervical spondylosis have high fusion rates and good clinical outcome. However, there is a higher rate o\u2026", "author" : [ { "dropping-particle" : "", "family" : "Uribe", "given" : "Juan S", "non-dropping-particle" : "", "parse-names" : false, "suffix" : "" }, { "dropping-particle" : "", "family" : "Sangala", "given" : "Jaypal Reddy", "non-dropping-particle" : "", "parse-names" : false, "suffix" : "" }, { "dropping-particle" : "", "family" : "Duckworth", "given" : "Edward A M", "non-dropping-particle" : "", "parse-names" : false, "suffix" : "" }, { "dropping-particle" : "", "family" : "Vale", "given" : "Fernando L", "non-dropping-particle" : "", "parse-names" : false, "suffix" : "" } ], "container-title" : "European spine journal : official publication of the European Spine Society, the European Spinal Deformity Society, and the European Section of the Cervical Spine Research Society", "id" : "ITEM-1", "issue" : "5", "issued" : { "date-parts" : [ [ "2009", "5" ] ] }, "page" : "654-62", "title" : "Comparison between anterior cervical discectomy fusion and cervical corpectomy fusion using titanium cages for reconstruction: analysis of outcome and long-term follow-up.", "type" : "article-journal", "volume" : "18" }, "uris" : [ "http://www.mendeley.com/documents/?uuid=ed1b76f6-8163-4817-8564-90c9e630d758" ] } ], "mendeley" : { "formattedCitation" : "(Uribe &lt;i&gt;et al.&lt;/i&gt;, 2009)", "plainTextFormattedCitation" : "(Uribe et al., 2009)", "previouslyFormattedCitation" : "(Uribe &lt;i&gt;et al.&lt;/i&gt;, 2009)"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(Uribe </w:t>
      </w:r>
      <w:r w:rsidRPr="000F3911">
        <w:rPr>
          <w:b/>
          <w:bCs/>
          <w:i/>
          <w:noProof/>
          <w:color w:val="000000"/>
          <w:sz w:val="20"/>
          <w:szCs w:val="20"/>
        </w:rPr>
        <w:t>et al.</w:t>
      </w:r>
      <w:r w:rsidRPr="000F3911">
        <w:rPr>
          <w:b/>
          <w:bCs/>
          <w:noProof/>
          <w:color w:val="000000"/>
          <w:sz w:val="20"/>
          <w:szCs w:val="20"/>
        </w:rPr>
        <w:t>, 2009)</w:t>
      </w:r>
      <w:r w:rsidR="00F105E2" w:rsidRPr="000F3911">
        <w:rPr>
          <w:b/>
          <w:bCs/>
          <w:color w:val="000000"/>
          <w:sz w:val="20"/>
          <w:szCs w:val="20"/>
        </w:rPr>
        <w:fldChar w:fldCharType="end"/>
      </w:r>
      <w:r w:rsidRPr="000F3911">
        <w:rPr>
          <w:color w:val="000000"/>
          <w:sz w:val="20"/>
          <w:szCs w:val="20"/>
        </w:rPr>
        <w:t>. The etiology of post- operative hoarseness has been postulated to be related to direct injury to the recurrent o</w:t>
      </w:r>
      <w:r w:rsidR="00806765" w:rsidRPr="000F3911">
        <w:rPr>
          <w:color w:val="000000"/>
          <w:sz w:val="20"/>
          <w:szCs w:val="20"/>
        </w:rPr>
        <w:t>r superior laryngeal nerves.</w:t>
      </w:r>
      <w:r w:rsidR="00806765" w:rsidRPr="000F3911">
        <w:rPr>
          <w:rStyle w:val="fontstyle01"/>
          <w:rFonts w:ascii="Times New Roman" w:hAnsi="Times New Roman"/>
          <w:sz w:val="20"/>
          <w:szCs w:val="20"/>
        </w:rPr>
        <w:t xml:space="preserve"> Although</w:t>
      </w:r>
      <w:r w:rsidRPr="000F3911">
        <w:rPr>
          <w:rStyle w:val="fontstyle01"/>
          <w:rFonts w:ascii="Times New Roman" w:hAnsi="Times New Roman"/>
          <w:sz w:val="20"/>
          <w:szCs w:val="20"/>
        </w:rPr>
        <w:t xml:space="preserve"> no patient in our series developed cerebrospinal fluid leak</w:t>
      </w:r>
      <w:r w:rsidR="007A1E52" w:rsidRPr="000F3911">
        <w:rPr>
          <w:rStyle w:val="fontstyle01"/>
          <w:rFonts w:ascii="Times New Roman" w:hAnsi="Times New Roman"/>
          <w:sz w:val="20"/>
          <w:szCs w:val="20"/>
        </w:rPr>
        <w:t>, s</w:t>
      </w:r>
      <w:r w:rsidRPr="000F3911">
        <w:rPr>
          <w:rStyle w:val="fontstyle01"/>
          <w:rFonts w:ascii="Times New Roman" w:hAnsi="Times New Roman"/>
          <w:sz w:val="20"/>
          <w:szCs w:val="20"/>
        </w:rPr>
        <w:t>everal published reports describe this problem in corpectomies and were</w:t>
      </w:r>
      <w:r w:rsidR="007A1E52" w:rsidRPr="000F3911">
        <w:rPr>
          <w:rStyle w:val="fontstyle01"/>
          <w:rFonts w:ascii="Times New Roman" w:eastAsiaTheme="minorEastAsia" w:hAnsi="Times New Roman" w:hint="eastAsia"/>
          <w:sz w:val="20"/>
          <w:szCs w:val="20"/>
          <w:lang w:eastAsia="zh-CN"/>
        </w:rPr>
        <w:t xml:space="preserve"> </w:t>
      </w:r>
      <w:r w:rsidRPr="000F3911">
        <w:rPr>
          <w:rStyle w:val="fontstyle01"/>
          <w:rFonts w:ascii="Times New Roman" w:hAnsi="Times New Roman"/>
          <w:sz w:val="20"/>
          <w:szCs w:val="20"/>
        </w:rPr>
        <w:t>associated with severe spondylosis, multiple re-operations, or ossifiedposterior longitudinal ligament (OPLL) (</w:t>
      </w:r>
      <w:r w:rsidR="00F105E2" w:rsidRPr="000F3911">
        <w:rPr>
          <w:rStyle w:val="fontstyle01"/>
          <w:rFonts w:ascii="Times New Roman" w:hAnsi="Times New Roman"/>
          <w:b/>
          <w:bCs/>
          <w:sz w:val="20"/>
          <w:szCs w:val="20"/>
        </w:rPr>
        <w:fldChar w:fldCharType="begin" w:fldLock="1"/>
      </w:r>
      <w:r w:rsidRPr="000F3911">
        <w:rPr>
          <w:rStyle w:val="fontstyle01"/>
          <w:rFonts w:ascii="Times New Roman" w:hAnsi="Times New Roman"/>
          <w:b/>
          <w:bCs/>
          <w:sz w:val="20"/>
          <w:szCs w:val="20"/>
        </w:rPr>
        <w:instrText>ADDIN CSL_CITATION { "citationItems" : [ { "id" : "ITEM-1", "itemData" : { "DOI" : "10.1097/BRS.0b013e318195d245", "ISBN" : "0362-2436", "ISSN" : "0362-2436", "PMID" : "19247170", "abstract" : "STUDY DESIGN: Retrospective.OBJECTIVE: To study the incidence of intraoperative cerebrospinal fluid (CSF) leak in patients with ossified posterior longitudinal ligament (OPLL) undergoing central cervical corpectomy (CC) and to describe a reliable technique for treating the leak after CC.SUMMARY OF BACKGROUND DATA: The rate of dural tear after CC is higher in patients with OPLL compared to other causes of cervical spinal stenosis. Various techniques have been described to deal with dural tears with CSF leak in OPLL. We assessed the efficacy of the repair technique used to deal with this complication in our patients with OPLL who had undergone CC.METHODS: A retrospective study was performed of all patients diagnosed with OPLL (n = 144) who had undergone CC between July 1992 and June 2007 (15 years). The dural defect was repaired with an onlay graft of crushed muscle/fascia and a layer of gelatin sponge. Bed rest and a lumbar subarachnoid drain were used for 5 days after surgery.RESULTS: Intraoperative CSF leak was noted in 9 patients (6.3%). The dural defects ranged in size from a few mm to about 15 mm (10-75 mm). All patients had a successful repair with no patient requiring reoperation for the CSF leak.CONCLUSION: Intraoperative CSF leak was encountered in 6.3% of patients undergoing CC for OPLL. A successful repair was achieved using fascial graft, gelatin sponge, lumbar CSF drainage, and bed rest.", "author" : [ { "dropping-particle" : "", "family" : "Joseph", "given" : "Vivek", "non-dropping-particle" : "", "parse-names" : false, "suffix" : "" }, { "dropping-particle" : "", "family" : "Kumar", "given" : "G Samson Sujit", "non-dropping-particle" : "", "parse-names" : false, "suffix" : "" }, { "dropping-particle" : "", "family" : "Rajshekhar", "given" : "Vedantam", "non-dropping-particle" : "", "parse-names" : false, "suffix" : "" } ], "container-title" : "Spine", "id" : "ITEM-1", "issue" : "5", "issued" : { "date-parts" : [ [ "2009" ] ] }, "page" : "491-494", "title" : "Cerebrospinal fluid leak during cervical corpectomy for ossified posterior longitudinal ligament: incidence, management, and outcome", "type" : "article-journal", "volume" : "34" }, "uris" : [ "http://www.mendeley.com/documents/?uuid=04c881b3-ae58-4eb6-bd6f-be311e95761c" ] } ], "mendeley" : { "formattedCitation" : "(Joseph, Kumar and Rajshekhar, 2009)", "manualFormatting" : "Joseph et al., (2009)", "plainTextFormattedCitation" : "(Joseph, Kumar and Rajshekhar, 2009)", "previouslyFormattedCitation" : "(Joseph, Kumar and Rajshekhar, 2009)" }, "properties" : {  }, "schema" : "https://github.com/citation-style-language/schema/raw/master/csl-citation.json" }</w:instrText>
      </w:r>
      <w:r w:rsidR="00F105E2" w:rsidRPr="000F3911">
        <w:rPr>
          <w:rStyle w:val="fontstyle01"/>
          <w:rFonts w:ascii="Times New Roman" w:hAnsi="Times New Roman"/>
          <w:b/>
          <w:bCs/>
          <w:sz w:val="20"/>
          <w:szCs w:val="20"/>
        </w:rPr>
        <w:fldChar w:fldCharType="separate"/>
      </w:r>
      <w:r w:rsidRPr="000F3911">
        <w:rPr>
          <w:rStyle w:val="fontstyle01"/>
          <w:rFonts w:ascii="Times New Roman" w:hAnsi="Times New Roman"/>
          <w:b/>
          <w:bCs/>
          <w:noProof/>
          <w:sz w:val="20"/>
          <w:szCs w:val="20"/>
        </w:rPr>
        <w:t>Joseph et al., 2009)</w:t>
      </w:r>
      <w:r w:rsidR="00F105E2" w:rsidRPr="000F3911">
        <w:rPr>
          <w:rStyle w:val="fontstyle01"/>
          <w:rFonts w:ascii="Times New Roman" w:hAnsi="Times New Roman"/>
          <w:b/>
          <w:bCs/>
          <w:sz w:val="20"/>
          <w:szCs w:val="20"/>
        </w:rPr>
        <w:fldChar w:fldCharType="end"/>
      </w:r>
      <w:r w:rsidRPr="000F3911">
        <w:rPr>
          <w:rStyle w:val="fontstyle01"/>
          <w:rFonts w:ascii="Times New Roman" w:hAnsi="Times New Roman"/>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Considering the most significantly different complications were graft-related, this seemed to be due to technical reasons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"10.1177/1941738115610753", "ISSN" : "1941-7381", "PMID" : "26502187", "abstract" : "CONTEXT Currently, there is a national focus on establishing and disseminating standardized guidelines for return to play for athletes at all levels of competition. As more data become available, protocols and guidelines are being refined and implemented to assist physicians, coaches, trainers, players, and parents in making decisions about return to play. To date, no standardized criteria for returning to play exist for injuries to the spine. EVIDENCE ACQUISITION Electronic databases including PubMed and MEDLINE and professional orthopaedic, neurosurgical, and spine organizational websites were reviewed between 1980 and 2015. STUDY DESIGN Clinical review. LEVEL OF EVIDENCE Level 4. RESULTS Although clinical guidelines have been published for return to play after spine injury, they are almost exclusively derived from expert opinion and clinical experience rather than from well-designed studies. Furthermore, recommendations differ and vary depending on anatomic location, type of sport, and surgery performed. CONCLUSION Despite a lack of consensus and specific recommendations, there is universal agreement that athletes should be pain free, completely neurologically intact, and have full strength and range of motion before returning to play after spinal injury.", "author" : [ { "dropping-particle" : "", "family" : "Huang", "given" : "Philip", "non-dropping-particle" : "", "parse-names" : false, "suffix" : "" }, { "dropping-particle" : "", "family" : "Anissipour", "given" : "Alireza", "non-dropping-particle" : "", "parse-names" : false, "suffix" : "" }, { "dropping-particle" : "", "family" : "McGee", "given" : "William", "non-dropping-particle" : "", "parse-names" : false, "suffix" : "" }, { "dropping-particle" : "", "family" : "Lemak", "given" : "Lawrence", "non-dropping-particle" : "", "parse-names" : false, "suffix" : "" } ], "container-title" : "Sports Health: A Multidisciplinary Approach", "id" : "ITEM-1", "issue" : "1", "issued" : { "date-parts" : [ [ "2016" ] ] }, "page" : "19-25", "title" : "Return-to-Play Recommendations After Cervical, Thoracic, and Lumbar Spine Injuries", "type" : "article-journal", "volume" : "8" }, "uris" : [ "http://www.mendeley.com/documents/?uuid=642c824c-9d23-4196-a4ca-70b2bb553939" ] }, { "id" : "ITEM-2",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"ITEM-2",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"id" : "ITEM-3", "itemData" : { "DOI" : "10.1097/MD.0000000000005437", "ISSN" : "1536-5964 (Electronic)", "PMID" : "27930523", "abstract" : "BACKGROUND: Both anterior cervical discectomy and fusion (ACDF) and anterior cervical corpectomy and fusion (ACCF) are used to treat multilevel cervical spondylotic myelopathy (mCSM); however, which one is better treatment for mCSM remains considerable controversy. A meta-analysis was performed to compare clinical outcomes, radiographic outcomes, and surgical outcomes between ACDF and ACCF in treatment for mCSM. METHODS: An extensive search of literature was performed in Pubmed/MEDLINE, Embase, the Cochrane library, CNKI, and WANFANG databases on ACDF versus ACCF treatment for mCSM from January 2011 to August 2016. The following variables were extracted: length of hospital stay, blood loss, operation time, Japanese Orthopedic Association (JOA) scores, Neck Disability Index (NDI) score, fusion rate, Cobb angles of C2 to C7, dysphagia, hoarseness, C5 palsy, infection, cerebral fluid leakage, donor site pain, epidural hematoma, graft subsidence, graft dislodgment, pseudoarthrosis, and total complications. Data analysis was conducted with RevMan 5.3 and STATA 12.0. RESULTS: A total of 8 studies containing 878 patients were included in our study. The results showed that ACDF is better than ACCF in the angle of C2 to C7 at the final follow-up (P &lt; 0.00001, standardized mean difference = 4.76 [3.48, 6.03]; heterogeneity: P = 0.17, I = 43%), C5 plasy (P = 0.02, odds ratio [OR] 0.42, 95% confidence interval [CI] 0.21, 0.86; heterogeneity: P = 0.52, I = 0%), blood loss (P &lt; 0.00001, standardized mean difference = -53.12, 95% CI -64.61, -41.64; heterogeneity: P = 0.29, I = 20%), fusion rate (P = 0.04, OR 2.54, 95% CI 1.05, 6.11; heterogeneity: P = 0.29, I = 20%), graft subsidence (P = 0.004, OR 0.11, 95% CI 0.02, 0.48; heterogeneity: P = 0.94, I = 0%), and total complications (P = 0.0009, OR 0.56, 95% CI 0.40, 0.79; heterogeneity: P = 0.29, I = 18%).However, there are no significant differences in length of hospital stay, operation time, JOA scores, NDI scores, preoperative angle of C2 to C7, dysphagia, hoarseness, infection, cerebral fluid leakage, donor site pain, epidural hematoma, graft dislodgment, and pseudoarthrosis (all P &gt; 0.05). CONCLUSIONS: Based on our meta-analysis, our results suggest that both ACDF and ACCF are good plans in clinical outcomes; however, ACDF is a better choice in radiographic outcomes and total complications for the treatment of multilevel CSM.", "author" : [ { "dropping-particle" : "", "family" : "Wang", "given" : "Tao", "non-dropping-particle" : "", "parse-names" : false, "suffix" : "" }, { "dropping-particle" : "", "family" : "Wang", "given" : "Hui", "non-dropping-particle" : "", "parse-names" : false, "suffix" : "" }, { "dropping-particle" : "", "family" : "Liu", "given" : "Sen", "non-dropping-particle" : "", "parse-names" : false, "suffix" : "" }, { "dropping-particle" : "", "family" : "An", "given" : "Huang-Da", "non-dropping-particle" : "", "parse-names" : false, "suffix" : "" }, { "dropping-particle" : "", "family" : "Liu", "given" : "Huan", "non-dropping-particle" : "", "parse-names" : false, "suffix" : "" }, { "dropping-particle" : "", "family" : "Ding", "given" : "Wen-Yuan", "non-dropping-particle" : "", "parse-names" : false, "suffix" : "" } ], "container-title" : "Medicine", "id" : "ITEM-3", "issue" : "49", "issued" : { "date-parts" : [ [ "2016", "12" ] ] }, "language" : "eng", "page" : "e5437", "publisher-place" : "United States", "title" : "Anterior cervical discectomy and fusion versus anterior cervical corpectomy and fusion in multilevel cervical spondylotic myelopathy: A meta-analysis.", "type" : "article-journal", "volume" : "95" }, "uris" : [ "http://www.mendeley.com/documents/?uuid=f9935c9f-f634-419e-8f22-70644650abad" ] } ], "mendeley" : { "formattedCitation" : "(Han &lt;i&gt;et al.&lt;/i&gt;, 2014; Huang &lt;i&gt;et al.&lt;/i&gt;, 2016; Wang &lt;i&gt;et al.&lt;/i&gt;, 2016)", "plainTextFormattedCitation" : "(Han et al., 2014; Huang et al., 2016; Wang et al., 2016)", "previouslyFormattedCitation" : "(Han &lt;i&gt;et al.&lt;/i&gt;, 2014; Huang &lt;i&gt;et al.&lt;/i&gt;, 2016; Wang &lt;i&gt;et al.&lt;/i&gt;, 2016)"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(Han </w:t>
      </w:r>
      <w:r w:rsidRPr="000F3911">
        <w:rPr>
          <w:b/>
          <w:bCs/>
          <w:i/>
          <w:noProof/>
          <w:color w:val="000000"/>
          <w:sz w:val="20"/>
          <w:szCs w:val="20"/>
        </w:rPr>
        <w:t>et al.</w:t>
      </w:r>
      <w:r w:rsidRPr="000F3911">
        <w:rPr>
          <w:b/>
          <w:bCs/>
          <w:noProof/>
          <w:color w:val="000000"/>
          <w:sz w:val="20"/>
          <w:szCs w:val="20"/>
        </w:rPr>
        <w:t xml:space="preserve">, 2014; Huang </w:t>
      </w:r>
      <w:r w:rsidRPr="000F3911">
        <w:rPr>
          <w:b/>
          <w:bCs/>
          <w:i/>
          <w:noProof/>
          <w:color w:val="000000"/>
          <w:sz w:val="20"/>
          <w:szCs w:val="20"/>
        </w:rPr>
        <w:t>et al.</w:t>
      </w:r>
      <w:r w:rsidRPr="000F3911">
        <w:rPr>
          <w:b/>
          <w:bCs/>
          <w:noProof/>
          <w:color w:val="000000"/>
          <w:sz w:val="20"/>
          <w:szCs w:val="20"/>
        </w:rPr>
        <w:t xml:space="preserve">, 2016; Wang </w:t>
      </w:r>
      <w:r w:rsidRPr="000F3911">
        <w:rPr>
          <w:b/>
          <w:bCs/>
          <w:i/>
          <w:noProof/>
          <w:color w:val="000000"/>
          <w:sz w:val="20"/>
          <w:szCs w:val="20"/>
        </w:rPr>
        <w:t>et al.</w:t>
      </w:r>
      <w:r w:rsidRPr="000F3911">
        <w:rPr>
          <w:b/>
          <w:bCs/>
          <w:noProof/>
          <w:color w:val="000000"/>
          <w:sz w:val="20"/>
          <w:szCs w:val="20"/>
        </w:rPr>
        <w:t>, 2016)</w:t>
      </w:r>
      <w:r w:rsidR="00F105E2" w:rsidRPr="000F3911">
        <w:rPr>
          <w:b/>
          <w:bCs/>
          <w:color w:val="000000"/>
          <w:sz w:val="20"/>
          <w:szCs w:val="20"/>
        </w:rPr>
        <w:fldChar w:fldCharType="end"/>
      </w:r>
      <w:r w:rsidRPr="000F3911">
        <w:rPr>
          <w:color w:val="000000"/>
          <w:sz w:val="20"/>
          <w:szCs w:val="20"/>
        </w:rPr>
        <w:t xml:space="preserve">. Some authors consider that ACDF offers more fixation points to hold the construct rigidly in place, but ACCF provide only two points of fixation. The lack of fixation points may therefore be the reason for the higher graft-related complication rates in the ACCF group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"10.1055/s-0036-1580610", "ISSN" : "2192-5682", "author" : [ { "dropping-particle" : "", "family" : "Tuchman", "given" : "Alexander", "non-dropping-particle" : "", "parse-names" : false, "suffix" : "" }, { "dropping-particle" : "", "family" : "Brodke", "given" : "Darrel S.", "non-dropping-particle" : "", "parse-names" : false, "suffix" : "" }, { "dropping-particle" : "", "family" : "Youssef", "given" : "Jim A.", "non-dropping-particle" : "", "parse-names" : false, "suffix" : "" }, { "dropping-particle" : "", "family" : "Meisel", "given" : "Hans-J\u00f6rg", "non-dropping-particle" : "", "parse-names" : false, "suffix" : "" }, { "dropping-particle" : "", "family" : "Dettori", "given" : "Joseph R.", "non-dropping-particle" : "", "parse-names" : false, "suffix" : "" }, { "dropping-particle" : "", "family" : "Park", "given" : "Jong-Beom", "non-dropping-particle" : "", "parse-names" : false, "suffix" : "" }, { "dropping-particle" : "", "family" : "Yoon", "given" : "S. Tim", "non-dropping-particle" : "", "parse-names" : false, "suffix" : "" }, { "dropping-particle" : "", "family" : "Wang", "given" : "Jeffrey C.", "non-dropping-particle" : "", "parse-names" : false, "suffix" : "" } ], "container-title" : "Global Spine Journal", "id" : "ITEM-1", "issue" : "1", "issued" : { "date-parts" : [ [ "2017", "2", "3" ] ] }, "page" : "59-70", "title" : "Autograft versus Allograft for Cervical Spinal Fusion", "type" : "article-journal", "volume" : "7" }, "uris" : [ "http://www.mendeley.com/documents/?uuid=2bc6be18-b554-4760-83d6-829573846f6b" ] } ], "mendeley" : { "formattedCitation" : "(Tuchman &lt;i&gt;et al.&lt;/i&gt;, 2017)", "plainTextFormattedCitation" : "(Tuchman et al., 2017)", "previouslyFormattedCitation" : "(Tuchman &lt;i&gt;et al.&lt;/i&gt;, 2017)"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(Tuchman </w:t>
      </w:r>
      <w:r w:rsidRPr="000F3911">
        <w:rPr>
          <w:b/>
          <w:bCs/>
          <w:i/>
          <w:noProof/>
          <w:color w:val="000000"/>
          <w:sz w:val="20"/>
          <w:szCs w:val="20"/>
        </w:rPr>
        <w:t>et al.</w:t>
      </w:r>
      <w:r w:rsidRPr="000F3911">
        <w:rPr>
          <w:b/>
          <w:bCs/>
          <w:noProof/>
          <w:color w:val="000000"/>
          <w:sz w:val="20"/>
          <w:szCs w:val="20"/>
        </w:rPr>
        <w:t>, 2017)</w:t>
      </w:r>
      <w:r w:rsidR="00F105E2" w:rsidRPr="000F3911">
        <w:rPr>
          <w:b/>
          <w:bCs/>
          <w:color w:val="000000"/>
          <w:sz w:val="20"/>
          <w:szCs w:val="20"/>
        </w:rPr>
        <w:fldChar w:fldCharType="end"/>
      </w:r>
      <w:r w:rsidRPr="000F3911">
        <w:rPr>
          <w:b/>
          <w:bCs/>
          <w:color w:val="000000"/>
          <w:sz w:val="20"/>
          <w:szCs w:val="20"/>
        </w:rPr>
        <w:t>.</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A meta-analysis was conducted by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"10.1371/journal.pone.0087191", "ISSN" : "1932-6203 (Electronic)", "PMID" : "24489868", "abstract" : "OBJECTIVE: Both anterior cervical discectomy with fusion (ACDF) and anterior cervical corpectomy with fusion (ACCF) are used to treat cervical spondylotic myelopathy (CSM), however, there is considerable controversy as to whether ACDF or ACCF is the optimal treatment for this condition. To compare the clinical outcomes, complications, and surgical trauma between ACDF and ACCF for the treatment of CSM, we conducted a meta-analysis. METHODS: We conducted a comprehensive search in MEDLINE, EMBASE, PubMed, Google Scholar and Cochrane databases, searching for relevant controlled trials up to July 2013 that compared ACDF and ACCF for the treatment of CSM. We performed title and abstract screening and full-text screening independently and in duplicate. A random effects model was used for heterogeneous data; otherwise, a fixed effect model was used to pool data, using mean difference (MD) for continuous outcomes and odds ratio (OR) for dichotomous outcomes. RESULTS: Of 2157 citations examined, 15 articles representing 1372 participants were eligible. Overall, there were significant differences between the two treatment groups for hospital stay (M = -5.60, 95% CI = -7.09 to -4.11), blood loss (MD = -151.35, 95% CI = -253.22 to -49.48), complications (OR = 0.50, 95% CI = 0.35 to 0.73) and increased lordosis of C2-C7 (MD = 3.70, 95% CI = 0.96 to 6.45) and fusion segments angles (MD = 3.38, 95% CI = 2.54 to 4.22). However, there were no significant differences in the operation time (MD = -9.34, 95% CI = -42.99 to 24.31), JOA (MD = 0.24, 95% CI = -0.10 to 0.57), VAS (MD = -0.06, 95% CI = -0.81 to 0.70), NDI (MD = -1.37, 95% CI = -3.17 to 0.43), Odom criteria (OR = 0.88, 95% CI = 0.60 to 1.30) or fusion rate (OR = 1.17, 95% CI = 0.34 to 4.11). CONCLUSIONS: Based on this meta-analysis, although complications and increased lordosis are significantly better in the ACDF group, there is no strong evidence to support the routine use of ACDF over ACCF in CSM.", "author" : [ { "dropping-particle" : "", "family" : "Han", "given" : "Ying-Chao", "non-dropping-particle" : "", "parse-names" : false, "suffix" : "" }, { "dropping-particle" : "", "family" : "Liu", "given" : "Zhu-Qing", "non-dropping-particle" : "", "parse-names" : false, "suffix" : "" }, { "dropping-particle" : "", "family" : "Wang", "given" : "Shan-Jin", "non-dropping-particle" : "", "parse-names" : false, "suffix" : "" }, { "dropping-particle" : "", "family" : "Li", "given" : "Li-Jun", "non-dropping-particle" : "", "parse-names" : false, "suffix" : "" }, { "dropping-particle" : "", "family" : "Tan", "given" : "Jun", "non-dropping-particle" : "", "parse-names" : false, "suffix" : "" } ], "container-title" : "PloS one", "id" : "ITEM-1", "issue" : "1", "issued" : { "date-parts" : [ [ "2014" ] ] }, "language" : "eng", "page" : "e87191", "publisher-place" : "United States", "title" : "Is anterior cervical discectomy and fusion superior to corpectomy and fusion for  treatment of multilevel cervical spondylotic myelopathy? A systemic review and meta-analysis.", "type" : "article-journal", "volume" : "9" }, "uris" : [ "http://www.mendeley.com/documents/?uuid=2be4ffb5-175d-48b4-9780-53286dd3ea52" ] } ], "mendeley" : { "formattedCitation" : "(Han &lt;i&gt;et al.&lt;/i&gt;, 2014)", "manualFormatting" : "Han et al., (2014)", "plainTextFormattedCitation" : "(Han et al., 2014)", "previouslyFormattedCitation" : "(Han &lt;i&gt;et al.&lt;/i&gt;, 2014)"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Han </w:t>
      </w:r>
      <w:r w:rsidRPr="000F3911">
        <w:rPr>
          <w:b/>
          <w:bCs/>
          <w:i/>
          <w:noProof/>
          <w:color w:val="000000"/>
          <w:sz w:val="20"/>
          <w:szCs w:val="20"/>
        </w:rPr>
        <w:t>et al.</w:t>
      </w:r>
      <w:r w:rsidRPr="000F3911">
        <w:rPr>
          <w:b/>
          <w:bCs/>
          <w:noProof/>
          <w:color w:val="000000"/>
          <w:sz w:val="20"/>
          <w:szCs w:val="20"/>
        </w:rPr>
        <w:t>, (2014)</w:t>
      </w:r>
      <w:r w:rsidR="00F105E2" w:rsidRPr="000F3911">
        <w:rPr>
          <w:b/>
          <w:bCs/>
          <w:color w:val="000000"/>
          <w:sz w:val="20"/>
          <w:szCs w:val="20"/>
        </w:rPr>
        <w:fldChar w:fldCharType="end"/>
      </w:r>
      <w:r w:rsidR="000F3911">
        <w:rPr>
          <w:rFonts w:eastAsiaTheme="minorEastAsia" w:hint="eastAsia"/>
          <w:b/>
          <w:bCs/>
          <w:color w:val="000000"/>
          <w:sz w:val="20"/>
          <w:szCs w:val="20"/>
          <w:lang w:eastAsia="zh-CN"/>
        </w:rPr>
        <w:t xml:space="preserve"> </w:t>
      </w:r>
      <w:r w:rsidRPr="000F3911">
        <w:rPr>
          <w:color w:val="000000"/>
          <w:sz w:val="20"/>
          <w:szCs w:val="20"/>
        </w:rPr>
        <w:t xml:space="preserve">to determine whether ACDF is associated with better clinical outcomes compared with ACCF. In that meta-analysis, they used strict eligibility criteria. Although no RCT studies were included in the study, all selected studies were of high quality according to the Newcastle Ottawa Quality Assessment Scale (NOQAS) and the baseline variables were similar. Thus, they considered the same parameters as ours clinical outcomes (hospital stay, JOA, VAS, NDI score and Odom criteria), surgical outcomes (operation time, blood loss, and perioperative complications), and radiographic outcomes (rate of fusion, Cobb angle of C2–C7, and segmental angle) were assessed in the meta-analysis. </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There was a significant difference in hospital stay between ACDF and ACCF. A shorter hospital stay makes ACDF a better proposition than ACCF. In the meta-analysis of JOA, VAS and NDI, scores were similar in the two groups. However, both groups demonstrated a significant post-operative increase in JOA scores and decrease in VAS scores, an increase that was maintained at the final follow-up. There was also no difference in Odom criteria between the two groups. These findings indicate that both groups achieved adequate decompression of the spinal cord and nerve roots that were compressed by herniated discs or osteophytes, and that these patients benefited from reconstruction of the spinal column. The current study was showing same results.</w:t>
      </w:r>
    </w:p>
    <w:p w:rsidR="00B503E8" w:rsidRPr="000F3911" w:rsidRDefault="00B503E8" w:rsidP="007A1E52">
      <w:pPr>
        <w:autoSpaceDE w:val="0"/>
        <w:autoSpaceDN w:val="0"/>
        <w:bidi w:val="0"/>
        <w:adjustRightInd w:val="0"/>
        <w:snapToGrid w:val="0"/>
        <w:ind w:firstLine="425"/>
        <w:jc w:val="both"/>
        <w:rPr>
          <w:color w:val="000000"/>
          <w:sz w:val="20"/>
          <w:szCs w:val="20"/>
        </w:rPr>
      </w:pPr>
      <w:r w:rsidRPr="000F3911">
        <w:rPr>
          <w:color w:val="000000"/>
          <w:sz w:val="20"/>
          <w:szCs w:val="20"/>
        </w:rPr>
        <w:t xml:space="preserve">In this case-series, both the ACDF and ACCF groups had significantly increased lordosis of C2–C7 and fusion segments, but the increase was greater in the ACDF group than in those with ACCF. Some studies have reported that ACDF can provide multiple </w:t>
      </w:r>
      <w:r w:rsidRPr="000F3911">
        <w:rPr>
          <w:color w:val="000000"/>
          <w:sz w:val="20"/>
          <w:szCs w:val="20"/>
        </w:rPr>
        <w:lastRenderedPageBreak/>
        <w:t xml:space="preserve">points of distraction and fixation in addition to the graft and interbody space shaping, and can also restore alignment by pulling the involved vertebral bodies toward the lordotic ventral plate. However, ACCF grafts may straighten the cervical spinal column between the remaining vertebral bodies </w:t>
      </w:r>
      <w:r w:rsidR="00F105E2" w:rsidRPr="000F3911">
        <w:rPr>
          <w:b/>
          <w:bCs/>
          <w:color w:val="000000"/>
          <w:sz w:val="20"/>
          <w:szCs w:val="20"/>
        </w:rPr>
        <w:fldChar w:fldCharType="begin" w:fldLock="1"/>
      </w:r>
      <w:r w:rsidRPr="000F3911">
        <w:rPr>
          <w:b/>
          <w:bCs/>
          <w:color w:val="000000"/>
          <w:sz w:val="20"/>
          <w:szCs w:val="20"/>
        </w:rPr>
        <w:instrText>ADDIN CSL_CITATION { "citationItems" : [ { "id" : "ITEM-1", "itemData" : { "DOI" : "10.1007/s00586-010-1486-7", "ISSN" : "1432-0932 (Electronic)", "PMID" : "20582710", "abstract" : "The objective of the study is to perform a systematic review to compare the clinical outcomes and complications of anterior surgery with posterior surgery for multilevel cervical myelopathy (MCM). MEDLINE, EMBASE databases and other databases were searched for all the relevant original articles published from January 1991 to November 2009 comparing anterior with posterior surgery for MCM. Subgroup analysis was performed according to the follow-up years. The following end points were mainly evaluated: final follow-up JOA (Japanese Orthopaedic Association) scale, recovery rate and complication outcomes. Ten articles fulfilled all inclusion criteria. For multilevel CSM patients, the final follow-up JOA score for the anterior group was significantly higher than the posterior group (p &lt; 0.05, WMD 0.83 [0.24, 1.43]) in the 'follow-up time &lt;/= 5 years' subgroup, but had no significant differences in the 'follow-up time &gt; 5 years' subgroup (p &gt; 0.05). The recovery rate for the anterior group was significantly higher than the posterior group (p &lt; 0.05, WMD 10.08 [1.39, 18.78]) in the 'follow-up time &lt;/= 5 years' subgroup. No study reported the recovery rate for the follow-up time &gt; 5 years. For multilevel OPLL patients, the final follow-up JOA score and recovery rate for the anterior group were both significantly higher than the posterior group in the 'follow-up time &lt;/= 5 years' subgroup (p &lt; 0.05, WMD 2.50 [0.16, 4.85]; p &lt; 0.05, WMD 29.48 [29.09, 29.87], respectively). One study [31] which mean follow-up time was 6 years was enrolled in the 'follow-up time &gt; 5 years' subgroup. The results showed there was no significant difference in final follow-up JOA score and recovery rate between anterior and posterior group for patients with occupying ratio of OPLL &lt;60% (p &gt; 0.05), while in patients with occupying ratio &gt;/= 60%, the final follow-up JOA score and recovery rate of anterior surgery were both superior to that of posterior surgery (p &lt; 0.05). For both multilevel CSM and OPLL patients, the complications for the anterior group were significantly more than the posterior group in the 'follow-up time &lt;/= 5 years' subgroup (p &lt; 0.05, OR 7.33 [2.96, 18.20] for CSM patients; p &lt; 0.05, OR 4.44 [1.80, 10.98] for OPLL patients), but were similar to the posterior group in the 'follow-up time &gt;5 years' subgroup (p &gt; 0.05). In conclusion, anterior surgery had better clinical outcomes and more complications at the early stage after operation for both multilevel CSM and OPL\u2026", "author" : [ { "dropping-particle" : "", "family" : "Liu", "given" : "Tao", "non-dropping-particle" : "", "parse-names" : false, "suffix" : "" }, { "dropping-particle" : "", "family" : "Xu", "given" : "Wen", "non-dropping-particle" : "", "parse-names" : false, "suffix" : "" }, { "dropping-particle" : "", "family" : "Cheng", "given" : "Tao", "non-dropping-particle" : "", "parse-names" : false, "suffix" : "" }, { "dropping-particle" : "", "family" : "Yang", "given" : "Hui-Lin", "non-dropping-particle" : "", "parse-names" : false, "suffix" : "" } ], "container-title" : "European spine journal : official publication of the European Spine Society, the  European Spinal Deformity Society, and the European Section of the Cervical Spine Research Society", "id" : "ITEM-1", "issue" : "2", "issued" : { "date-parts" : [ [ "2011", "2" ] ] }, "language" : "eng", "page" : "224-235", "publisher-place" : "Germany", "title" : "Anterior versus posterior surgery for multilevel cervical myelopathy, which one is better? A systematic review.", "type" : "article-journal", "volume" : "20" }, "uris" : [ "http://www.mendeley.com/documents/?uuid=4dbf24f2-faba-4d80-ac6e-3f7d605dd094" ] } ], "mendeley" : { "formattedCitation" : "(Liu &lt;i&gt;et al.&lt;/i&gt;, 2011)", "plainTextFormattedCitation" : "(Liu et al., 2011)" }, "properties" : {  }, "schema" : "https://github.com/citation-style-language/schema/raw/master/csl-citation.json" }</w:instrText>
      </w:r>
      <w:r w:rsidR="00F105E2" w:rsidRPr="000F3911">
        <w:rPr>
          <w:b/>
          <w:bCs/>
          <w:color w:val="000000"/>
          <w:sz w:val="20"/>
          <w:szCs w:val="20"/>
        </w:rPr>
        <w:fldChar w:fldCharType="separate"/>
      </w:r>
      <w:r w:rsidRPr="000F3911">
        <w:rPr>
          <w:b/>
          <w:bCs/>
          <w:noProof/>
          <w:color w:val="000000"/>
          <w:sz w:val="20"/>
          <w:szCs w:val="20"/>
        </w:rPr>
        <w:t xml:space="preserve">(Liu </w:t>
      </w:r>
      <w:r w:rsidRPr="000F3911">
        <w:rPr>
          <w:b/>
          <w:bCs/>
          <w:i/>
          <w:noProof/>
          <w:color w:val="000000"/>
          <w:sz w:val="20"/>
          <w:szCs w:val="20"/>
        </w:rPr>
        <w:t>et al.</w:t>
      </w:r>
      <w:r w:rsidRPr="000F3911">
        <w:rPr>
          <w:b/>
          <w:bCs/>
          <w:noProof/>
          <w:color w:val="000000"/>
          <w:sz w:val="20"/>
          <w:szCs w:val="20"/>
        </w:rPr>
        <w:t>, 2011)</w:t>
      </w:r>
      <w:r w:rsidR="00F105E2" w:rsidRPr="000F3911">
        <w:rPr>
          <w:b/>
          <w:bCs/>
          <w:color w:val="000000"/>
          <w:sz w:val="20"/>
          <w:szCs w:val="20"/>
        </w:rPr>
        <w:fldChar w:fldCharType="end"/>
      </w:r>
      <w:r w:rsidRPr="000F3911">
        <w:rPr>
          <w:color w:val="000000"/>
          <w:sz w:val="20"/>
          <w:szCs w:val="20"/>
        </w:rPr>
        <w:t xml:space="preserve">. </w:t>
      </w:r>
      <w:r w:rsidR="00806765" w:rsidRPr="000F3911">
        <w:rPr>
          <w:color w:val="000000"/>
          <w:sz w:val="20"/>
          <w:szCs w:val="20"/>
        </w:rPr>
        <w:t>The current</w:t>
      </w:r>
      <w:r w:rsidRPr="000F3911">
        <w:rPr>
          <w:color w:val="000000"/>
          <w:sz w:val="20"/>
          <w:szCs w:val="20"/>
        </w:rPr>
        <w:t xml:space="preserve"> study </w:t>
      </w:r>
      <w:r w:rsidR="00806765" w:rsidRPr="000F3911">
        <w:rPr>
          <w:color w:val="000000"/>
          <w:sz w:val="20"/>
          <w:szCs w:val="20"/>
        </w:rPr>
        <w:t>was showing</w:t>
      </w:r>
      <w:r w:rsidRPr="000F3911">
        <w:rPr>
          <w:color w:val="000000"/>
          <w:sz w:val="20"/>
          <w:szCs w:val="20"/>
        </w:rPr>
        <w:t xml:space="preserve"> same results.</w:t>
      </w:r>
    </w:p>
    <w:p w:rsidR="0075778A" w:rsidRPr="000F3911" w:rsidRDefault="0075778A" w:rsidP="007A1E52">
      <w:pPr>
        <w:bidi w:val="0"/>
        <w:snapToGrid w:val="0"/>
        <w:jc w:val="both"/>
        <w:rPr>
          <w:b/>
          <w:bCs/>
          <w:color w:val="000000"/>
          <w:sz w:val="20"/>
          <w:szCs w:val="20"/>
        </w:rPr>
      </w:pPr>
    </w:p>
    <w:p w:rsidR="00B503E8" w:rsidRPr="000F3911" w:rsidRDefault="0075778A" w:rsidP="007A1E52">
      <w:pPr>
        <w:bidi w:val="0"/>
        <w:snapToGrid w:val="0"/>
        <w:jc w:val="both"/>
        <w:rPr>
          <w:b/>
          <w:bCs/>
          <w:color w:val="000000"/>
          <w:sz w:val="20"/>
          <w:szCs w:val="20"/>
        </w:rPr>
      </w:pPr>
      <w:r w:rsidRPr="000F3911">
        <w:rPr>
          <w:b/>
          <w:bCs/>
          <w:color w:val="000000"/>
          <w:sz w:val="20"/>
          <w:szCs w:val="20"/>
        </w:rPr>
        <w:t>Conclusion</w:t>
      </w:r>
    </w:p>
    <w:p w:rsidR="00B503E8" w:rsidRPr="000F3911" w:rsidRDefault="00B503E8" w:rsidP="007A1E52">
      <w:pPr>
        <w:bidi w:val="0"/>
        <w:snapToGrid w:val="0"/>
        <w:ind w:firstLine="425"/>
        <w:jc w:val="both"/>
        <w:rPr>
          <w:color w:val="000000"/>
          <w:sz w:val="20"/>
          <w:szCs w:val="20"/>
        </w:rPr>
      </w:pPr>
      <w:r w:rsidRPr="000F3911">
        <w:rPr>
          <w:color w:val="000000"/>
          <w:sz w:val="20"/>
          <w:szCs w:val="20"/>
        </w:rPr>
        <w:t>ACCF did not yield superior results than ACDF in management of multilevel CSM, but on the contrary ACDF are superior to ACCF as it has shorter hospital stay and operative time, less blood loss, and increased cervical lordosis. On the light of this ACDF using interbody fusion cage is a better alternative for the surgical management of multilevel CSM.</w:t>
      </w:r>
    </w:p>
    <w:p w:rsidR="0075778A" w:rsidRPr="000F3911" w:rsidRDefault="0075778A" w:rsidP="007A1E52">
      <w:pPr>
        <w:autoSpaceDE w:val="0"/>
        <w:autoSpaceDN w:val="0"/>
        <w:bidi w:val="0"/>
        <w:adjustRightInd w:val="0"/>
        <w:snapToGrid w:val="0"/>
        <w:jc w:val="both"/>
        <w:rPr>
          <w:b/>
          <w:bCs/>
          <w:color w:val="000000"/>
          <w:sz w:val="20"/>
          <w:szCs w:val="20"/>
        </w:rPr>
      </w:pPr>
    </w:p>
    <w:p w:rsidR="00106802" w:rsidRPr="000F3911" w:rsidRDefault="00106802" w:rsidP="007A1E52">
      <w:pPr>
        <w:autoSpaceDE w:val="0"/>
        <w:autoSpaceDN w:val="0"/>
        <w:bidi w:val="0"/>
        <w:adjustRightInd w:val="0"/>
        <w:snapToGrid w:val="0"/>
        <w:jc w:val="both"/>
        <w:rPr>
          <w:b/>
          <w:bCs/>
          <w:color w:val="000000"/>
          <w:sz w:val="20"/>
          <w:szCs w:val="20"/>
        </w:rPr>
      </w:pPr>
      <w:r w:rsidRPr="000F3911">
        <w:rPr>
          <w:b/>
          <w:bCs/>
          <w:color w:val="000000"/>
          <w:sz w:val="20"/>
          <w:szCs w:val="20"/>
        </w:rPr>
        <w:t>References</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Bakhsheshian,</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Mehta,</w:t>
      </w:r>
      <w:r w:rsidR="006244D6" w:rsidRPr="000F3911">
        <w:rPr>
          <w:rFonts w:ascii="Times New Roman" w:eastAsiaTheme="minorHAnsi"/>
          <w:noProof/>
          <w:kern w:val="0"/>
        </w:rPr>
        <w:t xml:space="preserve"> </w:t>
      </w:r>
      <w:r w:rsidRPr="000F3911">
        <w:rPr>
          <w:rFonts w:ascii="Times New Roman" w:eastAsiaTheme="minorHAnsi"/>
          <w:noProof/>
          <w:kern w:val="0"/>
        </w:rPr>
        <w:t>V.</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Liu,</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C.</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‘Current</w:t>
      </w:r>
      <w:r w:rsidR="006244D6" w:rsidRPr="000F3911">
        <w:rPr>
          <w:rFonts w:ascii="Times New Roman" w:eastAsiaTheme="minorHAnsi"/>
          <w:noProof/>
          <w:kern w:val="0"/>
        </w:rPr>
        <w:t xml:space="preserve"> </w:t>
      </w:r>
      <w:r w:rsidRPr="000F3911">
        <w:rPr>
          <w:rFonts w:ascii="Times New Roman" w:eastAsiaTheme="minorHAnsi"/>
          <w:noProof/>
          <w:kern w:val="0"/>
        </w:rPr>
        <w:t>Diagnosis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Management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i/>
          <w:iCs/>
          <w:noProof/>
          <w:kern w:val="0"/>
        </w:rPr>
        <w:t>Global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England,</w:t>
      </w:r>
      <w:r w:rsidR="006244D6" w:rsidRPr="000F3911">
        <w:rPr>
          <w:rFonts w:ascii="Times New Roman" w:eastAsiaTheme="minorHAnsi"/>
          <w:noProof/>
          <w:kern w:val="0"/>
        </w:rPr>
        <w:t xml:space="preserve"> </w:t>
      </w:r>
      <w:r w:rsidRPr="000F3911">
        <w:rPr>
          <w:rFonts w:ascii="Times New Roman" w:eastAsiaTheme="minorHAnsi"/>
          <w:noProof/>
          <w:kern w:val="0"/>
        </w:rPr>
        <w:t>7(6),</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572–586.</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10.1177/2192568217699208.</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Chen,</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(2012)</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total</w:t>
      </w:r>
      <w:r w:rsidR="006244D6" w:rsidRPr="000F3911">
        <w:rPr>
          <w:rFonts w:ascii="Times New Roman" w:eastAsiaTheme="minorHAnsi"/>
          <w:noProof/>
          <w:kern w:val="0"/>
        </w:rPr>
        <w:t xml:space="preserve"> </w:t>
      </w:r>
      <w:r w:rsidRPr="000F3911">
        <w:rPr>
          <w:rFonts w:ascii="Times New Roman" w:eastAsiaTheme="minorHAnsi"/>
          <w:noProof/>
          <w:kern w:val="0"/>
        </w:rPr>
        <w:t>disc</w:t>
      </w:r>
      <w:r w:rsidR="006244D6" w:rsidRPr="000F3911">
        <w:rPr>
          <w:rFonts w:ascii="Times New Roman" w:eastAsiaTheme="minorHAnsi"/>
          <w:noProof/>
          <w:kern w:val="0"/>
        </w:rPr>
        <w:t xml:space="preserve"> </w:t>
      </w:r>
      <w:r w:rsidRPr="000F3911">
        <w:rPr>
          <w:rFonts w:ascii="Times New Roman" w:eastAsiaTheme="minorHAnsi"/>
          <w:noProof/>
          <w:kern w:val="0"/>
        </w:rPr>
        <w:t>arthroplasty:</w:t>
      </w:r>
      <w:r w:rsidR="006244D6" w:rsidRPr="000F3911">
        <w:rPr>
          <w:rFonts w:ascii="Times New Roman" w:eastAsiaTheme="minorHAnsi"/>
          <w:noProof/>
          <w:kern w:val="0"/>
        </w:rPr>
        <w:t xml:space="preserve"> </w:t>
      </w:r>
      <w:r w:rsidRPr="000F3911">
        <w:rPr>
          <w:rFonts w:ascii="Times New Roman" w:eastAsiaTheme="minorHAnsi"/>
          <w:noProof/>
          <w:kern w:val="0"/>
        </w:rPr>
        <w:t>case</w:t>
      </w:r>
      <w:r w:rsidR="006244D6" w:rsidRPr="000F3911">
        <w:rPr>
          <w:rFonts w:ascii="Times New Roman" w:eastAsiaTheme="minorHAnsi"/>
          <w:noProof/>
          <w:kern w:val="0"/>
        </w:rPr>
        <w:t xml:space="preserve"> </w:t>
      </w:r>
      <w:r w:rsidRPr="000F3911">
        <w:rPr>
          <w:rFonts w:ascii="Times New Roman" w:eastAsiaTheme="minorHAnsi"/>
          <w:noProof/>
          <w:kern w:val="0"/>
        </w:rPr>
        <w:t>report</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literature</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37(10),</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E624-8.</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10.1097/BRS.0b013e3182413930.</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Childress,</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Becker,</w:t>
      </w:r>
      <w:r w:rsidR="006244D6" w:rsidRPr="000F3911">
        <w:rPr>
          <w:rFonts w:ascii="Times New Roman" w:eastAsiaTheme="minorHAnsi"/>
          <w:noProof/>
          <w:kern w:val="0"/>
        </w:rPr>
        <w:t xml:space="preserve"> </w:t>
      </w:r>
      <w:r w:rsidRPr="000F3911">
        <w:rPr>
          <w:rFonts w:ascii="Times New Roman" w:eastAsiaTheme="minorHAnsi"/>
          <w:noProof/>
          <w:kern w:val="0"/>
        </w:rPr>
        <w:t>B.</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(2016)</w:t>
      </w:r>
      <w:r w:rsidR="006244D6" w:rsidRPr="000F3911">
        <w:rPr>
          <w:rFonts w:ascii="Times New Roman" w:eastAsiaTheme="minorHAnsi"/>
          <w:noProof/>
          <w:kern w:val="0"/>
        </w:rPr>
        <w:t xml:space="preserve"> </w:t>
      </w:r>
      <w:r w:rsidRPr="000F3911">
        <w:rPr>
          <w:rFonts w:ascii="Times New Roman" w:eastAsiaTheme="minorHAnsi"/>
          <w:noProof/>
          <w:kern w:val="0"/>
        </w:rPr>
        <w:t>‘Nonoperative</w:t>
      </w:r>
      <w:r w:rsidR="006244D6" w:rsidRPr="000F3911">
        <w:rPr>
          <w:rFonts w:ascii="Times New Roman" w:eastAsiaTheme="minorHAnsi"/>
          <w:noProof/>
          <w:kern w:val="0"/>
        </w:rPr>
        <w:t xml:space="preserve"> </w:t>
      </w:r>
      <w:r w:rsidRPr="000F3911">
        <w:rPr>
          <w:rFonts w:ascii="Times New Roman" w:eastAsiaTheme="minorHAnsi"/>
          <w:noProof/>
          <w:kern w:val="0"/>
        </w:rPr>
        <w:t>Management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Radiculopathy.’,</w:t>
      </w:r>
      <w:r w:rsidR="006244D6" w:rsidRPr="000F3911">
        <w:rPr>
          <w:rFonts w:ascii="Times New Roman" w:eastAsiaTheme="minorHAnsi"/>
          <w:noProof/>
          <w:kern w:val="0"/>
        </w:rPr>
        <w:t xml:space="preserve"> </w:t>
      </w:r>
      <w:r w:rsidRPr="000F3911">
        <w:rPr>
          <w:rFonts w:ascii="Times New Roman" w:eastAsiaTheme="minorHAnsi"/>
          <w:i/>
          <w:iCs/>
          <w:noProof/>
          <w:kern w:val="0"/>
        </w:rPr>
        <w:t>American</w:t>
      </w:r>
      <w:r w:rsidR="006244D6" w:rsidRPr="000F3911">
        <w:rPr>
          <w:rFonts w:ascii="Times New Roman" w:eastAsiaTheme="minorHAnsi"/>
          <w:i/>
          <w:iCs/>
          <w:noProof/>
          <w:kern w:val="0"/>
        </w:rPr>
        <w:t xml:space="preserve"> </w:t>
      </w:r>
      <w:r w:rsidRPr="000F3911">
        <w:rPr>
          <w:rFonts w:ascii="Times New Roman" w:eastAsiaTheme="minorHAnsi"/>
          <w:i/>
          <w:iCs/>
          <w:noProof/>
          <w:kern w:val="0"/>
        </w:rPr>
        <w:t>family</w:t>
      </w:r>
      <w:r w:rsidR="006244D6" w:rsidRPr="000F3911">
        <w:rPr>
          <w:rFonts w:ascii="Times New Roman" w:eastAsiaTheme="minorHAnsi"/>
          <w:i/>
          <w:iCs/>
          <w:noProof/>
          <w:kern w:val="0"/>
        </w:rPr>
        <w:t xml:space="preserve"> </w:t>
      </w:r>
      <w:r w:rsidRPr="000F3911">
        <w:rPr>
          <w:rFonts w:ascii="Times New Roman" w:eastAsiaTheme="minorHAnsi"/>
          <w:i/>
          <w:iCs/>
          <w:noProof/>
          <w:kern w:val="0"/>
        </w:rPr>
        <w:t>physician</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93(9),</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746–754.</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Cole,</w:t>
      </w:r>
      <w:r w:rsidR="006244D6" w:rsidRPr="000F3911">
        <w:rPr>
          <w:rFonts w:ascii="Times New Roman" w:eastAsiaTheme="minorHAnsi"/>
          <w:noProof/>
          <w:kern w:val="0"/>
        </w:rPr>
        <w:t xml:space="preserve"> </w:t>
      </w:r>
      <w:r w:rsidRPr="000F3911">
        <w:rPr>
          <w:rFonts w:ascii="Times New Roman" w:eastAsiaTheme="minorHAnsi"/>
          <w:noProof/>
          <w:kern w:val="0"/>
        </w:rPr>
        <w:t>T.</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‘Surgeon</w:t>
      </w:r>
      <w:r w:rsidR="006244D6" w:rsidRPr="000F3911">
        <w:rPr>
          <w:rFonts w:ascii="Times New Roman" w:eastAsiaTheme="minorHAnsi"/>
          <w:noProof/>
          <w:kern w:val="0"/>
        </w:rPr>
        <w:t xml:space="preserve"> </w:t>
      </w:r>
      <w:r w:rsidRPr="000F3911">
        <w:rPr>
          <w:rFonts w:ascii="Times New Roman" w:eastAsiaTheme="minorHAnsi"/>
          <w:noProof/>
          <w:kern w:val="0"/>
        </w:rPr>
        <w:t>Procedure</w:t>
      </w:r>
      <w:r w:rsidR="006244D6" w:rsidRPr="000F3911">
        <w:rPr>
          <w:rFonts w:ascii="Times New Roman" w:eastAsiaTheme="minorHAnsi"/>
          <w:noProof/>
          <w:kern w:val="0"/>
        </w:rPr>
        <w:t xml:space="preserve"> </w:t>
      </w:r>
      <w:r w:rsidRPr="000F3911">
        <w:rPr>
          <w:rFonts w:ascii="Times New Roman" w:eastAsiaTheme="minorHAnsi"/>
          <w:noProof/>
          <w:kern w:val="0"/>
        </w:rPr>
        <w:t>Volume</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Complication</w:t>
      </w:r>
      <w:r w:rsidR="006244D6" w:rsidRPr="000F3911">
        <w:rPr>
          <w:rFonts w:ascii="Times New Roman" w:eastAsiaTheme="minorHAnsi"/>
          <w:noProof/>
          <w:kern w:val="0"/>
        </w:rPr>
        <w:t xml:space="preserve"> </w:t>
      </w:r>
      <w:r w:rsidRPr="000F3911">
        <w:rPr>
          <w:rFonts w:ascii="Times New Roman" w:eastAsiaTheme="minorHAnsi"/>
          <w:noProof/>
          <w:kern w:val="0"/>
        </w:rPr>
        <w:t>Rates</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Fusions:</w:t>
      </w:r>
      <w:r w:rsidR="006244D6" w:rsidRPr="000F3911">
        <w:rPr>
          <w:rFonts w:ascii="Times New Roman" w:eastAsiaTheme="minorHAnsi"/>
          <w:noProof/>
          <w:kern w:val="0"/>
        </w:rPr>
        <w:t xml:space="preserve"> </w:t>
      </w:r>
      <w:r w:rsidRPr="000F3911">
        <w:rPr>
          <w:rFonts w:ascii="Times New Roman" w:eastAsiaTheme="minorHAnsi"/>
          <w:noProof/>
          <w:kern w:val="0"/>
        </w:rPr>
        <w:t>Analysis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National</w:t>
      </w:r>
      <w:r w:rsidR="006244D6" w:rsidRPr="000F3911">
        <w:rPr>
          <w:rFonts w:ascii="Times New Roman" w:eastAsiaTheme="minorHAnsi"/>
          <w:noProof/>
          <w:kern w:val="0"/>
        </w:rPr>
        <w:t xml:space="preserve"> </w:t>
      </w:r>
      <w:r w:rsidRPr="000F3911">
        <w:rPr>
          <w:rFonts w:ascii="Times New Roman" w:eastAsiaTheme="minorHAnsi"/>
          <w:noProof/>
          <w:kern w:val="0"/>
        </w:rPr>
        <w:t>Longitudinal</w:t>
      </w:r>
      <w:r w:rsidR="006244D6" w:rsidRPr="000F3911">
        <w:rPr>
          <w:rFonts w:ascii="Times New Roman" w:eastAsiaTheme="minorHAnsi"/>
          <w:noProof/>
          <w:kern w:val="0"/>
        </w:rPr>
        <w:t xml:space="preserve"> </w:t>
      </w:r>
      <w:r w:rsidRPr="000F3911">
        <w:rPr>
          <w:rFonts w:ascii="Times New Roman" w:eastAsiaTheme="minorHAnsi"/>
          <w:noProof/>
          <w:kern w:val="0"/>
        </w:rPr>
        <w:t>Database.’,</w:t>
      </w:r>
      <w:r w:rsidR="006244D6" w:rsidRPr="000F3911">
        <w:rPr>
          <w:rFonts w:ascii="Times New Roman" w:eastAsiaTheme="minorHAnsi"/>
          <w:noProof/>
          <w:kern w:val="0"/>
        </w:rPr>
        <w:t xml:space="preserve"> </w:t>
      </w:r>
      <w:r w:rsidRPr="000F3911">
        <w:rPr>
          <w:rFonts w:ascii="Times New Roman" w:eastAsiaTheme="minorHAnsi"/>
          <w:i/>
          <w:iCs/>
          <w:noProof/>
          <w:kern w:val="0"/>
        </w:rPr>
        <w:t>Clinical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30(5),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E633–E639.</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10.1097/BSD.0000000000000238.</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Cunningham,</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R.</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Hershman,</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Bendo,</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(2010a)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cohort</w:t>
      </w:r>
      <w:r w:rsidR="006244D6" w:rsidRPr="000F3911">
        <w:rPr>
          <w:rFonts w:ascii="Times New Roman" w:eastAsiaTheme="minorHAnsi"/>
          <w:noProof/>
          <w:kern w:val="0"/>
        </w:rPr>
        <w:t xml:space="preserve"> </w:t>
      </w:r>
      <w:r w:rsidRPr="000F3911">
        <w:rPr>
          <w:rFonts w:ascii="Times New Roman" w:eastAsiaTheme="minorHAnsi"/>
          <w:noProof/>
          <w:kern w:val="0"/>
        </w:rPr>
        <w:t>studies</w:t>
      </w:r>
      <w:r w:rsidR="006244D6" w:rsidRPr="000F3911">
        <w:rPr>
          <w:rFonts w:ascii="Times New Roman" w:eastAsiaTheme="minorHAnsi"/>
          <w:noProof/>
          <w:kern w:val="0"/>
        </w:rPr>
        <w:t xml:space="preserve"> </w:t>
      </w:r>
      <w:r w:rsidRPr="000F3911">
        <w:rPr>
          <w:rFonts w:ascii="Times New Roman" w:eastAsiaTheme="minorHAnsi"/>
          <w:noProof/>
          <w:kern w:val="0"/>
        </w:rPr>
        <w:t>comparing</w:t>
      </w:r>
      <w:r w:rsidR="006244D6" w:rsidRPr="000F3911">
        <w:rPr>
          <w:rFonts w:ascii="Times New Roman" w:eastAsiaTheme="minorHAnsi"/>
          <w:noProof/>
          <w:kern w:val="0"/>
        </w:rPr>
        <w:t xml:space="preserve"> </w:t>
      </w:r>
      <w:r w:rsidRPr="000F3911">
        <w:rPr>
          <w:rFonts w:ascii="Times New Roman" w:eastAsiaTheme="minorHAnsi"/>
          <w:noProof/>
          <w:kern w:val="0"/>
        </w:rPr>
        <w:t>surgical</w:t>
      </w:r>
      <w:r w:rsidR="006244D6" w:rsidRPr="000F3911">
        <w:rPr>
          <w:rFonts w:ascii="Times New Roman" w:eastAsiaTheme="minorHAnsi"/>
          <w:noProof/>
          <w:kern w:val="0"/>
        </w:rPr>
        <w:t xml:space="preserve"> </w:t>
      </w:r>
      <w:r w:rsidRPr="000F3911">
        <w:rPr>
          <w:rFonts w:ascii="Times New Roman" w:eastAsiaTheme="minorHAnsi"/>
          <w:noProof/>
          <w:kern w:val="0"/>
        </w:rPr>
        <w:t>treatments</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35(5),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537–43.</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10.1097/BRS.0b013e3181b204cc.</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Cunningham,</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R.</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Hershman,</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Bendo,</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(2010b)</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cohort</w:t>
      </w:r>
      <w:r w:rsidR="006244D6" w:rsidRPr="000F3911">
        <w:rPr>
          <w:rFonts w:ascii="Times New Roman" w:eastAsiaTheme="minorHAnsi"/>
          <w:noProof/>
          <w:kern w:val="0"/>
        </w:rPr>
        <w:t xml:space="preserve"> </w:t>
      </w:r>
      <w:r w:rsidRPr="000F3911">
        <w:rPr>
          <w:rFonts w:ascii="Times New Roman" w:eastAsiaTheme="minorHAnsi"/>
          <w:noProof/>
          <w:kern w:val="0"/>
        </w:rPr>
        <w:t>studies</w:t>
      </w:r>
      <w:r w:rsidR="006244D6" w:rsidRPr="000F3911">
        <w:rPr>
          <w:rFonts w:ascii="Times New Roman" w:eastAsiaTheme="minorHAnsi"/>
          <w:noProof/>
          <w:kern w:val="0"/>
        </w:rPr>
        <w:t xml:space="preserve"> </w:t>
      </w:r>
      <w:r w:rsidRPr="000F3911">
        <w:rPr>
          <w:rFonts w:ascii="Times New Roman" w:eastAsiaTheme="minorHAnsi"/>
          <w:noProof/>
          <w:kern w:val="0"/>
        </w:rPr>
        <w:t>comparing</w:t>
      </w:r>
      <w:r w:rsidR="006244D6" w:rsidRPr="000F3911">
        <w:rPr>
          <w:rFonts w:ascii="Times New Roman" w:eastAsiaTheme="minorHAnsi"/>
          <w:noProof/>
          <w:kern w:val="0"/>
        </w:rPr>
        <w:t xml:space="preserve"> </w:t>
      </w:r>
      <w:r w:rsidRPr="000F3911">
        <w:rPr>
          <w:rFonts w:ascii="Times New Roman" w:eastAsiaTheme="minorHAnsi"/>
          <w:noProof/>
          <w:kern w:val="0"/>
        </w:rPr>
        <w:t>surgical</w:t>
      </w:r>
      <w:r w:rsidR="006244D6" w:rsidRPr="000F3911">
        <w:rPr>
          <w:rFonts w:ascii="Times New Roman" w:eastAsiaTheme="minorHAnsi"/>
          <w:noProof/>
          <w:kern w:val="0"/>
        </w:rPr>
        <w:t xml:space="preserve"> </w:t>
      </w:r>
      <w:r w:rsidRPr="000F3911">
        <w:rPr>
          <w:rFonts w:ascii="Times New Roman" w:eastAsiaTheme="minorHAnsi"/>
          <w:noProof/>
          <w:kern w:val="0"/>
        </w:rPr>
        <w:t>treatments</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35(5),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537–543.</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10.1097/BRS.0b013e3181b204cc.</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Denaro,</w:t>
      </w:r>
      <w:r w:rsidR="006244D6" w:rsidRPr="000F3911">
        <w:rPr>
          <w:rFonts w:ascii="Times New Roman" w:eastAsiaTheme="minorHAnsi"/>
          <w:noProof/>
          <w:kern w:val="0"/>
        </w:rPr>
        <w:t xml:space="preserve"> </w:t>
      </w:r>
      <w:r w:rsidRPr="000F3911">
        <w:rPr>
          <w:rFonts w:ascii="Times New Roman" w:eastAsiaTheme="minorHAnsi"/>
          <w:noProof/>
          <w:kern w:val="0"/>
        </w:rPr>
        <w:t>V.</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(2015)</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relevance</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spinal</w:t>
      </w:r>
      <w:r w:rsidR="006244D6" w:rsidRPr="000F3911">
        <w:rPr>
          <w:rFonts w:ascii="Times New Roman" w:eastAsiaTheme="minorHAnsi"/>
          <w:noProof/>
          <w:kern w:val="0"/>
        </w:rPr>
        <w:t xml:space="preserve"> </w:t>
      </w:r>
      <w:r w:rsidRPr="000F3911">
        <w:rPr>
          <w:rFonts w:ascii="Times New Roman" w:eastAsiaTheme="minorHAnsi"/>
          <w:noProof/>
          <w:kern w:val="0"/>
        </w:rPr>
        <w:t>cord</w:t>
      </w:r>
      <w:r w:rsidR="006244D6" w:rsidRPr="000F3911">
        <w:rPr>
          <w:rFonts w:ascii="Times New Roman" w:eastAsiaTheme="minorHAnsi"/>
          <w:noProof/>
          <w:kern w:val="0"/>
        </w:rPr>
        <w:t xml:space="preserve"> </w:t>
      </w:r>
      <w:r w:rsidRPr="000F3911">
        <w:rPr>
          <w:rFonts w:ascii="Times New Roman" w:eastAsiaTheme="minorHAnsi"/>
          <w:noProof/>
          <w:kern w:val="0"/>
        </w:rPr>
        <w:t>back</w:t>
      </w:r>
      <w:r w:rsidR="006244D6" w:rsidRPr="000F3911">
        <w:rPr>
          <w:rFonts w:ascii="Times New Roman" w:eastAsiaTheme="minorHAnsi"/>
          <w:noProof/>
          <w:kern w:val="0"/>
        </w:rPr>
        <w:t xml:space="preserve"> </w:t>
      </w:r>
      <w:r w:rsidRPr="000F3911">
        <w:rPr>
          <w:rFonts w:ascii="Times New Roman" w:eastAsiaTheme="minorHAnsi"/>
          <w:noProof/>
          <w:kern w:val="0"/>
        </w:rPr>
        <w:t>shift</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decompression.</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lastRenderedPageBreak/>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Germany,</w:t>
      </w:r>
      <w:r w:rsidR="006244D6" w:rsidRPr="000F3911">
        <w:rPr>
          <w:rFonts w:ascii="Times New Roman" w:eastAsiaTheme="minorHAnsi"/>
          <w:noProof/>
          <w:kern w:val="0"/>
        </w:rPr>
        <w:t xml:space="preserve"> </w:t>
      </w:r>
      <w:r w:rsidRPr="000F3911">
        <w:rPr>
          <w:rFonts w:ascii="Times New Roman" w:eastAsiaTheme="minorHAnsi"/>
          <w:noProof/>
          <w:kern w:val="0"/>
        </w:rPr>
        <w:t>24</w:t>
      </w:r>
      <w:r w:rsidR="006244D6" w:rsidRPr="000F3911">
        <w:rPr>
          <w:rFonts w:ascii="Times New Roman" w:eastAsiaTheme="minorHAnsi"/>
          <w:noProof/>
          <w:kern w:val="0"/>
        </w:rPr>
        <w:t xml:space="preserve"> </w:t>
      </w:r>
      <w:r w:rsidRPr="000F3911">
        <w:rPr>
          <w:rFonts w:ascii="Times New Roman" w:eastAsiaTheme="minorHAnsi"/>
          <w:noProof/>
          <w:kern w:val="0"/>
        </w:rPr>
        <w:t>Suppl</w:t>
      </w:r>
      <w:r w:rsidR="006244D6" w:rsidRPr="000F3911">
        <w:rPr>
          <w:rFonts w:ascii="Times New Roman" w:eastAsiaTheme="minorHAnsi"/>
          <w:noProof/>
          <w:kern w:val="0"/>
        </w:rPr>
        <w:t xml:space="preserve"> </w:t>
      </w:r>
      <w:r w:rsidRPr="000F3911">
        <w:rPr>
          <w:rFonts w:ascii="Times New Roman" w:eastAsiaTheme="minorHAnsi"/>
          <w:noProof/>
          <w:kern w:val="0"/>
        </w:rPr>
        <w:t>7,</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832–841.</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10.1007/s00586-015-4299-x.</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Farrokhi,</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R.</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(2016)</w:t>
      </w:r>
      <w:r w:rsidR="006244D6" w:rsidRPr="000F3911">
        <w:rPr>
          <w:rFonts w:ascii="Times New Roman" w:eastAsiaTheme="minorHAnsi"/>
          <w:noProof/>
          <w:kern w:val="0"/>
        </w:rPr>
        <w:t xml:space="preserve"> </w:t>
      </w:r>
      <w:r w:rsidRPr="000F3911">
        <w:rPr>
          <w:rFonts w:ascii="Times New Roman" w:eastAsiaTheme="minorHAnsi"/>
          <w:noProof/>
          <w:kern w:val="0"/>
        </w:rPr>
        <w:t>‘An</w:t>
      </w:r>
      <w:r w:rsidR="006244D6" w:rsidRPr="000F3911">
        <w:rPr>
          <w:rFonts w:ascii="Times New Roman" w:eastAsiaTheme="minorHAnsi"/>
          <w:noProof/>
          <w:kern w:val="0"/>
        </w:rPr>
        <w:t xml:space="preserve"> </w:t>
      </w:r>
      <w:r w:rsidRPr="000F3911">
        <w:rPr>
          <w:rFonts w:ascii="Times New Roman" w:eastAsiaTheme="minorHAnsi"/>
          <w:noProof/>
          <w:kern w:val="0"/>
        </w:rPr>
        <w:t>Evidence-Based</w:t>
      </w:r>
      <w:r w:rsidR="006244D6" w:rsidRPr="000F3911">
        <w:rPr>
          <w:rFonts w:ascii="Times New Roman" w:eastAsiaTheme="minorHAnsi"/>
          <w:noProof/>
          <w:kern w:val="0"/>
        </w:rPr>
        <w:t xml:space="preserve"> </w:t>
      </w:r>
      <w:r w:rsidRPr="000F3911">
        <w:rPr>
          <w:rFonts w:ascii="Times New Roman" w:eastAsiaTheme="minorHAnsi"/>
          <w:noProof/>
          <w:kern w:val="0"/>
        </w:rPr>
        <w:t>Stepwise</w:t>
      </w:r>
      <w:r w:rsidR="006244D6" w:rsidRPr="000F3911">
        <w:rPr>
          <w:rFonts w:ascii="Times New Roman" w:eastAsiaTheme="minorHAnsi"/>
          <w:noProof/>
          <w:kern w:val="0"/>
        </w:rPr>
        <w:t xml:space="preserve"> </w:t>
      </w:r>
      <w:r w:rsidRPr="000F3911">
        <w:rPr>
          <w:rFonts w:ascii="Times New Roman" w:eastAsiaTheme="minorHAnsi"/>
          <w:noProof/>
          <w:kern w:val="0"/>
        </w:rPr>
        <w:t>Surgical</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to</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Narrative</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Current</w:t>
      </w:r>
      <w:r w:rsidR="006244D6" w:rsidRPr="000F3911">
        <w:rPr>
          <w:rFonts w:ascii="Times New Roman" w:eastAsiaTheme="minorHAnsi"/>
          <w:noProof/>
          <w:kern w:val="0"/>
        </w:rPr>
        <w:t xml:space="preserve"> </w:t>
      </w:r>
      <w:r w:rsidRPr="000F3911">
        <w:rPr>
          <w:rFonts w:ascii="Times New Roman" w:eastAsiaTheme="minorHAnsi"/>
          <w:noProof/>
          <w:kern w:val="0"/>
        </w:rPr>
        <w:t>Literature.’,</w:t>
      </w:r>
      <w:r w:rsidR="006244D6" w:rsidRPr="000F3911">
        <w:rPr>
          <w:rFonts w:ascii="Times New Roman" w:eastAsiaTheme="minorHAnsi"/>
          <w:noProof/>
          <w:kern w:val="0"/>
        </w:rPr>
        <w:t xml:space="preserve"> </w:t>
      </w:r>
      <w:r w:rsidRPr="000F3911">
        <w:rPr>
          <w:rFonts w:ascii="Times New Roman" w:eastAsiaTheme="minorHAnsi"/>
          <w:i/>
          <w:iCs/>
          <w:noProof/>
          <w:kern w:val="0"/>
        </w:rPr>
        <w:t>World</w:t>
      </w:r>
      <w:r w:rsidR="006244D6" w:rsidRPr="000F3911">
        <w:rPr>
          <w:rFonts w:ascii="Times New Roman" w:eastAsiaTheme="minorHAnsi"/>
          <w:i/>
          <w:iCs/>
          <w:noProof/>
          <w:kern w:val="0"/>
        </w:rPr>
        <w:t xml:space="preserve"> </w:t>
      </w:r>
      <w:r w:rsidRPr="000F3911">
        <w:rPr>
          <w:rFonts w:ascii="Times New Roman" w:eastAsiaTheme="minorHAnsi"/>
          <w:i/>
          <w:iCs/>
          <w:noProof/>
          <w:kern w:val="0"/>
        </w:rPr>
        <w:t>neurosurgery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94,</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97–110.</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10.1016/j.wneu.2016.06.109.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Han,</w:t>
      </w:r>
      <w:r w:rsidR="006244D6" w:rsidRPr="000F3911">
        <w:rPr>
          <w:rFonts w:ascii="Times New Roman" w:eastAsiaTheme="minorHAnsi"/>
          <w:noProof/>
          <w:kern w:val="0"/>
        </w:rPr>
        <w:t xml:space="preserve"> </w:t>
      </w:r>
      <w:r w:rsidRPr="000F3911">
        <w:rPr>
          <w:rFonts w:ascii="Times New Roman" w:eastAsiaTheme="minorHAnsi"/>
          <w:noProof/>
          <w:kern w:val="0"/>
        </w:rPr>
        <w:t>Y.-C.</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(2014)</w:t>
      </w:r>
      <w:r w:rsidR="006244D6" w:rsidRPr="000F3911">
        <w:rPr>
          <w:rFonts w:ascii="Times New Roman" w:eastAsiaTheme="minorHAnsi"/>
          <w:noProof/>
          <w:kern w:val="0"/>
        </w:rPr>
        <w:t xml:space="preserve"> </w:t>
      </w:r>
      <w:r w:rsidRPr="000F3911">
        <w:rPr>
          <w:rFonts w:ascii="Times New Roman" w:eastAsiaTheme="minorHAnsi"/>
          <w:noProof/>
          <w:kern w:val="0"/>
        </w:rPr>
        <w:t>‘Is</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superior</w:t>
      </w:r>
      <w:r w:rsidR="006244D6" w:rsidRPr="000F3911">
        <w:rPr>
          <w:rFonts w:ascii="Times New Roman" w:eastAsiaTheme="minorHAnsi"/>
          <w:noProof/>
          <w:kern w:val="0"/>
        </w:rPr>
        <w:t xml:space="preserve"> </w:t>
      </w:r>
      <w:r w:rsidRPr="000F3911">
        <w:rPr>
          <w:rFonts w:ascii="Times New Roman" w:eastAsiaTheme="minorHAnsi"/>
          <w:noProof/>
          <w:kern w:val="0"/>
        </w:rPr>
        <w:t>to</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PloS</w:t>
      </w:r>
      <w:r w:rsidR="006244D6" w:rsidRPr="000F3911">
        <w:rPr>
          <w:rFonts w:ascii="Times New Roman" w:eastAsiaTheme="minorHAnsi"/>
          <w:i/>
          <w:iCs/>
          <w:noProof/>
          <w:kern w:val="0"/>
        </w:rPr>
        <w:t xml:space="preserve"> </w:t>
      </w:r>
      <w:r w:rsidRPr="000F3911">
        <w:rPr>
          <w:rFonts w:ascii="Times New Roman" w:eastAsiaTheme="minorHAnsi"/>
          <w:i/>
          <w:iCs/>
          <w:noProof/>
          <w:kern w:val="0"/>
        </w:rPr>
        <w:t>one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9(1),</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e87191.</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10.1371/journal.pone.0087191.</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Harry</w:t>
      </w:r>
      <w:r w:rsidR="006244D6" w:rsidRPr="000F3911">
        <w:rPr>
          <w:rFonts w:ascii="Times New Roman" w:eastAsiaTheme="minorHAnsi"/>
          <w:noProof/>
          <w:kern w:val="0"/>
        </w:rPr>
        <w:t xml:space="preserve"> </w:t>
      </w:r>
      <w:r w:rsidRPr="000F3911">
        <w:rPr>
          <w:rFonts w:ascii="Times New Roman" w:eastAsiaTheme="minorHAnsi"/>
          <w:noProof/>
          <w:kern w:val="0"/>
        </w:rPr>
        <w:t>Nerkowitz</w:t>
      </w:r>
      <w:r w:rsidR="006244D6" w:rsidRPr="000F3911">
        <w:rPr>
          <w:rFonts w:ascii="Times New Roman" w:eastAsiaTheme="minorHAnsi"/>
          <w:noProof/>
          <w:kern w:val="0"/>
        </w:rPr>
        <w:t xml:space="preserve"> </w:t>
      </w:r>
      <w:r w:rsidRPr="000F3911">
        <w:rPr>
          <w:rFonts w:ascii="Times New Roman" w:eastAsiaTheme="minorHAnsi"/>
          <w:noProof/>
          <w:kern w:val="0"/>
        </w:rPr>
        <w:t>(2004)</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upper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spine</w:t>
      </w:r>
      <w:r w:rsidR="006244D6" w:rsidRPr="000F3911">
        <w:rPr>
          <w:rFonts w:ascii="Times New Roman" w:eastAsiaTheme="minorHAnsi"/>
          <w:noProof/>
          <w:kern w:val="0"/>
        </w:rPr>
        <w:t xml:space="preserve"> </w:t>
      </w:r>
      <w:r w:rsidRPr="000F3911">
        <w:rPr>
          <w:rFonts w:ascii="Times New Roman" w:eastAsiaTheme="minorHAnsi"/>
          <w:noProof/>
          <w:kern w:val="0"/>
        </w:rPr>
        <w:t>approaches’,</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Ashok</w:t>
      </w:r>
      <w:r w:rsidR="006244D6" w:rsidRPr="000F3911">
        <w:rPr>
          <w:rFonts w:ascii="Times New Roman" w:eastAsiaTheme="minorHAnsi"/>
          <w:noProof/>
          <w:kern w:val="0"/>
        </w:rPr>
        <w:t xml:space="preserve"> </w:t>
      </w:r>
      <w:r w:rsidRPr="000F3911">
        <w:rPr>
          <w:rFonts w:ascii="Times New Roman" w:eastAsiaTheme="minorHAnsi"/>
          <w:noProof/>
          <w:kern w:val="0"/>
        </w:rPr>
        <w:t>Biyani</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Howard</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An</w:t>
      </w:r>
      <w:r w:rsidR="006244D6" w:rsidRPr="000F3911">
        <w:rPr>
          <w:rFonts w:ascii="Times New Roman" w:eastAsiaTheme="minorHAnsi"/>
          <w:noProof/>
          <w:kern w:val="0"/>
        </w:rPr>
        <w:t xml:space="preserve"> </w:t>
      </w:r>
      <w:r w:rsidRPr="000F3911">
        <w:rPr>
          <w:rFonts w:ascii="Times New Roman" w:eastAsiaTheme="minorHAnsi"/>
          <w:noProof/>
          <w:kern w:val="0"/>
        </w:rPr>
        <w:t>(eds)</w:t>
      </w:r>
      <w:r w:rsidR="006244D6" w:rsidRPr="000F3911">
        <w:rPr>
          <w:rFonts w:ascii="Times New Roman" w:eastAsiaTheme="minorHAnsi"/>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006244D6" w:rsidRPr="000F3911">
        <w:rPr>
          <w:rFonts w:ascii="Times New Roman" w:eastAsiaTheme="minorHAnsi"/>
          <w:i/>
          <w:iCs/>
          <w:noProof/>
          <w:kern w:val="0"/>
        </w:rPr>
        <w:t xml:space="preserve"> </w:t>
      </w:r>
      <w:r w:rsidRPr="000F3911">
        <w:rPr>
          <w:rFonts w:ascii="Times New Roman" w:eastAsiaTheme="minorHAnsi"/>
          <w:i/>
          <w:iCs/>
          <w:noProof/>
          <w:kern w:val="0"/>
        </w:rPr>
        <w:t>Atlas</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2nd</w:t>
      </w:r>
      <w:r w:rsidR="006244D6" w:rsidRPr="000F3911">
        <w:rPr>
          <w:rFonts w:ascii="Times New Roman" w:eastAsiaTheme="minorHAnsi"/>
          <w:noProof/>
          <w:kern w:val="0"/>
        </w:rPr>
        <w:t xml:space="preserve"> </w:t>
      </w:r>
      <w:r w:rsidRPr="000F3911">
        <w:rPr>
          <w:rFonts w:ascii="Times New Roman" w:eastAsiaTheme="minorHAnsi"/>
          <w:noProof/>
          <w:kern w:val="0"/>
        </w:rPr>
        <w:t>edn.</w:t>
      </w:r>
      <w:r w:rsidR="006244D6" w:rsidRPr="000F3911">
        <w:rPr>
          <w:rFonts w:ascii="Times New Roman" w:eastAsiaTheme="minorHAnsi"/>
          <w:noProof/>
          <w:kern w:val="0"/>
        </w:rPr>
        <w:t xml:space="preserve"> </w:t>
      </w:r>
      <w:r w:rsidRPr="000F3911">
        <w:rPr>
          <w:rFonts w:ascii="Times New Roman" w:eastAsiaTheme="minorHAnsi"/>
          <w:noProof/>
          <w:kern w:val="0"/>
        </w:rPr>
        <w:t>New</w:t>
      </w:r>
      <w:r w:rsidR="006244D6" w:rsidRPr="000F3911">
        <w:rPr>
          <w:rFonts w:ascii="Times New Roman" w:eastAsiaTheme="minorHAnsi"/>
          <w:noProof/>
          <w:kern w:val="0"/>
        </w:rPr>
        <w:t xml:space="preserve"> </w:t>
      </w:r>
      <w:r w:rsidRPr="000F3911">
        <w:rPr>
          <w:rFonts w:ascii="Times New Roman" w:eastAsiaTheme="minorHAnsi"/>
          <w:noProof/>
          <w:kern w:val="0"/>
        </w:rPr>
        <w:t>York:</w:t>
      </w:r>
      <w:r w:rsidR="006244D6" w:rsidRPr="000F3911">
        <w:rPr>
          <w:rFonts w:ascii="Times New Roman" w:eastAsiaTheme="minorHAnsi"/>
          <w:noProof/>
          <w:kern w:val="0"/>
        </w:rPr>
        <w:t xml:space="preserve"> </w:t>
      </w:r>
      <w:r w:rsidRPr="000F3911">
        <w:rPr>
          <w:rFonts w:ascii="Times New Roman" w:eastAsiaTheme="minorHAnsi"/>
          <w:noProof/>
          <w:kern w:val="0"/>
        </w:rPr>
        <w:t>Lippincots</w:t>
      </w:r>
      <w:r w:rsidR="006244D6" w:rsidRPr="000F3911">
        <w:rPr>
          <w:rFonts w:ascii="Times New Roman" w:eastAsiaTheme="minorHAnsi"/>
          <w:noProof/>
          <w:kern w:val="0"/>
        </w:rPr>
        <w:t xml:space="preserve"> &amp; </w:t>
      </w:r>
      <w:r w:rsidRPr="000F3911">
        <w:rPr>
          <w:rFonts w:ascii="Times New Roman" w:eastAsiaTheme="minorHAnsi"/>
          <w:noProof/>
          <w:kern w:val="0"/>
        </w:rPr>
        <w:t>Williams,</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400.</w:t>
      </w:r>
      <w:r w:rsidR="006244D6" w:rsidRPr="000F3911">
        <w:rPr>
          <w:rFonts w:ascii="Times New Roman" w:eastAsiaTheme="minorHAnsi"/>
          <w:noProof/>
          <w:kern w:val="0"/>
        </w:rPr>
        <w:t xml:space="preserve"> </w:t>
      </w:r>
      <w:r w:rsidRPr="000F3911">
        <w:rPr>
          <w:rFonts w:ascii="Times New Roman" w:eastAsiaTheme="minorHAnsi"/>
          <w:noProof/>
          <w:kern w:val="0"/>
        </w:rPr>
        <w:t>Available</w:t>
      </w:r>
      <w:r w:rsidR="006244D6" w:rsidRPr="000F3911">
        <w:rPr>
          <w:rFonts w:ascii="Times New Roman" w:eastAsiaTheme="minorHAnsi"/>
          <w:noProof/>
          <w:kern w:val="0"/>
        </w:rPr>
        <w:t xml:space="preserve"> </w:t>
      </w:r>
      <w:r w:rsidRPr="000F3911">
        <w:rPr>
          <w:rFonts w:ascii="Times New Roman" w:eastAsiaTheme="minorHAnsi"/>
          <w:noProof/>
          <w:kern w:val="0"/>
        </w:rPr>
        <w:t>at:</w:t>
      </w:r>
      <w:r w:rsidR="006244D6" w:rsidRPr="000F3911">
        <w:rPr>
          <w:rFonts w:ascii="Times New Roman" w:eastAsiaTheme="minorHAnsi"/>
          <w:noProof/>
          <w:kern w:val="0"/>
        </w:rPr>
        <w:t xml:space="preserve"> </w:t>
      </w:r>
      <w:r w:rsidRPr="000F3911">
        <w:rPr>
          <w:rFonts w:ascii="Times New Roman" w:eastAsiaTheme="minorHAnsi"/>
          <w:noProof/>
          <w:kern w:val="0"/>
        </w:rPr>
        <w:t>https://books.google.com.eg/books?id=p2cw9E537aMC</w:t>
      </w:r>
      <w:r w:rsidR="006244D6" w:rsidRPr="000F3911">
        <w:rPr>
          <w:rFonts w:ascii="Times New Roman" w:eastAsiaTheme="minorHAnsi"/>
          <w:noProof/>
          <w:kern w:val="0"/>
        </w:rPr>
        <w:t xml:space="preserve"> &amp; </w:t>
      </w:r>
      <w:r w:rsidRPr="000F3911">
        <w:rPr>
          <w:rFonts w:ascii="Times New Roman" w:eastAsiaTheme="minorHAnsi"/>
          <w:noProof/>
          <w:kern w:val="0"/>
        </w:rPr>
        <w:t>pg=PA69</w:t>
      </w:r>
      <w:r w:rsidR="006244D6" w:rsidRPr="000F3911">
        <w:rPr>
          <w:rFonts w:ascii="Times New Roman" w:eastAsiaTheme="minorHAnsi"/>
          <w:noProof/>
          <w:kern w:val="0"/>
        </w:rPr>
        <w:t xml:space="preserve"> &amp; </w:t>
      </w:r>
      <w:r w:rsidRPr="000F3911">
        <w:rPr>
          <w:rFonts w:ascii="Times New Roman" w:eastAsiaTheme="minorHAnsi"/>
          <w:noProof/>
          <w:kern w:val="0"/>
        </w:rPr>
        <w:t>dq=cervical+spine+anatomy</w:t>
      </w:r>
      <w:r w:rsidR="006244D6" w:rsidRPr="000F3911">
        <w:rPr>
          <w:rFonts w:ascii="Times New Roman" w:eastAsiaTheme="minorHAnsi"/>
          <w:noProof/>
          <w:kern w:val="0"/>
        </w:rPr>
        <w:t xml:space="preserve"> &amp; </w:t>
      </w:r>
      <w:r w:rsidRPr="000F3911">
        <w:rPr>
          <w:rFonts w:ascii="Times New Roman" w:eastAsiaTheme="minorHAnsi"/>
          <w:noProof/>
          <w:kern w:val="0"/>
        </w:rPr>
        <w:t>hl=en</w:t>
      </w:r>
      <w:r w:rsidR="006244D6" w:rsidRPr="000F3911">
        <w:rPr>
          <w:rFonts w:ascii="Times New Roman" w:eastAsiaTheme="minorHAnsi"/>
          <w:noProof/>
          <w:kern w:val="0"/>
        </w:rPr>
        <w:t xml:space="preserve"> &amp; </w:t>
      </w:r>
      <w:r w:rsidRPr="000F3911">
        <w:rPr>
          <w:rFonts w:ascii="Times New Roman" w:eastAsiaTheme="minorHAnsi"/>
          <w:noProof/>
          <w:kern w:val="0"/>
        </w:rPr>
        <w:t>sa=X</w:t>
      </w:r>
      <w:r w:rsidR="006244D6" w:rsidRPr="000F3911">
        <w:rPr>
          <w:rFonts w:ascii="Times New Roman" w:eastAsiaTheme="minorHAnsi"/>
          <w:noProof/>
          <w:kern w:val="0"/>
        </w:rPr>
        <w:t xml:space="preserve"> &amp; </w:t>
      </w:r>
      <w:r w:rsidRPr="000F3911">
        <w:rPr>
          <w:rFonts w:ascii="Times New Roman" w:eastAsiaTheme="minorHAnsi"/>
          <w:noProof/>
          <w:kern w:val="0"/>
        </w:rPr>
        <w:t>ved=0ahUKEwjFjvK8yuTWAhUKIMAKHa9DAVMQ6AEIYTAJ#v=onepage</w:t>
      </w:r>
      <w:r w:rsidR="006244D6" w:rsidRPr="000F3911">
        <w:rPr>
          <w:rFonts w:ascii="Times New Roman" w:eastAsiaTheme="minorHAnsi"/>
          <w:noProof/>
          <w:kern w:val="0"/>
        </w:rPr>
        <w:t xml:space="preserve"> &amp; </w:t>
      </w:r>
      <w:r w:rsidRPr="000F3911">
        <w:rPr>
          <w:rFonts w:ascii="Times New Roman" w:eastAsiaTheme="minorHAnsi"/>
          <w:noProof/>
          <w:kern w:val="0"/>
        </w:rPr>
        <w:t>q=cervical</w:t>
      </w:r>
      <w:r w:rsidR="006244D6" w:rsidRPr="000F3911">
        <w:rPr>
          <w:rFonts w:ascii="Times New Roman" w:eastAsiaTheme="minorHAnsi"/>
          <w:noProof/>
          <w:kern w:val="0"/>
        </w:rPr>
        <w:t xml:space="preserve"> </w:t>
      </w:r>
      <w:r w:rsidRPr="000F3911">
        <w:rPr>
          <w:rFonts w:ascii="Times New Roman" w:eastAsiaTheme="minorHAnsi"/>
          <w:noProof/>
          <w:kern w:val="0"/>
        </w:rPr>
        <w:t>spine</w:t>
      </w:r>
      <w:r w:rsidR="006244D6" w:rsidRPr="000F3911">
        <w:rPr>
          <w:rFonts w:ascii="Times New Roman" w:eastAsiaTheme="minorHAnsi"/>
          <w:noProof/>
          <w:kern w:val="0"/>
        </w:rPr>
        <w:t xml:space="preserve"> </w:t>
      </w:r>
      <w:r w:rsidRPr="000F3911">
        <w:rPr>
          <w:rFonts w:ascii="Times New Roman" w:eastAsiaTheme="minorHAnsi"/>
          <w:noProof/>
          <w:kern w:val="0"/>
        </w:rPr>
        <w:t>anatomy</w:t>
      </w:r>
      <w:r w:rsidR="006244D6" w:rsidRPr="000F3911">
        <w:rPr>
          <w:rFonts w:ascii="Times New Roman" w:eastAsiaTheme="minorHAnsi"/>
          <w:noProof/>
          <w:kern w:val="0"/>
        </w:rPr>
        <w:t xml:space="preserve"> &amp; </w:t>
      </w:r>
      <w:r w:rsidRPr="000F3911">
        <w:rPr>
          <w:rFonts w:ascii="Times New Roman" w:eastAsiaTheme="minorHAnsi"/>
          <w:noProof/>
          <w:kern w:val="0"/>
        </w:rPr>
        <w:t>f=false</w:t>
      </w:r>
      <w:r w:rsidR="006244D6" w:rsidRPr="000F3911">
        <w:rPr>
          <w:rFonts w:ascii="Times New Roman" w:eastAsiaTheme="minorHAnsi"/>
          <w:noProof/>
          <w:kern w:val="0"/>
        </w:rPr>
        <w:t xml:space="preserve"> </w:t>
      </w:r>
      <w:r w:rsidRPr="000F3911">
        <w:rPr>
          <w:rFonts w:ascii="Times New Roman" w:eastAsiaTheme="minorHAnsi"/>
          <w:noProof/>
          <w:kern w:val="0"/>
        </w:rPr>
        <w:t>(Accessed:</w:t>
      </w:r>
      <w:r w:rsidR="006244D6" w:rsidRPr="000F3911">
        <w:rPr>
          <w:rFonts w:ascii="Times New Roman" w:eastAsiaTheme="minorHAnsi"/>
          <w:noProof/>
          <w:kern w:val="0"/>
        </w:rPr>
        <w:t xml:space="preserve"> </w:t>
      </w:r>
      <w:r w:rsidRPr="000F3911">
        <w:rPr>
          <w:rFonts w:ascii="Times New Roman" w:eastAsiaTheme="minorHAnsi"/>
          <w:noProof/>
          <w:kern w:val="0"/>
        </w:rPr>
        <w:t>10</w:t>
      </w:r>
      <w:r w:rsidR="006244D6" w:rsidRPr="000F3911">
        <w:rPr>
          <w:rFonts w:ascii="Times New Roman" w:eastAsiaTheme="minorHAnsi"/>
          <w:noProof/>
          <w:kern w:val="0"/>
        </w:rPr>
        <w:t xml:space="preserve"> </w:t>
      </w:r>
      <w:r w:rsidRPr="000F3911">
        <w:rPr>
          <w:rFonts w:ascii="Times New Roman" w:eastAsiaTheme="minorHAnsi"/>
          <w:noProof/>
          <w:kern w:val="0"/>
        </w:rPr>
        <w:t>October</w:t>
      </w:r>
      <w:r w:rsidR="006244D6" w:rsidRPr="000F3911">
        <w:rPr>
          <w:rFonts w:ascii="Times New Roman" w:eastAsiaTheme="minorHAnsi"/>
          <w:noProof/>
          <w:kern w:val="0"/>
        </w:rPr>
        <w:t xml:space="preserve"> </w:t>
      </w:r>
      <w:r w:rsidRPr="000F3911">
        <w:rPr>
          <w:rFonts w:ascii="Times New Roman" w:eastAsiaTheme="minorHAnsi"/>
          <w:noProof/>
          <w:kern w:val="0"/>
        </w:rPr>
        <w:t>2017).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Hou,</w:t>
      </w:r>
      <w:r w:rsidR="006244D6" w:rsidRPr="000F3911">
        <w:rPr>
          <w:rFonts w:ascii="Times New Roman" w:eastAsiaTheme="minorHAnsi"/>
          <w:noProof/>
          <w:kern w:val="0"/>
        </w:rPr>
        <w:t xml:space="preserve"> </w:t>
      </w:r>
      <w:r w:rsidRPr="000F3911">
        <w:rPr>
          <w:rFonts w:ascii="Times New Roman" w:eastAsiaTheme="minorHAnsi"/>
          <w:noProof/>
          <w:kern w:val="0"/>
        </w:rPr>
        <w:t>Y.</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‘Comparing</w:t>
      </w:r>
      <w:r w:rsidR="006244D6" w:rsidRPr="000F3911">
        <w:rPr>
          <w:rFonts w:ascii="Times New Roman" w:eastAsiaTheme="minorHAnsi"/>
          <w:noProof/>
          <w:kern w:val="0"/>
        </w:rPr>
        <w:t xml:space="preserve"> </w:t>
      </w:r>
      <w:r w:rsidRPr="000F3911">
        <w:rPr>
          <w:rFonts w:ascii="Times New Roman" w:eastAsiaTheme="minorHAnsi"/>
          <w:noProof/>
          <w:kern w:val="0"/>
        </w:rPr>
        <w:t>effects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laminoplasty</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surgical</w:t>
      </w:r>
      <w:r w:rsidR="006244D6" w:rsidRPr="000F3911">
        <w:rPr>
          <w:rFonts w:ascii="Times New Roman" w:eastAsiaTheme="minorHAnsi"/>
          <w:noProof/>
          <w:kern w:val="0"/>
        </w:rPr>
        <w:t xml:space="preserve"> </w:t>
      </w:r>
      <w:r w:rsidRPr="000F3911">
        <w:rPr>
          <w:rFonts w:ascii="Times New Roman" w:eastAsiaTheme="minorHAnsi"/>
          <w:noProof/>
          <w:kern w:val="0"/>
        </w:rPr>
        <w:t>management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ossification</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longitudinal</w:t>
      </w:r>
      <w:r w:rsidR="006244D6" w:rsidRPr="000F3911">
        <w:rPr>
          <w:rFonts w:ascii="Times New Roman" w:eastAsiaTheme="minorHAnsi"/>
          <w:noProof/>
          <w:kern w:val="0"/>
        </w:rPr>
        <w:t xml:space="preserve"> </w:t>
      </w:r>
      <w:r w:rsidRPr="000F3911">
        <w:rPr>
          <w:rFonts w:ascii="Times New Roman" w:eastAsiaTheme="minorHAnsi"/>
          <w:noProof/>
          <w:kern w:val="0"/>
        </w:rPr>
        <w:t>ligament</w:t>
      </w:r>
      <w:r w:rsidR="006244D6" w:rsidRPr="000F3911">
        <w:rPr>
          <w:rFonts w:ascii="Times New Roman" w:eastAsiaTheme="minorHAnsi"/>
          <w:noProof/>
          <w:kern w:val="0"/>
        </w:rPr>
        <w:t xml:space="preserve"> </w:t>
      </w:r>
      <w:r w:rsidRPr="000F3911">
        <w:rPr>
          <w:rFonts w:ascii="Times New Roman" w:eastAsiaTheme="minorHAnsi"/>
          <w:noProof/>
          <w:kern w:val="0"/>
        </w:rPr>
        <w:t>by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prospective</w:t>
      </w:r>
      <w:r w:rsidR="006244D6" w:rsidRPr="000F3911">
        <w:rPr>
          <w:rFonts w:ascii="Times New Roman" w:eastAsiaTheme="minorHAnsi"/>
          <w:noProof/>
          <w:kern w:val="0"/>
        </w:rPr>
        <w:t xml:space="preserve"> </w:t>
      </w:r>
      <w:r w:rsidRPr="000F3911">
        <w:rPr>
          <w:rFonts w:ascii="Times New Roman" w:eastAsiaTheme="minorHAnsi"/>
          <w:noProof/>
          <w:kern w:val="0"/>
        </w:rPr>
        <w:t>nonrandomized</w:t>
      </w:r>
      <w:r w:rsidR="006244D6" w:rsidRPr="000F3911">
        <w:rPr>
          <w:rFonts w:ascii="Times New Roman" w:eastAsiaTheme="minorHAnsi"/>
          <w:noProof/>
          <w:kern w:val="0"/>
        </w:rPr>
        <w:t xml:space="preserve"> </w:t>
      </w:r>
      <w:r w:rsidRPr="000F3911">
        <w:rPr>
          <w:rFonts w:ascii="Times New Roman" w:eastAsiaTheme="minorHAnsi"/>
          <w:noProof/>
          <w:kern w:val="0"/>
        </w:rPr>
        <w:t>controlled</w:t>
      </w:r>
      <w:r w:rsidR="006244D6" w:rsidRPr="000F3911">
        <w:rPr>
          <w:rFonts w:ascii="Times New Roman" w:eastAsiaTheme="minorHAnsi"/>
          <w:noProof/>
          <w:kern w:val="0"/>
        </w:rPr>
        <w:t xml:space="preserve"> </w:t>
      </w:r>
      <w:r w:rsidRPr="000F3911">
        <w:rPr>
          <w:rFonts w:ascii="Times New Roman" w:eastAsiaTheme="minorHAnsi"/>
          <w:noProof/>
          <w:kern w:val="0"/>
        </w:rPr>
        <w:t>study.’,</w:t>
      </w:r>
      <w:r w:rsidR="006244D6" w:rsidRPr="000F3911">
        <w:rPr>
          <w:rFonts w:ascii="Times New Roman" w:eastAsiaTheme="minorHAnsi"/>
          <w:noProof/>
          <w:kern w:val="0"/>
        </w:rPr>
        <w:t xml:space="preserve"> </w:t>
      </w:r>
      <w:r w:rsidRPr="000F3911">
        <w:rPr>
          <w:rFonts w:ascii="Times New Roman" w:eastAsiaTheme="minorHAnsi"/>
          <w:i/>
          <w:iCs/>
          <w:noProof/>
          <w:kern w:val="0"/>
        </w:rPr>
        <w:t>Orthopaedics</w:t>
      </w:r>
      <w:r w:rsidR="006244D6" w:rsidRPr="000F3911">
        <w:rPr>
          <w:rFonts w:ascii="Times New Roman" w:eastAsiaTheme="minorHAnsi"/>
          <w:i/>
          <w:iCs/>
          <w:noProof/>
          <w:kern w:val="0"/>
        </w:rPr>
        <w:t xml:space="preserve"> &amp; </w:t>
      </w:r>
      <w:r w:rsidRPr="000F3911">
        <w:rPr>
          <w:rFonts w:ascii="Times New Roman" w:eastAsiaTheme="minorHAnsi"/>
          <w:i/>
          <w:iCs/>
          <w:noProof/>
          <w:kern w:val="0"/>
        </w:rPr>
        <w:t>traumatology,</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006244D6" w:rsidRPr="000F3911">
        <w:rPr>
          <w:rFonts w:ascii="Times New Roman" w:eastAsiaTheme="minorHAnsi"/>
          <w:i/>
          <w:iCs/>
          <w:noProof/>
          <w:kern w:val="0"/>
        </w:rPr>
        <w:t xml:space="preserve"> &amp; </w:t>
      </w:r>
      <w:r w:rsidRPr="000F3911">
        <w:rPr>
          <w:rFonts w:ascii="Times New Roman" w:eastAsiaTheme="minorHAnsi"/>
          <w:i/>
          <w:iCs/>
          <w:noProof/>
          <w:kern w:val="0"/>
        </w:rPr>
        <w:t>research :</w:t>
      </w:r>
      <w:r w:rsidR="006244D6" w:rsidRPr="000F3911">
        <w:rPr>
          <w:rFonts w:ascii="Times New Roman" w:eastAsiaTheme="minorHAnsi"/>
          <w:i/>
          <w:iCs/>
          <w:noProof/>
          <w:kern w:val="0"/>
        </w:rPr>
        <w:t xml:space="preserve"> </w:t>
      </w:r>
      <w:r w:rsidRPr="000F3911">
        <w:rPr>
          <w:rFonts w:ascii="Times New Roman" w:eastAsiaTheme="minorHAnsi"/>
          <w:i/>
          <w:iCs/>
          <w:noProof/>
          <w:kern w:val="0"/>
        </w:rPr>
        <w:t>OTSR</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France,</w:t>
      </w:r>
      <w:r w:rsidR="006244D6" w:rsidRPr="000F3911">
        <w:rPr>
          <w:rFonts w:ascii="Times New Roman" w:eastAsiaTheme="minorHAnsi"/>
          <w:noProof/>
          <w:kern w:val="0"/>
        </w:rPr>
        <w:t xml:space="preserve"> </w:t>
      </w:r>
      <w:r w:rsidRPr="000F3911">
        <w:rPr>
          <w:rFonts w:ascii="Times New Roman" w:eastAsiaTheme="minorHAnsi"/>
          <w:noProof/>
          <w:kern w:val="0"/>
        </w:rPr>
        <w:t>103(5),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733–740.</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10.1016/j.otsr.2017.05.011.</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Huang,</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(2016)</w:t>
      </w:r>
      <w:r w:rsidR="006244D6" w:rsidRPr="000F3911">
        <w:rPr>
          <w:rFonts w:ascii="Times New Roman" w:eastAsiaTheme="minorHAnsi"/>
          <w:noProof/>
          <w:kern w:val="0"/>
        </w:rPr>
        <w:t xml:space="preserve"> </w:t>
      </w:r>
      <w:r w:rsidRPr="000F3911">
        <w:rPr>
          <w:rFonts w:ascii="Times New Roman" w:eastAsiaTheme="minorHAnsi"/>
          <w:noProof/>
          <w:kern w:val="0"/>
        </w:rPr>
        <w:t>‘Return-to-Play</w:t>
      </w:r>
      <w:r w:rsidR="006244D6" w:rsidRPr="000F3911">
        <w:rPr>
          <w:rFonts w:ascii="Times New Roman" w:eastAsiaTheme="minorHAnsi"/>
          <w:noProof/>
          <w:kern w:val="0"/>
        </w:rPr>
        <w:t xml:space="preserve"> </w:t>
      </w:r>
      <w:r w:rsidRPr="000F3911">
        <w:rPr>
          <w:rFonts w:ascii="Times New Roman" w:eastAsiaTheme="minorHAnsi"/>
          <w:noProof/>
          <w:kern w:val="0"/>
        </w:rPr>
        <w:t>Recommendations</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Thoracic,</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Lumbar</w:t>
      </w:r>
      <w:r w:rsidR="006244D6" w:rsidRPr="000F3911">
        <w:rPr>
          <w:rFonts w:ascii="Times New Roman" w:eastAsiaTheme="minorHAnsi"/>
          <w:noProof/>
          <w:kern w:val="0"/>
        </w:rPr>
        <w:t xml:space="preserve"> </w:t>
      </w:r>
      <w:r w:rsidRPr="000F3911">
        <w:rPr>
          <w:rFonts w:ascii="Times New Roman" w:eastAsiaTheme="minorHAnsi"/>
          <w:noProof/>
          <w:kern w:val="0"/>
        </w:rPr>
        <w:t>Spine</w:t>
      </w:r>
      <w:r w:rsidR="006244D6" w:rsidRPr="000F3911">
        <w:rPr>
          <w:rFonts w:ascii="Times New Roman" w:eastAsiaTheme="minorHAnsi"/>
          <w:noProof/>
          <w:kern w:val="0"/>
        </w:rPr>
        <w:t xml:space="preserve"> </w:t>
      </w:r>
      <w:r w:rsidRPr="000F3911">
        <w:rPr>
          <w:rFonts w:ascii="Times New Roman" w:eastAsiaTheme="minorHAnsi"/>
          <w:noProof/>
          <w:kern w:val="0"/>
        </w:rPr>
        <w:t>Injuries’,</w:t>
      </w:r>
      <w:r w:rsidR="006244D6" w:rsidRPr="000F3911">
        <w:rPr>
          <w:rFonts w:ascii="Times New Roman" w:eastAsiaTheme="minorHAnsi"/>
          <w:noProof/>
          <w:kern w:val="0"/>
        </w:rPr>
        <w:t xml:space="preserve"> </w:t>
      </w:r>
      <w:r w:rsidRPr="000F3911">
        <w:rPr>
          <w:rFonts w:ascii="Times New Roman" w:eastAsiaTheme="minorHAnsi"/>
          <w:i/>
          <w:iCs/>
          <w:noProof/>
          <w:kern w:val="0"/>
        </w:rPr>
        <w:t>Sports</w:t>
      </w:r>
      <w:r w:rsidR="006244D6" w:rsidRPr="000F3911">
        <w:rPr>
          <w:rFonts w:ascii="Times New Roman" w:eastAsiaTheme="minorHAnsi"/>
          <w:i/>
          <w:iCs/>
          <w:noProof/>
          <w:kern w:val="0"/>
        </w:rPr>
        <w:t xml:space="preserve"> </w:t>
      </w:r>
      <w:r w:rsidRPr="000F3911">
        <w:rPr>
          <w:rFonts w:ascii="Times New Roman" w:eastAsiaTheme="minorHAnsi"/>
          <w:i/>
          <w:iCs/>
          <w:noProof/>
          <w:kern w:val="0"/>
        </w:rPr>
        <w:t>Health:</w:t>
      </w:r>
      <w:r w:rsidR="006244D6" w:rsidRPr="000F3911">
        <w:rPr>
          <w:rFonts w:ascii="Times New Roman" w:eastAsiaTheme="minorHAnsi"/>
          <w:i/>
          <w:iCs/>
          <w:noProof/>
          <w:kern w:val="0"/>
        </w:rPr>
        <w:t xml:space="preserve"> </w:t>
      </w:r>
      <w:r w:rsidRPr="000F3911">
        <w:rPr>
          <w:rFonts w:ascii="Times New Roman" w:eastAsiaTheme="minorHAnsi"/>
          <w:i/>
          <w:iCs/>
          <w:noProof/>
          <w:kern w:val="0"/>
        </w:rPr>
        <w:t>A</w:t>
      </w:r>
      <w:r w:rsidR="006244D6" w:rsidRPr="000F3911">
        <w:rPr>
          <w:rFonts w:ascii="Times New Roman" w:eastAsiaTheme="minorHAnsi"/>
          <w:i/>
          <w:iCs/>
          <w:noProof/>
          <w:kern w:val="0"/>
        </w:rPr>
        <w:t xml:space="preserve"> </w:t>
      </w:r>
      <w:r w:rsidRPr="000F3911">
        <w:rPr>
          <w:rFonts w:ascii="Times New Roman" w:eastAsiaTheme="minorHAnsi"/>
          <w:i/>
          <w:iCs/>
          <w:noProof/>
          <w:kern w:val="0"/>
        </w:rPr>
        <w:t>Multidisciplinary</w:t>
      </w:r>
      <w:r w:rsidR="006244D6" w:rsidRPr="000F3911">
        <w:rPr>
          <w:rFonts w:ascii="Times New Roman" w:eastAsiaTheme="minorHAnsi"/>
          <w:i/>
          <w:iCs/>
          <w:noProof/>
          <w:kern w:val="0"/>
        </w:rPr>
        <w:t xml:space="preserve"> </w:t>
      </w:r>
      <w:r w:rsidRPr="000F3911">
        <w:rPr>
          <w:rFonts w:ascii="Times New Roman" w:eastAsiaTheme="minorHAnsi"/>
          <w:i/>
          <w:iCs/>
          <w:noProof/>
          <w:kern w:val="0"/>
        </w:rPr>
        <w:t>Approach</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8(1),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19–25.</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10.1177/1941738115610753.</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Joseph,</w:t>
      </w:r>
      <w:r w:rsidR="006244D6" w:rsidRPr="000F3911">
        <w:rPr>
          <w:rFonts w:ascii="Times New Roman" w:eastAsiaTheme="minorHAnsi"/>
          <w:noProof/>
          <w:kern w:val="0"/>
        </w:rPr>
        <w:t xml:space="preserve"> </w:t>
      </w:r>
      <w:r w:rsidRPr="000F3911">
        <w:rPr>
          <w:rFonts w:ascii="Times New Roman" w:eastAsiaTheme="minorHAnsi"/>
          <w:noProof/>
          <w:kern w:val="0"/>
        </w:rPr>
        <w:t>V.,</w:t>
      </w:r>
      <w:r w:rsidR="006244D6" w:rsidRPr="000F3911">
        <w:rPr>
          <w:rFonts w:ascii="Times New Roman" w:eastAsiaTheme="minorHAnsi"/>
          <w:noProof/>
          <w:kern w:val="0"/>
        </w:rPr>
        <w:t xml:space="preserve"> </w:t>
      </w:r>
      <w:r w:rsidRPr="000F3911">
        <w:rPr>
          <w:rFonts w:ascii="Times New Roman" w:eastAsiaTheme="minorHAnsi"/>
          <w:noProof/>
          <w:kern w:val="0"/>
        </w:rPr>
        <w:t>Kumar,</w:t>
      </w:r>
      <w:r w:rsidR="006244D6" w:rsidRPr="000F3911">
        <w:rPr>
          <w:rFonts w:ascii="Times New Roman" w:eastAsiaTheme="minorHAnsi"/>
          <w:noProof/>
          <w:kern w:val="0"/>
        </w:rPr>
        <w:t xml:space="preserve"> </w:t>
      </w:r>
      <w:r w:rsidRPr="000F3911">
        <w:rPr>
          <w:rFonts w:ascii="Times New Roman" w:eastAsiaTheme="minorHAnsi"/>
          <w:noProof/>
          <w:kern w:val="0"/>
        </w:rPr>
        <w:t>G.</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Rajshekhar,</w:t>
      </w:r>
      <w:r w:rsidR="006244D6" w:rsidRPr="000F3911">
        <w:rPr>
          <w:rFonts w:ascii="Times New Roman" w:eastAsiaTheme="minorHAnsi"/>
          <w:noProof/>
          <w:kern w:val="0"/>
        </w:rPr>
        <w:t xml:space="preserve"> </w:t>
      </w:r>
      <w:r w:rsidRPr="000F3911">
        <w:rPr>
          <w:rFonts w:ascii="Times New Roman" w:eastAsiaTheme="minorHAnsi"/>
          <w:noProof/>
          <w:kern w:val="0"/>
        </w:rPr>
        <w:t>V.</w:t>
      </w:r>
      <w:r w:rsidR="006244D6" w:rsidRPr="000F3911">
        <w:rPr>
          <w:rFonts w:ascii="Times New Roman" w:eastAsiaTheme="minorHAnsi"/>
          <w:noProof/>
          <w:kern w:val="0"/>
        </w:rPr>
        <w:t xml:space="preserve"> </w:t>
      </w:r>
      <w:r w:rsidRPr="000F3911">
        <w:rPr>
          <w:rFonts w:ascii="Times New Roman" w:eastAsiaTheme="minorHAnsi"/>
          <w:noProof/>
          <w:kern w:val="0"/>
        </w:rPr>
        <w:t>(2009)</w:t>
      </w:r>
      <w:r w:rsidR="006244D6" w:rsidRPr="000F3911">
        <w:rPr>
          <w:rFonts w:ascii="Times New Roman" w:eastAsiaTheme="minorHAnsi"/>
          <w:noProof/>
          <w:kern w:val="0"/>
        </w:rPr>
        <w:t xml:space="preserve"> </w:t>
      </w:r>
      <w:r w:rsidRPr="000F3911">
        <w:rPr>
          <w:rFonts w:ascii="Times New Roman" w:eastAsiaTheme="minorHAnsi"/>
          <w:noProof/>
          <w:kern w:val="0"/>
        </w:rPr>
        <w:t>‘Cerebrospinal</w:t>
      </w:r>
      <w:r w:rsidR="006244D6" w:rsidRPr="000F3911">
        <w:rPr>
          <w:rFonts w:ascii="Times New Roman" w:eastAsiaTheme="minorHAnsi"/>
          <w:noProof/>
          <w:kern w:val="0"/>
        </w:rPr>
        <w:t xml:space="preserve"> </w:t>
      </w:r>
      <w:r w:rsidRPr="000F3911">
        <w:rPr>
          <w:rFonts w:ascii="Times New Roman" w:eastAsiaTheme="minorHAnsi"/>
          <w:noProof/>
          <w:kern w:val="0"/>
        </w:rPr>
        <w:t>fluid</w:t>
      </w:r>
      <w:r w:rsidR="006244D6" w:rsidRPr="000F3911">
        <w:rPr>
          <w:rFonts w:ascii="Times New Roman" w:eastAsiaTheme="minorHAnsi"/>
          <w:noProof/>
          <w:kern w:val="0"/>
        </w:rPr>
        <w:t xml:space="preserve"> </w:t>
      </w:r>
      <w:r w:rsidRPr="000F3911">
        <w:rPr>
          <w:rFonts w:ascii="Times New Roman" w:eastAsiaTheme="minorHAnsi"/>
          <w:noProof/>
          <w:kern w:val="0"/>
        </w:rPr>
        <w:t>leak</w:t>
      </w:r>
      <w:r w:rsidR="006244D6" w:rsidRPr="000F3911">
        <w:rPr>
          <w:rFonts w:ascii="Times New Roman" w:eastAsiaTheme="minorHAnsi"/>
          <w:noProof/>
          <w:kern w:val="0"/>
        </w:rPr>
        <w:t xml:space="preserve"> </w:t>
      </w:r>
      <w:r w:rsidRPr="000F3911">
        <w:rPr>
          <w:rFonts w:ascii="Times New Roman" w:eastAsiaTheme="minorHAnsi"/>
          <w:noProof/>
          <w:kern w:val="0"/>
        </w:rPr>
        <w:t>during</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ossified</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longitudinal</w:t>
      </w:r>
      <w:r w:rsidR="006244D6" w:rsidRPr="000F3911">
        <w:rPr>
          <w:rFonts w:ascii="Times New Roman" w:eastAsiaTheme="minorHAnsi"/>
          <w:noProof/>
          <w:kern w:val="0"/>
        </w:rPr>
        <w:t xml:space="preserve"> </w:t>
      </w:r>
      <w:r w:rsidRPr="000F3911">
        <w:rPr>
          <w:rFonts w:ascii="Times New Roman" w:eastAsiaTheme="minorHAnsi"/>
          <w:noProof/>
          <w:kern w:val="0"/>
        </w:rPr>
        <w:t>ligament:</w:t>
      </w:r>
      <w:r w:rsidR="006244D6" w:rsidRPr="000F3911">
        <w:rPr>
          <w:rFonts w:ascii="Times New Roman" w:eastAsiaTheme="minorHAnsi"/>
          <w:noProof/>
          <w:kern w:val="0"/>
        </w:rPr>
        <w:t xml:space="preserve"> </w:t>
      </w:r>
      <w:r w:rsidRPr="000F3911">
        <w:rPr>
          <w:rFonts w:ascii="Times New Roman" w:eastAsiaTheme="minorHAnsi"/>
          <w:noProof/>
          <w:kern w:val="0"/>
        </w:rPr>
        <w:t>incidence,</w:t>
      </w:r>
      <w:r w:rsidR="006244D6" w:rsidRPr="000F3911">
        <w:rPr>
          <w:rFonts w:ascii="Times New Roman" w:eastAsiaTheme="minorHAnsi"/>
          <w:noProof/>
          <w:kern w:val="0"/>
        </w:rPr>
        <w:t xml:space="preserve"> </w:t>
      </w:r>
      <w:r w:rsidRPr="000F3911">
        <w:rPr>
          <w:rFonts w:ascii="Times New Roman" w:eastAsiaTheme="minorHAnsi"/>
          <w:noProof/>
          <w:kern w:val="0"/>
        </w:rPr>
        <w:t>management,</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outcome’,</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34(5),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491–494.</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10.1097/BRS.0b013e318195d245.</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Kaiser,</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G.</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(2002)</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plating</w:t>
      </w:r>
      <w:r w:rsidR="006244D6" w:rsidRPr="000F3911">
        <w:rPr>
          <w:rFonts w:ascii="Times New Roman" w:eastAsiaTheme="minorHAnsi"/>
          <w:noProof/>
          <w:kern w:val="0"/>
        </w:rPr>
        <w:t xml:space="preserve"> </w:t>
      </w:r>
      <w:r w:rsidRPr="000F3911">
        <w:rPr>
          <w:rFonts w:ascii="Times New Roman" w:eastAsiaTheme="minorHAnsi"/>
          <w:noProof/>
          <w:kern w:val="0"/>
        </w:rPr>
        <w:t>enhances</w:t>
      </w:r>
      <w:r w:rsidR="006244D6" w:rsidRPr="000F3911">
        <w:rPr>
          <w:rFonts w:ascii="Times New Roman" w:eastAsiaTheme="minorHAnsi"/>
          <w:noProof/>
          <w:kern w:val="0"/>
        </w:rPr>
        <w:t xml:space="preserve"> </w:t>
      </w:r>
      <w:r w:rsidRPr="000F3911">
        <w:rPr>
          <w:rFonts w:ascii="Times New Roman" w:eastAsiaTheme="minorHAnsi"/>
          <w:noProof/>
          <w:kern w:val="0"/>
        </w:rPr>
        <w:t>arthrodesis</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with</w:t>
      </w:r>
      <w:r w:rsidR="006244D6" w:rsidRPr="000F3911">
        <w:rPr>
          <w:rFonts w:ascii="Times New Roman" w:eastAsiaTheme="minorHAnsi"/>
          <w:noProof/>
          <w:kern w:val="0"/>
        </w:rPr>
        <w:t xml:space="preserve"> </w:t>
      </w:r>
      <w:r w:rsidRPr="000F3911">
        <w:rPr>
          <w:rFonts w:ascii="Times New Roman" w:eastAsiaTheme="minorHAnsi"/>
          <w:noProof/>
          <w:kern w:val="0"/>
        </w:rPr>
        <w:t>cortical</w:t>
      </w:r>
      <w:r w:rsidR="006244D6" w:rsidRPr="000F3911">
        <w:rPr>
          <w:rFonts w:ascii="Times New Roman" w:eastAsiaTheme="minorHAnsi"/>
          <w:noProof/>
          <w:kern w:val="0"/>
        </w:rPr>
        <w:t xml:space="preserve"> </w:t>
      </w:r>
      <w:r w:rsidRPr="000F3911">
        <w:rPr>
          <w:rFonts w:ascii="Times New Roman" w:eastAsiaTheme="minorHAnsi"/>
          <w:noProof/>
          <w:kern w:val="0"/>
        </w:rPr>
        <w:t>allograft.’,</w:t>
      </w:r>
      <w:r w:rsidR="006244D6" w:rsidRPr="000F3911">
        <w:rPr>
          <w:rFonts w:ascii="Times New Roman" w:eastAsiaTheme="minorHAnsi"/>
          <w:noProof/>
          <w:kern w:val="0"/>
        </w:rPr>
        <w:t xml:space="preserve"> </w:t>
      </w:r>
      <w:r w:rsidRPr="000F3911">
        <w:rPr>
          <w:rFonts w:ascii="Times New Roman" w:eastAsiaTheme="minorHAnsi"/>
          <w:i/>
          <w:iCs/>
          <w:noProof/>
          <w:kern w:val="0"/>
        </w:rPr>
        <w:t>Neurosurgery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50(2),</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228–229.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Kalsi-Ryan,</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Karadimas,</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K.</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Fehlings,</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G.</w:t>
      </w:r>
      <w:r w:rsidR="006244D6" w:rsidRPr="000F3911">
        <w:rPr>
          <w:rFonts w:ascii="Times New Roman" w:eastAsiaTheme="minorHAnsi"/>
          <w:noProof/>
          <w:kern w:val="0"/>
        </w:rPr>
        <w:t xml:space="preserve"> </w:t>
      </w:r>
      <w:r w:rsidRPr="000F3911">
        <w:rPr>
          <w:rFonts w:ascii="Times New Roman" w:eastAsiaTheme="minorHAnsi"/>
          <w:noProof/>
          <w:kern w:val="0"/>
        </w:rPr>
        <w:t>(2013)</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clinical</w:t>
      </w:r>
      <w:r w:rsidR="006244D6" w:rsidRPr="000F3911">
        <w:rPr>
          <w:rFonts w:ascii="Times New Roman" w:eastAsiaTheme="minorHAnsi"/>
          <w:noProof/>
          <w:kern w:val="0"/>
        </w:rPr>
        <w:t xml:space="preserve"> </w:t>
      </w:r>
      <w:r w:rsidRPr="000F3911">
        <w:rPr>
          <w:rFonts w:ascii="Times New Roman" w:eastAsiaTheme="minorHAnsi"/>
          <w:noProof/>
          <w:kern w:val="0"/>
        </w:rPr>
        <w:t>phenomenon</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current</w:t>
      </w:r>
      <w:r w:rsidR="006244D6" w:rsidRPr="000F3911">
        <w:rPr>
          <w:rFonts w:ascii="Times New Roman" w:eastAsiaTheme="minorHAnsi"/>
          <w:noProof/>
          <w:kern w:val="0"/>
        </w:rPr>
        <w:t xml:space="preserve"> </w:t>
      </w:r>
      <w:r w:rsidRPr="000F3911">
        <w:rPr>
          <w:rFonts w:ascii="Times New Roman" w:eastAsiaTheme="minorHAnsi"/>
          <w:noProof/>
          <w:kern w:val="0"/>
        </w:rPr>
        <w:t>pathobiology</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an</w:t>
      </w:r>
      <w:r w:rsidR="006244D6" w:rsidRPr="000F3911">
        <w:rPr>
          <w:rFonts w:ascii="Times New Roman" w:eastAsiaTheme="minorHAnsi"/>
          <w:noProof/>
          <w:kern w:val="0"/>
        </w:rPr>
        <w:t xml:space="preserve"> </w:t>
      </w:r>
      <w:r w:rsidRPr="000F3911">
        <w:rPr>
          <w:rFonts w:ascii="Times New Roman" w:eastAsiaTheme="minorHAnsi"/>
          <w:noProof/>
          <w:kern w:val="0"/>
        </w:rPr>
        <w:t>increasingly</w:t>
      </w:r>
      <w:r w:rsidR="006244D6" w:rsidRPr="000F3911">
        <w:rPr>
          <w:rFonts w:ascii="Times New Roman" w:eastAsiaTheme="minorHAnsi"/>
          <w:noProof/>
          <w:kern w:val="0"/>
        </w:rPr>
        <w:t xml:space="preserve"> </w:t>
      </w:r>
      <w:r w:rsidRPr="000F3911">
        <w:rPr>
          <w:rFonts w:ascii="Times New Roman" w:eastAsiaTheme="minorHAnsi"/>
          <w:noProof/>
          <w:kern w:val="0"/>
        </w:rPr>
        <w:t>prevalent</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devastating</w:t>
      </w:r>
      <w:r w:rsidR="006244D6" w:rsidRPr="000F3911">
        <w:rPr>
          <w:rFonts w:ascii="Times New Roman" w:eastAsiaTheme="minorHAnsi"/>
          <w:noProof/>
          <w:kern w:val="0"/>
        </w:rPr>
        <w:t xml:space="preserve"> </w:t>
      </w:r>
      <w:r w:rsidRPr="000F3911">
        <w:rPr>
          <w:rFonts w:ascii="Times New Roman" w:eastAsiaTheme="minorHAnsi"/>
          <w:noProof/>
          <w:kern w:val="0"/>
        </w:rPr>
        <w:t>disorder.’,</w:t>
      </w:r>
      <w:r w:rsidR="006244D6" w:rsidRPr="000F3911">
        <w:rPr>
          <w:rFonts w:ascii="Times New Roman" w:eastAsiaTheme="minorHAnsi"/>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Neuroscientist :</w:t>
      </w:r>
      <w:r w:rsidR="006244D6" w:rsidRPr="000F3911">
        <w:rPr>
          <w:rFonts w:ascii="Times New Roman" w:eastAsiaTheme="minorHAnsi"/>
          <w:i/>
          <w:iCs/>
          <w:noProof/>
          <w:kern w:val="0"/>
        </w:rPr>
        <w:t xml:space="preserve"> </w:t>
      </w:r>
      <w:r w:rsidRPr="000F3911">
        <w:rPr>
          <w:rFonts w:ascii="Times New Roman" w:eastAsiaTheme="minorHAnsi"/>
          <w:i/>
          <w:iCs/>
          <w:noProof/>
          <w:kern w:val="0"/>
        </w:rPr>
        <w:t>a</w:t>
      </w:r>
      <w:r w:rsidR="006244D6" w:rsidRPr="000F3911">
        <w:rPr>
          <w:rFonts w:ascii="Times New Roman" w:eastAsiaTheme="minorHAnsi"/>
          <w:i/>
          <w:iCs/>
          <w:noProof/>
          <w:kern w:val="0"/>
        </w:rPr>
        <w:t xml:space="preserve"> </w:t>
      </w:r>
      <w:r w:rsidRPr="000F3911">
        <w:rPr>
          <w:rFonts w:ascii="Times New Roman" w:eastAsiaTheme="minorHAnsi"/>
          <w:i/>
          <w:iCs/>
          <w:noProof/>
          <w:kern w:val="0"/>
        </w:rPr>
        <w:lastRenderedPageBreak/>
        <w:t>review</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bringing</w:t>
      </w:r>
      <w:r w:rsidR="006244D6" w:rsidRPr="000F3911">
        <w:rPr>
          <w:rFonts w:ascii="Times New Roman" w:eastAsiaTheme="minorHAnsi"/>
          <w:i/>
          <w:iCs/>
          <w:noProof/>
          <w:kern w:val="0"/>
        </w:rPr>
        <w:t xml:space="preserve"> </w:t>
      </w:r>
      <w:r w:rsidRPr="000F3911">
        <w:rPr>
          <w:rFonts w:ascii="Times New Roman" w:eastAsiaTheme="minorHAnsi"/>
          <w:i/>
          <w:iCs/>
          <w:noProof/>
          <w:kern w:val="0"/>
        </w:rPr>
        <w:t>neurobiology,</w:t>
      </w:r>
      <w:r w:rsidR="006244D6" w:rsidRPr="000F3911">
        <w:rPr>
          <w:rFonts w:ascii="Times New Roman" w:eastAsiaTheme="minorHAnsi"/>
          <w:i/>
          <w:iCs/>
          <w:noProof/>
          <w:kern w:val="0"/>
        </w:rPr>
        <w:t xml:space="preserve"> </w:t>
      </w:r>
      <w:r w:rsidRPr="000F3911">
        <w:rPr>
          <w:rFonts w:ascii="Times New Roman" w:eastAsiaTheme="minorHAnsi"/>
          <w:i/>
          <w:iCs/>
          <w:noProof/>
          <w:kern w:val="0"/>
        </w:rPr>
        <w:t>neurology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psychiatry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19(4),</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409–421.</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10.1177/1073858412467377.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Khanna,</w:t>
      </w:r>
      <w:r w:rsidR="006244D6" w:rsidRPr="000F3911">
        <w:rPr>
          <w:rFonts w:ascii="Times New Roman" w:eastAsiaTheme="minorHAnsi"/>
          <w:noProof/>
          <w:kern w:val="0"/>
        </w:rPr>
        <w:t xml:space="preserve"> </w:t>
      </w:r>
      <w:r w:rsidRPr="000F3911">
        <w:rPr>
          <w:rFonts w:ascii="Times New Roman" w:eastAsiaTheme="minorHAnsi"/>
          <w:noProof/>
          <w:kern w:val="0"/>
        </w:rPr>
        <w:t>R.</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‘Comparing</w:t>
      </w:r>
      <w:r w:rsidR="006244D6" w:rsidRPr="000F3911">
        <w:rPr>
          <w:rFonts w:ascii="Times New Roman" w:eastAsiaTheme="minorHAnsi"/>
          <w:noProof/>
          <w:kern w:val="0"/>
        </w:rPr>
        <w:t xml:space="preserve"> </w:t>
      </w:r>
      <w:r w:rsidRPr="000F3911">
        <w:rPr>
          <w:rFonts w:ascii="Times New Roman" w:eastAsiaTheme="minorHAnsi"/>
          <w:noProof/>
          <w:kern w:val="0"/>
        </w:rPr>
        <w:t>Short-term</w:t>
      </w:r>
      <w:r w:rsidR="006244D6" w:rsidRPr="000F3911">
        <w:rPr>
          <w:rFonts w:ascii="Times New Roman" w:eastAsiaTheme="minorHAnsi"/>
          <w:noProof/>
          <w:kern w:val="0"/>
        </w:rPr>
        <w:t xml:space="preserve"> </w:t>
      </w:r>
      <w:r w:rsidRPr="000F3911">
        <w:rPr>
          <w:rFonts w:ascii="Times New Roman" w:eastAsiaTheme="minorHAnsi"/>
          <w:noProof/>
          <w:kern w:val="0"/>
        </w:rPr>
        <w:t>Complications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Inpatient</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Outpatient</w:t>
      </w:r>
      <w:r w:rsidR="006244D6" w:rsidRPr="000F3911">
        <w:rPr>
          <w:rFonts w:ascii="Times New Roman" w:eastAsiaTheme="minorHAnsi"/>
          <w:noProof/>
          <w:kern w:val="0"/>
        </w:rPr>
        <w:t xml:space="preserve"> </w:t>
      </w:r>
      <w:r w:rsidRPr="000F3911">
        <w:rPr>
          <w:rFonts w:ascii="Times New Roman" w:eastAsiaTheme="minorHAnsi"/>
          <w:noProof/>
          <w:kern w:val="0"/>
        </w:rPr>
        <w:t>Single-level</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An</w:t>
      </w:r>
      <w:r w:rsidR="006244D6" w:rsidRPr="000F3911">
        <w:rPr>
          <w:rFonts w:ascii="Times New Roman" w:eastAsiaTheme="minorHAnsi"/>
          <w:noProof/>
          <w:kern w:val="0"/>
        </w:rPr>
        <w:t xml:space="preserve"> </w:t>
      </w:r>
      <w:r w:rsidRPr="000F3911">
        <w:rPr>
          <w:rFonts w:ascii="Times New Roman" w:eastAsiaTheme="minorHAnsi"/>
          <w:noProof/>
          <w:kern w:val="0"/>
        </w:rPr>
        <w:t>Analysis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6940</w:t>
      </w:r>
      <w:r w:rsidR="006244D6" w:rsidRPr="000F3911">
        <w:rPr>
          <w:rFonts w:ascii="Times New Roman" w:eastAsiaTheme="minorHAnsi"/>
          <w:noProof/>
          <w:kern w:val="0"/>
        </w:rPr>
        <w:t xml:space="preserve"> </w:t>
      </w:r>
      <w:r w:rsidRPr="000F3911">
        <w:rPr>
          <w:rFonts w:ascii="Times New Roman" w:eastAsiaTheme="minorHAnsi"/>
          <w:noProof/>
          <w:kern w:val="0"/>
        </w:rPr>
        <w:t>Patients</w:t>
      </w:r>
      <w:r w:rsidR="006244D6" w:rsidRPr="000F3911">
        <w:rPr>
          <w:rFonts w:ascii="Times New Roman" w:eastAsiaTheme="minorHAnsi"/>
          <w:noProof/>
          <w:kern w:val="0"/>
        </w:rPr>
        <w:t xml:space="preserve"> </w:t>
      </w:r>
      <w:r w:rsidRPr="000F3911">
        <w:rPr>
          <w:rFonts w:ascii="Times New Roman" w:eastAsiaTheme="minorHAnsi"/>
          <w:noProof/>
          <w:kern w:val="0"/>
        </w:rPr>
        <w:t>Using</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ACS-NSQIP</w:t>
      </w:r>
      <w:r w:rsidR="006244D6" w:rsidRPr="000F3911">
        <w:rPr>
          <w:rFonts w:ascii="Times New Roman" w:eastAsiaTheme="minorHAnsi"/>
          <w:noProof/>
          <w:kern w:val="0"/>
        </w:rPr>
        <w:t xml:space="preserve"> </w:t>
      </w:r>
      <w:r w:rsidRPr="000F3911">
        <w:rPr>
          <w:rFonts w:ascii="Times New Roman" w:eastAsiaTheme="minorHAnsi"/>
          <w:noProof/>
          <w:kern w:val="0"/>
        </w:rPr>
        <w:t>Database.’,</w:t>
      </w:r>
      <w:r w:rsidR="006244D6" w:rsidRPr="000F3911">
        <w:rPr>
          <w:rFonts w:ascii="Times New Roman" w:eastAsiaTheme="minorHAnsi"/>
          <w:noProof/>
          <w:kern w:val="0"/>
        </w:rPr>
        <w:t xml:space="preserve"> </w:t>
      </w:r>
      <w:r w:rsidRPr="000F3911">
        <w:rPr>
          <w:rFonts w:ascii="Times New Roman" w:eastAsiaTheme="minorHAnsi"/>
          <w:i/>
          <w:iCs/>
          <w:noProof/>
          <w:kern w:val="0"/>
        </w:rPr>
        <w:t>Clinical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10.1097/BSD.0000000000000499.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Koller,</w:t>
      </w:r>
      <w:r w:rsidR="006244D6" w:rsidRPr="000F3911">
        <w:rPr>
          <w:rFonts w:ascii="Times New Roman" w:eastAsiaTheme="minorHAnsi"/>
          <w:noProof/>
          <w:kern w:val="0"/>
        </w:rPr>
        <w:t xml:space="preserve"> </w:t>
      </w:r>
      <w:r w:rsidRPr="000F3911">
        <w:rPr>
          <w:rFonts w:ascii="Times New Roman" w:eastAsiaTheme="minorHAnsi"/>
          <w:noProof/>
          <w:kern w:val="0"/>
        </w:rPr>
        <w:t>H.</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(2007)</w:t>
      </w:r>
      <w:r w:rsidR="006244D6" w:rsidRPr="000F3911">
        <w:rPr>
          <w:rFonts w:ascii="Times New Roman" w:eastAsiaTheme="minorHAnsi"/>
          <w:noProof/>
          <w:kern w:val="0"/>
        </w:rPr>
        <w:t xml:space="preserve"> </w:t>
      </w:r>
      <w:r w:rsidRPr="000F3911">
        <w:rPr>
          <w:rFonts w:ascii="Times New Roman" w:eastAsiaTheme="minorHAnsi"/>
          <w:noProof/>
          <w:kern w:val="0"/>
        </w:rPr>
        <w:t>‘4-</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5-level</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fusions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spine:</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literature</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clinical</w:t>
      </w:r>
      <w:r w:rsidR="006244D6" w:rsidRPr="000F3911">
        <w:rPr>
          <w:rFonts w:ascii="Times New Roman" w:eastAsiaTheme="minorHAnsi"/>
          <w:noProof/>
          <w:kern w:val="0"/>
        </w:rPr>
        <w:t xml:space="preserve"> </w:t>
      </w:r>
      <w:r w:rsidRPr="000F3911">
        <w:rPr>
          <w:rFonts w:ascii="Times New Roman" w:eastAsiaTheme="minorHAnsi"/>
          <w:noProof/>
          <w:kern w:val="0"/>
        </w:rPr>
        <w:t>results’,</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16(12),</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2055–2071.</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10.1007/s00586-007-0398-7.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Kotani,</w:t>
      </w:r>
      <w:r w:rsidR="006244D6" w:rsidRPr="000F3911">
        <w:rPr>
          <w:rFonts w:ascii="Times New Roman" w:eastAsiaTheme="minorHAnsi"/>
          <w:noProof/>
          <w:kern w:val="0"/>
        </w:rPr>
        <w:t xml:space="preserve"> </w:t>
      </w:r>
      <w:r w:rsidRPr="000F3911">
        <w:rPr>
          <w:rFonts w:ascii="Times New Roman" w:eastAsiaTheme="minorHAnsi"/>
          <w:noProof/>
          <w:kern w:val="0"/>
        </w:rPr>
        <w:t>Y.</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(2013)</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resulting</w:t>
      </w:r>
      <w:r w:rsidR="006244D6" w:rsidRPr="000F3911">
        <w:rPr>
          <w:rFonts w:ascii="Times New Roman" w:eastAsiaTheme="minorHAnsi"/>
          <w:noProof/>
          <w:kern w:val="0"/>
        </w:rPr>
        <w:t xml:space="preserve"> </w:t>
      </w:r>
      <w:r w:rsidRPr="000F3911">
        <w:rPr>
          <w:rFonts w:ascii="Times New Roman" w:eastAsiaTheme="minorHAnsi"/>
          <w:noProof/>
          <w:kern w:val="0"/>
        </w:rPr>
        <w:t>from</w:t>
      </w:r>
      <w:r w:rsidR="006244D6" w:rsidRPr="000F3911">
        <w:rPr>
          <w:rFonts w:ascii="Times New Roman" w:eastAsiaTheme="minorHAnsi"/>
          <w:noProof/>
          <w:kern w:val="0"/>
        </w:rPr>
        <w:t xml:space="preserve"> </w:t>
      </w:r>
      <w:r w:rsidRPr="000F3911">
        <w:rPr>
          <w:rFonts w:ascii="Times New Roman" w:eastAsiaTheme="minorHAnsi"/>
          <w:noProof/>
          <w:kern w:val="0"/>
        </w:rPr>
        <w:t>combined</w:t>
      </w:r>
      <w:r w:rsidR="006244D6" w:rsidRPr="000F3911">
        <w:rPr>
          <w:rFonts w:ascii="Times New Roman" w:eastAsiaTheme="minorHAnsi"/>
          <w:noProof/>
          <w:kern w:val="0"/>
        </w:rPr>
        <w:t xml:space="preserve"> </w:t>
      </w:r>
      <w:r w:rsidRPr="000F3911">
        <w:rPr>
          <w:rFonts w:ascii="Times New Roman" w:eastAsiaTheme="minorHAnsi"/>
          <w:noProof/>
          <w:kern w:val="0"/>
        </w:rPr>
        <w:t>ossification</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ligamentum</w:t>
      </w:r>
      <w:r w:rsidR="006244D6" w:rsidRPr="000F3911">
        <w:rPr>
          <w:rFonts w:ascii="Times New Roman" w:eastAsiaTheme="minorHAnsi"/>
          <w:noProof/>
          <w:kern w:val="0"/>
        </w:rPr>
        <w:t xml:space="preserve"> </w:t>
      </w:r>
      <w:r w:rsidRPr="000F3911">
        <w:rPr>
          <w:rFonts w:ascii="Times New Roman" w:eastAsiaTheme="minorHAnsi"/>
          <w:noProof/>
          <w:kern w:val="0"/>
        </w:rPr>
        <w:t>flavum</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longitudinal</w:t>
      </w:r>
      <w:r w:rsidR="006244D6" w:rsidRPr="000F3911">
        <w:rPr>
          <w:rFonts w:ascii="Times New Roman" w:eastAsiaTheme="minorHAnsi"/>
          <w:noProof/>
          <w:kern w:val="0"/>
        </w:rPr>
        <w:t xml:space="preserve"> </w:t>
      </w:r>
      <w:r w:rsidRPr="000F3911">
        <w:rPr>
          <w:rFonts w:ascii="Times New Roman" w:eastAsiaTheme="minorHAnsi"/>
          <w:noProof/>
          <w:kern w:val="0"/>
        </w:rPr>
        <w:t>ligament:</w:t>
      </w:r>
      <w:r w:rsidR="006244D6" w:rsidRPr="000F3911">
        <w:rPr>
          <w:rFonts w:ascii="Times New Roman" w:eastAsiaTheme="minorHAnsi"/>
          <w:noProof/>
          <w:kern w:val="0"/>
        </w:rPr>
        <w:t xml:space="preserve"> </w:t>
      </w:r>
      <w:r w:rsidRPr="000F3911">
        <w:rPr>
          <w:rFonts w:ascii="Times New Roman" w:eastAsiaTheme="minorHAnsi"/>
          <w:noProof/>
          <w:kern w:val="0"/>
        </w:rPr>
        <w:t>report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two</w:t>
      </w:r>
      <w:r w:rsidR="006244D6" w:rsidRPr="000F3911">
        <w:rPr>
          <w:rFonts w:ascii="Times New Roman" w:eastAsiaTheme="minorHAnsi"/>
          <w:noProof/>
          <w:kern w:val="0"/>
        </w:rPr>
        <w:t xml:space="preserve"> </w:t>
      </w:r>
      <w:r w:rsidRPr="000F3911">
        <w:rPr>
          <w:rFonts w:ascii="Times New Roman" w:eastAsiaTheme="minorHAnsi"/>
          <w:noProof/>
          <w:kern w:val="0"/>
        </w:rPr>
        <w:t>cases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literature</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North</w:t>
      </w:r>
      <w:r w:rsidR="006244D6" w:rsidRPr="000F3911">
        <w:rPr>
          <w:rFonts w:ascii="Times New Roman" w:eastAsiaTheme="minorHAnsi"/>
          <w:i/>
          <w:iCs/>
          <w:noProof/>
          <w:kern w:val="0"/>
        </w:rPr>
        <w:t xml:space="preserve"> </w:t>
      </w:r>
      <w:r w:rsidRPr="000F3911">
        <w:rPr>
          <w:rFonts w:ascii="Times New Roman" w:eastAsiaTheme="minorHAnsi"/>
          <w:i/>
          <w:iCs/>
          <w:noProof/>
          <w:kern w:val="0"/>
        </w:rPr>
        <w:t>American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13(1),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e1-6.</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10.1016/j.spinee.2012.10.038.</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Lawrence,</w:t>
      </w:r>
      <w:r w:rsidR="006244D6" w:rsidRPr="000F3911">
        <w:rPr>
          <w:rFonts w:ascii="Times New Roman" w:eastAsiaTheme="minorHAnsi"/>
          <w:noProof/>
          <w:kern w:val="0"/>
        </w:rPr>
        <w:t xml:space="preserve"> </w:t>
      </w:r>
      <w:r w:rsidRPr="000F3911">
        <w:rPr>
          <w:rFonts w:ascii="Times New Roman" w:eastAsiaTheme="minorHAnsi"/>
          <w:noProof/>
          <w:kern w:val="0"/>
        </w:rPr>
        <w:t>B.</w:t>
      </w:r>
      <w:r w:rsidR="006244D6" w:rsidRPr="000F3911">
        <w:rPr>
          <w:rFonts w:ascii="Times New Roman" w:eastAsiaTheme="minorHAnsi"/>
          <w:noProof/>
          <w:kern w:val="0"/>
        </w:rPr>
        <w:t xml:space="preserve"> </w:t>
      </w:r>
      <w:r w:rsidRPr="000F3911">
        <w:rPr>
          <w:rFonts w:ascii="Times New Roman" w:eastAsiaTheme="minorHAnsi"/>
          <w:noProof/>
          <w:kern w:val="0"/>
        </w:rPr>
        <w:t>D.</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(2013)</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38(22</w:t>
      </w:r>
      <w:r w:rsidR="006244D6" w:rsidRPr="000F3911">
        <w:rPr>
          <w:rFonts w:ascii="Times New Roman" w:eastAsiaTheme="minorHAnsi"/>
          <w:noProof/>
          <w:kern w:val="0"/>
        </w:rPr>
        <w:t xml:space="preserve"> </w:t>
      </w:r>
      <w:r w:rsidRPr="000F3911">
        <w:rPr>
          <w:rFonts w:ascii="Times New Roman" w:eastAsiaTheme="minorHAnsi"/>
          <w:noProof/>
          <w:kern w:val="0"/>
        </w:rPr>
        <w:t>Suppl</w:t>
      </w:r>
      <w:r w:rsidR="006244D6" w:rsidRPr="000F3911">
        <w:rPr>
          <w:rFonts w:ascii="Times New Roman" w:eastAsiaTheme="minorHAnsi"/>
          <w:noProof/>
          <w:kern w:val="0"/>
        </w:rPr>
        <w:t xml:space="preserve"> </w:t>
      </w:r>
      <w:r w:rsidRPr="000F3911">
        <w:rPr>
          <w:rFonts w:ascii="Times New Roman" w:eastAsiaTheme="minorHAnsi"/>
          <w:noProof/>
          <w:kern w:val="0"/>
        </w:rPr>
        <w:t>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S173-82.</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10.1097/BRS.0b013e3182a7eaaf.</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Liao,</w:t>
      </w:r>
      <w:r w:rsidR="006244D6" w:rsidRPr="000F3911">
        <w:rPr>
          <w:rFonts w:ascii="Times New Roman" w:eastAsiaTheme="minorHAnsi"/>
          <w:noProof/>
          <w:kern w:val="0"/>
        </w:rPr>
        <w:t xml:space="preserve"> </w:t>
      </w:r>
      <w:r w:rsidRPr="000F3911">
        <w:rPr>
          <w:rFonts w:ascii="Times New Roman" w:eastAsiaTheme="minorHAnsi"/>
          <w:noProof/>
          <w:kern w:val="0"/>
        </w:rPr>
        <w:t>J.-C.</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(2008)</w:t>
      </w:r>
      <w:r w:rsidR="006244D6" w:rsidRPr="000F3911">
        <w:rPr>
          <w:rFonts w:ascii="Times New Roman" w:eastAsiaTheme="minorHAnsi"/>
          <w:noProof/>
          <w:kern w:val="0"/>
        </w:rPr>
        <w:t xml:space="preserve"> </w:t>
      </w:r>
      <w:r w:rsidRPr="000F3911">
        <w:rPr>
          <w:rFonts w:ascii="Times New Roman" w:eastAsiaTheme="minorHAnsi"/>
          <w:noProof/>
          <w:kern w:val="0"/>
        </w:rPr>
        <w:t>‘Polyetheretherketone</w:t>
      </w:r>
      <w:r w:rsidR="006244D6" w:rsidRPr="000F3911">
        <w:rPr>
          <w:rFonts w:ascii="Times New Roman" w:eastAsiaTheme="minorHAnsi"/>
          <w:noProof/>
          <w:kern w:val="0"/>
        </w:rPr>
        <w:t xml:space="preserve"> </w:t>
      </w:r>
      <w:r w:rsidRPr="000F3911">
        <w:rPr>
          <w:rFonts w:ascii="Times New Roman" w:eastAsiaTheme="minorHAnsi"/>
          <w:noProof/>
          <w:kern w:val="0"/>
        </w:rPr>
        <w:t>(PEEK)</w:t>
      </w:r>
      <w:r w:rsidR="006244D6" w:rsidRPr="000F3911">
        <w:rPr>
          <w:rFonts w:ascii="Times New Roman" w:eastAsiaTheme="minorHAnsi"/>
          <w:noProof/>
          <w:kern w:val="0"/>
        </w:rPr>
        <w:t xml:space="preserve"> </w:t>
      </w:r>
      <w:r w:rsidRPr="000F3911">
        <w:rPr>
          <w:rFonts w:ascii="Times New Roman" w:eastAsiaTheme="minorHAnsi"/>
          <w:noProof/>
          <w:kern w:val="0"/>
        </w:rPr>
        <w:t>cage</w:t>
      </w:r>
      <w:r w:rsidR="006244D6" w:rsidRPr="000F3911">
        <w:rPr>
          <w:rFonts w:ascii="Times New Roman" w:eastAsiaTheme="minorHAnsi"/>
          <w:noProof/>
          <w:kern w:val="0"/>
        </w:rPr>
        <w:t xml:space="preserve"> </w:t>
      </w:r>
      <w:r w:rsidRPr="000F3911">
        <w:rPr>
          <w:rFonts w:ascii="Times New Roman" w:eastAsiaTheme="minorHAnsi"/>
          <w:noProof/>
          <w:kern w:val="0"/>
        </w:rPr>
        <w:t>filled</w:t>
      </w:r>
      <w:r w:rsidR="006244D6" w:rsidRPr="000F3911">
        <w:rPr>
          <w:rFonts w:ascii="Times New Roman" w:eastAsiaTheme="minorHAnsi"/>
          <w:noProof/>
          <w:kern w:val="0"/>
        </w:rPr>
        <w:t xml:space="preserve"> </w:t>
      </w:r>
      <w:r w:rsidRPr="000F3911">
        <w:rPr>
          <w:rFonts w:ascii="Times New Roman" w:eastAsiaTheme="minorHAnsi"/>
          <w:noProof/>
          <w:kern w:val="0"/>
        </w:rPr>
        <w:t>with</w:t>
      </w:r>
      <w:r w:rsidR="006244D6" w:rsidRPr="000F3911">
        <w:rPr>
          <w:rFonts w:ascii="Times New Roman" w:eastAsiaTheme="minorHAnsi"/>
          <w:noProof/>
          <w:kern w:val="0"/>
        </w:rPr>
        <w:t xml:space="preserve"> </w:t>
      </w:r>
      <w:r w:rsidRPr="000F3911">
        <w:rPr>
          <w:rFonts w:ascii="Times New Roman" w:eastAsiaTheme="minorHAnsi"/>
          <w:noProof/>
          <w:kern w:val="0"/>
        </w:rPr>
        <w:t>cancellous</w:t>
      </w:r>
      <w:r w:rsidR="006244D6" w:rsidRPr="000F3911">
        <w:rPr>
          <w:rFonts w:ascii="Times New Roman" w:eastAsiaTheme="minorHAnsi"/>
          <w:noProof/>
          <w:kern w:val="0"/>
        </w:rPr>
        <w:t xml:space="preserve"> </w:t>
      </w:r>
      <w:r w:rsidRPr="000F3911">
        <w:rPr>
          <w:rFonts w:ascii="Times New Roman" w:eastAsiaTheme="minorHAnsi"/>
          <w:noProof/>
          <w:kern w:val="0"/>
        </w:rPr>
        <w:t>allograft</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i/>
          <w:iCs/>
          <w:noProof/>
          <w:kern w:val="0"/>
        </w:rPr>
        <w:t>International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orthopaedics</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32(5),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643–8.</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10.1007/s00264-007-0378-x.</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Liu,</w:t>
      </w:r>
      <w:r w:rsidR="006244D6" w:rsidRPr="000F3911">
        <w:rPr>
          <w:rFonts w:ascii="Times New Roman" w:eastAsiaTheme="minorHAnsi"/>
          <w:noProof/>
          <w:kern w:val="0"/>
        </w:rPr>
        <w:t xml:space="preserve"> </w:t>
      </w:r>
      <w:r w:rsidRPr="000F3911">
        <w:rPr>
          <w:rFonts w:ascii="Times New Roman" w:eastAsiaTheme="minorHAnsi"/>
          <w:noProof/>
          <w:kern w:val="0"/>
        </w:rPr>
        <w:t>T.</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(2011)</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surgery</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which</w:t>
      </w:r>
      <w:r w:rsidR="006244D6" w:rsidRPr="000F3911">
        <w:rPr>
          <w:rFonts w:ascii="Times New Roman" w:eastAsiaTheme="minorHAnsi"/>
          <w:noProof/>
          <w:kern w:val="0"/>
        </w:rPr>
        <w:t xml:space="preserve"> </w:t>
      </w:r>
      <w:r w:rsidRPr="000F3911">
        <w:rPr>
          <w:rFonts w:ascii="Times New Roman" w:eastAsiaTheme="minorHAnsi"/>
          <w:noProof/>
          <w:kern w:val="0"/>
        </w:rPr>
        <w:t>one</w:t>
      </w:r>
      <w:r w:rsidR="006244D6" w:rsidRPr="000F3911">
        <w:rPr>
          <w:rFonts w:ascii="Times New Roman" w:eastAsiaTheme="minorHAnsi"/>
          <w:noProof/>
          <w:kern w:val="0"/>
        </w:rPr>
        <w:t xml:space="preserve"> </w:t>
      </w:r>
      <w:r w:rsidRPr="000F3911">
        <w:rPr>
          <w:rFonts w:ascii="Times New Roman" w:eastAsiaTheme="minorHAnsi"/>
          <w:noProof/>
          <w:kern w:val="0"/>
        </w:rPr>
        <w:t>is</w:t>
      </w:r>
      <w:r w:rsidR="006244D6" w:rsidRPr="000F3911">
        <w:rPr>
          <w:rFonts w:ascii="Times New Roman" w:eastAsiaTheme="minorHAnsi"/>
          <w:noProof/>
          <w:kern w:val="0"/>
        </w:rPr>
        <w:t xml:space="preserve"> </w:t>
      </w:r>
      <w:r w:rsidRPr="000F3911">
        <w:rPr>
          <w:rFonts w:ascii="Times New Roman" w:eastAsiaTheme="minorHAnsi"/>
          <w:noProof/>
          <w:kern w:val="0"/>
        </w:rPr>
        <w:t>better?</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Germany,</w:t>
      </w:r>
      <w:r w:rsidR="006244D6" w:rsidRPr="000F3911">
        <w:rPr>
          <w:rFonts w:ascii="Times New Roman" w:eastAsiaTheme="minorHAnsi"/>
          <w:noProof/>
          <w:kern w:val="0"/>
        </w:rPr>
        <w:t xml:space="preserve"> </w:t>
      </w:r>
      <w:r w:rsidRPr="000F3911">
        <w:rPr>
          <w:rFonts w:ascii="Times New Roman" w:eastAsiaTheme="minorHAnsi"/>
          <w:noProof/>
          <w:kern w:val="0"/>
        </w:rPr>
        <w:t>20(2),</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224–235.</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10.1007/s00586-010-1486-7.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Liu,</w:t>
      </w:r>
      <w:r w:rsidR="006244D6" w:rsidRPr="000F3911">
        <w:rPr>
          <w:rFonts w:ascii="Times New Roman" w:eastAsiaTheme="minorHAnsi"/>
          <w:noProof/>
          <w:kern w:val="0"/>
        </w:rPr>
        <w:t xml:space="preserve"> </w:t>
      </w:r>
      <w:r w:rsidRPr="000F3911">
        <w:rPr>
          <w:rFonts w:ascii="Times New Roman" w:eastAsiaTheme="minorHAnsi"/>
          <w:noProof/>
          <w:kern w:val="0"/>
        </w:rPr>
        <w:t>X.</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(2014)</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laminoplasty</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Germany,</w:t>
      </w:r>
      <w:r w:rsidR="006244D6" w:rsidRPr="000F3911">
        <w:rPr>
          <w:rFonts w:ascii="Times New Roman" w:eastAsiaTheme="minorHAnsi"/>
          <w:noProof/>
          <w:kern w:val="0"/>
        </w:rPr>
        <w:t xml:space="preserve"> </w:t>
      </w:r>
      <w:r w:rsidRPr="000F3911">
        <w:rPr>
          <w:rFonts w:ascii="Times New Roman" w:eastAsiaTheme="minorHAnsi"/>
          <w:noProof/>
          <w:kern w:val="0"/>
        </w:rPr>
        <w:t>23(2),</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362–372.</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10.1007/s00586-013-3043-7.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Liu,</w:t>
      </w:r>
      <w:r w:rsidR="006244D6" w:rsidRPr="000F3911">
        <w:rPr>
          <w:rFonts w:ascii="Times New Roman" w:eastAsiaTheme="minorHAnsi"/>
          <w:noProof/>
          <w:kern w:val="0"/>
        </w:rPr>
        <w:t xml:space="preserve"> </w:t>
      </w:r>
      <w:r w:rsidRPr="000F3911">
        <w:rPr>
          <w:rFonts w:ascii="Times New Roman" w:eastAsiaTheme="minorHAnsi"/>
          <w:noProof/>
          <w:kern w:val="0"/>
        </w:rPr>
        <w:t>Y.</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‘Prognostic</w:t>
      </w:r>
      <w:r w:rsidR="006244D6" w:rsidRPr="000F3911">
        <w:rPr>
          <w:rFonts w:ascii="Times New Roman" w:eastAsiaTheme="minorHAnsi"/>
          <w:noProof/>
          <w:kern w:val="0"/>
        </w:rPr>
        <w:t xml:space="preserve"> </w:t>
      </w:r>
      <w:r w:rsidRPr="000F3911">
        <w:rPr>
          <w:rFonts w:ascii="Times New Roman" w:eastAsiaTheme="minorHAnsi"/>
          <w:noProof/>
          <w:kern w:val="0"/>
        </w:rPr>
        <w:t>Value</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Lordosis</w:t>
      </w:r>
      <w:r w:rsidR="006244D6" w:rsidRPr="000F3911">
        <w:rPr>
          <w:rFonts w:ascii="Times New Roman" w:eastAsiaTheme="minorHAnsi"/>
          <w:noProof/>
          <w:kern w:val="0"/>
        </w:rPr>
        <w:t xml:space="preserve"> </w:t>
      </w:r>
      <w:r w:rsidRPr="000F3911">
        <w:rPr>
          <w:rFonts w:ascii="Times New Roman" w:eastAsiaTheme="minorHAnsi"/>
          <w:noProof/>
          <w:kern w:val="0"/>
        </w:rPr>
        <w:t>Decrease</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Radiographic</w:t>
      </w:r>
      <w:r w:rsidR="006244D6" w:rsidRPr="000F3911">
        <w:rPr>
          <w:rFonts w:ascii="Times New Roman" w:eastAsiaTheme="minorHAnsi"/>
          <w:noProof/>
          <w:kern w:val="0"/>
        </w:rPr>
        <w:t xml:space="preserve"> </w:t>
      </w:r>
      <w:r w:rsidRPr="000F3911">
        <w:rPr>
          <w:rFonts w:ascii="Times New Roman" w:eastAsiaTheme="minorHAnsi"/>
          <w:noProof/>
          <w:kern w:val="0"/>
        </w:rPr>
        <w:t>Adjacent</w:t>
      </w:r>
      <w:r w:rsidR="006244D6" w:rsidRPr="000F3911">
        <w:rPr>
          <w:rFonts w:ascii="Times New Roman" w:eastAsiaTheme="minorHAnsi"/>
          <w:noProof/>
          <w:kern w:val="0"/>
        </w:rPr>
        <w:t xml:space="preserve"> </w:t>
      </w:r>
      <w:r w:rsidRPr="000F3911">
        <w:rPr>
          <w:rFonts w:ascii="Times New Roman" w:eastAsiaTheme="minorHAnsi"/>
          <w:noProof/>
          <w:kern w:val="0"/>
        </w:rPr>
        <w:t>Segment</w:t>
      </w:r>
      <w:r w:rsidR="006244D6" w:rsidRPr="000F3911">
        <w:rPr>
          <w:rFonts w:ascii="Times New Roman" w:eastAsiaTheme="minorHAnsi"/>
          <w:noProof/>
          <w:kern w:val="0"/>
        </w:rPr>
        <w:t xml:space="preserve"> </w:t>
      </w:r>
      <w:r w:rsidRPr="000F3911">
        <w:rPr>
          <w:rFonts w:ascii="Times New Roman" w:eastAsiaTheme="minorHAnsi"/>
          <w:noProof/>
          <w:kern w:val="0"/>
        </w:rPr>
        <w:t>Pathology</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i/>
          <w:iCs/>
          <w:noProof/>
          <w:kern w:val="0"/>
        </w:rPr>
        <w:t>Scientific</w:t>
      </w:r>
      <w:r w:rsidR="006244D6" w:rsidRPr="000F3911">
        <w:rPr>
          <w:rFonts w:ascii="Times New Roman" w:eastAsiaTheme="minorHAnsi"/>
          <w:i/>
          <w:iCs/>
          <w:noProof/>
          <w:kern w:val="0"/>
        </w:rPr>
        <w:t xml:space="preserve"> </w:t>
      </w:r>
      <w:r w:rsidRPr="000F3911">
        <w:rPr>
          <w:rFonts w:ascii="Times New Roman" w:eastAsiaTheme="minorHAnsi"/>
          <w:i/>
          <w:iCs/>
          <w:noProof/>
          <w:kern w:val="0"/>
        </w:rPr>
        <w:t>reports</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England,</w:t>
      </w:r>
      <w:r w:rsidR="006244D6" w:rsidRPr="000F3911">
        <w:rPr>
          <w:rFonts w:ascii="Times New Roman" w:eastAsiaTheme="minorHAnsi"/>
          <w:noProof/>
          <w:kern w:val="0"/>
        </w:rPr>
        <w:t xml:space="preserve"> </w:t>
      </w:r>
      <w:r w:rsidRPr="000F3911">
        <w:rPr>
          <w:rFonts w:ascii="Times New Roman" w:eastAsiaTheme="minorHAnsi"/>
          <w:noProof/>
          <w:kern w:val="0"/>
        </w:rPr>
        <w:t>7(1),</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14414.</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10.1038/s41598-</w:t>
      </w:r>
      <w:r w:rsidRPr="000F3911">
        <w:rPr>
          <w:rFonts w:ascii="Times New Roman" w:eastAsiaTheme="minorHAnsi"/>
          <w:noProof/>
          <w:kern w:val="0"/>
        </w:rPr>
        <w:lastRenderedPageBreak/>
        <w:t>017-14300-4.</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Lord,</w:t>
      </w:r>
      <w:r w:rsidR="006244D6" w:rsidRPr="000F3911">
        <w:rPr>
          <w:rFonts w:ascii="Times New Roman" w:eastAsiaTheme="minorHAnsi"/>
          <w:noProof/>
          <w:kern w:val="0"/>
        </w:rPr>
        <w:t xml:space="preserve"> </w:t>
      </w:r>
      <w:r w:rsidRPr="000F3911">
        <w:rPr>
          <w:rFonts w:ascii="Times New Roman" w:eastAsiaTheme="minorHAnsi"/>
          <w:noProof/>
          <w:kern w:val="0"/>
        </w:rPr>
        <w:t>E.</w:t>
      </w:r>
      <w:r w:rsidR="006244D6" w:rsidRPr="000F3911">
        <w:rPr>
          <w:rFonts w:ascii="Times New Roman" w:eastAsiaTheme="minorHAnsi"/>
          <w:noProof/>
          <w:kern w:val="0"/>
        </w:rPr>
        <w:t xml:space="preserve"> </w:t>
      </w:r>
      <w:r w:rsidRPr="000F3911">
        <w:rPr>
          <w:rFonts w:ascii="Times New Roman" w:eastAsiaTheme="minorHAnsi"/>
          <w:noProof/>
          <w:kern w:val="0"/>
        </w:rPr>
        <w:t>L.</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‘Trends,</w:t>
      </w:r>
      <w:r w:rsidR="006244D6" w:rsidRPr="000F3911">
        <w:rPr>
          <w:rFonts w:ascii="Times New Roman" w:eastAsiaTheme="minorHAnsi"/>
          <w:noProof/>
          <w:kern w:val="0"/>
        </w:rPr>
        <w:t xml:space="preserve"> </w:t>
      </w:r>
      <w:r w:rsidRPr="000F3911">
        <w:rPr>
          <w:rFonts w:ascii="Times New Roman" w:eastAsiaTheme="minorHAnsi"/>
          <w:noProof/>
          <w:kern w:val="0"/>
        </w:rPr>
        <w:t>Costs,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Complications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With</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Without</w:t>
      </w:r>
      <w:r w:rsidR="006244D6" w:rsidRPr="000F3911">
        <w:rPr>
          <w:rFonts w:ascii="Times New Roman" w:eastAsiaTheme="minorHAnsi"/>
          <w:noProof/>
          <w:kern w:val="0"/>
        </w:rPr>
        <w:t xml:space="preserve"> </w:t>
      </w:r>
      <w:r w:rsidRPr="000F3911">
        <w:rPr>
          <w:rFonts w:ascii="Times New Roman" w:eastAsiaTheme="minorHAnsi"/>
          <w:noProof/>
          <w:kern w:val="0"/>
        </w:rPr>
        <w:t>Bone</w:t>
      </w:r>
      <w:r w:rsidR="006244D6" w:rsidRPr="000F3911">
        <w:rPr>
          <w:rFonts w:ascii="Times New Roman" w:eastAsiaTheme="minorHAnsi"/>
          <w:noProof/>
          <w:kern w:val="0"/>
        </w:rPr>
        <w:t xml:space="preserve"> </w:t>
      </w:r>
      <w:r w:rsidRPr="000F3911">
        <w:rPr>
          <w:rFonts w:ascii="Times New Roman" w:eastAsiaTheme="minorHAnsi"/>
          <w:noProof/>
          <w:kern w:val="0"/>
        </w:rPr>
        <w:t>Morphogenetic</w:t>
      </w:r>
      <w:r w:rsidR="006244D6" w:rsidRPr="000F3911">
        <w:rPr>
          <w:rFonts w:ascii="Times New Roman" w:eastAsiaTheme="minorHAnsi"/>
          <w:noProof/>
          <w:kern w:val="0"/>
        </w:rPr>
        <w:t xml:space="preserve"> </w:t>
      </w:r>
      <w:r w:rsidRPr="000F3911">
        <w:rPr>
          <w:rFonts w:ascii="Times New Roman" w:eastAsiaTheme="minorHAnsi"/>
          <w:noProof/>
          <w:kern w:val="0"/>
        </w:rPr>
        <w:t>Protein</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Medicare</w:t>
      </w:r>
      <w:r w:rsidR="006244D6" w:rsidRPr="000F3911">
        <w:rPr>
          <w:rFonts w:ascii="Times New Roman" w:eastAsiaTheme="minorHAnsi"/>
          <w:noProof/>
          <w:kern w:val="0"/>
        </w:rPr>
        <w:t xml:space="preserve"> </w:t>
      </w:r>
      <w:r w:rsidRPr="000F3911">
        <w:rPr>
          <w:rFonts w:ascii="Times New Roman" w:eastAsiaTheme="minorHAnsi"/>
          <w:noProof/>
          <w:kern w:val="0"/>
        </w:rPr>
        <w:t>Population.’,</w:t>
      </w:r>
      <w:r w:rsidR="006244D6" w:rsidRPr="000F3911">
        <w:rPr>
          <w:rFonts w:ascii="Times New Roman" w:eastAsiaTheme="minorHAnsi"/>
          <w:noProof/>
          <w:kern w:val="0"/>
        </w:rPr>
        <w:t xml:space="preserve"> </w:t>
      </w:r>
      <w:r w:rsidRPr="000F3911">
        <w:rPr>
          <w:rFonts w:ascii="Times New Roman" w:eastAsiaTheme="minorHAnsi"/>
          <w:i/>
          <w:iCs/>
          <w:noProof/>
          <w:kern w:val="0"/>
        </w:rPr>
        <w:t>Global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England,</w:t>
      </w:r>
      <w:r w:rsidR="006244D6" w:rsidRPr="000F3911">
        <w:rPr>
          <w:rFonts w:ascii="Times New Roman" w:eastAsiaTheme="minorHAnsi"/>
          <w:noProof/>
          <w:kern w:val="0"/>
        </w:rPr>
        <w:t xml:space="preserve"> </w:t>
      </w:r>
      <w:r w:rsidRPr="000F3911">
        <w:rPr>
          <w:rFonts w:ascii="Times New Roman" w:eastAsiaTheme="minorHAnsi"/>
          <w:noProof/>
          <w:kern w:val="0"/>
        </w:rPr>
        <w:t>7(7),</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603–608.</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10.1177/2192568217699207.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Luo,</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(2015)</w:t>
      </w:r>
      <w:r w:rsidR="006244D6" w:rsidRPr="000F3911">
        <w:rPr>
          <w:rFonts w:ascii="Times New Roman" w:eastAsiaTheme="minorHAnsi"/>
          <w:noProof/>
          <w:kern w:val="0"/>
        </w:rPr>
        <w:t xml:space="preserve"> </w:t>
      </w:r>
      <w:r w:rsidRPr="000F3911">
        <w:rPr>
          <w:rFonts w:ascii="Times New Roman" w:eastAsiaTheme="minorHAnsi"/>
          <w:noProof/>
          <w:kern w:val="0"/>
        </w:rPr>
        <w:t>‘Comparison</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Germany,</w:t>
      </w:r>
      <w:r w:rsidR="006244D6" w:rsidRPr="000F3911">
        <w:rPr>
          <w:rFonts w:ascii="Times New Roman" w:eastAsiaTheme="minorHAnsi"/>
          <w:noProof/>
          <w:kern w:val="0"/>
        </w:rPr>
        <w:t xml:space="preserve"> </w:t>
      </w:r>
      <w:r w:rsidRPr="000F3911">
        <w:rPr>
          <w:rFonts w:ascii="Times New Roman" w:eastAsiaTheme="minorHAnsi"/>
          <w:noProof/>
          <w:kern w:val="0"/>
        </w:rPr>
        <w:t>24(8),</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1621–1630.</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10.1007/s00586-015-3911-4.</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Moon,</w:t>
      </w:r>
      <w:r w:rsidR="006244D6" w:rsidRPr="000F3911">
        <w:rPr>
          <w:rFonts w:ascii="Times New Roman" w:eastAsiaTheme="minorHAnsi"/>
          <w:noProof/>
          <w:kern w:val="0"/>
        </w:rPr>
        <w:t xml:space="preserve"> </w:t>
      </w:r>
      <w:r w:rsidRPr="000F3911">
        <w:rPr>
          <w:rFonts w:ascii="Times New Roman" w:eastAsiaTheme="minorHAnsi"/>
          <w:noProof/>
          <w:kern w:val="0"/>
        </w:rPr>
        <w:t>B.</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Choi,</w:t>
      </w:r>
      <w:r w:rsidR="006244D6" w:rsidRPr="000F3911">
        <w:rPr>
          <w:rFonts w:ascii="Times New Roman" w:eastAsiaTheme="minorHAnsi"/>
          <w:noProof/>
          <w:kern w:val="0"/>
        </w:rPr>
        <w:t xml:space="preserve"> </w:t>
      </w:r>
      <w:r w:rsidRPr="000F3911">
        <w:rPr>
          <w:rFonts w:ascii="Times New Roman" w:eastAsiaTheme="minorHAnsi"/>
          <w:noProof/>
          <w:kern w:val="0"/>
        </w:rPr>
        <w:t>K.-Y.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Lee,</w:t>
      </w:r>
      <w:r w:rsidR="006244D6" w:rsidRPr="000F3911">
        <w:rPr>
          <w:rFonts w:ascii="Times New Roman" w:eastAsiaTheme="minorHAnsi"/>
          <w:noProof/>
          <w:kern w:val="0"/>
        </w:rPr>
        <w:t xml:space="preserve"> </w:t>
      </w:r>
      <w:r w:rsidRPr="000F3911">
        <w:rPr>
          <w:rFonts w:ascii="Times New Roman" w:eastAsiaTheme="minorHAnsi"/>
          <w:noProof/>
          <w:kern w:val="0"/>
        </w:rPr>
        <w:t>J.-K.</w:t>
      </w:r>
      <w:r w:rsidR="006244D6" w:rsidRPr="000F3911">
        <w:rPr>
          <w:rFonts w:ascii="Times New Roman" w:eastAsiaTheme="minorHAnsi"/>
          <w:noProof/>
          <w:kern w:val="0"/>
        </w:rPr>
        <w:t xml:space="preserve"> </w:t>
      </w:r>
      <w:r w:rsidRPr="000F3911">
        <w:rPr>
          <w:rFonts w:ascii="Times New Roman" w:eastAsiaTheme="minorHAnsi"/>
          <w:noProof/>
          <w:kern w:val="0"/>
        </w:rPr>
        <w:t>(2016)</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Caused</w:t>
      </w:r>
      <w:r w:rsidR="006244D6" w:rsidRPr="000F3911">
        <w:rPr>
          <w:rFonts w:ascii="Times New Roman" w:eastAsiaTheme="minorHAnsi"/>
          <w:noProof/>
          <w:kern w:val="0"/>
        </w:rPr>
        <w:t xml:space="preserve"> </w:t>
      </w:r>
      <w:r w:rsidRPr="000F3911">
        <w:rPr>
          <w:rFonts w:ascii="Times New Roman" w:eastAsiaTheme="minorHAnsi"/>
          <w:noProof/>
          <w:kern w:val="0"/>
        </w:rPr>
        <w:t>by</w:t>
      </w:r>
      <w:r w:rsidR="006244D6" w:rsidRPr="000F3911">
        <w:rPr>
          <w:rFonts w:ascii="Times New Roman" w:eastAsiaTheme="minorHAnsi"/>
          <w:noProof/>
          <w:kern w:val="0"/>
        </w:rPr>
        <w:t xml:space="preserve"> </w:t>
      </w:r>
      <w:r w:rsidRPr="000F3911">
        <w:rPr>
          <w:rFonts w:ascii="Times New Roman" w:eastAsiaTheme="minorHAnsi"/>
          <w:noProof/>
          <w:kern w:val="0"/>
        </w:rPr>
        <w:t>Bilateral</w:t>
      </w:r>
      <w:r w:rsidR="006244D6" w:rsidRPr="000F3911">
        <w:rPr>
          <w:rFonts w:ascii="Times New Roman" w:eastAsiaTheme="minorHAnsi"/>
          <w:noProof/>
          <w:kern w:val="0"/>
        </w:rPr>
        <w:t xml:space="preserve"> </w:t>
      </w:r>
      <w:r w:rsidRPr="000F3911">
        <w:rPr>
          <w:rFonts w:ascii="Times New Roman" w:eastAsiaTheme="minorHAnsi"/>
          <w:noProof/>
          <w:kern w:val="0"/>
        </w:rPr>
        <w:t>Laminar</w:t>
      </w:r>
      <w:r w:rsidR="006244D6" w:rsidRPr="000F3911">
        <w:rPr>
          <w:rFonts w:ascii="Times New Roman" w:eastAsiaTheme="minorHAnsi"/>
          <w:noProof/>
          <w:kern w:val="0"/>
        </w:rPr>
        <w:t xml:space="preserve"> </w:t>
      </w:r>
      <w:r w:rsidRPr="000F3911">
        <w:rPr>
          <w:rFonts w:ascii="Times New Roman" w:eastAsiaTheme="minorHAnsi"/>
          <w:noProof/>
          <w:kern w:val="0"/>
        </w:rPr>
        <w:t>Cleft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Axis:</w:t>
      </w:r>
      <w:r w:rsidR="006244D6" w:rsidRPr="000F3911">
        <w:rPr>
          <w:rFonts w:ascii="Times New Roman" w:eastAsiaTheme="minorHAnsi"/>
          <w:noProof/>
          <w:kern w:val="0"/>
        </w:rPr>
        <w:t xml:space="preserve"> </w:t>
      </w:r>
      <w:r w:rsidRPr="000F3911">
        <w:rPr>
          <w:rFonts w:ascii="Times New Roman" w:eastAsiaTheme="minorHAnsi"/>
          <w:noProof/>
          <w:kern w:val="0"/>
        </w:rPr>
        <w:t>Case</w:t>
      </w:r>
      <w:r w:rsidR="006244D6" w:rsidRPr="000F3911">
        <w:rPr>
          <w:rFonts w:ascii="Times New Roman" w:eastAsiaTheme="minorHAnsi"/>
          <w:noProof/>
          <w:kern w:val="0"/>
        </w:rPr>
        <w:t xml:space="preserve"> </w:t>
      </w:r>
      <w:r w:rsidRPr="000F3911">
        <w:rPr>
          <w:rFonts w:ascii="Times New Roman" w:eastAsiaTheme="minorHAnsi"/>
          <w:noProof/>
          <w:kern w:val="0"/>
        </w:rPr>
        <w:t>Report</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Literature.’,</w:t>
      </w:r>
      <w:r w:rsidR="006244D6" w:rsidRPr="000F3911">
        <w:rPr>
          <w:rFonts w:ascii="Times New Roman" w:eastAsiaTheme="minorHAnsi"/>
          <w:noProof/>
          <w:kern w:val="0"/>
        </w:rPr>
        <w:t xml:space="preserve"> </w:t>
      </w:r>
      <w:r w:rsidRPr="000F3911">
        <w:rPr>
          <w:rFonts w:ascii="Times New Roman" w:eastAsiaTheme="minorHAnsi"/>
          <w:i/>
          <w:iCs/>
          <w:noProof/>
          <w:kern w:val="0"/>
        </w:rPr>
        <w:t>World</w:t>
      </w:r>
      <w:r w:rsidR="006244D6" w:rsidRPr="000F3911">
        <w:rPr>
          <w:rFonts w:ascii="Times New Roman" w:eastAsiaTheme="minorHAnsi"/>
          <w:i/>
          <w:iCs/>
          <w:noProof/>
          <w:kern w:val="0"/>
        </w:rPr>
        <w:t xml:space="preserve"> </w:t>
      </w:r>
      <w:r w:rsidRPr="000F3911">
        <w:rPr>
          <w:rFonts w:ascii="Times New Roman" w:eastAsiaTheme="minorHAnsi"/>
          <w:i/>
          <w:iCs/>
          <w:noProof/>
          <w:kern w:val="0"/>
        </w:rPr>
        <w:t>neurosurgery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93,</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487.e11-4.</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10.1016/j.wneu.2016.06.115.</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Riew,</w:t>
      </w:r>
      <w:r w:rsidR="006244D6" w:rsidRPr="000F3911">
        <w:rPr>
          <w:rFonts w:ascii="Times New Roman" w:eastAsiaTheme="minorHAnsi"/>
          <w:noProof/>
          <w:kern w:val="0"/>
        </w:rPr>
        <w:t xml:space="preserve"> </w:t>
      </w:r>
      <w:r w:rsidRPr="000F3911">
        <w:rPr>
          <w:rFonts w:ascii="Times New Roman" w:eastAsiaTheme="minorHAnsi"/>
          <w:noProof/>
          <w:kern w:val="0"/>
        </w:rPr>
        <w:t>K.</w:t>
      </w:r>
      <w:r w:rsidR="006244D6" w:rsidRPr="000F3911">
        <w:rPr>
          <w:rFonts w:ascii="Times New Roman" w:eastAsiaTheme="minorHAnsi"/>
          <w:noProof/>
          <w:kern w:val="0"/>
        </w:rPr>
        <w:t xml:space="preserve"> </w:t>
      </w:r>
      <w:r w:rsidRPr="000F3911">
        <w:rPr>
          <w:rFonts w:ascii="Times New Roman" w:eastAsiaTheme="minorHAnsi"/>
          <w:noProof/>
          <w:kern w:val="0"/>
        </w:rPr>
        <w:t>D.</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Rhee,</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(2002)</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use</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titanium</w:t>
      </w:r>
      <w:r w:rsidR="006244D6" w:rsidRPr="000F3911">
        <w:rPr>
          <w:rFonts w:ascii="Times New Roman" w:eastAsiaTheme="minorHAnsi"/>
          <w:noProof/>
          <w:kern w:val="0"/>
        </w:rPr>
        <w:t xml:space="preserve"> </w:t>
      </w:r>
      <w:r w:rsidRPr="000F3911">
        <w:rPr>
          <w:rFonts w:ascii="Times New Roman" w:eastAsiaTheme="minorHAnsi"/>
          <w:noProof/>
          <w:kern w:val="0"/>
        </w:rPr>
        <w:t>mesh</w:t>
      </w:r>
      <w:r w:rsidR="006244D6" w:rsidRPr="000F3911">
        <w:rPr>
          <w:rFonts w:ascii="Times New Roman" w:eastAsiaTheme="minorHAnsi"/>
          <w:noProof/>
          <w:kern w:val="0"/>
        </w:rPr>
        <w:t xml:space="preserve"> </w:t>
      </w:r>
      <w:r w:rsidRPr="000F3911">
        <w:rPr>
          <w:rFonts w:ascii="Times New Roman" w:eastAsiaTheme="minorHAnsi"/>
          <w:noProof/>
          <w:kern w:val="0"/>
        </w:rPr>
        <w:t>cages</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spine.’,</w:t>
      </w:r>
      <w:r w:rsidR="006244D6" w:rsidRPr="000F3911">
        <w:rPr>
          <w:rFonts w:ascii="Times New Roman" w:eastAsiaTheme="minorHAnsi"/>
          <w:noProof/>
          <w:kern w:val="0"/>
        </w:rPr>
        <w:t xml:space="preserve"> </w:t>
      </w:r>
      <w:r w:rsidRPr="000F3911">
        <w:rPr>
          <w:rFonts w:ascii="Times New Roman" w:eastAsiaTheme="minorHAnsi"/>
          <w:i/>
          <w:iCs/>
          <w:noProof/>
          <w:kern w:val="0"/>
        </w:rPr>
        <w:t>Clinical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orthopaedics</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related</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(394),</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47–54.</w:t>
      </w:r>
      <w:r w:rsidR="006244D6" w:rsidRPr="000F3911">
        <w:rPr>
          <w:rFonts w:ascii="Times New Roman" w:eastAsiaTheme="minorHAnsi"/>
          <w:noProof/>
          <w:kern w:val="0"/>
        </w:rPr>
        <w:t xml:space="preserve"> </w:t>
      </w:r>
      <w:r w:rsidRPr="000F3911">
        <w:rPr>
          <w:rFonts w:ascii="Times New Roman" w:eastAsiaTheme="minorHAnsi"/>
          <w:noProof/>
          <w:kern w:val="0"/>
        </w:rPr>
        <w:t>Available</w:t>
      </w:r>
      <w:r w:rsidR="006244D6" w:rsidRPr="000F3911">
        <w:rPr>
          <w:rFonts w:ascii="Times New Roman" w:eastAsiaTheme="minorHAnsi"/>
          <w:noProof/>
          <w:kern w:val="0"/>
        </w:rPr>
        <w:t xml:space="preserve"> </w:t>
      </w:r>
      <w:r w:rsidRPr="000F3911">
        <w:rPr>
          <w:rFonts w:ascii="Times New Roman" w:eastAsiaTheme="minorHAnsi"/>
          <w:noProof/>
          <w:kern w:val="0"/>
        </w:rPr>
        <w:t>at:</w:t>
      </w:r>
      <w:r w:rsidR="006244D6" w:rsidRPr="000F3911">
        <w:rPr>
          <w:rFonts w:ascii="Times New Roman" w:eastAsiaTheme="minorHAnsi"/>
          <w:noProof/>
          <w:kern w:val="0"/>
        </w:rPr>
        <w:t xml:space="preserve"> </w:t>
      </w:r>
      <w:r w:rsidRPr="000F3911">
        <w:rPr>
          <w:rFonts w:ascii="Times New Roman" w:eastAsiaTheme="minorHAnsi"/>
          <w:noProof/>
          <w:kern w:val="0"/>
        </w:rPr>
        <w:t>http://www.ncbi.nlm.nih.gov/pubmed/11795751.</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Rumalla,</w:t>
      </w:r>
      <w:r w:rsidR="006244D6" w:rsidRPr="000F3911">
        <w:rPr>
          <w:rFonts w:ascii="Times New Roman" w:eastAsiaTheme="minorHAnsi"/>
          <w:noProof/>
          <w:kern w:val="0"/>
        </w:rPr>
        <w:t xml:space="preserve"> </w:t>
      </w:r>
      <w:r w:rsidRPr="000F3911">
        <w:rPr>
          <w:rFonts w:ascii="Times New Roman" w:eastAsiaTheme="minorHAnsi"/>
          <w:noProof/>
          <w:kern w:val="0"/>
        </w:rPr>
        <w:t>K.,</w:t>
      </w:r>
      <w:r w:rsidR="006244D6" w:rsidRPr="000F3911">
        <w:rPr>
          <w:rFonts w:ascii="Times New Roman" w:eastAsiaTheme="minorHAnsi"/>
          <w:noProof/>
          <w:kern w:val="0"/>
        </w:rPr>
        <w:t xml:space="preserve"> </w:t>
      </w:r>
      <w:r w:rsidRPr="000F3911">
        <w:rPr>
          <w:rFonts w:ascii="Times New Roman" w:eastAsiaTheme="minorHAnsi"/>
          <w:noProof/>
          <w:kern w:val="0"/>
        </w:rPr>
        <w:t>Smith,</w:t>
      </w:r>
      <w:r w:rsidR="006244D6" w:rsidRPr="000F3911">
        <w:rPr>
          <w:rFonts w:ascii="Times New Roman" w:eastAsiaTheme="minorHAnsi"/>
          <w:noProof/>
          <w:kern w:val="0"/>
        </w:rPr>
        <w:t xml:space="preserve"> </w:t>
      </w:r>
      <w:r w:rsidRPr="000F3911">
        <w:rPr>
          <w:rFonts w:ascii="Times New Roman" w:eastAsiaTheme="minorHAnsi"/>
          <w:noProof/>
          <w:kern w:val="0"/>
        </w:rPr>
        <w:t>K.</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Arnold,</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Total</w:t>
      </w:r>
      <w:r w:rsidR="006244D6" w:rsidRPr="000F3911">
        <w:rPr>
          <w:rFonts w:ascii="Times New Roman" w:eastAsiaTheme="minorHAnsi"/>
          <w:noProof/>
          <w:kern w:val="0"/>
        </w:rPr>
        <w:t xml:space="preserve"> </w:t>
      </w:r>
      <w:r w:rsidRPr="000F3911">
        <w:rPr>
          <w:rFonts w:ascii="Times New Roman" w:eastAsiaTheme="minorHAnsi"/>
          <w:noProof/>
          <w:kern w:val="0"/>
        </w:rPr>
        <w:t>Disc</w:t>
      </w:r>
      <w:r w:rsidR="006244D6" w:rsidRPr="000F3911">
        <w:rPr>
          <w:rFonts w:ascii="Times New Roman" w:eastAsiaTheme="minorHAnsi"/>
          <w:noProof/>
          <w:kern w:val="0"/>
        </w:rPr>
        <w:t xml:space="preserve"> </w:t>
      </w:r>
      <w:r w:rsidRPr="000F3911">
        <w:rPr>
          <w:rFonts w:ascii="Times New Roman" w:eastAsiaTheme="minorHAnsi"/>
          <w:noProof/>
          <w:kern w:val="0"/>
        </w:rPr>
        <w:t>Replacement</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Reoperation</w:t>
      </w:r>
      <w:r w:rsidR="006244D6" w:rsidRPr="000F3911">
        <w:rPr>
          <w:rFonts w:ascii="Times New Roman" w:eastAsiaTheme="minorHAnsi"/>
          <w:noProof/>
          <w:kern w:val="0"/>
        </w:rPr>
        <w:t xml:space="preserve"> </w:t>
      </w:r>
      <w:r w:rsidRPr="000F3911">
        <w:rPr>
          <w:rFonts w:ascii="Times New Roman" w:eastAsiaTheme="minorHAnsi"/>
          <w:noProof/>
          <w:kern w:val="0"/>
        </w:rPr>
        <w:t>Rates,</w:t>
      </w:r>
      <w:r w:rsidR="006244D6" w:rsidRPr="000F3911">
        <w:rPr>
          <w:rFonts w:ascii="Times New Roman" w:eastAsiaTheme="minorHAnsi"/>
          <w:noProof/>
          <w:kern w:val="0"/>
        </w:rPr>
        <w:t xml:space="preserve"> </w:t>
      </w:r>
      <w:r w:rsidRPr="000F3911">
        <w:rPr>
          <w:rFonts w:ascii="Times New Roman" w:eastAsiaTheme="minorHAnsi"/>
          <w:noProof/>
          <w:kern w:val="0"/>
        </w:rPr>
        <w:t>Complications,</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Hospital</w:t>
      </w:r>
      <w:r w:rsidR="006244D6" w:rsidRPr="000F3911">
        <w:rPr>
          <w:rFonts w:ascii="Times New Roman" w:eastAsiaTheme="minorHAnsi"/>
          <w:noProof/>
          <w:kern w:val="0"/>
        </w:rPr>
        <w:t xml:space="preserve"> </w:t>
      </w:r>
      <w:r w:rsidRPr="000F3911">
        <w:rPr>
          <w:rFonts w:ascii="Times New Roman" w:eastAsiaTheme="minorHAnsi"/>
          <w:noProof/>
          <w:kern w:val="0"/>
        </w:rPr>
        <w:t>Resource</w:t>
      </w:r>
      <w:r w:rsidR="006244D6" w:rsidRPr="000F3911">
        <w:rPr>
          <w:rFonts w:ascii="Times New Roman" w:eastAsiaTheme="minorHAnsi"/>
          <w:noProof/>
          <w:kern w:val="0"/>
        </w:rPr>
        <w:t xml:space="preserve"> </w:t>
      </w:r>
      <w:r w:rsidRPr="000F3911">
        <w:rPr>
          <w:rFonts w:ascii="Times New Roman" w:eastAsiaTheme="minorHAnsi"/>
          <w:noProof/>
          <w:kern w:val="0"/>
        </w:rPr>
        <w:t>Utilization</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72</w:t>
      </w:r>
      <w:r w:rsidR="006244D6" w:rsidRPr="000F3911">
        <w:rPr>
          <w:rFonts w:ascii="Times New Roman" w:eastAsiaTheme="minorHAnsi"/>
          <w:noProof/>
          <w:kern w:val="0"/>
        </w:rPr>
        <w:t xml:space="preserve"> </w:t>
      </w:r>
      <w:r w:rsidRPr="000F3911">
        <w:rPr>
          <w:rFonts w:ascii="Times New Roman" w:eastAsiaTheme="minorHAnsi"/>
          <w:noProof/>
          <w:kern w:val="0"/>
        </w:rPr>
        <w:t>688</w:t>
      </w:r>
      <w:r w:rsidR="006244D6" w:rsidRPr="000F3911">
        <w:rPr>
          <w:rFonts w:ascii="Times New Roman" w:eastAsiaTheme="minorHAnsi"/>
          <w:noProof/>
          <w:kern w:val="0"/>
        </w:rPr>
        <w:t xml:space="preserve"> </w:t>
      </w:r>
      <w:r w:rsidRPr="000F3911">
        <w:rPr>
          <w:rFonts w:ascii="Times New Roman" w:eastAsiaTheme="minorHAnsi"/>
          <w:noProof/>
          <w:kern w:val="0"/>
        </w:rPr>
        <w:t>Patients</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i/>
          <w:iCs/>
          <w:noProof/>
          <w:kern w:val="0"/>
        </w:rPr>
        <w:t>Neurosurgery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10.1093/neuros/nyx289.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Shamji,</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F.</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(2013)</w:t>
      </w:r>
      <w:r w:rsidR="006244D6" w:rsidRPr="000F3911">
        <w:rPr>
          <w:rFonts w:ascii="Times New Roman" w:eastAsiaTheme="minorHAnsi"/>
          <w:noProof/>
          <w:kern w:val="0"/>
        </w:rPr>
        <w:t xml:space="preserve"> </w:t>
      </w:r>
      <w:r w:rsidRPr="000F3911">
        <w:rPr>
          <w:rFonts w:ascii="Times New Roman" w:eastAsiaTheme="minorHAnsi"/>
          <w:noProof/>
          <w:kern w:val="0"/>
        </w:rPr>
        <w:t>‘Comparison</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surgical</w:t>
      </w:r>
      <w:r w:rsidR="006244D6" w:rsidRPr="000F3911">
        <w:rPr>
          <w:rFonts w:ascii="Times New Roman" w:eastAsiaTheme="minorHAnsi"/>
          <w:noProof/>
          <w:kern w:val="0"/>
        </w:rPr>
        <w:t xml:space="preserve"> </w:t>
      </w:r>
      <w:r w:rsidRPr="000F3911">
        <w:rPr>
          <w:rFonts w:ascii="Times New Roman" w:eastAsiaTheme="minorHAnsi"/>
          <w:noProof/>
          <w:kern w:val="0"/>
        </w:rPr>
        <w:t>options</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i/>
          <w:iCs/>
          <w:noProof/>
          <w:kern w:val="0"/>
        </w:rPr>
        <w:t>Spine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38(22</w:t>
      </w:r>
      <w:r w:rsidR="006244D6" w:rsidRPr="000F3911">
        <w:rPr>
          <w:rFonts w:ascii="Times New Roman" w:eastAsiaTheme="minorHAnsi"/>
          <w:noProof/>
          <w:kern w:val="0"/>
        </w:rPr>
        <w:t xml:space="preserve"> </w:t>
      </w:r>
      <w:r w:rsidRPr="000F3911">
        <w:rPr>
          <w:rFonts w:ascii="Times New Roman" w:eastAsiaTheme="minorHAnsi"/>
          <w:noProof/>
          <w:kern w:val="0"/>
        </w:rPr>
        <w:t>Suppl</w:t>
      </w:r>
      <w:r w:rsidR="006244D6" w:rsidRPr="000F3911">
        <w:rPr>
          <w:rFonts w:ascii="Times New Roman" w:eastAsiaTheme="minorHAnsi"/>
          <w:noProof/>
          <w:kern w:val="0"/>
        </w:rPr>
        <w:t xml:space="preserve"> </w:t>
      </w:r>
      <w:r w:rsidRPr="000F3911">
        <w:rPr>
          <w:rFonts w:ascii="Times New Roman" w:eastAsiaTheme="minorHAnsi"/>
          <w:noProof/>
          <w:kern w:val="0"/>
        </w:rPr>
        <w:t>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S195-209.</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10.1097/BRS.0b013e3182a7eb27.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Sheikh</w:t>
      </w:r>
      <w:r w:rsidR="006244D6" w:rsidRPr="000F3911">
        <w:rPr>
          <w:rFonts w:ascii="Times New Roman" w:eastAsiaTheme="minorHAnsi"/>
          <w:noProof/>
          <w:kern w:val="0"/>
        </w:rPr>
        <w:t xml:space="preserve"> </w:t>
      </w:r>
      <w:r w:rsidRPr="000F3911">
        <w:rPr>
          <w:rFonts w:ascii="Times New Roman" w:eastAsiaTheme="minorHAnsi"/>
          <w:noProof/>
          <w:kern w:val="0"/>
        </w:rPr>
        <w:t>Taha,</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(2015)</w:t>
      </w:r>
      <w:r w:rsidR="006244D6" w:rsidRPr="000F3911">
        <w:rPr>
          <w:rFonts w:ascii="Times New Roman" w:eastAsiaTheme="minorHAnsi"/>
          <w:noProof/>
          <w:kern w:val="0"/>
        </w:rPr>
        <w:t xml:space="preserve"> </w:t>
      </w:r>
      <w:r w:rsidRPr="000F3911">
        <w:rPr>
          <w:rFonts w:ascii="Times New Roman" w:eastAsiaTheme="minorHAnsi"/>
          <w:noProof/>
          <w:kern w:val="0"/>
        </w:rPr>
        <w:t>‘Considerations</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prophylactic</w:t>
      </w:r>
      <w:r w:rsidR="006244D6" w:rsidRPr="000F3911">
        <w:rPr>
          <w:rFonts w:ascii="Times New Roman" w:eastAsiaTheme="minorHAnsi"/>
          <w:noProof/>
          <w:kern w:val="0"/>
        </w:rPr>
        <w:t xml:space="preserve"> </w:t>
      </w:r>
      <w:r w:rsidRPr="000F3911">
        <w:rPr>
          <w:rFonts w:ascii="Times New Roman" w:eastAsiaTheme="minorHAnsi"/>
          <w:noProof/>
          <w:kern w:val="0"/>
        </w:rPr>
        <w:t>surgery</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asymptomatic</w:t>
      </w:r>
      <w:r w:rsidR="006244D6" w:rsidRPr="000F3911">
        <w:rPr>
          <w:rFonts w:ascii="Times New Roman" w:eastAsiaTheme="minorHAnsi"/>
          <w:noProof/>
          <w:kern w:val="0"/>
        </w:rPr>
        <w:t xml:space="preserve"> </w:t>
      </w:r>
      <w:r w:rsidRPr="000F3911">
        <w:rPr>
          <w:rFonts w:ascii="Times New Roman" w:eastAsiaTheme="minorHAnsi"/>
          <w:noProof/>
          <w:kern w:val="0"/>
        </w:rPr>
        <w:t>severe</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stenosis:</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article.’,</w:t>
      </w:r>
      <w:r w:rsidR="006244D6" w:rsidRPr="000F3911">
        <w:rPr>
          <w:rFonts w:ascii="Times New Roman" w:eastAsiaTheme="minorHAnsi"/>
          <w:noProof/>
          <w:kern w:val="0"/>
        </w:rPr>
        <w:t xml:space="preserve"> </w:t>
      </w:r>
      <w:r w:rsidRPr="000F3911">
        <w:rPr>
          <w:rFonts w:ascii="Times New Roman" w:eastAsiaTheme="minorHAnsi"/>
          <w:i/>
          <w:iCs/>
          <w:noProof/>
          <w:kern w:val="0"/>
        </w:rPr>
        <w:t>HSS</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musculoskeletal</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Hospital</w:t>
      </w:r>
      <w:r w:rsidR="006244D6" w:rsidRPr="000F3911">
        <w:rPr>
          <w:rFonts w:ascii="Times New Roman" w:eastAsiaTheme="minorHAnsi"/>
          <w:i/>
          <w:iCs/>
          <w:noProof/>
          <w:kern w:val="0"/>
        </w:rPr>
        <w:t xml:space="preserve"> </w:t>
      </w:r>
      <w:r w:rsidRPr="000F3911">
        <w:rPr>
          <w:rFonts w:ascii="Times New Roman" w:eastAsiaTheme="minorHAnsi"/>
          <w:i/>
          <w:iCs/>
          <w:noProof/>
          <w:kern w:val="0"/>
        </w:rPr>
        <w:t>for</w:t>
      </w:r>
      <w:r w:rsidR="006244D6" w:rsidRPr="000F3911">
        <w:rPr>
          <w:rFonts w:ascii="Times New Roman" w:eastAsiaTheme="minorHAnsi"/>
          <w:i/>
          <w:iCs/>
          <w:noProof/>
          <w:kern w:val="0"/>
        </w:rPr>
        <w:t xml:space="preserve"> </w:t>
      </w:r>
      <w:r w:rsidRPr="000F3911">
        <w:rPr>
          <w:rFonts w:ascii="Times New Roman" w:eastAsiaTheme="minorHAnsi"/>
          <w:i/>
          <w:iCs/>
          <w:noProof/>
          <w:kern w:val="0"/>
        </w:rPr>
        <w:t>Special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11(1),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31–35.</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10.1007/s11420-014-9426-4.</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Shriver,</w:t>
      </w:r>
      <w:r w:rsidR="006244D6" w:rsidRPr="000F3911">
        <w:rPr>
          <w:rFonts w:ascii="Times New Roman" w:eastAsiaTheme="minorHAnsi"/>
          <w:noProof/>
          <w:kern w:val="0"/>
        </w:rPr>
        <w:t xml:space="preserve"> </w:t>
      </w:r>
      <w:r w:rsidRPr="000F3911">
        <w:rPr>
          <w:rFonts w:ascii="Times New Roman" w:eastAsiaTheme="minorHAnsi"/>
          <w:noProof/>
          <w:kern w:val="0"/>
        </w:rPr>
        <w:t>M.</w:t>
      </w:r>
      <w:r w:rsidR="006244D6" w:rsidRPr="000F3911">
        <w:rPr>
          <w:rFonts w:ascii="Times New Roman" w:eastAsiaTheme="minorHAnsi"/>
          <w:noProof/>
          <w:kern w:val="0"/>
        </w:rPr>
        <w:t xml:space="preserve"> </w:t>
      </w:r>
      <w:r w:rsidRPr="000F3911">
        <w:rPr>
          <w:rFonts w:ascii="Times New Roman" w:eastAsiaTheme="minorHAnsi"/>
          <w:noProof/>
          <w:kern w:val="0"/>
        </w:rPr>
        <w:t>F.</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‘Dysphagia</w:t>
      </w:r>
      <w:r w:rsidR="006244D6" w:rsidRPr="000F3911">
        <w:rPr>
          <w:rFonts w:ascii="Times New Roman" w:eastAsiaTheme="minorHAnsi"/>
          <w:noProof/>
          <w:kern w:val="0"/>
        </w:rPr>
        <w:t xml:space="preserve"> </w:t>
      </w:r>
      <w:r w:rsidRPr="000F3911">
        <w:rPr>
          <w:rFonts w:ascii="Times New Roman" w:eastAsiaTheme="minorHAnsi"/>
          <w:noProof/>
          <w:kern w:val="0"/>
        </w:rPr>
        <w:t>Rates</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Diskectomy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Global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England,</w:t>
      </w:r>
      <w:r w:rsidR="006244D6" w:rsidRPr="000F3911">
        <w:rPr>
          <w:rFonts w:ascii="Times New Roman" w:eastAsiaTheme="minorHAnsi"/>
          <w:noProof/>
          <w:kern w:val="0"/>
        </w:rPr>
        <w:t xml:space="preserve"> </w:t>
      </w:r>
      <w:r w:rsidRPr="000F3911">
        <w:rPr>
          <w:rFonts w:ascii="Times New Roman" w:eastAsiaTheme="minorHAnsi"/>
          <w:noProof/>
          <w:kern w:val="0"/>
        </w:rPr>
        <w:t>7(1),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95–103.</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10.1055/s-0036-1583944.</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Tuchman,</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‘Autograft</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Allograft</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Spinal</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i/>
          <w:iCs/>
          <w:noProof/>
          <w:kern w:val="0"/>
        </w:rPr>
        <w:t>Global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7(1),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59–70.</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10.1055/s-0036-1580610.</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lastRenderedPageBreak/>
        <w:t>Uribe,</w:t>
      </w:r>
      <w:r w:rsidR="006244D6" w:rsidRPr="000F3911">
        <w:rPr>
          <w:rFonts w:ascii="Times New Roman" w:eastAsiaTheme="minorHAnsi"/>
          <w:noProof/>
          <w:kern w:val="0"/>
        </w:rPr>
        <w:t xml:space="preserve"> </w:t>
      </w:r>
      <w:r w:rsidRPr="000F3911">
        <w:rPr>
          <w:rFonts w:ascii="Times New Roman" w:eastAsiaTheme="minorHAnsi"/>
          <w:noProof/>
          <w:kern w:val="0"/>
        </w:rPr>
        <w:t>J.</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(2009)</w:t>
      </w:r>
      <w:r w:rsidR="006244D6" w:rsidRPr="000F3911">
        <w:rPr>
          <w:rFonts w:ascii="Times New Roman" w:eastAsiaTheme="minorHAnsi"/>
          <w:noProof/>
          <w:kern w:val="0"/>
        </w:rPr>
        <w:t xml:space="preserve"> </w:t>
      </w:r>
      <w:r w:rsidRPr="000F3911">
        <w:rPr>
          <w:rFonts w:ascii="Times New Roman" w:eastAsiaTheme="minorHAnsi"/>
          <w:noProof/>
          <w:kern w:val="0"/>
        </w:rPr>
        <w:t>‘Comparison</w:t>
      </w:r>
      <w:r w:rsidR="006244D6" w:rsidRPr="000F3911">
        <w:rPr>
          <w:rFonts w:ascii="Times New Roman" w:eastAsiaTheme="minorHAnsi"/>
          <w:noProof/>
          <w:kern w:val="0"/>
        </w:rPr>
        <w:t xml:space="preserve"> </w:t>
      </w:r>
      <w:r w:rsidRPr="000F3911">
        <w:rPr>
          <w:rFonts w:ascii="Times New Roman" w:eastAsiaTheme="minorHAnsi"/>
          <w:noProof/>
          <w:kern w:val="0"/>
        </w:rPr>
        <w:t>between</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using</w:t>
      </w:r>
      <w:r w:rsidR="006244D6" w:rsidRPr="000F3911">
        <w:rPr>
          <w:rFonts w:ascii="Times New Roman" w:eastAsiaTheme="minorHAnsi"/>
          <w:noProof/>
          <w:kern w:val="0"/>
        </w:rPr>
        <w:t xml:space="preserve"> </w:t>
      </w:r>
      <w:r w:rsidRPr="000F3911">
        <w:rPr>
          <w:rFonts w:ascii="Times New Roman" w:eastAsiaTheme="minorHAnsi"/>
          <w:noProof/>
          <w:kern w:val="0"/>
        </w:rPr>
        <w:t>titanium</w:t>
      </w:r>
      <w:r w:rsidR="006244D6" w:rsidRPr="000F3911">
        <w:rPr>
          <w:rFonts w:ascii="Times New Roman" w:eastAsiaTheme="minorHAnsi"/>
          <w:noProof/>
          <w:kern w:val="0"/>
        </w:rPr>
        <w:t xml:space="preserve"> </w:t>
      </w:r>
      <w:r w:rsidRPr="000F3911">
        <w:rPr>
          <w:rFonts w:ascii="Times New Roman" w:eastAsiaTheme="minorHAnsi"/>
          <w:noProof/>
          <w:kern w:val="0"/>
        </w:rPr>
        <w:t>cages</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reconstruction:</w:t>
      </w:r>
      <w:r w:rsidR="006244D6" w:rsidRPr="000F3911">
        <w:rPr>
          <w:rFonts w:ascii="Times New Roman" w:eastAsiaTheme="minorHAnsi"/>
          <w:noProof/>
          <w:kern w:val="0"/>
        </w:rPr>
        <w:t xml:space="preserve"> </w:t>
      </w:r>
      <w:r w:rsidRPr="000F3911">
        <w:rPr>
          <w:rFonts w:ascii="Times New Roman" w:eastAsiaTheme="minorHAnsi"/>
          <w:noProof/>
          <w:kern w:val="0"/>
        </w:rPr>
        <w:t>analysis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outcome</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long-term</w:t>
      </w:r>
      <w:r w:rsidR="006244D6" w:rsidRPr="000F3911">
        <w:rPr>
          <w:rFonts w:ascii="Times New Roman" w:eastAsiaTheme="minorHAnsi"/>
          <w:noProof/>
          <w:kern w:val="0"/>
        </w:rPr>
        <w:t xml:space="preserve"> </w:t>
      </w:r>
      <w:r w:rsidRPr="000F3911">
        <w:rPr>
          <w:rFonts w:ascii="Times New Roman" w:eastAsiaTheme="minorHAnsi"/>
          <w:noProof/>
          <w:kern w:val="0"/>
        </w:rPr>
        <w:t>follow-up.’,</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18(5),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654–62.</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10.1007/s00586-009-0897-9.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Wang,</w:t>
      </w:r>
      <w:r w:rsidR="006244D6" w:rsidRPr="000F3911">
        <w:rPr>
          <w:rFonts w:ascii="Times New Roman" w:eastAsiaTheme="minorHAnsi"/>
          <w:noProof/>
          <w:kern w:val="0"/>
        </w:rPr>
        <w:t xml:space="preserve"> </w:t>
      </w:r>
      <w:r w:rsidRPr="000F3911">
        <w:rPr>
          <w:rFonts w:ascii="Times New Roman" w:eastAsiaTheme="minorHAnsi"/>
          <w:noProof/>
          <w:kern w:val="0"/>
        </w:rPr>
        <w:t>T.</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(2016)</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Medicine</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95(49),</w:t>
      </w:r>
      <w:r w:rsidR="006244D6" w:rsidRPr="000F3911">
        <w:rPr>
          <w:rFonts w:ascii="Times New Roman" w:eastAsiaTheme="minorHAnsi"/>
          <w:noProof/>
          <w:kern w:val="0"/>
        </w:rPr>
        <w:t xml:space="preserve"> </w:t>
      </w:r>
      <w:r w:rsidRPr="000F3911">
        <w:rPr>
          <w:rFonts w:ascii="Times New Roman" w:eastAsiaTheme="minorHAnsi"/>
          <w:noProof/>
          <w:kern w:val="0"/>
        </w:rPr>
        <w:t>p.</w:t>
      </w:r>
      <w:r w:rsidR="006244D6" w:rsidRPr="000F3911">
        <w:rPr>
          <w:rFonts w:ascii="Times New Roman" w:eastAsiaTheme="minorHAnsi"/>
          <w:noProof/>
          <w:kern w:val="0"/>
        </w:rPr>
        <w:t xml:space="preserve"> </w:t>
      </w:r>
      <w:r w:rsidRPr="000F3911">
        <w:rPr>
          <w:rFonts w:ascii="Times New Roman" w:eastAsiaTheme="minorHAnsi"/>
          <w:noProof/>
          <w:kern w:val="0"/>
        </w:rPr>
        <w:t>e5437.</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10.1097/MD.0000000000005437.</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Wen,</w:t>
      </w:r>
      <w:r w:rsidR="006244D6" w:rsidRPr="000F3911">
        <w:rPr>
          <w:rFonts w:ascii="Times New Roman" w:eastAsiaTheme="minorHAnsi"/>
          <w:noProof/>
          <w:kern w:val="0"/>
        </w:rPr>
        <w:t xml:space="preserve"> </w:t>
      </w:r>
      <w:r w:rsidRPr="000F3911">
        <w:rPr>
          <w:rFonts w:ascii="Times New Roman" w:eastAsiaTheme="minorHAnsi"/>
          <w:noProof/>
          <w:kern w:val="0"/>
        </w:rPr>
        <w:t>Z.-Q.</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(2015)</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corpectomy</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noProof/>
          <w:kern w:val="0"/>
        </w:rPr>
        <w:t>in</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Therapeutics</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clinical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risk</w:t>
      </w:r>
      <w:r w:rsidR="006244D6" w:rsidRPr="000F3911">
        <w:rPr>
          <w:rFonts w:ascii="Times New Roman" w:eastAsiaTheme="minorHAnsi"/>
          <w:i/>
          <w:iCs/>
          <w:noProof/>
          <w:kern w:val="0"/>
        </w:rPr>
        <w:t xml:space="preserve"> </w:t>
      </w:r>
      <w:r w:rsidRPr="000F3911">
        <w:rPr>
          <w:rFonts w:ascii="Times New Roman" w:eastAsiaTheme="minorHAnsi"/>
          <w:i/>
          <w:iCs/>
          <w:noProof/>
          <w:kern w:val="0"/>
        </w:rPr>
        <w:t>management</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11,</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161–70.</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10.2147/TCRM.S72699.</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lastRenderedPageBreak/>
        <w:t>Wu,</w:t>
      </w:r>
      <w:r w:rsidR="006244D6" w:rsidRPr="000F3911">
        <w:rPr>
          <w:rFonts w:ascii="Times New Roman" w:eastAsiaTheme="minorHAnsi"/>
          <w:noProof/>
          <w:kern w:val="0"/>
        </w:rPr>
        <w:t xml:space="preserve"> </w:t>
      </w:r>
      <w:r w:rsidRPr="000F3911">
        <w:rPr>
          <w:rFonts w:ascii="Times New Roman" w:eastAsiaTheme="minorHAnsi"/>
          <w:noProof/>
          <w:kern w:val="0"/>
        </w:rPr>
        <w:t>B.,</w:t>
      </w:r>
      <w:r w:rsidR="006244D6" w:rsidRPr="000F3911">
        <w:rPr>
          <w:rFonts w:ascii="Times New Roman" w:eastAsiaTheme="minorHAnsi"/>
          <w:noProof/>
          <w:kern w:val="0"/>
        </w:rPr>
        <w:t xml:space="preserve"> </w:t>
      </w:r>
      <w:r w:rsidRPr="000F3911">
        <w:rPr>
          <w:rFonts w:ascii="Times New Roman" w:eastAsiaTheme="minorHAnsi"/>
          <w:noProof/>
          <w:kern w:val="0"/>
        </w:rPr>
        <w:t>Song,</w:t>
      </w:r>
      <w:r w:rsidR="006244D6" w:rsidRPr="000F3911">
        <w:rPr>
          <w:rFonts w:ascii="Times New Roman" w:eastAsiaTheme="minorHAnsi"/>
          <w:noProof/>
          <w:kern w:val="0"/>
        </w:rPr>
        <w:t xml:space="preserve"> </w:t>
      </w:r>
      <w:r w:rsidRPr="000F3911">
        <w:rPr>
          <w:rFonts w:ascii="Times New Roman" w:eastAsiaTheme="minorHAnsi"/>
          <w:noProof/>
          <w:kern w:val="0"/>
        </w:rPr>
        <w:t>F.</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Zhu,</w:t>
      </w:r>
      <w:r w:rsidR="006244D6" w:rsidRPr="000F3911">
        <w:rPr>
          <w:rFonts w:ascii="Times New Roman" w:eastAsiaTheme="minorHAnsi"/>
          <w:noProof/>
          <w:kern w:val="0"/>
        </w:rPr>
        <w:t xml:space="preserve"> </w:t>
      </w:r>
      <w:r w:rsidRPr="000F3911">
        <w:rPr>
          <w:rFonts w:ascii="Times New Roman" w:eastAsiaTheme="minorHAnsi"/>
          <w:noProof/>
          <w:kern w:val="0"/>
        </w:rPr>
        <w:t>S.</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‘Reasons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Dysphagia</w:t>
      </w:r>
      <w:r w:rsidR="006244D6" w:rsidRPr="000F3911">
        <w:rPr>
          <w:rFonts w:ascii="Times New Roman" w:eastAsiaTheme="minorHAnsi"/>
          <w:noProof/>
          <w:kern w:val="0"/>
        </w:rPr>
        <w:t xml:space="preserve"> </w:t>
      </w:r>
      <w:r w:rsidRPr="000F3911">
        <w:rPr>
          <w:rFonts w:ascii="Times New Roman" w:eastAsiaTheme="minorHAnsi"/>
          <w:noProof/>
          <w:kern w:val="0"/>
        </w:rPr>
        <w:t>After</w:t>
      </w:r>
      <w:r w:rsidR="006244D6" w:rsidRPr="000F3911">
        <w:rPr>
          <w:rFonts w:ascii="Times New Roman" w:eastAsiaTheme="minorHAnsi"/>
          <w:noProof/>
          <w:kern w:val="0"/>
        </w:rPr>
        <w:t xml:space="preserve"> </w:t>
      </w:r>
      <w:r w:rsidRPr="000F3911">
        <w:rPr>
          <w:rFonts w:ascii="Times New Roman" w:eastAsiaTheme="minorHAnsi"/>
          <w:noProof/>
          <w:kern w:val="0"/>
        </w:rPr>
        <w:t>Operation</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Decompression</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Fusion.’,</w:t>
      </w:r>
      <w:r w:rsidR="006244D6" w:rsidRPr="000F3911">
        <w:rPr>
          <w:rFonts w:ascii="Times New Roman" w:eastAsiaTheme="minorHAnsi"/>
          <w:noProof/>
          <w:kern w:val="0"/>
        </w:rPr>
        <w:t xml:space="preserve"> </w:t>
      </w:r>
      <w:r w:rsidRPr="000F3911">
        <w:rPr>
          <w:rFonts w:ascii="Times New Roman" w:eastAsiaTheme="minorHAnsi"/>
          <w:i/>
          <w:iCs/>
          <w:noProof/>
          <w:kern w:val="0"/>
        </w:rPr>
        <w:t>Clinical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surgery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30(5),</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E554–E559.</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10.1097/BSD.0000000000000180.</w:t>
      </w:r>
    </w:p>
    <w:p w:rsidR="00106802" w:rsidRPr="000F3911" w:rsidRDefault="00106802" w:rsidP="007A1E52">
      <w:pPr>
        <w:pStyle w:val="ListParagraph"/>
        <w:numPr>
          <w:ilvl w:val="0"/>
          <w:numId w:val="23"/>
        </w:numPr>
        <w:wordWrap/>
        <w:adjustRightInd w:val="0"/>
        <w:snapToGrid w:val="0"/>
        <w:ind w:left="425" w:hanging="425"/>
        <w:rPr>
          <w:rFonts w:ascii="Times New Roman" w:eastAsiaTheme="minorHAnsi"/>
          <w:noProof/>
          <w:kern w:val="0"/>
        </w:rPr>
      </w:pPr>
      <w:r w:rsidRPr="000F3911">
        <w:rPr>
          <w:rFonts w:ascii="Times New Roman" w:eastAsiaTheme="minorHAnsi"/>
          <w:noProof/>
          <w:kern w:val="0"/>
        </w:rPr>
        <w:t>Yang,</w:t>
      </w:r>
      <w:r w:rsidR="006244D6" w:rsidRPr="000F3911">
        <w:rPr>
          <w:rFonts w:ascii="Times New Roman" w:eastAsiaTheme="minorHAnsi"/>
          <w:noProof/>
          <w:kern w:val="0"/>
        </w:rPr>
        <w:t xml:space="preserve"> </w:t>
      </w:r>
      <w:r w:rsidRPr="000F3911">
        <w:rPr>
          <w:rFonts w:ascii="Times New Roman" w:eastAsiaTheme="minorHAnsi"/>
          <w:noProof/>
          <w:kern w:val="0"/>
        </w:rPr>
        <w:t>J.-S.</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(2017)</w:t>
      </w:r>
      <w:r w:rsidR="006244D6" w:rsidRPr="000F3911">
        <w:rPr>
          <w:rFonts w:ascii="Times New Roman" w:eastAsiaTheme="minorHAnsi"/>
          <w:noProof/>
          <w:kern w:val="0"/>
        </w:rPr>
        <w:t xml:space="preserve"> </w:t>
      </w:r>
      <w:r w:rsidRPr="000F3911">
        <w:rPr>
          <w:rFonts w:ascii="Times New Roman" w:eastAsiaTheme="minorHAnsi"/>
          <w:noProof/>
          <w:kern w:val="0"/>
        </w:rPr>
        <w:t>‘Full-Endoscopic</w:t>
      </w:r>
      <w:r w:rsidR="006244D6" w:rsidRPr="000F3911">
        <w:rPr>
          <w:rFonts w:ascii="Times New Roman" w:eastAsiaTheme="minorHAnsi"/>
          <w:noProof/>
          <w:kern w:val="0"/>
        </w:rPr>
        <w:t xml:space="preserve"> </w:t>
      </w:r>
      <w:r w:rsidRPr="000F3911">
        <w:rPr>
          <w:rFonts w:ascii="Times New Roman" w:eastAsiaTheme="minorHAnsi"/>
          <w:noProof/>
          <w:kern w:val="0"/>
        </w:rPr>
        <w:t>Procedures</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Traditional</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Surgery</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Discectomy: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Systematic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Current</w:t>
      </w:r>
      <w:r w:rsidR="006244D6" w:rsidRPr="000F3911">
        <w:rPr>
          <w:rFonts w:ascii="Times New Roman" w:eastAsiaTheme="minorHAnsi"/>
          <w:noProof/>
          <w:kern w:val="0"/>
        </w:rPr>
        <w:t xml:space="preserve"> </w:t>
      </w:r>
      <w:r w:rsidRPr="000F3911">
        <w:rPr>
          <w:rFonts w:ascii="Times New Roman" w:eastAsiaTheme="minorHAnsi"/>
          <w:noProof/>
          <w:kern w:val="0"/>
        </w:rPr>
        <w:t>Global</w:t>
      </w:r>
      <w:r w:rsidR="006244D6" w:rsidRPr="000F3911">
        <w:rPr>
          <w:rFonts w:ascii="Times New Roman" w:eastAsiaTheme="minorHAnsi"/>
          <w:noProof/>
          <w:kern w:val="0"/>
        </w:rPr>
        <w:t xml:space="preserve"> </w:t>
      </w:r>
      <w:r w:rsidRPr="000F3911">
        <w:rPr>
          <w:rFonts w:ascii="Times New Roman" w:eastAsiaTheme="minorHAnsi"/>
          <w:noProof/>
          <w:kern w:val="0"/>
        </w:rPr>
        <w:t>Clinical</w:t>
      </w:r>
      <w:r w:rsidR="006244D6" w:rsidRPr="000F3911">
        <w:rPr>
          <w:rFonts w:ascii="Times New Roman" w:eastAsiaTheme="minorHAnsi"/>
          <w:noProof/>
          <w:kern w:val="0"/>
        </w:rPr>
        <w:t xml:space="preserve"> </w:t>
      </w:r>
      <w:r w:rsidRPr="000F3911">
        <w:rPr>
          <w:rFonts w:ascii="Times New Roman" w:eastAsiaTheme="minorHAnsi"/>
          <w:noProof/>
          <w:kern w:val="0"/>
        </w:rPr>
        <w:t>Trials.’,</w:t>
      </w:r>
      <w:r w:rsidR="006244D6" w:rsidRPr="000F3911">
        <w:rPr>
          <w:rFonts w:ascii="Times New Roman" w:eastAsiaTheme="minorHAnsi"/>
          <w:noProof/>
          <w:kern w:val="0"/>
        </w:rPr>
        <w:t xml:space="preserve"> </w:t>
      </w:r>
      <w:r w:rsidRPr="000F3911">
        <w:rPr>
          <w:rFonts w:ascii="Times New Roman" w:eastAsiaTheme="minorHAnsi"/>
          <w:i/>
          <w:iCs/>
          <w:noProof/>
          <w:kern w:val="0"/>
        </w:rPr>
        <w:t>Pain</w:t>
      </w:r>
      <w:r w:rsidR="006244D6" w:rsidRPr="000F3911">
        <w:rPr>
          <w:rFonts w:ascii="Times New Roman" w:eastAsiaTheme="minorHAnsi"/>
          <w:i/>
          <w:iCs/>
          <w:noProof/>
          <w:kern w:val="0"/>
        </w:rPr>
        <w:t xml:space="preserve"> </w:t>
      </w:r>
      <w:r w:rsidRPr="000F3911">
        <w:rPr>
          <w:rFonts w:ascii="Times New Roman" w:eastAsiaTheme="minorHAnsi"/>
          <w:i/>
          <w:iCs/>
          <w:noProof/>
          <w:kern w:val="0"/>
        </w:rPr>
        <w:t>physician</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United</w:t>
      </w:r>
      <w:r w:rsidR="006244D6" w:rsidRPr="000F3911">
        <w:rPr>
          <w:rFonts w:ascii="Times New Roman" w:eastAsiaTheme="minorHAnsi"/>
          <w:noProof/>
          <w:kern w:val="0"/>
        </w:rPr>
        <w:t xml:space="preserve"> </w:t>
      </w:r>
      <w:r w:rsidRPr="000F3911">
        <w:rPr>
          <w:rFonts w:ascii="Times New Roman" w:eastAsiaTheme="minorHAnsi"/>
          <w:noProof/>
          <w:kern w:val="0"/>
        </w:rPr>
        <w:t>States,</w:t>
      </w:r>
      <w:r w:rsidR="006244D6" w:rsidRPr="000F3911">
        <w:rPr>
          <w:rFonts w:ascii="Times New Roman" w:eastAsiaTheme="minorHAnsi"/>
          <w:noProof/>
          <w:kern w:val="0"/>
        </w:rPr>
        <w:t xml:space="preserve"> </w:t>
      </w:r>
      <w:r w:rsidRPr="000F3911">
        <w:rPr>
          <w:rFonts w:ascii="Times New Roman" w:eastAsiaTheme="minorHAnsi"/>
          <w:noProof/>
          <w:kern w:val="0"/>
        </w:rPr>
        <w:t>20(7),</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E1123–E1124.</w:t>
      </w:r>
    </w:p>
    <w:p w:rsidR="006244D6" w:rsidRPr="000F3911" w:rsidRDefault="00106802" w:rsidP="007A1E52">
      <w:pPr>
        <w:pStyle w:val="ListParagraph"/>
        <w:numPr>
          <w:ilvl w:val="0"/>
          <w:numId w:val="23"/>
        </w:numPr>
        <w:wordWrap/>
        <w:adjustRightInd w:val="0"/>
        <w:snapToGrid w:val="0"/>
        <w:ind w:left="425" w:hanging="425"/>
      </w:pPr>
      <w:r w:rsidRPr="000F3911">
        <w:rPr>
          <w:rFonts w:ascii="Times New Roman" w:eastAsiaTheme="minorHAnsi"/>
          <w:noProof/>
          <w:kern w:val="0"/>
        </w:rPr>
        <w:t>Zhu,</w:t>
      </w:r>
      <w:r w:rsidR="006244D6" w:rsidRPr="000F3911">
        <w:rPr>
          <w:rFonts w:ascii="Times New Roman" w:eastAsiaTheme="minorHAnsi"/>
          <w:noProof/>
          <w:kern w:val="0"/>
        </w:rPr>
        <w:t xml:space="preserve"> </w:t>
      </w:r>
      <w:r w:rsidRPr="000F3911">
        <w:rPr>
          <w:rFonts w:ascii="Times New Roman" w:eastAsiaTheme="minorHAnsi"/>
          <w:noProof/>
          <w:kern w:val="0"/>
        </w:rPr>
        <w:t>B.</w:t>
      </w:r>
      <w:r w:rsidR="006244D6" w:rsidRPr="000F3911">
        <w:rPr>
          <w:rFonts w:ascii="Times New Roman" w:eastAsiaTheme="minorHAnsi"/>
          <w:noProof/>
          <w:kern w:val="0"/>
        </w:rPr>
        <w:t xml:space="preserve"> </w:t>
      </w:r>
      <w:r w:rsidRPr="000F3911">
        <w:rPr>
          <w:rFonts w:ascii="Times New Roman" w:eastAsiaTheme="minorHAnsi"/>
          <w:i/>
          <w:iCs/>
          <w:noProof/>
          <w:kern w:val="0"/>
        </w:rPr>
        <w:t>et</w:t>
      </w:r>
      <w:r w:rsidR="006244D6" w:rsidRPr="000F3911">
        <w:rPr>
          <w:rFonts w:ascii="Times New Roman" w:eastAsiaTheme="minorHAnsi"/>
          <w:i/>
          <w:iCs/>
          <w:noProof/>
          <w:kern w:val="0"/>
        </w:rPr>
        <w:t xml:space="preserve"> </w:t>
      </w:r>
      <w:r w:rsidRPr="000F3911">
        <w:rPr>
          <w:rFonts w:ascii="Times New Roman" w:eastAsiaTheme="minorHAnsi"/>
          <w:i/>
          <w:iCs/>
          <w:noProof/>
          <w:kern w:val="0"/>
        </w:rPr>
        <w:t>al.</w:t>
      </w:r>
      <w:r w:rsidR="006244D6" w:rsidRPr="000F3911">
        <w:rPr>
          <w:rFonts w:ascii="Times New Roman" w:eastAsiaTheme="minorHAnsi"/>
          <w:noProof/>
          <w:kern w:val="0"/>
        </w:rPr>
        <w:t xml:space="preserve"> </w:t>
      </w:r>
      <w:r w:rsidRPr="000F3911">
        <w:rPr>
          <w:rFonts w:ascii="Times New Roman" w:eastAsiaTheme="minorHAnsi"/>
          <w:noProof/>
          <w:kern w:val="0"/>
        </w:rPr>
        <w:t>(2013)</w:t>
      </w:r>
      <w:r w:rsidR="006244D6" w:rsidRPr="000F3911">
        <w:rPr>
          <w:rFonts w:ascii="Times New Roman" w:eastAsiaTheme="minorHAnsi"/>
          <w:noProof/>
          <w:kern w:val="0"/>
        </w:rPr>
        <w:t xml:space="preserve"> </w:t>
      </w:r>
      <w:r w:rsidRPr="000F3911">
        <w:rPr>
          <w:rFonts w:ascii="Times New Roman" w:eastAsiaTheme="minorHAnsi"/>
          <w:noProof/>
          <w:kern w:val="0"/>
        </w:rPr>
        <w:t>‘Anterior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versus</w:t>
      </w:r>
      <w:r w:rsidR="006244D6" w:rsidRPr="000F3911">
        <w:rPr>
          <w:rFonts w:ascii="Times New Roman" w:eastAsiaTheme="minorHAnsi"/>
          <w:noProof/>
          <w:kern w:val="0"/>
        </w:rPr>
        <w:t xml:space="preserve"> </w:t>
      </w:r>
      <w:r w:rsidRPr="000F3911">
        <w:rPr>
          <w:rFonts w:ascii="Times New Roman" w:eastAsiaTheme="minorHAnsi"/>
          <w:noProof/>
          <w:kern w:val="0"/>
        </w:rPr>
        <w:t>posterior</w:t>
      </w:r>
      <w:r w:rsidR="006244D6" w:rsidRPr="000F3911">
        <w:rPr>
          <w:rFonts w:ascii="Times New Roman" w:eastAsiaTheme="minorHAnsi"/>
          <w:noProof/>
          <w:kern w:val="0"/>
        </w:rPr>
        <w:t xml:space="preserve"> </w:t>
      </w:r>
      <w:r w:rsidRPr="000F3911">
        <w:rPr>
          <w:rFonts w:ascii="Times New Roman" w:eastAsiaTheme="minorHAnsi"/>
          <w:noProof/>
          <w:kern w:val="0"/>
        </w:rPr>
        <w:t>approach</w:t>
      </w:r>
      <w:r w:rsidR="006244D6" w:rsidRPr="000F3911">
        <w:rPr>
          <w:rFonts w:ascii="Times New Roman" w:eastAsiaTheme="minorHAnsi"/>
          <w:noProof/>
          <w:kern w:val="0"/>
        </w:rPr>
        <w:t xml:space="preserve"> </w:t>
      </w:r>
      <w:r w:rsidRPr="000F3911">
        <w:rPr>
          <w:rFonts w:ascii="Times New Roman" w:eastAsiaTheme="minorHAnsi"/>
          <w:noProof/>
          <w:kern w:val="0"/>
        </w:rPr>
        <w:t>for</w:t>
      </w:r>
      <w:r w:rsidR="006244D6" w:rsidRPr="000F3911">
        <w:rPr>
          <w:rFonts w:ascii="Times New Roman" w:eastAsiaTheme="minorHAnsi"/>
          <w:noProof/>
          <w:kern w:val="0"/>
        </w:rPr>
        <w:t xml:space="preserve"> </w:t>
      </w:r>
      <w:r w:rsidRPr="000F3911">
        <w:rPr>
          <w:rFonts w:ascii="Times New Roman" w:eastAsiaTheme="minorHAnsi"/>
          <w:noProof/>
          <w:kern w:val="0"/>
        </w:rPr>
        <w:t>the</w:t>
      </w:r>
      <w:r w:rsidR="006244D6" w:rsidRPr="000F3911">
        <w:rPr>
          <w:rFonts w:ascii="Times New Roman" w:eastAsiaTheme="minorHAnsi"/>
          <w:noProof/>
          <w:kern w:val="0"/>
        </w:rPr>
        <w:t xml:space="preserve"> </w:t>
      </w:r>
      <w:r w:rsidRPr="000F3911">
        <w:rPr>
          <w:rFonts w:ascii="Times New Roman" w:eastAsiaTheme="minorHAnsi"/>
          <w:noProof/>
          <w:kern w:val="0"/>
        </w:rPr>
        <w:t>treatment</w:t>
      </w:r>
      <w:r w:rsidR="006244D6" w:rsidRPr="000F3911">
        <w:rPr>
          <w:rFonts w:ascii="Times New Roman" w:eastAsiaTheme="minorHAnsi"/>
          <w:noProof/>
          <w:kern w:val="0"/>
        </w:rPr>
        <w:t xml:space="preserve"> </w:t>
      </w:r>
      <w:r w:rsidRPr="000F3911">
        <w:rPr>
          <w:rFonts w:ascii="Times New Roman" w:eastAsiaTheme="minorHAnsi"/>
          <w:noProof/>
          <w:kern w:val="0"/>
        </w:rPr>
        <w:t>of</w:t>
      </w:r>
      <w:r w:rsidR="006244D6" w:rsidRPr="000F3911">
        <w:rPr>
          <w:rFonts w:ascii="Times New Roman" w:eastAsiaTheme="minorHAnsi"/>
          <w:noProof/>
          <w:kern w:val="0"/>
        </w:rPr>
        <w:t xml:space="preserve"> </w:t>
      </w:r>
      <w:r w:rsidRPr="000F3911">
        <w:rPr>
          <w:rFonts w:ascii="Times New Roman" w:eastAsiaTheme="minorHAnsi"/>
          <w:noProof/>
          <w:kern w:val="0"/>
        </w:rPr>
        <w:t>multilevel</w:t>
      </w:r>
      <w:r w:rsidR="006244D6" w:rsidRPr="000F3911">
        <w:rPr>
          <w:rFonts w:ascii="Times New Roman" w:eastAsiaTheme="minorHAnsi"/>
          <w:noProof/>
          <w:kern w:val="0"/>
        </w:rPr>
        <w:t xml:space="preserve"> </w:t>
      </w:r>
      <w:r w:rsidRPr="000F3911">
        <w:rPr>
          <w:rFonts w:ascii="Times New Roman" w:eastAsiaTheme="minorHAnsi"/>
          <w:noProof/>
          <w:kern w:val="0"/>
        </w:rPr>
        <w:t>cervical</w:t>
      </w:r>
      <w:r w:rsidR="006244D6" w:rsidRPr="000F3911">
        <w:rPr>
          <w:rFonts w:ascii="Times New Roman" w:eastAsiaTheme="minorHAnsi"/>
          <w:noProof/>
          <w:kern w:val="0"/>
        </w:rPr>
        <w:t xml:space="preserve"> </w:t>
      </w:r>
      <w:r w:rsidRPr="000F3911">
        <w:rPr>
          <w:rFonts w:ascii="Times New Roman" w:eastAsiaTheme="minorHAnsi"/>
          <w:noProof/>
          <w:kern w:val="0"/>
        </w:rPr>
        <w:t>spondylotic</w:t>
      </w:r>
      <w:r w:rsidR="006244D6" w:rsidRPr="000F3911">
        <w:rPr>
          <w:rFonts w:ascii="Times New Roman" w:eastAsiaTheme="minorHAnsi"/>
          <w:noProof/>
          <w:kern w:val="0"/>
        </w:rPr>
        <w:t xml:space="preserve"> </w:t>
      </w:r>
      <w:r w:rsidRPr="000F3911">
        <w:rPr>
          <w:rFonts w:ascii="Times New Roman" w:eastAsiaTheme="minorHAnsi"/>
          <w:noProof/>
          <w:kern w:val="0"/>
        </w:rPr>
        <w:t>myelopathy:</w:t>
      </w:r>
      <w:r w:rsidR="006244D6" w:rsidRPr="000F3911">
        <w:rPr>
          <w:rFonts w:ascii="Times New Roman" w:eastAsiaTheme="minorHAnsi"/>
          <w:noProof/>
          <w:kern w:val="0"/>
        </w:rPr>
        <w:t xml:space="preserve"> </w:t>
      </w:r>
      <w:r w:rsidRPr="000F3911">
        <w:rPr>
          <w:rFonts w:ascii="Times New Roman" w:eastAsiaTheme="minorHAnsi"/>
          <w:noProof/>
          <w:kern w:val="0"/>
        </w:rPr>
        <w:t>a</w:t>
      </w:r>
      <w:r w:rsidR="006244D6" w:rsidRPr="000F3911">
        <w:rPr>
          <w:rFonts w:ascii="Times New Roman" w:eastAsiaTheme="minorHAnsi"/>
          <w:noProof/>
          <w:kern w:val="0"/>
        </w:rPr>
        <w:t xml:space="preserve"> </w:t>
      </w:r>
      <w:r w:rsidRPr="000F3911">
        <w:rPr>
          <w:rFonts w:ascii="Times New Roman" w:eastAsiaTheme="minorHAnsi"/>
          <w:noProof/>
          <w:kern w:val="0"/>
        </w:rPr>
        <w:t>systemic</w:t>
      </w:r>
      <w:r w:rsidR="006244D6" w:rsidRPr="000F3911">
        <w:rPr>
          <w:rFonts w:ascii="Times New Roman" w:eastAsiaTheme="minorHAnsi"/>
          <w:noProof/>
          <w:kern w:val="0"/>
        </w:rPr>
        <w:t xml:space="preserve"> </w:t>
      </w:r>
      <w:r w:rsidRPr="000F3911">
        <w:rPr>
          <w:rFonts w:ascii="Times New Roman" w:eastAsiaTheme="minorHAnsi"/>
          <w:noProof/>
          <w:kern w:val="0"/>
        </w:rPr>
        <w:t>review</w:t>
      </w:r>
      <w:r w:rsidR="006244D6" w:rsidRPr="000F3911">
        <w:rPr>
          <w:rFonts w:ascii="Times New Roman" w:eastAsiaTheme="minorHAnsi"/>
          <w:noProof/>
          <w:kern w:val="0"/>
        </w:rPr>
        <w:t xml:space="preserve"> </w:t>
      </w:r>
      <w:r w:rsidRPr="000F3911">
        <w:rPr>
          <w:rFonts w:ascii="Times New Roman" w:eastAsiaTheme="minorHAnsi"/>
          <w:noProof/>
          <w:kern w:val="0"/>
        </w:rPr>
        <w:t>and</w:t>
      </w:r>
      <w:r w:rsidR="006244D6" w:rsidRPr="000F3911">
        <w:rPr>
          <w:rFonts w:ascii="Times New Roman" w:eastAsiaTheme="minorHAnsi"/>
          <w:noProof/>
          <w:kern w:val="0"/>
        </w:rPr>
        <w:t xml:space="preserve"> </w:t>
      </w:r>
      <w:r w:rsidRPr="000F3911">
        <w:rPr>
          <w:rFonts w:ascii="Times New Roman" w:eastAsiaTheme="minorHAnsi"/>
          <w:noProof/>
          <w:kern w:val="0"/>
        </w:rPr>
        <w:t>meta-analysis.’,</w:t>
      </w:r>
      <w:r w:rsidR="006244D6" w:rsidRPr="000F3911">
        <w:rPr>
          <w:rFonts w:ascii="Times New Roman" w:eastAsiaTheme="minorHAnsi"/>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journal :</w:t>
      </w:r>
      <w:r w:rsidR="006244D6" w:rsidRPr="000F3911">
        <w:rPr>
          <w:rFonts w:ascii="Times New Roman" w:eastAsiaTheme="minorHAnsi"/>
          <w:i/>
          <w:iCs/>
          <w:noProof/>
          <w:kern w:val="0"/>
        </w:rPr>
        <w:t xml:space="preserve"> </w:t>
      </w:r>
      <w:r w:rsidRPr="000F3911">
        <w:rPr>
          <w:rFonts w:ascii="Times New Roman" w:eastAsiaTheme="minorHAnsi"/>
          <w:i/>
          <w:iCs/>
          <w:noProof/>
          <w:kern w:val="0"/>
        </w:rPr>
        <w:t>official</w:t>
      </w:r>
      <w:r w:rsidR="006244D6" w:rsidRPr="000F3911">
        <w:rPr>
          <w:rFonts w:ascii="Times New Roman" w:eastAsiaTheme="minorHAnsi"/>
          <w:i/>
          <w:iCs/>
          <w:noProof/>
          <w:kern w:val="0"/>
        </w:rPr>
        <w:t xml:space="preserve"> </w:t>
      </w:r>
      <w:r w:rsidRPr="000F3911">
        <w:rPr>
          <w:rFonts w:ascii="Times New Roman" w:eastAsiaTheme="minorHAnsi"/>
          <w:i/>
          <w:iCs/>
          <w:noProof/>
          <w:kern w:val="0"/>
        </w:rPr>
        <w:t>publication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Spinal</w:t>
      </w:r>
      <w:r w:rsidR="006244D6" w:rsidRPr="000F3911">
        <w:rPr>
          <w:rFonts w:ascii="Times New Roman" w:eastAsiaTheme="minorHAnsi"/>
          <w:i/>
          <w:iCs/>
          <w:noProof/>
          <w:kern w:val="0"/>
        </w:rPr>
        <w:t xml:space="preserve"> </w:t>
      </w:r>
      <w:r w:rsidRPr="000F3911">
        <w:rPr>
          <w:rFonts w:ascii="Times New Roman" w:eastAsiaTheme="minorHAnsi"/>
          <w:i/>
          <w:iCs/>
          <w:noProof/>
          <w:kern w:val="0"/>
        </w:rPr>
        <w:t>Deformity</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006244D6" w:rsidRPr="000F3911">
        <w:rPr>
          <w:rFonts w:ascii="Times New Roman" w:eastAsiaTheme="minorHAnsi"/>
          <w:i/>
          <w:iCs/>
          <w:noProof/>
          <w:kern w:val="0"/>
        </w:rPr>
        <w:t xml:space="preserve"> </w:t>
      </w:r>
      <w:r w:rsidRPr="000F3911">
        <w:rPr>
          <w:rFonts w:ascii="Times New Roman" w:eastAsiaTheme="minorHAnsi"/>
          <w:i/>
          <w:iCs/>
          <w:noProof/>
          <w:kern w:val="0"/>
        </w:rPr>
        <w:t>and</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European</w:t>
      </w:r>
      <w:r w:rsidR="006244D6" w:rsidRPr="000F3911">
        <w:rPr>
          <w:rFonts w:ascii="Times New Roman" w:eastAsiaTheme="minorHAnsi"/>
          <w:i/>
          <w:iCs/>
          <w:noProof/>
          <w:kern w:val="0"/>
        </w:rPr>
        <w:t xml:space="preserve"> </w:t>
      </w:r>
      <w:r w:rsidRPr="000F3911">
        <w:rPr>
          <w:rFonts w:ascii="Times New Roman" w:eastAsiaTheme="minorHAnsi"/>
          <w:i/>
          <w:iCs/>
          <w:noProof/>
          <w:kern w:val="0"/>
        </w:rPr>
        <w:t>Section</w:t>
      </w:r>
      <w:r w:rsidR="006244D6" w:rsidRPr="000F3911">
        <w:rPr>
          <w:rFonts w:ascii="Times New Roman" w:eastAsiaTheme="minorHAnsi"/>
          <w:i/>
          <w:iCs/>
          <w:noProof/>
          <w:kern w:val="0"/>
        </w:rPr>
        <w:t xml:space="preserve"> </w:t>
      </w:r>
      <w:r w:rsidRPr="000F3911">
        <w:rPr>
          <w:rFonts w:ascii="Times New Roman" w:eastAsiaTheme="minorHAnsi"/>
          <w:i/>
          <w:iCs/>
          <w:noProof/>
          <w:kern w:val="0"/>
        </w:rPr>
        <w:t>of</w:t>
      </w:r>
      <w:r w:rsidR="006244D6" w:rsidRPr="000F3911">
        <w:rPr>
          <w:rFonts w:ascii="Times New Roman" w:eastAsiaTheme="minorHAnsi"/>
          <w:i/>
          <w:iCs/>
          <w:noProof/>
          <w:kern w:val="0"/>
        </w:rPr>
        <w:t xml:space="preserve"> </w:t>
      </w:r>
      <w:r w:rsidRPr="000F3911">
        <w:rPr>
          <w:rFonts w:ascii="Times New Roman" w:eastAsiaTheme="minorHAnsi"/>
          <w:i/>
          <w:iCs/>
          <w:noProof/>
          <w:kern w:val="0"/>
        </w:rPr>
        <w:t>the</w:t>
      </w:r>
      <w:r w:rsidR="006244D6" w:rsidRPr="000F3911">
        <w:rPr>
          <w:rFonts w:ascii="Times New Roman" w:eastAsiaTheme="minorHAnsi"/>
          <w:i/>
          <w:iCs/>
          <w:noProof/>
          <w:kern w:val="0"/>
        </w:rPr>
        <w:t xml:space="preserve"> </w:t>
      </w:r>
      <w:r w:rsidRPr="000F3911">
        <w:rPr>
          <w:rFonts w:ascii="Times New Roman" w:eastAsiaTheme="minorHAnsi"/>
          <w:i/>
          <w:iCs/>
          <w:noProof/>
          <w:kern w:val="0"/>
        </w:rPr>
        <w:t>Cervical</w:t>
      </w:r>
      <w:r w:rsidR="006244D6" w:rsidRPr="000F3911">
        <w:rPr>
          <w:rFonts w:ascii="Times New Roman" w:eastAsiaTheme="minorHAnsi"/>
          <w:i/>
          <w:iCs/>
          <w:noProof/>
          <w:kern w:val="0"/>
        </w:rPr>
        <w:t xml:space="preserve"> </w:t>
      </w:r>
      <w:r w:rsidRPr="000F3911">
        <w:rPr>
          <w:rFonts w:ascii="Times New Roman" w:eastAsiaTheme="minorHAnsi"/>
          <w:i/>
          <w:iCs/>
          <w:noProof/>
          <w:kern w:val="0"/>
        </w:rPr>
        <w:t>Spine</w:t>
      </w:r>
      <w:r w:rsidR="006244D6" w:rsidRPr="000F3911">
        <w:rPr>
          <w:rFonts w:ascii="Times New Roman" w:eastAsiaTheme="minorHAnsi"/>
          <w:i/>
          <w:iCs/>
          <w:noProof/>
          <w:kern w:val="0"/>
        </w:rPr>
        <w:t xml:space="preserve"> </w:t>
      </w:r>
      <w:r w:rsidRPr="000F3911">
        <w:rPr>
          <w:rFonts w:ascii="Times New Roman" w:eastAsiaTheme="minorHAnsi"/>
          <w:i/>
          <w:iCs/>
          <w:noProof/>
          <w:kern w:val="0"/>
        </w:rPr>
        <w:t>Research</w:t>
      </w:r>
      <w:r w:rsidR="006244D6" w:rsidRPr="000F3911">
        <w:rPr>
          <w:rFonts w:ascii="Times New Roman" w:eastAsiaTheme="minorHAnsi"/>
          <w:i/>
          <w:iCs/>
          <w:noProof/>
          <w:kern w:val="0"/>
        </w:rPr>
        <w:t xml:space="preserve"> </w:t>
      </w:r>
      <w:r w:rsidRPr="000F3911">
        <w:rPr>
          <w:rFonts w:ascii="Times New Roman" w:eastAsiaTheme="minorHAnsi"/>
          <w:i/>
          <w:iCs/>
          <w:noProof/>
          <w:kern w:val="0"/>
        </w:rPr>
        <w:t>Society</w:t>
      </w:r>
      <w:r w:rsidRPr="000F3911">
        <w:rPr>
          <w:rFonts w:ascii="Times New Roman" w:eastAsiaTheme="minorHAnsi"/>
          <w:noProof/>
          <w:kern w:val="0"/>
        </w:rPr>
        <w:t>.</w:t>
      </w:r>
      <w:r w:rsidR="006244D6" w:rsidRPr="000F3911">
        <w:rPr>
          <w:rFonts w:ascii="Times New Roman" w:eastAsiaTheme="minorHAnsi"/>
          <w:noProof/>
          <w:kern w:val="0"/>
        </w:rPr>
        <w:t xml:space="preserve"> </w:t>
      </w:r>
      <w:r w:rsidRPr="000F3911">
        <w:rPr>
          <w:rFonts w:ascii="Times New Roman" w:eastAsiaTheme="minorHAnsi"/>
          <w:noProof/>
          <w:kern w:val="0"/>
        </w:rPr>
        <w:t>Germany,</w:t>
      </w:r>
      <w:r w:rsidR="006244D6" w:rsidRPr="000F3911">
        <w:rPr>
          <w:rFonts w:ascii="Times New Roman" w:eastAsiaTheme="minorHAnsi"/>
          <w:noProof/>
          <w:kern w:val="0"/>
        </w:rPr>
        <w:t xml:space="preserve"> </w:t>
      </w:r>
      <w:r w:rsidRPr="000F3911">
        <w:rPr>
          <w:rFonts w:ascii="Times New Roman" w:eastAsiaTheme="minorHAnsi"/>
          <w:noProof/>
          <w:kern w:val="0"/>
        </w:rPr>
        <w:t>22(7),</w:t>
      </w:r>
      <w:r w:rsidR="006244D6" w:rsidRPr="000F3911">
        <w:rPr>
          <w:rFonts w:ascii="Times New Roman" w:eastAsiaTheme="minorHAnsi"/>
          <w:noProof/>
          <w:kern w:val="0"/>
        </w:rPr>
        <w:t xml:space="preserve"> </w:t>
      </w:r>
      <w:r w:rsidRPr="000F3911">
        <w:rPr>
          <w:rFonts w:ascii="Times New Roman" w:eastAsiaTheme="minorHAnsi"/>
          <w:noProof/>
          <w:kern w:val="0"/>
        </w:rPr>
        <w:t>pp.</w:t>
      </w:r>
      <w:r w:rsidR="006244D6" w:rsidRPr="000F3911">
        <w:rPr>
          <w:rFonts w:ascii="Times New Roman" w:eastAsiaTheme="minorHAnsi"/>
          <w:noProof/>
          <w:kern w:val="0"/>
        </w:rPr>
        <w:t xml:space="preserve"> </w:t>
      </w:r>
      <w:r w:rsidRPr="000F3911">
        <w:rPr>
          <w:rFonts w:ascii="Times New Roman" w:eastAsiaTheme="minorHAnsi"/>
          <w:noProof/>
          <w:kern w:val="0"/>
        </w:rPr>
        <w:t>1583–1593.</w:t>
      </w:r>
      <w:r w:rsidR="006244D6" w:rsidRPr="000F3911">
        <w:rPr>
          <w:rFonts w:ascii="Times New Roman" w:eastAsiaTheme="minorHAnsi"/>
          <w:noProof/>
          <w:kern w:val="0"/>
        </w:rPr>
        <w:t xml:space="preserve"> </w:t>
      </w:r>
      <w:r w:rsidRPr="000F3911">
        <w:rPr>
          <w:rFonts w:ascii="Times New Roman" w:eastAsiaTheme="minorHAnsi"/>
          <w:noProof/>
          <w:kern w:val="0"/>
        </w:rPr>
        <w:t>doi:</w:t>
      </w:r>
      <w:r w:rsidR="006244D6" w:rsidRPr="000F3911">
        <w:rPr>
          <w:rFonts w:ascii="Times New Roman" w:eastAsiaTheme="minorHAnsi"/>
          <w:noProof/>
          <w:kern w:val="0"/>
        </w:rPr>
        <w:t xml:space="preserve"> </w:t>
      </w:r>
      <w:r w:rsidRPr="000F3911">
        <w:rPr>
          <w:rFonts w:ascii="Times New Roman" w:eastAsiaTheme="minorHAnsi"/>
          <w:noProof/>
          <w:kern w:val="0"/>
        </w:rPr>
        <w:t>10.1007/s00586-013-2817-2.</w:t>
      </w:r>
    </w:p>
    <w:p w:rsidR="006244D6" w:rsidRPr="000F3911" w:rsidRDefault="006244D6" w:rsidP="007A1E52">
      <w:pPr>
        <w:bidi w:val="0"/>
        <w:snapToGrid w:val="0"/>
        <w:ind w:left="425" w:hanging="425"/>
        <w:jc w:val="both"/>
        <w:rPr>
          <w:sz w:val="20"/>
          <w:szCs w:val="20"/>
        </w:rPr>
        <w:sectPr w:rsidR="006244D6" w:rsidRPr="000F3911" w:rsidSect="007A1E52">
          <w:type w:val="continuous"/>
          <w:pgSz w:w="12242" w:h="15842" w:code="1"/>
          <w:pgMar w:top="1440" w:right="1440" w:bottom="1440" w:left="1440" w:header="720" w:footer="720" w:gutter="0"/>
          <w:cols w:num="2" w:space="600"/>
          <w:docGrid w:linePitch="360"/>
        </w:sectPr>
      </w:pPr>
    </w:p>
    <w:p w:rsidR="00B503E8" w:rsidRPr="000F3911" w:rsidRDefault="00B503E8" w:rsidP="007A1E52">
      <w:pPr>
        <w:bidi w:val="0"/>
        <w:snapToGrid w:val="0"/>
        <w:ind w:left="425" w:hanging="425"/>
        <w:jc w:val="both"/>
        <w:rPr>
          <w:sz w:val="20"/>
          <w:szCs w:val="20"/>
        </w:rPr>
      </w:pPr>
    </w:p>
    <w:p w:rsidR="006244D6" w:rsidRPr="000F3911" w:rsidRDefault="007A1E52" w:rsidP="007A1E52">
      <w:pPr>
        <w:bidi w:val="0"/>
        <w:snapToGrid w:val="0"/>
        <w:ind w:left="425" w:hanging="425"/>
        <w:jc w:val="both"/>
        <w:rPr>
          <w:rFonts w:eastAsiaTheme="minorEastAsia"/>
          <w:sz w:val="20"/>
          <w:szCs w:val="20"/>
          <w:lang w:eastAsia="zh-CN" w:bidi="ar-EG"/>
        </w:rPr>
      </w:pPr>
      <w:r w:rsidRPr="000F3911">
        <w:rPr>
          <w:rFonts w:eastAsiaTheme="minorEastAsia" w:hint="eastAsia"/>
          <w:sz w:val="20"/>
          <w:szCs w:val="20"/>
          <w:lang w:eastAsia="zh-CN" w:bidi="ar-EG"/>
        </w:rPr>
        <w:t xml:space="preserve"> </w:t>
      </w:r>
      <w:r w:rsidR="00FD358B" w:rsidRPr="000F3911">
        <w:rPr>
          <w:rFonts w:eastAsiaTheme="minorEastAsia" w:hint="eastAsia"/>
          <w:sz w:val="20"/>
          <w:szCs w:val="20"/>
          <w:lang w:eastAsia="zh-CN" w:bidi="ar-EG"/>
        </w:rPr>
        <w:t xml:space="preserve">  </w:t>
      </w:r>
    </w:p>
    <w:p w:rsidR="007A1E52" w:rsidRPr="000F3911" w:rsidRDefault="007A1E52" w:rsidP="007A1E52">
      <w:pPr>
        <w:bidi w:val="0"/>
        <w:snapToGrid w:val="0"/>
        <w:ind w:left="425" w:hanging="425"/>
        <w:jc w:val="both"/>
        <w:rPr>
          <w:rFonts w:eastAsiaTheme="minorEastAsia"/>
          <w:sz w:val="20"/>
          <w:szCs w:val="20"/>
          <w:lang w:eastAsia="zh-CN" w:bidi="ar-EG"/>
        </w:rPr>
      </w:pPr>
    </w:p>
    <w:p w:rsidR="00B503E8" w:rsidRPr="000F3911" w:rsidRDefault="006244D6" w:rsidP="007A1E52">
      <w:pPr>
        <w:bidi w:val="0"/>
        <w:snapToGrid w:val="0"/>
        <w:ind w:left="425" w:hanging="425"/>
        <w:jc w:val="both"/>
        <w:rPr>
          <w:sz w:val="20"/>
          <w:szCs w:val="20"/>
          <w:lang w:bidi="ar-EG"/>
        </w:rPr>
      </w:pPr>
      <w:r w:rsidRPr="000F3911">
        <w:rPr>
          <w:sz w:val="20"/>
          <w:szCs w:val="20"/>
          <w:lang w:bidi="ar-EG"/>
        </w:rPr>
        <w:t>3/11/2018</w:t>
      </w:r>
    </w:p>
    <w:sectPr w:rsidR="00B503E8" w:rsidRPr="000F3911" w:rsidSect="006244D6">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A9" w:rsidRDefault="00F848A9" w:rsidP="0075778A">
      <w:r>
        <w:separator/>
      </w:r>
    </w:p>
  </w:endnote>
  <w:endnote w:type="continuationSeparator" w:id="0">
    <w:p w:rsidR="00F848A9" w:rsidRDefault="00F848A9" w:rsidP="00757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UnicodeMS">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C70C7" w:rsidRDefault="000F3911" w:rsidP="007C70C7">
    <w:pPr>
      <w:bidi w:val="0"/>
      <w:jc w:val="center"/>
      <w:rPr>
        <w:sz w:val="20"/>
      </w:rPr>
    </w:pPr>
    <w:r w:rsidRPr="007C70C7">
      <w:rPr>
        <w:sz w:val="20"/>
      </w:rPr>
      <w:fldChar w:fldCharType="begin"/>
    </w:r>
    <w:r w:rsidRPr="007C70C7">
      <w:rPr>
        <w:sz w:val="20"/>
      </w:rPr>
      <w:instrText xml:space="preserve"> page </w:instrText>
    </w:r>
    <w:r w:rsidRPr="007C70C7">
      <w:rPr>
        <w:sz w:val="20"/>
      </w:rPr>
      <w:fldChar w:fldCharType="separate"/>
    </w:r>
    <w:r w:rsidR="00937CCC">
      <w:rPr>
        <w:noProof/>
        <w:sz w:val="20"/>
      </w:rPr>
      <w:t>32</w:t>
    </w:r>
    <w:r w:rsidRPr="007C70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A9" w:rsidRDefault="00F848A9" w:rsidP="0075778A">
      <w:r>
        <w:separator/>
      </w:r>
    </w:p>
  </w:footnote>
  <w:footnote w:type="continuationSeparator" w:id="0">
    <w:p w:rsidR="00F848A9" w:rsidRDefault="00F848A9" w:rsidP="00757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C70C7" w:rsidRDefault="000F3911" w:rsidP="007C70C7">
    <w:pPr>
      <w:pBdr>
        <w:bottom w:val="thinThickMediumGap" w:sz="12" w:space="1" w:color="auto"/>
      </w:pBdr>
      <w:tabs>
        <w:tab w:val="left" w:pos="851"/>
        <w:tab w:val="right" w:pos="8364"/>
      </w:tabs>
      <w:bidi w:val="0"/>
      <w:adjustRightInd w:val="0"/>
      <w:snapToGrid w:val="0"/>
      <w:jc w:val="both"/>
      <w:rPr>
        <w:iCs/>
        <w:sz w:val="20"/>
        <w:szCs w:val="20"/>
      </w:rPr>
    </w:pPr>
    <w:r w:rsidRPr="007C70C7">
      <w:rPr>
        <w:rFonts w:hint="eastAsia"/>
        <w:iCs/>
        <w:color w:val="000000"/>
        <w:sz w:val="20"/>
        <w:szCs w:val="20"/>
      </w:rPr>
      <w:tab/>
    </w:r>
    <w:r w:rsidRPr="007C70C7">
      <w:rPr>
        <w:iCs/>
        <w:color w:val="000000"/>
        <w:sz w:val="20"/>
        <w:szCs w:val="20"/>
      </w:rPr>
      <w:t xml:space="preserve">Researcher </w:t>
    </w:r>
    <w:r w:rsidRPr="007C70C7">
      <w:rPr>
        <w:iCs/>
        <w:sz w:val="20"/>
        <w:szCs w:val="20"/>
      </w:rPr>
      <w:t>201</w:t>
    </w:r>
    <w:r w:rsidRPr="007C70C7">
      <w:rPr>
        <w:rFonts w:hint="eastAsia"/>
        <w:iCs/>
        <w:sz w:val="20"/>
        <w:szCs w:val="20"/>
      </w:rPr>
      <w:t>8</w:t>
    </w:r>
    <w:r w:rsidRPr="007C70C7">
      <w:rPr>
        <w:iCs/>
        <w:sz w:val="20"/>
        <w:szCs w:val="20"/>
      </w:rPr>
      <w:t>;</w:t>
    </w:r>
    <w:r w:rsidRPr="007C70C7">
      <w:rPr>
        <w:rFonts w:hint="eastAsia"/>
        <w:iCs/>
        <w:sz w:val="20"/>
        <w:szCs w:val="20"/>
      </w:rPr>
      <w:t>10</w:t>
    </w:r>
    <w:r w:rsidRPr="007C70C7">
      <w:rPr>
        <w:iCs/>
        <w:sz w:val="20"/>
        <w:szCs w:val="20"/>
      </w:rPr>
      <w:t>(</w:t>
    </w:r>
    <w:r w:rsidRPr="007C70C7">
      <w:rPr>
        <w:rFonts w:hint="eastAsia"/>
        <w:iCs/>
        <w:sz w:val="20"/>
        <w:szCs w:val="20"/>
      </w:rPr>
      <w:t>3</w:t>
    </w:r>
    <w:r w:rsidRPr="007C70C7">
      <w:rPr>
        <w:iCs/>
        <w:sz w:val="20"/>
        <w:szCs w:val="20"/>
      </w:rPr>
      <w:t xml:space="preserve">)  </w:t>
    </w:r>
    <w:r w:rsidRPr="007C70C7">
      <w:rPr>
        <w:rFonts w:hint="eastAsia"/>
        <w:iCs/>
        <w:sz w:val="20"/>
        <w:szCs w:val="20"/>
      </w:rPr>
      <w:t xml:space="preserve"> </w:t>
    </w:r>
    <w:r w:rsidRPr="007C70C7">
      <w:rPr>
        <w:iCs/>
        <w:sz w:val="20"/>
        <w:szCs w:val="20"/>
      </w:rPr>
      <w:t xml:space="preserve"> </w:t>
    </w:r>
    <w:r w:rsidRPr="007C70C7">
      <w:rPr>
        <w:rFonts w:hint="eastAsia"/>
        <w:iCs/>
        <w:sz w:val="20"/>
        <w:szCs w:val="20"/>
      </w:rPr>
      <w:tab/>
    </w:r>
    <w:r w:rsidRPr="007C70C7">
      <w:rPr>
        <w:iCs/>
        <w:sz w:val="20"/>
        <w:szCs w:val="20"/>
      </w:rPr>
      <w:t xml:space="preserve">    </w:t>
    </w:r>
    <w:r w:rsidRPr="007C70C7">
      <w:rPr>
        <w:sz w:val="20"/>
        <w:szCs w:val="20"/>
      </w:rPr>
      <w:t xml:space="preserve"> </w:t>
    </w:r>
    <w:hyperlink r:id="rId1" w:history="1">
      <w:r w:rsidRPr="007C70C7">
        <w:rPr>
          <w:rStyle w:val="Hyperlink"/>
          <w:color w:val="0000FF"/>
          <w:sz w:val="20"/>
          <w:szCs w:val="20"/>
        </w:rPr>
        <w:t>http://www.sciencepub.net/researcher</w:t>
      </w:r>
    </w:hyperlink>
  </w:p>
  <w:p w:rsidR="000F3911" w:rsidRPr="007C70C7" w:rsidRDefault="000F3911" w:rsidP="007C70C7">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C70C7" w:rsidRDefault="000F3911" w:rsidP="007C70C7">
    <w:pPr>
      <w:pBdr>
        <w:bottom w:val="thinThickMediumGap" w:sz="12" w:space="1" w:color="auto"/>
      </w:pBdr>
      <w:tabs>
        <w:tab w:val="left" w:pos="851"/>
        <w:tab w:val="right" w:pos="8364"/>
      </w:tabs>
      <w:bidi w:val="0"/>
      <w:adjustRightInd w:val="0"/>
      <w:snapToGrid w:val="0"/>
      <w:jc w:val="both"/>
      <w:rPr>
        <w:iCs/>
        <w:sz w:val="20"/>
        <w:szCs w:val="20"/>
      </w:rPr>
    </w:pPr>
    <w:r w:rsidRPr="007C70C7">
      <w:rPr>
        <w:rFonts w:hint="eastAsia"/>
        <w:iCs/>
        <w:color w:val="000000"/>
        <w:sz w:val="20"/>
        <w:szCs w:val="20"/>
      </w:rPr>
      <w:tab/>
    </w:r>
    <w:r w:rsidRPr="007C70C7">
      <w:rPr>
        <w:iCs/>
        <w:color w:val="000000"/>
        <w:sz w:val="20"/>
        <w:szCs w:val="20"/>
      </w:rPr>
      <w:t xml:space="preserve">Researcher </w:t>
    </w:r>
    <w:r w:rsidRPr="007C70C7">
      <w:rPr>
        <w:iCs/>
        <w:sz w:val="20"/>
        <w:szCs w:val="20"/>
      </w:rPr>
      <w:t>201</w:t>
    </w:r>
    <w:r w:rsidRPr="007C70C7">
      <w:rPr>
        <w:rFonts w:hint="eastAsia"/>
        <w:iCs/>
        <w:sz w:val="20"/>
        <w:szCs w:val="20"/>
      </w:rPr>
      <w:t>8</w:t>
    </w:r>
    <w:r w:rsidRPr="007C70C7">
      <w:rPr>
        <w:iCs/>
        <w:sz w:val="20"/>
        <w:szCs w:val="20"/>
      </w:rPr>
      <w:t>;</w:t>
    </w:r>
    <w:r w:rsidRPr="007C70C7">
      <w:rPr>
        <w:rFonts w:hint="eastAsia"/>
        <w:iCs/>
        <w:sz w:val="20"/>
        <w:szCs w:val="20"/>
      </w:rPr>
      <w:t>10</w:t>
    </w:r>
    <w:r w:rsidRPr="007C70C7">
      <w:rPr>
        <w:iCs/>
        <w:sz w:val="20"/>
        <w:szCs w:val="20"/>
      </w:rPr>
      <w:t>(</w:t>
    </w:r>
    <w:r w:rsidRPr="007C70C7">
      <w:rPr>
        <w:rFonts w:hint="eastAsia"/>
        <w:iCs/>
        <w:sz w:val="20"/>
        <w:szCs w:val="20"/>
      </w:rPr>
      <w:t>3</w:t>
    </w:r>
    <w:r w:rsidRPr="007C70C7">
      <w:rPr>
        <w:iCs/>
        <w:sz w:val="20"/>
        <w:szCs w:val="20"/>
      </w:rPr>
      <w:t xml:space="preserve">)  </w:t>
    </w:r>
    <w:r w:rsidRPr="007C70C7">
      <w:rPr>
        <w:rFonts w:hint="eastAsia"/>
        <w:iCs/>
        <w:sz w:val="20"/>
        <w:szCs w:val="20"/>
      </w:rPr>
      <w:t xml:space="preserve"> </w:t>
    </w:r>
    <w:r w:rsidRPr="007C70C7">
      <w:rPr>
        <w:iCs/>
        <w:sz w:val="20"/>
        <w:szCs w:val="20"/>
      </w:rPr>
      <w:t xml:space="preserve"> </w:t>
    </w:r>
    <w:r w:rsidRPr="007C70C7">
      <w:rPr>
        <w:rFonts w:hint="eastAsia"/>
        <w:iCs/>
        <w:sz w:val="20"/>
        <w:szCs w:val="20"/>
      </w:rPr>
      <w:tab/>
    </w:r>
    <w:r w:rsidRPr="007C70C7">
      <w:rPr>
        <w:iCs/>
        <w:sz w:val="20"/>
        <w:szCs w:val="20"/>
      </w:rPr>
      <w:t xml:space="preserve">    </w:t>
    </w:r>
    <w:r w:rsidRPr="007C70C7">
      <w:rPr>
        <w:sz w:val="20"/>
        <w:szCs w:val="20"/>
      </w:rPr>
      <w:t xml:space="preserve"> </w:t>
    </w:r>
    <w:hyperlink r:id="rId1" w:history="1">
      <w:r w:rsidRPr="007C70C7">
        <w:rPr>
          <w:rStyle w:val="Hyperlink"/>
          <w:color w:val="0000FF"/>
          <w:sz w:val="20"/>
          <w:szCs w:val="20"/>
        </w:rPr>
        <w:t>http://www.sciencepub.net/researcher</w:t>
      </w:r>
    </w:hyperlink>
  </w:p>
  <w:p w:rsidR="000F3911" w:rsidRPr="007C70C7" w:rsidRDefault="000F3911" w:rsidP="007C70C7">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5778A" w:rsidRDefault="000F3911" w:rsidP="0075778A">
    <w:pPr>
      <w:pBdr>
        <w:bottom w:val="thinThickMediumGap" w:sz="12" w:space="1" w:color="auto"/>
      </w:pBdr>
      <w:jc w:val="center"/>
      <w:rPr>
        <w:iCs/>
        <w:sz w:val="20"/>
        <w:szCs w:val="20"/>
        <w:lang w:bidi="ar-EG"/>
      </w:rPr>
    </w:pPr>
    <w:r w:rsidRPr="00D744E1">
      <w:rPr>
        <w:iCs/>
        <w:color w:val="000000"/>
        <w:sz w:val="20"/>
        <w:szCs w:val="20"/>
      </w:rPr>
      <w:t xml:space="preserve">Researcher </w:t>
    </w:r>
    <w:r>
      <w:rPr>
        <w:iCs/>
        <w:sz w:val="20"/>
        <w:szCs w:val="20"/>
      </w:rPr>
      <w:t>2018;X</w:t>
    </w:r>
    <w:r w:rsidRPr="00D744E1">
      <w:rPr>
        <w:iCs/>
        <w:sz w:val="20"/>
        <w:szCs w:val="20"/>
      </w:rPr>
      <w:t xml:space="preserve">(x)                       </w:t>
    </w:r>
    <w:hyperlink r:id="rId1" w:history="1">
      <w:r w:rsidRPr="00D744E1">
        <w:rPr>
          <w:rStyle w:val="Hyperlink"/>
          <w:rFonts w:eastAsia="PMingLiU"/>
          <w:sz w:val="20"/>
          <w:szCs w:val="20"/>
        </w:rPr>
        <w:t>http://www.sciencepub.net/researcher</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C70C7" w:rsidRDefault="000F3911" w:rsidP="007C70C7">
    <w:pPr>
      <w:pBdr>
        <w:bottom w:val="thinThickMediumGap" w:sz="12" w:space="1" w:color="auto"/>
      </w:pBdr>
      <w:tabs>
        <w:tab w:val="left" w:pos="851"/>
        <w:tab w:val="right" w:pos="8364"/>
      </w:tabs>
      <w:bidi w:val="0"/>
      <w:adjustRightInd w:val="0"/>
      <w:snapToGrid w:val="0"/>
      <w:jc w:val="both"/>
      <w:rPr>
        <w:iCs/>
        <w:sz w:val="20"/>
        <w:szCs w:val="20"/>
      </w:rPr>
    </w:pPr>
    <w:r w:rsidRPr="007C70C7">
      <w:rPr>
        <w:rFonts w:hint="eastAsia"/>
        <w:iCs/>
        <w:color w:val="000000"/>
        <w:sz w:val="20"/>
        <w:szCs w:val="20"/>
      </w:rPr>
      <w:tab/>
    </w:r>
    <w:r w:rsidRPr="007C70C7">
      <w:rPr>
        <w:iCs/>
        <w:color w:val="000000"/>
        <w:sz w:val="20"/>
        <w:szCs w:val="20"/>
      </w:rPr>
      <w:t xml:space="preserve">Researcher </w:t>
    </w:r>
    <w:r w:rsidRPr="007C70C7">
      <w:rPr>
        <w:iCs/>
        <w:sz w:val="20"/>
        <w:szCs w:val="20"/>
      </w:rPr>
      <w:t>201</w:t>
    </w:r>
    <w:r w:rsidRPr="007C70C7">
      <w:rPr>
        <w:rFonts w:hint="eastAsia"/>
        <w:iCs/>
        <w:sz w:val="20"/>
        <w:szCs w:val="20"/>
      </w:rPr>
      <w:t>8</w:t>
    </w:r>
    <w:r w:rsidRPr="007C70C7">
      <w:rPr>
        <w:iCs/>
        <w:sz w:val="20"/>
        <w:szCs w:val="20"/>
      </w:rPr>
      <w:t>;</w:t>
    </w:r>
    <w:r w:rsidRPr="007C70C7">
      <w:rPr>
        <w:rFonts w:hint="eastAsia"/>
        <w:iCs/>
        <w:sz w:val="20"/>
        <w:szCs w:val="20"/>
      </w:rPr>
      <w:t>10</w:t>
    </w:r>
    <w:r w:rsidRPr="007C70C7">
      <w:rPr>
        <w:iCs/>
        <w:sz w:val="20"/>
        <w:szCs w:val="20"/>
      </w:rPr>
      <w:t>(</w:t>
    </w:r>
    <w:r w:rsidRPr="007C70C7">
      <w:rPr>
        <w:rFonts w:hint="eastAsia"/>
        <w:iCs/>
        <w:sz w:val="20"/>
        <w:szCs w:val="20"/>
      </w:rPr>
      <w:t>3</w:t>
    </w:r>
    <w:r w:rsidRPr="007C70C7">
      <w:rPr>
        <w:iCs/>
        <w:sz w:val="20"/>
        <w:szCs w:val="20"/>
      </w:rPr>
      <w:t xml:space="preserve">)  </w:t>
    </w:r>
    <w:r w:rsidRPr="007C70C7">
      <w:rPr>
        <w:rFonts w:hint="eastAsia"/>
        <w:iCs/>
        <w:sz w:val="20"/>
        <w:szCs w:val="20"/>
      </w:rPr>
      <w:t xml:space="preserve"> </w:t>
    </w:r>
    <w:r w:rsidRPr="007C70C7">
      <w:rPr>
        <w:iCs/>
        <w:sz w:val="20"/>
        <w:szCs w:val="20"/>
      </w:rPr>
      <w:t xml:space="preserve"> </w:t>
    </w:r>
    <w:r w:rsidRPr="007C70C7">
      <w:rPr>
        <w:rFonts w:hint="eastAsia"/>
        <w:iCs/>
        <w:sz w:val="20"/>
        <w:szCs w:val="20"/>
      </w:rPr>
      <w:tab/>
    </w:r>
    <w:r w:rsidRPr="007C70C7">
      <w:rPr>
        <w:iCs/>
        <w:sz w:val="20"/>
        <w:szCs w:val="20"/>
      </w:rPr>
      <w:t xml:space="preserve">    </w:t>
    </w:r>
    <w:r w:rsidRPr="007C70C7">
      <w:rPr>
        <w:sz w:val="20"/>
        <w:szCs w:val="20"/>
      </w:rPr>
      <w:t xml:space="preserve"> </w:t>
    </w:r>
    <w:hyperlink r:id="rId1" w:history="1">
      <w:r w:rsidRPr="007C70C7">
        <w:rPr>
          <w:rStyle w:val="Hyperlink"/>
          <w:color w:val="0000FF"/>
          <w:sz w:val="20"/>
          <w:szCs w:val="20"/>
        </w:rPr>
        <w:t>http://www.sciencepub.net/researcher</w:t>
      </w:r>
    </w:hyperlink>
  </w:p>
  <w:p w:rsidR="000F3911" w:rsidRPr="007C70C7" w:rsidRDefault="000F3911" w:rsidP="007C70C7">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11" w:rsidRPr="007C70C7" w:rsidRDefault="000F3911" w:rsidP="007C70C7">
    <w:pPr>
      <w:pBdr>
        <w:bottom w:val="thinThickMediumGap" w:sz="12" w:space="1" w:color="auto"/>
      </w:pBdr>
      <w:tabs>
        <w:tab w:val="left" w:pos="851"/>
        <w:tab w:val="right" w:pos="8364"/>
      </w:tabs>
      <w:bidi w:val="0"/>
      <w:adjustRightInd w:val="0"/>
      <w:snapToGrid w:val="0"/>
      <w:jc w:val="both"/>
      <w:rPr>
        <w:iCs/>
        <w:sz w:val="20"/>
        <w:szCs w:val="20"/>
      </w:rPr>
    </w:pPr>
    <w:r w:rsidRPr="007C70C7">
      <w:rPr>
        <w:rFonts w:hint="eastAsia"/>
        <w:iCs/>
        <w:color w:val="000000"/>
        <w:sz w:val="20"/>
        <w:szCs w:val="20"/>
      </w:rPr>
      <w:tab/>
    </w:r>
    <w:r w:rsidRPr="007C70C7">
      <w:rPr>
        <w:iCs/>
        <w:color w:val="000000"/>
        <w:sz w:val="20"/>
        <w:szCs w:val="20"/>
      </w:rPr>
      <w:t xml:space="preserve">Researcher </w:t>
    </w:r>
    <w:r w:rsidRPr="007C70C7">
      <w:rPr>
        <w:iCs/>
        <w:sz w:val="20"/>
        <w:szCs w:val="20"/>
      </w:rPr>
      <w:t>201</w:t>
    </w:r>
    <w:r w:rsidRPr="007C70C7">
      <w:rPr>
        <w:rFonts w:hint="eastAsia"/>
        <w:iCs/>
        <w:sz w:val="20"/>
        <w:szCs w:val="20"/>
      </w:rPr>
      <w:t>8</w:t>
    </w:r>
    <w:r w:rsidRPr="007C70C7">
      <w:rPr>
        <w:iCs/>
        <w:sz w:val="20"/>
        <w:szCs w:val="20"/>
      </w:rPr>
      <w:t>;</w:t>
    </w:r>
    <w:r w:rsidRPr="007C70C7">
      <w:rPr>
        <w:rFonts w:hint="eastAsia"/>
        <w:iCs/>
        <w:sz w:val="20"/>
        <w:szCs w:val="20"/>
      </w:rPr>
      <w:t>10</w:t>
    </w:r>
    <w:r w:rsidRPr="007C70C7">
      <w:rPr>
        <w:iCs/>
        <w:sz w:val="20"/>
        <w:szCs w:val="20"/>
      </w:rPr>
      <w:t>(</w:t>
    </w:r>
    <w:r w:rsidRPr="007C70C7">
      <w:rPr>
        <w:rFonts w:hint="eastAsia"/>
        <w:iCs/>
        <w:sz w:val="20"/>
        <w:szCs w:val="20"/>
      </w:rPr>
      <w:t>3</w:t>
    </w:r>
    <w:r w:rsidRPr="007C70C7">
      <w:rPr>
        <w:iCs/>
        <w:sz w:val="20"/>
        <w:szCs w:val="20"/>
      </w:rPr>
      <w:t xml:space="preserve">)  </w:t>
    </w:r>
    <w:r w:rsidRPr="007C70C7">
      <w:rPr>
        <w:rFonts w:hint="eastAsia"/>
        <w:iCs/>
        <w:sz w:val="20"/>
        <w:szCs w:val="20"/>
      </w:rPr>
      <w:t xml:space="preserve"> </w:t>
    </w:r>
    <w:r w:rsidRPr="007C70C7">
      <w:rPr>
        <w:iCs/>
        <w:sz w:val="20"/>
        <w:szCs w:val="20"/>
      </w:rPr>
      <w:t xml:space="preserve"> </w:t>
    </w:r>
    <w:r w:rsidRPr="007C70C7">
      <w:rPr>
        <w:rFonts w:hint="eastAsia"/>
        <w:iCs/>
        <w:sz w:val="20"/>
        <w:szCs w:val="20"/>
      </w:rPr>
      <w:tab/>
    </w:r>
    <w:r w:rsidRPr="007C70C7">
      <w:rPr>
        <w:iCs/>
        <w:sz w:val="20"/>
        <w:szCs w:val="20"/>
      </w:rPr>
      <w:t xml:space="preserve">    </w:t>
    </w:r>
    <w:r w:rsidRPr="007C70C7">
      <w:rPr>
        <w:sz w:val="20"/>
        <w:szCs w:val="20"/>
      </w:rPr>
      <w:t xml:space="preserve"> </w:t>
    </w:r>
    <w:hyperlink r:id="rId1" w:history="1">
      <w:r w:rsidRPr="007C70C7">
        <w:rPr>
          <w:rStyle w:val="Hyperlink"/>
          <w:color w:val="0000FF"/>
          <w:sz w:val="20"/>
          <w:szCs w:val="20"/>
        </w:rPr>
        <w:t>http://www.sciencepub.net/researcher</w:t>
      </w:r>
    </w:hyperlink>
  </w:p>
  <w:p w:rsidR="000F3911" w:rsidRPr="007C70C7" w:rsidRDefault="000F3911" w:rsidP="007C70C7">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3404740"/>
    <w:lvl w:ilvl="0" w:tplc="D22222C8">
      <w:numFmt w:val="bullet"/>
      <w:lvlText w:val=""/>
      <w:lvlJc w:val="left"/>
      <w:pPr>
        <w:ind w:left="720" w:hanging="360"/>
      </w:pPr>
      <w:rPr>
        <w:rFonts w:ascii="Symbol" w:eastAsia="Times New Roman" w:hAnsi="Symbol" w:hint="default"/>
        <w:b w:val="0"/>
        <w:color w:val="000000"/>
        <w:sz w:val="28"/>
      </w:rPr>
    </w:lvl>
    <w:lvl w:ilvl="1" w:tplc="A8AEB4C8">
      <w:numFmt w:val="bullet"/>
      <w:lvlText w:val=""/>
      <w:lvlJc w:val="left"/>
      <w:pPr>
        <w:ind w:left="720" w:hanging="360"/>
      </w:pPr>
      <w:rPr>
        <w:rFonts w:ascii="Symbol" w:eastAsia="Times New Roman" w:hAnsi="Symbol" w:hint="default"/>
        <w:b w:val="0"/>
        <w:color w:val="000000"/>
        <w:sz w:val="28"/>
      </w:rPr>
    </w:lvl>
    <w:lvl w:ilvl="2" w:tplc="DC46FC7A">
      <w:numFmt w:val="bullet"/>
      <w:lvlText w:val=""/>
      <w:lvlJc w:val="left"/>
      <w:pPr>
        <w:ind w:left="720" w:hanging="360"/>
      </w:pPr>
      <w:rPr>
        <w:rFonts w:ascii="Symbol" w:eastAsia="Times New Roman" w:hAnsi="Symbol" w:hint="default"/>
        <w:b w:val="0"/>
        <w:color w:val="000000"/>
        <w:sz w:val="28"/>
      </w:rPr>
    </w:lvl>
    <w:lvl w:ilvl="3" w:tplc="8976F3E6">
      <w:numFmt w:val="bullet"/>
      <w:lvlText w:val=""/>
      <w:lvlJc w:val="left"/>
      <w:pPr>
        <w:ind w:left="720" w:hanging="360"/>
      </w:pPr>
      <w:rPr>
        <w:rFonts w:ascii="Symbol" w:eastAsia="Times New Roman" w:hAnsi="Symbol" w:hint="default"/>
        <w:b w:val="0"/>
        <w:color w:val="000000"/>
        <w:sz w:val="28"/>
      </w:rPr>
    </w:lvl>
    <w:lvl w:ilvl="4" w:tplc="447483CA">
      <w:numFmt w:val="bullet"/>
      <w:lvlText w:val=""/>
      <w:lvlJc w:val="left"/>
      <w:pPr>
        <w:ind w:left="720" w:hanging="360"/>
      </w:pPr>
      <w:rPr>
        <w:rFonts w:ascii="Symbol" w:eastAsia="Times New Roman" w:hAnsi="Symbol" w:hint="default"/>
        <w:b w:val="0"/>
        <w:color w:val="000000"/>
        <w:sz w:val="28"/>
      </w:rPr>
    </w:lvl>
    <w:lvl w:ilvl="5" w:tplc="4616466C">
      <w:numFmt w:val="bullet"/>
      <w:lvlText w:val=""/>
      <w:lvlJc w:val="left"/>
      <w:pPr>
        <w:ind w:left="720" w:hanging="360"/>
      </w:pPr>
      <w:rPr>
        <w:rFonts w:ascii="Symbol" w:eastAsia="Times New Roman" w:hAnsi="Symbol" w:hint="default"/>
        <w:b w:val="0"/>
        <w:color w:val="000000"/>
        <w:sz w:val="28"/>
      </w:rPr>
    </w:lvl>
    <w:lvl w:ilvl="6" w:tplc="011E3EDA">
      <w:numFmt w:val="bullet"/>
      <w:lvlText w:val=""/>
      <w:lvlJc w:val="left"/>
      <w:pPr>
        <w:ind w:left="720" w:hanging="360"/>
      </w:pPr>
      <w:rPr>
        <w:rFonts w:ascii="Symbol" w:eastAsia="Times New Roman" w:hAnsi="Symbol" w:hint="default"/>
        <w:b w:val="0"/>
        <w:color w:val="000000"/>
        <w:sz w:val="28"/>
      </w:rPr>
    </w:lvl>
    <w:lvl w:ilvl="7" w:tplc="BF3ACC40">
      <w:numFmt w:val="bullet"/>
      <w:lvlText w:val=""/>
      <w:lvlJc w:val="left"/>
      <w:pPr>
        <w:ind w:left="720" w:hanging="360"/>
      </w:pPr>
      <w:rPr>
        <w:rFonts w:ascii="Symbol" w:eastAsia="Times New Roman" w:hAnsi="Symbol" w:hint="default"/>
        <w:b w:val="0"/>
        <w:color w:val="000000"/>
        <w:sz w:val="28"/>
      </w:rPr>
    </w:lvl>
    <w:lvl w:ilvl="8" w:tplc="4B7E8868">
      <w:numFmt w:val="bullet"/>
      <w:lvlText w:val=""/>
      <w:lvlJc w:val="left"/>
      <w:pPr>
        <w:ind w:left="720" w:hanging="360"/>
      </w:pPr>
      <w:rPr>
        <w:rFonts w:ascii="Symbol" w:eastAsia="Times New Roman" w:hAnsi="Symbol" w:hint="default"/>
        <w:b w:val="0"/>
        <w:color w:val="000000"/>
        <w:sz w:val="28"/>
      </w:rPr>
    </w:lvl>
  </w:abstractNum>
  <w:abstractNum w:abstractNumId="1">
    <w:nsid w:val="087819D6"/>
    <w:multiLevelType w:val="hybridMultilevel"/>
    <w:tmpl w:val="D6087BC2"/>
    <w:lvl w:ilvl="0" w:tplc="3CD423CC">
      <w:start w:val="1"/>
      <w:numFmt w:val="bullet"/>
      <w:lvlText w:val=""/>
      <w:lvlJc w:val="left"/>
      <w:pPr>
        <w:tabs>
          <w:tab w:val="num" w:pos="720"/>
        </w:tabs>
        <w:ind w:left="720" w:hanging="360"/>
      </w:pPr>
      <w:rPr>
        <w:rFonts w:ascii="Wingdings" w:hAnsi="Wingdings" w:hint="default"/>
      </w:rPr>
    </w:lvl>
    <w:lvl w:ilvl="1" w:tplc="A9D263B2">
      <w:start w:val="1"/>
      <w:numFmt w:val="bullet"/>
      <w:lvlText w:val=""/>
      <w:lvlJc w:val="left"/>
      <w:pPr>
        <w:tabs>
          <w:tab w:val="num" w:pos="1440"/>
        </w:tabs>
        <w:ind w:left="1440" w:hanging="360"/>
      </w:pPr>
      <w:rPr>
        <w:rFonts w:ascii="Wingdings" w:hAnsi="Wingdings" w:hint="default"/>
      </w:rPr>
    </w:lvl>
    <w:lvl w:ilvl="2" w:tplc="37F63D7E">
      <w:start w:val="1"/>
      <w:numFmt w:val="bullet"/>
      <w:lvlText w:val=""/>
      <w:lvlJc w:val="left"/>
      <w:pPr>
        <w:tabs>
          <w:tab w:val="num" w:pos="2160"/>
        </w:tabs>
        <w:ind w:left="2160" w:hanging="360"/>
      </w:pPr>
      <w:rPr>
        <w:rFonts w:ascii="Wingdings" w:hAnsi="Wingdings" w:hint="default"/>
      </w:rPr>
    </w:lvl>
    <w:lvl w:ilvl="3" w:tplc="8C02D456">
      <w:start w:val="1"/>
      <w:numFmt w:val="bullet"/>
      <w:lvlText w:val=""/>
      <w:lvlJc w:val="left"/>
      <w:pPr>
        <w:tabs>
          <w:tab w:val="num" w:pos="2880"/>
        </w:tabs>
        <w:ind w:left="2880" w:hanging="360"/>
      </w:pPr>
      <w:rPr>
        <w:rFonts w:ascii="Wingdings" w:hAnsi="Wingdings" w:hint="default"/>
      </w:rPr>
    </w:lvl>
    <w:lvl w:ilvl="4" w:tplc="95F8E720">
      <w:start w:val="1"/>
      <w:numFmt w:val="bullet"/>
      <w:lvlText w:val=""/>
      <w:lvlJc w:val="left"/>
      <w:pPr>
        <w:tabs>
          <w:tab w:val="num" w:pos="3600"/>
        </w:tabs>
        <w:ind w:left="3600" w:hanging="360"/>
      </w:pPr>
      <w:rPr>
        <w:rFonts w:ascii="Wingdings" w:hAnsi="Wingdings" w:hint="default"/>
      </w:rPr>
    </w:lvl>
    <w:lvl w:ilvl="5" w:tplc="48F409C4">
      <w:start w:val="1"/>
      <w:numFmt w:val="bullet"/>
      <w:lvlText w:val=""/>
      <w:lvlJc w:val="left"/>
      <w:pPr>
        <w:tabs>
          <w:tab w:val="num" w:pos="4320"/>
        </w:tabs>
        <w:ind w:left="4320" w:hanging="360"/>
      </w:pPr>
      <w:rPr>
        <w:rFonts w:ascii="Wingdings" w:hAnsi="Wingdings" w:hint="default"/>
      </w:rPr>
    </w:lvl>
    <w:lvl w:ilvl="6" w:tplc="0AACDC7C">
      <w:start w:val="1"/>
      <w:numFmt w:val="bullet"/>
      <w:lvlText w:val=""/>
      <w:lvlJc w:val="left"/>
      <w:pPr>
        <w:tabs>
          <w:tab w:val="num" w:pos="5040"/>
        </w:tabs>
        <w:ind w:left="5040" w:hanging="360"/>
      </w:pPr>
      <w:rPr>
        <w:rFonts w:ascii="Wingdings" w:hAnsi="Wingdings" w:hint="default"/>
      </w:rPr>
    </w:lvl>
    <w:lvl w:ilvl="7" w:tplc="3A34547E">
      <w:start w:val="1"/>
      <w:numFmt w:val="bullet"/>
      <w:lvlText w:val=""/>
      <w:lvlJc w:val="left"/>
      <w:pPr>
        <w:tabs>
          <w:tab w:val="num" w:pos="5760"/>
        </w:tabs>
        <w:ind w:left="5760" w:hanging="360"/>
      </w:pPr>
      <w:rPr>
        <w:rFonts w:ascii="Wingdings" w:hAnsi="Wingdings" w:hint="default"/>
      </w:rPr>
    </w:lvl>
    <w:lvl w:ilvl="8" w:tplc="BDDADEF8">
      <w:start w:val="1"/>
      <w:numFmt w:val="bullet"/>
      <w:lvlText w:val=""/>
      <w:lvlJc w:val="left"/>
      <w:pPr>
        <w:tabs>
          <w:tab w:val="num" w:pos="6480"/>
        </w:tabs>
        <w:ind w:left="6480" w:hanging="360"/>
      </w:pPr>
      <w:rPr>
        <w:rFonts w:ascii="Wingdings" w:hAnsi="Wingdings" w:hint="default"/>
      </w:rPr>
    </w:lvl>
  </w:abstractNum>
  <w:abstractNum w:abstractNumId="2">
    <w:nsid w:val="0C2105F6"/>
    <w:multiLevelType w:val="hybridMultilevel"/>
    <w:tmpl w:val="F5928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35C7C"/>
    <w:multiLevelType w:val="hybridMultilevel"/>
    <w:tmpl w:val="986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53E1E"/>
    <w:multiLevelType w:val="hybridMultilevel"/>
    <w:tmpl w:val="BFCA2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B7CB3"/>
    <w:multiLevelType w:val="hybridMultilevel"/>
    <w:tmpl w:val="4540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344341"/>
    <w:multiLevelType w:val="hybridMultilevel"/>
    <w:tmpl w:val="94646238"/>
    <w:lvl w:ilvl="0" w:tplc="0409000F">
      <w:start w:val="1"/>
      <w:numFmt w:val="decimal"/>
      <w:lvlText w:val="%1."/>
      <w:lvlJc w:val="left"/>
      <w:pPr>
        <w:ind w:left="4472" w:hanging="360"/>
      </w:p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7">
    <w:nsid w:val="3BEC0097"/>
    <w:multiLevelType w:val="hybridMultilevel"/>
    <w:tmpl w:val="BFCA2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B6F08"/>
    <w:multiLevelType w:val="multilevel"/>
    <w:tmpl w:val="AE36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EB3384"/>
    <w:multiLevelType w:val="hybridMultilevel"/>
    <w:tmpl w:val="12B2B5D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nsid w:val="3EAA4F0F"/>
    <w:multiLevelType w:val="hybridMultilevel"/>
    <w:tmpl w:val="947E39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AB7040C"/>
    <w:multiLevelType w:val="hybridMultilevel"/>
    <w:tmpl w:val="D272E6D8"/>
    <w:lvl w:ilvl="0" w:tplc="68AC2848">
      <w:start w:val="1"/>
      <w:numFmt w:val="bullet"/>
      <w:lvlText w:val=""/>
      <w:lvlJc w:val="left"/>
      <w:pPr>
        <w:tabs>
          <w:tab w:val="num" w:pos="720"/>
        </w:tabs>
        <w:ind w:left="720" w:hanging="360"/>
      </w:pPr>
      <w:rPr>
        <w:rFonts w:ascii="Wingdings" w:hAnsi="Wingdings" w:hint="default"/>
      </w:rPr>
    </w:lvl>
    <w:lvl w:ilvl="1" w:tplc="D6143B2C">
      <w:start w:val="1"/>
      <w:numFmt w:val="bullet"/>
      <w:lvlText w:val=""/>
      <w:lvlJc w:val="left"/>
      <w:pPr>
        <w:tabs>
          <w:tab w:val="num" w:pos="1440"/>
        </w:tabs>
        <w:ind w:left="1440" w:hanging="360"/>
      </w:pPr>
      <w:rPr>
        <w:rFonts w:ascii="Wingdings" w:hAnsi="Wingdings" w:hint="default"/>
      </w:rPr>
    </w:lvl>
    <w:lvl w:ilvl="2" w:tplc="6228EDCA">
      <w:start w:val="1"/>
      <w:numFmt w:val="bullet"/>
      <w:lvlText w:val=""/>
      <w:lvlJc w:val="left"/>
      <w:pPr>
        <w:tabs>
          <w:tab w:val="num" w:pos="2160"/>
        </w:tabs>
        <w:ind w:left="2160" w:hanging="360"/>
      </w:pPr>
      <w:rPr>
        <w:rFonts w:ascii="Wingdings" w:hAnsi="Wingdings" w:hint="default"/>
      </w:rPr>
    </w:lvl>
    <w:lvl w:ilvl="3" w:tplc="1FA8D338">
      <w:start w:val="1"/>
      <w:numFmt w:val="bullet"/>
      <w:lvlText w:val=""/>
      <w:lvlJc w:val="left"/>
      <w:pPr>
        <w:tabs>
          <w:tab w:val="num" w:pos="2880"/>
        </w:tabs>
        <w:ind w:left="2880" w:hanging="360"/>
      </w:pPr>
      <w:rPr>
        <w:rFonts w:ascii="Wingdings" w:hAnsi="Wingdings" w:hint="default"/>
      </w:rPr>
    </w:lvl>
    <w:lvl w:ilvl="4" w:tplc="9EE89D18">
      <w:start w:val="1"/>
      <w:numFmt w:val="bullet"/>
      <w:lvlText w:val=""/>
      <w:lvlJc w:val="left"/>
      <w:pPr>
        <w:tabs>
          <w:tab w:val="num" w:pos="3600"/>
        </w:tabs>
        <w:ind w:left="3600" w:hanging="360"/>
      </w:pPr>
      <w:rPr>
        <w:rFonts w:ascii="Wingdings" w:hAnsi="Wingdings" w:hint="default"/>
      </w:rPr>
    </w:lvl>
    <w:lvl w:ilvl="5" w:tplc="14705902">
      <w:start w:val="1"/>
      <w:numFmt w:val="bullet"/>
      <w:lvlText w:val=""/>
      <w:lvlJc w:val="left"/>
      <w:pPr>
        <w:tabs>
          <w:tab w:val="num" w:pos="4320"/>
        </w:tabs>
        <w:ind w:left="4320" w:hanging="360"/>
      </w:pPr>
      <w:rPr>
        <w:rFonts w:ascii="Wingdings" w:hAnsi="Wingdings" w:hint="default"/>
      </w:rPr>
    </w:lvl>
    <w:lvl w:ilvl="6" w:tplc="FD705DA0">
      <w:start w:val="1"/>
      <w:numFmt w:val="bullet"/>
      <w:lvlText w:val=""/>
      <w:lvlJc w:val="left"/>
      <w:pPr>
        <w:tabs>
          <w:tab w:val="num" w:pos="5040"/>
        </w:tabs>
        <w:ind w:left="5040" w:hanging="360"/>
      </w:pPr>
      <w:rPr>
        <w:rFonts w:ascii="Wingdings" w:hAnsi="Wingdings" w:hint="default"/>
      </w:rPr>
    </w:lvl>
    <w:lvl w:ilvl="7" w:tplc="511C0AE2">
      <w:start w:val="1"/>
      <w:numFmt w:val="bullet"/>
      <w:lvlText w:val=""/>
      <w:lvlJc w:val="left"/>
      <w:pPr>
        <w:tabs>
          <w:tab w:val="num" w:pos="5760"/>
        </w:tabs>
        <w:ind w:left="5760" w:hanging="360"/>
      </w:pPr>
      <w:rPr>
        <w:rFonts w:ascii="Wingdings" w:hAnsi="Wingdings" w:hint="default"/>
      </w:rPr>
    </w:lvl>
    <w:lvl w:ilvl="8" w:tplc="D79C2182">
      <w:start w:val="1"/>
      <w:numFmt w:val="bullet"/>
      <w:lvlText w:val=""/>
      <w:lvlJc w:val="left"/>
      <w:pPr>
        <w:tabs>
          <w:tab w:val="num" w:pos="6480"/>
        </w:tabs>
        <w:ind w:left="6480" w:hanging="360"/>
      </w:pPr>
      <w:rPr>
        <w:rFonts w:ascii="Wingdings" w:hAnsi="Wingdings" w:hint="default"/>
      </w:rPr>
    </w:lvl>
  </w:abstractNum>
  <w:abstractNum w:abstractNumId="12">
    <w:nsid w:val="4D207BE9"/>
    <w:multiLevelType w:val="hybridMultilevel"/>
    <w:tmpl w:val="CBAE8778"/>
    <w:lvl w:ilvl="0" w:tplc="0BE6BC6C">
      <w:start w:val="1"/>
      <w:numFmt w:val="lowerRoman"/>
      <w:lvlText w:val="(%1)"/>
      <w:lvlJc w:val="left"/>
      <w:pPr>
        <w:ind w:left="795"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25B4669"/>
    <w:multiLevelType w:val="hybridMultilevel"/>
    <w:tmpl w:val="19D69C96"/>
    <w:lvl w:ilvl="0" w:tplc="A2D2D550">
      <w:start w:val="1"/>
      <w:numFmt w:val="lowerLetter"/>
      <w:lvlText w:val="%1."/>
      <w:lvlJc w:val="left"/>
      <w:pPr>
        <w:ind w:left="927" w:hanging="360"/>
      </w:pPr>
      <w:rPr>
        <w:rFonts w:ascii="Cambria" w:eastAsia="Times New Roman" w:hAnsi="Cambria"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4">
    <w:nsid w:val="53E6696A"/>
    <w:multiLevelType w:val="hybridMultilevel"/>
    <w:tmpl w:val="1CA2E3AE"/>
    <w:lvl w:ilvl="0" w:tplc="0BE6BC6C">
      <w:start w:val="1"/>
      <w:numFmt w:val="lowerRoman"/>
      <w:lvlText w:val="(%1)"/>
      <w:lvlJc w:val="left"/>
      <w:pPr>
        <w:ind w:left="795" w:hanging="72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5">
    <w:nsid w:val="590A2D1F"/>
    <w:multiLevelType w:val="hybridMultilevel"/>
    <w:tmpl w:val="568A82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9393153"/>
    <w:multiLevelType w:val="hybridMultilevel"/>
    <w:tmpl w:val="BFCA2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1681E"/>
    <w:multiLevelType w:val="hybridMultilevel"/>
    <w:tmpl w:val="47F8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047B13"/>
    <w:multiLevelType w:val="hybridMultilevel"/>
    <w:tmpl w:val="B2FAD708"/>
    <w:lvl w:ilvl="0" w:tplc="0409000F">
      <w:start w:val="1"/>
      <w:numFmt w:val="decimal"/>
      <w:lvlText w:val="%1."/>
      <w:lvlJc w:val="left"/>
      <w:pPr>
        <w:ind w:left="79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C217D"/>
    <w:multiLevelType w:val="hybridMultilevel"/>
    <w:tmpl w:val="A76A158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463467D"/>
    <w:multiLevelType w:val="hybridMultilevel"/>
    <w:tmpl w:val="BFCA2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A3F8A"/>
    <w:multiLevelType w:val="hybridMultilevel"/>
    <w:tmpl w:val="57A0318A"/>
    <w:lvl w:ilvl="0" w:tplc="162A96DE">
      <w:start w:val="1"/>
      <w:numFmt w:val="lowerLetter"/>
      <w:lvlText w:val="%1."/>
      <w:lvlJc w:val="left"/>
      <w:pPr>
        <w:ind w:left="720" w:hanging="360"/>
      </w:pPr>
      <w:rPr>
        <w:rFonts w:cs="Times New Roman" w:hint="default"/>
        <w:color w:val="auto"/>
        <w:w w:val="9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A0018A8"/>
    <w:multiLevelType w:val="hybridMultilevel"/>
    <w:tmpl w:val="2A509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0"/>
  </w:num>
  <w:num w:numId="5">
    <w:abstractNumId w:val="18"/>
  </w:num>
  <w:num w:numId="6">
    <w:abstractNumId w:val="16"/>
  </w:num>
  <w:num w:numId="7">
    <w:abstractNumId w:val="9"/>
  </w:num>
  <w:num w:numId="8">
    <w:abstractNumId w:val="17"/>
  </w:num>
  <w:num w:numId="9">
    <w:abstractNumId w:val="2"/>
  </w:num>
  <w:num w:numId="10">
    <w:abstractNumId w:val="1"/>
  </w:num>
  <w:num w:numId="11">
    <w:abstractNumId w:val="11"/>
  </w:num>
  <w:num w:numId="12">
    <w:abstractNumId w:val="5"/>
  </w:num>
  <w:num w:numId="13">
    <w:abstractNumId w:val="8"/>
  </w:num>
  <w:num w:numId="14">
    <w:abstractNumId w:val="0"/>
  </w:num>
  <w:num w:numId="15">
    <w:abstractNumId w:val="13"/>
  </w:num>
  <w:num w:numId="16">
    <w:abstractNumId w:val="19"/>
  </w:num>
  <w:num w:numId="17">
    <w:abstractNumId w:val="10"/>
  </w:num>
  <w:num w:numId="18">
    <w:abstractNumId w:val="22"/>
  </w:num>
  <w:num w:numId="19">
    <w:abstractNumId w:val="15"/>
  </w:num>
  <w:num w:numId="20">
    <w:abstractNumId w:val="14"/>
  </w:num>
  <w:num w:numId="21">
    <w:abstractNumId w:val="12"/>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B503E8"/>
    <w:rsid w:val="000615C9"/>
    <w:rsid w:val="000C2389"/>
    <w:rsid w:val="000D093D"/>
    <w:rsid w:val="000F3911"/>
    <w:rsid w:val="00106802"/>
    <w:rsid w:val="0027630E"/>
    <w:rsid w:val="002B7BDE"/>
    <w:rsid w:val="00356218"/>
    <w:rsid w:val="003842D3"/>
    <w:rsid w:val="003920FC"/>
    <w:rsid w:val="004161B4"/>
    <w:rsid w:val="00440791"/>
    <w:rsid w:val="00573DBF"/>
    <w:rsid w:val="00596361"/>
    <w:rsid w:val="006244D6"/>
    <w:rsid w:val="0075778A"/>
    <w:rsid w:val="007A1E52"/>
    <w:rsid w:val="007B7339"/>
    <w:rsid w:val="007C4FC2"/>
    <w:rsid w:val="007C70C7"/>
    <w:rsid w:val="007F0580"/>
    <w:rsid w:val="00806765"/>
    <w:rsid w:val="00885CA3"/>
    <w:rsid w:val="00893EDE"/>
    <w:rsid w:val="008A198C"/>
    <w:rsid w:val="00937CCC"/>
    <w:rsid w:val="00970123"/>
    <w:rsid w:val="00A55FFB"/>
    <w:rsid w:val="00B254E9"/>
    <w:rsid w:val="00B503E8"/>
    <w:rsid w:val="00BC46AA"/>
    <w:rsid w:val="00C1075F"/>
    <w:rsid w:val="00C72816"/>
    <w:rsid w:val="00CB3DAA"/>
    <w:rsid w:val="00DD3FA0"/>
    <w:rsid w:val="00E43ADA"/>
    <w:rsid w:val="00EF23F3"/>
    <w:rsid w:val="00F07ECD"/>
    <w:rsid w:val="00F105E2"/>
    <w:rsid w:val="00F241E2"/>
    <w:rsid w:val="00F44FE5"/>
    <w:rsid w:val="00F7408F"/>
    <w:rsid w:val="00F848A9"/>
    <w:rsid w:val="00F90A8B"/>
    <w:rsid w:val="00F931D2"/>
    <w:rsid w:val="00FD3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E8"/>
    <w:pPr>
      <w:bidi/>
      <w:ind w:left="0" w:firstLine="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B503E8"/>
    <w:pPr>
      <w:keepNext/>
      <w:bidi w:val="0"/>
      <w:spacing w:line="360" w:lineRule="auto"/>
      <w:jc w:val="both"/>
      <w:outlineLvl w:val="2"/>
    </w:pPr>
    <w:rPr>
      <w:rFonts w:eastAsia="PMingLiU"/>
      <w:b/>
      <w:b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503E8"/>
    <w:rPr>
      <w:rFonts w:ascii="Times New Roman" w:eastAsia="PMingLiU" w:hAnsi="Times New Roman" w:cs="Times New Roman"/>
      <w:b/>
      <w:bCs/>
      <w:sz w:val="28"/>
      <w:szCs w:val="24"/>
      <w:lang w:eastAsia="zh-TW"/>
    </w:rPr>
  </w:style>
  <w:style w:type="paragraph" w:styleId="BodyText">
    <w:name w:val="Body Text"/>
    <w:basedOn w:val="Normal"/>
    <w:link w:val="BodyTextChar"/>
    <w:uiPriority w:val="99"/>
    <w:rsid w:val="00B503E8"/>
    <w:pPr>
      <w:widowControl w:val="0"/>
      <w:bidi w:val="0"/>
      <w:ind w:left="111"/>
    </w:pPr>
    <w:rPr>
      <w:rFonts w:ascii="Palatino Linotype" w:hAnsi="Palatino Linotype" w:cs="Arial"/>
      <w:sz w:val="20"/>
      <w:szCs w:val="20"/>
    </w:rPr>
  </w:style>
  <w:style w:type="character" w:customStyle="1" w:styleId="BodyTextChar">
    <w:name w:val="Body Text Char"/>
    <w:basedOn w:val="DefaultParagraphFont"/>
    <w:link w:val="BodyText"/>
    <w:uiPriority w:val="99"/>
    <w:rsid w:val="00B503E8"/>
    <w:rPr>
      <w:rFonts w:ascii="Palatino Linotype" w:eastAsia="Times New Roman" w:hAnsi="Palatino Linotype" w:cs="Arial"/>
      <w:sz w:val="20"/>
      <w:szCs w:val="20"/>
    </w:rPr>
  </w:style>
  <w:style w:type="paragraph" w:styleId="ListParagraph">
    <w:name w:val="List Paragraph"/>
    <w:basedOn w:val="Normal"/>
    <w:uiPriority w:val="34"/>
    <w:qFormat/>
    <w:rsid w:val="00B503E8"/>
    <w:pPr>
      <w:widowControl w:val="0"/>
      <w:wordWrap w:val="0"/>
      <w:autoSpaceDE w:val="0"/>
      <w:autoSpaceDN w:val="0"/>
      <w:bidi w:val="0"/>
      <w:ind w:left="400"/>
      <w:jc w:val="both"/>
    </w:pPr>
    <w:rPr>
      <w:rFonts w:ascii="Batang" w:eastAsia="Batang"/>
      <w:kern w:val="2"/>
      <w:sz w:val="20"/>
      <w:szCs w:val="20"/>
      <w:lang w:eastAsia="ko-KR"/>
    </w:rPr>
  </w:style>
  <w:style w:type="paragraph" w:styleId="Header">
    <w:name w:val="header"/>
    <w:basedOn w:val="Normal"/>
    <w:link w:val="HeaderChar"/>
    <w:uiPriority w:val="99"/>
    <w:rsid w:val="00B503E8"/>
    <w:pPr>
      <w:tabs>
        <w:tab w:val="center" w:pos="4153"/>
        <w:tab w:val="right" w:pos="8306"/>
      </w:tabs>
    </w:pPr>
  </w:style>
  <w:style w:type="character" w:customStyle="1" w:styleId="HeaderChar">
    <w:name w:val="Header Char"/>
    <w:basedOn w:val="DefaultParagraphFont"/>
    <w:link w:val="Header"/>
    <w:uiPriority w:val="99"/>
    <w:rsid w:val="00B503E8"/>
    <w:rPr>
      <w:rFonts w:ascii="Times New Roman" w:eastAsia="Times New Roman" w:hAnsi="Times New Roman" w:cs="Times New Roman"/>
      <w:sz w:val="24"/>
      <w:szCs w:val="24"/>
    </w:rPr>
  </w:style>
  <w:style w:type="paragraph" w:styleId="Footer">
    <w:name w:val="footer"/>
    <w:basedOn w:val="Normal"/>
    <w:link w:val="FooterChar"/>
    <w:uiPriority w:val="99"/>
    <w:rsid w:val="00B503E8"/>
    <w:pPr>
      <w:tabs>
        <w:tab w:val="center" w:pos="4153"/>
        <w:tab w:val="right" w:pos="8306"/>
      </w:tabs>
    </w:pPr>
  </w:style>
  <w:style w:type="character" w:customStyle="1" w:styleId="FooterChar">
    <w:name w:val="Footer Char"/>
    <w:basedOn w:val="DefaultParagraphFont"/>
    <w:link w:val="Footer"/>
    <w:uiPriority w:val="99"/>
    <w:rsid w:val="00B503E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B503E8"/>
    <w:rPr>
      <w:sz w:val="20"/>
      <w:szCs w:val="20"/>
    </w:rPr>
  </w:style>
  <w:style w:type="character" w:customStyle="1" w:styleId="CommentTextChar">
    <w:name w:val="Comment Text Char"/>
    <w:basedOn w:val="DefaultParagraphFont"/>
    <w:link w:val="CommentText"/>
    <w:uiPriority w:val="99"/>
    <w:semiHidden/>
    <w:rsid w:val="00B503E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B503E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B503E8"/>
    <w:rPr>
      <w:b/>
      <w:bCs/>
    </w:rPr>
  </w:style>
  <w:style w:type="paragraph" w:styleId="BalloonText">
    <w:name w:val="Balloon Text"/>
    <w:basedOn w:val="Normal"/>
    <w:link w:val="BalloonTextChar"/>
    <w:uiPriority w:val="99"/>
    <w:semiHidden/>
    <w:rsid w:val="00B503E8"/>
    <w:rPr>
      <w:rFonts w:ascii="Tahoma" w:hAnsi="Tahoma"/>
      <w:sz w:val="16"/>
      <w:szCs w:val="16"/>
    </w:rPr>
  </w:style>
  <w:style w:type="character" w:customStyle="1" w:styleId="BalloonTextChar">
    <w:name w:val="Balloon Text Char"/>
    <w:basedOn w:val="DefaultParagraphFont"/>
    <w:link w:val="BalloonText"/>
    <w:uiPriority w:val="99"/>
    <w:semiHidden/>
    <w:rsid w:val="00B503E8"/>
    <w:rPr>
      <w:rFonts w:ascii="Tahoma" w:eastAsia="Times New Roman" w:hAnsi="Tahoma" w:cs="Times New Roman"/>
      <w:sz w:val="16"/>
      <w:szCs w:val="16"/>
    </w:rPr>
  </w:style>
  <w:style w:type="character" w:customStyle="1" w:styleId="apple-converted-space">
    <w:name w:val="apple-converted-space"/>
    <w:uiPriority w:val="99"/>
    <w:rsid w:val="00B503E8"/>
    <w:rPr>
      <w:rFonts w:cs="Times New Roman"/>
    </w:rPr>
  </w:style>
  <w:style w:type="character" w:customStyle="1" w:styleId="italic">
    <w:name w:val="italic"/>
    <w:uiPriority w:val="99"/>
    <w:rsid w:val="00B503E8"/>
    <w:rPr>
      <w:rFonts w:cs="Times New Roman"/>
    </w:rPr>
  </w:style>
  <w:style w:type="paragraph" w:customStyle="1" w:styleId="ParaAttribute2">
    <w:name w:val="ParaAttribute2"/>
    <w:uiPriority w:val="99"/>
    <w:rsid w:val="00B503E8"/>
    <w:pPr>
      <w:widowControl w:val="0"/>
      <w:wordWrap w:val="0"/>
      <w:spacing w:after="200"/>
      <w:ind w:left="0" w:firstLine="0"/>
      <w:jc w:val="both"/>
    </w:pPr>
    <w:rPr>
      <w:rFonts w:ascii="Times New Roman" w:eastAsia="Batang" w:hAnsi="Times New Roman" w:cs="Times New Roman"/>
      <w:sz w:val="20"/>
      <w:szCs w:val="20"/>
    </w:rPr>
  </w:style>
  <w:style w:type="paragraph" w:customStyle="1" w:styleId="ParaAttribute6">
    <w:name w:val="ParaAttribute6"/>
    <w:uiPriority w:val="99"/>
    <w:rsid w:val="00B503E8"/>
    <w:pPr>
      <w:widowControl w:val="0"/>
      <w:shd w:val="solid" w:color="FFFFFF" w:fill="auto"/>
      <w:wordWrap w:val="0"/>
      <w:spacing w:after="150"/>
      <w:ind w:left="0" w:firstLine="0"/>
      <w:jc w:val="both"/>
    </w:pPr>
    <w:rPr>
      <w:rFonts w:ascii="Times New Roman" w:eastAsia="Batang" w:hAnsi="Times New Roman" w:cs="Times New Roman"/>
      <w:sz w:val="20"/>
      <w:szCs w:val="20"/>
    </w:rPr>
  </w:style>
  <w:style w:type="paragraph" w:customStyle="1" w:styleId="ParaAttribute7">
    <w:name w:val="ParaAttribute7"/>
    <w:uiPriority w:val="99"/>
    <w:rsid w:val="00B503E8"/>
    <w:pPr>
      <w:widowControl w:val="0"/>
      <w:wordWrap w:val="0"/>
      <w:ind w:left="0" w:firstLine="0"/>
      <w:jc w:val="both"/>
    </w:pPr>
    <w:rPr>
      <w:rFonts w:ascii="Times New Roman" w:eastAsia="Batang" w:hAnsi="Times New Roman" w:cs="Times New Roman"/>
      <w:sz w:val="20"/>
      <w:szCs w:val="20"/>
    </w:rPr>
  </w:style>
  <w:style w:type="paragraph" w:customStyle="1" w:styleId="ParaAttribute10">
    <w:name w:val="ParaAttribute10"/>
    <w:uiPriority w:val="99"/>
    <w:rsid w:val="00B503E8"/>
    <w:pPr>
      <w:widowControl w:val="0"/>
      <w:wordWrap w:val="0"/>
      <w:ind w:left="0" w:firstLine="720"/>
      <w:jc w:val="both"/>
    </w:pPr>
    <w:rPr>
      <w:rFonts w:ascii="Times New Roman" w:eastAsia="Batang" w:hAnsi="Times New Roman" w:cs="Times New Roman"/>
      <w:sz w:val="20"/>
      <w:szCs w:val="20"/>
    </w:rPr>
  </w:style>
  <w:style w:type="paragraph" w:customStyle="1" w:styleId="ParaAttribute12">
    <w:name w:val="ParaAttribute12"/>
    <w:uiPriority w:val="99"/>
    <w:rsid w:val="00B503E8"/>
    <w:pPr>
      <w:keepNext/>
      <w:widowControl w:val="0"/>
      <w:wordWrap w:val="0"/>
      <w:ind w:left="0" w:firstLine="0"/>
      <w:jc w:val="both"/>
    </w:pPr>
    <w:rPr>
      <w:rFonts w:ascii="Times New Roman" w:eastAsia="Batang" w:hAnsi="Times New Roman" w:cs="Times New Roman"/>
      <w:sz w:val="20"/>
      <w:szCs w:val="20"/>
    </w:rPr>
  </w:style>
  <w:style w:type="character" w:customStyle="1" w:styleId="CharAttribute4">
    <w:name w:val="CharAttribute4"/>
    <w:uiPriority w:val="99"/>
    <w:rsid w:val="00B503E8"/>
    <w:rPr>
      <w:rFonts w:ascii="Cambria" w:eastAsia="Times New Roman" w:hAnsi="Cambria"/>
      <w:sz w:val="28"/>
    </w:rPr>
  </w:style>
  <w:style w:type="character" w:customStyle="1" w:styleId="CharAttribute5">
    <w:name w:val="CharAttribute5"/>
    <w:uiPriority w:val="99"/>
    <w:rsid w:val="00B503E8"/>
    <w:rPr>
      <w:rFonts w:ascii="Cambria" w:eastAsia="Times New Roman" w:hAnsi="Cambria"/>
      <w:b/>
      <w:sz w:val="28"/>
    </w:rPr>
  </w:style>
  <w:style w:type="character" w:customStyle="1" w:styleId="CharAttribute7">
    <w:name w:val="CharAttribute7"/>
    <w:uiPriority w:val="99"/>
    <w:rsid w:val="00B503E8"/>
    <w:rPr>
      <w:rFonts w:ascii="Cambria" w:eastAsia="Times New Roman" w:hAnsi="Cambria"/>
      <w:b/>
      <w:i/>
      <w:sz w:val="28"/>
    </w:rPr>
  </w:style>
  <w:style w:type="character" w:customStyle="1" w:styleId="CharAttribute8">
    <w:name w:val="CharAttribute8"/>
    <w:uiPriority w:val="99"/>
    <w:rsid w:val="00B503E8"/>
    <w:rPr>
      <w:rFonts w:ascii="Cambria" w:eastAsia="Times New Roman" w:hAnsi="Cambria"/>
      <w:i/>
      <w:sz w:val="28"/>
    </w:rPr>
  </w:style>
  <w:style w:type="character" w:customStyle="1" w:styleId="CharAttribute9">
    <w:name w:val="CharAttribute9"/>
    <w:uiPriority w:val="99"/>
    <w:rsid w:val="00B503E8"/>
    <w:rPr>
      <w:rFonts w:ascii="Cambria" w:eastAsia="Times New Roman" w:hAnsi="Cambria"/>
      <w:i/>
      <w:sz w:val="28"/>
      <w:vertAlign w:val="superscript"/>
    </w:rPr>
  </w:style>
  <w:style w:type="character" w:customStyle="1" w:styleId="CharAttribute10">
    <w:name w:val="CharAttribute10"/>
    <w:uiPriority w:val="99"/>
    <w:rsid w:val="00B503E8"/>
    <w:rPr>
      <w:rFonts w:ascii="Cambria" w:eastAsia="Times New Roman" w:hAnsi="Cambria"/>
      <w:sz w:val="28"/>
      <w:vertAlign w:val="superscript"/>
    </w:rPr>
  </w:style>
  <w:style w:type="character" w:customStyle="1" w:styleId="CharAttribute11">
    <w:name w:val="CharAttribute11"/>
    <w:uiPriority w:val="99"/>
    <w:rsid w:val="00B503E8"/>
    <w:rPr>
      <w:rFonts w:ascii="Cambria" w:eastAsia="Times New Roman" w:hAnsi="Cambria"/>
      <w:b/>
      <w:sz w:val="32"/>
    </w:rPr>
  </w:style>
  <w:style w:type="character" w:customStyle="1" w:styleId="CharAttribute12">
    <w:name w:val="CharAttribute12"/>
    <w:uiPriority w:val="99"/>
    <w:rsid w:val="00B503E8"/>
    <w:rPr>
      <w:rFonts w:ascii="Cambria" w:eastAsia="Times New Roman" w:hAnsi="Cambria"/>
      <w:b/>
      <w:i/>
      <w:sz w:val="32"/>
    </w:rPr>
  </w:style>
  <w:style w:type="character" w:customStyle="1" w:styleId="CharAttribute13">
    <w:name w:val="CharAttribute13"/>
    <w:uiPriority w:val="99"/>
    <w:rsid w:val="00B503E8"/>
    <w:rPr>
      <w:rFonts w:ascii="Cambria" w:eastAsia="Times New Roman" w:hAnsi="Cambria"/>
    </w:rPr>
  </w:style>
  <w:style w:type="character" w:customStyle="1" w:styleId="CharAttribute15">
    <w:name w:val="CharAttribute15"/>
    <w:uiPriority w:val="99"/>
    <w:rsid w:val="00B503E8"/>
    <w:rPr>
      <w:rFonts w:ascii="Cambria" w:eastAsia="Times New Roman" w:hAnsi="Cambria"/>
      <w:vertAlign w:val="superscript"/>
    </w:rPr>
  </w:style>
  <w:style w:type="character" w:customStyle="1" w:styleId="CharAttribute16">
    <w:name w:val="CharAttribute16"/>
    <w:uiPriority w:val="99"/>
    <w:rsid w:val="00B503E8"/>
    <w:rPr>
      <w:rFonts w:ascii="Arial" w:eastAsia="Times New Roman" w:hAnsi="Arial"/>
      <w:b/>
      <w:sz w:val="28"/>
    </w:rPr>
  </w:style>
  <w:style w:type="character" w:customStyle="1" w:styleId="CharAttribute17">
    <w:name w:val="CharAttribute17"/>
    <w:uiPriority w:val="99"/>
    <w:rsid w:val="00B503E8"/>
    <w:rPr>
      <w:rFonts w:ascii="Times New Roman" w:eastAsia="Batang" w:hAnsi="Batang"/>
      <w:b/>
      <w:sz w:val="28"/>
    </w:rPr>
  </w:style>
  <w:style w:type="character" w:customStyle="1" w:styleId="CharAttribute18">
    <w:name w:val="CharAttribute18"/>
    <w:uiPriority w:val="99"/>
    <w:rsid w:val="00B503E8"/>
    <w:rPr>
      <w:rFonts w:ascii="Cambria" w:eastAsia="Times New Roman" w:hAnsi="Cambria Math"/>
      <w:sz w:val="28"/>
    </w:rPr>
  </w:style>
  <w:style w:type="character" w:customStyle="1" w:styleId="CharAttribute19">
    <w:name w:val="CharAttribute19"/>
    <w:uiPriority w:val="99"/>
    <w:rsid w:val="00B503E8"/>
    <w:rPr>
      <w:rFonts w:ascii="Calibri" w:eastAsia="Times New Roman" w:hAnsi="Calibri"/>
      <w:b/>
      <w:sz w:val="28"/>
    </w:rPr>
  </w:style>
  <w:style w:type="character" w:customStyle="1" w:styleId="CharAttribute20">
    <w:name w:val="CharAttribute20"/>
    <w:uiPriority w:val="99"/>
    <w:rsid w:val="00B503E8"/>
    <w:rPr>
      <w:rFonts w:ascii="Calibri" w:eastAsia="Times New Roman" w:hAnsi="NimbusRomNo9L"/>
      <w:b/>
      <w:color w:val="auto"/>
      <w:sz w:val="24"/>
    </w:rPr>
  </w:style>
  <w:style w:type="character" w:customStyle="1" w:styleId="CharAttribute28">
    <w:name w:val="CharAttribute28"/>
    <w:uiPriority w:val="99"/>
    <w:rsid w:val="00B503E8"/>
    <w:rPr>
      <w:rFonts w:ascii="Cambria" w:eastAsia="Times New Roman" w:hAnsi="Cambria"/>
      <w:sz w:val="28"/>
      <w:shd w:val="clear" w:color="auto" w:fill="FFFFFF"/>
    </w:rPr>
  </w:style>
  <w:style w:type="character" w:customStyle="1" w:styleId="CharAttribute30">
    <w:name w:val="CharAttribute30"/>
    <w:uiPriority w:val="99"/>
    <w:rsid w:val="00B503E8"/>
    <w:rPr>
      <w:rFonts w:ascii="Cambria" w:eastAsia="Times New Roman" w:hAnsi="Cambria"/>
      <w:b/>
      <w:sz w:val="28"/>
    </w:rPr>
  </w:style>
  <w:style w:type="character" w:customStyle="1" w:styleId="CharAttribute38">
    <w:name w:val="CharAttribute38"/>
    <w:uiPriority w:val="99"/>
    <w:rsid w:val="00B503E8"/>
    <w:rPr>
      <w:rFonts w:ascii="Cambria" w:eastAsia="Times New Roman" w:hAnsi="Cambria"/>
      <w:b/>
      <w:color w:val="0000FF"/>
      <w:sz w:val="28"/>
      <w:u w:val="single"/>
      <w:shd w:val="clear" w:color="auto" w:fill="FFFFFF"/>
    </w:rPr>
  </w:style>
  <w:style w:type="paragraph" w:styleId="Caption">
    <w:name w:val="caption"/>
    <w:basedOn w:val="Normal"/>
    <w:next w:val="Normal"/>
    <w:link w:val="CaptionChar"/>
    <w:uiPriority w:val="99"/>
    <w:qFormat/>
    <w:rsid w:val="00B503E8"/>
    <w:pPr>
      <w:spacing w:after="200"/>
    </w:pPr>
    <w:rPr>
      <w:i/>
      <w:iCs/>
      <w:color w:val="44546A"/>
      <w:sz w:val="18"/>
      <w:szCs w:val="18"/>
    </w:rPr>
  </w:style>
  <w:style w:type="character" w:customStyle="1" w:styleId="CaptionChar">
    <w:name w:val="Caption Char"/>
    <w:link w:val="Caption"/>
    <w:uiPriority w:val="99"/>
    <w:locked/>
    <w:rsid w:val="00B503E8"/>
    <w:rPr>
      <w:rFonts w:ascii="Times New Roman" w:eastAsia="Times New Roman" w:hAnsi="Times New Roman" w:cs="Times New Roman"/>
      <w:i/>
      <w:iCs/>
      <w:color w:val="44546A"/>
      <w:sz w:val="18"/>
      <w:szCs w:val="18"/>
    </w:rPr>
  </w:style>
  <w:style w:type="character" w:customStyle="1" w:styleId="st">
    <w:name w:val="st"/>
    <w:uiPriority w:val="99"/>
    <w:rsid w:val="00B503E8"/>
    <w:rPr>
      <w:rFonts w:cs="Times New Roman"/>
    </w:rPr>
  </w:style>
  <w:style w:type="character" w:customStyle="1" w:styleId="fontstyle01">
    <w:name w:val="fontstyle01"/>
    <w:uiPriority w:val="99"/>
    <w:rsid w:val="00B503E8"/>
    <w:rPr>
      <w:rFonts w:ascii="TimesNewRomanPSMT" w:hAnsi="TimesNewRomanPSMT" w:cs="Times New Roman"/>
      <w:color w:val="000000"/>
      <w:sz w:val="28"/>
      <w:szCs w:val="28"/>
    </w:rPr>
  </w:style>
  <w:style w:type="character" w:customStyle="1" w:styleId="fontstyle21">
    <w:name w:val="fontstyle21"/>
    <w:uiPriority w:val="99"/>
    <w:rsid w:val="00B503E8"/>
    <w:rPr>
      <w:rFonts w:ascii="TimesNewRomanPS-BoldMT" w:hAnsi="TimesNewRomanPS-BoldMT" w:cs="Times New Roman"/>
      <w:b/>
      <w:bCs/>
      <w:color w:val="000000"/>
      <w:sz w:val="28"/>
      <w:szCs w:val="28"/>
    </w:rPr>
  </w:style>
  <w:style w:type="character" w:customStyle="1" w:styleId="fontstyle31">
    <w:name w:val="fontstyle31"/>
    <w:uiPriority w:val="99"/>
    <w:rsid w:val="00B503E8"/>
    <w:rPr>
      <w:rFonts w:ascii="SymbolMT" w:hAnsi="SymbolMT" w:cs="Times New Roman"/>
      <w:color w:val="000000"/>
      <w:sz w:val="28"/>
      <w:szCs w:val="28"/>
    </w:rPr>
  </w:style>
  <w:style w:type="character" w:customStyle="1" w:styleId="fontstyle41">
    <w:name w:val="fontstyle41"/>
    <w:uiPriority w:val="99"/>
    <w:rsid w:val="00B503E8"/>
    <w:rPr>
      <w:rFonts w:ascii="ArialUnicodeMS" w:hAnsi="ArialUnicodeMS" w:cs="Times New Roman"/>
      <w:color w:val="000000"/>
      <w:sz w:val="24"/>
      <w:szCs w:val="24"/>
    </w:rPr>
  </w:style>
  <w:style w:type="character" w:customStyle="1" w:styleId="fontstyle51">
    <w:name w:val="fontstyle51"/>
    <w:uiPriority w:val="99"/>
    <w:rsid w:val="00B503E8"/>
    <w:rPr>
      <w:rFonts w:ascii="TimesNewRomanPS-BoldItalicMT" w:hAnsi="TimesNewRomanPS-BoldItalicMT" w:cs="Times New Roman"/>
      <w:b/>
      <w:bCs/>
      <w:i/>
      <w:iCs/>
      <w:color w:val="000000"/>
      <w:sz w:val="26"/>
      <w:szCs w:val="26"/>
    </w:rPr>
  </w:style>
  <w:style w:type="character" w:customStyle="1" w:styleId="fontstyle61">
    <w:name w:val="fontstyle61"/>
    <w:uiPriority w:val="99"/>
    <w:rsid w:val="00B503E8"/>
    <w:rPr>
      <w:rFonts w:ascii="TimesNewRomanPS-ItalicMT" w:hAnsi="TimesNewRomanPS-ItalicMT" w:cs="Times New Roman"/>
      <w:i/>
      <w:iCs/>
      <w:color w:val="000000"/>
      <w:sz w:val="26"/>
      <w:szCs w:val="26"/>
    </w:rPr>
  </w:style>
  <w:style w:type="paragraph" w:customStyle="1" w:styleId="figuresstyle">
    <w:name w:val="figures_style"/>
    <w:basedOn w:val="Caption"/>
    <w:link w:val="figuresstyleChar"/>
    <w:uiPriority w:val="99"/>
    <w:rsid w:val="00B503E8"/>
    <w:pPr>
      <w:bidi w:val="0"/>
      <w:jc w:val="both"/>
    </w:pPr>
    <w:rPr>
      <w:b/>
      <w:bCs/>
      <w:i w:val="0"/>
      <w:iCs w:val="0"/>
      <w:color w:val="000000"/>
      <w:sz w:val="20"/>
      <w:szCs w:val="20"/>
    </w:rPr>
  </w:style>
  <w:style w:type="character" w:customStyle="1" w:styleId="figuresstyleChar">
    <w:name w:val="figures_style Char"/>
    <w:link w:val="figuresstyle"/>
    <w:uiPriority w:val="99"/>
    <w:locked/>
    <w:rsid w:val="00B503E8"/>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F241E2"/>
    <w:rPr>
      <w:color w:val="0000FF" w:themeColor="hyperlink"/>
      <w:u w:val="single"/>
    </w:rPr>
  </w:style>
  <w:style w:type="character" w:styleId="CommentReference">
    <w:name w:val="annotation reference"/>
    <w:basedOn w:val="DefaultParagraphFont"/>
    <w:uiPriority w:val="99"/>
    <w:semiHidden/>
    <w:unhideWhenUsed/>
    <w:rsid w:val="00CB3DA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nasr1980@gmail.com" TargetMode="Externa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x.doi.org/10.7537/marsrsj100318.05"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5DF3-78E3-48BD-A301-09D4FEF7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34869</Words>
  <Characters>198755</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4</cp:revision>
  <dcterms:created xsi:type="dcterms:W3CDTF">2018-03-13T11:32:00Z</dcterms:created>
  <dcterms:modified xsi:type="dcterms:W3CDTF">2018-03-14T01:49:00Z</dcterms:modified>
</cp:coreProperties>
</file>