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5D74" w14:textId="5CE12D3A" w:rsidR="000A75CE" w:rsidRDefault="00995077" w:rsidP="009D4923">
      <w:pPr>
        <w:jc w:val="center"/>
        <w:rPr>
          <w:b/>
          <w:color w:val="000000"/>
          <w:sz w:val="20"/>
          <w:szCs w:val="20"/>
        </w:rPr>
      </w:pPr>
      <w:r w:rsidRPr="009D4923">
        <w:rPr>
          <w:b/>
          <w:sz w:val="20"/>
          <w:szCs w:val="20"/>
        </w:rPr>
        <w:t xml:space="preserve">Review Of Literature On </w:t>
      </w:r>
      <w:r w:rsidRPr="009D4923">
        <w:rPr>
          <w:b/>
          <w:color w:val="000000"/>
          <w:sz w:val="20"/>
          <w:szCs w:val="20"/>
        </w:rPr>
        <w:t>Teacher Effectiveness In Relation To Level Of Aspiration, Burnout And Self-Efficacy Of Teachers At Elementary Level Of Education</w:t>
      </w:r>
    </w:p>
    <w:p w14:paraId="18A7D36E" w14:textId="77777777" w:rsidR="00D7736D" w:rsidRPr="009D4923" w:rsidRDefault="00D7736D" w:rsidP="009D4923">
      <w:pPr>
        <w:jc w:val="center"/>
        <w:rPr>
          <w:b/>
          <w:sz w:val="20"/>
          <w:szCs w:val="20"/>
        </w:rPr>
      </w:pPr>
    </w:p>
    <w:p w14:paraId="7E6C11A4" w14:textId="07EB9253" w:rsidR="004F04F0" w:rsidRDefault="0039092C" w:rsidP="009D4923">
      <w:pPr>
        <w:jc w:val="center"/>
        <w:rPr>
          <w:bCs/>
          <w:color w:val="000000"/>
          <w:sz w:val="20"/>
          <w:szCs w:val="20"/>
        </w:rPr>
      </w:pPr>
      <w:r w:rsidRPr="009D4923">
        <w:rPr>
          <w:sz w:val="20"/>
          <w:szCs w:val="20"/>
        </w:rPr>
        <w:t>*</w:t>
      </w:r>
      <w:r w:rsidR="005A660A" w:rsidRPr="009D4923">
        <w:rPr>
          <w:bCs/>
          <w:color w:val="000000"/>
          <w:sz w:val="20"/>
          <w:szCs w:val="20"/>
        </w:rPr>
        <w:t>Amila Huidrom</w:t>
      </w:r>
      <w:r w:rsidR="005A660A" w:rsidRPr="009D4923">
        <w:rPr>
          <w:bCs/>
          <w:sz w:val="20"/>
          <w:szCs w:val="20"/>
        </w:rPr>
        <w:t xml:space="preserve">  </w:t>
      </w:r>
      <w:r w:rsidR="004F04F0" w:rsidRPr="009D4923">
        <w:rPr>
          <w:bCs/>
          <w:sz w:val="20"/>
          <w:szCs w:val="20"/>
        </w:rPr>
        <w:t xml:space="preserve">and </w:t>
      </w:r>
      <w:r w:rsidRPr="009D4923">
        <w:rPr>
          <w:sz w:val="20"/>
          <w:szCs w:val="20"/>
        </w:rPr>
        <w:t>**</w:t>
      </w:r>
      <w:r w:rsidR="00C3202C" w:rsidRPr="009D4923">
        <w:rPr>
          <w:bCs/>
          <w:sz w:val="20"/>
          <w:szCs w:val="20"/>
        </w:rPr>
        <w:t>Dr.</w:t>
      </w:r>
      <w:r w:rsidR="00C3202C" w:rsidRPr="009D4923">
        <w:rPr>
          <w:sz w:val="20"/>
          <w:szCs w:val="20"/>
        </w:rPr>
        <w:t xml:space="preserve"> </w:t>
      </w:r>
      <w:r w:rsidR="007C1C48">
        <w:rPr>
          <w:sz w:val="20"/>
          <w:szCs w:val="20"/>
        </w:rPr>
        <w:t>Sharda Parsad Singh</w:t>
      </w:r>
      <w:r w:rsidR="008F2792" w:rsidRPr="009D4923">
        <w:rPr>
          <w:bCs/>
          <w:color w:val="000000"/>
          <w:sz w:val="20"/>
          <w:szCs w:val="20"/>
        </w:rPr>
        <w:tab/>
      </w:r>
    </w:p>
    <w:p w14:paraId="7359277B" w14:textId="77777777" w:rsidR="00D7736D" w:rsidRPr="009D4923" w:rsidRDefault="00D7736D" w:rsidP="009D4923">
      <w:pPr>
        <w:jc w:val="center"/>
        <w:rPr>
          <w:bCs/>
          <w:sz w:val="20"/>
          <w:szCs w:val="20"/>
        </w:rPr>
      </w:pPr>
    </w:p>
    <w:p w14:paraId="12EDAD01" w14:textId="77777777" w:rsidR="004F6178" w:rsidRPr="009D4923" w:rsidRDefault="009D33BD" w:rsidP="009D4923">
      <w:pPr>
        <w:jc w:val="center"/>
        <w:rPr>
          <w:sz w:val="20"/>
          <w:szCs w:val="20"/>
        </w:rPr>
      </w:pPr>
      <w:r w:rsidRPr="009D4923">
        <w:rPr>
          <w:sz w:val="20"/>
          <w:szCs w:val="20"/>
        </w:rPr>
        <w:t xml:space="preserve">*Research Scholar, Department of </w:t>
      </w:r>
      <w:r w:rsidR="005A660A" w:rsidRPr="009D4923">
        <w:rPr>
          <w:sz w:val="20"/>
          <w:szCs w:val="20"/>
        </w:rPr>
        <w:t>Education</w:t>
      </w:r>
      <w:r w:rsidRPr="009D4923">
        <w:rPr>
          <w:sz w:val="20"/>
          <w:szCs w:val="20"/>
        </w:rPr>
        <w:t xml:space="preserve">, </w:t>
      </w:r>
      <w:r w:rsidR="004F6178" w:rsidRPr="009D4923">
        <w:rPr>
          <w:sz w:val="20"/>
          <w:szCs w:val="20"/>
        </w:rPr>
        <w:t>SunRise University, Alwar, Rajasthan (India)</w:t>
      </w:r>
    </w:p>
    <w:p w14:paraId="4312AC8C" w14:textId="77777777" w:rsidR="005A676F" w:rsidRPr="009D4923" w:rsidRDefault="0039092C" w:rsidP="009D4923">
      <w:pPr>
        <w:jc w:val="center"/>
        <w:rPr>
          <w:sz w:val="20"/>
          <w:szCs w:val="20"/>
        </w:rPr>
      </w:pPr>
      <w:r w:rsidRPr="009D4923">
        <w:rPr>
          <w:sz w:val="20"/>
          <w:szCs w:val="20"/>
        </w:rPr>
        <w:t>**</w:t>
      </w:r>
      <w:r w:rsidR="005A660A" w:rsidRPr="009D4923">
        <w:rPr>
          <w:sz w:val="20"/>
          <w:szCs w:val="20"/>
        </w:rPr>
        <w:t>Assistant</w:t>
      </w:r>
      <w:r w:rsidR="005C2E4C" w:rsidRPr="009D4923">
        <w:rPr>
          <w:sz w:val="20"/>
          <w:szCs w:val="20"/>
        </w:rPr>
        <w:t xml:space="preserve"> </w:t>
      </w:r>
      <w:r w:rsidR="005A676F" w:rsidRPr="009D4923">
        <w:rPr>
          <w:sz w:val="20"/>
          <w:szCs w:val="20"/>
        </w:rPr>
        <w:t xml:space="preserve">Professor, Department of </w:t>
      </w:r>
      <w:r w:rsidR="005A660A" w:rsidRPr="009D4923">
        <w:rPr>
          <w:sz w:val="20"/>
          <w:szCs w:val="20"/>
        </w:rPr>
        <w:t>Education</w:t>
      </w:r>
      <w:r w:rsidR="005A676F" w:rsidRPr="009D4923">
        <w:rPr>
          <w:sz w:val="20"/>
          <w:szCs w:val="20"/>
        </w:rPr>
        <w:t>, SunRise University, Alwar, Rajasthan (India)</w:t>
      </w:r>
    </w:p>
    <w:p w14:paraId="3E723EA4" w14:textId="50865901" w:rsidR="007D3ABC" w:rsidRDefault="009D33BD" w:rsidP="009D4923">
      <w:pPr>
        <w:jc w:val="center"/>
        <w:rPr>
          <w:sz w:val="20"/>
          <w:szCs w:val="20"/>
        </w:rPr>
      </w:pPr>
      <w:r w:rsidRPr="009D4923">
        <w:rPr>
          <w:sz w:val="20"/>
          <w:szCs w:val="20"/>
        </w:rPr>
        <w:t>Email:</w:t>
      </w:r>
      <w:r w:rsidR="00CF6B69" w:rsidRPr="009D4923">
        <w:rPr>
          <w:sz w:val="20"/>
          <w:szCs w:val="20"/>
        </w:rPr>
        <w:t xml:space="preserve"> </w:t>
      </w:r>
      <w:hyperlink r:id="rId7" w:history="1">
        <w:r w:rsidR="00D7736D" w:rsidRPr="00E248C3">
          <w:rPr>
            <w:rStyle w:val="Hyperlink"/>
            <w:sz w:val="20"/>
            <w:szCs w:val="20"/>
          </w:rPr>
          <w:t>amilahuidrom@gmail.com</w:t>
        </w:r>
      </w:hyperlink>
    </w:p>
    <w:p w14:paraId="29F2D8A5" w14:textId="77777777" w:rsidR="00D7736D" w:rsidRPr="009D4923" w:rsidRDefault="00D7736D" w:rsidP="009D4923">
      <w:pPr>
        <w:jc w:val="center"/>
        <w:rPr>
          <w:sz w:val="20"/>
          <w:szCs w:val="20"/>
        </w:rPr>
      </w:pPr>
    </w:p>
    <w:p w14:paraId="3FD9F3DE" w14:textId="530B951E" w:rsidR="005A660A" w:rsidRPr="009D4923" w:rsidRDefault="005A676F" w:rsidP="009D4923">
      <w:pPr>
        <w:jc w:val="both"/>
        <w:rPr>
          <w:sz w:val="20"/>
          <w:szCs w:val="20"/>
        </w:rPr>
      </w:pPr>
      <w:r w:rsidRPr="009D4923">
        <w:rPr>
          <w:b/>
          <w:sz w:val="20"/>
          <w:szCs w:val="20"/>
        </w:rPr>
        <w:t>Abstract:</w:t>
      </w:r>
      <w:r w:rsidRPr="009D4923">
        <w:rPr>
          <w:sz w:val="20"/>
          <w:szCs w:val="20"/>
        </w:rPr>
        <w:t xml:space="preserve"> </w:t>
      </w:r>
      <w:r w:rsidR="005A660A" w:rsidRPr="009D4923">
        <w:rPr>
          <w:sz w:val="20"/>
          <w:szCs w:val="20"/>
        </w:rPr>
        <w:t>While it has become commonplace to argue that high-quality teachers are essential to student learning, unfortunately, there is little clarity about the best means for improving teacher effectiveness, with major consequences for policymakers and researchers alike. Over the last several decades, education reformers have attempted to improve the capacity of the teacher labor force and the quality of instructional content, spawning a voluminous research literature in the process. However, the relationships between measures of teacher effectiveness and student outcomes, whether understood as mean achievement or equity, are inconsistent, and this, in turn, has raised serious questions about the best approach for achieving policy goals. In this sense, the ambiguity in the research literature has left policymakers with little direction as to the best approaches to reform. In addition, variation across countries in how</w:t>
      </w:r>
      <w:r w:rsidR="00995077">
        <w:rPr>
          <w:sz w:val="20"/>
          <w:szCs w:val="20"/>
        </w:rPr>
        <w:t xml:space="preserve"> </w:t>
      </w:r>
      <w:r w:rsidR="005A660A" w:rsidRPr="009D4923">
        <w:rPr>
          <w:sz w:val="20"/>
          <w:szCs w:val="20"/>
        </w:rPr>
        <w:t xml:space="preserve">various measures of teacher quality are related to student outcomes has made cross-country transfer of educational ideas difficult, since without understanding whether (or why) policies work differently in different national contexts, it is hard to know whether (or when) a particular policy </w:t>
      </w:r>
      <w:r w:rsidR="009D4923" w:rsidRPr="009D4923">
        <w:rPr>
          <w:sz w:val="20"/>
          <w:szCs w:val="20"/>
        </w:rPr>
        <w:t>should be adopted</w:t>
      </w:r>
      <w:r w:rsidR="005A660A" w:rsidRPr="009D4923">
        <w:rPr>
          <w:sz w:val="20"/>
          <w:szCs w:val="20"/>
        </w:rPr>
        <w:t>.</w:t>
      </w:r>
    </w:p>
    <w:p w14:paraId="276D60C5" w14:textId="3685029F" w:rsidR="009D4923" w:rsidRDefault="009D4923" w:rsidP="009D4923">
      <w:pPr>
        <w:jc w:val="both"/>
      </w:pPr>
      <w:r w:rsidRPr="009D4923">
        <w:rPr>
          <w:sz w:val="20"/>
          <w:szCs w:val="20"/>
        </w:rPr>
        <w:t>[Huidrom, A. and Upadhyay, V</w:t>
      </w:r>
      <w:r w:rsidR="00995077">
        <w:rPr>
          <w:sz w:val="20"/>
          <w:szCs w:val="20"/>
        </w:rPr>
        <w:t>.</w:t>
      </w:r>
      <w:r w:rsidRPr="009D4923">
        <w:rPr>
          <w:b/>
          <w:sz w:val="20"/>
          <w:szCs w:val="20"/>
        </w:rPr>
        <w:t xml:space="preserve"> REVIEW OF LITERATURE ON </w:t>
      </w:r>
      <w:r w:rsidRPr="009D4923">
        <w:rPr>
          <w:b/>
          <w:color w:val="000000"/>
          <w:sz w:val="20"/>
          <w:szCs w:val="20"/>
        </w:rPr>
        <w:t>TEACHER EFFECTIVENESS IN RELATION TO LEVEL OF ASPIRATION, BURNOUT AND SELF-EFFICACY OF TEACHERS AT ELEMENTARY LEVEL OF EDUCATION</w:t>
      </w:r>
      <w:r w:rsidRPr="009D4923">
        <w:rPr>
          <w:b/>
          <w:sz w:val="20"/>
          <w:szCs w:val="20"/>
        </w:rPr>
        <w:t>.</w:t>
      </w:r>
      <w:r w:rsidRPr="009D4923">
        <w:rPr>
          <w:sz w:val="20"/>
          <w:szCs w:val="20"/>
        </w:rPr>
        <w:t xml:space="preserve"> </w:t>
      </w:r>
      <w:r w:rsidR="007E46BE">
        <w:rPr>
          <w:bCs/>
          <w:i/>
          <w:sz w:val="20"/>
          <w:szCs w:val="20"/>
        </w:rPr>
        <w:t>N Y Sci J</w:t>
      </w:r>
      <w:r w:rsidR="007E46BE">
        <w:rPr>
          <w:bCs/>
          <w:sz w:val="20"/>
          <w:szCs w:val="20"/>
        </w:rPr>
        <w:t xml:space="preserve"> </w:t>
      </w:r>
      <w:r w:rsidR="007E46BE">
        <w:rPr>
          <w:sz w:val="20"/>
          <w:szCs w:val="20"/>
        </w:rPr>
        <w:t>2025;18(3):</w:t>
      </w:r>
      <w:r w:rsidR="00995077">
        <w:rPr>
          <w:sz w:val="20"/>
          <w:szCs w:val="20"/>
        </w:rPr>
        <w:t>15</w:t>
      </w:r>
      <w:r w:rsidR="007E46BE">
        <w:rPr>
          <w:sz w:val="20"/>
          <w:szCs w:val="20"/>
        </w:rPr>
        <w:t>-</w:t>
      </w:r>
      <w:r w:rsidR="00995077">
        <w:rPr>
          <w:sz w:val="20"/>
          <w:szCs w:val="20"/>
        </w:rPr>
        <w:t>18</w:t>
      </w:r>
      <w:r w:rsidR="007E46BE">
        <w:rPr>
          <w:sz w:val="20"/>
          <w:szCs w:val="20"/>
        </w:rPr>
        <w:t xml:space="preserve">]. </w:t>
      </w:r>
      <w:r w:rsidR="007E46BE">
        <w:rPr>
          <w:iCs/>
          <w:color w:val="000000"/>
          <w:sz w:val="20"/>
          <w:szCs w:val="20"/>
        </w:rPr>
        <w:t>ISSN 1554-0200 (print); ISSN 2375-723X (online).</w:t>
      </w:r>
      <w:r w:rsidR="007E46BE">
        <w:rPr>
          <w:sz w:val="20"/>
          <w:szCs w:val="20"/>
        </w:rPr>
        <w:t xml:space="preserve"> </w:t>
      </w:r>
      <w:hyperlink r:id="rId8" w:history="1">
        <w:r w:rsidR="007E46BE">
          <w:rPr>
            <w:rStyle w:val="Hyperlink"/>
            <w:sz w:val="20"/>
            <w:szCs w:val="20"/>
          </w:rPr>
          <w:t>http://www.sciencepub.net/newyork</w:t>
        </w:r>
      </w:hyperlink>
      <w:r w:rsidR="007E46BE">
        <w:rPr>
          <w:sz w:val="20"/>
          <w:szCs w:val="20"/>
        </w:rPr>
        <w:t>. 03</w:t>
      </w:r>
      <w:r w:rsidR="007E46BE">
        <w:rPr>
          <w:color w:val="0000FF"/>
          <w:sz w:val="20"/>
          <w:szCs w:val="20"/>
        </w:rPr>
        <w:t xml:space="preserve">. </w:t>
      </w:r>
      <w:hyperlink r:id="rId9" w:history="1">
        <w:r w:rsidR="007E46BE">
          <w:rPr>
            <w:rStyle w:val="Hyperlink"/>
            <w:sz w:val="20"/>
            <w:szCs w:val="20"/>
            <w:shd w:val="clear" w:color="auto" w:fill="FFFFFF"/>
          </w:rPr>
          <w:t>doi:10.7537/marsnys180325.03</w:t>
        </w:r>
      </w:hyperlink>
    </w:p>
    <w:p w14:paraId="5691C7B9" w14:textId="77777777" w:rsidR="007E46BE" w:rsidRPr="009D4923" w:rsidRDefault="007E46BE" w:rsidP="009D4923">
      <w:pPr>
        <w:jc w:val="both"/>
        <w:rPr>
          <w:b/>
          <w:sz w:val="20"/>
          <w:szCs w:val="20"/>
        </w:rPr>
      </w:pPr>
    </w:p>
    <w:p w14:paraId="2A26263B" w14:textId="6B64D271" w:rsidR="005A660A" w:rsidRPr="009D4923" w:rsidRDefault="007F4262" w:rsidP="009D4923">
      <w:pPr>
        <w:jc w:val="both"/>
        <w:rPr>
          <w:bCs/>
          <w:sz w:val="20"/>
          <w:szCs w:val="20"/>
        </w:rPr>
      </w:pPr>
      <w:r w:rsidRPr="009D4923">
        <w:rPr>
          <w:b/>
          <w:sz w:val="20"/>
          <w:szCs w:val="20"/>
          <w:shd w:val="clear" w:color="auto" w:fill="FFFFFF"/>
        </w:rPr>
        <w:t>Keywords:</w:t>
      </w:r>
      <w:r w:rsidR="00DD6778" w:rsidRPr="009D4923">
        <w:rPr>
          <w:bCs/>
          <w:sz w:val="20"/>
          <w:szCs w:val="20"/>
          <w:shd w:val="clear" w:color="auto" w:fill="FFFFFF"/>
        </w:rPr>
        <w:t xml:space="preserve"> </w:t>
      </w:r>
      <w:r w:rsidR="00995077" w:rsidRPr="009D4923">
        <w:rPr>
          <w:bCs/>
          <w:sz w:val="20"/>
          <w:szCs w:val="20"/>
        </w:rPr>
        <w:t>Review Of Literature</w:t>
      </w:r>
      <w:r w:rsidR="00995077">
        <w:rPr>
          <w:bCs/>
          <w:sz w:val="20"/>
          <w:szCs w:val="20"/>
        </w:rPr>
        <w:t>;</w:t>
      </w:r>
      <w:r w:rsidR="00995077" w:rsidRPr="009D4923">
        <w:rPr>
          <w:bCs/>
          <w:sz w:val="20"/>
          <w:szCs w:val="20"/>
        </w:rPr>
        <w:t xml:space="preserve"> </w:t>
      </w:r>
      <w:r w:rsidR="00995077" w:rsidRPr="009D4923">
        <w:rPr>
          <w:bCs/>
          <w:color w:val="000000"/>
          <w:sz w:val="20"/>
          <w:szCs w:val="20"/>
        </w:rPr>
        <w:t>Teacher Effectiveness</w:t>
      </w:r>
      <w:r w:rsidR="00995077">
        <w:rPr>
          <w:bCs/>
          <w:color w:val="000000"/>
          <w:sz w:val="20"/>
          <w:szCs w:val="20"/>
        </w:rPr>
        <w:t>;</w:t>
      </w:r>
      <w:r w:rsidR="00995077" w:rsidRPr="009D4923">
        <w:rPr>
          <w:bCs/>
          <w:color w:val="000000"/>
          <w:sz w:val="20"/>
          <w:szCs w:val="20"/>
        </w:rPr>
        <w:t xml:space="preserve"> Aspiration</w:t>
      </w:r>
      <w:r w:rsidR="00995077">
        <w:rPr>
          <w:bCs/>
          <w:color w:val="000000"/>
          <w:sz w:val="20"/>
          <w:szCs w:val="20"/>
        </w:rPr>
        <w:t>;</w:t>
      </w:r>
      <w:r w:rsidR="00995077" w:rsidRPr="009D4923">
        <w:rPr>
          <w:bCs/>
          <w:color w:val="000000"/>
          <w:sz w:val="20"/>
          <w:szCs w:val="20"/>
        </w:rPr>
        <w:t xml:space="preserve"> Burnout</w:t>
      </w:r>
      <w:r w:rsidR="00995077">
        <w:rPr>
          <w:bCs/>
          <w:color w:val="000000"/>
          <w:sz w:val="20"/>
          <w:szCs w:val="20"/>
        </w:rPr>
        <w:t>;</w:t>
      </w:r>
      <w:r w:rsidR="00995077" w:rsidRPr="009D4923">
        <w:rPr>
          <w:bCs/>
          <w:color w:val="000000"/>
          <w:sz w:val="20"/>
          <w:szCs w:val="20"/>
        </w:rPr>
        <w:t xml:space="preserve"> Self-Efficacy Of Teachers</w:t>
      </w:r>
      <w:r w:rsidR="00995077">
        <w:rPr>
          <w:bCs/>
          <w:color w:val="000000"/>
          <w:sz w:val="20"/>
          <w:szCs w:val="20"/>
        </w:rPr>
        <w:t>;</w:t>
      </w:r>
      <w:r w:rsidR="00995077" w:rsidRPr="009D4923">
        <w:rPr>
          <w:bCs/>
          <w:color w:val="000000"/>
          <w:sz w:val="20"/>
          <w:szCs w:val="20"/>
        </w:rPr>
        <w:t xml:space="preserve"> Elementary Level Of Education</w:t>
      </w:r>
    </w:p>
    <w:p w14:paraId="68E7C6C9" w14:textId="77777777" w:rsidR="009D4923" w:rsidRDefault="009D4923" w:rsidP="009D4923">
      <w:pPr>
        <w:jc w:val="both"/>
        <w:rPr>
          <w:b/>
          <w:sz w:val="20"/>
          <w:szCs w:val="20"/>
        </w:rPr>
      </w:pPr>
    </w:p>
    <w:p w14:paraId="149575E9" w14:textId="27C26D4C" w:rsidR="00995077" w:rsidRDefault="00995077" w:rsidP="009D4923">
      <w:pPr>
        <w:jc w:val="both"/>
        <w:rPr>
          <w:b/>
          <w:sz w:val="20"/>
          <w:szCs w:val="20"/>
        </w:rPr>
        <w:sectPr w:rsidR="00995077" w:rsidSect="00995077">
          <w:headerReference w:type="default" r:id="rId10"/>
          <w:footerReference w:type="even" r:id="rId11"/>
          <w:footerReference w:type="default" r:id="rId12"/>
          <w:type w:val="continuous"/>
          <w:pgSz w:w="11909" w:h="16834" w:code="9"/>
          <w:pgMar w:top="1440" w:right="1440" w:bottom="1440" w:left="1440" w:header="720" w:footer="720" w:gutter="0"/>
          <w:pgNumType w:start="15"/>
          <w:cols w:space="720"/>
          <w:noEndnote/>
          <w:docGrid w:linePitch="326"/>
        </w:sectPr>
      </w:pPr>
    </w:p>
    <w:p w14:paraId="54D72D77" w14:textId="77777777" w:rsidR="00995077" w:rsidRDefault="00091CED" w:rsidP="009D4923">
      <w:pPr>
        <w:jc w:val="both"/>
        <w:rPr>
          <w:b/>
          <w:sz w:val="20"/>
          <w:szCs w:val="20"/>
        </w:rPr>
      </w:pPr>
      <w:r w:rsidRPr="009D4923">
        <w:rPr>
          <w:b/>
          <w:sz w:val="20"/>
          <w:szCs w:val="20"/>
        </w:rPr>
        <w:t>Introduction</w:t>
      </w:r>
      <w:r w:rsidR="009D4923">
        <w:rPr>
          <w:b/>
          <w:sz w:val="20"/>
          <w:szCs w:val="20"/>
        </w:rPr>
        <w:t xml:space="preserve">: </w:t>
      </w:r>
    </w:p>
    <w:p w14:paraId="44D92244" w14:textId="7E6487BF" w:rsidR="00932AF7" w:rsidRPr="009D4923" w:rsidRDefault="00932AF7" w:rsidP="009D4923">
      <w:pPr>
        <w:jc w:val="both"/>
        <w:rPr>
          <w:sz w:val="20"/>
          <w:szCs w:val="20"/>
        </w:rPr>
      </w:pPr>
      <w:r w:rsidRPr="009D4923">
        <w:rPr>
          <w:sz w:val="20"/>
          <w:szCs w:val="20"/>
        </w:rPr>
        <w:t>In this study, we took advantage of the design of TIMSS to examine key teacher characteristics (experience, education, and preparedness to teach) and teacher behaviors (instructional time and instructional content) and assessed how these were related to student outcomes using data collected for both grade four and grade eight during the multiple</w:t>
      </w:r>
      <w:r w:rsidR="00995077">
        <w:rPr>
          <w:sz w:val="20"/>
          <w:szCs w:val="20"/>
        </w:rPr>
        <w:t xml:space="preserve"> </w:t>
      </w:r>
      <w:r w:rsidRPr="009D4923">
        <w:rPr>
          <w:sz w:val="20"/>
          <w:szCs w:val="20"/>
        </w:rPr>
        <w:t xml:space="preserve">past cycles of TIMSS. We used national curriculum data collected by the TIMSS assessments to assess the relationship between teacher instruction and national curricular standards (e.g., instructional alignment) and educational outcomes with attention paid to overall and socioeconomic </w:t>
      </w:r>
      <w:proofErr w:type="gramStart"/>
      <w:r w:rsidRPr="009D4923">
        <w:rPr>
          <w:sz w:val="20"/>
          <w:szCs w:val="20"/>
        </w:rPr>
        <w:t>status based</w:t>
      </w:r>
      <w:proofErr w:type="gramEnd"/>
      <w:r w:rsidRPr="009D4923">
        <w:rPr>
          <w:sz w:val="20"/>
          <w:szCs w:val="20"/>
        </w:rPr>
        <w:t xml:space="preserve"> inequality at the student and country level. We explored the evolution of these associations over time using multiple methods, including regression, fixed effect, and structural equation modeling. We also paid close attention to the methodological complexities involved with using TIMSS data and their impact in examining the relationships between teacher measures and student outcomes. Our primary focus was student learning in mathematics. Although international assessments have also examined reading and science achievement, the research and hence presents a better example of the impact of schools and teachers on student outcomes because learning of mathematics takes place principally inside the classroom. Whereas students may be well exposed to reading, the use of language, or basic scientific concepts outside school, they tend to have much more limited exposure to </w:t>
      </w:r>
      <w:r w:rsidRPr="009D4923">
        <w:rPr>
          <w:sz w:val="20"/>
          <w:szCs w:val="20"/>
        </w:rPr>
        <w:t>mathematical concepts before they enter school (Sparks 2017).</w:t>
      </w:r>
    </w:p>
    <w:p w14:paraId="59047480" w14:textId="12E3E37A" w:rsidR="00FF3A2A" w:rsidRPr="009D4923" w:rsidRDefault="00932AF7" w:rsidP="009D4923">
      <w:pPr>
        <w:ind w:firstLine="720"/>
        <w:jc w:val="both"/>
        <w:rPr>
          <w:sz w:val="20"/>
          <w:szCs w:val="20"/>
        </w:rPr>
      </w:pPr>
      <w:r w:rsidRPr="009D4923">
        <w:rPr>
          <w:sz w:val="20"/>
          <w:szCs w:val="20"/>
        </w:rPr>
        <w:t xml:space="preserve">Our approach also enabled us to examine whether the significant cross-country variation in some of the observed associations (especially the relationships of teacher experience and teacher education with achievement) was more consistent within countries. Examining trends provides a means to evaluate the success of an education system in strengthening teacher quality, improving coherence, and reducing inequality. This report builds on an initial valuable exploration of these topics undertaken by Mullis et al. (2016), in which TIMSS trend data was used to demonstrate considerable national-level curriculum reform (leading to greater instructional coherence), strengthened teacher preparation requirements, a reduction in standard deviations in student performance, but little change in the amount of time devoted to teacher professional development or to mathematics instruction. The conceptual model that we used in this report builds on the work of </w:t>
      </w:r>
      <w:proofErr w:type="spellStart"/>
      <w:r w:rsidRPr="009D4923">
        <w:rPr>
          <w:sz w:val="20"/>
          <w:szCs w:val="20"/>
        </w:rPr>
        <w:t>Blomeke</w:t>
      </w:r>
      <w:proofErr w:type="spellEnd"/>
      <w:r w:rsidRPr="009D4923">
        <w:rPr>
          <w:sz w:val="20"/>
          <w:szCs w:val="20"/>
        </w:rPr>
        <w:t xml:space="preserve"> et al. (2016), who applied a structural equation modeling approach to the TIMSS 2011 data, analyzing each country separately. Their model included teacher observable characteristics (years of experience, college major, and specialization), professional development (participation in broad mathematics instruction professional development, specific mathematics instruction professional student achievement. The relationship of these predictors with student outcomes are mediated by </w:t>
      </w:r>
      <w:r w:rsidRPr="009D4923">
        <w:rPr>
          <w:sz w:val="20"/>
          <w:szCs w:val="20"/>
        </w:rPr>
        <w:lastRenderedPageBreak/>
        <w:t xml:space="preserve">instructional quality, operationalized as a latent variable derived from clarity of instruction, supportive climate, and cognitive activation indicators. </w:t>
      </w:r>
    </w:p>
    <w:p w14:paraId="1AF63EA0" w14:textId="77777777" w:rsidR="00FF3A2A" w:rsidRPr="009D4923" w:rsidRDefault="00FF3A2A" w:rsidP="009D4923">
      <w:pPr>
        <w:jc w:val="both"/>
        <w:rPr>
          <w:b/>
          <w:bCs/>
          <w:sz w:val="20"/>
          <w:szCs w:val="20"/>
        </w:rPr>
      </w:pPr>
      <w:r w:rsidRPr="009D4923">
        <w:rPr>
          <w:b/>
          <w:bCs/>
          <w:sz w:val="20"/>
          <w:szCs w:val="20"/>
        </w:rPr>
        <w:t>Review of Literature</w:t>
      </w:r>
    </w:p>
    <w:p w14:paraId="73CD37B8" w14:textId="77777777" w:rsidR="00932AF7" w:rsidRPr="009D4923" w:rsidRDefault="00932AF7" w:rsidP="009D4923">
      <w:pPr>
        <w:jc w:val="both"/>
        <w:rPr>
          <w:sz w:val="20"/>
          <w:szCs w:val="20"/>
        </w:rPr>
      </w:pPr>
      <w:proofErr w:type="spellStart"/>
      <w:r w:rsidRPr="009D4923">
        <w:rPr>
          <w:sz w:val="20"/>
          <w:szCs w:val="20"/>
        </w:rPr>
        <w:t>Blomeke</w:t>
      </w:r>
      <w:proofErr w:type="spellEnd"/>
      <w:r w:rsidRPr="009D4923">
        <w:rPr>
          <w:sz w:val="20"/>
          <w:szCs w:val="20"/>
        </w:rPr>
        <w:t xml:space="preserve"> et al. (2016) also controlled for student gender and books in the home in their analysis. While our model is based on the </w:t>
      </w:r>
      <w:proofErr w:type="spellStart"/>
      <w:r w:rsidRPr="009D4923">
        <w:rPr>
          <w:sz w:val="20"/>
          <w:szCs w:val="20"/>
        </w:rPr>
        <w:t>Blomeke</w:t>
      </w:r>
      <w:proofErr w:type="spellEnd"/>
      <w:r w:rsidRPr="009D4923">
        <w:rPr>
          <w:sz w:val="20"/>
          <w:szCs w:val="20"/>
        </w:rPr>
        <w:t xml:space="preserve"> model, we incorporated several additional components. </w:t>
      </w:r>
      <w:proofErr w:type="spellStart"/>
      <w:r w:rsidRPr="009D4923">
        <w:rPr>
          <w:sz w:val="20"/>
          <w:szCs w:val="20"/>
        </w:rPr>
        <w:t>Blomeke</w:t>
      </w:r>
      <w:proofErr w:type="spellEnd"/>
      <w:r w:rsidRPr="009D4923">
        <w:rPr>
          <w:sz w:val="20"/>
          <w:szCs w:val="20"/>
        </w:rPr>
        <w:t xml:space="preserve"> et al. (2016) noted a weak relationship between instructional quality and student outcomes.</w:t>
      </w:r>
    </w:p>
    <w:p w14:paraId="22DF8582" w14:textId="61A2543D" w:rsidR="00932AF7" w:rsidRPr="009D4923" w:rsidRDefault="00932AF7" w:rsidP="009D4923">
      <w:pPr>
        <w:ind w:firstLine="720"/>
        <w:jc w:val="both"/>
        <w:rPr>
          <w:sz w:val="20"/>
          <w:szCs w:val="20"/>
        </w:rPr>
      </w:pPr>
      <w:r w:rsidRPr="009D4923">
        <w:rPr>
          <w:sz w:val="20"/>
          <w:szCs w:val="20"/>
        </w:rPr>
        <w:t>Researchers agree that teachers are one of the most important school-based</w:t>
      </w:r>
      <w:r w:rsidR="00995077">
        <w:rPr>
          <w:sz w:val="20"/>
          <w:szCs w:val="20"/>
        </w:rPr>
        <w:t xml:space="preserve"> </w:t>
      </w:r>
      <w:r w:rsidRPr="009D4923">
        <w:rPr>
          <w:sz w:val="20"/>
          <w:szCs w:val="20"/>
        </w:rPr>
        <w:t xml:space="preserve">resources in determining students’ future academic success and lifetime outcomes (Chetty et al. 2014; Rivkin et al. 2005; Rockoff 2004). As a consequence, there has been a strong emphasis on improving teacher effectiveness as a means to enhancing student learning. </w:t>
      </w:r>
      <w:proofErr w:type="spellStart"/>
      <w:r w:rsidRPr="009D4923">
        <w:rPr>
          <w:sz w:val="20"/>
          <w:szCs w:val="20"/>
        </w:rPr>
        <w:t>Goe</w:t>
      </w:r>
      <w:proofErr w:type="spellEnd"/>
      <w:r w:rsidRPr="009D4923">
        <w:rPr>
          <w:sz w:val="20"/>
          <w:szCs w:val="20"/>
        </w:rPr>
        <w:t xml:space="preserve"> (2007), among others, defined teacher effectiveness in terms of growth in student learning, typically measured by student standardized assessment results. Chetty et al. (2014) found that students taught by highly effective teachers, as defined by</w:t>
      </w:r>
      <w:r w:rsidR="00995077">
        <w:rPr>
          <w:sz w:val="20"/>
          <w:szCs w:val="20"/>
        </w:rPr>
        <w:t xml:space="preserve"> </w:t>
      </w:r>
      <w:r w:rsidRPr="009D4923">
        <w:rPr>
          <w:sz w:val="20"/>
          <w:szCs w:val="20"/>
        </w:rPr>
        <w:t>the student growth percentile (SGPs) and value-added measures (VAMs), were more likely to attend college, earn more, live in higher-income neighborhoods, save more money for retirement, and were less likely to have children during their teenage years. This potential of a highly effective teacher to significantly enhance the lives of their students makes it essential that researchers and policymakers properly understand</w:t>
      </w:r>
      <w:r w:rsidR="00995077">
        <w:rPr>
          <w:sz w:val="20"/>
          <w:szCs w:val="20"/>
        </w:rPr>
        <w:t xml:space="preserve"> </w:t>
      </w:r>
      <w:r w:rsidRPr="009D4923">
        <w:rPr>
          <w:sz w:val="20"/>
          <w:szCs w:val="20"/>
        </w:rPr>
        <w:t>the</w:t>
      </w:r>
      <w:r w:rsidR="00995077">
        <w:rPr>
          <w:sz w:val="20"/>
          <w:szCs w:val="20"/>
        </w:rPr>
        <w:t xml:space="preserve"> </w:t>
      </w:r>
      <w:r w:rsidRPr="009D4923">
        <w:rPr>
          <w:sz w:val="20"/>
          <w:szCs w:val="20"/>
        </w:rPr>
        <w:t>factors</w:t>
      </w:r>
      <w:r w:rsidR="00995077">
        <w:rPr>
          <w:sz w:val="20"/>
          <w:szCs w:val="20"/>
        </w:rPr>
        <w:t xml:space="preserve"> </w:t>
      </w:r>
      <w:r w:rsidRPr="009D4923">
        <w:rPr>
          <w:sz w:val="20"/>
          <w:szCs w:val="20"/>
        </w:rPr>
        <w:t>that</w:t>
      </w:r>
      <w:r w:rsidR="00995077">
        <w:rPr>
          <w:sz w:val="20"/>
          <w:szCs w:val="20"/>
        </w:rPr>
        <w:t xml:space="preserve"> </w:t>
      </w:r>
      <w:r w:rsidRPr="009D4923">
        <w:rPr>
          <w:sz w:val="20"/>
          <w:szCs w:val="20"/>
        </w:rPr>
        <w:t>contribute</w:t>
      </w:r>
      <w:r w:rsidR="00995077">
        <w:rPr>
          <w:sz w:val="20"/>
          <w:szCs w:val="20"/>
        </w:rPr>
        <w:t xml:space="preserve"> </w:t>
      </w:r>
      <w:r w:rsidRPr="009D4923">
        <w:rPr>
          <w:sz w:val="20"/>
          <w:szCs w:val="20"/>
        </w:rPr>
        <w:t>to</w:t>
      </w:r>
      <w:r w:rsidR="00995077">
        <w:rPr>
          <w:sz w:val="20"/>
          <w:szCs w:val="20"/>
        </w:rPr>
        <w:t xml:space="preserve"> </w:t>
      </w:r>
      <w:r w:rsidRPr="009D4923">
        <w:rPr>
          <w:sz w:val="20"/>
          <w:szCs w:val="20"/>
        </w:rPr>
        <w:t>a</w:t>
      </w:r>
      <w:r w:rsidR="00995077">
        <w:rPr>
          <w:sz w:val="20"/>
          <w:szCs w:val="20"/>
        </w:rPr>
        <w:t xml:space="preserve"> </w:t>
      </w:r>
      <w:r w:rsidRPr="009D4923">
        <w:rPr>
          <w:sz w:val="20"/>
          <w:szCs w:val="20"/>
        </w:rPr>
        <w:t>teacher’s</w:t>
      </w:r>
      <w:r w:rsidR="00995077">
        <w:rPr>
          <w:sz w:val="20"/>
          <w:szCs w:val="20"/>
        </w:rPr>
        <w:t xml:space="preserve"> </w:t>
      </w:r>
      <w:r w:rsidRPr="009D4923">
        <w:rPr>
          <w:sz w:val="20"/>
          <w:szCs w:val="20"/>
        </w:rPr>
        <w:t>effectiveness.</w:t>
      </w:r>
      <w:r w:rsidR="00995077">
        <w:rPr>
          <w:sz w:val="20"/>
          <w:szCs w:val="20"/>
        </w:rPr>
        <w:t xml:space="preserve"> </w:t>
      </w:r>
      <w:r w:rsidRPr="009D4923">
        <w:rPr>
          <w:sz w:val="20"/>
          <w:szCs w:val="20"/>
        </w:rPr>
        <w:t>However,</w:t>
      </w:r>
      <w:r w:rsidR="00995077">
        <w:rPr>
          <w:sz w:val="20"/>
          <w:szCs w:val="20"/>
        </w:rPr>
        <w:t xml:space="preserve"> </w:t>
      </w:r>
      <w:r w:rsidRPr="009D4923">
        <w:rPr>
          <w:sz w:val="20"/>
          <w:szCs w:val="20"/>
        </w:rPr>
        <w:t>as</w:t>
      </w:r>
      <w:r w:rsidR="00995077">
        <w:rPr>
          <w:sz w:val="20"/>
          <w:szCs w:val="20"/>
        </w:rPr>
        <w:t xml:space="preserve"> </w:t>
      </w:r>
      <w:r w:rsidRPr="009D4923">
        <w:rPr>
          <w:sz w:val="20"/>
          <w:szCs w:val="20"/>
        </w:rPr>
        <w:t>we</w:t>
      </w:r>
      <w:r w:rsidR="00995077">
        <w:rPr>
          <w:sz w:val="20"/>
          <w:szCs w:val="20"/>
        </w:rPr>
        <w:t xml:space="preserve"> </w:t>
      </w:r>
      <w:r w:rsidRPr="009D4923">
        <w:rPr>
          <w:sz w:val="20"/>
          <w:szCs w:val="20"/>
        </w:rPr>
        <w:t>will discuss in more detail later in this report, studies have found mixed results regarding the relationships between specific teacher characteristics and student achievement (Wayne</w:t>
      </w:r>
      <w:r w:rsidR="00995077">
        <w:rPr>
          <w:sz w:val="20"/>
          <w:szCs w:val="20"/>
        </w:rPr>
        <w:t xml:space="preserve"> </w:t>
      </w:r>
      <w:r w:rsidRPr="009D4923">
        <w:rPr>
          <w:sz w:val="20"/>
          <w:szCs w:val="20"/>
        </w:rPr>
        <w:t>and</w:t>
      </w:r>
      <w:r w:rsidR="00995077">
        <w:rPr>
          <w:sz w:val="20"/>
          <w:szCs w:val="20"/>
        </w:rPr>
        <w:t xml:space="preserve"> </w:t>
      </w:r>
      <w:r w:rsidRPr="009D4923">
        <w:rPr>
          <w:sz w:val="20"/>
          <w:szCs w:val="20"/>
        </w:rPr>
        <w:t>Youngs</w:t>
      </w:r>
      <w:r w:rsidR="00995077">
        <w:rPr>
          <w:sz w:val="20"/>
          <w:szCs w:val="20"/>
        </w:rPr>
        <w:t xml:space="preserve"> </w:t>
      </w:r>
      <w:r w:rsidRPr="009D4923">
        <w:rPr>
          <w:sz w:val="20"/>
          <w:szCs w:val="20"/>
        </w:rPr>
        <w:t>2003).</w:t>
      </w:r>
      <w:r w:rsidR="00995077">
        <w:rPr>
          <w:sz w:val="20"/>
          <w:szCs w:val="20"/>
        </w:rPr>
        <w:t xml:space="preserve"> </w:t>
      </w:r>
      <w:r w:rsidRPr="009D4923">
        <w:rPr>
          <w:sz w:val="20"/>
          <w:szCs w:val="20"/>
        </w:rPr>
        <w:t>In</w:t>
      </w:r>
      <w:r w:rsidR="00995077">
        <w:rPr>
          <w:sz w:val="20"/>
          <w:szCs w:val="20"/>
        </w:rPr>
        <w:t xml:space="preserve"> </w:t>
      </w:r>
      <w:r w:rsidRPr="009D4923">
        <w:rPr>
          <w:sz w:val="20"/>
          <w:szCs w:val="20"/>
        </w:rPr>
        <w:t>this</w:t>
      </w:r>
      <w:r w:rsidR="00995077">
        <w:rPr>
          <w:sz w:val="20"/>
          <w:szCs w:val="20"/>
        </w:rPr>
        <w:t xml:space="preserve"> </w:t>
      </w:r>
      <w:r w:rsidRPr="009D4923">
        <w:rPr>
          <w:sz w:val="20"/>
          <w:szCs w:val="20"/>
        </w:rPr>
        <w:t>chapter,</w:t>
      </w:r>
      <w:r w:rsidR="00995077">
        <w:rPr>
          <w:sz w:val="20"/>
          <w:szCs w:val="20"/>
        </w:rPr>
        <w:t xml:space="preserve"> </w:t>
      </w:r>
      <w:r w:rsidRPr="009D4923">
        <w:rPr>
          <w:sz w:val="20"/>
          <w:szCs w:val="20"/>
        </w:rPr>
        <w:t>we</w:t>
      </w:r>
      <w:r w:rsidR="00995077">
        <w:rPr>
          <w:sz w:val="20"/>
          <w:szCs w:val="20"/>
        </w:rPr>
        <w:t xml:space="preserve"> </w:t>
      </w:r>
      <w:r w:rsidRPr="009D4923">
        <w:rPr>
          <w:sz w:val="20"/>
          <w:szCs w:val="20"/>
        </w:rPr>
        <w:t>explore</w:t>
      </w:r>
      <w:r w:rsidR="00995077">
        <w:rPr>
          <w:sz w:val="20"/>
          <w:szCs w:val="20"/>
        </w:rPr>
        <w:t xml:space="preserve"> </w:t>
      </w:r>
      <w:r w:rsidRPr="009D4923">
        <w:rPr>
          <w:sz w:val="20"/>
          <w:szCs w:val="20"/>
        </w:rPr>
        <w:t>these</w:t>
      </w:r>
      <w:r w:rsidR="00995077">
        <w:rPr>
          <w:sz w:val="20"/>
          <w:szCs w:val="20"/>
        </w:rPr>
        <w:t xml:space="preserve"> </w:t>
      </w:r>
      <w:r w:rsidRPr="009D4923">
        <w:rPr>
          <w:sz w:val="20"/>
          <w:szCs w:val="20"/>
        </w:rPr>
        <w:t>findings,</w:t>
      </w:r>
      <w:r w:rsidR="00995077">
        <w:rPr>
          <w:sz w:val="20"/>
          <w:szCs w:val="20"/>
        </w:rPr>
        <w:t xml:space="preserve"> </w:t>
      </w:r>
      <w:r w:rsidRPr="009D4923">
        <w:rPr>
          <w:sz w:val="20"/>
          <w:szCs w:val="20"/>
        </w:rPr>
        <w:t>focusing</w:t>
      </w:r>
      <w:r w:rsidR="00995077">
        <w:rPr>
          <w:sz w:val="20"/>
          <w:szCs w:val="20"/>
        </w:rPr>
        <w:t xml:space="preserve"> </w:t>
      </w:r>
      <w:r w:rsidRPr="009D4923">
        <w:rPr>
          <w:sz w:val="20"/>
          <w:szCs w:val="20"/>
        </w:rPr>
        <w:t>on</w:t>
      </w:r>
      <w:r w:rsidR="00995077">
        <w:rPr>
          <w:sz w:val="20"/>
          <w:szCs w:val="20"/>
        </w:rPr>
        <w:t xml:space="preserve"> </w:t>
      </w:r>
      <w:r w:rsidRPr="009D4923">
        <w:rPr>
          <w:sz w:val="20"/>
          <w:szCs w:val="20"/>
        </w:rPr>
        <w:t>the three main</w:t>
      </w:r>
      <w:r w:rsidR="00995077">
        <w:rPr>
          <w:sz w:val="20"/>
          <w:szCs w:val="20"/>
        </w:rPr>
        <w:t xml:space="preserve"> </w:t>
      </w:r>
      <w:r w:rsidRPr="009D4923">
        <w:rPr>
          <w:sz w:val="20"/>
          <w:szCs w:val="20"/>
        </w:rPr>
        <w:t>categories of</w:t>
      </w:r>
      <w:r w:rsidR="00995077">
        <w:rPr>
          <w:sz w:val="20"/>
          <w:szCs w:val="20"/>
        </w:rPr>
        <w:t xml:space="preserve"> </w:t>
      </w:r>
      <w:r w:rsidRPr="009D4923">
        <w:rPr>
          <w:sz w:val="20"/>
          <w:szCs w:val="20"/>
        </w:rPr>
        <w:t>teacher effectiveness identified and examined</w:t>
      </w:r>
      <w:r w:rsidR="00995077">
        <w:rPr>
          <w:sz w:val="20"/>
          <w:szCs w:val="20"/>
        </w:rPr>
        <w:t xml:space="preserve"> </w:t>
      </w:r>
      <w:r w:rsidRPr="009D4923">
        <w:rPr>
          <w:sz w:val="20"/>
          <w:szCs w:val="20"/>
        </w:rPr>
        <w:t>in</w:t>
      </w:r>
      <w:r w:rsidR="00995077">
        <w:rPr>
          <w:sz w:val="20"/>
          <w:szCs w:val="20"/>
        </w:rPr>
        <w:t xml:space="preserve"> </w:t>
      </w:r>
      <w:r w:rsidRPr="009D4923">
        <w:rPr>
          <w:sz w:val="20"/>
          <w:szCs w:val="20"/>
        </w:rPr>
        <w:t>the</w:t>
      </w:r>
      <w:r w:rsidR="00995077">
        <w:rPr>
          <w:sz w:val="20"/>
          <w:szCs w:val="20"/>
        </w:rPr>
        <w:t xml:space="preserve"> </w:t>
      </w:r>
      <w:r w:rsidRPr="009D4923">
        <w:rPr>
          <w:sz w:val="20"/>
          <w:szCs w:val="20"/>
        </w:rPr>
        <w:t>research literature: namely,</w:t>
      </w:r>
      <w:r w:rsidR="00995077">
        <w:rPr>
          <w:sz w:val="20"/>
          <w:szCs w:val="20"/>
        </w:rPr>
        <w:t xml:space="preserve"> </w:t>
      </w:r>
      <w:r w:rsidRPr="009D4923">
        <w:rPr>
          <w:sz w:val="20"/>
          <w:szCs w:val="20"/>
        </w:rPr>
        <w:t>teacher</w:t>
      </w:r>
      <w:r w:rsidR="00995077">
        <w:rPr>
          <w:sz w:val="20"/>
          <w:szCs w:val="20"/>
        </w:rPr>
        <w:t xml:space="preserve"> </w:t>
      </w:r>
      <w:r w:rsidRPr="009D4923">
        <w:rPr>
          <w:sz w:val="20"/>
          <w:szCs w:val="20"/>
        </w:rPr>
        <w:t>experience,</w:t>
      </w:r>
      <w:r w:rsidR="00995077">
        <w:rPr>
          <w:sz w:val="20"/>
          <w:szCs w:val="20"/>
        </w:rPr>
        <w:t xml:space="preserve"> </w:t>
      </w:r>
      <w:r w:rsidRPr="009D4923">
        <w:rPr>
          <w:sz w:val="20"/>
          <w:szCs w:val="20"/>
        </w:rPr>
        <w:t>teacher</w:t>
      </w:r>
      <w:r w:rsidR="00995077">
        <w:rPr>
          <w:sz w:val="20"/>
          <w:szCs w:val="20"/>
        </w:rPr>
        <w:t xml:space="preserve"> </w:t>
      </w:r>
      <w:r w:rsidRPr="009D4923">
        <w:rPr>
          <w:sz w:val="20"/>
          <w:szCs w:val="20"/>
        </w:rPr>
        <w:t>knowledge,</w:t>
      </w:r>
      <w:r w:rsidR="00995077">
        <w:rPr>
          <w:sz w:val="20"/>
          <w:szCs w:val="20"/>
        </w:rPr>
        <w:t xml:space="preserve"> </w:t>
      </w:r>
      <w:r w:rsidRPr="009D4923">
        <w:rPr>
          <w:sz w:val="20"/>
          <w:szCs w:val="20"/>
        </w:rPr>
        <w:t>and</w:t>
      </w:r>
      <w:r w:rsidR="00995077">
        <w:rPr>
          <w:sz w:val="20"/>
          <w:szCs w:val="20"/>
        </w:rPr>
        <w:t xml:space="preserve"> </w:t>
      </w:r>
      <w:r w:rsidRPr="009D4923">
        <w:rPr>
          <w:sz w:val="20"/>
          <w:szCs w:val="20"/>
        </w:rPr>
        <w:t>teacher</w:t>
      </w:r>
      <w:r w:rsidR="00995077">
        <w:rPr>
          <w:sz w:val="20"/>
          <w:szCs w:val="20"/>
        </w:rPr>
        <w:t xml:space="preserve"> </w:t>
      </w:r>
      <w:r w:rsidRPr="009D4923">
        <w:rPr>
          <w:sz w:val="20"/>
          <w:szCs w:val="20"/>
        </w:rPr>
        <w:t>behavior.</w:t>
      </w:r>
      <w:r w:rsidR="00995077">
        <w:rPr>
          <w:sz w:val="20"/>
          <w:szCs w:val="20"/>
        </w:rPr>
        <w:t xml:space="preserve"> </w:t>
      </w:r>
      <w:r w:rsidRPr="009D4923">
        <w:rPr>
          <w:sz w:val="20"/>
          <w:szCs w:val="20"/>
        </w:rPr>
        <w:t>Here we emphasize that much of the existing body of research is based on studies from the United States, and so the applicability of such national research to other contexts remains open to discussion.</w:t>
      </w:r>
    </w:p>
    <w:p w14:paraId="741182D9" w14:textId="3D00C56A" w:rsidR="00932AF7" w:rsidRPr="009D4923" w:rsidRDefault="00932AF7" w:rsidP="009D4923">
      <w:pPr>
        <w:ind w:firstLine="720"/>
        <w:jc w:val="both"/>
        <w:rPr>
          <w:sz w:val="20"/>
          <w:szCs w:val="20"/>
        </w:rPr>
      </w:pPr>
      <w:r w:rsidRPr="009D4923">
        <w:rPr>
          <w:sz w:val="20"/>
          <w:szCs w:val="20"/>
        </w:rPr>
        <w:t>Teacher experience refers to the number of years that a teacher has worked as a classroom teacher. Many studies show a positive relationship between teacher experiences and student achievement (Wayne and Youngs 2003). For example, using data from4000teachers in</w:t>
      </w:r>
      <w:r w:rsidR="00995077">
        <w:rPr>
          <w:sz w:val="20"/>
          <w:szCs w:val="20"/>
        </w:rPr>
        <w:t xml:space="preserve"> </w:t>
      </w:r>
      <w:r w:rsidRPr="009D4923">
        <w:rPr>
          <w:sz w:val="20"/>
          <w:szCs w:val="20"/>
        </w:rPr>
        <w:t>North</w:t>
      </w:r>
      <w:r w:rsidR="00995077">
        <w:rPr>
          <w:sz w:val="20"/>
          <w:szCs w:val="20"/>
        </w:rPr>
        <w:t xml:space="preserve"> </w:t>
      </w:r>
      <w:r w:rsidRPr="009D4923">
        <w:rPr>
          <w:sz w:val="20"/>
          <w:szCs w:val="20"/>
        </w:rPr>
        <w:t xml:space="preserve">Carolina, researchers found that teacher experience was positively related to student achievement in both reading and mathematics (Clotfelter et al. 2006). Rice (2003) found that the relationship between teacher experience and student achievement was most pronounced for students at the secondary level. Additional work in schools in the United States by </w:t>
      </w:r>
      <w:proofErr w:type="spellStart"/>
      <w:r w:rsidRPr="009D4923">
        <w:rPr>
          <w:sz w:val="20"/>
          <w:szCs w:val="20"/>
        </w:rPr>
        <w:t>Wiswall</w:t>
      </w:r>
      <w:proofErr w:type="spellEnd"/>
      <w:r w:rsidRPr="009D4923">
        <w:rPr>
          <w:sz w:val="20"/>
          <w:szCs w:val="20"/>
        </w:rPr>
        <w:t xml:space="preserve"> (2013), </w:t>
      </w:r>
      <w:proofErr w:type="spellStart"/>
      <w:r w:rsidRPr="009D4923">
        <w:rPr>
          <w:sz w:val="20"/>
          <w:szCs w:val="20"/>
        </w:rPr>
        <w:t>Papay</w:t>
      </w:r>
      <w:proofErr w:type="spellEnd"/>
      <w:r w:rsidRPr="009D4923">
        <w:rPr>
          <w:sz w:val="20"/>
          <w:szCs w:val="20"/>
        </w:rPr>
        <w:t xml:space="preserve"> and </w:t>
      </w:r>
      <w:r w:rsidRPr="009D4923">
        <w:rPr>
          <w:sz w:val="20"/>
          <w:szCs w:val="20"/>
        </w:rPr>
        <w:t>Kraft (2015), and Ladd and Sorenson (2017), and a Dutch twin study by Gerritsen et al. (2014), also indicated that teacher experience had a cumulative effect on student outcomes. Meanwhile, other studies have failed to identify consistent and statistically significant associations between student achievement and teacher experience (</w:t>
      </w:r>
      <w:proofErr w:type="spellStart"/>
      <w:r w:rsidRPr="009D4923">
        <w:rPr>
          <w:sz w:val="20"/>
          <w:szCs w:val="20"/>
        </w:rPr>
        <w:t>Blomeke</w:t>
      </w:r>
      <w:proofErr w:type="spellEnd"/>
      <w:r w:rsidRPr="009D4923">
        <w:rPr>
          <w:sz w:val="20"/>
          <w:szCs w:val="20"/>
        </w:rPr>
        <w:t xml:space="preserve"> et al. 2016; </w:t>
      </w:r>
      <w:proofErr w:type="spellStart"/>
      <w:r w:rsidRPr="009D4923">
        <w:rPr>
          <w:sz w:val="20"/>
          <w:szCs w:val="20"/>
        </w:rPr>
        <w:t>Gustaffsson</w:t>
      </w:r>
      <w:proofErr w:type="spellEnd"/>
      <w:r w:rsidRPr="009D4923">
        <w:rPr>
          <w:sz w:val="20"/>
          <w:szCs w:val="20"/>
        </w:rPr>
        <w:t xml:space="preserve"> and </w:t>
      </w:r>
      <w:proofErr w:type="spellStart"/>
      <w:r w:rsidRPr="009D4923">
        <w:rPr>
          <w:sz w:val="20"/>
          <w:szCs w:val="20"/>
        </w:rPr>
        <w:t>Nilson</w:t>
      </w:r>
      <w:proofErr w:type="spellEnd"/>
      <w:r w:rsidRPr="009D4923">
        <w:rPr>
          <w:sz w:val="20"/>
          <w:szCs w:val="20"/>
        </w:rPr>
        <w:t xml:space="preserve"> 2016; Hanushek and </w:t>
      </w:r>
      <w:proofErr w:type="spellStart"/>
      <w:r w:rsidRPr="009D4923">
        <w:rPr>
          <w:sz w:val="20"/>
          <w:szCs w:val="20"/>
        </w:rPr>
        <w:t>Luque</w:t>
      </w:r>
      <w:proofErr w:type="spellEnd"/>
      <w:r w:rsidRPr="009D4923">
        <w:rPr>
          <w:sz w:val="20"/>
          <w:szCs w:val="20"/>
        </w:rPr>
        <w:t xml:space="preserve"> 2003; </w:t>
      </w:r>
      <w:proofErr w:type="spellStart"/>
      <w:r w:rsidRPr="009D4923">
        <w:rPr>
          <w:sz w:val="20"/>
          <w:szCs w:val="20"/>
        </w:rPr>
        <w:t>Luschei</w:t>
      </w:r>
      <w:proofErr w:type="spellEnd"/>
      <w:r w:rsidRPr="009D4923">
        <w:rPr>
          <w:sz w:val="20"/>
          <w:szCs w:val="20"/>
        </w:rPr>
        <w:t xml:space="preserve"> and </w:t>
      </w:r>
      <w:proofErr w:type="spellStart"/>
      <w:r w:rsidRPr="009D4923">
        <w:rPr>
          <w:sz w:val="20"/>
          <w:szCs w:val="20"/>
        </w:rPr>
        <w:t>Chudgar</w:t>
      </w:r>
      <w:proofErr w:type="spellEnd"/>
      <w:r w:rsidRPr="009D4923">
        <w:rPr>
          <w:sz w:val="20"/>
          <w:szCs w:val="20"/>
        </w:rPr>
        <w:t xml:space="preserve"> 2011; Wilson and </w:t>
      </w:r>
      <w:proofErr w:type="spellStart"/>
      <w:r w:rsidRPr="009D4923">
        <w:rPr>
          <w:sz w:val="20"/>
          <w:szCs w:val="20"/>
        </w:rPr>
        <w:t>Floden</w:t>
      </w:r>
      <w:proofErr w:type="spellEnd"/>
      <w:r w:rsidRPr="009D4923">
        <w:rPr>
          <w:sz w:val="20"/>
          <w:szCs w:val="20"/>
        </w:rPr>
        <w:t xml:space="preserve"> 2003). Some research from the United States has indicated that experience matters very much early on in a teacher’s career, but that, in later years, there were little to no additional gains (Boyd et al. 2006; Rivkin et al. 2005; </w:t>
      </w:r>
      <w:proofErr w:type="spellStart"/>
      <w:r w:rsidRPr="009D4923">
        <w:rPr>
          <w:sz w:val="20"/>
          <w:szCs w:val="20"/>
        </w:rPr>
        <w:t>Staiger</w:t>
      </w:r>
      <w:proofErr w:type="spellEnd"/>
      <w:r w:rsidRPr="009D4923">
        <w:rPr>
          <w:sz w:val="20"/>
          <w:szCs w:val="20"/>
        </w:rPr>
        <w:t xml:space="preserve"> and Rockoff 2010). In the first few years of a teacher’s career, accruing more years of experience seems to be more strongly related to student achievement (Rice 2003). Rockoff (2004) found that, when comparing teacher effectiveness (understood as value-added) to student test scores in reading and mathematics, teacher experience was positively related to student mathematics achievement; however, such positive relationships leveled off after teachers had gained two years of teaching experience. Drawing on data collected from teachers of grades four to eight between 2000</w:t>
      </w:r>
      <w:r w:rsidR="00995077">
        <w:rPr>
          <w:sz w:val="20"/>
          <w:szCs w:val="20"/>
        </w:rPr>
        <w:t xml:space="preserve"> </w:t>
      </w:r>
      <w:r w:rsidRPr="009D4923">
        <w:rPr>
          <w:sz w:val="20"/>
          <w:szCs w:val="20"/>
        </w:rPr>
        <w:t>and</w:t>
      </w:r>
      <w:r w:rsidR="00995077">
        <w:rPr>
          <w:sz w:val="20"/>
          <w:szCs w:val="20"/>
        </w:rPr>
        <w:t xml:space="preserve"> </w:t>
      </w:r>
      <w:r w:rsidRPr="009D4923">
        <w:rPr>
          <w:sz w:val="20"/>
          <w:szCs w:val="20"/>
        </w:rPr>
        <w:t>2008</w:t>
      </w:r>
      <w:r w:rsidR="00995077">
        <w:rPr>
          <w:sz w:val="20"/>
          <w:szCs w:val="20"/>
        </w:rPr>
        <w:t xml:space="preserve"> </w:t>
      </w:r>
      <w:r w:rsidRPr="009D4923">
        <w:rPr>
          <w:sz w:val="20"/>
          <w:szCs w:val="20"/>
        </w:rPr>
        <w:t>within</w:t>
      </w:r>
      <w:r w:rsidR="00995077">
        <w:rPr>
          <w:sz w:val="20"/>
          <w:szCs w:val="20"/>
        </w:rPr>
        <w:t xml:space="preserve"> </w:t>
      </w:r>
      <w:r w:rsidRPr="009D4923">
        <w:rPr>
          <w:sz w:val="20"/>
          <w:szCs w:val="20"/>
        </w:rPr>
        <w:t>a</w:t>
      </w:r>
      <w:r w:rsidR="00995077">
        <w:rPr>
          <w:sz w:val="20"/>
          <w:szCs w:val="20"/>
        </w:rPr>
        <w:t xml:space="preserve"> </w:t>
      </w:r>
      <w:r w:rsidRPr="009D4923">
        <w:rPr>
          <w:sz w:val="20"/>
          <w:szCs w:val="20"/>
        </w:rPr>
        <w:t>large</w:t>
      </w:r>
      <w:r w:rsidR="00995077">
        <w:rPr>
          <w:sz w:val="20"/>
          <w:szCs w:val="20"/>
        </w:rPr>
        <w:t xml:space="preserve"> </w:t>
      </w:r>
      <w:r w:rsidRPr="009D4923">
        <w:rPr>
          <w:sz w:val="20"/>
          <w:szCs w:val="20"/>
        </w:rPr>
        <w:t>urban</w:t>
      </w:r>
      <w:r w:rsidR="00995077">
        <w:rPr>
          <w:sz w:val="20"/>
          <w:szCs w:val="20"/>
        </w:rPr>
        <w:t xml:space="preserve"> </w:t>
      </w:r>
      <w:r w:rsidRPr="009D4923">
        <w:rPr>
          <w:sz w:val="20"/>
          <w:szCs w:val="20"/>
        </w:rPr>
        <w:t>school</w:t>
      </w:r>
      <w:r w:rsidR="00995077">
        <w:rPr>
          <w:sz w:val="20"/>
          <w:szCs w:val="20"/>
        </w:rPr>
        <w:t xml:space="preserve"> </w:t>
      </w:r>
      <w:r w:rsidRPr="009D4923">
        <w:rPr>
          <w:sz w:val="20"/>
          <w:szCs w:val="20"/>
        </w:rPr>
        <w:t>district in</w:t>
      </w:r>
      <w:r w:rsidR="00995077">
        <w:rPr>
          <w:sz w:val="20"/>
          <w:szCs w:val="20"/>
        </w:rPr>
        <w:t xml:space="preserve"> </w:t>
      </w:r>
      <w:r w:rsidRPr="009D4923">
        <w:rPr>
          <w:sz w:val="20"/>
          <w:szCs w:val="20"/>
        </w:rPr>
        <w:t xml:space="preserve">the United States, </w:t>
      </w:r>
      <w:proofErr w:type="spellStart"/>
      <w:r w:rsidRPr="009D4923">
        <w:rPr>
          <w:sz w:val="20"/>
          <w:szCs w:val="20"/>
        </w:rPr>
        <w:t>Papay</w:t>
      </w:r>
      <w:proofErr w:type="spellEnd"/>
      <w:r w:rsidRPr="009D4923">
        <w:rPr>
          <w:sz w:val="20"/>
          <w:szCs w:val="20"/>
        </w:rPr>
        <w:t xml:space="preserve"> and Kraft (2015) confirmed previous research on the benefits experience can add to a novice teacher’s career. They found that student outcomes increased most rapidly during their teachers’ first few years of employment. They also found some further student gains due to additional years of teaching experience beyond the first five years. The research of </w:t>
      </w:r>
      <w:proofErr w:type="spellStart"/>
      <w:r w:rsidRPr="009D4923">
        <w:rPr>
          <w:sz w:val="20"/>
          <w:szCs w:val="20"/>
        </w:rPr>
        <w:t>Pil</w:t>
      </w:r>
      <w:proofErr w:type="spellEnd"/>
      <w:r w:rsidRPr="009D4923">
        <w:rPr>
          <w:sz w:val="20"/>
          <w:szCs w:val="20"/>
        </w:rPr>
        <w:t xml:space="preserve"> and Leana (2009) adds additional nuance; they found that acquiring teacher experience at the same grade level over a number of years, not just teacher experience in general (</w:t>
      </w:r>
      <w:proofErr w:type="gramStart"/>
      <w:r w:rsidRPr="009D4923">
        <w:rPr>
          <w:sz w:val="20"/>
          <w:szCs w:val="20"/>
        </w:rPr>
        <w:t>i.e.</w:t>
      </w:r>
      <w:proofErr w:type="gramEnd"/>
      <w:r w:rsidRPr="009D4923">
        <w:rPr>
          <w:sz w:val="20"/>
          <w:szCs w:val="20"/>
        </w:rPr>
        <w:t xml:space="preserve"> at multiple grades), was positively related to student achievement.</w:t>
      </w:r>
    </w:p>
    <w:p w14:paraId="5ED5A8A1" w14:textId="42255D41" w:rsidR="00932AF7" w:rsidRPr="009D4923" w:rsidRDefault="00932AF7" w:rsidP="009D4923">
      <w:pPr>
        <w:ind w:firstLine="720"/>
        <w:jc w:val="both"/>
        <w:rPr>
          <w:sz w:val="20"/>
          <w:szCs w:val="20"/>
        </w:rPr>
      </w:pPr>
      <w:r w:rsidRPr="009D4923">
        <w:rPr>
          <w:sz w:val="20"/>
          <w:szCs w:val="20"/>
        </w:rPr>
        <w:t>A teacher’s professional knowledge refers to their subject-matter knowledge, curricular knowledge, and pedagogical knowledge (Collinson 1999). This professional knowledge is influenced by the undergraduate degrees earned by a teacher, the college attended, graduate studies undertaken, and opportunities to engage with on-the job training, commonly referred to as professional development (Collinson 1999;</w:t>
      </w:r>
      <w:r w:rsidR="00995077">
        <w:rPr>
          <w:sz w:val="20"/>
          <w:szCs w:val="20"/>
        </w:rPr>
        <w:t xml:space="preserve"> </w:t>
      </w:r>
      <w:r w:rsidRPr="009D4923">
        <w:rPr>
          <w:sz w:val="20"/>
          <w:szCs w:val="20"/>
        </w:rPr>
        <w:t>Rice</w:t>
      </w:r>
      <w:r w:rsidR="00995077">
        <w:rPr>
          <w:sz w:val="20"/>
          <w:szCs w:val="20"/>
        </w:rPr>
        <w:t xml:space="preserve"> </w:t>
      </w:r>
      <w:r w:rsidRPr="009D4923">
        <w:rPr>
          <w:sz w:val="20"/>
          <w:szCs w:val="20"/>
        </w:rPr>
        <w:t xml:space="preserve">2003; Wayne and Youngs 2003). After undertaking in-depth quantitative analyses of the United States’ 1993–1994 Schools and Staffing Survey (SASS) and National Assessment of Educational Progress (NAEP) data sets, Darling-Hammond (2000) argued that measures of teacher preparation and certification were by far the strongest correlates of student achievement in reading and mathematics, after controlling for student poverty levels and language status. As with experience, research on the impact of teacher advanced degrees, subject specializations, and certification has been inconclusive, with several </w:t>
      </w:r>
      <w:r w:rsidRPr="009D4923">
        <w:rPr>
          <w:sz w:val="20"/>
          <w:szCs w:val="20"/>
        </w:rPr>
        <w:lastRenderedPageBreak/>
        <w:t xml:space="preserve">studies (Aaronson et al. 2007; </w:t>
      </w:r>
      <w:proofErr w:type="spellStart"/>
      <w:r w:rsidRPr="009D4923">
        <w:rPr>
          <w:sz w:val="20"/>
          <w:szCs w:val="20"/>
        </w:rPr>
        <w:t>Blomeke</w:t>
      </w:r>
      <w:proofErr w:type="spellEnd"/>
      <w:r w:rsidRPr="009D4923">
        <w:rPr>
          <w:sz w:val="20"/>
          <w:szCs w:val="20"/>
        </w:rPr>
        <w:t xml:space="preserve"> et al. 2016; Hanushek and </w:t>
      </w:r>
      <w:proofErr w:type="spellStart"/>
      <w:r w:rsidRPr="009D4923">
        <w:rPr>
          <w:sz w:val="20"/>
          <w:szCs w:val="20"/>
        </w:rPr>
        <w:t>Luque</w:t>
      </w:r>
      <w:proofErr w:type="spellEnd"/>
      <w:r w:rsidRPr="009D4923">
        <w:rPr>
          <w:sz w:val="20"/>
          <w:szCs w:val="20"/>
        </w:rPr>
        <w:t xml:space="preserve"> 2003; Harris and Sass 2011; </w:t>
      </w:r>
      <w:proofErr w:type="spellStart"/>
      <w:r w:rsidRPr="009D4923">
        <w:rPr>
          <w:sz w:val="20"/>
          <w:szCs w:val="20"/>
        </w:rPr>
        <w:t>Luschei</w:t>
      </w:r>
      <w:proofErr w:type="spellEnd"/>
      <w:r w:rsidRPr="009D4923">
        <w:rPr>
          <w:sz w:val="20"/>
          <w:szCs w:val="20"/>
        </w:rPr>
        <w:t xml:space="preserve"> and </w:t>
      </w:r>
      <w:proofErr w:type="spellStart"/>
      <w:r w:rsidRPr="009D4923">
        <w:rPr>
          <w:sz w:val="20"/>
          <w:szCs w:val="20"/>
        </w:rPr>
        <w:t>Chudgar</w:t>
      </w:r>
      <w:proofErr w:type="spellEnd"/>
      <w:r w:rsidRPr="009D4923">
        <w:rPr>
          <w:sz w:val="20"/>
          <w:szCs w:val="20"/>
        </w:rPr>
        <w:t xml:space="preserve"> 2011) suggesting weak, inconsistent, or non-significant relationships with student achievement. However, several international studies comparing country means found that teacher degrees (</w:t>
      </w:r>
      <w:proofErr w:type="spellStart"/>
      <w:r w:rsidRPr="009D4923">
        <w:rPr>
          <w:sz w:val="20"/>
          <w:szCs w:val="20"/>
        </w:rPr>
        <w:t>Akibaetal</w:t>
      </w:r>
      <w:proofErr w:type="spellEnd"/>
      <w:r w:rsidRPr="009D4923">
        <w:rPr>
          <w:sz w:val="20"/>
          <w:szCs w:val="20"/>
        </w:rPr>
        <w:t>. 2007;</w:t>
      </w:r>
      <w:r w:rsidR="00995077">
        <w:rPr>
          <w:sz w:val="20"/>
          <w:szCs w:val="20"/>
        </w:rPr>
        <w:t xml:space="preserve"> </w:t>
      </w:r>
      <w:proofErr w:type="spellStart"/>
      <w:r w:rsidRPr="009D4923">
        <w:rPr>
          <w:sz w:val="20"/>
          <w:szCs w:val="20"/>
        </w:rPr>
        <w:t>Gustaffsson</w:t>
      </w:r>
      <w:proofErr w:type="spellEnd"/>
      <w:r w:rsidR="00995077">
        <w:rPr>
          <w:sz w:val="20"/>
          <w:szCs w:val="20"/>
        </w:rPr>
        <w:t xml:space="preserve"> </w:t>
      </w:r>
      <w:r w:rsidRPr="009D4923">
        <w:rPr>
          <w:sz w:val="20"/>
          <w:szCs w:val="20"/>
        </w:rPr>
        <w:t>and</w:t>
      </w:r>
      <w:r w:rsidR="00995077">
        <w:rPr>
          <w:sz w:val="20"/>
          <w:szCs w:val="20"/>
        </w:rPr>
        <w:t xml:space="preserve"> </w:t>
      </w:r>
      <w:proofErr w:type="spellStart"/>
      <w:r w:rsidRPr="009D4923">
        <w:rPr>
          <w:sz w:val="20"/>
          <w:szCs w:val="20"/>
        </w:rPr>
        <w:t>Nilson</w:t>
      </w:r>
      <w:proofErr w:type="spellEnd"/>
      <w:r w:rsidR="00995077">
        <w:rPr>
          <w:sz w:val="20"/>
          <w:szCs w:val="20"/>
        </w:rPr>
        <w:t xml:space="preserve"> </w:t>
      </w:r>
      <w:r w:rsidRPr="009D4923">
        <w:rPr>
          <w:sz w:val="20"/>
          <w:szCs w:val="20"/>
        </w:rPr>
        <w:t>2016;</w:t>
      </w:r>
      <w:r w:rsidR="00995077">
        <w:rPr>
          <w:sz w:val="20"/>
          <w:szCs w:val="20"/>
        </w:rPr>
        <w:t xml:space="preserve"> </w:t>
      </w:r>
      <w:r w:rsidRPr="009D4923">
        <w:rPr>
          <w:sz w:val="20"/>
          <w:szCs w:val="20"/>
        </w:rPr>
        <w:t>Montt</w:t>
      </w:r>
      <w:r w:rsidR="00995077">
        <w:rPr>
          <w:sz w:val="20"/>
          <w:szCs w:val="20"/>
        </w:rPr>
        <w:t xml:space="preserve"> </w:t>
      </w:r>
      <w:r w:rsidRPr="009D4923">
        <w:rPr>
          <w:sz w:val="20"/>
          <w:szCs w:val="20"/>
        </w:rPr>
        <w:t>2011)</w:t>
      </w:r>
      <w:r w:rsidR="00995077">
        <w:rPr>
          <w:sz w:val="20"/>
          <w:szCs w:val="20"/>
        </w:rPr>
        <w:t xml:space="preserve"> </w:t>
      </w:r>
      <w:r w:rsidRPr="009D4923">
        <w:rPr>
          <w:sz w:val="20"/>
          <w:szCs w:val="20"/>
        </w:rPr>
        <w:t>were</w:t>
      </w:r>
      <w:r w:rsidR="00995077">
        <w:rPr>
          <w:sz w:val="20"/>
          <w:szCs w:val="20"/>
        </w:rPr>
        <w:t xml:space="preserve"> </w:t>
      </w:r>
      <w:r w:rsidRPr="009D4923">
        <w:rPr>
          <w:sz w:val="20"/>
          <w:szCs w:val="20"/>
        </w:rPr>
        <w:t>related</w:t>
      </w:r>
      <w:r w:rsidR="00995077">
        <w:rPr>
          <w:sz w:val="20"/>
          <w:szCs w:val="20"/>
        </w:rPr>
        <w:t xml:space="preserve"> </w:t>
      </w:r>
      <w:r w:rsidRPr="009D4923">
        <w:rPr>
          <w:sz w:val="20"/>
          <w:szCs w:val="20"/>
        </w:rPr>
        <w:t>to</w:t>
      </w:r>
      <w:r w:rsidR="00995077">
        <w:rPr>
          <w:sz w:val="20"/>
          <w:szCs w:val="20"/>
        </w:rPr>
        <w:t xml:space="preserve"> </w:t>
      </w:r>
      <w:r w:rsidRPr="009D4923">
        <w:rPr>
          <w:sz w:val="20"/>
          <w:szCs w:val="20"/>
        </w:rPr>
        <w:t xml:space="preserve">student outcomes, as did </w:t>
      </w:r>
      <w:proofErr w:type="spellStart"/>
      <w:r w:rsidRPr="009D4923">
        <w:rPr>
          <w:sz w:val="20"/>
          <w:szCs w:val="20"/>
        </w:rPr>
        <w:t>Woessman’s</w:t>
      </w:r>
      <w:proofErr w:type="spellEnd"/>
      <w:r w:rsidRPr="009D4923">
        <w:rPr>
          <w:sz w:val="20"/>
          <w:szCs w:val="20"/>
        </w:rPr>
        <w:t xml:space="preserve"> (2003) student-level study of multiple countries.</w:t>
      </w:r>
    </w:p>
    <w:p w14:paraId="45B3149C" w14:textId="30BB654D" w:rsidR="00932AF7" w:rsidRPr="009D4923" w:rsidRDefault="00932AF7" w:rsidP="009D4923">
      <w:pPr>
        <w:ind w:firstLine="720"/>
        <w:jc w:val="both"/>
        <w:rPr>
          <w:sz w:val="20"/>
          <w:szCs w:val="20"/>
        </w:rPr>
      </w:pPr>
      <w:r w:rsidRPr="009D4923">
        <w:rPr>
          <w:sz w:val="20"/>
          <w:szCs w:val="20"/>
        </w:rPr>
        <w:t xml:space="preserve">In their meta-analysis of teacher effectiveness, Wayne and Youngs (2003) found three studies that showed some relationship between the quality of the undergraduate institution that a teacher attended and their future students’ success in standardized tests. In a thorough review of the research on teacher effectiveness attributes, Rice (2003) found that the selectivity of undergraduate institution and the teacher preparation program may be related to student achievement for students at the high school level and for high-poverty students. In terms of teacher preparation programs, Boyd et al. (2009) found that </w:t>
      </w:r>
      <w:proofErr w:type="gramStart"/>
      <w:r w:rsidRPr="009D4923">
        <w:rPr>
          <w:sz w:val="20"/>
          <w:szCs w:val="20"/>
        </w:rPr>
        <w:t>overall</w:t>
      </w:r>
      <w:proofErr w:type="gramEnd"/>
      <w:r w:rsidRPr="009D4923">
        <w:rPr>
          <w:sz w:val="20"/>
          <w:szCs w:val="20"/>
        </w:rPr>
        <w:t xml:space="preserve"> these programs varied in their effectiveness. In their study of 31 teacher preparation programs designed to prepare teachers for the New York City School District, Boyd et al. (2009) drew from data based on document analyses, interviews, surveys of teacher preparation instructors, surveys of participants and graduates, and student value-added scores. They found that if a program was effective in preparing teachers to teach</w:t>
      </w:r>
      <w:r w:rsidR="00995077">
        <w:rPr>
          <w:sz w:val="20"/>
          <w:szCs w:val="20"/>
        </w:rPr>
        <w:t xml:space="preserve"> </w:t>
      </w:r>
      <w:r w:rsidRPr="009D4923">
        <w:rPr>
          <w:sz w:val="20"/>
          <w:szCs w:val="20"/>
        </w:rPr>
        <w:t>one</w:t>
      </w:r>
      <w:r w:rsidR="00995077">
        <w:rPr>
          <w:sz w:val="20"/>
          <w:szCs w:val="20"/>
        </w:rPr>
        <w:t xml:space="preserve"> </w:t>
      </w:r>
      <w:r w:rsidRPr="009D4923">
        <w:rPr>
          <w:sz w:val="20"/>
          <w:szCs w:val="20"/>
        </w:rPr>
        <w:t>subject,</w:t>
      </w:r>
      <w:r w:rsidR="00995077">
        <w:rPr>
          <w:sz w:val="20"/>
          <w:szCs w:val="20"/>
        </w:rPr>
        <w:t xml:space="preserve"> </w:t>
      </w:r>
      <w:r w:rsidRPr="009D4923">
        <w:rPr>
          <w:sz w:val="20"/>
          <w:szCs w:val="20"/>
        </w:rPr>
        <w:t>it</w:t>
      </w:r>
      <w:r w:rsidR="00995077">
        <w:rPr>
          <w:sz w:val="20"/>
          <w:szCs w:val="20"/>
        </w:rPr>
        <w:t xml:space="preserve"> </w:t>
      </w:r>
      <w:r w:rsidRPr="009D4923">
        <w:rPr>
          <w:sz w:val="20"/>
          <w:szCs w:val="20"/>
        </w:rPr>
        <w:t>tended</w:t>
      </w:r>
      <w:r w:rsidR="00995077">
        <w:rPr>
          <w:sz w:val="20"/>
          <w:szCs w:val="20"/>
        </w:rPr>
        <w:t xml:space="preserve"> </w:t>
      </w:r>
      <w:r w:rsidRPr="009D4923">
        <w:rPr>
          <w:sz w:val="20"/>
          <w:szCs w:val="20"/>
        </w:rPr>
        <w:t>to</w:t>
      </w:r>
      <w:r w:rsidR="00995077">
        <w:rPr>
          <w:sz w:val="20"/>
          <w:szCs w:val="20"/>
        </w:rPr>
        <w:t xml:space="preserve"> </w:t>
      </w:r>
      <w:r w:rsidRPr="009D4923">
        <w:rPr>
          <w:sz w:val="20"/>
          <w:szCs w:val="20"/>
        </w:rPr>
        <w:t>also</w:t>
      </w:r>
      <w:r w:rsidR="00995077">
        <w:rPr>
          <w:sz w:val="20"/>
          <w:szCs w:val="20"/>
        </w:rPr>
        <w:t xml:space="preserve"> </w:t>
      </w:r>
      <w:r w:rsidRPr="009D4923">
        <w:rPr>
          <w:sz w:val="20"/>
          <w:szCs w:val="20"/>
        </w:rPr>
        <w:t>have</w:t>
      </w:r>
      <w:r w:rsidR="00995077">
        <w:rPr>
          <w:sz w:val="20"/>
          <w:szCs w:val="20"/>
        </w:rPr>
        <w:t xml:space="preserve"> </w:t>
      </w:r>
      <w:r w:rsidRPr="009D4923">
        <w:rPr>
          <w:sz w:val="20"/>
          <w:szCs w:val="20"/>
        </w:rPr>
        <w:t>success</w:t>
      </w:r>
      <w:r w:rsidR="00995077">
        <w:rPr>
          <w:sz w:val="20"/>
          <w:szCs w:val="20"/>
        </w:rPr>
        <w:t xml:space="preserve"> </w:t>
      </w:r>
      <w:r w:rsidRPr="009D4923">
        <w:rPr>
          <w:sz w:val="20"/>
          <w:szCs w:val="20"/>
        </w:rPr>
        <w:t>in</w:t>
      </w:r>
      <w:r w:rsidR="00995077">
        <w:rPr>
          <w:sz w:val="20"/>
          <w:szCs w:val="20"/>
        </w:rPr>
        <w:t xml:space="preserve"> </w:t>
      </w:r>
      <w:r w:rsidRPr="009D4923">
        <w:rPr>
          <w:sz w:val="20"/>
          <w:szCs w:val="20"/>
        </w:rPr>
        <w:t>preparing</w:t>
      </w:r>
      <w:r w:rsidR="00995077">
        <w:rPr>
          <w:sz w:val="20"/>
          <w:szCs w:val="20"/>
        </w:rPr>
        <w:t xml:space="preserve"> </w:t>
      </w:r>
      <w:r w:rsidRPr="009D4923">
        <w:rPr>
          <w:sz w:val="20"/>
          <w:szCs w:val="20"/>
        </w:rPr>
        <w:t>teachers</w:t>
      </w:r>
      <w:r w:rsidR="00995077">
        <w:rPr>
          <w:sz w:val="20"/>
          <w:szCs w:val="20"/>
        </w:rPr>
        <w:t xml:space="preserve"> </w:t>
      </w:r>
      <w:r w:rsidRPr="009D4923">
        <w:rPr>
          <w:sz w:val="20"/>
          <w:szCs w:val="20"/>
        </w:rPr>
        <w:t>to</w:t>
      </w:r>
      <w:r w:rsidR="00995077">
        <w:rPr>
          <w:sz w:val="20"/>
          <w:szCs w:val="20"/>
        </w:rPr>
        <w:t xml:space="preserve"> </w:t>
      </w:r>
      <w:r w:rsidRPr="009D4923">
        <w:rPr>
          <w:sz w:val="20"/>
          <w:szCs w:val="20"/>
        </w:rPr>
        <w:t>teach</w:t>
      </w:r>
      <w:r w:rsidR="00995077">
        <w:rPr>
          <w:sz w:val="20"/>
          <w:szCs w:val="20"/>
        </w:rPr>
        <w:t xml:space="preserve"> </w:t>
      </w:r>
      <w:r w:rsidRPr="009D4923">
        <w:rPr>
          <w:sz w:val="20"/>
          <w:szCs w:val="20"/>
        </w:rPr>
        <w:t xml:space="preserve">other subjects as well. They also found that teacher preparation programs that focused on the practice of teaching and the classroom, and provided opportunities for teachers to study classroom practices, tended to prepare more effective teachers. Finally, they found that programs that included some sort of final project element (such as a personal research paper, or portfolio presentation) tended to prepare more effective teachers. Beyond the institution a teacher attends, the coursework they choose to take within that program may also be related to their future students’ achievement. These associations vary by subject matter. A study by Rice (2003) indicated that, for teachers teaching at the secondary level, subject-specific coursework had a greater impact on their future students’ achievement. </w:t>
      </w:r>
      <w:proofErr w:type="gramStart"/>
      <w:r w:rsidRPr="009D4923">
        <w:rPr>
          <w:sz w:val="20"/>
          <w:szCs w:val="20"/>
        </w:rPr>
        <w:t>Similarly</w:t>
      </w:r>
      <w:proofErr w:type="gramEnd"/>
      <w:r w:rsidRPr="009D4923">
        <w:rPr>
          <w:sz w:val="20"/>
          <w:szCs w:val="20"/>
        </w:rPr>
        <w:t xml:space="preserve"> </w:t>
      </w:r>
      <w:proofErr w:type="spellStart"/>
      <w:r w:rsidRPr="009D4923">
        <w:rPr>
          <w:sz w:val="20"/>
          <w:szCs w:val="20"/>
        </w:rPr>
        <w:t>Goe</w:t>
      </w:r>
      <w:proofErr w:type="spellEnd"/>
      <w:r w:rsidRPr="009D4923">
        <w:rPr>
          <w:sz w:val="20"/>
          <w:szCs w:val="20"/>
        </w:rPr>
        <w:t xml:space="preserve"> (2007) found that, for mathematics, an increase in the amount of coursework undertaken by a trainee teacher was positively related to their future students’ achievement. By contrast, the meta-analysis completed by Wayne and Youngs (2003) found that, for history and English teachers, there was no evidence of a relationship between a teacher’s undergraduate coursework and their future students’ achievement in those subjects</w:t>
      </w:r>
    </w:p>
    <w:p w14:paraId="022A82A3" w14:textId="152DE61A" w:rsidR="00932AF7" w:rsidRPr="009D4923" w:rsidRDefault="00932AF7" w:rsidP="009D4923">
      <w:pPr>
        <w:ind w:firstLine="720"/>
        <w:jc w:val="both"/>
        <w:rPr>
          <w:sz w:val="20"/>
          <w:szCs w:val="20"/>
        </w:rPr>
      </w:pPr>
      <w:r w:rsidRPr="009D4923">
        <w:rPr>
          <w:sz w:val="20"/>
          <w:szCs w:val="20"/>
        </w:rPr>
        <w:t>In</w:t>
      </w:r>
      <w:r w:rsidR="00FC281C">
        <w:rPr>
          <w:sz w:val="20"/>
          <w:szCs w:val="20"/>
        </w:rPr>
        <w:t xml:space="preserve"> </w:t>
      </w:r>
      <w:r w:rsidRPr="009D4923">
        <w:rPr>
          <w:sz w:val="20"/>
          <w:szCs w:val="20"/>
        </w:rPr>
        <w:t>a</w:t>
      </w:r>
      <w:r w:rsidR="00FC281C">
        <w:rPr>
          <w:sz w:val="20"/>
          <w:szCs w:val="20"/>
        </w:rPr>
        <w:t xml:space="preserve"> </w:t>
      </w:r>
      <w:r w:rsidRPr="009D4923">
        <w:rPr>
          <w:sz w:val="20"/>
          <w:szCs w:val="20"/>
        </w:rPr>
        <w:t>review</w:t>
      </w:r>
      <w:r w:rsidR="00995077">
        <w:rPr>
          <w:sz w:val="20"/>
          <w:szCs w:val="20"/>
        </w:rPr>
        <w:t xml:space="preserve"> </w:t>
      </w:r>
      <w:r w:rsidRPr="009D4923">
        <w:rPr>
          <w:sz w:val="20"/>
          <w:szCs w:val="20"/>
        </w:rPr>
        <w:t>of</w:t>
      </w:r>
      <w:r w:rsidR="00FC281C">
        <w:rPr>
          <w:sz w:val="20"/>
          <w:szCs w:val="20"/>
        </w:rPr>
        <w:t xml:space="preserve"> </w:t>
      </w:r>
      <w:r w:rsidRPr="009D4923">
        <w:rPr>
          <w:sz w:val="20"/>
          <w:szCs w:val="20"/>
        </w:rPr>
        <w:t>14</w:t>
      </w:r>
      <w:r w:rsidR="00FC281C">
        <w:rPr>
          <w:sz w:val="20"/>
          <w:szCs w:val="20"/>
        </w:rPr>
        <w:t xml:space="preserve"> </w:t>
      </w:r>
      <w:r w:rsidRPr="009D4923">
        <w:rPr>
          <w:sz w:val="20"/>
          <w:szCs w:val="20"/>
        </w:rPr>
        <w:t>studies,</w:t>
      </w:r>
      <w:r w:rsidR="00FC281C">
        <w:rPr>
          <w:sz w:val="20"/>
          <w:szCs w:val="20"/>
        </w:rPr>
        <w:t xml:space="preserve"> </w:t>
      </w:r>
      <w:r w:rsidRPr="009D4923">
        <w:rPr>
          <w:sz w:val="20"/>
          <w:szCs w:val="20"/>
        </w:rPr>
        <w:t>Wilson</w:t>
      </w:r>
      <w:r w:rsidR="00FC281C">
        <w:rPr>
          <w:sz w:val="20"/>
          <w:szCs w:val="20"/>
        </w:rPr>
        <w:t xml:space="preserve"> </w:t>
      </w:r>
      <w:r w:rsidRPr="009D4923">
        <w:rPr>
          <w:sz w:val="20"/>
          <w:szCs w:val="20"/>
        </w:rPr>
        <w:t>and</w:t>
      </w:r>
      <w:r w:rsidR="00FC281C">
        <w:rPr>
          <w:sz w:val="20"/>
          <w:szCs w:val="20"/>
        </w:rPr>
        <w:t xml:space="preserve"> </w:t>
      </w:r>
      <w:proofErr w:type="spellStart"/>
      <w:r w:rsidRPr="009D4923">
        <w:rPr>
          <w:sz w:val="20"/>
          <w:szCs w:val="20"/>
        </w:rPr>
        <w:t>Floden</w:t>
      </w:r>
      <w:proofErr w:type="spellEnd"/>
      <w:r w:rsidR="00FC281C">
        <w:rPr>
          <w:sz w:val="20"/>
          <w:szCs w:val="20"/>
        </w:rPr>
        <w:t xml:space="preserve"> </w:t>
      </w:r>
      <w:r w:rsidRPr="009D4923">
        <w:rPr>
          <w:sz w:val="20"/>
          <w:szCs w:val="20"/>
        </w:rPr>
        <w:t>(2003)</w:t>
      </w:r>
      <w:r w:rsidR="00FC281C">
        <w:rPr>
          <w:sz w:val="20"/>
          <w:szCs w:val="20"/>
        </w:rPr>
        <w:t xml:space="preserve"> </w:t>
      </w:r>
      <w:r w:rsidRPr="009D4923">
        <w:rPr>
          <w:sz w:val="20"/>
          <w:szCs w:val="20"/>
        </w:rPr>
        <w:t>were</w:t>
      </w:r>
      <w:r w:rsidR="00FC281C">
        <w:rPr>
          <w:sz w:val="20"/>
          <w:szCs w:val="20"/>
        </w:rPr>
        <w:t xml:space="preserve"> </w:t>
      </w:r>
      <w:r w:rsidRPr="009D4923">
        <w:rPr>
          <w:sz w:val="20"/>
          <w:szCs w:val="20"/>
        </w:rPr>
        <w:t>unable</w:t>
      </w:r>
      <w:r w:rsidR="00FC281C">
        <w:rPr>
          <w:sz w:val="20"/>
          <w:szCs w:val="20"/>
        </w:rPr>
        <w:t xml:space="preserve"> </w:t>
      </w:r>
      <w:r w:rsidRPr="009D4923">
        <w:rPr>
          <w:sz w:val="20"/>
          <w:szCs w:val="20"/>
        </w:rPr>
        <w:t>to</w:t>
      </w:r>
      <w:r w:rsidR="00FC281C">
        <w:rPr>
          <w:sz w:val="20"/>
          <w:szCs w:val="20"/>
        </w:rPr>
        <w:t xml:space="preserve"> </w:t>
      </w:r>
      <w:r w:rsidRPr="009D4923">
        <w:rPr>
          <w:sz w:val="20"/>
          <w:szCs w:val="20"/>
        </w:rPr>
        <w:t>identify</w:t>
      </w:r>
      <w:r w:rsidR="00FC281C">
        <w:rPr>
          <w:sz w:val="20"/>
          <w:szCs w:val="20"/>
        </w:rPr>
        <w:t xml:space="preserve"> </w:t>
      </w:r>
      <w:r w:rsidRPr="009D4923">
        <w:rPr>
          <w:sz w:val="20"/>
          <w:szCs w:val="20"/>
        </w:rPr>
        <w:t xml:space="preserve">consistent </w:t>
      </w:r>
      <w:r w:rsidRPr="009D4923">
        <w:rPr>
          <w:sz w:val="20"/>
          <w:szCs w:val="20"/>
        </w:rPr>
        <w:t>relationships between a teacher’s level of education and their students’ achievement. Similarly,</w:t>
      </w:r>
      <w:r w:rsidR="00FC281C">
        <w:rPr>
          <w:sz w:val="20"/>
          <w:szCs w:val="20"/>
        </w:rPr>
        <w:t xml:space="preserve"> </w:t>
      </w:r>
      <w:r w:rsidRPr="009D4923">
        <w:rPr>
          <w:sz w:val="20"/>
          <w:szCs w:val="20"/>
        </w:rPr>
        <w:t>in</w:t>
      </w:r>
      <w:r w:rsidR="00FC281C">
        <w:rPr>
          <w:sz w:val="20"/>
          <w:szCs w:val="20"/>
        </w:rPr>
        <w:t xml:space="preserve"> </w:t>
      </w:r>
      <w:r w:rsidRPr="009D4923">
        <w:rPr>
          <w:sz w:val="20"/>
          <w:szCs w:val="20"/>
        </w:rPr>
        <w:t>their</w:t>
      </w:r>
      <w:r w:rsidR="00FC281C">
        <w:rPr>
          <w:sz w:val="20"/>
          <w:szCs w:val="20"/>
        </w:rPr>
        <w:t xml:space="preserve"> </w:t>
      </w:r>
      <w:r w:rsidRPr="009D4923">
        <w:rPr>
          <w:sz w:val="20"/>
          <w:szCs w:val="20"/>
        </w:rPr>
        <w:t>review</w:t>
      </w:r>
      <w:r w:rsidR="00FC281C">
        <w:rPr>
          <w:sz w:val="20"/>
          <w:szCs w:val="20"/>
        </w:rPr>
        <w:t xml:space="preserve"> </w:t>
      </w:r>
      <w:r w:rsidRPr="009D4923">
        <w:rPr>
          <w:sz w:val="20"/>
          <w:szCs w:val="20"/>
        </w:rPr>
        <w:t>of</w:t>
      </w:r>
      <w:r w:rsidR="00FC281C">
        <w:rPr>
          <w:sz w:val="20"/>
          <w:szCs w:val="20"/>
        </w:rPr>
        <w:t xml:space="preserve"> </w:t>
      </w:r>
      <w:r w:rsidRPr="009D4923">
        <w:rPr>
          <w:sz w:val="20"/>
          <w:szCs w:val="20"/>
        </w:rPr>
        <w:t>data</w:t>
      </w:r>
      <w:r w:rsidR="00FC281C">
        <w:rPr>
          <w:sz w:val="20"/>
          <w:szCs w:val="20"/>
        </w:rPr>
        <w:t xml:space="preserve"> </w:t>
      </w:r>
      <w:r w:rsidRPr="009D4923">
        <w:rPr>
          <w:sz w:val="20"/>
          <w:szCs w:val="20"/>
        </w:rPr>
        <w:t>from</w:t>
      </w:r>
      <w:r w:rsidR="00FC281C">
        <w:rPr>
          <w:sz w:val="20"/>
          <w:szCs w:val="20"/>
        </w:rPr>
        <w:t xml:space="preserve"> </w:t>
      </w:r>
      <w:r w:rsidRPr="009D4923">
        <w:rPr>
          <w:sz w:val="20"/>
          <w:szCs w:val="20"/>
        </w:rPr>
        <w:t>4000</w:t>
      </w:r>
      <w:r w:rsidR="00FC281C">
        <w:rPr>
          <w:sz w:val="20"/>
          <w:szCs w:val="20"/>
        </w:rPr>
        <w:t xml:space="preserve"> </w:t>
      </w:r>
      <w:r w:rsidRPr="009D4923">
        <w:rPr>
          <w:sz w:val="20"/>
          <w:szCs w:val="20"/>
        </w:rPr>
        <w:t>teachers</w:t>
      </w:r>
      <w:r w:rsidR="00FC281C">
        <w:rPr>
          <w:sz w:val="20"/>
          <w:szCs w:val="20"/>
        </w:rPr>
        <w:t xml:space="preserve"> </w:t>
      </w:r>
      <w:r w:rsidRPr="009D4923">
        <w:rPr>
          <w:sz w:val="20"/>
          <w:szCs w:val="20"/>
        </w:rPr>
        <w:t>in</w:t>
      </w:r>
      <w:r w:rsidR="00FC281C">
        <w:rPr>
          <w:sz w:val="20"/>
          <w:szCs w:val="20"/>
        </w:rPr>
        <w:t xml:space="preserve"> </w:t>
      </w:r>
      <w:r w:rsidRPr="009D4923">
        <w:rPr>
          <w:sz w:val="20"/>
          <w:szCs w:val="20"/>
        </w:rPr>
        <w:t>North</w:t>
      </w:r>
      <w:r w:rsidR="00FC281C">
        <w:rPr>
          <w:sz w:val="20"/>
          <w:szCs w:val="20"/>
        </w:rPr>
        <w:t xml:space="preserve"> </w:t>
      </w:r>
      <w:r w:rsidRPr="009D4923">
        <w:rPr>
          <w:sz w:val="20"/>
          <w:szCs w:val="20"/>
        </w:rPr>
        <w:t>Carolina,</w:t>
      </w:r>
      <w:r w:rsidR="00FC281C">
        <w:rPr>
          <w:sz w:val="20"/>
          <w:szCs w:val="20"/>
        </w:rPr>
        <w:t xml:space="preserve"> </w:t>
      </w:r>
      <w:r w:rsidRPr="009D4923">
        <w:rPr>
          <w:sz w:val="20"/>
          <w:szCs w:val="20"/>
        </w:rPr>
        <w:t>Clotfelter</w:t>
      </w:r>
      <w:r w:rsidR="00FC281C">
        <w:rPr>
          <w:sz w:val="20"/>
          <w:szCs w:val="20"/>
        </w:rPr>
        <w:t xml:space="preserve"> </w:t>
      </w:r>
      <w:r w:rsidRPr="009D4923">
        <w:rPr>
          <w:sz w:val="20"/>
          <w:szCs w:val="20"/>
        </w:rPr>
        <w:t>et</w:t>
      </w:r>
      <w:r w:rsidR="00FC281C">
        <w:rPr>
          <w:sz w:val="20"/>
          <w:szCs w:val="20"/>
        </w:rPr>
        <w:t xml:space="preserve"> </w:t>
      </w:r>
      <w:r w:rsidRPr="009D4923">
        <w:rPr>
          <w:sz w:val="20"/>
          <w:szCs w:val="20"/>
        </w:rPr>
        <w:t>al. (2006) found that teachers who held a master’s degree were associated with lower student achievement. However, specifically in terms of mathematics instruction, teachers with higher degrees and who undertook more coursework during their education seem to be positively related to their students’ mathematics achievement (</w:t>
      </w:r>
      <w:proofErr w:type="spellStart"/>
      <w:r w:rsidRPr="009D4923">
        <w:rPr>
          <w:sz w:val="20"/>
          <w:szCs w:val="20"/>
        </w:rPr>
        <w:t>Goe</w:t>
      </w:r>
      <w:proofErr w:type="spellEnd"/>
      <w:r w:rsidRPr="009D4923">
        <w:rPr>
          <w:sz w:val="20"/>
          <w:szCs w:val="20"/>
        </w:rPr>
        <w:t xml:space="preserve"> 2007). Likewise, Harris and Sass (2011) found that there was a positive relationship between teachers who had obtained an advanced degree during their teaching career and their students’ achievement in middle school mathematics. They did not find any significant relationships between advanced degrees and student achievement in any other subject area. Further, using data from the United States’ Early Childhood Longitudinal Study (ECLS-K), Phillips (2010) found that subject-specific graduate degrees in elementary or early-childhood education were positively related to students’ reading achievement gains.</w:t>
      </w:r>
    </w:p>
    <w:p w14:paraId="33E25226" w14:textId="5DD16A62" w:rsidR="00932AF7" w:rsidRPr="009D4923" w:rsidRDefault="00932AF7" w:rsidP="009D4923">
      <w:pPr>
        <w:ind w:firstLine="720"/>
        <w:jc w:val="both"/>
        <w:rPr>
          <w:sz w:val="20"/>
          <w:szCs w:val="20"/>
        </w:rPr>
      </w:pPr>
      <w:r w:rsidRPr="009D4923">
        <w:rPr>
          <w:sz w:val="20"/>
          <w:szCs w:val="20"/>
        </w:rPr>
        <w:t>Another possible indicator of teacher effectiveness could be whether or not a teacher holds a teaching certificate. Much of this research has focused on the United States, which uses a variety of certification approaches, with lower grades usually having multi-subject general certifications and higher grades requiring certification in specific subjects. Wayne and Youngs (2003) found no clear relationship between US</w:t>
      </w:r>
      <w:r w:rsidR="00FC281C">
        <w:rPr>
          <w:sz w:val="20"/>
          <w:szCs w:val="20"/>
        </w:rPr>
        <w:t xml:space="preserve"> </w:t>
      </w:r>
      <w:r w:rsidRPr="009D4923">
        <w:rPr>
          <w:sz w:val="20"/>
          <w:szCs w:val="20"/>
        </w:rPr>
        <w:t>teachers’ certification status and their students’ achievement, with the exception of the subject area of mathematics, where students tended have higher test scores when</w:t>
      </w:r>
      <w:r w:rsidR="00FC281C">
        <w:rPr>
          <w:sz w:val="20"/>
          <w:szCs w:val="20"/>
        </w:rPr>
        <w:t xml:space="preserve"> </w:t>
      </w:r>
      <w:r w:rsidRPr="009D4923">
        <w:rPr>
          <w:sz w:val="20"/>
          <w:szCs w:val="20"/>
        </w:rPr>
        <w:t xml:space="preserve">their teachers had a standard mathematics certification. Rice (2003) also found that US teacher certification was related to high school mathematics achievement, and also found that there was some evidence of a relationship between certification status and student achievement in lower grades. Meanwhile, in their study of grade one students, </w:t>
      </w:r>
      <w:proofErr w:type="spellStart"/>
      <w:r w:rsidRPr="009D4923">
        <w:rPr>
          <w:sz w:val="20"/>
          <w:szCs w:val="20"/>
        </w:rPr>
        <w:t>Palardy</w:t>
      </w:r>
      <w:proofErr w:type="spellEnd"/>
      <w:r w:rsidRPr="009D4923">
        <w:rPr>
          <w:sz w:val="20"/>
          <w:szCs w:val="20"/>
        </w:rPr>
        <w:t xml:space="preserve"> and </w:t>
      </w:r>
      <w:proofErr w:type="spellStart"/>
      <w:r w:rsidRPr="009D4923">
        <w:rPr>
          <w:sz w:val="20"/>
          <w:szCs w:val="20"/>
        </w:rPr>
        <w:t>Rumberger</w:t>
      </w:r>
      <w:proofErr w:type="spellEnd"/>
      <w:r w:rsidRPr="009D4923">
        <w:rPr>
          <w:sz w:val="20"/>
          <w:szCs w:val="20"/>
        </w:rPr>
        <w:t xml:space="preserve"> (2008) also found evidence that students made greater gains in reading ability when taught by fully certified teachers. In a longitudinal study using data from teachers teaching grades four and five and their students in the Houston School District in Texas, Darling-Hammond et al. (2005) found that those teachers who had completed training that resulted in a recognized teaching certificate were more effective that those who had no dedicated teaching qualifications. The study results suggested that teachers without recognized</w:t>
      </w:r>
      <w:r w:rsidR="00FC281C">
        <w:rPr>
          <w:sz w:val="20"/>
          <w:szCs w:val="20"/>
        </w:rPr>
        <w:t xml:space="preserve"> </w:t>
      </w:r>
      <w:r w:rsidRPr="009D4923">
        <w:rPr>
          <w:sz w:val="20"/>
          <w:szCs w:val="20"/>
        </w:rPr>
        <w:t>US</w:t>
      </w:r>
      <w:r w:rsidR="00FC281C">
        <w:rPr>
          <w:sz w:val="20"/>
          <w:szCs w:val="20"/>
        </w:rPr>
        <w:t xml:space="preserve"> </w:t>
      </w:r>
      <w:r w:rsidRPr="009D4923">
        <w:rPr>
          <w:sz w:val="20"/>
          <w:szCs w:val="20"/>
        </w:rPr>
        <w:t>certification</w:t>
      </w:r>
      <w:r w:rsidR="00FC281C">
        <w:rPr>
          <w:sz w:val="20"/>
          <w:szCs w:val="20"/>
        </w:rPr>
        <w:t xml:space="preserve"> </w:t>
      </w:r>
      <w:r w:rsidRPr="009D4923">
        <w:rPr>
          <w:sz w:val="20"/>
          <w:szCs w:val="20"/>
        </w:rPr>
        <w:t>or</w:t>
      </w:r>
      <w:r w:rsidR="00FC281C">
        <w:rPr>
          <w:sz w:val="20"/>
          <w:szCs w:val="20"/>
        </w:rPr>
        <w:t xml:space="preserve"> </w:t>
      </w:r>
      <w:r w:rsidRPr="009D4923">
        <w:rPr>
          <w:sz w:val="20"/>
          <w:szCs w:val="20"/>
        </w:rPr>
        <w:t>with</w:t>
      </w:r>
      <w:r w:rsidR="00FC281C">
        <w:rPr>
          <w:sz w:val="20"/>
          <w:szCs w:val="20"/>
        </w:rPr>
        <w:t xml:space="preserve"> </w:t>
      </w:r>
      <w:r w:rsidRPr="009D4923">
        <w:rPr>
          <w:sz w:val="20"/>
          <w:szCs w:val="20"/>
        </w:rPr>
        <w:t>non-standard</w:t>
      </w:r>
      <w:r w:rsidR="00FC281C">
        <w:rPr>
          <w:sz w:val="20"/>
          <w:szCs w:val="20"/>
        </w:rPr>
        <w:t xml:space="preserve"> </w:t>
      </w:r>
      <w:r w:rsidRPr="009D4923">
        <w:rPr>
          <w:sz w:val="20"/>
          <w:szCs w:val="20"/>
        </w:rPr>
        <w:t>certifications</w:t>
      </w:r>
      <w:r w:rsidR="00FC281C">
        <w:rPr>
          <w:sz w:val="20"/>
          <w:szCs w:val="20"/>
        </w:rPr>
        <w:t xml:space="preserve"> </w:t>
      </w:r>
      <w:r w:rsidRPr="009D4923">
        <w:rPr>
          <w:sz w:val="20"/>
          <w:szCs w:val="20"/>
        </w:rPr>
        <w:t>generally</w:t>
      </w:r>
      <w:r w:rsidR="00FC281C">
        <w:rPr>
          <w:sz w:val="20"/>
          <w:szCs w:val="20"/>
        </w:rPr>
        <w:t xml:space="preserve"> </w:t>
      </w:r>
      <w:r w:rsidRPr="009D4923">
        <w:rPr>
          <w:sz w:val="20"/>
          <w:szCs w:val="20"/>
        </w:rPr>
        <w:t>had</w:t>
      </w:r>
      <w:r w:rsidR="00FC281C">
        <w:rPr>
          <w:sz w:val="20"/>
          <w:szCs w:val="20"/>
        </w:rPr>
        <w:t xml:space="preserve"> </w:t>
      </w:r>
      <w:r w:rsidRPr="009D4923">
        <w:rPr>
          <w:sz w:val="20"/>
          <w:szCs w:val="20"/>
        </w:rPr>
        <w:t xml:space="preserve">negative effects on student achievement after controlling for student characteristics and prior achievement, as well as the teacher’s experience and degrees. The effects of teacher certification on student achievement were generally much stronger than the effects for teacher experience. Conversely, </w:t>
      </w:r>
      <w:r w:rsidRPr="009D4923">
        <w:rPr>
          <w:sz w:val="20"/>
          <w:szCs w:val="20"/>
        </w:rPr>
        <w:lastRenderedPageBreak/>
        <w:t>analyzing data from the ECLS-K,</w:t>
      </w:r>
      <w:r w:rsidR="00FC281C">
        <w:rPr>
          <w:sz w:val="20"/>
          <w:szCs w:val="20"/>
        </w:rPr>
        <w:t xml:space="preserve"> </w:t>
      </w:r>
      <w:r w:rsidRPr="009D4923">
        <w:rPr>
          <w:sz w:val="20"/>
          <w:szCs w:val="20"/>
        </w:rPr>
        <w:t>Phillips</w:t>
      </w:r>
      <w:r w:rsidR="00FC281C">
        <w:rPr>
          <w:sz w:val="20"/>
          <w:szCs w:val="20"/>
        </w:rPr>
        <w:t xml:space="preserve"> </w:t>
      </w:r>
      <w:r w:rsidRPr="009D4923">
        <w:rPr>
          <w:sz w:val="20"/>
          <w:szCs w:val="20"/>
        </w:rPr>
        <w:t>(2010) found that grade one students tended to have lower mathematics achievement gains when</w:t>
      </w:r>
      <w:r w:rsidR="00FC281C">
        <w:rPr>
          <w:sz w:val="20"/>
          <w:szCs w:val="20"/>
        </w:rPr>
        <w:t xml:space="preserve"> </w:t>
      </w:r>
      <w:r w:rsidRPr="009D4923">
        <w:rPr>
          <w:sz w:val="20"/>
          <w:szCs w:val="20"/>
        </w:rPr>
        <w:t>they</w:t>
      </w:r>
      <w:r w:rsidR="00FC281C">
        <w:rPr>
          <w:sz w:val="20"/>
          <w:szCs w:val="20"/>
        </w:rPr>
        <w:t xml:space="preserve"> </w:t>
      </w:r>
      <w:r w:rsidRPr="009D4923">
        <w:rPr>
          <w:sz w:val="20"/>
          <w:szCs w:val="20"/>
        </w:rPr>
        <w:t>had</w:t>
      </w:r>
      <w:r w:rsidR="00FC281C">
        <w:rPr>
          <w:sz w:val="20"/>
          <w:szCs w:val="20"/>
        </w:rPr>
        <w:t xml:space="preserve"> </w:t>
      </w:r>
      <w:r w:rsidRPr="009D4923">
        <w:rPr>
          <w:sz w:val="20"/>
          <w:szCs w:val="20"/>
        </w:rPr>
        <w:t>teachers</w:t>
      </w:r>
      <w:r w:rsidR="00FC281C">
        <w:rPr>
          <w:sz w:val="20"/>
          <w:szCs w:val="20"/>
        </w:rPr>
        <w:t xml:space="preserve"> </w:t>
      </w:r>
      <w:r w:rsidRPr="009D4923">
        <w:rPr>
          <w:sz w:val="20"/>
          <w:szCs w:val="20"/>
        </w:rPr>
        <w:t>with</w:t>
      </w:r>
      <w:r w:rsidR="00FC281C">
        <w:rPr>
          <w:sz w:val="20"/>
          <w:szCs w:val="20"/>
        </w:rPr>
        <w:t xml:space="preserve"> </w:t>
      </w:r>
      <w:r w:rsidRPr="009D4923">
        <w:rPr>
          <w:sz w:val="20"/>
          <w:szCs w:val="20"/>
        </w:rPr>
        <w:t>standard</w:t>
      </w:r>
      <w:r w:rsidR="00FC281C">
        <w:rPr>
          <w:sz w:val="20"/>
          <w:szCs w:val="20"/>
        </w:rPr>
        <w:t xml:space="preserve"> </w:t>
      </w:r>
      <w:r w:rsidRPr="009D4923">
        <w:rPr>
          <w:sz w:val="20"/>
          <w:szCs w:val="20"/>
        </w:rPr>
        <w:t>certification.</w:t>
      </w:r>
      <w:r w:rsidR="00FC281C">
        <w:rPr>
          <w:sz w:val="20"/>
          <w:szCs w:val="20"/>
        </w:rPr>
        <w:t xml:space="preserve"> </w:t>
      </w:r>
      <w:proofErr w:type="spellStart"/>
      <w:r w:rsidRPr="009D4923">
        <w:rPr>
          <w:sz w:val="20"/>
          <w:szCs w:val="20"/>
        </w:rPr>
        <w:t>Insum</w:t>
      </w:r>
      <w:proofErr w:type="spellEnd"/>
      <w:r w:rsidRPr="009D4923">
        <w:rPr>
          <w:sz w:val="20"/>
          <w:szCs w:val="20"/>
        </w:rPr>
        <w:t>,</w:t>
      </w:r>
      <w:r w:rsidR="00FC281C">
        <w:rPr>
          <w:sz w:val="20"/>
          <w:szCs w:val="20"/>
        </w:rPr>
        <w:t xml:space="preserve"> </w:t>
      </w:r>
      <w:r w:rsidRPr="009D4923">
        <w:rPr>
          <w:sz w:val="20"/>
          <w:szCs w:val="20"/>
        </w:rPr>
        <w:t>the</w:t>
      </w:r>
      <w:r w:rsidR="00FC281C">
        <w:rPr>
          <w:sz w:val="20"/>
          <w:szCs w:val="20"/>
        </w:rPr>
        <w:t xml:space="preserve"> </w:t>
      </w:r>
      <w:r w:rsidRPr="009D4923">
        <w:rPr>
          <w:sz w:val="20"/>
          <w:szCs w:val="20"/>
        </w:rPr>
        <w:t>literature</w:t>
      </w:r>
      <w:r w:rsidR="00FC281C">
        <w:rPr>
          <w:sz w:val="20"/>
          <w:szCs w:val="20"/>
        </w:rPr>
        <w:t xml:space="preserve"> </w:t>
      </w:r>
      <w:r w:rsidRPr="009D4923">
        <w:rPr>
          <w:sz w:val="20"/>
          <w:szCs w:val="20"/>
        </w:rPr>
        <w:t>the</w:t>
      </w:r>
      <w:r w:rsidR="00FC281C">
        <w:rPr>
          <w:sz w:val="20"/>
          <w:szCs w:val="20"/>
        </w:rPr>
        <w:t xml:space="preserve"> </w:t>
      </w:r>
      <w:r w:rsidRPr="009D4923">
        <w:rPr>
          <w:sz w:val="20"/>
          <w:szCs w:val="20"/>
        </w:rPr>
        <w:t>influence of teacher certification remains deeply ambiguous.</w:t>
      </w:r>
    </w:p>
    <w:p w14:paraId="0C7658B9" w14:textId="77777777" w:rsidR="0049342D" w:rsidRPr="009D4923" w:rsidRDefault="0049342D" w:rsidP="009D4923">
      <w:pPr>
        <w:shd w:val="clear" w:color="auto" w:fill="FFFFFF"/>
        <w:jc w:val="both"/>
        <w:rPr>
          <w:sz w:val="20"/>
          <w:szCs w:val="20"/>
        </w:rPr>
      </w:pPr>
    </w:p>
    <w:p w14:paraId="33365E51" w14:textId="77777777" w:rsidR="007D3ABC" w:rsidRPr="00995077" w:rsidRDefault="00173D95" w:rsidP="009D4923">
      <w:pPr>
        <w:shd w:val="clear" w:color="auto" w:fill="FFFFFF"/>
        <w:jc w:val="both"/>
        <w:rPr>
          <w:b/>
          <w:sz w:val="20"/>
          <w:szCs w:val="20"/>
        </w:rPr>
      </w:pPr>
      <w:r w:rsidRPr="00995077">
        <w:rPr>
          <w:b/>
          <w:sz w:val="20"/>
          <w:szCs w:val="20"/>
        </w:rPr>
        <w:t>References</w:t>
      </w:r>
      <w:r w:rsidR="007D3ABC" w:rsidRPr="00995077">
        <w:rPr>
          <w:b/>
          <w:sz w:val="20"/>
          <w:szCs w:val="20"/>
        </w:rPr>
        <w:t xml:space="preserve"> </w:t>
      </w:r>
    </w:p>
    <w:p w14:paraId="47CD0A3D" w14:textId="77777777" w:rsidR="00FF3A2A" w:rsidRPr="00995077" w:rsidRDefault="00FF3A2A" w:rsidP="00995077">
      <w:pPr>
        <w:pStyle w:val="ListParagraph"/>
        <w:numPr>
          <w:ilvl w:val="0"/>
          <w:numId w:val="50"/>
        </w:numPr>
        <w:shd w:val="clear" w:color="auto" w:fill="FFFFFF"/>
        <w:ind w:firstLineChars="0"/>
        <w:jc w:val="both"/>
        <w:rPr>
          <w:sz w:val="20"/>
          <w:szCs w:val="20"/>
        </w:rPr>
      </w:pPr>
      <w:r w:rsidRPr="00995077">
        <w:rPr>
          <w:sz w:val="20"/>
          <w:szCs w:val="20"/>
        </w:rPr>
        <w:t xml:space="preserve">Brenner, S. O., &amp; Bartell, R. (1984). The teacher stress process: A cross-cultural analysis. Journal of Organizational Behavior, 5, 183–195. </w:t>
      </w:r>
    </w:p>
    <w:p w14:paraId="200EA492" w14:textId="77777777" w:rsidR="00FF3A2A" w:rsidRPr="00995077" w:rsidRDefault="00FF3A2A" w:rsidP="00995077">
      <w:pPr>
        <w:pStyle w:val="ListParagraph"/>
        <w:numPr>
          <w:ilvl w:val="0"/>
          <w:numId w:val="50"/>
        </w:numPr>
        <w:shd w:val="clear" w:color="auto" w:fill="FFFFFF"/>
        <w:ind w:firstLineChars="0"/>
        <w:jc w:val="both"/>
        <w:rPr>
          <w:sz w:val="20"/>
          <w:szCs w:val="20"/>
        </w:rPr>
      </w:pPr>
      <w:r w:rsidRPr="00995077">
        <w:rPr>
          <w:sz w:val="20"/>
          <w:szCs w:val="20"/>
        </w:rPr>
        <w:t xml:space="preserve">Brouwers, A., &amp; </w:t>
      </w:r>
      <w:proofErr w:type="spellStart"/>
      <w:r w:rsidRPr="00995077">
        <w:rPr>
          <w:sz w:val="20"/>
          <w:szCs w:val="20"/>
        </w:rPr>
        <w:t>Tomic</w:t>
      </w:r>
      <w:proofErr w:type="spellEnd"/>
      <w:r w:rsidRPr="00995077">
        <w:rPr>
          <w:sz w:val="20"/>
          <w:szCs w:val="20"/>
        </w:rPr>
        <w:t xml:space="preserve">, W. (1999). Teacher burnout, perceived self-efficacy in classroom management, and student disruptive </w:t>
      </w:r>
      <w:proofErr w:type="spellStart"/>
      <w:r w:rsidRPr="00995077">
        <w:rPr>
          <w:sz w:val="20"/>
          <w:szCs w:val="20"/>
        </w:rPr>
        <w:t>behaviour</w:t>
      </w:r>
      <w:proofErr w:type="spellEnd"/>
      <w:r w:rsidRPr="00995077">
        <w:rPr>
          <w:sz w:val="20"/>
          <w:szCs w:val="20"/>
        </w:rPr>
        <w:t xml:space="preserve"> in secondary education. Curriculum and Teaching, 14(2), 7–26. </w:t>
      </w:r>
    </w:p>
    <w:p w14:paraId="6CCC49C8" w14:textId="77777777" w:rsidR="00FF3A2A" w:rsidRPr="00995077" w:rsidRDefault="00FF3A2A" w:rsidP="00995077">
      <w:pPr>
        <w:pStyle w:val="ListParagraph"/>
        <w:numPr>
          <w:ilvl w:val="0"/>
          <w:numId w:val="50"/>
        </w:numPr>
        <w:shd w:val="clear" w:color="auto" w:fill="FFFFFF"/>
        <w:ind w:firstLineChars="0"/>
        <w:jc w:val="both"/>
        <w:rPr>
          <w:sz w:val="20"/>
          <w:szCs w:val="20"/>
        </w:rPr>
      </w:pPr>
      <w:r w:rsidRPr="00995077">
        <w:rPr>
          <w:sz w:val="20"/>
          <w:szCs w:val="20"/>
        </w:rPr>
        <w:t xml:space="preserve">Eaton, W. W., Anthony, J. C., Mandel, W., &amp; Garrison, R. (1990). Occupations and the prevalence of major depressive disorder. Journal of Occupational and Environmental Medicine, 32, 1079–1087. </w:t>
      </w:r>
    </w:p>
    <w:p w14:paraId="74376834" w14:textId="77777777" w:rsidR="00FF3A2A" w:rsidRPr="00995077" w:rsidRDefault="00FF3A2A" w:rsidP="00995077">
      <w:pPr>
        <w:pStyle w:val="ListParagraph"/>
        <w:numPr>
          <w:ilvl w:val="0"/>
          <w:numId w:val="50"/>
        </w:numPr>
        <w:shd w:val="clear" w:color="auto" w:fill="FFFFFF"/>
        <w:ind w:firstLineChars="0"/>
        <w:jc w:val="both"/>
        <w:rPr>
          <w:sz w:val="20"/>
          <w:szCs w:val="20"/>
        </w:rPr>
      </w:pPr>
      <w:r w:rsidRPr="00995077">
        <w:rPr>
          <w:sz w:val="20"/>
          <w:szCs w:val="20"/>
        </w:rPr>
        <w:t xml:space="preserve">Eddy, C., Herman, K. C., &amp; Reinke, M. W. (2017, August). Single-item teacher stress and coping measures. Poster presented at the American Psychological Association Conference, Washington, DC. </w:t>
      </w:r>
    </w:p>
    <w:p w14:paraId="0CA5781F" w14:textId="77777777" w:rsidR="00FF3A2A" w:rsidRPr="00995077" w:rsidRDefault="00FF3A2A" w:rsidP="00995077">
      <w:pPr>
        <w:pStyle w:val="ListParagraph"/>
        <w:numPr>
          <w:ilvl w:val="0"/>
          <w:numId w:val="50"/>
        </w:numPr>
        <w:shd w:val="clear" w:color="auto" w:fill="FFFFFF"/>
        <w:ind w:firstLineChars="0"/>
        <w:jc w:val="both"/>
        <w:rPr>
          <w:sz w:val="20"/>
          <w:szCs w:val="20"/>
        </w:rPr>
      </w:pPr>
      <w:r w:rsidRPr="00995077">
        <w:rPr>
          <w:sz w:val="20"/>
          <w:szCs w:val="20"/>
        </w:rPr>
        <w:t xml:space="preserve">Folkman, S., Lazarus, R. S., Gruen, R. J., &amp; </w:t>
      </w:r>
      <w:proofErr w:type="spellStart"/>
      <w:r w:rsidRPr="00995077">
        <w:rPr>
          <w:sz w:val="20"/>
          <w:szCs w:val="20"/>
        </w:rPr>
        <w:t>DeLongis</w:t>
      </w:r>
      <w:proofErr w:type="spellEnd"/>
      <w:r w:rsidRPr="00995077">
        <w:rPr>
          <w:sz w:val="20"/>
          <w:szCs w:val="20"/>
        </w:rPr>
        <w:t xml:space="preserve">, A. (1986). Appraisal, coping, health status, and psychological symptoms. Journal of Personality and Social Psychology, 50, 571–579. </w:t>
      </w:r>
    </w:p>
    <w:p w14:paraId="42FE0006" w14:textId="77777777" w:rsidR="00FF3A2A" w:rsidRPr="00995077" w:rsidRDefault="00FF3A2A" w:rsidP="00995077">
      <w:pPr>
        <w:pStyle w:val="ListParagraph"/>
        <w:numPr>
          <w:ilvl w:val="0"/>
          <w:numId w:val="50"/>
        </w:numPr>
        <w:shd w:val="clear" w:color="auto" w:fill="FFFFFF"/>
        <w:ind w:firstLineChars="0"/>
        <w:jc w:val="both"/>
        <w:rPr>
          <w:sz w:val="20"/>
          <w:szCs w:val="20"/>
        </w:rPr>
      </w:pPr>
      <w:proofErr w:type="spellStart"/>
      <w:r w:rsidRPr="00995077">
        <w:rPr>
          <w:sz w:val="20"/>
          <w:szCs w:val="20"/>
        </w:rPr>
        <w:t>Geving</w:t>
      </w:r>
      <w:proofErr w:type="spellEnd"/>
      <w:r w:rsidRPr="00995077">
        <w:rPr>
          <w:sz w:val="20"/>
          <w:szCs w:val="20"/>
        </w:rPr>
        <w:t xml:space="preserve">, A. M. (2007). Identifying the types of student and teacher </w:t>
      </w:r>
      <w:proofErr w:type="spellStart"/>
      <w:r w:rsidRPr="00995077">
        <w:rPr>
          <w:sz w:val="20"/>
          <w:szCs w:val="20"/>
        </w:rPr>
        <w:t>behaviours</w:t>
      </w:r>
      <w:proofErr w:type="spellEnd"/>
      <w:r w:rsidRPr="00995077">
        <w:rPr>
          <w:sz w:val="20"/>
          <w:szCs w:val="20"/>
        </w:rPr>
        <w:t xml:space="preserve"> associated with teacher stress. Teaching and Teacher Education, 23, 624–640. </w:t>
      </w:r>
    </w:p>
    <w:p w14:paraId="2553B9F4" w14:textId="77777777" w:rsidR="00FF3A2A" w:rsidRPr="00995077" w:rsidRDefault="00FF3A2A" w:rsidP="00995077">
      <w:pPr>
        <w:pStyle w:val="ListParagraph"/>
        <w:numPr>
          <w:ilvl w:val="0"/>
          <w:numId w:val="50"/>
        </w:numPr>
        <w:shd w:val="clear" w:color="auto" w:fill="FFFFFF"/>
        <w:ind w:firstLineChars="0"/>
        <w:jc w:val="both"/>
        <w:rPr>
          <w:sz w:val="20"/>
          <w:szCs w:val="20"/>
        </w:rPr>
      </w:pPr>
      <w:r w:rsidRPr="00995077">
        <w:rPr>
          <w:sz w:val="20"/>
          <w:szCs w:val="20"/>
        </w:rPr>
        <w:t xml:space="preserve">Han, S. S., &amp; Weiss, B. (2005). Sustainability of teacher implementation of school-based mental health programs. Journal of Abnormal Child Psychology, 33, 665–679. </w:t>
      </w:r>
    </w:p>
    <w:p w14:paraId="18117BF7" w14:textId="77777777" w:rsidR="00FF3A2A" w:rsidRPr="00995077" w:rsidRDefault="00FF3A2A" w:rsidP="00995077">
      <w:pPr>
        <w:pStyle w:val="ListParagraph"/>
        <w:numPr>
          <w:ilvl w:val="0"/>
          <w:numId w:val="50"/>
        </w:numPr>
        <w:shd w:val="clear" w:color="auto" w:fill="FFFFFF"/>
        <w:ind w:firstLineChars="0"/>
        <w:jc w:val="both"/>
        <w:rPr>
          <w:sz w:val="20"/>
          <w:szCs w:val="20"/>
        </w:rPr>
      </w:pPr>
      <w:proofErr w:type="spellStart"/>
      <w:r w:rsidRPr="00995077">
        <w:rPr>
          <w:sz w:val="20"/>
          <w:szCs w:val="20"/>
        </w:rPr>
        <w:t>Hemmeter</w:t>
      </w:r>
      <w:proofErr w:type="spellEnd"/>
      <w:r w:rsidRPr="00995077">
        <w:rPr>
          <w:sz w:val="20"/>
          <w:szCs w:val="20"/>
        </w:rPr>
        <w:t xml:space="preserve">, M. L., Santos, R. M., &amp; </w:t>
      </w:r>
      <w:proofErr w:type="spellStart"/>
      <w:r w:rsidRPr="00995077">
        <w:rPr>
          <w:sz w:val="20"/>
          <w:szCs w:val="20"/>
        </w:rPr>
        <w:t>Ostrosky</w:t>
      </w:r>
      <w:proofErr w:type="spellEnd"/>
      <w:r w:rsidRPr="00995077">
        <w:rPr>
          <w:sz w:val="20"/>
          <w:szCs w:val="20"/>
        </w:rPr>
        <w:t xml:space="preserve">, M. M. (2008). Preparing early childhood educators to address young children’s social-emotional development and challenging behavior. Journal of Early Intervention, 30, 321–340. </w:t>
      </w:r>
    </w:p>
    <w:p w14:paraId="71CD80A7" w14:textId="77777777" w:rsidR="00FF3A2A" w:rsidRPr="00995077" w:rsidRDefault="00FF3A2A" w:rsidP="00995077">
      <w:pPr>
        <w:pStyle w:val="ListParagraph"/>
        <w:numPr>
          <w:ilvl w:val="0"/>
          <w:numId w:val="50"/>
        </w:numPr>
        <w:shd w:val="clear" w:color="auto" w:fill="FFFFFF"/>
        <w:ind w:firstLineChars="0"/>
        <w:jc w:val="both"/>
        <w:rPr>
          <w:sz w:val="20"/>
          <w:szCs w:val="20"/>
        </w:rPr>
      </w:pPr>
      <w:r w:rsidRPr="00995077">
        <w:rPr>
          <w:sz w:val="20"/>
          <w:szCs w:val="20"/>
        </w:rPr>
        <w:t xml:space="preserve">Herman, K. C., &amp; Reinke, W. (2015). Stress management for teachers: A proactive guide. New York, NY: Guilford Press. </w:t>
      </w:r>
    </w:p>
    <w:p w14:paraId="73CD8345" w14:textId="77777777" w:rsidR="00FF3A2A" w:rsidRPr="00995077" w:rsidRDefault="00FF3A2A" w:rsidP="00995077">
      <w:pPr>
        <w:pStyle w:val="ListParagraph"/>
        <w:numPr>
          <w:ilvl w:val="0"/>
          <w:numId w:val="50"/>
        </w:numPr>
        <w:shd w:val="clear" w:color="auto" w:fill="FFFFFF"/>
        <w:ind w:firstLineChars="0"/>
        <w:jc w:val="both"/>
        <w:rPr>
          <w:sz w:val="20"/>
          <w:szCs w:val="20"/>
        </w:rPr>
      </w:pPr>
      <w:r w:rsidRPr="00995077">
        <w:rPr>
          <w:sz w:val="20"/>
          <w:szCs w:val="20"/>
        </w:rPr>
        <w:t xml:space="preserve">Huberman, A. M., </w:t>
      </w:r>
      <w:proofErr w:type="spellStart"/>
      <w:r w:rsidRPr="00995077">
        <w:rPr>
          <w:sz w:val="20"/>
          <w:szCs w:val="20"/>
        </w:rPr>
        <w:t>Grounauer</w:t>
      </w:r>
      <w:proofErr w:type="spellEnd"/>
      <w:r w:rsidRPr="00995077">
        <w:rPr>
          <w:sz w:val="20"/>
          <w:szCs w:val="20"/>
        </w:rPr>
        <w:t xml:space="preserve">, M. M., &amp; Marti, J. (1993). The lives of teachers. London, England: Cassel. </w:t>
      </w:r>
    </w:p>
    <w:p w14:paraId="2E31F0F8" w14:textId="77777777" w:rsidR="00FF3A2A" w:rsidRPr="00995077" w:rsidRDefault="00FF3A2A" w:rsidP="00995077">
      <w:pPr>
        <w:pStyle w:val="ListParagraph"/>
        <w:numPr>
          <w:ilvl w:val="0"/>
          <w:numId w:val="50"/>
        </w:numPr>
        <w:shd w:val="clear" w:color="auto" w:fill="FFFFFF"/>
        <w:ind w:firstLineChars="0"/>
        <w:jc w:val="both"/>
        <w:rPr>
          <w:sz w:val="20"/>
          <w:szCs w:val="20"/>
        </w:rPr>
      </w:pPr>
      <w:r w:rsidRPr="00995077">
        <w:rPr>
          <w:sz w:val="20"/>
          <w:szCs w:val="20"/>
        </w:rPr>
        <w:t xml:space="preserve">Ingersoll, R. M. (2001). Teacher turnover and teacher shortages: An organizational analysis. American Educational Research Journal, 38, 499–534. </w:t>
      </w:r>
    </w:p>
    <w:p w14:paraId="4CF61A28" w14:textId="77777777" w:rsidR="00FF3A2A" w:rsidRPr="00995077" w:rsidRDefault="00FF3A2A" w:rsidP="00995077">
      <w:pPr>
        <w:pStyle w:val="ListParagraph"/>
        <w:numPr>
          <w:ilvl w:val="0"/>
          <w:numId w:val="50"/>
        </w:numPr>
        <w:shd w:val="clear" w:color="auto" w:fill="FFFFFF"/>
        <w:ind w:firstLineChars="0"/>
        <w:jc w:val="both"/>
        <w:rPr>
          <w:sz w:val="20"/>
          <w:szCs w:val="20"/>
        </w:rPr>
      </w:pPr>
      <w:r w:rsidRPr="00995077">
        <w:rPr>
          <w:sz w:val="20"/>
          <w:szCs w:val="20"/>
        </w:rPr>
        <w:t xml:space="preserve">Ingersoll, R. M. (2002, August 15). High turnover plagues schools. USA Today, p. 13A. </w:t>
      </w:r>
    </w:p>
    <w:p w14:paraId="185655FD" w14:textId="77777777" w:rsidR="00FF3A2A" w:rsidRPr="00995077" w:rsidRDefault="00FF3A2A" w:rsidP="00995077">
      <w:pPr>
        <w:pStyle w:val="ListParagraph"/>
        <w:numPr>
          <w:ilvl w:val="0"/>
          <w:numId w:val="50"/>
        </w:numPr>
        <w:shd w:val="clear" w:color="auto" w:fill="FFFFFF"/>
        <w:ind w:firstLineChars="0"/>
        <w:jc w:val="both"/>
        <w:rPr>
          <w:sz w:val="20"/>
          <w:szCs w:val="20"/>
        </w:rPr>
      </w:pPr>
      <w:r w:rsidRPr="00995077">
        <w:rPr>
          <w:sz w:val="20"/>
          <w:szCs w:val="20"/>
        </w:rPr>
        <w:t xml:space="preserve">Jennings, P. A., &amp; Greenberg, M. (2009). The prosocial classroom: Teacher social and </w:t>
      </w:r>
      <w:r w:rsidRPr="00995077">
        <w:rPr>
          <w:sz w:val="20"/>
          <w:szCs w:val="20"/>
        </w:rPr>
        <w:t xml:space="preserve">emotional competence in relation to child and classroom outcomes. Review of Educational Research, 79, 491–525. </w:t>
      </w:r>
    </w:p>
    <w:p w14:paraId="432D7C23" w14:textId="0EF20568" w:rsidR="0049342D" w:rsidRPr="00995077" w:rsidRDefault="00FF3A2A" w:rsidP="00995077">
      <w:pPr>
        <w:pStyle w:val="ListParagraph"/>
        <w:numPr>
          <w:ilvl w:val="0"/>
          <w:numId w:val="50"/>
        </w:numPr>
        <w:shd w:val="clear" w:color="auto" w:fill="FFFFFF"/>
        <w:ind w:firstLineChars="0"/>
        <w:jc w:val="both"/>
        <w:rPr>
          <w:sz w:val="20"/>
          <w:szCs w:val="20"/>
        </w:rPr>
      </w:pPr>
      <w:r w:rsidRPr="00995077">
        <w:rPr>
          <w:sz w:val="20"/>
          <w:szCs w:val="20"/>
        </w:rPr>
        <w:t>Johnson, S., Cooper, C., Cartwright, S., Donald, I., Taylor, P., &amp; Millet, C. (2005). The experience of work-related stress across occupations. Journal of Managerial Psychology, 20, 178–187</w:t>
      </w:r>
      <w:r w:rsidR="00995077" w:rsidRPr="00995077">
        <w:rPr>
          <w:sz w:val="20"/>
          <w:szCs w:val="20"/>
        </w:rPr>
        <w:t>.</w:t>
      </w:r>
    </w:p>
    <w:p w14:paraId="75C62F75" w14:textId="4F17A30C" w:rsidR="00995077" w:rsidRDefault="00995077" w:rsidP="009D4923">
      <w:pPr>
        <w:shd w:val="clear" w:color="auto" w:fill="FFFFFF"/>
        <w:jc w:val="both"/>
        <w:rPr>
          <w:sz w:val="20"/>
          <w:szCs w:val="20"/>
        </w:rPr>
      </w:pPr>
    </w:p>
    <w:p w14:paraId="58D6F3D3" w14:textId="4954D824" w:rsidR="00995077" w:rsidRDefault="00995077" w:rsidP="009D4923">
      <w:pPr>
        <w:shd w:val="clear" w:color="auto" w:fill="FFFFFF"/>
        <w:jc w:val="both"/>
        <w:rPr>
          <w:sz w:val="20"/>
          <w:szCs w:val="20"/>
        </w:rPr>
      </w:pPr>
    </w:p>
    <w:p w14:paraId="56F4CBE5" w14:textId="695BA285" w:rsidR="00995077" w:rsidRPr="009D4923" w:rsidRDefault="00995077" w:rsidP="009D4923">
      <w:pPr>
        <w:shd w:val="clear" w:color="auto" w:fill="FFFFFF"/>
        <w:jc w:val="both"/>
        <w:rPr>
          <w:rFonts w:hint="eastAsia"/>
          <w:sz w:val="20"/>
          <w:szCs w:val="20"/>
          <w:lang w:eastAsia="zh-CN"/>
        </w:rPr>
      </w:pPr>
      <w:r>
        <w:rPr>
          <w:sz w:val="20"/>
          <w:szCs w:val="20"/>
          <w:lang w:eastAsia="zh-CN"/>
        </w:rPr>
        <w:t>3/2/2025</w:t>
      </w:r>
    </w:p>
    <w:sectPr w:rsidR="00995077" w:rsidRPr="009D4923" w:rsidSect="009D4923">
      <w:type w:val="continuous"/>
      <w:pgSz w:w="11909" w:h="16834" w:code="9"/>
      <w:pgMar w:top="1440" w:right="1440" w:bottom="1440" w:left="1440" w:header="72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11AE" w14:textId="77777777" w:rsidR="00624B9D" w:rsidRDefault="00624B9D">
      <w:r>
        <w:separator/>
      </w:r>
    </w:p>
  </w:endnote>
  <w:endnote w:type="continuationSeparator" w:id="0">
    <w:p w14:paraId="5291196D" w14:textId="77777777" w:rsidR="00624B9D" w:rsidRDefault="0062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C55C" w14:textId="77777777" w:rsidR="008F7676" w:rsidRDefault="003F162E" w:rsidP="008743DF">
    <w:pPr>
      <w:pStyle w:val="Footer"/>
      <w:framePr w:wrap="around" w:vAnchor="text" w:hAnchor="margin" w:xAlign="center" w:y="1"/>
      <w:rPr>
        <w:rStyle w:val="PageNumber"/>
      </w:rPr>
    </w:pPr>
    <w:r>
      <w:rPr>
        <w:rStyle w:val="PageNumber"/>
      </w:rPr>
      <w:fldChar w:fldCharType="begin"/>
    </w:r>
    <w:r w:rsidR="008F7676">
      <w:rPr>
        <w:rStyle w:val="PageNumber"/>
      </w:rPr>
      <w:instrText xml:space="preserve">PAGE  </w:instrText>
    </w:r>
    <w:r>
      <w:rPr>
        <w:rStyle w:val="PageNumber"/>
      </w:rPr>
      <w:fldChar w:fldCharType="end"/>
    </w:r>
  </w:p>
  <w:p w14:paraId="57861EE8" w14:textId="77777777" w:rsidR="008F7676" w:rsidRDefault="008F7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25299"/>
      <w:docPartObj>
        <w:docPartGallery w:val="Page Numbers (Bottom of Page)"/>
        <w:docPartUnique/>
      </w:docPartObj>
    </w:sdtPr>
    <w:sdtEndPr>
      <w:rPr>
        <w:noProof/>
      </w:rPr>
    </w:sdtEndPr>
    <w:sdtContent>
      <w:p w14:paraId="0E54C109" w14:textId="5916DEE8" w:rsidR="00995077" w:rsidRDefault="009950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9B8D09" w14:textId="77777777" w:rsidR="00995077" w:rsidRDefault="00995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7548" w14:textId="77777777" w:rsidR="00624B9D" w:rsidRDefault="00624B9D">
      <w:r>
        <w:separator/>
      </w:r>
    </w:p>
  </w:footnote>
  <w:footnote w:type="continuationSeparator" w:id="0">
    <w:p w14:paraId="025D76A0" w14:textId="77777777" w:rsidR="00624B9D" w:rsidRDefault="00624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C1D8" w14:textId="77777777" w:rsidR="00D7736D" w:rsidRDefault="00D7736D" w:rsidP="00D7736D">
    <w:pPr>
      <w:pBdr>
        <w:bottom w:val="thinThickMediumGap" w:sz="12" w:space="1" w:color="auto"/>
      </w:pBdr>
      <w:tabs>
        <w:tab w:val="left" w:pos="851"/>
        <w:tab w:val="right" w:pos="8364"/>
      </w:tabs>
      <w:snapToGrid w:val="0"/>
      <w:ind w:firstLineChars="300" w:firstLine="600"/>
      <w:rPr>
        <w:iCs/>
        <w:sz w:val="20"/>
        <w:szCs w:val="20"/>
        <w:lang w:eastAsia="en-GB"/>
      </w:rPr>
    </w:pPr>
    <w:r>
      <w:rPr>
        <w:sz w:val="20"/>
        <w:szCs w:val="20"/>
      </w:rPr>
      <w:t>New York Science Journal 2025;18(3)</w:t>
    </w:r>
    <w:r>
      <w:rPr>
        <w:iCs/>
        <w:sz w:val="20"/>
        <w:szCs w:val="20"/>
      </w:rPr>
      <w:t xml:space="preserve"> </w:t>
    </w:r>
    <w:r>
      <w:rPr>
        <w:sz w:val="20"/>
        <w:szCs w:val="20"/>
      </w:rPr>
      <w:t xml:space="preserve">       </w:t>
    </w:r>
    <w:hyperlink r:id="rId1" w:history="1">
      <w:r>
        <w:rPr>
          <w:rStyle w:val="Hyperlink"/>
          <w:color w:val="0563C1"/>
          <w:sz w:val="20"/>
          <w:szCs w:val="20"/>
        </w:rPr>
        <w:t>http://www.sciencepub.net/newyork</w:t>
      </w:r>
    </w:hyperlink>
    <w:r>
      <w:rPr>
        <w:color w:val="0563C1"/>
        <w:sz w:val="20"/>
        <w:szCs w:val="20"/>
      </w:rPr>
      <w:t xml:space="preserve">       </w:t>
    </w:r>
    <w:r>
      <w:rPr>
        <w:b/>
        <w:i/>
        <w:color w:val="FF0000"/>
        <w:sz w:val="20"/>
        <w:szCs w:val="20"/>
        <w:bdr w:val="single" w:sz="4" w:space="0" w:color="FF0000" w:frame="1"/>
      </w:rPr>
      <w:t>NYJ</w:t>
    </w:r>
  </w:p>
  <w:p w14:paraId="554D56BB" w14:textId="77777777" w:rsidR="00D7736D" w:rsidRDefault="00D7736D" w:rsidP="00D7736D">
    <w:pPr>
      <w:pStyle w:val="Header"/>
      <w:rPr>
        <w:rFonts w:ascii="Calibri" w:hAnsi="Calibri"/>
        <w:sz w:val="22"/>
        <w:szCs w:val="22"/>
      </w:rPr>
    </w:pPr>
  </w:p>
  <w:p w14:paraId="47312C91" w14:textId="77777777" w:rsidR="009D4923" w:rsidRPr="00D7736D" w:rsidRDefault="009D4923" w:rsidP="00D77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39C"/>
    <w:multiLevelType w:val="multilevel"/>
    <w:tmpl w:val="2792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318CB"/>
    <w:multiLevelType w:val="multilevel"/>
    <w:tmpl w:val="CC8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074C2"/>
    <w:multiLevelType w:val="multilevel"/>
    <w:tmpl w:val="25FA5B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B04C3"/>
    <w:multiLevelType w:val="multilevel"/>
    <w:tmpl w:val="C36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A39DE"/>
    <w:multiLevelType w:val="multilevel"/>
    <w:tmpl w:val="592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466BD"/>
    <w:multiLevelType w:val="multilevel"/>
    <w:tmpl w:val="570A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B6DE3"/>
    <w:multiLevelType w:val="multilevel"/>
    <w:tmpl w:val="FB76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848E1"/>
    <w:multiLevelType w:val="multilevel"/>
    <w:tmpl w:val="57A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63036"/>
    <w:multiLevelType w:val="multilevel"/>
    <w:tmpl w:val="73B2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B0FAD"/>
    <w:multiLevelType w:val="multilevel"/>
    <w:tmpl w:val="112E684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D1A94"/>
    <w:multiLevelType w:val="multilevel"/>
    <w:tmpl w:val="ABA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02144"/>
    <w:multiLevelType w:val="multilevel"/>
    <w:tmpl w:val="A85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D4521"/>
    <w:multiLevelType w:val="multilevel"/>
    <w:tmpl w:val="B164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D4D56"/>
    <w:multiLevelType w:val="multilevel"/>
    <w:tmpl w:val="5A00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61296"/>
    <w:multiLevelType w:val="multilevel"/>
    <w:tmpl w:val="54F8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217D7"/>
    <w:multiLevelType w:val="multilevel"/>
    <w:tmpl w:val="991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42570"/>
    <w:multiLevelType w:val="hybridMultilevel"/>
    <w:tmpl w:val="C7302B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FD2538E"/>
    <w:multiLevelType w:val="multilevel"/>
    <w:tmpl w:val="62E4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E6C6D"/>
    <w:multiLevelType w:val="multilevel"/>
    <w:tmpl w:val="DAA8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D2895"/>
    <w:multiLevelType w:val="multilevel"/>
    <w:tmpl w:val="1F02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97DCF"/>
    <w:multiLevelType w:val="multilevel"/>
    <w:tmpl w:val="873A4E9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E2F69"/>
    <w:multiLevelType w:val="multilevel"/>
    <w:tmpl w:val="1328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5751E"/>
    <w:multiLevelType w:val="multilevel"/>
    <w:tmpl w:val="378AFD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97705B"/>
    <w:multiLevelType w:val="multilevel"/>
    <w:tmpl w:val="41C8F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FB551B"/>
    <w:multiLevelType w:val="hybridMultilevel"/>
    <w:tmpl w:val="E34A2946"/>
    <w:lvl w:ilvl="0" w:tplc="0409000F">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AD76C6C"/>
    <w:multiLevelType w:val="hybridMultilevel"/>
    <w:tmpl w:val="76A0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D29CE"/>
    <w:multiLevelType w:val="multilevel"/>
    <w:tmpl w:val="0956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CE64D6"/>
    <w:multiLevelType w:val="multilevel"/>
    <w:tmpl w:val="C7302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D60084"/>
    <w:multiLevelType w:val="multilevel"/>
    <w:tmpl w:val="FFBA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E805F0"/>
    <w:multiLevelType w:val="multilevel"/>
    <w:tmpl w:val="044E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5576FB"/>
    <w:multiLevelType w:val="hybridMultilevel"/>
    <w:tmpl w:val="F5DE0614"/>
    <w:lvl w:ilvl="0" w:tplc="CAC47D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40115F"/>
    <w:multiLevelType w:val="multilevel"/>
    <w:tmpl w:val="2798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70647"/>
    <w:multiLevelType w:val="multilevel"/>
    <w:tmpl w:val="10A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D01344"/>
    <w:multiLevelType w:val="multilevel"/>
    <w:tmpl w:val="739C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1E3525"/>
    <w:multiLevelType w:val="multilevel"/>
    <w:tmpl w:val="15E2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A9124E"/>
    <w:multiLevelType w:val="multilevel"/>
    <w:tmpl w:val="BA86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3A37F7"/>
    <w:multiLevelType w:val="multilevel"/>
    <w:tmpl w:val="842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BC673B"/>
    <w:multiLevelType w:val="multilevel"/>
    <w:tmpl w:val="1DB4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2204C1"/>
    <w:multiLevelType w:val="hybridMultilevel"/>
    <w:tmpl w:val="1B8E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D14E1"/>
    <w:multiLevelType w:val="multilevel"/>
    <w:tmpl w:val="57E4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85A61"/>
    <w:multiLevelType w:val="multilevel"/>
    <w:tmpl w:val="2B70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A476C6"/>
    <w:multiLevelType w:val="multilevel"/>
    <w:tmpl w:val="BF6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4974A0"/>
    <w:multiLevelType w:val="hybridMultilevel"/>
    <w:tmpl w:val="CA1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A50DF"/>
    <w:multiLevelType w:val="hybridMultilevel"/>
    <w:tmpl w:val="65086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B4FED"/>
    <w:multiLevelType w:val="hybridMultilevel"/>
    <w:tmpl w:val="05D0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7515F7"/>
    <w:multiLevelType w:val="hybridMultilevel"/>
    <w:tmpl w:val="ABC2D0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C8259B2"/>
    <w:multiLevelType w:val="multilevel"/>
    <w:tmpl w:val="796A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874C22"/>
    <w:multiLevelType w:val="multilevel"/>
    <w:tmpl w:val="0F36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1C3BDB"/>
    <w:multiLevelType w:val="multilevel"/>
    <w:tmpl w:val="E8F2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703F83"/>
    <w:multiLevelType w:val="multilevel"/>
    <w:tmpl w:val="7A907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27"/>
  </w:num>
  <w:num w:numId="4">
    <w:abstractNumId w:val="30"/>
  </w:num>
  <w:num w:numId="5">
    <w:abstractNumId w:val="49"/>
  </w:num>
  <w:num w:numId="6">
    <w:abstractNumId w:val="37"/>
  </w:num>
  <w:num w:numId="7">
    <w:abstractNumId w:val="28"/>
  </w:num>
  <w:num w:numId="8">
    <w:abstractNumId w:val="20"/>
  </w:num>
  <w:num w:numId="9">
    <w:abstractNumId w:val="21"/>
  </w:num>
  <w:num w:numId="10">
    <w:abstractNumId w:val="36"/>
  </w:num>
  <w:num w:numId="11">
    <w:abstractNumId w:val="5"/>
  </w:num>
  <w:num w:numId="12">
    <w:abstractNumId w:val="14"/>
  </w:num>
  <w:num w:numId="13">
    <w:abstractNumId w:val="1"/>
  </w:num>
  <w:num w:numId="14">
    <w:abstractNumId w:val="7"/>
  </w:num>
  <w:num w:numId="15">
    <w:abstractNumId w:val="10"/>
  </w:num>
  <w:num w:numId="16">
    <w:abstractNumId w:val="34"/>
  </w:num>
  <w:num w:numId="17">
    <w:abstractNumId w:val="26"/>
  </w:num>
  <w:num w:numId="18">
    <w:abstractNumId w:val="32"/>
  </w:num>
  <w:num w:numId="19">
    <w:abstractNumId w:val="35"/>
  </w:num>
  <w:num w:numId="20">
    <w:abstractNumId w:val="13"/>
  </w:num>
  <w:num w:numId="21">
    <w:abstractNumId w:val="46"/>
  </w:num>
  <w:num w:numId="22">
    <w:abstractNumId w:val="15"/>
  </w:num>
  <w:num w:numId="23">
    <w:abstractNumId w:val="31"/>
  </w:num>
  <w:num w:numId="24">
    <w:abstractNumId w:val="33"/>
  </w:num>
  <w:num w:numId="25">
    <w:abstractNumId w:val="3"/>
  </w:num>
  <w:num w:numId="26">
    <w:abstractNumId w:val="25"/>
  </w:num>
  <w:num w:numId="27">
    <w:abstractNumId w:val="38"/>
  </w:num>
  <w:num w:numId="28">
    <w:abstractNumId w:val="42"/>
  </w:num>
  <w:num w:numId="29">
    <w:abstractNumId w:val="6"/>
  </w:num>
  <w:num w:numId="30">
    <w:abstractNumId w:val="39"/>
  </w:num>
  <w:num w:numId="31">
    <w:abstractNumId w:val="41"/>
  </w:num>
  <w:num w:numId="32">
    <w:abstractNumId w:val="0"/>
  </w:num>
  <w:num w:numId="33">
    <w:abstractNumId w:val="40"/>
  </w:num>
  <w:num w:numId="34">
    <w:abstractNumId w:val="47"/>
  </w:num>
  <w:num w:numId="35">
    <w:abstractNumId w:val="48"/>
  </w:num>
  <w:num w:numId="36">
    <w:abstractNumId w:val="19"/>
  </w:num>
  <w:num w:numId="37">
    <w:abstractNumId w:val="4"/>
  </w:num>
  <w:num w:numId="38">
    <w:abstractNumId w:val="8"/>
  </w:num>
  <w:num w:numId="39">
    <w:abstractNumId w:val="29"/>
  </w:num>
  <w:num w:numId="40">
    <w:abstractNumId w:val="11"/>
  </w:num>
  <w:num w:numId="41">
    <w:abstractNumId w:val="2"/>
  </w:num>
  <w:num w:numId="42">
    <w:abstractNumId w:val="23"/>
  </w:num>
  <w:num w:numId="43">
    <w:abstractNumId w:val="12"/>
  </w:num>
  <w:num w:numId="44">
    <w:abstractNumId w:val="18"/>
  </w:num>
  <w:num w:numId="45">
    <w:abstractNumId w:val="22"/>
  </w:num>
  <w:num w:numId="46">
    <w:abstractNumId w:val="9"/>
  </w:num>
  <w:num w:numId="47">
    <w:abstractNumId w:val="17"/>
  </w:num>
  <w:num w:numId="48">
    <w:abstractNumId w:val="44"/>
  </w:num>
  <w:num w:numId="49">
    <w:abstractNumId w:val="43"/>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96"/>
    <w:rsid w:val="00002E9E"/>
    <w:rsid w:val="0000409F"/>
    <w:rsid w:val="00012DCD"/>
    <w:rsid w:val="00020A8A"/>
    <w:rsid w:val="000226C3"/>
    <w:rsid w:val="00034D29"/>
    <w:rsid w:val="00035D58"/>
    <w:rsid w:val="00046F4F"/>
    <w:rsid w:val="00050396"/>
    <w:rsid w:val="00054B64"/>
    <w:rsid w:val="00056434"/>
    <w:rsid w:val="0005724D"/>
    <w:rsid w:val="00084ECD"/>
    <w:rsid w:val="00086135"/>
    <w:rsid w:val="00086CA7"/>
    <w:rsid w:val="00091CED"/>
    <w:rsid w:val="00094693"/>
    <w:rsid w:val="000976EB"/>
    <w:rsid w:val="000A5268"/>
    <w:rsid w:val="000A7126"/>
    <w:rsid w:val="000A75CE"/>
    <w:rsid w:val="000B7F16"/>
    <w:rsid w:val="000C127B"/>
    <w:rsid w:val="000C2452"/>
    <w:rsid w:val="000D0D74"/>
    <w:rsid w:val="000D10C8"/>
    <w:rsid w:val="000D75F2"/>
    <w:rsid w:val="000E08FD"/>
    <w:rsid w:val="000E7048"/>
    <w:rsid w:val="000E7A58"/>
    <w:rsid w:val="000F0450"/>
    <w:rsid w:val="000F08E3"/>
    <w:rsid w:val="000F15FB"/>
    <w:rsid w:val="000F5C48"/>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3D95"/>
    <w:rsid w:val="00176CAB"/>
    <w:rsid w:val="00185A4F"/>
    <w:rsid w:val="001906DF"/>
    <w:rsid w:val="00191297"/>
    <w:rsid w:val="00195BBA"/>
    <w:rsid w:val="001A0CBE"/>
    <w:rsid w:val="001A0F9E"/>
    <w:rsid w:val="001A1C1A"/>
    <w:rsid w:val="001B2A3E"/>
    <w:rsid w:val="001C0039"/>
    <w:rsid w:val="001C68D2"/>
    <w:rsid w:val="001D078C"/>
    <w:rsid w:val="001D4485"/>
    <w:rsid w:val="001D6ABC"/>
    <w:rsid w:val="001D7CBD"/>
    <w:rsid w:val="001F4964"/>
    <w:rsid w:val="0021010D"/>
    <w:rsid w:val="002206BF"/>
    <w:rsid w:val="002227EF"/>
    <w:rsid w:val="00222B4E"/>
    <w:rsid w:val="00232C92"/>
    <w:rsid w:val="0023351E"/>
    <w:rsid w:val="002339AA"/>
    <w:rsid w:val="00236037"/>
    <w:rsid w:val="00250020"/>
    <w:rsid w:val="00254233"/>
    <w:rsid w:val="00254585"/>
    <w:rsid w:val="0025462C"/>
    <w:rsid w:val="00262882"/>
    <w:rsid w:val="002658EB"/>
    <w:rsid w:val="00275930"/>
    <w:rsid w:val="00292173"/>
    <w:rsid w:val="00293CA3"/>
    <w:rsid w:val="002B0572"/>
    <w:rsid w:val="002B2FD0"/>
    <w:rsid w:val="002B349F"/>
    <w:rsid w:val="002C02D9"/>
    <w:rsid w:val="002D022E"/>
    <w:rsid w:val="002D3E23"/>
    <w:rsid w:val="002D51D9"/>
    <w:rsid w:val="002D61CB"/>
    <w:rsid w:val="00301E1B"/>
    <w:rsid w:val="00302FA3"/>
    <w:rsid w:val="003212D7"/>
    <w:rsid w:val="0032353B"/>
    <w:rsid w:val="003252C7"/>
    <w:rsid w:val="00326FB7"/>
    <w:rsid w:val="003322A8"/>
    <w:rsid w:val="003338E3"/>
    <w:rsid w:val="003365D7"/>
    <w:rsid w:val="0034375E"/>
    <w:rsid w:val="003541AF"/>
    <w:rsid w:val="003555F4"/>
    <w:rsid w:val="00356AB3"/>
    <w:rsid w:val="0035700F"/>
    <w:rsid w:val="00360887"/>
    <w:rsid w:val="00371DDA"/>
    <w:rsid w:val="00373A95"/>
    <w:rsid w:val="0037770B"/>
    <w:rsid w:val="00382AE2"/>
    <w:rsid w:val="00384479"/>
    <w:rsid w:val="00386E07"/>
    <w:rsid w:val="0039092C"/>
    <w:rsid w:val="00391DC8"/>
    <w:rsid w:val="003A2343"/>
    <w:rsid w:val="003B29C6"/>
    <w:rsid w:val="003B2E34"/>
    <w:rsid w:val="003C69D6"/>
    <w:rsid w:val="003D1B7F"/>
    <w:rsid w:val="003D2BAC"/>
    <w:rsid w:val="003E2981"/>
    <w:rsid w:val="003E4BE3"/>
    <w:rsid w:val="003E4C2B"/>
    <w:rsid w:val="003F162E"/>
    <w:rsid w:val="00410B77"/>
    <w:rsid w:val="00420456"/>
    <w:rsid w:val="00423640"/>
    <w:rsid w:val="004269A0"/>
    <w:rsid w:val="004417F6"/>
    <w:rsid w:val="00447765"/>
    <w:rsid w:val="00452159"/>
    <w:rsid w:val="00455C03"/>
    <w:rsid w:val="00455F55"/>
    <w:rsid w:val="00457B06"/>
    <w:rsid w:val="0046082D"/>
    <w:rsid w:val="004635EB"/>
    <w:rsid w:val="00465770"/>
    <w:rsid w:val="004659BC"/>
    <w:rsid w:val="004816B6"/>
    <w:rsid w:val="0049342D"/>
    <w:rsid w:val="0049523B"/>
    <w:rsid w:val="004A79C0"/>
    <w:rsid w:val="004B3B72"/>
    <w:rsid w:val="004C03CA"/>
    <w:rsid w:val="004D4A5A"/>
    <w:rsid w:val="004D6528"/>
    <w:rsid w:val="004E1632"/>
    <w:rsid w:val="004E7EB6"/>
    <w:rsid w:val="004F04F0"/>
    <w:rsid w:val="004F6178"/>
    <w:rsid w:val="00500009"/>
    <w:rsid w:val="0050243A"/>
    <w:rsid w:val="00505A71"/>
    <w:rsid w:val="005069DC"/>
    <w:rsid w:val="00514E44"/>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5582"/>
    <w:rsid w:val="005A660A"/>
    <w:rsid w:val="005A676F"/>
    <w:rsid w:val="005B086D"/>
    <w:rsid w:val="005B2877"/>
    <w:rsid w:val="005B37A3"/>
    <w:rsid w:val="005C0D0D"/>
    <w:rsid w:val="005C2E4C"/>
    <w:rsid w:val="005D0B01"/>
    <w:rsid w:val="005D1AC4"/>
    <w:rsid w:val="005D4719"/>
    <w:rsid w:val="005D5FFC"/>
    <w:rsid w:val="005D7611"/>
    <w:rsid w:val="005E245B"/>
    <w:rsid w:val="005E71A0"/>
    <w:rsid w:val="005F12E1"/>
    <w:rsid w:val="00604124"/>
    <w:rsid w:val="00606536"/>
    <w:rsid w:val="0061021C"/>
    <w:rsid w:val="006210CC"/>
    <w:rsid w:val="00623C70"/>
    <w:rsid w:val="00624B9D"/>
    <w:rsid w:val="00627D88"/>
    <w:rsid w:val="0063003A"/>
    <w:rsid w:val="006308F7"/>
    <w:rsid w:val="006406FB"/>
    <w:rsid w:val="006467FE"/>
    <w:rsid w:val="00647498"/>
    <w:rsid w:val="00657C4B"/>
    <w:rsid w:val="00660697"/>
    <w:rsid w:val="00660947"/>
    <w:rsid w:val="00661C71"/>
    <w:rsid w:val="00662984"/>
    <w:rsid w:val="006667DD"/>
    <w:rsid w:val="00671F22"/>
    <w:rsid w:val="00672476"/>
    <w:rsid w:val="00682A74"/>
    <w:rsid w:val="006871FC"/>
    <w:rsid w:val="006908F0"/>
    <w:rsid w:val="00692866"/>
    <w:rsid w:val="006928F2"/>
    <w:rsid w:val="00695683"/>
    <w:rsid w:val="00696308"/>
    <w:rsid w:val="006C23BC"/>
    <w:rsid w:val="006D0323"/>
    <w:rsid w:val="006D0FC5"/>
    <w:rsid w:val="006D29C2"/>
    <w:rsid w:val="006D5F46"/>
    <w:rsid w:val="006E32EF"/>
    <w:rsid w:val="006E50A2"/>
    <w:rsid w:val="006E659C"/>
    <w:rsid w:val="006F3E34"/>
    <w:rsid w:val="006F3E9B"/>
    <w:rsid w:val="007063FE"/>
    <w:rsid w:val="007151B2"/>
    <w:rsid w:val="00716D7E"/>
    <w:rsid w:val="00724C7C"/>
    <w:rsid w:val="00726EB3"/>
    <w:rsid w:val="00742758"/>
    <w:rsid w:val="00756DE7"/>
    <w:rsid w:val="0076623F"/>
    <w:rsid w:val="007708E5"/>
    <w:rsid w:val="00775125"/>
    <w:rsid w:val="00786176"/>
    <w:rsid w:val="007910D2"/>
    <w:rsid w:val="0079553F"/>
    <w:rsid w:val="0079633E"/>
    <w:rsid w:val="007A2355"/>
    <w:rsid w:val="007A3E96"/>
    <w:rsid w:val="007A6C70"/>
    <w:rsid w:val="007A7B46"/>
    <w:rsid w:val="007A7B96"/>
    <w:rsid w:val="007C0337"/>
    <w:rsid w:val="007C1C48"/>
    <w:rsid w:val="007C2AA4"/>
    <w:rsid w:val="007C2C10"/>
    <w:rsid w:val="007C5C04"/>
    <w:rsid w:val="007D215A"/>
    <w:rsid w:val="007D2D9C"/>
    <w:rsid w:val="007D3ABC"/>
    <w:rsid w:val="007D6005"/>
    <w:rsid w:val="007D6B43"/>
    <w:rsid w:val="007E0421"/>
    <w:rsid w:val="007E46BE"/>
    <w:rsid w:val="007E4FFC"/>
    <w:rsid w:val="007F4262"/>
    <w:rsid w:val="007F55A9"/>
    <w:rsid w:val="00801308"/>
    <w:rsid w:val="00825DA8"/>
    <w:rsid w:val="008275BE"/>
    <w:rsid w:val="00841DE9"/>
    <w:rsid w:val="008422B6"/>
    <w:rsid w:val="00845D3B"/>
    <w:rsid w:val="008539AE"/>
    <w:rsid w:val="008621EC"/>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A736A"/>
    <w:rsid w:val="008B0641"/>
    <w:rsid w:val="008B0D3C"/>
    <w:rsid w:val="008B7298"/>
    <w:rsid w:val="008C3A04"/>
    <w:rsid w:val="008C5E24"/>
    <w:rsid w:val="008C6FBE"/>
    <w:rsid w:val="008D070F"/>
    <w:rsid w:val="008D0D4B"/>
    <w:rsid w:val="008D397A"/>
    <w:rsid w:val="008D55DA"/>
    <w:rsid w:val="008E1635"/>
    <w:rsid w:val="008E2A33"/>
    <w:rsid w:val="008E4DBB"/>
    <w:rsid w:val="008E7B92"/>
    <w:rsid w:val="008F1744"/>
    <w:rsid w:val="008F25F2"/>
    <w:rsid w:val="008F2792"/>
    <w:rsid w:val="008F7676"/>
    <w:rsid w:val="008F7721"/>
    <w:rsid w:val="00900DA4"/>
    <w:rsid w:val="009043A9"/>
    <w:rsid w:val="00905B53"/>
    <w:rsid w:val="00907196"/>
    <w:rsid w:val="009114DC"/>
    <w:rsid w:val="009135FD"/>
    <w:rsid w:val="00915571"/>
    <w:rsid w:val="00920098"/>
    <w:rsid w:val="00931936"/>
    <w:rsid w:val="00932AF7"/>
    <w:rsid w:val="00947469"/>
    <w:rsid w:val="009475B5"/>
    <w:rsid w:val="00950CFE"/>
    <w:rsid w:val="0095494B"/>
    <w:rsid w:val="009625F1"/>
    <w:rsid w:val="00963B3C"/>
    <w:rsid w:val="009725D1"/>
    <w:rsid w:val="00980E9F"/>
    <w:rsid w:val="009832C5"/>
    <w:rsid w:val="009858ED"/>
    <w:rsid w:val="009862E9"/>
    <w:rsid w:val="009919A6"/>
    <w:rsid w:val="00995077"/>
    <w:rsid w:val="00997962"/>
    <w:rsid w:val="009A2F90"/>
    <w:rsid w:val="009A7596"/>
    <w:rsid w:val="009B0A73"/>
    <w:rsid w:val="009B3397"/>
    <w:rsid w:val="009C52CE"/>
    <w:rsid w:val="009D28BF"/>
    <w:rsid w:val="009D33BD"/>
    <w:rsid w:val="009D4923"/>
    <w:rsid w:val="009D56FA"/>
    <w:rsid w:val="009E2D1B"/>
    <w:rsid w:val="009E3742"/>
    <w:rsid w:val="009F37BF"/>
    <w:rsid w:val="009F603E"/>
    <w:rsid w:val="009F63FE"/>
    <w:rsid w:val="00A03233"/>
    <w:rsid w:val="00A07F7E"/>
    <w:rsid w:val="00A15D80"/>
    <w:rsid w:val="00A23DC8"/>
    <w:rsid w:val="00A24767"/>
    <w:rsid w:val="00A37D61"/>
    <w:rsid w:val="00A574D0"/>
    <w:rsid w:val="00A71BBE"/>
    <w:rsid w:val="00A71F5A"/>
    <w:rsid w:val="00A75A6C"/>
    <w:rsid w:val="00A77FFE"/>
    <w:rsid w:val="00A927CA"/>
    <w:rsid w:val="00A9713D"/>
    <w:rsid w:val="00A97E3B"/>
    <w:rsid w:val="00AA346B"/>
    <w:rsid w:val="00AB04CC"/>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4FD7"/>
    <w:rsid w:val="00B6596E"/>
    <w:rsid w:val="00B66407"/>
    <w:rsid w:val="00B67722"/>
    <w:rsid w:val="00B80316"/>
    <w:rsid w:val="00B87956"/>
    <w:rsid w:val="00BA0EEE"/>
    <w:rsid w:val="00BA321E"/>
    <w:rsid w:val="00BA6F94"/>
    <w:rsid w:val="00BB5751"/>
    <w:rsid w:val="00BE620D"/>
    <w:rsid w:val="00BF3526"/>
    <w:rsid w:val="00BF6446"/>
    <w:rsid w:val="00C01510"/>
    <w:rsid w:val="00C16CC6"/>
    <w:rsid w:val="00C1732D"/>
    <w:rsid w:val="00C234FD"/>
    <w:rsid w:val="00C23599"/>
    <w:rsid w:val="00C26A24"/>
    <w:rsid w:val="00C3202C"/>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B543A"/>
    <w:rsid w:val="00CC0031"/>
    <w:rsid w:val="00CC0A8A"/>
    <w:rsid w:val="00CC21CA"/>
    <w:rsid w:val="00CC341C"/>
    <w:rsid w:val="00CD1C9C"/>
    <w:rsid w:val="00CD251A"/>
    <w:rsid w:val="00CD33FD"/>
    <w:rsid w:val="00CD3719"/>
    <w:rsid w:val="00CD46E3"/>
    <w:rsid w:val="00CE2287"/>
    <w:rsid w:val="00CE6567"/>
    <w:rsid w:val="00CF51FB"/>
    <w:rsid w:val="00CF6B69"/>
    <w:rsid w:val="00D01705"/>
    <w:rsid w:val="00D02834"/>
    <w:rsid w:val="00D0302B"/>
    <w:rsid w:val="00D052D1"/>
    <w:rsid w:val="00D06FFF"/>
    <w:rsid w:val="00D07689"/>
    <w:rsid w:val="00D1291D"/>
    <w:rsid w:val="00D12F2C"/>
    <w:rsid w:val="00D155A5"/>
    <w:rsid w:val="00D20EFA"/>
    <w:rsid w:val="00D253A2"/>
    <w:rsid w:val="00D25583"/>
    <w:rsid w:val="00D265B2"/>
    <w:rsid w:val="00D26F94"/>
    <w:rsid w:val="00D40BCA"/>
    <w:rsid w:val="00D54912"/>
    <w:rsid w:val="00D61AFE"/>
    <w:rsid w:val="00D63596"/>
    <w:rsid w:val="00D63A53"/>
    <w:rsid w:val="00D7051E"/>
    <w:rsid w:val="00D73459"/>
    <w:rsid w:val="00D7736D"/>
    <w:rsid w:val="00D854EE"/>
    <w:rsid w:val="00D8556A"/>
    <w:rsid w:val="00D91125"/>
    <w:rsid w:val="00DA0DC7"/>
    <w:rsid w:val="00DA22A7"/>
    <w:rsid w:val="00DA2482"/>
    <w:rsid w:val="00DA7627"/>
    <w:rsid w:val="00DB0EFB"/>
    <w:rsid w:val="00DB7AA6"/>
    <w:rsid w:val="00DC1744"/>
    <w:rsid w:val="00DC3AD7"/>
    <w:rsid w:val="00DC4B5E"/>
    <w:rsid w:val="00DC4CD5"/>
    <w:rsid w:val="00DC5F3E"/>
    <w:rsid w:val="00DD351B"/>
    <w:rsid w:val="00DD4460"/>
    <w:rsid w:val="00DD6778"/>
    <w:rsid w:val="00DD6B00"/>
    <w:rsid w:val="00DE2F8C"/>
    <w:rsid w:val="00DF76B9"/>
    <w:rsid w:val="00E02786"/>
    <w:rsid w:val="00E1067F"/>
    <w:rsid w:val="00E17A3A"/>
    <w:rsid w:val="00E2038F"/>
    <w:rsid w:val="00E33480"/>
    <w:rsid w:val="00E34C43"/>
    <w:rsid w:val="00E432DA"/>
    <w:rsid w:val="00E4476E"/>
    <w:rsid w:val="00E50CEA"/>
    <w:rsid w:val="00E52349"/>
    <w:rsid w:val="00E57AD2"/>
    <w:rsid w:val="00E646EF"/>
    <w:rsid w:val="00E67F55"/>
    <w:rsid w:val="00E740DD"/>
    <w:rsid w:val="00E81150"/>
    <w:rsid w:val="00E96745"/>
    <w:rsid w:val="00EA4157"/>
    <w:rsid w:val="00EA5DFB"/>
    <w:rsid w:val="00EB0161"/>
    <w:rsid w:val="00EC3500"/>
    <w:rsid w:val="00EC5690"/>
    <w:rsid w:val="00ED161A"/>
    <w:rsid w:val="00ED2621"/>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137FD"/>
    <w:rsid w:val="00F23BC5"/>
    <w:rsid w:val="00F24C13"/>
    <w:rsid w:val="00F24FC5"/>
    <w:rsid w:val="00F339D0"/>
    <w:rsid w:val="00F33A67"/>
    <w:rsid w:val="00F34FBC"/>
    <w:rsid w:val="00F422EA"/>
    <w:rsid w:val="00F50A8A"/>
    <w:rsid w:val="00F60242"/>
    <w:rsid w:val="00F62AF8"/>
    <w:rsid w:val="00F73C73"/>
    <w:rsid w:val="00FA15CE"/>
    <w:rsid w:val="00FA4918"/>
    <w:rsid w:val="00FA7965"/>
    <w:rsid w:val="00FB2C04"/>
    <w:rsid w:val="00FB5E6E"/>
    <w:rsid w:val="00FC0D90"/>
    <w:rsid w:val="00FC281C"/>
    <w:rsid w:val="00FD29A9"/>
    <w:rsid w:val="00FD5902"/>
    <w:rsid w:val="00FE0482"/>
    <w:rsid w:val="00FE2E79"/>
    <w:rsid w:val="00FF21FD"/>
    <w:rsid w:val="00FF3A2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AC749A"/>
  <w15:docId w15:val="{A30AB90C-4EDE-423E-90C0-F69F27E3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C92"/>
    <w:rPr>
      <w:sz w:val="24"/>
      <w:szCs w:val="24"/>
      <w:lang w:eastAsia="en-US"/>
    </w:rPr>
  </w:style>
  <w:style w:type="paragraph" w:styleId="Heading2">
    <w:name w:val="heading 2"/>
    <w:basedOn w:val="Normal"/>
    <w:link w:val="Heading2Char"/>
    <w:uiPriority w:val="9"/>
    <w:qFormat/>
    <w:rsid w:val="004417F6"/>
    <w:pPr>
      <w:spacing w:before="100" w:beforeAutospacing="1" w:after="100" w:afterAutospacing="1"/>
      <w:outlineLvl w:val="1"/>
    </w:pPr>
    <w:rPr>
      <w:b/>
      <w:bCs/>
      <w:sz w:val="36"/>
      <w:szCs w:val="36"/>
      <w:lang w:bidi="hi-IN"/>
    </w:rPr>
  </w:style>
  <w:style w:type="paragraph" w:styleId="Heading3">
    <w:name w:val="heading 3"/>
    <w:basedOn w:val="Normal"/>
    <w:next w:val="Normal"/>
    <w:link w:val="Heading3Char"/>
    <w:uiPriority w:val="9"/>
    <w:semiHidden/>
    <w:unhideWhenUsed/>
    <w:qFormat/>
    <w:rsid w:val="000A75CE"/>
    <w:pPr>
      <w:keepNext/>
      <w:spacing w:before="240" w:after="60"/>
      <w:outlineLvl w:val="2"/>
    </w:pPr>
    <w:rPr>
      <w:rFonts w:ascii="Cambria" w:eastAsia="Times New Roman" w:hAnsi="Cambria" w:cs="Mangal"/>
      <w:b/>
      <w:bCs/>
      <w:sz w:val="26"/>
      <w:szCs w:val="26"/>
    </w:rPr>
  </w:style>
  <w:style w:type="paragraph" w:styleId="Heading4">
    <w:name w:val="heading 4"/>
    <w:basedOn w:val="Normal"/>
    <w:next w:val="Normal"/>
    <w:link w:val="Heading4Char"/>
    <w:uiPriority w:val="9"/>
    <w:semiHidden/>
    <w:unhideWhenUsed/>
    <w:qFormat/>
    <w:rsid w:val="008539AE"/>
    <w:pPr>
      <w:keepNext/>
      <w:spacing w:before="240" w:after="60"/>
      <w:outlineLvl w:val="3"/>
    </w:pPr>
    <w:rPr>
      <w:rFonts w:ascii="Calibri" w:eastAsia="Times New Roman" w:hAnsi="Calibr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21FD"/>
    <w:rPr>
      <w:rFonts w:ascii="Tahoma" w:hAnsi="Tahoma" w:cs="Tahoma"/>
      <w:sz w:val="16"/>
      <w:szCs w:val="16"/>
    </w:rPr>
  </w:style>
  <w:style w:type="paragraph" w:styleId="Footer">
    <w:name w:val="footer"/>
    <w:basedOn w:val="Normal"/>
    <w:link w:val="FooterChar"/>
    <w:uiPriority w:val="99"/>
    <w:rsid w:val="008F7676"/>
    <w:pPr>
      <w:tabs>
        <w:tab w:val="center" w:pos="4320"/>
        <w:tab w:val="right" w:pos="8640"/>
      </w:tabs>
    </w:pPr>
  </w:style>
  <w:style w:type="character" w:styleId="PageNumber">
    <w:name w:val="page number"/>
    <w:basedOn w:val="DefaultParagraphFont"/>
    <w:rsid w:val="008F7676"/>
  </w:style>
  <w:style w:type="character" w:styleId="Hyperlink">
    <w:name w:val="Hyperlink"/>
    <w:basedOn w:val="DefaultParagraphFont"/>
    <w:unhideWhenUsed/>
    <w:rsid w:val="009D33BD"/>
    <w:rPr>
      <w:color w:val="0000FF"/>
      <w:u w:val="single"/>
    </w:rPr>
  </w:style>
  <w:style w:type="paragraph" w:styleId="Header">
    <w:name w:val="header"/>
    <w:basedOn w:val="Normal"/>
    <w:link w:val="HeaderChar"/>
    <w:uiPriority w:val="99"/>
    <w:unhideWhenUsed/>
    <w:rsid w:val="00DC3AD7"/>
    <w:pPr>
      <w:tabs>
        <w:tab w:val="center" w:pos="4680"/>
        <w:tab w:val="right" w:pos="9360"/>
      </w:tabs>
    </w:pPr>
  </w:style>
  <w:style w:type="character" w:customStyle="1" w:styleId="HeaderChar">
    <w:name w:val="Header Char"/>
    <w:basedOn w:val="DefaultParagraphFont"/>
    <w:link w:val="Header"/>
    <w:uiPriority w:val="99"/>
    <w:rsid w:val="00DC3AD7"/>
    <w:rPr>
      <w:sz w:val="24"/>
      <w:szCs w:val="24"/>
    </w:rPr>
  </w:style>
  <w:style w:type="paragraph" w:styleId="FootnoteText">
    <w:name w:val="footnote text"/>
    <w:basedOn w:val="Normal"/>
    <w:link w:val="FootnoteTextChar"/>
    <w:uiPriority w:val="99"/>
    <w:semiHidden/>
    <w:rsid w:val="0063003A"/>
    <w:rPr>
      <w:sz w:val="20"/>
      <w:szCs w:val="20"/>
    </w:rPr>
  </w:style>
  <w:style w:type="character" w:customStyle="1" w:styleId="FootnoteTextChar">
    <w:name w:val="Footnote Text Char"/>
    <w:basedOn w:val="DefaultParagraphFont"/>
    <w:link w:val="FootnoteText"/>
    <w:uiPriority w:val="99"/>
    <w:semiHidden/>
    <w:rsid w:val="0063003A"/>
  </w:style>
  <w:style w:type="character" w:customStyle="1" w:styleId="Heading2Char">
    <w:name w:val="Heading 2 Char"/>
    <w:basedOn w:val="DefaultParagraphFont"/>
    <w:link w:val="Heading2"/>
    <w:uiPriority w:val="9"/>
    <w:rsid w:val="004417F6"/>
    <w:rPr>
      <w:b/>
      <w:bCs/>
      <w:sz w:val="36"/>
      <w:szCs w:val="36"/>
    </w:rPr>
  </w:style>
  <w:style w:type="paragraph" w:styleId="NormalWeb">
    <w:name w:val="Normal (Web)"/>
    <w:basedOn w:val="Normal"/>
    <w:uiPriority w:val="99"/>
    <w:unhideWhenUsed/>
    <w:rsid w:val="0079633E"/>
    <w:pPr>
      <w:spacing w:before="100" w:beforeAutospacing="1" w:after="100" w:afterAutospacing="1"/>
    </w:pPr>
    <w:rPr>
      <w:lang w:bidi="hi-IN"/>
    </w:rPr>
  </w:style>
  <w:style w:type="character" w:styleId="Strong">
    <w:name w:val="Strong"/>
    <w:basedOn w:val="DefaultParagraphFont"/>
    <w:uiPriority w:val="22"/>
    <w:qFormat/>
    <w:rsid w:val="0079633E"/>
    <w:rPr>
      <w:b/>
      <w:bCs/>
    </w:rPr>
  </w:style>
  <w:style w:type="character" w:styleId="Emphasis">
    <w:name w:val="Emphasis"/>
    <w:basedOn w:val="DefaultParagraphFont"/>
    <w:uiPriority w:val="20"/>
    <w:qFormat/>
    <w:rsid w:val="00091CED"/>
    <w:rPr>
      <w:i/>
      <w:iCs/>
    </w:rPr>
  </w:style>
  <w:style w:type="character" w:styleId="FootnoteReference">
    <w:name w:val="footnote reference"/>
    <w:basedOn w:val="DefaultParagraphFont"/>
    <w:uiPriority w:val="99"/>
    <w:semiHidden/>
    <w:unhideWhenUsed/>
    <w:rsid w:val="00091CED"/>
    <w:rPr>
      <w:vertAlign w:val="superscript"/>
    </w:rPr>
  </w:style>
  <w:style w:type="character" w:customStyle="1" w:styleId="word-size-increase">
    <w:name w:val="word-size-increase"/>
    <w:basedOn w:val="DefaultParagraphFont"/>
    <w:rsid w:val="00FA7965"/>
  </w:style>
  <w:style w:type="character" w:customStyle="1" w:styleId="FooterChar">
    <w:name w:val="Footer Char"/>
    <w:basedOn w:val="DefaultParagraphFont"/>
    <w:link w:val="Footer"/>
    <w:uiPriority w:val="99"/>
    <w:rsid w:val="00CB543A"/>
    <w:rPr>
      <w:sz w:val="24"/>
      <w:szCs w:val="24"/>
      <w:lang w:bidi="ar-SA"/>
    </w:rPr>
  </w:style>
  <w:style w:type="character" w:customStyle="1" w:styleId="anchor-text">
    <w:name w:val="anchor-text"/>
    <w:basedOn w:val="DefaultParagraphFont"/>
    <w:rsid w:val="00B64FD7"/>
  </w:style>
  <w:style w:type="character" w:customStyle="1" w:styleId="Heading3Char">
    <w:name w:val="Heading 3 Char"/>
    <w:basedOn w:val="DefaultParagraphFont"/>
    <w:link w:val="Heading3"/>
    <w:uiPriority w:val="9"/>
    <w:semiHidden/>
    <w:rsid w:val="000A75CE"/>
    <w:rPr>
      <w:rFonts w:ascii="Cambria" w:eastAsia="Times New Roman" w:hAnsi="Cambria" w:cs="Mangal"/>
      <w:b/>
      <w:bCs/>
      <w:sz w:val="26"/>
      <w:szCs w:val="26"/>
      <w:lang w:bidi="ar-SA"/>
    </w:rPr>
  </w:style>
  <w:style w:type="character" w:customStyle="1" w:styleId="label">
    <w:name w:val="label"/>
    <w:basedOn w:val="DefaultParagraphFont"/>
    <w:rsid w:val="000A75CE"/>
  </w:style>
  <w:style w:type="character" w:styleId="HTMLCite">
    <w:name w:val="HTML Cite"/>
    <w:basedOn w:val="DefaultParagraphFont"/>
    <w:uiPriority w:val="99"/>
    <w:semiHidden/>
    <w:unhideWhenUsed/>
    <w:rsid w:val="000A75CE"/>
    <w:rPr>
      <w:i/>
      <w:iCs/>
    </w:rPr>
  </w:style>
  <w:style w:type="character" w:customStyle="1" w:styleId="Heading4Char">
    <w:name w:val="Heading 4 Char"/>
    <w:basedOn w:val="DefaultParagraphFont"/>
    <w:link w:val="Heading4"/>
    <w:uiPriority w:val="9"/>
    <w:semiHidden/>
    <w:rsid w:val="008539AE"/>
    <w:rPr>
      <w:rFonts w:ascii="Calibri" w:eastAsia="Times New Roman" w:hAnsi="Calibri" w:cs="Mangal"/>
      <w:b/>
      <w:bCs/>
      <w:sz w:val="28"/>
      <w:szCs w:val="28"/>
      <w:lang w:bidi="ar-SA"/>
    </w:rPr>
  </w:style>
  <w:style w:type="character" w:customStyle="1" w:styleId="html-italic">
    <w:name w:val="html-italic"/>
    <w:basedOn w:val="DefaultParagraphFont"/>
    <w:rsid w:val="008539AE"/>
  </w:style>
  <w:style w:type="character" w:styleId="UnresolvedMention">
    <w:name w:val="Unresolved Mention"/>
    <w:basedOn w:val="DefaultParagraphFont"/>
    <w:uiPriority w:val="99"/>
    <w:semiHidden/>
    <w:unhideWhenUsed/>
    <w:rsid w:val="00D7736D"/>
    <w:rPr>
      <w:color w:val="605E5C"/>
      <w:shd w:val="clear" w:color="auto" w:fill="E1DFDD"/>
    </w:rPr>
  </w:style>
  <w:style w:type="paragraph" w:styleId="ListParagraph">
    <w:name w:val="List Paragraph"/>
    <w:basedOn w:val="Normal"/>
    <w:uiPriority w:val="34"/>
    <w:qFormat/>
    <w:rsid w:val="009950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19904771">
      <w:bodyDiv w:val="1"/>
      <w:marLeft w:val="0"/>
      <w:marRight w:val="0"/>
      <w:marTop w:val="0"/>
      <w:marBottom w:val="0"/>
      <w:divBdr>
        <w:top w:val="none" w:sz="0" w:space="0" w:color="auto"/>
        <w:left w:val="none" w:sz="0" w:space="0" w:color="auto"/>
        <w:bottom w:val="none" w:sz="0" w:space="0" w:color="auto"/>
        <w:right w:val="none" w:sz="0" w:space="0" w:color="auto"/>
      </w:divBdr>
      <w:divsChild>
        <w:div w:id="838927437">
          <w:marLeft w:val="0"/>
          <w:marRight w:val="0"/>
          <w:marTop w:val="0"/>
          <w:marBottom w:val="0"/>
          <w:divBdr>
            <w:top w:val="none" w:sz="0" w:space="0" w:color="auto"/>
            <w:left w:val="none" w:sz="0" w:space="0" w:color="auto"/>
            <w:bottom w:val="none" w:sz="0" w:space="0" w:color="auto"/>
            <w:right w:val="none" w:sz="0" w:space="0" w:color="auto"/>
          </w:divBdr>
        </w:div>
        <w:div w:id="1901600184">
          <w:marLeft w:val="0"/>
          <w:marRight w:val="0"/>
          <w:marTop w:val="0"/>
          <w:marBottom w:val="0"/>
          <w:divBdr>
            <w:top w:val="none" w:sz="0" w:space="0" w:color="auto"/>
            <w:left w:val="none" w:sz="0" w:space="0" w:color="auto"/>
            <w:bottom w:val="none" w:sz="0" w:space="0" w:color="auto"/>
            <w:right w:val="none" w:sz="0" w:space="0" w:color="auto"/>
          </w:divBdr>
        </w:div>
      </w:divsChild>
    </w:div>
    <w:div w:id="312101810">
      <w:bodyDiv w:val="1"/>
      <w:marLeft w:val="0"/>
      <w:marRight w:val="0"/>
      <w:marTop w:val="0"/>
      <w:marBottom w:val="0"/>
      <w:divBdr>
        <w:top w:val="none" w:sz="0" w:space="0" w:color="auto"/>
        <w:left w:val="none" w:sz="0" w:space="0" w:color="auto"/>
        <w:bottom w:val="none" w:sz="0" w:space="0" w:color="auto"/>
        <w:right w:val="none" w:sz="0" w:space="0" w:color="auto"/>
      </w:divBdr>
    </w:div>
    <w:div w:id="350767435">
      <w:bodyDiv w:val="1"/>
      <w:marLeft w:val="0"/>
      <w:marRight w:val="0"/>
      <w:marTop w:val="0"/>
      <w:marBottom w:val="0"/>
      <w:divBdr>
        <w:top w:val="none" w:sz="0" w:space="0" w:color="auto"/>
        <w:left w:val="none" w:sz="0" w:space="0" w:color="auto"/>
        <w:bottom w:val="none" w:sz="0" w:space="0" w:color="auto"/>
        <w:right w:val="none" w:sz="0" w:space="0" w:color="auto"/>
      </w:divBdr>
      <w:divsChild>
        <w:div w:id="208996764">
          <w:marLeft w:val="0"/>
          <w:marRight w:val="0"/>
          <w:marTop w:val="0"/>
          <w:marBottom w:val="0"/>
          <w:divBdr>
            <w:top w:val="none" w:sz="0" w:space="0" w:color="auto"/>
            <w:left w:val="none" w:sz="0" w:space="0" w:color="auto"/>
            <w:bottom w:val="none" w:sz="0" w:space="0" w:color="auto"/>
            <w:right w:val="none" w:sz="0" w:space="0" w:color="auto"/>
          </w:divBdr>
        </w:div>
        <w:div w:id="682709645">
          <w:marLeft w:val="0"/>
          <w:marRight w:val="0"/>
          <w:marTop w:val="0"/>
          <w:marBottom w:val="0"/>
          <w:divBdr>
            <w:top w:val="none" w:sz="0" w:space="0" w:color="auto"/>
            <w:left w:val="none" w:sz="0" w:space="0" w:color="auto"/>
            <w:bottom w:val="none" w:sz="0" w:space="0" w:color="auto"/>
            <w:right w:val="none" w:sz="0" w:space="0" w:color="auto"/>
          </w:divBdr>
        </w:div>
        <w:div w:id="786579597">
          <w:marLeft w:val="0"/>
          <w:marRight w:val="0"/>
          <w:marTop w:val="0"/>
          <w:marBottom w:val="0"/>
          <w:divBdr>
            <w:top w:val="none" w:sz="0" w:space="0" w:color="auto"/>
            <w:left w:val="none" w:sz="0" w:space="0" w:color="auto"/>
            <w:bottom w:val="none" w:sz="0" w:space="0" w:color="auto"/>
            <w:right w:val="none" w:sz="0" w:space="0" w:color="auto"/>
          </w:divBdr>
        </w:div>
        <w:div w:id="813067068">
          <w:marLeft w:val="0"/>
          <w:marRight w:val="0"/>
          <w:marTop w:val="0"/>
          <w:marBottom w:val="0"/>
          <w:divBdr>
            <w:top w:val="none" w:sz="0" w:space="0" w:color="auto"/>
            <w:left w:val="none" w:sz="0" w:space="0" w:color="auto"/>
            <w:bottom w:val="none" w:sz="0" w:space="0" w:color="auto"/>
            <w:right w:val="none" w:sz="0" w:space="0" w:color="auto"/>
          </w:divBdr>
        </w:div>
        <w:div w:id="1972713063">
          <w:marLeft w:val="0"/>
          <w:marRight w:val="0"/>
          <w:marTop w:val="0"/>
          <w:marBottom w:val="0"/>
          <w:divBdr>
            <w:top w:val="none" w:sz="0" w:space="0" w:color="auto"/>
            <w:left w:val="none" w:sz="0" w:space="0" w:color="auto"/>
            <w:bottom w:val="none" w:sz="0" w:space="0" w:color="auto"/>
            <w:right w:val="none" w:sz="0" w:space="0" w:color="auto"/>
          </w:divBdr>
        </w:div>
      </w:divsChild>
    </w:div>
    <w:div w:id="633098733">
      <w:bodyDiv w:val="1"/>
      <w:marLeft w:val="0"/>
      <w:marRight w:val="0"/>
      <w:marTop w:val="0"/>
      <w:marBottom w:val="0"/>
      <w:divBdr>
        <w:top w:val="none" w:sz="0" w:space="0" w:color="auto"/>
        <w:left w:val="none" w:sz="0" w:space="0" w:color="auto"/>
        <w:bottom w:val="none" w:sz="0" w:space="0" w:color="auto"/>
        <w:right w:val="none" w:sz="0" w:space="0" w:color="auto"/>
      </w:divBdr>
    </w:div>
    <w:div w:id="681591493">
      <w:bodyDiv w:val="1"/>
      <w:marLeft w:val="0"/>
      <w:marRight w:val="0"/>
      <w:marTop w:val="0"/>
      <w:marBottom w:val="0"/>
      <w:divBdr>
        <w:top w:val="none" w:sz="0" w:space="0" w:color="auto"/>
        <w:left w:val="none" w:sz="0" w:space="0" w:color="auto"/>
        <w:bottom w:val="none" w:sz="0" w:space="0" w:color="auto"/>
        <w:right w:val="none" w:sz="0" w:space="0" w:color="auto"/>
      </w:divBdr>
      <w:divsChild>
        <w:div w:id="203642123">
          <w:marLeft w:val="0"/>
          <w:marRight w:val="0"/>
          <w:marTop w:val="0"/>
          <w:marBottom w:val="0"/>
          <w:divBdr>
            <w:top w:val="none" w:sz="0" w:space="0" w:color="auto"/>
            <w:left w:val="none" w:sz="0" w:space="0" w:color="auto"/>
            <w:bottom w:val="none" w:sz="0" w:space="0" w:color="auto"/>
            <w:right w:val="none" w:sz="0" w:space="0" w:color="auto"/>
          </w:divBdr>
        </w:div>
        <w:div w:id="381952390">
          <w:marLeft w:val="0"/>
          <w:marRight w:val="0"/>
          <w:marTop w:val="0"/>
          <w:marBottom w:val="0"/>
          <w:divBdr>
            <w:top w:val="none" w:sz="0" w:space="0" w:color="auto"/>
            <w:left w:val="none" w:sz="0" w:space="0" w:color="auto"/>
            <w:bottom w:val="none" w:sz="0" w:space="0" w:color="auto"/>
            <w:right w:val="none" w:sz="0" w:space="0" w:color="auto"/>
          </w:divBdr>
        </w:div>
        <w:div w:id="513956251">
          <w:marLeft w:val="0"/>
          <w:marRight w:val="0"/>
          <w:marTop w:val="0"/>
          <w:marBottom w:val="0"/>
          <w:divBdr>
            <w:top w:val="none" w:sz="0" w:space="0" w:color="auto"/>
            <w:left w:val="none" w:sz="0" w:space="0" w:color="auto"/>
            <w:bottom w:val="none" w:sz="0" w:space="0" w:color="auto"/>
            <w:right w:val="none" w:sz="0" w:space="0" w:color="auto"/>
          </w:divBdr>
          <w:divsChild>
            <w:div w:id="462240045">
              <w:marLeft w:val="0"/>
              <w:marRight w:val="0"/>
              <w:marTop w:val="0"/>
              <w:marBottom w:val="0"/>
              <w:divBdr>
                <w:top w:val="none" w:sz="0" w:space="0" w:color="auto"/>
                <w:left w:val="none" w:sz="0" w:space="0" w:color="auto"/>
                <w:bottom w:val="none" w:sz="0" w:space="0" w:color="auto"/>
                <w:right w:val="none" w:sz="0" w:space="0" w:color="auto"/>
              </w:divBdr>
            </w:div>
          </w:divsChild>
        </w:div>
        <w:div w:id="786199599">
          <w:marLeft w:val="0"/>
          <w:marRight w:val="0"/>
          <w:marTop w:val="0"/>
          <w:marBottom w:val="0"/>
          <w:divBdr>
            <w:top w:val="none" w:sz="0" w:space="0" w:color="auto"/>
            <w:left w:val="none" w:sz="0" w:space="0" w:color="auto"/>
            <w:bottom w:val="none" w:sz="0" w:space="0" w:color="auto"/>
            <w:right w:val="none" w:sz="0" w:space="0" w:color="auto"/>
          </w:divBdr>
        </w:div>
        <w:div w:id="1485706319">
          <w:marLeft w:val="0"/>
          <w:marRight w:val="0"/>
          <w:marTop w:val="0"/>
          <w:marBottom w:val="0"/>
          <w:divBdr>
            <w:top w:val="none" w:sz="0" w:space="0" w:color="auto"/>
            <w:left w:val="none" w:sz="0" w:space="0" w:color="auto"/>
            <w:bottom w:val="none" w:sz="0" w:space="0" w:color="auto"/>
            <w:right w:val="none" w:sz="0" w:space="0" w:color="auto"/>
          </w:divBdr>
        </w:div>
      </w:divsChild>
    </w:div>
    <w:div w:id="934941555">
      <w:bodyDiv w:val="1"/>
      <w:marLeft w:val="0"/>
      <w:marRight w:val="0"/>
      <w:marTop w:val="0"/>
      <w:marBottom w:val="0"/>
      <w:divBdr>
        <w:top w:val="none" w:sz="0" w:space="0" w:color="auto"/>
        <w:left w:val="none" w:sz="0" w:space="0" w:color="auto"/>
        <w:bottom w:val="none" w:sz="0" w:space="0" w:color="auto"/>
        <w:right w:val="none" w:sz="0" w:space="0" w:color="auto"/>
      </w:divBdr>
    </w:div>
    <w:div w:id="967509160">
      <w:bodyDiv w:val="1"/>
      <w:marLeft w:val="0"/>
      <w:marRight w:val="0"/>
      <w:marTop w:val="0"/>
      <w:marBottom w:val="0"/>
      <w:divBdr>
        <w:top w:val="none" w:sz="0" w:space="0" w:color="auto"/>
        <w:left w:val="none" w:sz="0" w:space="0" w:color="auto"/>
        <w:bottom w:val="none" w:sz="0" w:space="0" w:color="auto"/>
        <w:right w:val="none" w:sz="0" w:space="0" w:color="auto"/>
      </w:divBdr>
      <w:divsChild>
        <w:div w:id="171142830">
          <w:marLeft w:val="0"/>
          <w:marRight w:val="0"/>
          <w:marTop w:val="0"/>
          <w:marBottom w:val="0"/>
          <w:divBdr>
            <w:top w:val="none" w:sz="0" w:space="0" w:color="auto"/>
            <w:left w:val="none" w:sz="0" w:space="0" w:color="auto"/>
            <w:bottom w:val="none" w:sz="0" w:space="0" w:color="auto"/>
            <w:right w:val="none" w:sz="0" w:space="0" w:color="auto"/>
          </w:divBdr>
        </w:div>
        <w:div w:id="356198971">
          <w:marLeft w:val="0"/>
          <w:marRight w:val="0"/>
          <w:marTop w:val="0"/>
          <w:marBottom w:val="0"/>
          <w:divBdr>
            <w:top w:val="none" w:sz="0" w:space="0" w:color="auto"/>
            <w:left w:val="none" w:sz="0" w:space="0" w:color="auto"/>
            <w:bottom w:val="none" w:sz="0" w:space="0" w:color="auto"/>
            <w:right w:val="none" w:sz="0" w:space="0" w:color="auto"/>
          </w:divBdr>
        </w:div>
        <w:div w:id="359204468">
          <w:marLeft w:val="0"/>
          <w:marRight w:val="0"/>
          <w:marTop w:val="0"/>
          <w:marBottom w:val="0"/>
          <w:divBdr>
            <w:top w:val="none" w:sz="0" w:space="0" w:color="auto"/>
            <w:left w:val="none" w:sz="0" w:space="0" w:color="auto"/>
            <w:bottom w:val="none" w:sz="0" w:space="0" w:color="auto"/>
            <w:right w:val="none" w:sz="0" w:space="0" w:color="auto"/>
          </w:divBdr>
        </w:div>
        <w:div w:id="890922891">
          <w:marLeft w:val="0"/>
          <w:marRight w:val="0"/>
          <w:marTop w:val="0"/>
          <w:marBottom w:val="0"/>
          <w:divBdr>
            <w:top w:val="none" w:sz="0" w:space="0" w:color="auto"/>
            <w:left w:val="none" w:sz="0" w:space="0" w:color="auto"/>
            <w:bottom w:val="none" w:sz="0" w:space="0" w:color="auto"/>
            <w:right w:val="none" w:sz="0" w:space="0" w:color="auto"/>
          </w:divBdr>
        </w:div>
        <w:div w:id="1545094276">
          <w:marLeft w:val="0"/>
          <w:marRight w:val="0"/>
          <w:marTop w:val="0"/>
          <w:marBottom w:val="0"/>
          <w:divBdr>
            <w:top w:val="none" w:sz="0" w:space="0" w:color="auto"/>
            <w:left w:val="none" w:sz="0" w:space="0" w:color="auto"/>
            <w:bottom w:val="none" w:sz="0" w:space="0" w:color="auto"/>
            <w:right w:val="none" w:sz="0" w:space="0" w:color="auto"/>
          </w:divBdr>
        </w:div>
        <w:div w:id="1767192216">
          <w:marLeft w:val="0"/>
          <w:marRight w:val="0"/>
          <w:marTop w:val="0"/>
          <w:marBottom w:val="0"/>
          <w:divBdr>
            <w:top w:val="none" w:sz="0" w:space="0" w:color="auto"/>
            <w:left w:val="none" w:sz="0" w:space="0" w:color="auto"/>
            <w:bottom w:val="none" w:sz="0" w:space="0" w:color="auto"/>
            <w:right w:val="none" w:sz="0" w:space="0" w:color="auto"/>
          </w:divBdr>
        </w:div>
        <w:div w:id="1830949539">
          <w:marLeft w:val="0"/>
          <w:marRight w:val="0"/>
          <w:marTop w:val="0"/>
          <w:marBottom w:val="0"/>
          <w:divBdr>
            <w:top w:val="none" w:sz="0" w:space="0" w:color="auto"/>
            <w:left w:val="none" w:sz="0" w:space="0" w:color="auto"/>
            <w:bottom w:val="none" w:sz="0" w:space="0" w:color="auto"/>
            <w:right w:val="none" w:sz="0" w:space="0" w:color="auto"/>
          </w:divBdr>
        </w:div>
        <w:div w:id="1957716981">
          <w:marLeft w:val="0"/>
          <w:marRight w:val="0"/>
          <w:marTop w:val="0"/>
          <w:marBottom w:val="0"/>
          <w:divBdr>
            <w:top w:val="none" w:sz="0" w:space="0" w:color="auto"/>
            <w:left w:val="none" w:sz="0" w:space="0" w:color="auto"/>
            <w:bottom w:val="none" w:sz="0" w:space="0" w:color="auto"/>
            <w:right w:val="none" w:sz="0" w:space="0" w:color="auto"/>
          </w:divBdr>
        </w:div>
        <w:div w:id="2001884630">
          <w:marLeft w:val="0"/>
          <w:marRight w:val="0"/>
          <w:marTop w:val="0"/>
          <w:marBottom w:val="0"/>
          <w:divBdr>
            <w:top w:val="none" w:sz="0" w:space="0" w:color="auto"/>
            <w:left w:val="none" w:sz="0" w:space="0" w:color="auto"/>
            <w:bottom w:val="none" w:sz="0" w:space="0" w:color="auto"/>
            <w:right w:val="none" w:sz="0" w:space="0" w:color="auto"/>
          </w:divBdr>
        </w:div>
      </w:divsChild>
    </w:div>
    <w:div w:id="978925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613">
          <w:marLeft w:val="0"/>
          <w:marRight w:val="0"/>
          <w:marTop w:val="0"/>
          <w:marBottom w:val="240"/>
          <w:divBdr>
            <w:top w:val="none" w:sz="0" w:space="0" w:color="auto"/>
            <w:left w:val="none" w:sz="0" w:space="0" w:color="auto"/>
            <w:bottom w:val="none" w:sz="0" w:space="0" w:color="auto"/>
            <w:right w:val="none" w:sz="0" w:space="0" w:color="auto"/>
          </w:divBdr>
        </w:div>
        <w:div w:id="245771035">
          <w:marLeft w:val="0"/>
          <w:marRight w:val="0"/>
          <w:marTop w:val="0"/>
          <w:marBottom w:val="240"/>
          <w:divBdr>
            <w:top w:val="none" w:sz="0" w:space="0" w:color="auto"/>
            <w:left w:val="none" w:sz="0" w:space="0" w:color="auto"/>
            <w:bottom w:val="none" w:sz="0" w:space="0" w:color="auto"/>
            <w:right w:val="none" w:sz="0" w:space="0" w:color="auto"/>
          </w:divBdr>
        </w:div>
        <w:div w:id="247930429">
          <w:marLeft w:val="0"/>
          <w:marRight w:val="0"/>
          <w:marTop w:val="0"/>
          <w:marBottom w:val="240"/>
          <w:divBdr>
            <w:top w:val="none" w:sz="0" w:space="0" w:color="auto"/>
            <w:left w:val="none" w:sz="0" w:space="0" w:color="auto"/>
            <w:bottom w:val="none" w:sz="0" w:space="0" w:color="auto"/>
            <w:right w:val="none" w:sz="0" w:space="0" w:color="auto"/>
          </w:divBdr>
        </w:div>
        <w:div w:id="283124916">
          <w:marLeft w:val="0"/>
          <w:marRight w:val="0"/>
          <w:marTop w:val="0"/>
          <w:marBottom w:val="0"/>
          <w:divBdr>
            <w:top w:val="none" w:sz="0" w:space="0" w:color="auto"/>
            <w:left w:val="none" w:sz="0" w:space="0" w:color="auto"/>
            <w:bottom w:val="none" w:sz="0" w:space="0" w:color="auto"/>
            <w:right w:val="none" w:sz="0" w:space="0" w:color="auto"/>
          </w:divBdr>
        </w:div>
        <w:div w:id="581795629">
          <w:marLeft w:val="0"/>
          <w:marRight w:val="0"/>
          <w:marTop w:val="0"/>
          <w:marBottom w:val="240"/>
          <w:divBdr>
            <w:top w:val="none" w:sz="0" w:space="0" w:color="auto"/>
            <w:left w:val="none" w:sz="0" w:space="0" w:color="auto"/>
            <w:bottom w:val="none" w:sz="0" w:space="0" w:color="auto"/>
            <w:right w:val="none" w:sz="0" w:space="0" w:color="auto"/>
          </w:divBdr>
        </w:div>
        <w:div w:id="651059889">
          <w:marLeft w:val="0"/>
          <w:marRight w:val="0"/>
          <w:marTop w:val="0"/>
          <w:marBottom w:val="240"/>
          <w:divBdr>
            <w:top w:val="none" w:sz="0" w:space="0" w:color="auto"/>
            <w:left w:val="none" w:sz="0" w:space="0" w:color="auto"/>
            <w:bottom w:val="none" w:sz="0" w:space="0" w:color="auto"/>
            <w:right w:val="none" w:sz="0" w:space="0" w:color="auto"/>
          </w:divBdr>
        </w:div>
        <w:div w:id="1027221133">
          <w:marLeft w:val="0"/>
          <w:marRight w:val="0"/>
          <w:marTop w:val="0"/>
          <w:marBottom w:val="240"/>
          <w:divBdr>
            <w:top w:val="none" w:sz="0" w:space="0" w:color="auto"/>
            <w:left w:val="none" w:sz="0" w:space="0" w:color="auto"/>
            <w:bottom w:val="none" w:sz="0" w:space="0" w:color="auto"/>
            <w:right w:val="none" w:sz="0" w:space="0" w:color="auto"/>
          </w:divBdr>
        </w:div>
        <w:div w:id="1149245179">
          <w:marLeft w:val="0"/>
          <w:marRight w:val="0"/>
          <w:marTop w:val="0"/>
          <w:marBottom w:val="240"/>
          <w:divBdr>
            <w:top w:val="none" w:sz="0" w:space="0" w:color="auto"/>
            <w:left w:val="none" w:sz="0" w:space="0" w:color="auto"/>
            <w:bottom w:val="none" w:sz="0" w:space="0" w:color="auto"/>
            <w:right w:val="none" w:sz="0" w:space="0" w:color="auto"/>
          </w:divBdr>
        </w:div>
        <w:div w:id="1452432275">
          <w:marLeft w:val="0"/>
          <w:marRight w:val="0"/>
          <w:marTop w:val="0"/>
          <w:marBottom w:val="240"/>
          <w:divBdr>
            <w:top w:val="none" w:sz="0" w:space="0" w:color="auto"/>
            <w:left w:val="none" w:sz="0" w:space="0" w:color="auto"/>
            <w:bottom w:val="none" w:sz="0" w:space="0" w:color="auto"/>
            <w:right w:val="none" w:sz="0" w:space="0" w:color="auto"/>
          </w:divBdr>
        </w:div>
        <w:div w:id="1551379725">
          <w:marLeft w:val="0"/>
          <w:marRight w:val="0"/>
          <w:marTop w:val="0"/>
          <w:marBottom w:val="240"/>
          <w:divBdr>
            <w:top w:val="none" w:sz="0" w:space="0" w:color="auto"/>
            <w:left w:val="none" w:sz="0" w:space="0" w:color="auto"/>
            <w:bottom w:val="none" w:sz="0" w:space="0" w:color="auto"/>
            <w:right w:val="none" w:sz="0" w:space="0" w:color="auto"/>
          </w:divBdr>
        </w:div>
        <w:div w:id="1715929298">
          <w:marLeft w:val="0"/>
          <w:marRight w:val="0"/>
          <w:marTop w:val="0"/>
          <w:marBottom w:val="240"/>
          <w:divBdr>
            <w:top w:val="none" w:sz="0" w:space="0" w:color="auto"/>
            <w:left w:val="none" w:sz="0" w:space="0" w:color="auto"/>
            <w:bottom w:val="none" w:sz="0" w:space="0" w:color="auto"/>
            <w:right w:val="none" w:sz="0" w:space="0" w:color="auto"/>
          </w:divBdr>
        </w:div>
      </w:divsChild>
    </w:div>
    <w:div w:id="1364401636">
      <w:bodyDiv w:val="1"/>
      <w:marLeft w:val="0"/>
      <w:marRight w:val="0"/>
      <w:marTop w:val="0"/>
      <w:marBottom w:val="0"/>
      <w:divBdr>
        <w:top w:val="none" w:sz="0" w:space="0" w:color="auto"/>
        <w:left w:val="none" w:sz="0" w:space="0" w:color="auto"/>
        <w:bottom w:val="none" w:sz="0" w:space="0" w:color="auto"/>
        <w:right w:val="none" w:sz="0" w:space="0" w:color="auto"/>
      </w:divBdr>
    </w:div>
    <w:div w:id="1519394497">
      <w:bodyDiv w:val="1"/>
      <w:marLeft w:val="0"/>
      <w:marRight w:val="0"/>
      <w:marTop w:val="0"/>
      <w:marBottom w:val="0"/>
      <w:divBdr>
        <w:top w:val="none" w:sz="0" w:space="0" w:color="auto"/>
        <w:left w:val="none" w:sz="0" w:space="0" w:color="auto"/>
        <w:bottom w:val="none" w:sz="0" w:space="0" w:color="auto"/>
        <w:right w:val="none" w:sz="0" w:space="0" w:color="auto"/>
      </w:divBdr>
      <w:divsChild>
        <w:div w:id="413864634">
          <w:marLeft w:val="0"/>
          <w:marRight w:val="0"/>
          <w:marTop w:val="0"/>
          <w:marBottom w:val="0"/>
          <w:divBdr>
            <w:top w:val="none" w:sz="0" w:space="0" w:color="auto"/>
            <w:left w:val="none" w:sz="0" w:space="0" w:color="auto"/>
            <w:bottom w:val="none" w:sz="0" w:space="0" w:color="auto"/>
            <w:right w:val="none" w:sz="0" w:space="0" w:color="auto"/>
          </w:divBdr>
        </w:div>
        <w:div w:id="953437997">
          <w:marLeft w:val="0"/>
          <w:marRight w:val="0"/>
          <w:marTop w:val="0"/>
          <w:marBottom w:val="0"/>
          <w:divBdr>
            <w:top w:val="none" w:sz="0" w:space="0" w:color="auto"/>
            <w:left w:val="none" w:sz="0" w:space="0" w:color="auto"/>
            <w:bottom w:val="none" w:sz="0" w:space="0" w:color="auto"/>
            <w:right w:val="none" w:sz="0" w:space="0" w:color="auto"/>
          </w:divBdr>
        </w:div>
        <w:div w:id="1279751495">
          <w:marLeft w:val="0"/>
          <w:marRight w:val="0"/>
          <w:marTop w:val="0"/>
          <w:marBottom w:val="0"/>
          <w:divBdr>
            <w:top w:val="none" w:sz="0" w:space="0" w:color="auto"/>
            <w:left w:val="none" w:sz="0" w:space="0" w:color="auto"/>
            <w:bottom w:val="none" w:sz="0" w:space="0" w:color="auto"/>
            <w:right w:val="none" w:sz="0" w:space="0" w:color="auto"/>
          </w:divBdr>
        </w:div>
        <w:div w:id="1721048758">
          <w:marLeft w:val="0"/>
          <w:marRight w:val="0"/>
          <w:marTop w:val="0"/>
          <w:marBottom w:val="0"/>
          <w:divBdr>
            <w:top w:val="none" w:sz="0" w:space="0" w:color="auto"/>
            <w:left w:val="none" w:sz="0" w:space="0" w:color="auto"/>
            <w:bottom w:val="none" w:sz="0" w:space="0" w:color="auto"/>
            <w:right w:val="none" w:sz="0" w:space="0" w:color="auto"/>
          </w:divBdr>
        </w:div>
      </w:divsChild>
    </w:div>
    <w:div w:id="1584951771">
      <w:bodyDiv w:val="1"/>
      <w:marLeft w:val="0"/>
      <w:marRight w:val="0"/>
      <w:marTop w:val="0"/>
      <w:marBottom w:val="0"/>
      <w:divBdr>
        <w:top w:val="none" w:sz="0" w:space="0" w:color="auto"/>
        <w:left w:val="none" w:sz="0" w:space="0" w:color="auto"/>
        <w:bottom w:val="none" w:sz="0" w:space="0" w:color="auto"/>
        <w:right w:val="none" w:sz="0" w:space="0" w:color="auto"/>
      </w:divBdr>
    </w:div>
    <w:div w:id="1631397394">
      <w:bodyDiv w:val="1"/>
      <w:marLeft w:val="0"/>
      <w:marRight w:val="0"/>
      <w:marTop w:val="0"/>
      <w:marBottom w:val="0"/>
      <w:divBdr>
        <w:top w:val="none" w:sz="0" w:space="0" w:color="auto"/>
        <w:left w:val="none" w:sz="0" w:space="0" w:color="auto"/>
        <w:bottom w:val="none" w:sz="0" w:space="0" w:color="auto"/>
        <w:right w:val="none" w:sz="0" w:space="0" w:color="auto"/>
      </w:divBdr>
    </w:div>
    <w:div w:id="1680352714">
      <w:bodyDiv w:val="1"/>
      <w:marLeft w:val="0"/>
      <w:marRight w:val="0"/>
      <w:marTop w:val="0"/>
      <w:marBottom w:val="0"/>
      <w:divBdr>
        <w:top w:val="none" w:sz="0" w:space="0" w:color="auto"/>
        <w:left w:val="none" w:sz="0" w:space="0" w:color="auto"/>
        <w:bottom w:val="none" w:sz="0" w:space="0" w:color="auto"/>
        <w:right w:val="none" w:sz="0" w:space="0" w:color="auto"/>
      </w:divBdr>
    </w:div>
    <w:div w:id="1810049856">
      <w:bodyDiv w:val="1"/>
      <w:marLeft w:val="0"/>
      <w:marRight w:val="0"/>
      <w:marTop w:val="0"/>
      <w:marBottom w:val="0"/>
      <w:divBdr>
        <w:top w:val="none" w:sz="0" w:space="0" w:color="auto"/>
        <w:left w:val="none" w:sz="0" w:space="0" w:color="auto"/>
        <w:bottom w:val="none" w:sz="0" w:space="0" w:color="auto"/>
        <w:right w:val="none" w:sz="0" w:space="0" w:color="auto"/>
      </w:divBdr>
    </w:div>
    <w:div w:id="1940941303">
      <w:bodyDiv w:val="1"/>
      <w:marLeft w:val="0"/>
      <w:marRight w:val="0"/>
      <w:marTop w:val="0"/>
      <w:marBottom w:val="0"/>
      <w:divBdr>
        <w:top w:val="none" w:sz="0" w:space="0" w:color="auto"/>
        <w:left w:val="none" w:sz="0" w:space="0" w:color="auto"/>
        <w:bottom w:val="none" w:sz="0" w:space="0" w:color="auto"/>
        <w:right w:val="none" w:sz="0" w:space="0" w:color="auto"/>
      </w:divBdr>
      <w:divsChild>
        <w:div w:id="396562039">
          <w:marLeft w:val="0"/>
          <w:marRight w:val="0"/>
          <w:marTop w:val="0"/>
          <w:marBottom w:val="0"/>
          <w:divBdr>
            <w:top w:val="none" w:sz="0" w:space="0" w:color="auto"/>
            <w:left w:val="none" w:sz="0" w:space="0" w:color="auto"/>
            <w:bottom w:val="none" w:sz="0" w:space="0" w:color="auto"/>
            <w:right w:val="none" w:sz="0" w:space="0" w:color="auto"/>
          </w:divBdr>
          <w:divsChild>
            <w:div w:id="1596280027">
              <w:marLeft w:val="0"/>
              <w:marRight w:val="0"/>
              <w:marTop w:val="0"/>
              <w:marBottom w:val="0"/>
              <w:divBdr>
                <w:top w:val="none" w:sz="0" w:space="0" w:color="auto"/>
                <w:left w:val="none" w:sz="0" w:space="0" w:color="auto"/>
                <w:bottom w:val="none" w:sz="0" w:space="0" w:color="auto"/>
                <w:right w:val="none" w:sz="0" w:space="0" w:color="auto"/>
              </w:divBdr>
            </w:div>
          </w:divsChild>
        </w:div>
        <w:div w:id="2035105605">
          <w:marLeft w:val="0"/>
          <w:marRight w:val="0"/>
          <w:marTop w:val="0"/>
          <w:marBottom w:val="0"/>
          <w:divBdr>
            <w:top w:val="none" w:sz="0" w:space="0" w:color="auto"/>
            <w:left w:val="none" w:sz="0" w:space="0" w:color="auto"/>
            <w:bottom w:val="none" w:sz="0" w:space="0" w:color="auto"/>
            <w:right w:val="none" w:sz="0" w:space="0" w:color="auto"/>
          </w:divBdr>
        </w:div>
      </w:divsChild>
    </w:div>
    <w:div w:id="1976448521">
      <w:bodyDiv w:val="1"/>
      <w:marLeft w:val="0"/>
      <w:marRight w:val="0"/>
      <w:marTop w:val="0"/>
      <w:marBottom w:val="0"/>
      <w:divBdr>
        <w:top w:val="none" w:sz="0" w:space="0" w:color="auto"/>
        <w:left w:val="none" w:sz="0" w:space="0" w:color="auto"/>
        <w:bottom w:val="none" w:sz="0" w:space="0" w:color="auto"/>
        <w:right w:val="none" w:sz="0" w:space="0" w:color="auto"/>
      </w:divBdr>
    </w:div>
    <w:div w:id="2003897418">
      <w:bodyDiv w:val="1"/>
      <w:marLeft w:val="0"/>
      <w:marRight w:val="0"/>
      <w:marTop w:val="0"/>
      <w:marBottom w:val="0"/>
      <w:divBdr>
        <w:top w:val="none" w:sz="0" w:space="0" w:color="auto"/>
        <w:left w:val="none" w:sz="0" w:space="0" w:color="auto"/>
        <w:bottom w:val="none" w:sz="0" w:space="0" w:color="auto"/>
        <w:right w:val="none" w:sz="0" w:space="0" w:color="auto"/>
      </w:divBdr>
    </w:div>
    <w:div w:id="2063216118">
      <w:bodyDiv w:val="1"/>
      <w:marLeft w:val="0"/>
      <w:marRight w:val="0"/>
      <w:marTop w:val="0"/>
      <w:marBottom w:val="0"/>
      <w:divBdr>
        <w:top w:val="none" w:sz="0" w:space="0" w:color="auto"/>
        <w:left w:val="none" w:sz="0" w:space="0" w:color="auto"/>
        <w:bottom w:val="none" w:sz="0" w:space="0" w:color="auto"/>
        <w:right w:val="none" w:sz="0" w:space="0" w:color="auto"/>
      </w:divBdr>
      <w:divsChild>
        <w:div w:id="356152655">
          <w:marLeft w:val="0"/>
          <w:marRight w:val="0"/>
          <w:marTop w:val="0"/>
          <w:marBottom w:val="240"/>
          <w:divBdr>
            <w:top w:val="none" w:sz="0" w:space="0" w:color="auto"/>
            <w:left w:val="none" w:sz="0" w:space="0" w:color="auto"/>
            <w:bottom w:val="none" w:sz="0" w:space="0" w:color="auto"/>
            <w:right w:val="none" w:sz="0" w:space="0" w:color="auto"/>
          </w:divBdr>
        </w:div>
        <w:div w:id="1739285695">
          <w:marLeft w:val="0"/>
          <w:marRight w:val="0"/>
          <w:marTop w:val="0"/>
          <w:marBottom w:val="240"/>
          <w:divBdr>
            <w:top w:val="none" w:sz="0" w:space="0" w:color="auto"/>
            <w:left w:val="none" w:sz="0" w:space="0" w:color="auto"/>
            <w:bottom w:val="none" w:sz="0" w:space="0" w:color="auto"/>
            <w:right w:val="none" w:sz="0" w:space="0" w:color="auto"/>
          </w:divBdr>
        </w:div>
        <w:div w:id="1874463604">
          <w:marLeft w:val="0"/>
          <w:marRight w:val="0"/>
          <w:marTop w:val="0"/>
          <w:marBottom w:val="0"/>
          <w:divBdr>
            <w:top w:val="none" w:sz="0" w:space="0" w:color="auto"/>
            <w:left w:val="none" w:sz="0" w:space="0" w:color="auto"/>
            <w:bottom w:val="none" w:sz="0" w:space="0" w:color="auto"/>
            <w:right w:val="none" w:sz="0" w:space="0" w:color="auto"/>
          </w:divBdr>
        </w:div>
        <w:div w:id="1957179335">
          <w:marLeft w:val="0"/>
          <w:marRight w:val="0"/>
          <w:marTop w:val="0"/>
          <w:marBottom w:val="240"/>
          <w:divBdr>
            <w:top w:val="none" w:sz="0" w:space="0" w:color="auto"/>
            <w:left w:val="none" w:sz="0" w:space="0" w:color="auto"/>
            <w:bottom w:val="none" w:sz="0" w:space="0" w:color="auto"/>
            <w:right w:val="none" w:sz="0" w:space="0" w:color="auto"/>
          </w:divBdr>
        </w:div>
      </w:divsChild>
    </w:div>
    <w:div w:id="2106725991">
      <w:bodyDiv w:val="1"/>
      <w:marLeft w:val="0"/>
      <w:marRight w:val="0"/>
      <w:marTop w:val="0"/>
      <w:marBottom w:val="0"/>
      <w:divBdr>
        <w:top w:val="none" w:sz="0" w:space="0" w:color="auto"/>
        <w:left w:val="none" w:sz="0" w:space="0" w:color="auto"/>
        <w:bottom w:val="none" w:sz="0" w:space="0" w:color="auto"/>
        <w:right w:val="none" w:sz="0" w:space="0" w:color="auto"/>
      </w:divBdr>
      <w:divsChild>
        <w:div w:id="217399019">
          <w:marLeft w:val="0"/>
          <w:marRight w:val="0"/>
          <w:marTop w:val="120"/>
          <w:marBottom w:val="10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ilahuidrom@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80325.0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2926</Words>
  <Characters>16680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 Mankind</dc:creator>
  <cp:keywords/>
  <dc:description/>
  <cp:lastModifiedBy>owner</cp:lastModifiedBy>
  <cp:revision>5</cp:revision>
  <cp:lastPrinted>2007-12-19T21:10:00Z</cp:lastPrinted>
  <dcterms:created xsi:type="dcterms:W3CDTF">2025-02-01T02:47:00Z</dcterms:created>
  <dcterms:modified xsi:type="dcterms:W3CDTF">2025-03-26T01:28:00Z</dcterms:modified>
</cp:coreProperties>
</file>