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6A" w:rsidRDefault="0033776A" w:rsidP="0033776A">
      <w:pPr>
        <w:snapToGrid w:val="0"/>
        <w:spacing w:after="0" w:line="240" w:lineRule="auto"/>
        <w:jc w:val="center"/>
        <w:rPr>
          <w:rFonts w:ascii="Times New Roman" w:hAnsi="Times New Roman" w:cs="Times New Roman"/>
          <w:b/>
          <w:bCs/>
          <w:sz w:val="20"/>
          <w:szCs w:val="20"/>
          <w:lang w:eastAsia="zh-CN"/>
        </w:rPr>
      </w:pPr>
    </w:p>
    <w:p w:rsidR="00B65376" w:rsidRPr="0033776A" w:rsidRDefault="009D51B8" w:rsidP="0033776A">
      <w:pPr>
        <w:snapToGrid w:val="0"/>
        <w:spacing w:after="0" w:line="240" w:lineRule="auto"/>
        <w:jc w:val="center"/>
        <w:rPr>
          <w:rFonts w:ascii="Times New Roman" w:hAnsi="Times New Roman" w:cs="Times New Roman"/>
          <w:b/>
          <w:sz w:val="20"/>
          <w:szCs w:val="20"/>
        </w:rPr>
      </w:pPr>
      <w:r w:rsidRPr="0033776A">
        <w:rPr>
          <w:rFonts w:ascii="Times New Roman" w:hAnsi="Times New Roman" w:cs="Times New Roman"/>
          <w:b/>
          <w:bCs/>
          <w:sz w:val="20"/>
          <w:szCs w:val="20"/>
        </w:rPr>
        <w:t>Comparative Efficacy Of Concentrator Materials In</w:t>
      </w:r>
      <w:r w:rsidRPr="0033776A">
        <w:rPr>
          <w:rFonts w:ascii="Times New Roman" w:hAnsi="Times New Roman" w:cs="Times New Roman"/>
          <w:b/>
          <w:bCs/>
          <w:sz w:val="20"/>
          <w:szCs w:val="20"/>
          <w:lang w:eastAsia="zh-CN"/>
        </w:rPr>
        <w:t xml:space="preserve"> </w:t>
      </w:r>
      <w:r w:rsidRPr="0033776A">
        <w:rPr>
          <w:rFonts w:ascii="Times New Roman" w:hAnsi="Times New Roman" w:cs="Times New Roman"/>
          <w:b/>
          <w:bCs/>
          <w:sz w:val="20"/>
          <w:szCs w:val="20"/>
        </w:rPr>
        <w:t>Convergent Rays Disinfection Of Water</w:t>
      </w:r>
    </w:p>
    <w:p w:rsidR="00B65376" w:rsidRPr="0033776A" w:rsidRDefault="00B65376" w:rsidP="0033776A">
      <w:pPr>
        <w:snapToGrid w:val="0"/>
        <w:spacing w:after="0" w:line="240" w:lineRule="auto"/>
        <w:jc w:val="center"/>
        <w:rPr>
          <w:rFonts w:ascii="Times New Roman" w:hAnsi="Times New Roman" w:cs="Times New Roman"/>
          <w:sz w:val="20"/>
          <w:szCs w:val="20"/>
        </w:rPr>
      </w:pPr>
    </w:p>
    <w:p w:rsidR="00B65376" w:rsidRPr="0033776A" w:rsidRDefault="00AC322E" w:rsidP="0033776A">
      <w:pPr>
        <w:snapToGrid w:val="0"/>
        <w:spacing w:after="0" w:line="240" w:lineRule="auto"/>
        <w:jc w:val="center"/>
        <w:rPr>
          <w:rFonts w:ascii="Times New Roman" w:hAnsi="Times New Roman" w:cs="Times New Roman"/>
          <w:sz w:val="20"/>
          <w:szCs w:val="20"/>
          <w:lang w:eastAsia="zh-CN"/>
        </w:rPr>
      </w:pPr>
      <w:r w:rsidRPr="0033776A">
        <w:rPr>
          <w:rFonts w:ascii="Times New Roman" w:hAnsi="Times New Roman" w:cs="Times New Roman"/>
          <w:sz w:val="20"/>
          <w:szCs w:val="20"/>
        </w:rPr>
        <w:t>Ugbong Michael Anafe</w:t>
      </w:r>
      <w:r w:rsidR="008421EE" w:rsidRPr="0033776A">
        <w:rPr>
          <w:rFonts w:ascii="Times New Roman" w:hAnsi="Times New Roman" w:cs="Times New Roman"/>
          <w:sz w:val="20"/>
          <w:szCs w:val="20"/>
        </w:rPr>
        <w:t xml:space="preserve">, </w:t>
      </w:r>
      <w:r w:rsidRPr="0033776A">
        <w:rPr>
          <w:rFonts w:ascii="Times New Roman" w:hAnsi="Times New Roman" w:cs="Times New Roman"/>
          <w:sz w:val="20"/>
          <w:szCs w:val="20"/>
        </w:rPr>
        <w:t>Onuoha Nkeiruka Chioma</w:t>
      </w:r>
      <w:r w:rsidR="008421EE" w:rsidRPr="0033776A">
        <w:rPr>
          <w:rFonts w:ascii="Times New Roman" w:hAnsi="Times New Roman" w:cs="Times New Roman"/>
          <w:sz w:val="20"/>
          <w:szCs w:val="20"/>
        </w:rPr>
        <w:t xml:space="preserve"> and Ibiene Abiye</w:t>
      </w:r>
      <w:r w:rsidR="00EE765D">
        <w:rPr>
          <w:rFonts w:ascii="Times New Roman" w:hAnsi="Times New Roman" w:cs="Times New Roman"/>
          <w:sz w:val="20"/>
          <w:szCs w:val="20"/>
        </w:rPr>
        <w:t xml:space="preserve"> </w:t>
      </w:r>
      <w:r w:rsidR="00EE765D" w:rsidRPr="0033776A">
        <w:rPr>
          <w:rFonts w:ascii="Times New Roman" w:hAnsi="Times New Roman" w:cs="Times New Roman"/>
          <w:sz w:val="20"/>
          <w:szCs w:val="20"/>
        </w:rPr>
        <w:t>Anthony</w:t>
      </w:r>
    </w:p>
    <w:p w:rsidR="00B65376" w:rsidRPr="0033776A" w:rsidRDefault="00B65376" w:rsidP="0033776A">
      <w:pPr>
        <w:snapToGrid w:val="0"/>
        <w:spacing w:after="0" w:line="240" w:lineRule="auto"/>
        <w:jc w:val="center"/>
        <w:rPr>
          <w:rFonts w:ascii="Times New Roman" w:hAnsi="Times New Roman" w:cs="Times New Roman"/>
          <w:sz w:val="20"/>
          <w:szCs w:val="20"/>
          <w:lang w:eastAsia="zh-CN"/>
        </w:rPr>
      </w:pPr>
    </w:p>
    <w:p w:rsidR="00AC322E" w:rsidRPr="0033776A" w:rsidRDefault="00AC322E" w:rsidP="0033776A">
      <w:pPr>
        <w:snapToGrid w:val="0"/>
        <w:spacing w:after="0" w:line="240" w:lineRule="auto"/>
        <w:jc w:val="center"/>
        <w:rPr>
          <w:rFonts w:ascii="Times New Roman" w:hAnsi="Times New Roman" w:cs="Times New Roman"/>
          <w:sz w:val="20"/>
          <w:szCs w:val="20"/>
        </w:rPr>
      </w:pPr>
      <w:r w:rsidRPr="0033776A">
        <w:rPr>
          <w:rFonts w:ascii="Times New Roman" w:hAnsi="Times New Roman" w:cs="Times New Roman"/>
          <w:sz w:val="20"/>
          <w:szCs w:val="20"/>
        </w:rPr>
        <w:t>Department of Microbiology, University of Port Harcourt, Rivers State, Nigeria.</w:t>
      </w:r>
    </w:p>
    <w:p w:rsidR="00B65376" w:rsidRPr="0033776A" w:rsidRDefault="009E4E16" w:rsidP="0033776A">
      <w:pPr>
        <w:snapToGrid w:val="0"/>
        <w:spacing w:after="0" w:line="240" w:lineRule="auto"/>
        <w:jc w:val="center"/>
        <w:rPr>
          <w:rFonts w:ascii="Times New Roman" w:hAnsi="Times New Roman" w:cs="Times New Roman"/>
          <w:sz w:val="20"/>
          <w:lang w:eastAsia="zh-CN"/>
        </w:rPr>
      </w:pPr>
      <w:r w:rsidRPr="0033776A">
        <w:rPr>
          <w:rFonts w:ascii="Times New Roman" w:hAnsi="Times New Roman" w:cs="Times New Roman"/>
          <w:sz w:val="20"/>
          <w:szCs w:val="20"/>
        </w:rPr>
        <w:t xml:space="preserve">Corresponding author’s email: </w:t>
      </w:r>
      <w:hyperlink r:id="rId9" w:history="1">
        <w:r w:rsidRPr="0033776A">
          <w:rPr>
            <w:rStyle w:val="Hyperlink"/>
            <w:rFonts w:ascii="Times New Roman" w:hAnsi="Times New Roman" w:cs="Times New Roman"/>
            <w:sz w:val="20"/>
            <w:szCs w:val="20"/>
          </w:rPr>
          <w:t>abiye.ibiene@uniport.edu.ng</w:t>
        </w:r>
      </w:hyperlink>
    </w:p>
    <w:p w:rsidR="00B65376" w:rsidRPr="0033776A" w:rsidRDefault="00B65376" w:rsidP="0033776A">
      <w:pPr>
        <w:snapToGrid w:val="0"/>
        <w:spacing w:after="0" w:line="240" w:lineRule="auto"/>
        <w:jc w:val="center"/>
        <w:rPr>
          <w:rFonts w:ascii="Times New Roman" w:hAnsi="Times New Roman" w:cs="Times New Roman"/>
          <w:sz w:val="20"/>
          <w:lang w:eastAsia="zh-CN"/>
        </w:rPr>
      </w:pPr>
    </w:p>
    <w:p w:rsidR="00AC322E" w:rsidRPr="0033776A" w:rsidRDefault="009D51B8" w:rsidP="0033776A">
      <w:pPr>
        <w:snapToGrid w:val="0"/>
        <w:spacing w:after="0" w:line="240" w:lineRule="auto"/>
        <w:jc w:val="both"/>
        <w:rPr>
          <w:rFonts w:ascii="Times New Roman" w:hAnsi="Times New Roman" w:cs="Times New Roman"/>
          <w:bCs/>
          <w:sz w:val="20"/>
          <w:szCs w:val="20"/>
        </w:rPr>
      </w:pPr>
      <w:r w:rsidRPr="0033776A">
        <w:rPr>
          <w:rFonts w:ascii="Times New Roman" w:hAnsi="Times New Roman" w:cs="Times New Roman"/>
          <w:b/>
          <w:sz w:val="20"/>
          <w:szCs w:val="20"/>
        </w:rPr>
        <w:t>Abstract</w:t>
      </w:r>
      <w:r w:rsidR="00B65376" w:rsidRPr="0033776A">
        <w:rPr>
          <w:rFonts w:ascii="Times New Roman" w:hAnsi="Times New Roman" w:cs="Times New Roman" w:hint="eastAsia"/>
          <w:b/>
          <w:sz w:val="20"/>
          <w:szCs w:val="20"/>
          <w:lang w:eastAsia="zh-CN"/>
        </w:rPr>
        <w:t xml:space="preserve">: </w:t>
      </w:r>
      <w:r w:rsidR="009D45F0" w:rsidRPr="0033776A">
        <w:rPr>
          <w:rFonts w:ascii="Times New Roman" w:hAnsi="Times New Roman" w:cs="Times New Roman"/>
          <w:bCs/>
          <w:sz w:val="20"/>
          <w:szCs w:val="20"/>
        </w:rPr>
        <w:t xml:space="preserve">The efficacy of concentrator material in convergent rays’ disinfection was analyzed using </w:t>
      </w:r>
      <w:r w:rsidR="00851285" w:rsidRPr="0033776A">
        <w:rPr>
          <w:rFonts w:ascii="Times New Roman" w:hAnsi="Times New Roman" w:cs="Times New Roman"/>
          <w:bCs/>
          <w:sz w:val="20"/>
          <w:szCs w:val="20"/>
        </w:rPr>
        <w:t xml:space="preserve">a </w:t>
      </w:r>
      <w:r w:rsidR="009D45F0" w:rsidRPr="0033776A">
        <w:rPr>
          <w:rFonts w:ascii="Times New Roman" w:hAnsi="Times New Roman" w:cs="Times New Roman"/>
          <w:bCs/>
          <w:sz w:val="20"/>
          <w:szCs w:val="20"/>
        </w:rPr>
        <w:t>mirror, alumin</w:t>
      </w:r>
      <w:r w:rsidR="00851285" w:rsidRPr="0033776A">
        <w:rPr>
          <w:rFonts w:ascii="Times New Roman" w:hAnsi="Times New Roman" w:cs="Times New Roman"/>
          <w:bCs/>
          <w:sz w:val="20"/>
          <w:szCs w:val="20"/>
        </w:rPr>
        <w:t>i</w:t>
      </w:r>
      <w:r w:rsidR="009D45F0" w:rsidRPr="0033776A">
        <w:rPr>
          <w:rFonts w:ascii="Times New Roman" w:hAnsi="Times New Roman" w:cs="Times New Roman"/>
          <w:bCs/>
          <w:sz w:val="20"/>
          <w:szCs w:val="20"/>
        </w:rPr>
        <w:t>um foil paper and ordinary solar disinfection and</w:t>
      </w:r>
      <w:r w:rsidR="009D45F0" w:rsidRPr="0033776A">
        <w:rPr>
          <w:rFonts w:ascii="Times New Roman" w:hAnsi="Times New Roman" w:cs="Times New Roman"/>
          <w:sz w:val="20"/>
          <w:szCs w:val="20"/>
        </w:rPr>
        <w:t xml:space="preserve"> water samples collected from Choba commun</w:t>
      </w:r>
      <w:r w:rsidR="00386820" w:rsidRPr="0033776A">
        <w:rPr>
          <w:rFonts w:ascii="Times New Roman" w:hAnsi="Times New Roman" w:cs="Times New Roman"/>
          <w:sz w:val="20"/>
          <w:szCs w:val="20"/>
        </w:rPr>
        <w:t>ity of Rivers State</w:t>
      </w:r>
      <w:r w:rsidR="009D45F0" w:rsidRPr="0033776A">
        <w:rPr>
          <w:rFonts w:ascii="Times New Roman" w:hAnsi="Times New Roman" w:cs="Times New Roman"/>
          <w:sz w:val="20"/>
          <w:szCs w:val="20"/>
        </w:rPr>
        <w:t xml:space="preserve"> in the Department of Microbiology Laboratory, University of Port Harcourt.</w:t>
      </w:r>
      <w:r w:rsidR="006059B9" w:rsidRPr="0033776A">
        <w:rPr>
          <w:rFonts w:ascii="Times New Roman" w:hAnsi="Times New Roman" w:cs="Times New Roman"/>
          <w:bCs/>
          <w:sz w:val="20"/>
          <w:szCs w:val="20"/>
        </w:rPr>
        <w:t xml:space="preserve"> O hour data of 3.3 log MPN index/100ml was used as </w:t>
      </w:r>
      <w:r w:rsidR="00851285" w:rsidRPr="0033776A">
        <w:rPr>
          <w:rFonts w:ascii="Times New Roman" w:hAnsi="Times New Roman" w:cs="Times New Roman"/>
          <w:bCs/>
          <w:sz w:val="20"/>
          <w:szCs w:val="20"/>
        </w:rPr>
        <w:t xml:space="preserve">a </w:t>
      </w:r>
      <w:r w:rsidR="006059B9" w:rsidRPr="0033776A">
        <w:rPr>
          <w:rFonts w:ascii="Times New Roman" w:hAnsi="Times New Roman" w:cs="Times New Roman"/>
          <w:bCs/>
          <w:sz w:val="20"/>
          <w:szCs w:val="20"/>
        </w:rPr>
        <w:t>control for the study, after 2 hours of exposure, total coliform count from mirror concentrator dropped to 1.9, alumin</w:t>
      </w:r>
      <w:r w:rsidR="00851285" w:rsidRPr="0033776A">
        <w:rPr>
          <w:rFonts w:ascii="Times New Roman" w:hAnsi="Times New Roman" w:cs="Times New Roman"/>
          <w:bCs/>
          <w:sz w:val="20"/>
          <w:szCs w:val="20"/>
        </w:rPr>
        <w:t>i</w:t>
      </w:r>
      <w:r w:rsidR="006059B9" w:rsidRPr="0033776A">
        <w:rPr>
          <w:rFonts w:ascii="Times New Roman" w:hAnsi="Times New Roman" w:cs="Times New Roman"/>
          <w:bCs/>
          <w:sz w:val="20"/>
          <w:szCs w:val="20"/>
        </w:rPr>
        <w:t xml:space="preserve">um foil paper recorded a count of 2.5 while ordinary solar exposure recorded a count of 2.9 log MPN index /100ml. Also after 2 hours of exposure, </w:t>
      </w:r>
      <w:r w:rsidR="006059B9" w:rsidRPr="0033776A">
        <w:rPr>
          <w:rFonts w:ascii="Times New Roman" w:hAnsi="Times New Roman" w:cs="Times New Roman"/>
          <w:bCs/>
          <w:i/>
          <w:sz w:val="20"/>
          <w:szCs w:val="20"/>
        </w:rPr>
        <w:t xml:space="preserve">faecal </w:t>
      </w:r>
      <w:r w:rsidR="006059B9" w:rsidRPr="0033776A">
        <w:rPr>
          <w:rFonts w:ascii="Times New Roman" w:hAnsi="Times New Roman" w:cs="Times New Roman"/>
          <w:bCs/>
          <w:sz w:val="20"/>
          <w:szCs w:val="20"/>
        </w:rPr>
        <w:t>coliform count from mirror concentrator dropped to 1.5, alumin</w:t>
      </w:r>
      <w:r w:rsidR="00851285" w:rsidRPr="0033776A">
        <w:rPr>
          <w:rFonts w:ascii="Times New Roman" w:hAnsi="Times New Roman" w:cs="Times New Roman"/>
          <w:bCs/>
          <w:sz w:val="20"/>
          <w:szCs w:val="20"/>
        </w:rPr>
        <w:t>i</w:t>
      </w:r>
      <w:r w:rsidR="006059B9" w:rsidRPr="0033776A">
        <w:rPr>
          <w:rFonts w:ascii="Times New Roman" w:hAnsi="Times New Roman" w:cs="Times New Roman"/>
          <w:bCs/>
          <w:sz w:val="20"/>
          <w:szCs w:val="20"/>
        </w:rPr>
        <w:t xml:space="preserve">um foil paper recorded a count of 1.6 while ordinary solar exposure also recorded a count of 1.6 log </w:t>
      </w:r>
      <w:r w:rsidR="00851285" w:rsidRPr="0033776A">
        <w:rPr>
          <w:rFonts w:ascii="Times New Roman" w:hAnsi="Times New Roman" w:cs="Times New Roman"/>
          <w:bCs/>
          <w:sz w:val="20"/>
          <w:szCs w:val="20"/>
        </w:rPr>
        <w:t>CFU</w:t>
      </w:r>
      <w:r w:rsidR="006059B9" w:rsidRPr="0033776A">
        <w:rPr>
          <w:rFonts w:ascii="Times New Roman" w:hAnsi="Times New Roman" w:cs="Times New Roman"/>
          <w:bCs/>
          <w:sz w:val="20"/>
          <w:szCs w:val="20"/>
        </w:rPr>
        <w:t>/ml. However, after 8 hours of exposure for all the concentrators, no growth was recorded from mirror and alumin</w:t>
      </w:r>
      <w:r w:rsidR="00851285" w:rsidRPr="0033776A">
        <w:rPr>
          <w:rFonts w:ascii="Times New Roman" w:hAnsi="Times New Roman" w:cs="Times New Roman"/>
          <w:bCs/>
          <w:sz w:val="20"/>
          <w:szCs w:val="20"/>
        </w:rPr>
        <w:t>i</w:t>
      </w:r>
      <w:r w:rsidR="006059B9" w:rsidRPr="0033776A">
        <w:rPr>
          <w:rFonts w:ascii="Times New Roman" w:hAnsi="Times New Roman" w:cs="Times New Roman"/>
          <w:bCs/>
          <w:sz w:val="20"/>
          <w:szCs w:val="20"/>
        </w:rPr>
        <w:t xml:space="preserve">um foil paper concentrators and ordinary exposure in 4 L aliquots had </w:t>
      </w:r>
      <w:r w:rsidR="00851285" w:rsidRPr="0033776A">
        <w:rPr>
          <w:rFonts w:ascii="Times New Roman" w:hAnsi="Times New Roman" w:cs="Times New Roman"/>
          <w:bCs/>
          <w:sz w:val="20"/>
          <w:szCs w:val="20"/>
        </w:rPr>
        <w:t xml:space="preserve">a </w:t>
      </w:r>
      <w:r w:rsidR="006059B9" w:rsidRPr="0033776A">
        <w:rPr>
          <w:rFonts w:ascii="Times New Roman" w:hAnsi="Times New Roman" w:cs="Times New Roman"/>
          <w:bCs/>
          <w:sz w:val="20"/>
          <w:szCs w:val="20"/>
        </w:rPr>
        <w:t>population of 1.5, 10 L had 1.9 and 15 L recorded 2.0 logs MPN index/ml.</w:t>
      </w:r>
      <w:r w:rsidR="00AB4E00" w:rsidRPr="0033776A">
        <w:rPr>
          <w:rFonts w:ascii="Times New Roman" w:hAnsi="Times New Roman" w:cs="Times New Roman"/>
          <w:bCs/>
          <w:sz w:val="20"/>
          <w:szCs w:val="20"/>
        </w:rPr>
        <w:t xml:space="preserve"> T</w:t>
      </w:r>
      <w:r w:rsidR="006059B9" w:rsidRPr="0033776A">
        <w:rPr>
          <w:rFonts w:ascii="Times New Roman" w:hAnsi="Times New Roman" w:cs="Times New Roman"/>
          <w:bCs/>
          <w:sz w:val="20"/>
          <w:szCs w:val="20"/>
        </w:rPr>
        <w:t xml:space="preserve">he research was able to provide satisfactory and dependable data compared to regulatory bodies on </w:t>
      </w:r>
      <w:r w:rsidR="006059B9" w:rsidRPr="0033776A">
        <w:rPr>
          <w:rFonts w:ascii="Times New Roman" w:hAnsi="Times New Roman" w:cs="Times New Roman"/>
          <w:sz w:val="20"/>
          <w:szCs w:val="20"/>
        </w:rPr>
        <w:t>drinking water standard with MPN/100ml to be 0.0logMPN/100ml and 0.9 and 1.2cfu/ml total culturable heterotrophic bacteria count after 8hour of exposure</w:t>
      </w:r>
      <w:r w:rsidR="00AA7938" w:rsidRPr="0033776A">
        <w:rPr>
          <w:rFonts w:ascii="Times New Roman" w:hAnsi="Times New Roman" w:cs="Times New Roman"/>
          <w:sz w:val="20"/>
          <w:szCs w:val="20"/>
        </w:rPr>
        <w:t xml:space="preserve"> using mirror concentrator thereby affirming the efficacy of mirror as the most effective reflective material in convergent ray water disinfection.</w:t>
      </w:r>
    </w:p>
    <w:p w:rsidR="0033776A" w:rsidRPr="0033776A" w:rsidRDefault="0033776A" w:rsidP="0033776A">
      <w:pPr>
        <w:snapToGrid w:val="0"/>
        <w:spacing w:after="0" w:line="240" w:lineRule="auto"/>
        <w:jc w:val="both"/>
        <w:rPr>
          <w:rFonts w:ascii="Times New Roman" w:hAnsi="Times New Roman" w:cs="Times New Roman"/>
          <w:b/>
          <w:sz w:val="20"/>
          <w:szCs w:val="20"/>
        </w:rPr>
      </w:pPr>
      <w:r w:rsidRPr="0033776A">
        <w:rPr>
          <w:rFonts w:ascii="Times New Roman" w:hAnsi="Times New Roman" w:cs="Times New Roman"/>
          <w:bCs/>
          <w:sz w:val="20"/>
          <w:szCs w:val="20"/>
        </w:rPr>
        <w:t>[</w:t>
      </w:r>
      <w:r w:rsidRPr="0033776A">
        <w:rPr>
          <w:rFonts w:ascii="Times New Roman" w:hAnsi="Times New Roman" w:cs="Times New Roman"/>
          <w:sz w:val="20"/>
          <w:szCs w:val="20"/>
        </w:rPr>
        <w:t>Ugbong Michael Anafe, Onuoha Nkeiruka Chioma and Ibiene Abiye</w:t>
      </w:r>
      <w:r w:rsidR="00EE765D">
        <w:rPr>
          <w:rFonts w:ascii="Times New Roman" w:hAnsi="Times New Roman" w:cs="Times New Roman"/>
          <w:sz w:val="20"/>
          <w:szCs w:val="20"/>
        </w:rPr>
        <w:t xml:space="preserve"> </w:t>
      </w:r>
      <w:r w:rsidR="00EE765D" w:rsidRPr="0033776A">
        <w:rPr>
          <w:rFonts w:ascii="Times New Roman" w:hAnsi="Times New Roman" w:cs="Times New Roman"/>
          <w:sz w:val="20"/>
          <w:szCs w:val="20"/>
        </w:rPr>
        <w:t>Anthony</w:t>
      </w:r>
      <w:bookmarkStart w:id="0" w:name="_GoBack"/>
      <w:bookmarkEnd w:id="0"/>
      <w:r w:rsidRPr="0033776A">
        <w:rPr>
          <w:rFonts w:ascii="Times New Roman" w:hAnsi="Times New Roman" w:cs="Times New Roman"/>
          <w:sz w:val="20"/>
          <w:szCs w:val="20"/>
        </w:rPr>
        <w:t>.</w:t>
      </w:r>
      <w:r w:rsidRPr="0033776A">
        <w:rPr>
          <w:rFonts w:ascii="Times New Roman" w:hAnsi="Times New Roman" w:cs="Times New Roman" w:hint="eastAsia"/>
          <w:b/>
          <w:bCs/>
          <w:sz w:val="20"/>
          <w:szCs w:val="20"/>
          <w:lang w:bidi="fa-IR"/>
        </w:rPr>
        <w:t xml:space="preserve"> </w:t>
      </w:r>
      <w:r w:rsidRPr="0033776A">
        <w:rPr>
          <w:rFonts w:ascii="Times New Roman" w:hAnsi="Times New Roman" w:cs="Times New Roman"/>
          <w:b/>
          <w:bCs/>
          <w:sz w:val="20"/>
          <w:szCs w:val="20"/>
        </w:rPr>
        <w:t>Comparative Efficacy Of Concentrator Materials In</w:t>
      </w:r>
      <w:r w:rsidRPr="0033776A">
        <w:rPr>
          <w:rFonts w:ascii="Times New Roman" w:hAnsi="Times New Roman" w:cs="Times New Roman"/>
          <w:b/>
          <w:bCs/>
          <w:sz w:val="20"/>
          <w:szCs w:val="20"/>
          <w:lang w:eastAsia="zh-CN"/>
        </w:rPr>
        <w:t xml:space="preserve"> </w:t>
      </w:r>
      <w:r w:rsidRPr="0033776A">
        <w:rPr>
          <w:rFonts w:ascii="Times New Roman" w:hAnsi="Times New Roman" w:cs="Times New Roman"/>
          <w:b/>
          <w:bCs/>
          <w:sz w:val="20"/>
          <w:szCs w:val="20"/>
        </w:rPr>
        <w:t>Convergent Rays Disinfection Of Water</w:t>
      </w:r>
      <w:r w:rsidRPr="0033776A">
        <w:rPr>
          <w:rFonts w:ascii="Times New Roman" w:eastAsia="Times New Roman" w:hAnsi="Times New Roman" w:cs="Times New Roman"/>
          <w:b/>
          <w:bCs/>
          <w:sz w:val="20"/>
          <w:szCs w:val="20"/>
          <w:lang w:bidi="fa-IR"/>
        </w:rPr>
        <w:t>.</w:t>
      </w:r>
      <w:r w:rsidRPr="0033776A">
        <w:rPr>
          <w:rFonts w:ascii="Times New Roman" w:hAnsi="Times New Roman" w:cs="Times New Roman"/>
          <w:bCs/>
          <w:i/>
          <w:sz w:val="20"/>
          <w:szCs w:val="20"/>
        </w:rPr>
        <w:t xml:space="preserve"> N Y Sci J</w:t>
      </w:r>
      <w:r w:rsidRPr="0033776A">
        <w:rPr>
          <w:rFonts w:ascii="Times New Roman" w:hAnsi="Times New Roman" w:cs="Times New Roman"/>
          <w:bCs/>
          <w:sz w:val="20"/>
          <w:szCs w:val="20"/>
        </w:rPr>
        <w:t xml:space="preserve"> </w:t>
      </w:r>
      <w:r w:rsidRPr="0033776A">
        <w:rPr>
          <w:rFonts w:ascii="Times New Roman" w:hAnsi="Times New Roman" w:cs="Times New Roman"/>
          <w:sz w:val="20"/>
          <w:szCs w:val="20"/>
        </w:rPr>
        <w:t>20</w:t>
      </w:r>
      <w:r w:rsidRPr="0033776A">
        <w:rPr>
          <w:rFonts w:ascii="Times New Roman" w:hAnsi="Times New Roman" w:cs="Times New Roman" w:hint="eastAsia"/>
          <w:sz w:val="20"/>
          <w:szCs w:val="20"/>
        </w:rPr>
        <w:t>20</w:t>
      </w:r>
      <w:r w:rsidRPr="0033776A">
        <w:rPr>
          <w:rFonts w:ascii="Times New Roman" w:hAnsi="Times New Roman" w:cs="Times New Roman"/>
          <w:sz w:val="20"/>
          <w:szCs w:val="20"/>
        </w:rPr>
        <w:t>;</w:t>
      </w:r>
      <w:r w:rsidRPr="0033776A">
        <w:rPr>
          <w:rFonts w:ascii="Times New Roman" w:hAnsi="Times New Roman" w:cs="Times New Roman" w:hint="eastAsia"/>
          <w:sz w:val="20"/>
          <w:szCs w:val="20"/>
        </w:rPr>
        <w:t>13</w:t>
      </w:r>
      <w:r w:rsidRPr="0033776A">
        <w:rPr>
          <w:rFonts w:ascii="Times New Roman" w:hAnsi="Times New Roman" w:cs="Times New Roman"/>
          <w:sz w:val="20"/>
          <w:szCs w:val="20"/>
        </w:rPr>
        <w:t>(</w:t>
      </w:r>
      <w:r w:rsidRPr="0033776A">
        <w:rPr>
          <w:rFonts w:ascii="Times New Roman" w:hAnsi="Times New Roman" w:cs="Times New Roman" w:hint="eastAsia"/>
          <w:sz w:val="20"/>
          <w:szCs w:val="20"/>
        </w:rPr>
        <w:t>4</w:t>
      </w:r>
      <w:r w:rsidRPr="0033776A">
        <w:rPr>
          <w:rFonts w:ascii="Times New Roman" w:hAnsi="Times New Roman" w:cs="Times New Roman"/>
          <w:sz w:val="20"/>
          <w:szCs w:val="20"/>
        </w:rPr>
        <w:t>):</w:t>
      </w:r>
      <w:r w:rsidR="00CF7C32">
        <w:rPr>
          <w:rFonts w:ascii="Times New Roman" w:hAnsi="Times New Roman" w:cs="Times New Roman"/>
          <w:noProof/>
          <w:color w:val="000000"/>
          <w:sz w:val="20"/>
          <w:szCs w:val="20"/>
        </w:rPr>
        <w:t>4</w:t>
      </w:r>
      <w:r w:rsidR="00C107AD">
        <w:rPr>
          <w:rFonts w:ascii="Times New Roman" w:hAnsi="Times New Roman" w:cs="Times New Roman" w:hint="eastAsia"/>
          <w:noProof/>
          <w:color w:val="000000"/>
          <w:sz w:val="20"/>
          <w:szCs w:val="20"/>
          <w:lang w:eastAsia="zh-CN"/>
        </w:rPr>
        <w:t>4</w:t>
      </w:r>
      <w:r w:rsidR="00CF7C32">
        <w:rPr>
          <w:rFonts w:ascii="Times New Roman" w:hAnsi="Times New Roman" w:cs="Times New Roman"/>
          <w:noProof/>
          <w:color w:val="000000"/>
          <w:sz w:val="20"/>
          <w:szCs w:val="20"/>
        </w:rPr>
        <w:t>-4</w:t>
      </w:r>
      <w:r w:rsidR="00C107AD">
        <w:rPr>
          <w:rFonts w:ascii="Times New Roman" w:hAnsi="Times New Roman" w:cs="Times New Roman" w:hint="eastAsia"/>
          <w:noProof/>
          <w:color w:val="000000"/>
          <w:sz w:val="20"/>
          <w:szCs w:val="20"/>
          <w:lang w:eastAsia="zh-CN"/>
        </w:rPr>
        <w:t>8</w:t>
      </w:r>
      <w:r w:rsidRPr="0033776A">
        <w:rPr>
          <w:rFonts w:ascii="Times New Roman" w:hAnsi="Times New Roman" w:cs="Times New Roman"/>
          <w:sz w:val="20"/>
          <w:szCs w:val="20"/>
        </w:rPr>
        <w:t xml:space="preserve">]. </w:t>
      </w:r>
      <w:r w:rsidRPr="0033776A">
        <w:rPr>
          <w:rFonts w:ascii="Times New Roman" w:hAnsi="Times New Roman" w:cs="Times New Roman"/>
          <w:iCs/>
          <w:color w:val="000000"/>
          <w:sz w:val="20"/>
          <w:szCs w:val="20"/>
        </w:rPr>
        <w:t>ISSN 1554-0200 (print); ISSN 2375-723X (online)</w:t>
      </w:r>
      <w:r w:rsidRPr="0033776A">
        <w:rPr>
          <w:rFonts w:ascii="Times New Roman" w:hAnsi="Times New Roman" w:cs="Times New Roman"/>
          <w:sz w:val="20"/>
          <w:szCs w:val="20"/>
        </w:rPr>
        <w:t xml:space="preserve">. </w:t>
      </w:r>
      <w:hyperlink r:id="rId10" w:history="1">
        <w:r w:rsidRPr="0033776A">
          <w:rPr>
            <w:rStyle w:val="Hyperlink"/>
            <w:rFonts w:ascii="Times New Roman" w:hAnsi="Times New Roman" w:cs="Times New Roman"/>
            <w:color w:val="0000FF"/>
            <w:sz w:val="20"/>
            <w:szCs w:val="20"/>
          </w:rPr>
          <w:t>http://www.sciencepub.net/newyork</w:t>
        </w:r>
      </w:hyperlink>
      <w:r w:rsidRPr="0033776A">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33776A">
        <w:rPr>
          <w:rFonts w:ascii="Times New Roman" w:hAnsi="Times New Roman" w:cs="Times New Roman" w:hint="eastAsia"/>
          <w:sz w:val="20"/>
          <w:szCs w:val="20"/>
        </w:rPr>
        <w:t xml:space="preserve">. </w:t>
      </w:r>
      <w:r w:rsidRPr="0033776A">
        <w:rPr>
          <w:rFonts w:ascii="Times New Roman" w:hAnsi="Times New Roman" w:cs="Times New Roman"/>
          <w:color w:val="000000"/>
          <w:sz w:val="20"/>
          <w:szCs w:val="20"/>
          <w:shd w:val="clear" w:color="auto" w:fill="FFFFFF"/>
        </w:rPr>
        <w:t>doi:</w:t>
      </w:r>
      <w:hyperlink r:id="rId11" w:history="1">
        <w:r w:rsidRPr="0033776A">
          <w:rPr>
            <w:rStyle w:val="Hyperlink"/>
            <w:rFonts w:ascii="Times New Roman" w:hAnsi="Times New Roman" w:cs="Times New Roman"/>
            <w:color w:val="0000FF"/>
            <w:sz w:val="20"/>
            <w:szCs w:val="20"/>
            <w:shd w:val="clear" w:color="auto" w:fill="FFFFFF"/>
          </w:rPr>
          <w:t>10.7537/mars</w:t>
        </w:r>
        <w:r w:rsidRPr="0033776A">
          <w:rPr>
            <w:rStyle w:val="Hyperlink"/>
            <w:rFonts w:ascii="Times New Roman" w:hAnsi="Times New Roman" w:cs="Times New Roman" w:hint="eastAsia"/>
            <w:color w:val="0000FF"/>
            <w:sz w:val="20"/>
            <w:szCs w:val="20"/>
            <w:shd w:val="clear" w:color="auto" w:fill="FFFFFF"/>
          </w:rPr>
          <w:t>nys130420.</w:t>
        </w:r>
        <w:r w:rsidRPr="0033776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5</w:t>
        </w:r>
      </w:hyperlink>
      <w:r w:rsidRPr="0033776A">
        <w:rPr>
          <w:rFonts w:ascii="Times New Roman" w:hAnsi="Times New Roman" w:cs="Times New Roman"/>
          <w:color w:val="000000"/>
          <w:sz w:val="20"/>
          <w:szCs w:val="20"/>
          <w:shd w:val="clear" w:color="auto" w:fill="FFFFFF"/>
        </w:rPr>
        <w:t>.</w:t>
      </w:r>
    </w:p>
    <w:p w:rsidR="00851285" w:rsidRPr="00B65376" w:rsidRDefault="00851285" w:rsidP="0033776A">
      <w:pPr>
        <w:snapToGrid w:val="0"/>
        <w:spacing w:after="0" w:line="240" w:lineRule="auto"/>
        <w:jc w:val="both"/>
        <w:rPr>
          <w:rFonts w:ascii="Times New Roman" w:hAnsi="Times New Roman" w:cs="Times New Roman"/>
          <w:b/>
          <w:sz w:val="20"/>
          <w:szCs w:val="20"/>
        </w:rPr>
      </w:pPr>
    </w:p>
    <w:p w:rsidR="006059B9" w:rsidRPr="00B65376" w:rsidRDefault="006059B9" w:rsidP="0033776A">
      <w:pPr>
        <w:snapToGrid w:val="0"/>
        <w:spacing w:after="0" w:line="240" w:lineRule="auto"/>
        <w:jc w:val="both"/>
        <w:rPr>
          <w:rFonts w:ascii="Times New Roman" w:hAnsi="Times New Roman" w:cs="Times New Roman"/>
          <w:sz w:val="20"/>
          <w:szCs w:val="20"/>
        </w:rPr>
      </w:pPr>
      <w:r w:rsidRPr="00B65376">
        <w:rPr>
          <w:rFonts w:ascii="Times New Roman" w:hAnsi="Times New Roman" w:cs="Times New Roman"/>
          <w:b/>
          <w:sz w:val="20"/>
          <w:szCs w:val="20"/>
        </w:rPr>
        <w:t>Keywords</w:t>
      </w:r>
      <w:r w:rsidR="00F81A1D" w:rsidRPr="00B65376">
        <w:rPr>
          <w:rFonts w:ascii="Times New Roman" w:hAnsi="Times New Roman" w:cs="Times New Roman"/>
          <w:b/>
          <w:sz w:val="20"/>
          <w:szCs w:val="20"/>
        </w:rPr>
        <w:t>:</w:t>
      </w:r>
      <w:r w:rsidR="00AA7938" w:rsidRPr="00B65376">
        <w:rPr>
          <w:rFonts w:ascii="Times New Roman" w:hAnsi="Times New Roman" w:cs="Times New Roman"/>
          <w:b/>
          <w:sz w:val="20"/>
          <w:szCs w:val="20"/>
        </w:rPr>
        <w:t xml:space="preserve"> </w:t>
      </w:r>
      <w:r w:rsidR="00AA7938" w:rsidRPr="00B65376">
        <w:rPr>
          <w:rFonts w:ascii="Times New Roman" w:hAnsi="Times New Roman" w:cs="Times New Roman"/>
          <w:sz w:val="20"/>
          <w:szCs w:val="20"/>
        </w:rPr>
        <w:t>Water,</w:t>
      </w:r>
      <w:r w:rsidR="00592FC7" w:rsidRPr="00B65376">
        <w:rPr>
          <w:rFonts w:ascii="Times New Roman" w:hAnsi="Times New Roman" w:cs="Times New Roman"/>
          <w:sz w:val="20"/>
          <w:szCs w:val="20"/>
        </w:rPr>
        <w:t xml:space="preserve"> Concentrator, </w:t>
      </w:r>
      <w:r w:rsidR="00AA7938" w:rsidRPr="00B65376">
        <w:rPr>
          <w:rFonts w:ascii="Times New Roman" w:hAnsi="Times New Roman" w:cs="Times New Roman"/>
          <w:sz w:val="20"/>
          <w:szCs w:val="20"/>
        </w:rPr>
        <w:t>Coliform, Mirror and Aluminum foil, disinfection, Total culturable heterotrophic bacteria, Rivers State.</w:t>
      </w:r>
    </w:p>
    <w:p w:rsidR="006059B9" w:rsidRPr="00CF7C32" w:rsidRDefault="006059B9" w:rsidP="0033776A">
      <w:pPr>
        <w:snapToGrid w:val="0"/>
        <w:spacing w:after="0" w:line="240" w:lineRule="auto"/>
        <w:jc w:val="both"/>
        <w:rPr>
          <w:rFonts w:ascii="Times New Roman" w:hAnsi="Times New Roman" w:cs="Times New Roman"/>
          <w:b/>
          <w:sz w:val="24"/>
          <w:szCs w:val="20"/>
        </w:rPr>
      </w:pPr>
    </w:p>
    <w:p w:rsidR="0033776A" w:rsidRDefault="0033776A" w:rsidP="0033776A">
      <w:pPr>
        <w:snapToGrid w:val="0"/>
        <w:spacing w:after="0" w:line="240" w:lineRule="auto"/>
        <w:jc w:val="both"/>
        <w:rPr>
          <w:rFonts w:ascii="Times New Roman" w:hAnsi="Times New Roman" w:cs="Times New Roman"/>
          <w:b/>
          <w:sz w:val="20"/>
          <w:szCs w:val="20"/>
        </w:rPr>
        <w:sectPr w:rsidR="0033776A" w:rsidSect="00C107AD">
          <w:headerReference w:type="default" r:id="rId12"/>
          <w:footerReference w:type="default" r:id="rId13"/>
          <w:type w:val="continuous"/>
          <w:pgSz w:w="12240" w:h="15840" w:code="9"/>
          <w:pgMar w:top="1440" w:right="1440" w:bottom="1440" w:left="1440" w:header="720" w:footer="720" w:gutter="0"/>
          <w:pgNumType w:start="44"/>
          <w:cols w:space="720"/>
          <w:docGrid w:linePitch="360"/>
        </w:sectPr>
      </w:pPr>
    </w:p>
    <w:p w:rsidR="00AC322E"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lastRenderedPageBreak/>
        <w:t>Introduction</w:t>
      </w:r>
    </w:p>
    <w:p w:rsidR="00011E11" w:rsidRPr="00B65376" w:rsidRDefault="00011E11" w:rsidP="0033776A">
      <w:pPr>
        <w:pStyle w:val="msonospacing0"/>
        <w:snapToGrid w:val="0"/>
        <w:ind w:firstLine="425"/>
        <w:jc w:val="both"/>
        <w:rPr>
          <w:rFonts w:ascii="Times New Roman" w:hAnsi="Times New Roman"/>
          <w:sz w:val="20"/>
          <w:szCs w:val="20"/>
        </w:rPr>
      </w:pPr>
      <w:r w:rsidRPr="00B65376">
        <w:rPr>
          <w:rFonts w:ascii="Times New Roman" w:hAnsi="Times New Roman"/>
          <w:sz w:val="20"/>
          <w:szCs w:val="20"/>
        </w:rPr>
        <w:t xml:space="preserve">From records, human diseases </w:t>
      </w:r>
      <w:r w:rsidR="00310A5C" w:rsidRPr="00B65376">
        <w:rPr>
          <w:rFonts w:ascii="Times New Roman" w:hAnsi="Times New Roman"/>
          <w:sz w:val="20"/>
          <w:szCs w:val="20"/>
        </w:rPr>
        <w:t>have</w:t>
      </w:r>
      <w:r w:rsidRPr="00B65376">
        <w:rPr>
          <w:rFonts w:ascii="Times New Roman" w:hAnsi="Times New Roman"/>
          <w:sz w:val="20"/>
          <w:szCs w:val="20"/>
        </w:rPr>
        <w:t xml:space="preserve"> been transmitted largely by water, these </w:t>
      </w:r>
      <w:r w:rsidR="00310A5C" w:rsidRPr="00B65376">
        <w:rPr>
          <w:rFonts w:ascii="Times New Roman" w:hAnsi="Times New Roman"/>
          <w:sz w:val="20"/>
          <w:szCs w:val="20"/>
        </w:rPr>
        <w:t>include amoebic</w:t>
      </w:r>
      <w:r w:rsidRPr="00B65376">
        <w:rPr>
          <w:rFonts w:ascii="Times New Roman" w:hAnsi="Times New Roman"/>
          <w:sz w:val="20"/>
          <w:szCs w:val="20"/>
        </w:rPr>
        <w:t xml:space="preserve"> dysenteries, bacillary amoebic dysenteries and infectious hepatitis (Odeyemi </w:t>
      </w:r>
      <w:r w:rsidRPr="00B65376">
        <w:rPr>
          <w:rFonts w:ascii="Times New Roman" w:hAnsi="Times New Roman"/>
          <w:i/>
          <w:color w:val="000000" w:themeColor="text1"/>
          <w:sz w:val="20"/>
          <w:szCs w:val="20"/>
        </w:rPr>
        <w:t xml:space="preserve">et al., </w:t>
      </w:r>
      <w:r w:rsidRPr="00B65376">
        <w:rPr>
          <w:rFonts w:ascii="Times New Roman" w:hAnsi="Times New Roman"/>
          <w:color w:val="000000" w:themeColor="text1"/>
          <w:sz w:val="20"/>
          <w:szCs w:val="20"/>
        </w:rPr>
        <w:t xml:space="preserve">2011) </w:t>
      </w:r>
      <w:r w:rsidRPr="00B65376">
        <w:rPr>
          <w:rFonts w:ascii="Times New Roman" w:hAnsi="Times New Roman"/>
          <w:sz w:val="20"/>
          <w:szCs w:val="20"/>
        </w:rPr>
        <w:t xml:space="preserve">and many varieties of gastrointestinal diseases (Odeyemi </w:t>
      </w:r>
      <w:r w:rsidRPr="00B65376">
        <w:rPr>
          <w:rFonts w:ascii="Times New Roman" w:hAnsi="Times New Roman"/>
          <w:i/>
          <w:color w:val="000000" w:themeColor="text1"/>
          <w:sz w:val="20"/>
          <w:szCs w:val="20"/>
        </w:rPr>
        <w:t xml:space="preserve">et al., </w:t>
      </w:r>
      <w:r w:rsidRPr="00B65376">
        <w:rPr>
          <w:rFonts w:ascii="Times New Roman" w:hAnsi="Times New Roman"/>
          <w:color w:val="000000" w:themeColor="text1"/>
          <w:sz w:val="20"/>
          <w:szCs w:val="20"/>
        </w:rPr>
        <w:t xml:space="preserve">2011; </w:t>
      </w:r>
      <w:r w:rsidRPr="00B65376">
        <w:rPr>
          <w:rFonts w:ascii="Times New Roman" w:eastAsiaTheme="minorHAnsi" w:hAnsi="Times New Roman"/>
          <w:sz w:val="20"/>
          <w:szCs w:val="20"/>
          <w:lang w:val="en-US"/>
        </w:rPr>
        <w:t xml:space="preserve">Ibiene </w:t>
      </w:r>
      <w:r w:rsidRPr="00B65376">
        <w:rPr>
          <w:rFonts w:ascii="Times New Roman" w:eastAsiaTheme="minorHAnsi" w:hAnsi="Times New Roman"/>
          <w:i/>
          <w:sz w:val="20"/>
          <w:szCs w:val="20"/>
          <w:lang w:val="en-US"/>
        </w:rPr>
        <w:t xml:space="preserve">et al., </w:t>
      </w:r>
      <w:r w:rsidRPr="00B65376">
        <w:rPr>
          <w:rFonts w:ascii="Times New Roman" w:eastAsiaTheme="minorHAnsi" w:hAnsi="Times New Roman"/>
          <w:sz w:val="20"/>
          <w:szCs w:val="20"/>
          <w:lang w:val="en-US"/>
        </w:rPr>
        <w:t xml:space="preserve">2012). </w:t>
      </w:r>
      <w:r w:rsidRPr="00B65376">
        <w:rPr>
          <w:rFonts w:ascii="Times New Roman" w:hAnsi="Times New Roman"/>
          <w:sz w:val="20"/>
          <w:szCs w:val="20"/>
        </w:rPr>
        <w:t>The examination bacteria species in water has thus become a pertinent and ultimate approach to detect the</w:t>
      </w:r>
      <w:r w:rsidR="00851285" w:rsidRPr="00B65376">
        <w:rPr>
          <w:rFonts w:ascii="Times New Roman" w:hAnsi="Times New Roman"/>
          <w:sz w:val="20"/>
          <w:szCs w:val="20"/>
        </w:rPr>
        <w:t xml:space="preserve"> </w:t>
      </w:r>
      <w:r w:rsidRPr="00B65376">
        <w:rPr>
          <w:rFonts w:ascii="Times New Roman" w:hAnsi="Times New Roman"/>
          <w:sz w:val="20"/>
          <w:szCs w:val="20"/>
        </w:rPr>
        <w:t>occurrence of microbial populations which</w:t>
      </w:r>
      <w:r w:rsidR="00FA672B" w:rsidRPr="00B65376">
        <w:rPr>
          <w:rFonts w:ascii="Times New Roman" w:hAnsi="Times New Roman"/>
          <w:sz w:val="20"/>
          <w:szCs w:val="20"/>
        </w:rPr>
        <w:t xml:space="preserve"> </w:t>
      </w:r>
      <w:r w:rsidRPr="00B65376">
        <w:rPr>
          <w:rFonts w:ascii="Times New Roman" w:hAnsi="Times New Roman"/>
          <w:sz w:val="20"/>
          <w:szCs w:val="20"/>
        </w:rPr>
        <w:t>may become a problem to health. This</w:t>
      </w:r>
      <w:r w:rsidR="00851285" w:rsidRPr="00B65376">
        <w:rPr>
          <w:rFonts w:ascii="Times New Roman" w:hAnsi="Times New Roman"/>
          <w:sz w:val="20"/>
          <w:szCs w:val="20"/>
        </w:rPr>
        <w:t>,</w:t>
      </w:r>
      <w:r w:rsidRPr="00B65376">
        <w:rPr>
          <w:rFonts w:ascii="Times New Roman" w:hAnsi="Times New Roman"/>
          <w:sz w:val="20"/>
          <w:szCs w:val="20"/>
        </w:rPr>
        <w:t xml:space="preserve"> however, forms the basis for quality studies on water (Omeleke, 2004).</w:t>
      </w:r>
      <w:r w:rsidR="00B65376" w:rsidRPr="00B65376">
        <w:rPr>
          <w:rFonts w:ascii="Times New Roman" w:hAnsi="Times New Roman"/>
          <w:sz w:val="20"/>
          <w:szCs w:val="20"/>
        </w:rPr>
        <w:t xml:space="preserve"> </w:t>
      </w:r>
    </w:p>
    <w:p w:rsidR="00011E11" w:rsidRPr="00B65376" w:rsidRDefault="00011E11" w:rsidP="0033776A">
      <w:pPr>
        <w:pStyle w:val="msonospacing0"/>
        <w:snapToGrid w:val="0"/>
        <w:ind w:firstLine="425"/>
        <w:jc w:val="both"/>
        <w:rPr>
          <w:rFonts w:ascii="Times New Roman" w:hAnsi="Times New Roman"/>
          <w:sz w:val="20"/>
          <w:szCs w:val="20"/>
        </w:rPr>
      </w:pPr>
      <w:r w:rsidRPr="00B65376">
        <w:rPr>
          <w:rFonts w:ascii="Times New Roman" w:hAnsi="Times New Roman"/>
          <w:sz w:val="20"/>
          <w:szCs w:val="20"/>
        </w:rPr>
        <w:t xml:space="preserve">The quality of drinking water is of </w:t>
      </w:r>
      <w:r w:rsidR="00851285" w:rsidRPr="00B65376">
        <w:rPr>
          <w:rFonts w:ascii="Times New Roman" w:hAnsi="Times New Roman"/>
          <w:sz w:val="20"/>
          <w:szCs w:val="20"/>
        </w:rPr>
        <w:t xml:space="preserve">the </w:t>
      </w:r>
      <w:r w:rsidRPr="00B65376">
        <w:rPr>
          <w:rFonts w:ascii="Times New Roman" w:hAnsi="Times New Roman"/>
          <w:sz w:val="20"/>
          <w:szCs w:val="20"/>
        </w:rPr>
        <w:t xml:space="preserve">highest significance and this thus, depends on the level of contamination and source, the human population </w:t>
      </w:r>
      <w:r w:rsidR="00851285" w:rsidRPr="00B65376">
        <w:rPr>
          <w:rFonts w:ascii="Times New Roman" w:hAnsi="Times New Roman"/>
          <w:sz w:val="20"/>
          <w:szCs w:val="20"/>
        </w:rPr>
        <w:t>is</w:t>
      </w:r>
      <w:r w:rsidRPr="00B65376">
        <w:rPr>
          <w:rFonts w:ascii="Times New Roman" w:hAnsi="Times New Roman"/>
          <w:sz w:val="20"/>
          <w:szCs w:val="20"/>
        </w:rPr>
        <w:t xml:space="preserve"> covered by the water source also influences the level or extent pollution and contamination occurs (Acra, 1990). As a </w:t>
      </w:r>
      <w:r w:rsidR="00310A5C" w:rsidRPr="00B65376">
        <w:rPr>
          <w:rFonts w:ascii="Times New Roman" w:hAnsi="Times New Roman"/>
          <w:sz w:val="20"/>
          <w:szCs w:val="20"/>
        </w:rPr>
        <w:t>result,</w:t>
      </w:r>
      <w:r w:rsidRPr="00B65376">
        <w:rPr>
          <w:rFonts w:ascii="Times New Roman" w:hAnsi="Times New Roman"/>
          <w:sz w:val="20"/>
          <w:szCs w:val="20"/>
        </w:rPr>
        <w:t xml:space="preserve"> there is a widespread risk to human health from waterborne harmful microorganisms including bacteria, protozoa, and viruses. About 80% of diseases in the tropics for instance typhoid, diarrh</w:t>
      </w:r>
      <w:r w:rsidR="00851285" w:rsidRPr="00B65376">
        <w:rPr>
          <w:rFonts w:ascii="Times New Roman" w:hAnsi="Times New Roman"/>
          <w:sz w:val="20"/>
          <w:szCs w:val="20"/>
        </w:rPr>
        <w:t>oea</w:t>
      </w:r>
      <w:r w:rsidRPr="00B65376">
        <w:rPr>
          <w:rFonts w:ascii="Times New Roman" w:hAnsi="Times New Roman"/>
          <w:sz w:val="20"/>
          <w:szCs w:val="20"/>
        </w:rPr>
        <w:t>, dysentery and cholera are as a result of water source contamination</w:t>
      </w:r>
      <w:r w:rsidR="00310A5C" w:rsidRPr="00B65376">
        <w:rPr>
          <w:rFonts w:ascii="Times New Roman" w:hAnsi="Times New Roman"/>
          <w:sz w:val="20"/>
          <w:szCs w:val="20"/>
        </w:rPr>
        <w:t>.</w:t>
      </w:r>
    </w:p>
    <w:p w:rsidR="00310A5C" w:rsidRPr="00B65376" w:rsidRDefault="00310A5C" w:rsidP="0033776A">
      <w:pPr>
        <w:pStyle w:val="msonospacing0"/>
        <w:snapToGrid w:val="0"/>
        <w:ind w:firstLine="425"/>
        <w:jc w:val="both"/>
        <w:rPr>
          <w:rFonts w:ascii="Times New Roman" w:hAnsi="Times New Roman"/>
          <w:sz w:val="20"/>
          <w:szCs w:val="20"/>
        </w:rPr>
      </w:pPr>
    </w:p>
    <w:p w:rsidR="00FA672B" w:rsidRPr="00B65376" w:rsidRDefault="00FA672B"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lastRenderedPageBreak/>
        <w:t>The effluents from industries show a high impact in contaminating the aquatic systems; the vast wastes can degenerate the biological, physical state and chemical make-up of the water bodies (</w:t>
      </w:r>
      <w:r w:rsidRPr="00B65376">
        <w:rPr>
          <w:rFonts w:ascii="Times New Roman" w:eastAsia="Times New Roman" w:hAnsi="Times New Roman" w:cs="Times New Roman"/>
          <w:sz w:val="20"/>
          <w:szCs w:val="20"/>
        </w:rPr>
        <w:t xml:space="preserve">Adekunle, </w:t>
      </w:r>
      <w:r w:rsidRPr="00B65376">
        <w:rPr>
          <w:rFonts w:ascii="Times New Roman" w:eastAsia="Times New Roman" w:hAnsi="Times New Roman" w:cs="Times New Roman"/>
          <w:i/>
          <w:sz w:val="20"/>
          <w:szCs w:val="20"/>
        </w:rPr>
        <w:t>et al</w:t>
      </w:r>
      <w:r w:rsidRPr="00B65376">
        <w:rPr>
          <w:rFonts w:ascii="Times New Roman" w:eastAsia="Times New Roman" w:hAnsi="Times New Roman" w:cs="Times New Roman"/>
          <w:sz w:val="20"/>
          <w:szCs w:val="20"/>
        </w:rPr>
        <w:t xml:space="preserve">., 2008; </w:t>
      </w:r>
      <w:r w:rsidRPr="00B65376">
        <w:rPr>
          <w:rFonts w:ascii="Times New Roman" w:hAnsi="Times New Roman" w:cs="Times New Roman"/>
          <w:sz w:val="20"/>
          <w:szCs w:val="20"/>
        </w:rPr>
        <w:t>Phiri, 2005). Increase environmental activities have led to negative impaction of our water resources, either a domestic source, agricultural or industrial origin (Phiri, 2005).</w:t>
      </w:r>
    </w:p>
    <w:p w:rsidR="00CF7C32" w:rsidRDefault="00FA672B" w:rsidP="0033776A">
      <w:pPr>
        <w:snapToGrid w:val="0"/>
        <w:spacing w:after="0" w:line="240" w:lineRule="auto"/>
        <w:ind w:firstLine="425"/>
        <w:jc w:val="both"/>
        <w:rPr>
          <w:rFonts w:ascii="Times New Roman" w:hAnsi="Times New Roman" w:cs="Times New Roman"/>
          <w:sz w:val="20"/>
          <w:szCs w:val="20"/>
        </w:rPr>
        <w:sectPr w:rsidR="00CF7C32" w:rsidSect="0033776A">
          <w:type w:val="continuous"/>
          <w:pgSz w:w="12240" w:h="15840" w:code="9"/>
          <w:pgMar w:top="1440" w:right="1440" w:bottom="1440" w:left="1440" w:header="720" w:footer="720" w:gutter="0"/>
          <w:cols w:num="2" w:space="550"/>
          <w:docGrid w:linePitch="360"/>
        </w:sectPr>
      </w:pPr>
      <w:r w:rsidRPr="00B65376">
        <w:rPr>
          <w:rFonts w:ascii="Times New Roman" w:hAnsi="Times New Roman" w:cs="Times New Roman"/>
          <w:sz w:val="20"/>
          <w:szCs w:val="20"/>
        </w:rPr>
        <w:t>Waters gaining access to these aquatic systems are considered as, solid, liquid or semi-</w:t>
      </w:r>
      <w:r w:rsidR="00851285" w:rsidRPr="00B65376">
        <w:rPr>
          <w:rFonts w:ascii="Times New Roman" w:hAnsi="Times New Roman" w:cs="Times New Roman"/>
          <w:sz w:val="20"/>
          <w:szCs w:val="20"/>
        </w:rPr>
        <w:t>solid</w:t>
      </w:r>
      <w:r w:rsidRPr="00B65376">
        <w:rPr>
          <w:rFonts w:ascii="Times New Roman" w:hAnsi="Times New Roman" w:cs="Times New Roman"/>
          <w:sz w:val="20"/>
          <w:szCs w:val="20"/>
        </w:rPr>
        <w:t xml:space="preserve"> status. These greatly are gotten from activities such as; human domestic functions, industrial func</w:t>
      </w:r>
      <w:r w:rsidR="005F65D8" w:rsidRPr="00B65376">
        <w:rPr>
          <w:rFonts w:ascii="Times New Roman" w:hAnsi="Times New Roman" w:cs="Times New Roman"/>
          <w:sz w:val="20"/>
          <w:szCs w:val="20"/>
        </w:rPr>
        <w:t xml:space="preserve">tions or agricultural functions (Ojo </w:t>
      </w:r>
      <w:r w:rsidR="005F65D8" w:rsidRPr="00B65376">
        <w:rPr>
          <w:rFonts w:ascii="Times New Roman" w:hAnsi="Times New Roman" w:cs="Times New Roman"/>
          <w:i/>
          <w:sz w:val="20"/>
          <w:szCs w:val="20"/>
        </w:rPr>
        <w:t>et al</w:t>
      </w:r>
      <w:r w:rsidR="005F65D8" w:rsidRPr="00B65376">
        <w:rPr>
          <w:rFonts w:ascii="Times New Roman" w:hAnsi="Times New Roman" w:cs="Times New Roman"/>
          <w:sz w:val="20"/>
          <w:szCs w:val="20"/>
        </w:rPr>
        <w:t>., 2011).</w:t>
      </w:r>
      <w:r w:rsidR="00310A5C" w:rsidRPr="00B65376">
        <w:rPr>
          <w:rFonts w:ascii="Times New Roman" w:hAnsi="Times New Roman" w:cs="Times New Roman"/>
          <w:sz w:val="20"/>
          <w:szCs w:val="20"/>
        </w:rPr>
        <w:t xml:space="preserve"> </w:t>
      </w:r>
      <w:r w:rsidRPr="00B65376">
        <w:rPr>
          <w:rFonts w:ascii="Times New Roman" w:hAnsi="Times New Roman" w:cs="Times New Roman"/>
          <w:sz w:val="20"/>
          <w:szCs w:val="20"/>
        </w:rPr>
        <w:t>The intensity of sunlight that reaches the surface of the earth is about 1360 W m</w:t>
      </w:r>
      <w:r w:rsidRPr="00B65376">
        <w:rPr>
          <w:rFonts w:ascii="Times New Roman" w:hAnsi="Times New Roman" w:cs="Times New Roman"/>
          <w:sz w:val="20"/>
          <w:szCs w:val="20"/>
          <w:vertAlign w:val="superscript"/>
        </w:rPr>
        <w:t>2</w:t>
      </w:r>
      <w:r w:rsidRPr="00B65376">
        <w:rPr>
          <w:rFonts w:ascii="Times New Roman" w:hAnsi="Times New Roman" w:cs="Times New Roman"/>
          <w:sz w:val="20"/>
          <w:szCs w:val="20"/>
        </w:rPr>
        <w:t xml:space="preserve"> it varies as the earth rotate</w:t>
      </w:r>
      <w:r w:rsidR="00851285" w:rsidRPr="00B65376">
        <w:rPr>
          <w:rFonts w:ascii="Times New Roman" w:hAnsi="Times New Roman" w:cs="Times New Roman"/>
          <w:sz w:val="20"/>
          <w:szCs w:val="20"/>
        </w:rPr>
        <w:t>s</w:t>
      </w:r>
      <w:r w:rsidRPr="00B65376">
        <w:rPr>
          <w:rFonts w:ascii="Times New Roman" w:hAnsi="Times New Roman" w:cs="Times New Roman"/>
          <w:sz w:val="20"/>
          <w:szCs w:val="20"/>
        </w:rPr>
        <w:t xml:space="preserve"> around the orbit (Kevin </w:t>
      </w:r>
      <w:r w:rsidRPr="00B65376">
        <w:rPr>
          <w:rFonts w:ascii="Times New Roman" w:hAnsi="Times New Roman" w:cs="Times New Roman"/>
          <w:i/>
          <w:sz w:val="20"/>
          <w:szCs w:val="20"/>
        </w:rPr>
        <w:t>et al</w:t>
      </w:r>
      <w:r w:rsidRPr="00B65376">
        <w:rPr>
          <w:rFonts w:ascii="Times New Roman" w:hAnsi="Times New Roman" w:cs="Times New Roman"/>
          <w:sz w:val="20"/>
          <w:szCs w:val="20"/>
        </w:rPr>
        <w:t>., 2012). These elements such as ozone, water vapour, oxygen and CO</w:t>
      </w:r>
      <w:r w:rsidRPr="00B65376">
        <w:rPr>
          <w:rFonts w:ascii="Times New Roman" w:hAnsi="Times New Roman" w:cs="Times New Roman"/>
          <w:sz w:val="20"/>
          <w:szCs w:val="20"/>
          <w:vertAlign w:val="subscript"/>
        </w:rPr>
        <w:t xml:space="preserve">2 </w:t>
      </w:r>
      <w:r w:rsidRPr="00B65376">
        <w:rPr>
          <w:rFonts w:ascii="Times New Roman" w:hAnsi="Times New Roman" w:cs="Times New Roman"/>
          <w:sz w:val="20"/>
          <w:szCs w:val="20"/>
        </w:rPr>
        <w:t xml:space="preserve">add to atmospheric contaminants. (Kevin </w:t>
      </w:r>
      <w:r w:rsidRPr="00B65376">
        <w:rPr>
          <w:rFonts w:ascii="Times New Roman" w:hAnsi="Times New Roman" w:cs="Times New Roman"/>
          <w:i/>
          <w:sz w:val="20"/>
          <w:szCs w:val="20"/>
        </w:rPr>
        <w:t>et al</w:t>
      </w:r>
      <w:r w:rsidRPr="00B65376">
        <w:rPr>
          <w:rFonts w:ascii="Times New Roman" w:hAnsi="Times New Roman" w:cs="Times New Roman"/>
          <w:sz w:val="20"/>
          <w:szCs w:val="20"/>
        </w:rPr>
        <w:t xml:space="preserve">.,2012). </w:t>
      </w:r>
      <w:r w:rsidR="00310A5C" w:rsidRPr="00B65376">
        <w:rPr>
          <w:rFonts w:ascii="Times New Roman" w:hAnsi="Times New Roman" w:cs="Times New Roman"/>
          <w:sz w:val="20"/>
          <w:szCs w:val="20"/>
        </w:rPr>
        <w:t>Thus,</w:t>
      </w:r>
      <w:r w:rsidRPr="00B65376">
        <w:rPr>
          <w:rFonts w:ascii="Times New Roman" w:hAnsi="Times New Roman" w:cs="Times New Roman"/>
          <w:sz w:val="20"/>
          <w:szCs w:val="20"/>
        </w:rPr>
        <w:t xml:space="preserve"> we have 1.12 kJ m</w:t>
      </w:r>
      <w:r w:rsidRPr="00B65376">
        <w:rPr>
          <w:rFonts w:ascii="Times New Roman" w:hAnsi="Times New Roman" w:cs="Times New Roman"/>
          <w:sz w:val="20"/>
          <w:szCs w:val="20"/>
          <w:vertAlign w:val="superscript"/>
        </w:rPr>
        <w:t>2</w:t>
      </w:r>
      <w:r w:rsidRPr="00B65376">
        <w:rPr>
          <w:rFonts w:ascii="Times New Roman" w:hAnsi="Times New Roman" w:cs="Times New Roman"/>
          <w:sz w:val="20"/>
          <w:szCs w:val="20"/>
        </w:rPr>
        <w:t xml:space="preserve"> of optical energy available in each second to inactivate every microbial pathogen that is present in exposed water to sun-light.</w:t>
      </w:r>
      <w:r w:rsidR="003330FA" w:rsidRPr="00B65376">
        <w:rPr>
          <w:rFonts w:ascii="Times New Roman" w:hAnsi="Times New Roman" w:cs="Times New Roman"/>
          <w:sz w:val="20"/>
          <w:szCs w:val="20"/>
        </w:rPr>
        <w:t xml:space="preserve"> The efficiency of convergent rays can be improved by using reflector that enhances </w:t>
      </w:r>
      <w:r w:rsidR="00851285" w:rsidRPr="00B65376">
        <w:rPr>
          <w:rFonts w:ascii="Times New Roman" w:hAnsi="Times New Roman" w:cs="Times New Roman"/>
          <w:sz w:val="20"/>
          <w:szCs w:val="20"/>
        </w:rPr>
        <w:t xml:space="preserve">the </w:t>
      </w:r>
      <w:r w:rsidR="003330FA" w:rsidRPr="00B65376">
        <w:rPr>
          <w:rFonts w:ascii="Times New Roman" w:hAnsi="Times New Roman" w:cs="Times New Roman"/>
          <w:sz w:val="20"/>
          <w:szCs w:val="20"/>
        </w:rPr>
        <w:t xml:space="preserve">inactivation of pathogens or microbial populations. This is attributed to the ability </w:t>
      </w:r>
    </w:p>
    <w:p w:rsidR="00FA672B" w:rsidRPr="00B65376" w:rsidRDefault="003330FA" w:rsidP="00CF7C32">
      <w:pPr>
        <w:snapToGrid w:val="0"/>
        <w:spacing w:after="0" w:line="240" w:lineRule="auto"/>
        <w:jc w:val="both"/>
        <w:rPr>
          <w:rFonts w:ascii="Times New Roman" w:hAnsi="Times New Roman" w:cs="Times New Roman"/>
          <w:sz w:val="20"/>
          <w:szCs w:val="20"/>
        </w:rPr>
      </w:pPr>
      <w:r w:rsidRPr="00B65376">
        <w:rPr>
          <w:rFonts w:ascii="Times New Roman" w:hAnsi="Times New Roman" w:cs="Times New Roman"/>
          <w:sz w:val="20"/>
          <w:szCs w:val="20"/>
        </w:rPr>
        <w:lastRenderedPageBreak/>
        <w:t xml:space="preserve">to concentrate sunlight, increase temperature and reduce </w:t>
      </w:r>
      <w:r w:rsidR="00851285" w:rsidRPr="00B65376">
        <w:rPr>
          <w:rFonts w:ascii="Times New Roman" w:hAnsi="Times New Roman" w:cs="Times New Roman"/>
          <w:sz w:val="20"/>
          <w:szCs w:val="20"/>
        </w:rPr>
        <w:t xml:space="preserve">the </w:t>
      </w:r>
      <w:r w:rsidRPr="00B65376">
        <w:rPr>
          <w:rFonts w:ascii="Times New Roman" w:hAnsi="Times New Roman" w:cs="Times New Roman"/>
          <w:sz w:val="20"/>
          <w:szCs w:val="20"/>
        </w:rPr>
        <w:t xml:space="preserve">time of disinfection to 3-4 hours (Kevin </w:t>
      </w:r>
      <w:r w:rsidRPr="00B65376">
        <w:rPr>
          <w:rFonts w:ascii="Times New Roman" w:hAnsi="Times New Roman" w:cs="Times New Roman"/>
          <w:i/>
          <w:sz w:val="20"/>
          <w:szCs w:val="20"/>
        </w:rPr>
        <w:t xml:space="preserve">et al., </w:t>
      </w:r>
      <w:r w:rsidRPr="00B65376">
        <w:rPr>
          <w:rFonts w:ascii="Times New Roman" w:hAnsi="Times New Roman" w:cs="Times New Roman"/>
          <w:sz w:val="20"/>
          <w:szCs w:val="20"/>
        </w:rPr>
        <w:t>2012). This paper</w:t>
      </w:r>
      <w:r w:rsidR="00851285" w:rsidRPr="00B65376">
        <w:rPr>
          <w:rFonts w:ascii="Times New Roman" w:hAnsi="Times New Roman" w:cs="Times New Roman"/>
          <w:sz w:val="20"/>
          <w:szCs w:val="20"/>
        </w:rPr>
        <w:t>, therefore,</w:t>
      </w:r>
      <w:r w:rsidRPr="00B65376">
        <w:rPr>
          <w:rFonts w:ascii="Times New Roman" w:hAnsi="Times New Roman" w:cs="Times New Roman"/>
          <w:sz w:val="20"/>
          <w:szCs w:val="20"/>
        </w:rPr>
        <w:t xml:space="preserve"> addresses the efficacy of different concentrator materials in water disinfection.</w:t>
      </w:r>
    </w:p>
    <w:p w:rsidR="00310A5C" w:rsidRPr="00B65376" w:rsidRDefault="00310A5C" w:rsidP="0033776A">
      <w:pPr>
        <w:snapToGrid w:val="0"/>
        <w:spacing w:after="0" w:line="240" w:lineRule="auto"/>
        <w:ind w:firstLine="425"/>
        <w:jc w:val="both"/>
        <w:rPr>
          <w:rFonts w:ascii="Times New Roman" w:hAnsi="Times New Roman" w:cs="Times New Roman"/>
          <w:sz w:val="20"/>
          <w:szCs w:val="20"/>
        </w:rPr>
      </w:pPr>
    </w:p>
    <w:p w:rsidR="003330FA"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t>Materials And Method</w:t>
      </w:r>
    </w:p>
    <w:p w:rsidR="00CA4FA0"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t>Study Location</w:t>
      </w:r>
    </w:p>
    <w:p w:rsidR="00CA4FA0" w:rsidRPr="00B65376" w:rsidRDefault="00CA4FA0"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t>The study was carried out with water samples collected from Choba river located in latitude 4°53’53.16’N to latitude 4°53’52.50’N and longitude 6°54’05.63’E to longitude 6°54’04.69’, Hassan well located in latitude 4°54’23.20’N to latitude 4°54’23.59’N and longitude 6°54’29.88’E to longitude 6°54’30.41’E and Omoukiri borehole</w:t>
      </w:r>
      <w:r w:rsidR="00B65376" w:rsidRPr="00B65376">
        <w:rPr>
          <w:rFonts w:ascii="Times New Roman" w:hAnsi="Times New Roman" w:cs="Times New Roman"/>
          <w:sz w:val="20"/>
          <w:szCs w:val="20"/>
        </w:rPr>
        <w:t xml:space="preserve"> </w:t>
      </w:r>
      <w:r w:rsidRPr="00B65376">
        <w:rPr>
          <w:rFonts w:ascii="Times New Roman" w:hAnsi="Times New Roman" w:cs="Times New Roman"/>
          <w:sz w:val="20"/>
          <w:szCs w:val="20"/>
        </w:rPr>
        <w:t>(underground water)</w:t>
      </w:r>
      <w:r w:rsidR="00B65376" w:rsidRPr="00B65376">
        <w:rPr>
          <w:rFonts w:ascii="Times New Roman" w:hAnsi="Times New Roman" w:cs="Times New Roman"/>
          <w:sz w:val="20"/>
          <w:szCs w:val="20"/>
        </w:rPr>
        <w:t xml:space="preserve"> </w:t>
      </w:r>
      <w:r w:rsidRPr="00B65376">
        <w:rPr>
          <w:rFonts w:ascii="Times New Roman" w:hAnsi="Times New Roman" w:cs="Times New Roman"/>
          <w:sz w:val="20"/>
          <w:szCs w:val="20"/>
        </w:rPr>
        <w:t>located in latitude 4°55’29.38’N to latitude 4°55’29.03’N and longitude 6°55’24.70’E</w:t>
      </w:r>
      <w:r w:rsidR="00B65376" w:rsidRPr="00B65376">
        <w:rPr>
          <w:rFonts w:ascii="Times New Roman" w:hAnsi="Times New Roman" w:cs="Times New Roman"/>
          <w:sz w:val="20"/>
          <w:szCs w:val="20"/>
        </w:rPr>
        <w:t xml:space="preserve"> </w:t>
      </w:r>
      <w:r w:rsidRPr="00B65376">
        <w:rPr>
          <w:rFonts w:ascii="Times New Roman" w:hAnsi="Times New Roman" w:cs="Times New Roman"/>
          <w:sz w:val="20"/>
          <w:szCs w:val="20"/>
        </w:rPr>
        <w:t>to longitude 6°55’24.43’E</w:t>
      </w:r>
      <w:r w:rsidR="00B65376" w:rsidRPr="00B65376">
        <w:rPr>
          <w:rFonts w:ascii="Times New Roman" w:hAnsi="Times New Roman" w:cs="Times New Roman"/>
          <w:sz w:val="20"/>
          <w:szCs w:val="20"/>
        </w:rPr>
        <w:t xml:space="preserve"> </w:t>
      </w:r>
      <w:r w:rsidRPr="00B65376">
        <w:rPr>
          <w:rFonts w:ascii="Times New Roman" w:hAnsi="Times New Roman" w:cs="Times New Roman"/>
          <w:sz w:val="20"/>
          <w:szCs w:val="20"/>
        </w:rPr>
        <w:t>all in</w:t>
      </w:r>
      <w:r w:rsidR="00B65376" w:rsidRPr="00B65376">
        <w:rPr>
          <w:rFonts w:ascii="Times New Roman" w:hAnsi="Times New Roman" w:cs="Times New Roman"/>
          <w:sz w:val="20"/>
          <w:szCs w:val="20"/>
        </w:rPr>
        <w:t xml:space="preserve"> </w:t>
      </w:r>
      <w:r w:rsidRPr="00B65376">
        <w:rPr>
          <w:rFonts w:ascii="Times New Roman" w:hAnsi="Times New Roman" w:cs="Times New Roman"/>
          <w:sz w:val="20"/>
          <w:szCs w:val="20"/>
        </w:rPr>
        <w:t>Rivers State, Nigeria.</w:t>
      </w:r>
    </w:p>
    <w:p w:rsidR="00CA4FA0" w:rsidRPr="00B65376" w:rsidRDefault="0033776A" w:rsidP="0033776A">
      <w:pPr>
        <w:pStyle w:val="NoSpacing"/>
        <w:snapToGrid w:val="0"/>
        <w:jc w:val="both"/>
        <w:rPr>
          <w:rFonts w:ascii="Times New Roman" w:hAnsi="Times New Roman"/>
          <w:b/>
          <w:sz w:val="20"/>
          <w:szCs w:val="20"/>
        </w:rPr>
      </w:pPr>
      <w:r w:rsidRPr="00B65376">
        <w:rPr>
          <w:rFonts w:ascii="Times New Roman" w:hAnsi="Times New Roman"/>
          <w:b/>
          <w:sz w:val="20"/>
          <w:szCs w:val="20"/>
        </w:rPr>
        <w:t>Sample Collection And Description</w:t>
      </w:r>
    </w:p>
    <w:p w:rsidR="00CA4FA0" w:rsidRPr="00B65376" w:rsidRDefault="00CA4FA0"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t>Water samples were collected very early in the morning from sample location in white transparent containers aseptically and transported under controlled conditions to the laboratory for analysis.</w:t>
      </w:r>
    </w:p>
    <w:p w:rsidR="003330FA"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t>Disinfection Experiment</w:t>
      </w:r>
    </w:p>
    <w:p w:rsidR="00474884" w:rsidRPr="00B65376" w:rsidRDefault="00C3276D"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t>Water samples were dispensed into transparent bottles containers, placed in a circular-dish ray concentrator covered with Mirror and Aluminum foil paper as the reflecting material. Bottles with different volumes of water were exposed for 0, 2, 4, 6 and 8hours intervals. The difference between the environmental temperature (Ambient) and water temperature at each interval of exposure in degree Celsius (°C), the pH re</w:t>
      </w:r>
      <w:r w:rsidR="005F65D8" w:rsidRPr="00B65376">
        <w:rPr>
          <w:rFonts w:ascii="Times New Roman" w:hAnsi="Times New Roman" w:cs="Times New Roman"/>
          <w:sz w:val="20"/>
          <w:szCs w:val="20"/>
        </w:rPr>
        <w:t xml:space="preserve">ading was noted for each sample this was adopted with modification (Ojo </w:t>
      </w:r>
      <w:r w:rsidR="005F65D8" w:rsidRPr="00B65376">
        <w:rPr>
          <w:rFonts w:ascii="Times New Roman" w:hAnsi="Times New Roman" w:cs="Times New Roman"/>
          <w:i/>
          <w:sz w:val="20"/>
          <w:szCs w:val="20"/>
        </w:rPr>
        <w:t>et al</w:t>
      </w:r>
      <w:r w:rsidR="005F65D8" w:rsidRPr="00B65376">
        <w:rPr>
          <w:rFonts w:ascii="Times New Roman" w:hAnsi="Times New Roman" w:cs="Times New Roman"/>
          <w:sz w:val="20"/>
          <w:szCs w:val="20"/>
        </w:rPr>
        <w:t>., 2011).</w:t>
      </w:r>
    </w:p>
    <w:p w:rsidR="00474884"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t>Measuring Of Convergent Rays</w:t>
      </w:r>
    </w:p>
    <w:p w:rsidR="006E2214" w:rsidRPr="00B65376" w:rsidRDefault="00474884"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t>The converged or incident solar rays were measured by calculating the difference between the temperature of the environment (Ambient) and water temperature at different times of exposure in degree Celsius and were compa</w:t>
      </w:r>
      <w:r w:rsidR="0078605B" w:rsidRPr="00B65376">
        <w:rPr>
          <w:rFonts w:ascii="Times New Roman" w:hAnsi="Times New Roman" w:cs="Times New Roman"/>
          <w:sz w:val="20"/>
          <w:szCs w:val="20"/>
        </w:rPr>
        <w:t xml:space="preserve">red to readings of a photometer (Ojo </w:t>
      </w:r>
      <w:r w:rsidR="0078605B" w:rsidRPr="00B65376">
        <w:rPr>
          <w:rFonts w:ascii="Times New Roman" w:hAnsi="Times New Roman" w:cs="Times New Roman"/>
          <w:i/>
          <w:sz w:val="20"/>
          <w:szCs w:val="20"/>
        </w:rPr>
        <w:t>et al</w:t>
      </w:r>
      <w:r w:rsidR="0078605B" w:rsidRPr="00B65376">
        <w:rPr>
          <w:rFonts w:ascii="Times New Roman" w:hAnsi="Times New Roman" w:cs="Times New Roman"/>
          <w:sz w:val="20"/>
          <w:szCs w:val="20"/>
        </w:rPr>
        <w:t>., 2011).</w:t>
      </w:r>
    </w:p>
    <w:p w:rsidR="006E2214"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t xml:space="preserve">Bacterial Enumeration </w:t>
      </w:r>
    </w:p>
    <w:p w:rsidR="006E2214" w:rsidRDefault="006E2214" w:rsidP="0033776A">
      <w:pPr>
        <w:snapToGrid w:val="0"/>
        <w:spacing w:after="0" w:line="240" w:lineRule="auto"/>
        <w:ind w:firstLine="425"/>
        <w:jc w:val="both"/>
        <w:rPr>
          <w:rFonts w:ascii="Times New Roman" w:hAnsi="Times New Roman" w:cs="Times New Roman"/>
          <w:sz w:val="20"/>
          <w:szCs w:val="20"/>
          <w:lang w:eastAsia="zh-CN"/>
        </w:rPr>
      </w:pPr>
      <w:r w:rsidRPr="00B65376">
        <w:rPr>
          <w:rFonts w:ascii="Times New Roman" w:hAnsi="Times New Roman" w:cs="Times New Roman"/>
          <w:sz w:val="20"/>
          <w:szCs w:val="20"/>
        </w:rPr>
        <w:t>Bacterial load determination in the water sample</w:t>
      </w:r>
      <w:r w:rsidR="00D90169" w:rsidRPr="00B65376">
        <w:rPr>
          <w:rFonts w:ascii="Times New Roman" w:hAnsi="Times New Roman" w:cs="Times New Roman"/>
          <w:sz w:val="20"/>
          <w:szCs w:val="20"/>
        </w:rPr>
        <w:t xml:space="preserve"> was</w:t>
      </w:r>
      <w:r w:rsidRPr="00B65376">
        <w:rPr>
          <w:rFonts w:ascii="Times New Roman" w:hAnsi="Times New Roman" w:cs="Times New Roman"/>
          <w:sz w:val="20"/>
          <w:szCs w:val="20"/>
        </w:rPr>
        <w:t xml:space="preserve"> carried out in triplicates. Plate’s counts were performed using </w:t>
      </w:r>
      <w:r w:rsidR="00851285" w:rsidRPr="00B65376">
        <w:rPr>
          <w:rFonts w:ascii="Times New Roman" w:hAnsi="Times New Roman" w:cs="Times New Roman"/>
          <w:sz w:val="20"/>
          <w:szCs w:val="20"/>
        </w:rPr>
        <w:t xml:space="preserve">the </w:t>
      </w:r>
      <w:r w:rsidRPr="00B65376">
        <w:rPr>
          <w:rFonts w:ascii="Times New Roman" w:hAnsi="Times New Roman" w:cs="Times New Roman"/>
          <w:sz w:val="20"/>
          <w:szCs w:val="20"/>
        </w:rPr>
        <w:t xml:space="preserve">spread plate method with Nutrient Agar. This was based on the </w:t>
      </w:r>
      <w:r w:rsidR="00310A5C" w:rsidRPr="00B65376">
        <w:rPr>
          <w:rFonts w:ascii="Times New Roman" w:hAnsi="Times New Roman" w:cs="Times New Roman"/>
          <w:sz w:val="20"/>
          <w:szCs w:val="20"/>
        </w:rPr>
        <w:t>10-fold</w:t>
      </w:r>
      <w:r w:rsidRPr="00B65376">
        <w:rPr>
          <w:rFonts w:ascii="Times New Roman" w:hAnsi="Times New Roman" w:cs="Times New Roman"/>
          <w:sz w:val="20"/>
          <w:szCs w:val="20"/>
        </w:rPr>
        <w:t xml:space="preserve"> serial dilution of samples. The samples were pipette into the surface of each sterile plate. About 20ml of molten Nutrient Agar was cooled to 45°C and 0.1ml of </w:t>
      </w:r>
      <w:r w:rsidR="00851285" w:rsidRPr="00B65376">
        <w:rPr>
          <w:rFonts w:ascii="Times New Roman" w:hAnsi="Times New Roman" w:cs="Times New Roman"/>
          <w:sz w:val="20"/>
          <w:szCs w:val="20"/>
        </w:rPr>
        <w:t xml:space="preserve">the </w:t>
      </w:r>
      <w:r w:rsidRPr="00B65376">
        <w:rPr>
          <w:rFonts w:ascii="Times New Roman" w:hAnsi="Times New Roman" w:cs="Times New Roman"/>
          <w:sz w:val="20"/>
          <w:szCs w:val="20"/>
        </w:rPr>
        <w:t>sample was spread.</w:t>
      </w:r>
      <w:r w:rsidR="00474884" w:rsidRPr="00B65376">
        <w:rPr>
          <w:rFonts w:ascii="Times New Roman" w:hAnsi="Times New Roman" w:cs="Times New Roman"/>
          <w:sz w:val="20"/>
          <w:szCs w:val="20"/>
        </w:rPr>
        <w:t xml:space="preserve"> After 24hr of incubation at 35</w:t>
      </w:r>
      <w:r w:rsidR="00474884" w:rsidRPr="00B65376">
        <w:rPr>
          <w:rFonts w:ascii="Times New Roman" w:hAnsi="Times New Roman" w:cs="Times New Roman"/>
          <w:sz w:val="20"/>
          <w:szCs w:val="20"/>
          <w:vertAlign w:val="superscript"/>
        </w:rPr>
        <w:t>O</w:t>
      </w:r>
      <w:r w:rsidRPr="00B65376">
        <w:rPr>
          <w:rFonts w:ascii="Times New Roman" w:hAnsi="Times New Roman" w:cs="Times New Roman"/>
          <w:sz w:val="20"/>
          <w:szCs w:val="20"/>
        </w:rPr>
        <w:t xml:space="preserve">C, colonies in the plates were counted. The most probable number multiple tube method was used for coliform determination (MacConkey broth, Eosin methylene </w:t>
      </w:r>
      <w:r w:rsidRPr="00B65376">
        <w:rPr>
          <w:rFonts w:ascii="Times New Roman" w:hAnsi="Times New Roman" w:cs="Times New Roman"/>
          <w:sz w:val="20"/>
          <w:szCs w:val="20"/>
        </w:rPr>
        <w:lastRenderedPageBreak/>
        <w:t>blue Agar). Presumptive tubes were confirmed with Gram staining and biochemical tests</w:t>
      </w:r>
      <w:r w:rsidR="0078605B" w:rsidRPr="00B65376">
        <w:rPr>
          <w:rFonts w:ascii="Times New Roman" w:hAnsi="Times New Roman" w:cs="Times New Roman"/>
          <w:sz w:val="20"/>
          <w:szCs w:val="20"/>
        </w:rPr>
        <w:t xml:space="preserve"> (Ibiene </w:t>
      </w:r>
      <w:r w:rsidR="0078605B" w:rsidRPr="00B65376">
        <w:rPr>
          <w:rFonts w:ascii="Times New Roman" w:hAnsi="Times New Roman" w:cs="Times New Roman"/>
          <w:i/>
          <w:sz w:val="20"/>
          <w:szCs w:val="20"/>
        </w:rPr>
        <w:t xml:space="preserve">et al., </w:t>
      </w:r>
      <w:r w:rsidR="0078605B" w:rsidRPr="00B65376">
        <w:rPr>
          <w:rFonts w:ascii="Times New Roman" w:hAnsi="Times New Roman" w:cs="Times New Roman"/>
          <w:sz w:val="20"/>
          <w:szCs w:val="20"/>
        </w:rPr>
        <w:t>2012).</w:t>
      </w:r>
    </w:p>
    <w:p w:rsidR="0033776A" w:rsidRPr="00B65376" w:rsidRDefault="0033776A" w:rsidP="0033776A">
      <w:pPr>
        <w:snapToGrid w:val="0"/>
        <w:spacing w:after="0" w:line="240" w:lineRule="auto"/>
        <w:ind w:firstLine="425"/>
        <w:jc w:val="both"/>
        <w:rPr>
          <w:rFonts w:ascii="Times New Roman" w:hAnsi="Times New Roman" w:cs="Times New Roman"/>
          <w:b/>
          <w:sz w:val="20"/>
          <w:szCs w:val="20"/>
          <w:lang w:eastAsia="zh-CN"/>
        </w:rPr>
      </w:pPr>
    </w:p>
    <w:p w:rsidR="00C3276D" w:rsidRDefault="0033776A" w:rsidP="0033776A">
      <w:pPr>
        <w:snapToGrid w:val="0"/>
        <w:spacing w:after="0" w:line="240" w:lineRule="auto"/>
        <w:jc w:val="both"/>
        <w:rPr>
          <w:rFonts w:ascii="Times New Roman" w:hAnsi="Times New Roman" w:cs="Times New Roman"/>
          <w:b/>
          <w:sz w:val="20"/>
          <w:szCs w:val="20"/>
          <w:lang w:eastAsia="zh-CN"/>
        </w:rPr>
      </w:pPr>
      <w:r w:rsidRPr="00B65376">
        <w:rPr>
          <w:rFonts w:ascii="Times New Roman" w:hAnsi="Times New Roman" w:cs="Times New Roman"/>
          <w:b/>
          <w:sz w:val="20"/>
          <w:szCs w:val="20"/>
        </w:rPr>
        <w:t>Results And Discussion</w:t>
      </w:r>
    </w:p>
    <w:p w:rsidR="00FB31FA" w:rsidRPr="00B65376" w:rsidRDefault="00FB31FA" w:rsidP="00FB31F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bCs/>
          <w:sz w:val="20"/>
          <w:szCs w:val="20"/>
        </w:rPr>
        <w:t xml:space="preserve">The efficacy of convergent rays’ disinfection was analyzed using a mirror, aluminium foil paper and ordinary solar disinfection. Results obtained are represented in Figure 1. O hour data of 3.3 log MPN index/100ml was used as a control for the study, after 2 hours of exposure, total coliform count from mirror concentrator dropped to 1.9, aluminium foil paper recorded a count of 2.5 while ordinary solar exposure recorded a count of 2.9 log MPN index /100ml. However, after 8 hours of exposure for all the concentrators, no growth was recorded from mirror and aluminium foil paper concentrators for all aliquots of water but 4 L aliquots had a population of 1.5, 10 L had 1.9 and 15 L recorded 2.0 logs MPN index/ml. </w:t>
      </w:r>
      <w:r w:rsidRPr="00B65376">
        <w:rPr>
          <w:rFonts w:ascii="Times New Roman" w:hAnsi="Times New Roman" w:cs="Times New Roman"/>
          <w:color w:val="000000" w:themeColor="text1"/>
          <w:sz w:val="20"/>
          <w:szCs w:val="20"/>
        </w:rPr>
        <w:t xml:space="preserve">Data analysis indicated a </w:t>
      </w:r>
      <w:r w:rsidRPr="00B65376">
        <w:rPr>
          <w:rFonts w:ascii="Times New Roman" w:hAnsi="Times New Roman" w:cs="Times New Roman"/>
          <w:sz w:val="20"/>
          <w:szCs w:val="20"/>
        </w:rPr>
        <w:t>significant difference in population changes for the times, volumes and materials of exposure (P-values&gt;0.05) as indicated by the P-value.</w:t>
      </w:r>
    </w:p>
    <w:p w:rsidR="00FB31FA" w:rsidRDefault="00FB31FA" w:rsidP="00FB31FA">
      <w:pPr>
        <w:snapToGrid w:val="0"/>
        <w:spacing w:after="0" w:line="240" w:lineRule="auto"/>
        <w:ind w:firstLine="425"/>
        <w:jc w:val="both"/>
        <w:rPr>
          <w:rFonts w:ascii="Times New Roman" w:hAnsi="Times New Roman" w:cs="Times New Roman"/>
          <w:bCs/>
          <w:sz w:val="20"/>
          <w:szCs w:val="20"/>
          <w:lang w:eastAsia="zh-CN"/>
        </w:rPr>
      </w:pPr>
      <w:r w:rsidRPr="00B65376">
        <w:rPr>
          <w:rFonts w:ascii="Times New Roman" w:hAnsi="Times New Roman" w:cs="Times New Roman"/>
          <w:sz w:val="20"/>
          <w:szCs w:val="20"/>
        </w:rPr>
        <w:t xml:space="preserve">The populations decreased with increased in exposure time (Ojo </w:t>
      </w:r>
      <w:r w:rsidRPr="00B65376">
        <w:rPr>
          <w:rFonts w:ascii="Times New Roman" w:hAnsi="Times New Roman" w:cs="Times New Roman"/>
          <w:i/>
          <w:sz w:val="20"/>
          <w:szCs w:val="20"/>
        </w:rPr>
        <w:t>et al</w:t>
      </w:r>
      <w:r w:rsidRPr="00B65376">
        <w:rPr>
          <w:rFonts w:ascii="Times New Roman" w:hAnsi="Times New Roman" w:cs="Times New Roman"/>
          <w:sz w:val="20"/>
          <w:szCs w:val="20"/>
        </w:rPr>
        <w:t xml:space="preserve">., 2011). The complete disinfection of coliform after eight (8) hour of exposure at 48°C also agrees with Alenjadra </w:t>
      </w:r>
      <w:r w:rsidRPr="00B65376">
        <w:rPr>
          <w:rFonts w:ascii="Times New Roman" w:hAnsi="Times New Roman" w:cs="Times New Roman"/>
          <w:i/>
          <w:sz w:val="20"/>
          <w:szCs w:val="20"/>
        </w:rPr>
        <w:t>et al</w:t>
      </w:r>
      <w:r w:rsidRPr="00B65376">
        <w:rPr>
          <w:rFonts w:ascii="Times New Roman" w:hAnsi="Times New Roman" w:cs="Times New Roman"/>
          <w:sz w:val="20"/>
          <w:szCs w:val="20"/>
        </w:rPr>
        <w:t>, (2004). They reported that with solar concentrator equipment, 10</w:t>
      </w:r>
      <w:r w:rsidRPr="00B65376">
        <w:rPr>
          <w:rFonts w:ascii="Times New Roman" w:hAnsi="Times New Roman" w:cs="Times New Roman"/>
          <w:sz w:val="20"/>
          <w:szCs w:val="20"/>
          <w:vertAlign w:val="superscript"/>
        </w:rPr>
        <w:t>5</w:t>
      </w:r>
      <w:r w:rsidRPr="00B65376">
        <w:rPr>
          <w:rFonts w:ascii="Times New Roman" w:hAnsi="Times New Roman" w:cs="Times New Roman"/>
          <w:sz w:val="20"/>
          <w:szCs w:val="20"/>
        </w:rPr>
        <w:t xml:space="preserve"> coliforms for each 100ml of water can be eliminated after 4 hours of solar exposure while the 0.9and 1.2 CFU/ml also conform to WHO (1993) and EPA (2003) 1.0×10</w:t>
      </w:r>
      <w:r w:rsidRPr="00B65376">
        <w:rPr>
          <w:rFonts w:ascii="Times New Roman" w:hAnsi="Times New Roman" w:cs="Times New Roman"/>
          <w:sz w:val="20"/>
          <w:szCs w:val="20"/>
          <w:vertAlign w:val="superscript"/>
        </w:rPr>
        <w:t>2</w:t>
      </w:r>
      <w:r w:rsidRPr="00B65376">
        <w:rPr>
          <w:rFonts w:ascii="Times New Roman" w:hAnsi="Times New Roman" w:cs="Times New Roman"/>
          <w:sz w:val="20"/>
          <w:szCs w:val="20"/>
        </w:rPr>
        <w:t xml:space="preserve"> standard for water.</w:t>
      </w:r>
    </w:p>
    <w:p w:rsidR="00FB31FA" w:rsidRPr="00B65376" w:rsidRDefault="00FB31FA" w:rsidP="0033776A">
      <w:pPr>
        <w:snapToGrid w:val="0"/>
        <w:spacing w:after="0" w:line="240" w:lineRule="auto"/>
        <w:jc w:val="both"/>
        <w:rPr>
          <w:rFonts w:ascii="Times New Roman" w:hAnsi="Times New Roman" w:cs="Times New Roman"/>
          <w:b/>
          <w:sz w:val="20"/>
          <w:szCs w:val="20"/>
          <w:lang w:eastAsia="zh-CN"/>
        </w:rPr>
      </w:pPr>
      <w:r w:rsidRPr="00B65376">
        <w:rPr>
          <w:rFonts w:ascii="Times New Roman" w:hAnsi="Times New Roman" w:cs="Times New Roman"/>
          <w:bCs/>
          <w:sz w:val="20"/>
          <w:szCs w:val="20"/>
        </w:rPr>
        <w:t xml:space="preserve">The efficacy of convergent rays’ disinfection was analyzed using a mirror, aluminium foil paper and ordinary solar disinfection. Results obtained are represented in Figure 2. O hour data of 1.7 log CFU/ml was used as a control for the study, after 2 hours of exposure, </w:t>
      </w:r>
      <w:r w:rsidRPr="00B65376">
        <w:rPr>
          <w:rFonts w:ascii="Times New Roman" w:hAnsi="Times New Roman" w:cs="Times New Roman"/>
          <w:bCs/>
          <w:i/>
          <w:sz w:val="20"/>
          <w:szCs w:val="20"/>
        </w:rPr>
        <w:t xml:space="preserve">faecal </w:t>
      </w:r>
      <w:r w:rsidRPr="00B65376">
        <w:rPr>
          <w:rFonts w:ascii="Times New Roman" w:hAnsi="Times New Roman" w:cs="Times New Roman"/>
          <w:bCs/>
          <w:sz w:val="20"/>
          <w:szCs w:val="20"/>
        </w:rPr>
        <w:t xml:space="preserve">coliform count from mirror concentrator dropped to 1.5, aluminium foil paper recorded a count of 1.6 while ordinary solar exposure also recorded a count of 1.6 log CFU/ml. However, after 8 hours of exposure for all the concentrators, no growth was recorded from mirror concentrator but aluminium foil paper concentrators for all aliquots of 4 L had a population of 0.8, 10 L had 0.0and 15 L recorded 1.3 log CFU/ml. </w:t>
      </w:r>
      <w:r w:rsidRPr="00B65376">
        <w:rPr>
          <w:rFonts w:ascii="Times New Roman" w:hAnsi="Times New Roman" w:cs="Times New Roman"/>
          <w:color w:val="000000" w:themeColor="text1"/>
          <w:sz w:val="20"/>
          <w:szCs w:val="20"/>
        </w:rPr>
        <w:t>A significant difference was observed</w:t>
      </w:r>
      <w:r w:rsidRPr="00B65376">
        <w:rPr>
          <w:rFonts w:ascii="Times New Roman" w:hAnsi="Times New Roman" w:cs="Times New Roman"/>
          <w:sz w:val="20"/>
          <w:szCs w:val="20"/>
        </w:rPr>
        <w:t xml:space="preserve"> in population changes between the times, volumes of exposure and reflecting materials (P-values&gt;0.05) as indicated by the P-value. Acra in (1990) reported that with 95 minutes duration of sun rays in Beirut, for about 0900 to 1400h, over 99.9% decrease in population of </w:t>
      </w:r>
      <w:r w:rsidRPr="00B65376">
        <w:rPr>
          <w:rFonts w:ascii="Times New Roman" w:hAnsi="Times New Roman" w:cs="Times New Roman"/>
          <w:i/>
          <w:sz w:val="20"/>
          <w:szCs w:val="20"/>
        </w:rPr>
        <w:t xml:space="preserve">faecal </w:t>
      </w:r>
      <w:r w:rsidRPr="00B65376">
        <w:rPr>
          <w:rFonts w:ascii="Times New Roman" w:hAnsi="Times New Roman" w:cs="Times New Roman"/>
          <w:sz w:val="20"/>
          <w:szCs w:val="20"/>
        </w:rPr>
        <w:t>coliforms was recorded.</w:t>
      </w:r>
      <w:r>
        <w:rPr>
          <w:rFonts w:ascii="Times New Roman" w:hAnsi="Times New Roman" w:cs="Times New Roman" w:hint="eastAsia"/>
          <w:sz w:val="20"/>
          <w:szCs w:val="20"/>
          <w:lang w:eastAsia="zh-CN"/>
        </w:rPr>
        <w:t xml:space="preserve"> </w:t>
      </w:r>
    </w:p>
    <w:p w:rsidR="0033776A" w:rsidRDefault="0033776A" w:rsidP="0033776A">
      <w:pPr>
        <w:snapToGrid w:val="0"/>
        <w:spacing w:after="0" w:line="240" w:lineRule="auto"/>
        <w:jc w:val="center"/>
        <w:rPr>
          <w:rFonts w:ascii="Times New Roman" w:hAnsi="Times New Roman" w:cs="Times New Roman"/>
          <w:sz w:val="20"/>
          <w:szCs w:val="20"/>
        </w:rPr>
        <w:sectPr w:rsidR="0033776A" w:rsidSect="00CF7C32">
          <w:headerReference w:type="default" r:id="rId14"/>
          <w:pgSz w:w="12240" w:h="15840" w:code="9"/>
          <w:pgMar w:top="1440" w:right="1440" w:bottom="1440" w:left="1440" w:header="720" w:footer="720" w:gutter="0"/>
          <w:cols w:num="2" w:space="550"/>
          <w:docGrid w:linePitch="360"/>
        </w:sectPr>
      </w:pPr>
    </w:p>
    <w:p w:rsidR="0033776A" w:rsidRDefault="0033776A" w:rsidP="0033776A">
      <w:pPr>
        <w:snapToGrid w:val="0"/>
        <w:spacing w:after="0" w:line="240" w:lineRule="auto"/>
        <w:jc w:val="center"/>
        <w:rPr>
          <w:rFonts w:ascii="Times New Roman" w:hAnsi="Times New Roman" w:cs="Times New Roman"/>
          <w:sz w:val="20"/>
          <w:szCs w:val="20"/>
          <w:lang w:eastAsia="zh-CN"/>
        </w:r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740397" w:rsidRPr="00B65376" w:rsidRDefault="00740397" w:rsidP="0033776A">
      <w:pPr>
        <w:snapToGrid w:val="0"/>
        <w:spacing w:after="0" w:line="240" w:lineRule="auto"/>
        <w:jc w:val="center"/>
        <w:rPr>
          <w:rFonts w:ascii="Times New Roman" w:hAnsi="Times New Roman" w:cs="Times New Roman"/>
          <w:sz w:val="20"/>
          <w:szCs w:val="20"/>
        </w:rPr>
      </w:pPr>
      <w:r w:rsidRPr="00B65376">
        <w:rPr>
          <w:rFonts w:ascii="Times New Roman" w:hAnsi="Times New Roman" w:cs="Times New Roman"/>
          <w:noProof/>
          <w:sz w:val="20"/>
          <w:szCs w:val="20"/>
        </w:rPr>
        <w:drawing>
          <wp:inline distT="0" distB="0" distL="0" distR="0">
            <wp:extent cx="5943600" cy="2009775"/>
            <wp:effectExtent l="0" t="0" r="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0A5C" w:rsidRPr="00B65376" w:rsidRDefault="00310A5C" w:rsidP="0033776A">
      <w:pPr>
        <w:snapToGrid w:val="0"/>
        <w:spacing w:after="0" w:line="240" w:lineRule="auto"/>
        <w:jc w:val="center"/>
        <w:rPr>
          <w:rFonts w:ascii="Times New Roman" w:hAnsi="Times New Roman" w:cs="Times New Roman"/>
          <w:b/>
          <w:sz w:val="20"/>
          <w:szCs w:val="20"/>
        </w:rPr>
      </w:pPr>
      <w:r w:rsidRPr="00B65376">
        <w:rPr>
          <w:rFonts w:ascii="Times New Roman" w:hAnsi="Times New Roman" w:cs="Times New Roman"/>
          <w:b/>
          <w:bCs/>
          <w:sz w:val="20"/>
          <w:szCs w:val="20"/>
        </w:rPr>
        <w:t>Figure 1: Comparative efficacy of concentrator material on total coliform disinfection in water</w:t>
      </w:r>
    </w:p>
    <w:p w:rsidR="00352EEF" w:rsidRPr="00B65376" w:rsidRDefault="0033776A" w:rsidP="0033776A">
      <w:pPr>
        <w:snapToGrid w:val="0"/>
        <w:spacing w:after="0" w:line="240" w:lineRule="auto"/>
        <w:jc w:val="both"/>
        <w:rPr>
          <w:rFonts w:ascii="Times New Roman" w:hAnsi="Times New Roman" w:cs="Times New Roman"/>
          <w:sz w:val="20"/>
          <w:szCs w:val="20"/>
        </w:rPr>
      </w:pPr>
      <w:r w:rsidRPr="00B65376">
        <w:rPr>
          <w:rFonts w:ascii="Times New Roman" w:hAnsi="Times New Roman" w:cs="Times New Roman"/>
          <w:b/>
          <w:sz w:val="20"/>
          <w:szCs w:val="20"/>
        </w:rPr>
        <w:t xml:space="preserve">Key: </w:t>
      </w:r>
      <w:r w:rsidR="00740397" w:rsidRPr="00B65376">
        <w:rPr>
          <w:rFonts w:ascii="Times New Roman" w:hAnsi="Times New Roman" w:cs="Times New Roman"/>
          <w:sz w:val="20"/>
          <w:szCs w:val="20"/>
        </w:rPr>
        <w:t>TCM = Total coliform from mirror 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TCA = Total coliform from Aluminum foil 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TCS = Total coliform from ordinary sun exposure</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Hr = Hr</w:t>
      </w:r>
    </w:p>
    <w:p w:rsidR="00310A5C" w:rsidRPr="00B65376" w:rsidRDefault="00310A5C" w:rsidP="0033776A">
      <w:pPr>
        <w:snapToGrid w:val="0"/>
        <w:spacing w:after="0" w:line="240" w:lineRule="auto"/>
        <w:ind w:firstLine="425"/>
        <w:jc w:val="both"/>
        <w:rPr>
          <w:rFonts w:ascii="Times New Roman" w:hAnsi="Times New Roman" w:cs="Times New Roman"/>
          <w:sz w:val="20"/>
          <w:szCs w:val="20"/>
        </w:rPr>
      </w:pPr>
    </w:p>
    <w:p w:rsidR="00740397" w:rsidRPr="00B65376" w:rsidRDefault="00740397" w:rsidP="0033776A">
      <w:pPr>
        <w:snapToGrid w:val="0"/>
        <w:spacing w:after="0" w:line="240" w:lineRule="auto"/>
        <w:ind w:firstLine="425"/>
        <w:jc w:val="both"/>
        <w:rPr>
          <w:rFonts w:ascii="Times New Roman" w:hAnsi="Times New Roman" w:cs="Times New Roman"/>
          <w:sz w:val="20"/>
          <w:szCs w:val="20"/>
        </w:rPr>
      </w:pPr>
    </w:p>
    <w:p w:rsidR="00740397" w:rsidRPr="00B65376" w:rsidRDefault="00740397" w:rsidP="0033776A">
      <w:pPr>
        <w:snapToGrid w:val="0"/>
        <w:spacing w:after="0" w:line="240" w:lineRule="auto"/>
        <w:jc w:val="center"/>
        <w:rPr>
          <w:rFonts w:ascii="Times New Roman" w:hAnsi="Times New Roman" w:cs="Times New Roman"/>
          <w:sz w:val="20"/>
          <w:szCs w:val="20"/>
        </w:rPr>
      </w:pPr>
      <w:r w:rsidRPr="00B65376">
        <w:rPr>
          <w:rFonts w:ascii="Times New Roman" w:hAnsi="Times New Roman" w:cs="Times New Roman"/>
          <w:noProof/>
          <w:sz w:val="20"/>
          <w:szCs w:val="20"/>
        </w:rPr>
        <w:drawing>
          <wp:inline distT="0" distB="0" distL="0" distR="0">
            <wp:extent cx="5943600" cy="2076450"/>
            <wp:effectExtent l="0" t="0" r="0"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A5C" w:rsidRPr="00B65376" w:rsidRDefault="00310A5C" w:rsidP="0033776A">
      <w:pPr>
        <w:snapToGrid w:val="0"/>
        <w:spacing w:after="0" w:line="240" w:lineRule="auto"/>
        <w:jc w:val="center"/>
        <w:rPr>
          <w:rFonts w:ascii="Times New Roman" w:hAnsi="Times New Roman" w:cs="Times New Roman"/>
          <w:b/>
          <w:sz w:val="20"/>
          <w:szCs w:val="20"/>
        </w:rPr>
      </w:pPr>
      <w:r w:rsidRPr="00B65376">
        <w:rPr>
          <w:rFonts w:ascii="Times New Roman" w:hAnsi="Times New Roman" w:cs="Times New Roman"/>
          <w:b/>
          <w:bCs/>
          <w:sz w:val="20"/>
          <w:szCs w:val="20"/>
        </w:rPr>
        <w:t>Figure 2: Comparative efficacy of concentrator material on faecal coliform disinfection in water</w:t>
      </w:r>
    </w:p>
    <w:p w:rsidR="00740397" w:rsidRPr="00B65376" w:rsidRDefault="0033776A" w:rsidP="0033776A">
      <w:pPr>
        <w:snapToGrid w:val="0"/>
        <w:spacing w:after="0" w:line="240" w:lineRule="auto"/>
        <w:jc w:val="both"/>
        <w:rPr>
          <w:rFonts w:ascii="Times New Roman" w:hAnsi="Times New Roman" w:cs="Times New Roman"/>
          <w:sz w:val="20"/>
          <w:szCs w:val="20"/>
        </w:rPr>
      </w:pPr>
      <w:r w:rsidRPr="00B65376">
        <w:rPr>
          <w:rFonts w:ascii="Times New Roman" w:hAnsi="Times New Roman" w:cs="Times New Roman"/>
          <w:b/>
          <w:sz w:val="20"/>
          <w:szCs w:val="20"/>
        </w:rPr>
        <w:t xml:space="preserve">Key: </w:t>
      </w:r>
      <w:r w:rsidR="00740397" w:rsidRPr="00B65376">
        <w:rPr>
          <w:rFonts w:ascii="Times New Roman" w:hAnsi="Times New Roman" w:cs="Times New Roman"/>
          <w:sz w:val="20"/>
          <w:szCs w:val="20"/>
        </w:rPr>
        <w:t xml:space="preserve">FCM = </w:t>
      </w:r>
      <w:r w:rsidR="00740397" w:rsidRPr="00B65376">
        <w:rPr>
          <w:rFonts w:ascii="Times New Roman" w:hAnsi="Times New Roman" w:cs="Times New Roman"/>
          <w:i/>
          <w:sz w:val="20"/>
          <w:szCs w:val="20"/>
        </w:rPr>
        <w:t xml:space="preserve">Faecal </w:t>
      </w:r>
      <w:r w:rsidR="00740397" w:rsidRPr="00B65376">
        <w:rPr>
          <w:rFonts w:ascii="Times New Roman" w:hAnsi="Times New Roman" w:cs="Times New Roman"/>
          <w:sz w:val="20"/>
          <w:szCs w:val="20"/>
        </w:rPr>
        <w:t>coliform from mirror 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 xml:space="preserve">FCA = </w:t>
      </w:r>
      <w:r w:rsidR="00740397" w:rsidRPr="00B65376">
        <w:rPr>
          <w:rFonts w:ascii="Times New Roman" w:hAnsi="Times New Roman" w:cs="Times New Roman"/>
          <w:i/>
          <w:sz w:val="20"/>
          <w:szCs w:val="20"/>
        </w:rPr>
        <w:t>Faecal</w:t>
      </w:r>
      <w:r w:rsidR="00740397" w:rsidRPr="00B65376">
        <w:rPr>
          <w:rFonts w:ascii="Times New Roman" w:hAnsi="Times New Roman" w:cs="Times New Roman"/>
          <w:sz w:val="20"/>
          <w:szCs w:val="20"/>
        </w:rPr>
        <w:t xml:space="preserve"> coliform from Aluminum foil 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 xml:space="preserve">FCS = </w:t>
      </w:r>
      <w:r w:rsidR="00740397" w:rsidRPr="00B65376">
        <w:rPr>
          <w:rFonts w:ascii="Times New Roman" w:hAnsi="Times New Roman" w:cs="Times New Roman"/>
          <w:i/>
          <w:sz w:val="20"/>
          <w:szCs w:val="20"/>
        </w:rPr>
        <w:t xml:space="preserve">Faecal </w:t>
      </w:r>
      <w:r w:rsidR="00740397" w:rsidRPr="00B65376">
        <w:rPr>
          <w:rFonts w:ascii="Times New Roman" w:hAnsi="Times New Roman" w:cs="Times New Roman"/>
          <w:sz w:val="20"/>
          <w:szCs w:val="20"/>
        </w:rPr>
        <w:t>coliform from ordinary sun exposure</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 xml:space="preserve">Hr = Hour </w:t>
      </w:r>
    </w:p>
    <w:p w:rsidR="0033776A" w:rsidRDefault="0033776A" w:rsidP="0033776A">
      <w:pPr>
        <w:snapToGrid w:val="0"/>
        <w:spacing w:after="0" w:line="240" w:lineRule="auto"/>
        <w:ind w:firstLine="425"/>
        <w:jc w:val="both"/>
        <w:rPr>
          <w:rFonts w:ascii="Times New Roman" w:hAnsi="Times New Roman" w:cs="Times New Roman"/>
          <w:sz w:val="20"/>
          <w:szCs w:val="20"/>
          <w:lang w:eastAsia="zh-CN"/>
        </w:rPr>
      </w:pPr>
    </w:p>
    <w:p w:rsidR="0033776A" w:rsidRDefault="0033776A" w:rsidP="0033776A">
      <w:pPr>
        <w:snapToGrid w:val="0"/>
        <w:spacing w:after="0" w:line="240" w:lineRule="auto"/>
        <w:ind w:firstLine="425"/>
        <w:jc w:val="both"/>
        <w:rPr>
          <w:rFonts w:ascii="Times New Roman" w:hAnsi="Times New Roman" w:cs="Times New Roman"/>
          <w:sz w:val="20"/>
          <w:szCs w:val="20"/>
          <w:lang w:eastAsia="zh-CN"/>
        </w:rPr>
        <w:sectPr w:rsidR="0033776A" w:rsidSect="00B65376">
          <w:type w:val="continuous"/>
          <w:pgSz w:w="12240" w:h="15840" w:code="9"/>
          <w:pgMar w:top="1440" w:right="1440" w:bottom="1440" w:left="1440" w:header="720" w:footer="720" w:gutter="0"/>
          <w:cols w:space="720"/>
          <w:docGrid w:linePitch="360"/>
        </w:sectPr>
      </w:pPr>
    </w:p>
    <w:p w:rsidR="008F180F" w:rsidRPr="00B65376" w:rsidRDefault="007E4D59"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lastRenderedPageBreak/>
        <w:t xml:space="preserve">The total culturable heterotrophic bacteria count (TCHBC) of the water samples on various concentrators’ materials is shown in Figure 2. </w:t>
      </w:r>
      <w:r w:rsidRPr="00B65376">
        <w:rPr>
          <w:rFonts w:ascii="Times New Roman" w:hAnsi="Times New Roman" w:cs="Times New Roman"/>
          <w:bCs/>
          <w:sz w:val="20"/>
          <w:szCs w:val="20"/>
        </w:rPr>
        <w:t xml:space="preserve">Results obtained shows O hour data of 2.2 log </w:t>
      </w:r>
      <w:r w:rsidR="00851285" w:rsidRPr="00B65376">
        <w:rPr>
          <w:rFonts w:ascii="Times New Roman" w:hAnsi="Times New Roman" w:cs="Times New Roman"/>
          <w:bCs/>
          <w:sz w:val="20"/>
          <w:szCs w:val="20"/>
        </w:rPr>
        <w:t>CFU</w:t>
      </w:r>
      <w:r w:rsidRPr="00B65376">
        <w:rPr>
          <w:rFonts w:ascii="Times New Roman" w:hAnsi="Times New Roman" w:cs="Times New Roman"/>
          <w:bCs/>
          <w:sz w:val="20"/>
          <w:szCs w:val="20"/>
        </w:rPr>
        <w:t xml:space="preserve">/ml was used as </w:t>
      </w:r>
      <w:r w:rsidR="00851285" w:rsidRPr="00B65376">
        <w:rPr>
          <w:rFonts w:ascii="Times New Roman" w:hAnsi="Times New Roman" w:cs="Times New Roman"/>
          <w:bCs/>
          <w:sz w:val="20"/>
          <w:szCs w:val="20"/>
        </w:rPr>
        <w:t xml:space="preserve">a </w:t>
      </w:r>
      <w:r w:rsidRPr="00B65376">
        <w:rPr>
          <w:rFonts w:ascii="Times New Roman" w:hAnsi="Times New Roman" w:cs="Times New Roman"/>
          <w:bCs/>
          <w:sz w:val="20"/>
          <w:szCs w:val="20"/>
        </w:rPr>
        <w:t xml:space="preserve">control for the study, after 2 hours of exposure, </w:t>
      </w:r>
      <w:r w:rsidRPr="00B65376">
        <w:rPr>
          <w:rFonts w:ascii="Times New Roman" w:hAnsi="Times New Roman" w:cs="Times New Roman"/>
          <w:sz w:val="20"/>
          <w:szCs w:val="20"/>
        </w:rPr>
        <w:t>TCHBC</w:t>
      </w:r>
      <w:r w:rsidRPr="00B65376">
        <w:rPr>
          <w:rFonts w:ascii="Times New Roman" w:hAnsi="Times New Roman" w:cs="Times New Roman"/>
          <w:bCs/>
          <w:sz w:val="20"/>
          <w:szCs w:val="20"/>
        </w:rPr>
        <w:t xml:space="preserve"> from mirror concentrator dropped to 1.7, alumin</w:t>
      </w:r>
      <w:r w:rsidR="00851285" w:rsidRPr="00B65376">
        <w:rPr>
          <w:rFonts w:ascii="Times New Roman" w:hAnsi="Times New Roman" w:cs="Times New Roman"/>
          <w:bCs/>
          <w:sz w:val="20"/>
          <w:szCs w:val="20"/>
        </w:rPr>
        <w:t>i</w:t>
      </w:r>
      <w:r w:rsidRPr="00B65376">
        <w:rPr>
          <w:rFonts w:ascii="Times New Roman" w:hAnsi="Times New Roman" w:cs="Times New Roman"/>
          <w:bCs/>
          <w:sz w:val="20"/>
          <w:szCs w:val="20"/>
        </w:rPr>
        <w:t xml:space="preserve">um foil paper recorded a count of 2.1while ordinary solar exposure recorded a count of 2.2 log </w:t>
      </w:r>
      <w:r w:rsidR="00851285" w:rsidRPr="00B65376">
        <w:rPr>
          <w:rFonts w:ascii="Times New Roman" w:hAnsi="Times New Roman" w:cs="Times New Roman"/>
          <w:bCs/>
          <w:sz w:val="20"/>
          <w:szCs w:val="20"/>
        </w:rPr>
        <w:t>CFU</w:t>
      </w:r>
      <w:r w:rsidRPr="00B65376">
        <w:rPr>
          <w:rFonts w:ascii="Times New Roman" w:hAnsi="Times New Roman" w:cs="Times New Roman"/>
          <w:bCs/>
          <w:sz w:val="20"/>
          <w:szCs w:val="20"/>
        </w:rPr>
        <w:t>/ml.</w:t>
      </w:r>
      <w:r w:rsidR="00B65376" w:rsidRPr="00B65376">
        <w:rPr>
          <w:rFonts w:ascii="Times New Roman" w:hAnsi="Times New Roman" w:cs="Times New Roman"/>
          <w:bCs/>
          <w:sz w:val="20"/>
          <w:szCs w:val="20"/>
        </w:rPr>
        <w:t xml:space="preserve"> </w:t>
      </w:r>
      <w:r w:rsidRPr="00B65376">
        <w:rPr>
          <w:rFonts w:ascii="Times New Roman" w:hAnsi="Times New Roman" w:cs="Times New Roman"/>
          <w:bCs/>
          <w:sz w:val="20"/>
          <w:szCs w:val="20"/>
        </w:rPr>
        <w:t>However, after 8 hours of exposure for all the concentrators, 1.2 growth was recorded from mirror and alumin</w:t>
      </w:r>
      <w:r w:rsidR="00851285" w:rsidRPr="00B65376">
        <w:rPr>
          <w:rFonts w:ascii="Times New Roman" w:hAnsi="Times New Roman" w:cs="Times New Roman"/>
          <w:bCs/>
          <w:sz w:val="20"/>
          <w:szCs w:val="20"/>
        </w:rPr>
        <w:t>i</w:t>
      </w:r>
      <w:r w:rsidRPr="00B65376">
        <w:rPr>
          <w:rFonts w:ascii="Times New Roman" w:hAnsi="Times New Roman" w:cs="Times New Roman"/>
          <w:bCs/>
          <w:sz w:val="20"/>
          <w:szCs w:val="20"/>
        </w:rPr>
        <w:t xml:space="preserve">um foil paper concentrators for all aliquots of water but 4 L aliquots had </w:t>
      </w:r>
      <w:r w:rsidR="00851285" w:rsidRPr="00B65376">
        <w:rPr>
          <w:rFonts w:ascii="Times New Roman" w:hAnsi="Times New Roman" w:cs="Times New Roman"/>
          <w:bCs/>
          <w:sz w:val="20"/>
          <w:szCs w:val="20"/>
        </w:rPr>
        <w:t xml:space="preserve">a </w:t>
      </w:r>
      <w:r w:rsidRPr="00B65376">
        <w:rPr>
          <w:rFonts w:ascii="Times New Roman" w:hAnsi="Times New Roman" w:cs="Times New Roman"/>
          <w:bCs/>
          <w:sz w:val="20"/>
          <w:szCs w:val="20"/>
        </w:rPr>
        <w:t xml:space="preserve">population of 1.5, 10 L had 1.8and 15 L recorded 1.8 log </w:t>
      </w:r>
      <w:r w:rsidR="00851285" w:rsidRPr="00B65376">
        <w:rPr>
          <w:rFonts w:ascii="Times New Roman" w:hAnsi="Times New Roman" w:cs="Times New Roman"/>
          <w:bCs/>
          <w:sz w:val="20"/>
          <w:szCs w:val="20"/>
        </w:rPr>
        <w:t>CFU</w:t>
      </w:r>
      <w:r w:rsidRPr="00B65376">
        <w:rPr>
          <w:rFonts w:ascii="Times New Roman" w:hAnsi="Times New Roman" w:cs="Times New Roman"/>
          <w:bCs/>
          <w:sz w:val="20"/>
          <w:szCs w:val="20"/>
        </w:rPr>
        <w:t xml:space="preserve">/ml. </w:t>
      </w:r>
      <w:r w:rsidRPr="00B65376">
        <w:rPr>
          <w:rFonts w:ascii="Times New Roman" w:hAnsi="Times New Roman" w:cs="Times New Roman"/>
          <w:color w:val="000000" w:themeColor="text1"/>
          <w:sz w:val="20"/>
          <w:szCs w:val="20"/>
        </w:rPr>
        <w:t xml:space="preserve">analysis of data indicated that </w:t>
      </w:r>
      <w:r w:rsidRPr="00B65376">
        <w:rPr>
          <w:rFonts w:ascii="Times New Roman" w:hAnsi="Times New Roman" w:cs="Times New Roman"/>
          <w:sz w:val="20"/>
          <w:szCs w:val="20"/>
        </w:rPr>
        <w:t xml:space="preserve">there was </w:t>
      </w:r>
      <w:r w:rsidR="00851285" w:rsidRPr="00B65376">
        <w:rPr>
          <w:rFonts w:ascii="Times New Roman" w:hAnsi="Times New Roman" w:cs="Times New Roman"/>
          <w:sz w:val="20"/>
          <w:szCs w:val="20"/>
        </w:rPr>
        <w:t xml:space="preserve">a </w:t>
      </w:r>
      <w:r w:rsidRPr="00B65376">
        <w:rPr>
          <w:rFonts w:ascii="Times New Roman" w:hAnsi="Times New Roman" w:cs="Times New Roman"/>
          <w:sz w:val="20"/>
          <w:szCs w:val="20"/>
        </w:rPr>
        <w:t>significant difference in population changes for the times, volumes and materials used in exposure (P-</w:t>
      </w:r>
      <w:r w:rsidRPr="00B65376">
        <w:rPr>
          <w:rFonts w:ascii="Times New Roman" w:hAnsi="Times New Roman" w:cs="Times New Roman"/>
          <w:sz w:val="20"/>
          <w:szCs w:val="20"/>
        </w:rPr>
        <w:lastRenderedPageBreak/>
        <w:t xml:space="preserve">values&gt;0.05) as indicated by the P-value. This was in line with the report of Acra (1990). He reported that the efficiency of convergent ray’s disinfection of water is dependent on the time under </w:t>
      </w:r>
      <w:r w:rsidR="00851285" w:rsidRPr="00B65376">
        <w:rPr>
          <w:rFonts w:ascii="Times New Roman" w:hAnsi="Times New Roman" w:cs="Times New Roman"/>
          <w:sz w:val="20"/>
          <w:szCs w:val="20"/>
        </w:rPr>
        <w:t xml:space="preserve">a </w:t>
      </w:r>
      <w:r w:rsidRPr="00B65376">
        <w:rPr>
          <w:rFonts w:ascii="Times New Roman" w:hAnsi="Times New Roman" w:cs="Times New Roman"/>
          <w:sz w:val="20"/>
          <w:szCs w:val="20"/>
        </w:rPr>
        <w:t>clear sky, the influence of containers (Their loss of high transmittance with extended use), using sun rays treatment (for over 35</w:t>
      </w:r>
      <w:r w:rsidRPr="00B65376">
        <w:rPr>
          <w:rFonts w:ascii="Times New Roman" w:hAnsi="Times New Roman" w:cs="Times New Roman"/>
          <w:sz w:val="20"/>
          <w:szCs w:val="20"/>
          <w:vertAlign w:val="superscript"/>
        </w:rPr>
        <w:t>O</w:t>
      </w:r>
      <w:r w:rsidRPr="00B65376">
        <w:rPr>
          <w:rFonts w:ascii="Times New Roman" w:hAnsi="Times New Roman" w:cs="Times New Roman"/>
          <w:sz w:val="20"/>
          <w:szCs w:val="20"/>
        </w:rPr>
        <w:t>C of latitude North or South), (which varies with the time of the day, date and geographic location), and the nature of reflecting materials. The germicidal action of convergent rays was assumed to be a reflection of the concentration and intensity of light rays</w:t>
      </w:r>
      <w:r w:rsidR="001A24DA" w:rsidRPr="00B65376">
        <w:rPr>
          <w:rFonts w:ascii="Times New Roman" w:hAnsi="Times New Roman" w:cs="Times New Roman"/>
          <w:sz w:val="20"/>
          <w:szCs w:val="20"/>
        </w:rPr>
        <w:t xml:space="preserve"> (Ojo </w:t>
      </w:r>
      <w:r w:rsidR="001A24DA" w:rsidRPr="00B65376">
        <w:rPr>
          <w:rFonts w:ascii="Times New Roman" w:hAnsi="Times New Roman" w:cs="Times New Roman"/>
          <w:i/>
          <w:sz w:val="20"/>
          <w:szCs w:val="20"/>
        </w:rPr>
        <w:t>et al</w:t>
      </w:r>
      <w:r w:rsidR="001A24DA" w:rsidRPr="00B65376">
        <w:rPr>
          <w:rFonts w:ascii="Times New Roman" w:hAnsi="Times New Roman" w:cs="Times New Roman"/>
          <w:sz w:val="20"/>
          <w:szCs w:val="20"/>
        </w:rPr>
        <w:t>., 2011)</w:t>
      </w:r>
      <w:r w:rsidRPr="00B65376">
        <w:rPr>
          <w:rFonts w:ascii="Times New Roman" w:hAnsi="Times New Roman" w:cs="Times New Roman"/>
          <w:sz w:val="20"/>
          <w:szCs w:val="20"/>
        </w:rPr>
        <w:t>.</w:t>
      </w:r>
      <w:r w:rsidR="008F180F" w:rsidRPr="00B65376">
        <w:rPr>
          <w:rFonts w:ascii="Times New Roman" w:hAnsi="Times New Roman" w:cs="Times New Roman"/>
          <w:sz w:val="20"/>
          <w:szCs w:val="20"/>
        </w:rPr>
        <w:t xml:space="preserve"> The temperature before exposure was in the range of 27 – 29</w:t>
      </w:r>
      <w:r w:rsidR="008F180F" w:rsidRPr="00B65376">
        <w:rPr>
          <w:rFonts w:ascii="Times New Roman" w:hAnsi="Times New Roman" w:cs="Times New Roman"/>
          <w:sz w:val="20"/>
          <w:szCs w:val="20"/>
          <w:vertAlign w:val="superscript"/>
        </w:rPr>
        <w:t>O</w:t>
      </w:r>
      <w:r w:rsidR="008F180F" w:rsidRPr="00B65376">
        <w:rPr>
          <w:rFonts w:ascii="Times New Roman" w:hAnsi="Times New Roman" w:cs="Times New Roman"/>
          <w:sz w:val="20"/>
          <w:szCs w:val="20"/>
        </w:rPr>
        <w:t>C but increased to 44 to 53</w:t>
      </w:r>
      <w:r w:rsidR="008F180F" w:rsidRPr="00B65376">
        <w:rPr>
          <w:rFonts w:ascii="Times New Roman" w:hAnsi="Times New Roman" w:cs="Times New Roman"/>
          <w:sz w:val="20"/>
          <w:szCs w:val="20"/>
          <w:vertAlign w:val="superscript"/>
        </w:rPr>
        <w:t xml:space="preserve"> O</w:t>
      </w:r>
      <w:r w:rsidR="008F180F" w:rsidRPr="00B65376">
        <w:rPr>
          <w:rFonts w:ascii="Times New Roman" w:hAnsi="Times New Roman" w:cs="Times New Roman"/>
          <w:sz w:val="20"/>
          <w:szCs w:val="20"/>
        </w:rPr>
        <w:t>C after 8 hours of exposure (Figure 4).</w:t>
      </w:r>
    </w:p>
    <w:p w:rsidR="0033776A" w:rsidRDefault="0033776A" w:rsidP="0033776A">
      <w:pPr>
        <w:snapToGrid w:val="0"/>
        <w:spacing w:after="0" w:line="240" w:lineRule="auto"/>
        <w:jc w:val="center"/>
        <w:rPr>
          <w:rFonts w:ascii="Times New Roman" w:hAnsi="Times New Roman" w:cs="Times New Roman"/>
          <w:sz w:val="20"/>
          <w:szCs w:val="20"/>
        </w:rPr>
        <w:sectPr w:rsidR="0033776A" w:rsidSect="0033776A">
          <w:type w:val="continuous"/>
          <w:pgSz w:w="12240" w:h="15840" w:code="9"/>
          <w:pgMar w:top="1440" w:right="1440" w:bottom="1440" w:left="1440" w:header="720" w:footer="720" w:gutter="0"/>
          <w:cols w:num="2" w:space="550"/>
          <w:docGrid w:linePitch="360"/>
        </w:sect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FB31FA" w:rsidRDefault="00FB31FA" w:rsidP="0033776A">
      <w:pPr>
        <w:snapToGrid w:val="0"/>
        <w:spacing w:after="0" w:line="240" w:lineRule="auto"/>
        <w:jc w:val="center"/>
        <w:rPr>
          <w:rFonts w:ascii="Times New Roman" w:hAnsi="Times New Roman" w:cs="Times New Roman"/>
          <w:sz w:val="20"/>
          <w:szCs w:val="20"/>
          <w:lang w:eastAsia="zh-CN"/>
        </w:rPr>
      </w:pPr>
    </w:p>
    <w:p w:rsidR="00740397" w:rsidRPr="00B65376" w:rsidRDefault="00740397" w:rsidP="0033776A">
      <w:pPr>
        <w:snapToGrid w:val="0"/>
        <w:spacing w:after="0" w:line="240" w:lineRule="auto"/>
        <w:jc w:val="center"/>
        <w:rPr>
          <w:rFonts w:ascii="Times New Roman" w:hAnsi="Times New Roman" w:cs="Times New Roman"/>
          <w:sz w:val="20"/>
          <w:szCs w:val="20"/>
        </w:rPr>
      </w:pPr>
      <w:r w:rsidRPr="00B65376">
        <w:rPr>
          <w:rFonts w:ascii="Times New Roman" w:hAnsi="Times New Roman" w:cs="Times New Roman"/>
          <w:noProof/>
          <w:sz w:val="20"/>
          <w:szCs w:val="20"/>
        </w:rPr>
        <w:drawing>
          <wp:inline distT="0" distB="0" distL="0" distR="0">
            <wp:extent cx="5715000" cy="2476500"/>
            <wp:effectExtent l="0" t="0" r="0" b="0"/>
            <wp:docPr id="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0A5C" w:rsidRPr="00B65376" w:rsidRDefault="00310A5C" w:rsidP="0033776A">
      <w:pPr>
        <w:snapToGrid w:val="0"/>
        <w:spacing w:after="0" w:line="240" w:lineRule="auto"/>
        <w:jc w:val="center"/>
        <w:rPr>
          <w:rFonts w:ascii="Times New Roman" w:hAnsi="Times New Roman" w:cs="Times New Roman"/>
          <w:b/>
          <w:sz w:val="20"/>
          <w:szCs w:val="20"/>
        </w:rPr>
      </w:pPr>
      <w:r w:rsidRPr="00B65376">
        <w:rPr>
          <w:rFonts w:ascii="Times New Roman" w:hAnsi="Times New Roman" w:cs="Times New Roman"/>
          <w:b/>
          <w:bCs/>
          <w:sz w:val="20"/>
          <w:szCs w:val="20"/>
        </w:rPr>
        <w:t>Figure 3: Comparative efficacy of concentrator material on TCHBC disinfection in water</w:t>
      </w:r>
    </w:p>
    <w:p w:rsidR="00851285" w:rsidRDefault="0033776A" w:rsidP="0033776A">
      <w:pPr>
        <w:snapToGrid w:val="0"/>
        <w:spacing w:after="0" w:line="240" w:lineRule="auto"/>
        <w:jc w:val="both"/>
        <w:rPr>
          <w:rFonts w:ascii="Times New Roman" w:hAnsi="Times New Roman" w:cs="Times New Roman"/>
          <w:sz w:val="20"/>
          <w:szCs w:val="20"/>
          <w:lang w:eastAsia="zh-CN"/>
        </w:rPr>
      </w:pPr>
      <w:r w:rsidRPr="00B65376">
        <w:rPr>
          <w:rFonts w:ascii="Times New Roman" w:hAnsi="Times New Roman" w:cs="Times New Roman"/>
          <w:b/>
          <w:sz w:val="20"/>
          <w:szCs w:val="20"/>
        </w:rPr>
        <w:t xml:space="preserve">Key: </w:t>
      </w:r>
      <w:r w:rsidR="00740397" w:rsidRPr="00B65376">
        <w:rPr>
          <w:rFonts w:ascii="Times New Roman" w:hAnsi="Times New Roman" w:cs="Times New Roman"/>
          <w:sz w:val="20"/>
          <w:szCs w:val="20"/>
        </w:rPr>
        <w:t>TCHBCM = Total culturable heterotrophic bacteria count from mirror 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TCHBCA = Total culturable heterotrophic bacteria count Aluminum foil</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Concentrator</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TCHBCS = Total culturable heterotrophic bacteria count from ordinary sun</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Exposure</w:t>
      </w:r>
      <w:r w:rsidR="00310A5C" w:rsidRPr="00B65376">
        <w:rPr>
          <w:rFonts w:ascii="Times New Roman" w:hAnsi="Times New Roman" w:cs="Times New Roman"/>
          <w:sz w:val="20"/>
          <w:szCs w:val="20"/>
        </w:rPr>
        <w:t xml:space="preserve">, </w:t>
      </w:r>
      <w:r w:rsidR="00740397" w:rsidRPr="00B65376">
        <w:rPr>
          <w:rFonts w:ascii="Times New Roman" w:hAnsi="Times New Roman" w:cs="Times New Roman"/>
          <w:sz w:val="20"/>
          <w:szCs w:val="20"/>
        </w:rPr>
        <w:t xml:space="preserve">Hr = Hour </w:t>
      </w:r>
    </w:p>
    <w:p w:rsidR="00FB31FA" w:rsidRPr="00B65376" w:rsidRDefault="00FB31FA" w:rsidP="0033776A">
      <w:pPr>
        <w:snapToGrid w:val="0"/>
        <w:spacing w:after="0" w:line="240" w:lineRule="auto"/>
        <w:jc w:val="both"/>
        <w:rPr>
          <w:rFonts w:ascii="Times New Roman" w:hAnsi="Times New Roman" w:cs="Times New Roman"/>
          <w:sz w:val="20"/>
          <w:szCs w:val="20"/>
          <w:lang w:eastAsia="zh-CN"/>
        </w:rPr>
      </w:pPr>
    </w:p>
    <w:p w:rsidR="00740397" w:rsidRPr="00B65376" w:rsidRDefault="00740397" w:rsidP="0033776A">
      <w:pPr>
        <w:snapToGrid w:val="0"/>
        <w:spacing w:after="0" w:line="240" w:lineRule="auto"/>
        <w:ind w:firstLine="425"/>
        <w:jc w:val="both"/>
        <w:rPr>
          <w:rFonts w:ascii="Times New Roman" w:hAnsi="Times New Roman" w:cs="Times New Roman"/>
          <w:sz w:val="20"/>
          <w:szCs w:val="20"/>
        </w:rPr>
      </w:pPr>
    </w:p>
    <w:p w:rsidR="00740397" w:rsidRPr="00B65376" w:rsidRDefault="00740397" w:rsidP="0033776A">
      <w:pPr>
        <w:snapToGrid w:val="0"/>
        <w:spacing w:after="0" w:line="240" w:lineRule="auto"/>
        <w:jc w:val="center"/>
        <w:rPr>
          <w:rFonts w:ascii="Times New Roman" w:hAnsi="Times New Roman" w:cs="Times New Roman"/>
          <w:b/>
          <w:sz w:val="20"/>
          <w:szCs w:val="20"/>
        </w:rPr>
      </w:pPr>
      <w:r w:rsidRPr="00B65376">
        <w:rPr>
          <w:rFonts w:ascii="Times New Roman" w:hAnsi="Times New Roman" w:cs="Times New Roman"/>
          <w:b/>
          <w:noProof/>
          <w:sz w:val="20"/>
          <w:szCs w:val="20"/>
        </w:rPr>
        <w:drawing>
          <wp:inline distT="0" distB="0" distL="0" distR="0">
            <wp:extent cx="5562600" cy="217170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0A5C" w:rsidRPr="00B65376" w:rsidRDefault="00310A5C" w:rsidP="0033776A">
      <w:pPr>
        <w:snapToGrid w:val="0"/>
        <w:spacing w:after="0" w:line="240" w:lineRule="auto"/>
        <w:jc w:val="center"/>
        <w:rPr>
          <w:rFonts w:ascii="Times New Roman" w:hAnsi="Times New Roman" w:cs="Times New Roman"/>
          <w:b/>
          <w:sz w:val="20"/>
          <w:szCs w:val="20"/>
        </w:rPr>
      </w:pPr>
      <w:r w:rsidRPr="00B65376">
        <w:rPr>
          <w:rFonts w:ascii="Times New Roman" w:hAnsi="Times New Roman" w:cs="Times New Roman"/>
          <w:b/>
          <w:bCs/>
          <w:sz w:val="20"/>
          <w:szCs w:val="20"/>
        </w:rPr>
        <w:t>Figure 4: Temperature range before and after exposure (</w:t>
      </w:r>
      <w:r w:rsidRPr="00B65376">
        <w:rPr>
          <w:rFonts w:ascii="Times New Roman" w:hAnsi="Times New Roman" w:cs="Times New Roman"/>
          <w:b/>
          <w:bCs/>
          <w:sz w:val="20"/>
          <w:szCs w:val="20"/>
          <w:vertAlign w:val="superscript"/>
        </w:rPr>
        <w:t>O</w:t>
      </w:r>
      <w:r w:rsidRPr="00B65376">
        <w:rPr>
          <w:rFonts w:ascii="Times New Roman" w:hAnsi="Times New Roman" w:cs="Times New Roman"/>
          <w:b/>
          <w:bCs/>
          <w:sz w:val="20"/>
          <w:szCs w:val="20"/>
        </w:rPr>
        <w:t>C)</w:t>
      </w:r>
    </w:p>
    <w:p w:rsidR="00310A5C" w:rsidRDefault="00310A5C" w:rsidP="0033776A">
      <w:pPr>
        <w:snapToGrid w:val="0"/>
        <w:spacing w:after="0" w:line="240" w:lineRule="auto"/>
        <w:jc w:val="both"/>
        <w:rPr>
          <w:rFonts w:ascii="Times New Roman" w:hAnsi="Times New Roman" w:cs="Times New Roman"/>
          <w:b/>
          <w:sz w:val="20"/>
          <w:szCs w:val="20"/>
          <w:lang w:eastAsia="zh-CN"/>
        </w:rPr>
      </w:pPr>
    </w:p>
    <w:p w:rsidR="00FB31FA" w:rsidRPr="00B65376" w:rsidRDefault="00FB31FA" w:rsidP="0033776A">
      <w:pPr>
        <w:snapToGrid w:val="0"/>
        <w:spacing w:after="0" w:line="240" w:lineRule="auto"/>
        <w:jc w:val="both"/>
        <w:rPr>
          <w:rFonts w:ascii="Times New Roman" w:hAnsi="Times New Roman" w:cs="Times New Roman"/>
          <w:b/>
          <w:sz w:val="20"/>
          <w:szCs w:val="20"/>
          <w:lang w:eastAsia="zh-CN"/>
        </w:rPr>
      </w:pPr>
    </w:p>
    <w:p w:rsidR="0033776A" w:rsidRDefault="0033776A" w:rsidP="0033776A">
      <w:pPr>
        <w:snapToGrid w:val="0"/>
        <w:spacing w:after="0" w:line="240" w:lineRule="auto"/>
        <w:jc w:val="both"/>
        <w:rPr>
          <w:rFonts w:ascii="Times New Roman" w:hAnsi="Times New Roman" w:cs="Times New Roman"/>
          <w:b/>
          <w:sz w:val="20"/>
          <w:szCs w:val="20"/>
        </w:rPr>
        <w:sectPr w:rsidR="0033776A" w:rsidSect="00B65376">
          <w:type w:val="continuous"/>
          <w:pgSz w:w="12240" w:h="15840" w:code="9"/>
          <w:pgMar w:top="1440" w:right="1440" w:bottom="1440" w:left="1440" w:header="720" w:footer="720" w:gutter="0"/>
          <w:cols w:space="720"/>
          <w:docGrid w:linePitch="360"/>
        </w:sectPr>
      </w:pPr>
    </w:p>
    <w:p w:rsidR="00550580"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lastRenderedPageBreak/>
        <w:t>Conclusion</w:t>
      </w:r>
    </w:p>
    <w:p w:rsidR="00EF3BC4" w:rsidRPr="00B65376" w:rsidRDefault="00EF3BC4" w:rsidP="0033776A">
      <w:pPr>
        <w:snapToGrid w:val="0"/>
        <w:spacing w:after="0" w:line="240" w:lineRule="auto"/>
        <w:ind w:firstLine="425"/>
        <w:jc w:val="both"/>
        <w:rPr>
          <w:rFonts w:ascii="Times New Roman" w:hAnsi="Times New Roman" w:cs="Times New Roman"/>
          <w:sz w:val="20"/>
          <w:szCs w:val="20"/>
        </w:rPr>
      </w:pPr>
      <w:r w:rsidRPr="00B65376">
        <w:rPr>
          <w:rFonts w:ascii="Times New Roman" w:hAnsi="Times New Roman" w:cs="Times New Roman"/>
          <w:sz w:val="20"/>
          <w:szCs w:val="20"/>
        </w:rPr>
        <w:t xml:space="preserve">The effectiveness of the treatment process can be achieved after 6 hours of exposure and above using a mirror ray concentrator with a wide area. Bacteriological parameters responded with a decrease in population with increased in exposure time. It is therefore rational to conclude that, exposure with water samples in a circular dish ray concentrator with </w:t>
      </w:r>
      <w:r w:rsidR="00851285" w:rsidRPr="00B65376">
        <w:rPr>
          <w:rFonts w:ascii="Times New Roman" w:hAnsi="Times New Roman" w:cs="Times New Roman"/>
          <w:sz w:val="20"/>
          <w:szCs w:val="20"/>
        </w:rPr>
        <w:t xml:space="preserve">a </w:t>
      </w:r>
      <w:r w:rsidRPr="00B65376">
        <w:rPr>
          <w:rFonts w:ascii="Times New Roman" w:hAnsi="Times New Roman" w:cs="Times New Roman"/>
          <w:sz w:val="20"/>
          <w:szCs w:val="20"/>
        </w:rPr>
        <w:t>mirror reflecting material for 6 hours and above can be appropriate for bacteria inactivation.</w:t>
      </w:r>
    </w:p>
    <w:p w:rsidR="00310A5C" w:rsidRDefault="00310A5C" w:rsidP="0033776A">
      <w:pPr>
        <w:snapToGrid w:val="0"/>
        <w:spacing w:after="0" w:line="240" w:lineRule="auto"/>
        <w:jc w:val="both"/>
        <w:rPr>
          <w:rFonts w:ascii="Times New Roman" w:hAnsi="Times New Roman" w:cs="Times New Roman"/>
          <w:b/>
          <w:sz w:val="20"/>
          <w:szCs w:val="20"/>
          <w:lang w:eastAsia="zh-CN"/>
        </w:rPr>
      </w:pPr>
    </w:p>
    <w:p w:rsidR="00FB31FA" w:rsidRDefault="00FB31FA" w:rsidP="0033776A">
      <w:pPr>
        <w:snapToGrid w:val="0"/>
        <w:spacing w:after="0" w:line="240" w:lineRule="auto"/>
        <w:jc w:val="both"/>
        <w:rPr>
          <w:rFonts w:ascii="Times New Roman" w:hAnsi="Times New Roman" w:cs="Times New Roman"/>
          <w:b/>
          <w:sz w:val="20"/>
          <w:szCs w:val="20"/>
          <w:lang w:eastAsia="zh-CN"/>
        </w:rPr>
      </w:pPr>
    </w:p>
    <w:p w:rsidR="00FB31FA" w:rsidRPr="00B65376" w:rsidRDefault="00FB31FA" w:rsidP="0033776A">
      <w:pPr>
        <w:snapToGrid w:val="0"/>
        <w:spacing w:after="0" w:line="240" w:lineRule="auto"/>
        <w:jc w:val="both"/>
        <w:rPr>
          <w:rFonts w:ascii="Times New Roman" w:hAnsi="Times New Roman" w:cs="Times New Roman"/>
          <w:b/>
          <w:sz w:val="20"/>
          <w:szCs w:val="20"/>
          <w:lang w:eastAsia="zh-CN"/>
        </w:rPr>
      </w:pPr>
    </w:p>
    <w:p w:rsidR="00550580" w:rsidRPr="00B65376" w:rsidRDefault="0033776A" w:rsidP="0033776A">
      <w:pPr>
        <w:snapToGrid w:val="0"/>
        <w:spacing w:after="0" w:line="240" w:lineRule="auto"/>
        <w:jc w:val="both"/>
        <w:rPr>
          <w:rFonts w:ascii="Times New Roman" w:hAnsi="Times New Roman" w:cs="Times New Roman"/>
          <w:b/>
          <w:sz w:val="20"/>
          <w:szCs w:val="20"/>
        </w:rPr>
      </w:pPr>
      <w:r w:rsidRPr="00B65376">
        <w:rPr>
          <w:rFonts w:ascii="Times New Roman" w:hAnsi="Times New Roman" w:cs="Times New Roman"/>
          <w:b/>
          <w:sz w:val="20"/>
          <w:szCs w:val="20"/>
        </w:rPr>
        <w:lastRenderedPageBreak/>
        <w:t>References</w:t>
      </w:r>
    </w:p>
    <w:p w:rsidR="0033776A" w:rsidRDefault="000851D3"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Acra.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(1990</w:t>
      </w:r>
      <w:r w:rsidR="00FF4501" w:rsidRPr="0033776A">
        <w:rPr>
          <w:rFonts w:ascii="Times New Roman" w:hAnsi="Times New Roman" w:cs="Times New Roman"/>
          <w:i/>
          <w:sz w:val="20"/>
          <w:szCs w:val="20"/>
        </w:rPr>
        <w:t>).</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Destructive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Effect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Sunlight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Bacteria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Oral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Rehydration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Solution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Contaminated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with</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Sewag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Lancet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Dictionary</w:t>
      </w:r>
      <w:r w:rsidR="00FF4501" w:rsidRPr="0033776A">
        <w:rPr>
          <w:rFonts w:ascii="Times New Roman" w:hAnsi="Times New Roman" w:cs="Times New Roman"/>
          <w:sz w:val="20"/>
          <w:szCs w:val="20"/>
        </w:rPr>
        <w:t>,</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2:</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1259-125</w:t>
      </w:r>
      <w:r w:rsidR="0033776A" w:rsidRPr="0033776A">
        <w:rPr>
          <w:rFonts w:ascii="Times New Roman" w:hAnsi="Times New Roman" w:cs="Times New Roman"/>
          <w:sz w:val="20"/>
          <w:szCs w:val="20"/>
        </w:rPr>
        <w:t>8</w:t>
      </w:r>
      <w:r w:rsidR="0033776A">
        <w:rPr>
          <w:rFonts w:ascii="Times New Roman" w:hAnsi="Times New Roman" w:cs="Times New Roman"/>
          <w:sz w:val="20"/>
          <w:szCs w:val="20"/>
        </w:rPr>
        <w:t>.</w:t>
      </w:r>
    </w:p>
    <w:p w:rsidR="0033776A" w:rsidRDefault="00B00C14"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Adekunle,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Eniola,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(2008).</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Impact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Industrial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Effluents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0n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Quality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Sediments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Asa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River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within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Industrial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Estate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Ilorin,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Nigeria.</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i/>
          <w:sz w:val="20"/>
          <w:szCs w:val="20"/>
        </w:rPr>
        <w:t>New</w:t>
      </w:r>
      <w:r w:rsidR="00B65376" w:rsidRPr="0033776A">
        <w:rPr>
          <w:rFonts w:ascii="Times New Roman" w:hAnsi="Times New Roman" w:cs="Times New Roman"/>
          <w:i/>
          <w:sz w:val="20"/>
          <w:szCs w:val="20"/>
        </w:rPr>
        <w:t xml:space="preserve"> </w:t>
      </w:r>
      <w:r w:rsidR="00FF4501" w:rsidRPr="0033776A">
        <w:rPr>
          <w:rFonts w:ascii="Times New Roman" w:hAnsi="Times New Roman" w:cs="Times New Roman"/>
          <w:i/>
          <w:sz w:val="20"/>
          <w:szCs w:val="20"/>
        </w:rPr>
        <w:t>York</w:t>
      </w:r>
      <w:r w:rsidR="00B65376" w:rsidRPr="0033776A">
        <w:rPr>
          <w:rFonts w:ascii="Times New Roman" w:hAnsi="Times New Roman" w:cs="Times New Roman"/>
          <w:i/>
          <w:sz w:val="20"/>
          <w:szCs w:val="20"/>
        </w:rPr>
        <w:t xml:space="preserve"> </w:t>
      </w:r>
      <w:r w:rsidR="00FF4501" w:rsidRPr="0033776A">
        <w:rPr>
          <w:rFonts w:ascii="Times New Roman" w:hAnsi="Times New Roman" w:cs="Times New Roman"/>
          <w:i/>
          <w:sz w:val="20"/>
          <w:szCs w:val="20"/>
        </w:rPr>
        <w:t>Science</w:t>
      </w:r>
      <w:r w:rsidR="00B65376" w:rsidRPr="0033776A">
        <w:rPr>
          <w:rFonts w:ascii="Times New Roman" w:hAnsi="Times New Roman" w:cs="Times New Roman"/>
          <w:i/>
          <w:sz w:val="20"/>
          <w:szCs w:val="20"/>
        </w:rPr>
        <w:t xml:space="preserve"> </w:t>
      </w:r>
      <w:r w:rsidR="00FF4501" w:rsidRPr="0033776A">
        <w:rPr>
          <w:rFonts w:ascii="Times New Roman" w:hAnsi="Times New Roman" w:cs="Times New Roman"/>
          <w:i/>
          <w:sz w:val="20"/>
          <w:szCs w:val="20"/>
        </w:rPr>
        <w:t>Journal</w:t>
      </w:r>
      <w:r w:rsidR="00FF4501" w:rsidRPr="0033776A">
        <w:rPr>
          <w:rFonts w:ascii="Times New Roman" w:hAnsi="Times New Roman" w:cs="Times New Roman"/>
          <w:sz w:val="20"/>
          <w:szCs w:val="20"/>
        </w:rPr>
        <w:t>,</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1,</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1554-020</w:t>
      </w:r>
      <w:r w:rsidR="0033776A" w:rsidRPr="0033776A">
        <w:rPr>
          <w:rFonts w:ascii="Times New Roman" w:hAnsi="Times New Roman" w:cs="Times New Roman"/>
          <w:sz w:val="20"/>
          <w:szCs w:val="20"/>
        </w:rPr>
        <w:t>0</w:t>
      </w:r>
      <w:r w:rsidR="0033776A">
        <w:rPr>
          <w:rFonts w:ascii="Times New Roman" w:hAnsi="Times New Roman" w:cs="Times New Roman"/>
          <w:sz w:val="20"/>
          <w:szCs w:val="20"/>
        </w:rPr>
        <w:t>.</w:t>
      </w:r>
    </w:p>
    <w:p w:rsidR="0033776A" w:rsidRDefault="000851D3"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Alejandra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Martı´n-Domı´nguez</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Teresa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Alarco´n-Herrera</w:t>
      </w:r>
      <w:r w:rsidR="00B65376" w:rsidRPr="0033776A">
        <w:rPr>
          <w:rFonts w:ascii="Times New Roman" w:hAnsi="Times New Roman" w:cs="Times New Roman"/>
          <w:sz w:val="20"/>
          <w:szCs w:val="20"/>
        </w:rPr>
        <w:t xml:space="preserve"> </w:t>
      </w:r>
      <w:r w:rsidR="00851285" w:rsidRPr="0033776A">
        <w:rPr>
          <w:rFonts w:ascii="Times New Roman" w:hAnsi="Times New Roman" w:cs="Times New Roman"/>
          <w:sz w:val="20"/>
          <w:szCs w:val="20"/>
        </w:rPr>
        <w:t>B</w:t>
      </w:r>
      <w:r w:rsidRPr="0033776A">
        <w:rPr>
          <w:rFonts w:ascii="Times New Roman" w:hAnsi="Times New Roman" w:cs="Times New Roman"/>
          <w:sz w:val="20"/>
          <w:szCs w:val="20"/>
        </w:rPr>
        <w: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Ignacio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Martı´n-Domı´nguez</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Arturo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Gonza´lez-Herrera</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C</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(2004).</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lastRenderedPageBreak/>
        <w:t>E</w:t>
      </w:r>
      <w:r w:rsidRPr="0033776A">
        <w:rPr>
          <w:rFonts w:ascii="Cambria Math" w:hAnsi="Cambria Math" w:cs="Cambria Math"/>
          <w:sz w:val="20"/>
          <w:szCs w:val="20"/>
        </w:rPr>
        <w:t>ﬃ</w:t>
      </w:r>
      <w:r w:rsidR="00FF4501" w:rsidRPr="0033776A">
        <w:rPr>
          <w:rFonts w:ascii="Times New Roman" w:hAnsi="Times New Roman" w:cs="Times New Roman"/>
          <w:sz w:val="20"/>
          <w:szCs w:val="20"/>
        </w:rPr>
        <w:t>ciency</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the</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Disinfection</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00851285" w:rsidRPr="0033776A">
        <w:rPr>
          <w:rFonts w:ascii="Times New Roman" w:hAnsi="Times New Roman" w:cs="Times New Roman"/>
          <w:sz w:val="20"/>
          <w:szCs w:val="20"/>
        </w:rPr>
        <w:t>W</w:t>
      </w:r>
      <w:r w:rsidR="00FF4501" w:rsidRPr="0033776A">
        <w:rPr>
          <w:rFonts w:ascii="Times New Roman" w:hAnsi="Times New Roman" w:cs="Times New Roman"/>
          <w:sz w:val="20"/>
          <w:szCs w:val="20"/>
        </w:rPr>
        <w:t>ater</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for</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H</w:t>
      </w:r>
      <w:r w:rsidRPr="0033776A">
        <w:rPr>
          <w:rFonts w:ascii="Times New Roman" w:hAnsi="Times New Roman" w:cs="Times New Roman"/>
          <w:sz w:val="20"/>
          <w:szCs w:val="20"/>
        </w:rPr>
        <w:t>uman</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Consumption</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Rural</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Communities</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using</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Solar</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R</w:t>
      </w:r>
      <w:r w:rsidRPr="0033776A">
        <w:rPr>
          <w:rFonts w:ascii="Times New Roman" w:hAnsi="Times New Roman" w:cs="Times New Roman"/>
          <w:sz w:val="20"/>
          <w:szCs w:val="20"/>
        </w:rPr>
        <w:t>adiation</w:t>
      </w:r>
      <w:r w:rsidR="00FF4501" w:rsidRPr="0033776A">
        <w:rPr>
          <w:rFonts w:ascii="Times New Roman" w:hAnsi="Times New Roman" w:cs="Times New Roman"/>
          <w:sz w:val="20"/>
          <w:szCs w:val="20"/>
        </w:rPr>
        <w:t>,</w:t>
      </w:r>
      <w:r w:rsidR="00B65376" w:rsidRPr="0033776A">
        <w:rPr>
          <w:rFonts w:ascii="Times New Roman" w:hAnsi="Times New Roman" w:cs="Times New Roman"/>
          <w:sz w:val="20"/>
          <w:szCs w:val="20"/>
        </w:rPr>
        <w:t xml:space="preserve"> </w:t>
      </w:r>
      <w:r w:rsidRPr="0033776A">
        <w:rPr>
          <w:rFonts w:ascii="Times New Roman" w:hAnsi="Times New Roman" w:cs="Times New Roman"/>
          <w:i/>
          <w:sz w:val="20"/>
          <w:szCs w:val="20"/>
        </w:rPr>
        <w:t>Elsevier</w:t>
      </w:r>
      <w:r w:rsidR="00B65376" w:rsidRPr="0033776A">
        <w:rPr>
          <w:rFonts w:ascii="Times New Roman" w:hAnsi="Times New Roman" w:cs="Times New Roman"/>
          <w:i/>
          <w:sz w:val="20"/>
          <w:szCs w:val="20"/>
        </w:rPr>
        <w:t xml:space="preserve"> </w:t>
      </w:r>
      <w:r w:rsidR="00FF4501" w:rsidRPr="0033776A">
        <w:rPr>
          <w:rFonts w:ascii="Times New Roman" w:hAnsi="Times New Roman" w:cs="Times New Roman"/>
          <w:i/>
          <w:sz w:val="20"/>
          <w:szCs w:val="20"/>
        </w:rPr>
        <w:t>Solar</w:t>
      </w:r>
      <w:r w:rsidR="00B65376" w:rsidRPr="0033776A">
        <w:rPr>
          <w:rFonts w:ascii="Times New Roman" w:hAnsi="Times New Roman" w:cs="Times New Roman"/>
          <w:i/>
          <w:sz w:val="20"/>
          <w:szCs w:val="20"/>
        </w:rPr>
        <w:t xml:space="preserve"> </w:t>
      </w:r>
      <w:r w:rsidR="00FF4501" w:rsidRPr="0033776A">
        <w:rPr>
          <w:rFonts w:ascii="Times New Roman" w:hAnsi="Times New Roman" w:cs="Times New Roman"/>
          <w:i/>
          <w:sz w:val="20"/>
          <w:szCs w:val="20"/>
        </w:rPr>
        <w:t>Energy</w:t>
      </w:r>
      <w:r w:rsidR="00FF4501" w:rsidRPr="0033776A">
        <w:rPr>
          <w:rFonts w:ascii="Times New Roman" w:hAnsi="Times New Roman" w:cs="Times New Roman"/>
          <w:sz w:val="20"/>
          <w:szCs w:val="20"/>
        </w:rPr>
        <w:t>,</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78,</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31-4</w:t>
      </w:r>
      <w:r w:rsidR="0033776A" w:rsidRPr="0033776A">
        <w:rPr>
          <w:rFonts w:ascii="Times New Roman" w:hAnsi="Times New Roman" w:cs="Times New Roman"/>
          <w:sz w:val="20"/>
          <w:szCs w:val="20"/>
        </w:rPr>
        <w:t>0</w:t>
      </w:r>
      <w:r w:rsidR="0033776A">
        <w:rPr>
          <w:rFonts w:ascii="Times New Roman" w:hAnsi="Times New Roman" w:cs="Times New Roman"/>
          <w:sz w:val="20"/>
          <w:szCs w:val="20"/>
        </w:rPr>
        <w:t>.</w:t>
      </w:r>
    </w:p>
    <w:p w:rsidR="0033776A" w:rsidRDefault="000851D3"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EPA.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US</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(2003).</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Environmental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Protection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Agency,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Safe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Drinking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Act.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EPA816-f-03-01</w:t>
      </w:r>
      <w:r w:rsidR="0033776A" w:rsidRPr="0033776A">
        <w:rPr>
          <w:rFonts w:ascii="Times New Roman" w:hAnsi="Times New Roman" w:cs="Times New Roman"/>
          <w:sz w:val="20"/>
          <w:szCs w:val="20"/>
        </w:rPr>
        <w:t>6</w:t>
      </w:r>
      <w:r w:rsidR="0033776A">
        <w:rPr>
          <w:rFonts w:ascii="Times New Roman" w:hAnsi="Times New Roman" w:cs="Times New Roman"/>
          <w:sz w:val="20"/>
          <w:szCs w:val="20"/>
        </w:rPr>
        <w:t>.</w:t>
      </w:r>
    </w:p>
    <w:p w:rsidR="0033776A" w:rsidRDefault="008B3C66"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Ibiene,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Agbeyi,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Okonko,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(2012).</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Bacteriological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Assessment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Drinking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Sources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Opuraja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Community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Delta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State.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Nature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Science10:</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36-4</w:t>
      </w:r>
      <w:r w:rsidR="0033776A" w:rsidRPr="0033776A">
        <w:rPr>
          <w:rFonts w:ascii="Times New Roman" w:hAnsi="Times New Roman" w:cs="Times New Roman"/>
          <w:sz w:val="20"/>
          <w:szCs w:val="20"/>
        </w:rPr>
        <w:t>1</w:t>
      </w:r>
      <w:r w:rsidR="0033776A">
        <w:rPr>
          <w:rFonts w:ascii="Times New Roman" w:hAnsi="Times New Roman" w:cs="Times New Roman"/>
          <w:sz w:val="20"/>
          <w:szCs w:val="20"/>
        </w:rPr>
        <w:t>.</w:t>
      </w:r>
    </w:p>
    <w:p w:rsidR="0033776A" w:rsidRDefault="00B00C14"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Kelvin,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Ronan,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Conroy,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H.</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Eunice,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U</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Pilars,</w:t>
      </w:r>
      <w:r w:rsidR="00B65376" w:rsidRPr="0033776A">
        <w:rPr>
          <w:rFonts w:ascii="Times New Roman" w:hAnsi="Times New Roman" w:cs="Times New Roman"/>
          <w:sz w:val="20"/>
          <w:szCs w:val="20"/>
        </w:rPr>
        <w:t xml:space="preserve"> F (</w:t>
      </w:r>
      <w:r w:rsidRPr="0033776A">
        <w:rPr>
          <w:rFonts w:ascii="Times New Roman" w:hAnsi="Times New Roman" w:cs="Times New Roman"/>
          <w:sz w:val="20"/>
          <w:szCs w:val="20"/>
        </w:rPr>
        <w:t>2012).</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Solar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Disinfection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(SODIS):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Review</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from</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Bench-top</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Roof-top.</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Journal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Hazardous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Materials,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4:</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13-1</w:t>
      </w:r>
      <w:r w:rsidR="0033776A" w:rsidRPr="0033776A">
        <w:rPr>
          <w:rFonts w:ascii="Times New Roman" w:hAnsi="Times New Roman" w:cs="Times New Roman"/>
          <w:sz w:val="20"/>
          <w:szCs w:val="20"/>
        </w:rPr>
        <w:t>8</w:t>
      </w:r>
      <w:r w:rsidR="0033776A">
        <w:rPr>
          <w:rFonts w:ascii="Times New Roman" w:hAnsi="Times New Roman" w:cs="Times New Roman"/>
          <w:sz w:val="20"/>
          <w:szCs w:val="20"/>
        </w:rPr>
        <w:t>.</w:t>
      </w:r>
    </w:p>
    <w:p w:rsidR="008B3C66" w:rsidRPr="0033776A" w:rsidRDefault="008B3C66" w:rsidP="0033776A">
      <w:pPr>
        <w:pStyle w:val="ListParagraph"/>
        <w:numPr>
          <w:ilvl w:val="0"/>
          <w:numId w:val="1"/>
        </w:numPr>
        <w:snapToGrid w:val="0"/>
        <w:spacing w:after="0" w:line="240" w:lineRule="auto"/>
        <w:ind w:firstLineChars="0"/>
        <w:jc w:val="both"/>
        <w:rPr>
          <w:rFonts w:ascii="Times New Roman" w:hAnsi="Times New Roman" w:cs="Times New Roman"/>
          <w:i/>
          <w:sz w:val="20"/>
          <w:szCs w:val="20"/>
        </w:rPr>
      </w:pPr>
      <w:r w:rsidRPr="0033776A">
        <w:rPr>
          <w:rFonts w:ascii="Times New Roman" w:hAnsi="Times New Roman" w:cs="Times New Roman"/>
          <w:sz w:val="20"/>
          <w:szCs w:val="20"/>
        </w:rPr>
        <w:t>Odeyemi,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Dada,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Akinjogunla,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J.</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Agunbiade,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(2011).</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Bacteriological,</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Physicochemical</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Mineral</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Analysis</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W</w:t>
      </w:r>
      <w:r w:rsidRPr="0033776A">
        <w:rPr>
          <w:rFonts w:ascii="Times New Roman" w:hAnsi="Times New Roman" w:cs="Times New Roman"/>
          <w:sz w:val="20"/>
          <w:szCs w:val="20"/>
        </w:rPr>
        <w:t>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used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Abattoirs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Ado-Ekiti,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Southwest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lastRenderedPageBreak/>
        <w:t>Nigeria.</w:t>
      </w:r>
      <w:r w:rsidR="00B65376" w:rsidRPr="0033776A">
        <w:rPr>
          <w:rFonts w:ascii="Times New Roman" w:hAnsi="Times New Roman" w:cs="Times New Roman"/>
          <w:sz w:val="20"/>
          <w:szCs w:val="20"/>
        </w:rPr>
        <w:t xml:space="preserve"> </w:t>
      </w:r>
      <w:r w:rsidRPr="0033776A">
        <w:rPr>
          <w:rFonts w:ascii="Times New Roman" w:hAnsi="Times New Roman" w:cs="Times New Roman"/>
          <w:i/>
          <w:sz w:val="20"/>
          <w:szCs w:val="20"/>
        </w:rPr>
        <w:t>Journal</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of</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Biotechnology</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Research,</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1</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14-20</w:t>
      </w:r>
      <w:r w:rsidRPr="0033776A">
        <w:rPr>
          <w:rFonts w:ascii="Times New Roman" w:hAnsi="Times New Roman" w:cs="Times New Roman"/>
          <w:i/>
          <w:sz w:val="20"/>
          <w:szCs w:val="20"/>
        </w:rPr>
        <w:t>.</w:t>
      </w:r>
    </w:p>
    <w:p w:rsidR="0033776A" w:rsidRDefault="001A24DA"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Ojo,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Ogedengbe,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K</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Ochieng,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(2011).</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Efficacy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Solar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Disinfection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for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Well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Case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study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Ibadan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slums,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Nigeria.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International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Journals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the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physical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Sciences,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6(5),</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1059-106</w:t>
      </w:r>
      <w:r w:rsidR="0033776A" w:rsidRPr="0033776A">
        <w:rPr>
          <w:rFonts w:ascii="Times New Roman" w:hAnsi="Times New Roman" w:cs="Times New Roman"/>
          <w:sz w:val="20"/>
          <w:szCs w:val="20"/>
        </w:rPr>
        <w:t>7</w:t>
      </w:r>
      <w:r w:rsidR="0033776A">
        <w:rPr>
          <w:rFonts w:ascii="Times New Roman" w:hAnsi="Times New Roman" w:cs="Times New Roman"/>
          <w:sz w:val="20"/>
          <w:szCs w:val="20"/>
        </w:rPr>
        <w:t>.</w:t>
      </w:r>
    </w:p>
    <w:p w:rsidR="008B3C66" w:rsidRPr="0033776A" w:rsidRDefault="008B3C66"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Omoleke,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(2004).</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Management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Environmental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Pollution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Ibadan</w:t>
      </w:r>
      <w:r w:rsidRPr="0033776A">
        <w:rPr>
          <w:rFonts w:ascii="Times New Roman" w:hAnsi="Times New Roman" w:cs="Times New Roman"/>
          <w:i/>
          <w:sz w:val="20"/>
          <w:szCs w:val="20"/>
        </w:rPr>
        <w:t>,</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African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city,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The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Challenges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Health</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hazard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facing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the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people</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governmen</w:t>
      </w:r>
      <w:r w:rsidR="00FF4501" w:rsidRPr="0033776A">
        <w:rPr>
          <w:rFonts w:ascii="Times New Roman" w:hAnsi="Times New Roman" w:cs="Times New Roman"/>
          <w:sz w:val="20"/>
          <w:szCs w:val="20"/>
        </w:rPr>
        <w:t>t,</w:t>
      </w:r>
      <w:r w:rsidR="00B65376" w:rsidRPr="0033776A">
        <w:rPr>
          <w:rFonts w:ascii="Times New Roman" w:hAnsi="Times New Roman" w:cs="Times New Roman"/>
          <w:sz w:val="20"/>
          <w:szCs w:val="20"/>
        </w:rPr>
        <w:t xml:space="preserve"> </w:t>
      </w:r>
      <w:r w:rsidRPr="0033776A">
        <w:rPr>
          <w:rFonts w:ascii="Times New Roman" w:hAnsi="Times New Roman" w:cs="Times New Roman"/>
          <w:i/>
          <w:sz w:val="20"/>
          <w:szCs w:val="20"/>
        </w:rPr>
        <w:t>Journal</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of</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Human</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Ecology,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4:</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211-218.</w:t>
      </w:r>
    </w:p>
    <w:p w:rsidR="00B65376" w:rsidRPr="0033776A" w:rsidRDefault="008B3C66" w:rsidP="0033776A">
      <w:pPr>
        <w:pStyle w:val="ListParagraph"/>
        <w:numPr>
          <w:ilvl w:val="0"/>
          <w:numId w:val="1"/>
        </w:numPr>
        <w:snapToGrid w:val="0"/>
        <w:spacing w:after="0" w:line="240" w:lineRule="auto"/>
        <w:ind w:firstLineChars="0"/>
        <w:jc w:val="both"/>
        <w:rPr>
          <w:rFonts w:ascii="Times New Roman" w:hAnsi="Times New Roman" w:cs="Times New Roman"/>
          <w:i/>
          <w:sz w:val="20"/>
          <w:szCs w:val="20"/>
        </w:rPr>
      </w:pPr>
      <w:r w:rsidRPr="0033776A">
        <w:rPr>
          <w:rFonts w:ascii="Times New Roman" w:hAnsi="Times New Roman" w:cs="Times New Roman"/>
          <w:sz w:val="20"/>
          <w:szCs w:val="20"/>
        </w:rPr>
        <w:t>Phiri,</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Mumba,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P.,</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Moyo.,</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B.</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H.</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Z.</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and</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Kadewa,</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(2005).</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Assessment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The</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Impact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Industrial</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Effluent</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Water</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Quality</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Receiving</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Rivers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in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Urban</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areas</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of</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Malawi</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International</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Journal</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of</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Science</w:t>
      </w:r>
      <w:r w:rsidR="00B65376" w:rsidRPr="0033776A">
        <w:rPr>
          <w:rFonts w:ascii="Times New Roman" w:hAnsi="Times New Roman" w:cs="Times New Roman"/>
          <w:i/>
          <w:sz w:val="20"/>
          <w:szCs w:val="20"/>
        </w:rPr>
        <w:t xml:space="preserve"> </w:t>
      </w:r>
      <w:r w:rsidRPr="0033776A">
        <w:rPr>
          <w:rFonts w:ascii="Times New Roman" w:hAnsi="Times New Roman" w:cs="Times New Roman"/>
          <w:i/>
          <w:sz w:val="20"/>
          <w:szCs w:val="20"/>
        </w:rPr>
        <w:t>Technology,</w:t>
      </w:r>
      <w:r w:rsidR="00B65376" w:rsidRPr="0033776A">
        <w:rPr>
          <w:rFonts w:ascii="Times New Roman" w:hAnsi="Times New Roman" w:cs="Times New Roman"/>
          <w:i/>
          <w:sz w:val="20"/>
          <w:szCs w:val="20"/>
        </w:rPr>
        <w:t xml:space="preserve"> </w:t>
      </w:r>
      <w:r w:rsidRPr="0033776A">
        <w:rPr>
          <w:rFonts w:ascii="Times New Roman" w:hAnsi="Times New Roman" w:cs="Times New Roman"/>
          <w:sz w:val="20"/>
          <w:szCs w:val="20"/>
        </w:rPr>
        <w:t>22:</w:t>
      </w:r>
      <w:r w:rsidR="00B65376" w:rsidRPr="0033776A">
        <w:rPr>
          <w:rFonts w:ascii="Times New Roman" w:hAnsi="Times New Roman" w:cs="Times New Roman"/>
          <w:sz w:val="20"/>
          <w:szCs w:val="20"/>
        </w:rPr>
        <w:t xml:space="preserve"> </w:t>
      </w:r>
      <w:r w:rsidRPr="0033776A">
        <w:rPr>
          <w:rFonts w:ascii="Times New Roman" w:hAnsi="Times New Roman" w:cs="Times New Roman"/>
          <w:sz w:val="20"/>
          <w:szCs w:val="20"/>
        </w:rPr>
        <w:t>237-244.</w:t>
      </w:r>
    </w:p>
    <w:p w:rsidR="0033776A" w:rsidRDefault="00B65376" w:rsidP="0033776A">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33776A">
        <w:rPr>
          <w:rFonts w:ascii="Times New Roman" w:hAnsi="Times New Roman" w:cs="Times New Roman"/>
          <w:sz w:val="20"/>
          <w:szCs w:val="20"/>
        </w:rPr>
        <w:t>W</w:t>
      </w:r>
      <w:r w:rsidR="000851D3" w:rsidRPr="0033776A">
        <w:rPr>
          <w:rFonts w:ascii="Times New Roman" w:hAnsi="Times New Roman" w:cs="Times New Roman"/>
          <w:sz w:val="20"/>
          <w:szCs w:val="20"/>
        </w:rPr>
        <w:t>orld</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Health</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Organization</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(WHO).</w:t>
      </w:r>
      <w:r w:rsidRPr="0033776A">
        <w:rPr>
          <w:rFonts w:ascii="Times New Roman" w:hAnsi="Times New Roman" w:cs="Times New Roman"/>
          <w:sz w:val="20"/>
          <w:szCs w:val="20"/>
        </w:rPr>
        <w:t xml:space="preserve"> </w:t>
      </w:r>
      <w:r w:rsidR="00FF4501" w:rsidRPr="0033776A">
        <w:rPr>
          <w:rFonts w:ascii="Times New Roman" w:hAnsi="Times New Roman" w:cs="Times New Roman"/>
          <w:sz w:val="20"/>
          <w:szCs w:val="20"/>
        </w:rPr>
        <w:t>(1993).</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Guidelines</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for</w:t>
      </w:r>
      <w:r w:rsidRPr="0033776A">
        <w:rPr>
          <w:rFonts w:ascii="Times New Roman" w:hAnsi="Times New Roman" w:cs="Times New Roman"/>
          <w:sz w:val="20"/>
          <w:szCs w:val="20"/>
        </w:rPr>
        <w:t xml:space="preserve"> </w:t>
      </w:r>
      <w:r w:rsidR="00851285" w:rsidRPr="0033776A">
        <w:rPr>
          <w:rFonts w:ascii="Times New Roman" w:hAnsi="Times New Roman" w:cs="Times New Roman"/>
          <w:sz w:val="20"/>
          <w:szCs w:val="20"/>
        </w:rPr>
        <w:t>D</w:t>
      </w:r>
      <w:r w:rsidR="000851D3" w:rsidRPr="0033776A">
        <w:rPr>
          <w:rFonts w:ascii="Times New Roman" w:hAnsi="Times New Roman" w:cs="Times New Roman"/>
          <w:sz w:val="20"/>
          <w:szCs w:val="20"/>
        </w:rPr>
        <w:t>rinking</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Water</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Quality,</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Volume</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1</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Recommendations,</w:t>
      </w:r>
      <w:r w:rsidRPr="0033776A">
        <w:rPr>
          <w:rFonts w:ascii="Times New Roman" w:hAnsi="Times New Roman" w:cs="Times New Roman"/>
          <w:sz w:val="20"/>
          <w:szCs w:val="20"/>
        </w:rPr>
        <w:t xml:space="preserve"> </w:t>
      </w:r>
      <w:r w:rsidR="000851D3" w:rsidRPr="0033776A">
        <w:rPr>
          <w:rFonts w:ascii="Times New Roman" w:hAnsi="Times New Roman" w:cs="Times New Roman"/>
          <w:i/>
          <w:sz w:val="20"/>
          <w:szCs w:val="20"/>
        </w:rPr>
        <w:t>Second</w:t>
      </w:r>
      <w:r w:rsidRPr="0033776A">
        <w:rPr>
          <w:rFonts w:ascii="Times New Roman" w:hAnsi="Times New Roman" w:cs="Times New Roman"/>
          <w:i/>
          <w:sz w:val="20"/>
          <w:szCs w:val="20"/>
        </w:rPr>
        <w:t xml:space="preserve"> </w:t>
      </w:r>
      <w:r w:rsidR="000851D3" w:rsidRPr="0033776A">
        <w:rPr>
          <w:rFonts w:ascii="Times New Roman" w:hAnsi="Times New Roman" w:cs="Times New Roman"/>
          <w:i/>
          <w:sz w:val="20"/>
          <w:szCs w:val="20"/>
        </w:rPr>
        <w:t>Edition,</w:t>
      </w:r>
      <w:r w:rsidRPr="0033776A">
        <w:rPr>
          <w:rFonts w:ascii="Times New Roman" w:hAnsi="Times New Roman" w:cs="Times New Roman"/>
          <w:sz w:val="20"/>
          <w:szCs w:val="20"/>
        </w:rPr>
        <w:t xml:space="preserve"> </w:t>
      </w:r>
      <w:r w:rsidR="000851D3" w:rsidRPr="0033776A">
        <w:rPr>
          <w:rFonts w:ascii="Times New Roman" w:hAnsi="Times New Roman" w:cs="Times New Roman"/>
          <w:sz w:val="20"/>
          <w:szCs w:val="20"/>
        </w:rPr>
        <w:t>Genev</w:t>
      </w:r>
      <w:r w:rsidR="0033776A" w:rsidRPr="0033776A">
        <w:rPr>
          <w:rFonts w:ascii="Times New Roman" w:hAnsi="Times New Roman" w:cs="Times New Roman"/>
          <w:sz w:val="20"/>
          <w:szCs w:val="20"/>
        </w:rPr>
        <w:t>a</w:t>
      </w:r>
      <w:r w:rsidR="0033776A">
        <w:rPr>
          <w:rFonts w:ascii="Times New Roman" w:hAnsi="Times New Roman" w:cs="Times New Roman"/>
          <w:sz w:val="20"/>
          <w:szCs w:val="20"/>
        </w:rPr>
        <w:t>.</w:t>
      </w:r>
    </w:p>
    <w:p w:rsidR="0033776A" w:rsidRDefault="0033776A" w:rsidP="0033776A">
      <w:pPr>
        <w:snapToGrid w:val="0"/>
        <w:spacing w:after="0" w:line="240" w:lineRule="auto"/>
        <w:ind w:firstLine="425"/>
        <w:jc w:val="both"/>
        <w:rPr>
          <w:rFonts w:ascii="Times New Roman" w:hAnsi="Times New Roman" w:cs="Times New Roman"/>
          <w:sz w:val="20"/>
          <w:szCs w:val="20"/>
        </w:rPr>
        <w:sectPr w:rsidR="0033776A" w:rsidSect="0033776A">
          <w:type w:val="continuous"/>
          <w:pgSz w:w="12240" w:h="15840" w:code="9"/>
          <w:pgMar w:top="1440" w:right="1440" w:bottom="1440" w:left="1440" w:header="720" w:footer="720" w:gutter="0"/>
          <w:cols w:num="2" w:space="550"/>
          <w:docGrid w:linePitch="360"/>
        </w:sectPr>
      </w:pPr>
    </w:p>
    <w:p w:rsidR="00B65376" w:rsidRDefault="0033776A" w:rsidP="0033776A">
      <w:pPr>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 </w:t>
      </w:r>
    </w:p>
    <w:p w:rsidR="0033776A" w:rsidRDefault="0033776A" w:rsidP="0033776A">
      <w:pPr>
        <w:snapToGrid w:val="0"/>
        <w:spacing w:after="0" w:line="240" w:lineRule="auto"/>
        <w:ind w:firstLine="425"/>
        <w:jc w:val="both"/>
        <w:rPr>
          <w:rFonts w:ascii="Times New Roman" w:hAnsi="Times New Roman" w:cs="Times New Roman"/>
          <w:sz w:val="20"/>
          <w:szCs w:val="20"/>
          <w:lang w:eastAsia="zh-CN"/>
        </w:rPr>
      </w:pPr>
    </w:p>
    <w:p w:rsidR="0033776A" w:rsidRPr="00B65376" w:rsidRDefault="0033776A" w:rsidP="0033776A">
      <w:pPr>
        <w:snapToGrid w:val="0"/>
        <w:spacing w:after="0" w:line="240" w:lineRule="auto"/>
        <w:ind w:firstLine="425"/>
        <w:jc w:val="both"/>
        <w:rPr>
          <w:rFonts w:ascii="Times New Roman" w:hAnsi="Times New Roman" w:cs="Times New Roman"/>
          <w:sz w:val="20"/>
          <w:szCs w:val="20"/>
          <w:lang w:eastAsia="zh-CN"/>
        </w:rPr>
      </w:pPr>
    </w:p>
    <w:p w:rsidR="000851D3" w:rsidRPr="00B65376" w:rsidRDefault="00B65376" w:rsidP="0033776A">
      <w:pPr>
        <w:snapToGrid w:val="0"/>
        <w:spacing w:after="0" w:line="240" w:lineRule="auto"/>
        <w:jc w:val="both"/>
        <w:rPr>
          <w:rFonts w:ascii="Times New Roman" w:hAnsi="Times New Roman" w:cs="Times New Roman"/>
          <w:sz w:val="20"/>
          <w:szCs w:val="20"/>
        </w:rPr>
      </w:pPr>
      <w:r w:rsidRPr="00B65376">
        <w:rPr>
          <w:rFonts w:ascii="Times New Roman" w:hAnsi="Times New Roman" w:cs="Times New Roman"/>
          <w:sz w:val="20"/>
          <w:szCs w:val="20"/>
        </w:rPr>
        <w:t>4/24/2020</w:t>
      </w:r>
    </w:p>
    <w:sectPr w:rsidR="000851D3" w:rsidRPr="00B65376" w:rsidSect="00B65376">
      <w:type w:val="continuous"/>
      <w:pgSz w:w="12240" w:h="15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49" w:rsidRDefault="00B61F49" w:rsidP="00851285">
      <w:pPr>
        <w:spacing w:after="0" w:line="240" w:lineRule="auto"/>
      </w:pPr>
      <w:r>
        <w:separator/>
      </w:r>
    </w:p>
  </w:endnote>
  <w:endnote w:type="continuationSeparator" w:id="0">
    <w:p w:rsidR="00B61F49" w:rsidRDefault="00B61F49" w:rsidP="0085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AD" w:rsidRPr="00681090" w:rsidRDefault="00C107AD" w:rsidP="00681090">
    <w:pPr>
      <w:spacing w:after="0" w:line="240" w:lineRule="auto"/>
      <w:jc w:val="center"/>
      <w:rPr>
        <w:rFonts w:ascii="Times New Roman" w:hAnsi="Times New Roman" w:cs="Times New Roman"/>
        <w:sz w:val="20"/>
      </w:rPr>
    </w:pPr>
    <w:r w:rsidRPr="00681090">
      <w:rPr>
        <w:rFonts w:ascii="Times New Roman" w:hAnsi="Times New Roman" w:cs="Times New Roman"/>
        <w:sz w:val="20"/>
      </w:rPr>
      <w:fldChar w:fldCharType="begin"/>
    </w:r>
    <w:r w:rsidRPr="00681090">
      <w:rPr>
        <w:rFonts w:ascii="Times New Roman" w:hAnsi="Times New Roman" w:cs="Times New Roman"/>
        <w:sz w:val="20"/>
      </w:rPr>
      <w:instrText xml:space="preserve"> page </w:instrText>
    </w:r>
    <w:r w:rsidRPr="00681090">
      <w:rPr>
        <w:rFonts w:ascii="Times New Roman" w:hAnsi="Times New Roman" w:cs="Times New Roman"/>
        <w:sz w:val="20"/>
      </w:rPr>
      <w:fldChar w:fldCharType="separate"/>
    </w:r>
    <w:r w:rsidR="00EE765D">
      <w:rPr>
        <w:rFonts w:ascii="Times New Roman" w:hAnsi="Times New Roman" w:cs="Times New Roman"/>
        <w:noProof/>
        <w:sz w:val="20"/>
      </w:rPr>
      <w:t>47</w:t>
    </w:r>
    <w:r w:rsidRPr="00681090">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49" w:rsidRDefault="00B61F49" w:rsidP="00851285">
      <w:pPr>
        <w:spacing w:after="0" w:line="240" w:lineRule="auto"/>
      </w:pPr>
      <w:r>
        <w:separator/>
      </w:r>
    </w:p>
  </w:footnote>
  <w:footnote w:type="continuationSeparator" w:id="0">
    <w:p w:rsidR="00B61F49" w:rsidRDefault="00B61F49" w:rsidP="00851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AD" w:rsidRPr="00CF7C32" w:rsidRDefault="00C107AD" w:rsidP="00CF7C32">
    <w:pPr>
      <w:pStyle w:val="Header"/>
      <w:rPr>
        <w:szCs w:val="20"/>
      </w:rPr>
    </w:pPr>
    <w:r>
      <w:rPr>
        <w:noProof/>
        <w:szCs w:val="20"/>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AD" w:rsidRPr="00681090" w:rsidRDefault="00C107AD" w:rsidP="0068109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81090">
      <w:rPr>
        <w:rFonts w:ascii="Times New Roman" w:hAnsi="Times New Roman" w:cs="Times New Roman" w:hint="eastAsia"/>
        <w:sz w:val="20"/>
        <w:szCs w:val="20"/>
      </w:rPr>
      <w:tab/>
    </w:r>
    <w:r w:rsidRPr="00681090">
      <w:rPr>
        <w:rFonts w:ascii="Times New Roman" w:hAnsi="Times New Roman" w:cs="Times New Roman"/>
        <w:sz w:val="20"/>
        <w:szCs w:val="20"/>
      </w:rPr>
      <w:t>New York Science Journal 20</w:t>
    </w:r>
    <w:r w:rsidRPr="00681090">
      <w:rPr>
        <w:rFonts w:ascii="Times New Roman" w:hAnsi="Times New Roman" w:cs="Times New Roman" w:hint="eastAsia"/>
        <w:sz w:val="20"/>
        <w:szCs w:val="20"/>
      </w:rPr>
      <w:t>20</w:t>
    </w:r>
    <w:r w:rsidRPr="00681090">
      <w:rPr>
        <w:rFonts w:ascii="Times New Roman" w:hAnsi="Times New Roman" w:cs="Times New Roman"/>
        <w:sz w:val="20"/>
        <w:szCs w:val="20"/>
      </w:rPr>
      <w:t>;</w:t>
    </w:r>
    <w:r w:rsidRPr="00681090">
      <w:rPr>
        <w:rFonts w:ascii="Times New Roman" w:hAnsi="Times New Roman" w:cs="Times New Roman" w:hint="eastAsia"/>
        <w:sz w:val="20"/>
        <w:szCs w:val="20"/>
      </w:rPr>
      <w:t>13</w:t>
    </w:r>
    <w:r w:rsidRPr="00681090">
      <w:rPr>
        <w:rFonts w:ascii="Times New Roman" w:hAnsi="Times New Roman" w:cs="Times New Roman"/>
        <w:sz w:val="20"/>
        <w:szCs w:val="20"/>
      </w:rPr>
      <w:t>(</w:t>
    </w:r>
    <w:r w:rsidRPr="00681090">
      <w:rPr>
        <w:rFonts w:ascii="Times New Roman" w:hAnsi="Times New Roman" w:cs="Times New Roman" w:hint="eastAsia"/>
        <w:sz w:val="20"/>
        <w:szCs w:val="20"/>
      </w:rPr>
      <w:t>4</w:t>
    </w:r>
    <w:r w:rsidRPr="00681090">
      <w:rPr>
        <w:rFonts w:ascii="Times New Roman" w:hAnsi="Times New Roman" w:cs="Times New Roman"/>
        <w:sz w:val="20"/>
        <w:szCs w:val="20"/>
      </w:rPr>
      <w:t>)</w:t>
    </w:r>
    <w:r w:rsidRPr="00681090">
      <w:rPr>
        <w:rFonts w:ascii="Times New Roman" w:hAnsi="Times New Roman" w:cs="Times New Roman"/>
        <w:iCs/>
        <w:sz w:val="20"/>
        <w:szCs w:val="20"/>
      </w:rPr>
      <w:t xml:space="preserve"> </w:t>
    </w:r>
    <w:r w:rsidRPr="00681090">
      <w:rPr>
        <w:rFonts w:ascii="Times New Roman" w:hAnsi="Times New Roman" w:cs="Times New Roman" w:hint="eastAsia"/>
        <w:iCs/>
        <w:sz w:val="20"/>
        <w:szCs w:val="20"/>
      </w:rPr>
      <w:tab/>
    </w:r>
    <w:r w:rsidRPr="00681090">
      <w:rPr>
        <w:rFonts w:ascii="Times New Roman" w:hAnsi="Times New Roman" w:cs="Times New Roman"/>
        <w:iCs/>
        <w:sz w:val="20"/>
        <w:szCs w:val="20"/>
      </w:rPr>
      <w:t xml:space="preserve">  </w:t>
    </w:r>
    <w:hyperlink r:id="rId1" w:history="1">
      <w:r w:rsidRPr="00681090">
        <w:rPr>
          <w:rStyle w:val="Hyperlink"/>
          <w:rFonts w:ascii="Times New Roman" w:hAnsi="Times New Roman" w:cs="Times New Roman"/>
          <w:color w:val="0000FF"/>
          <w:sz w:val="20"/>
          <w:szCs w:val="20"/>
        </w:rPr>
        <w:t>http://www.sciencepub.net/newyork</w:t>
      </w:r>
    </w:hyperlink>
    <w:r w:rsidRPr="00681090">
      <w:rPr>
        <w:rFonts w:ascii="Times New Roman" w:hAnsi="Times New Roman" w:cs="Times New Roman" w:hint="eastAsia"/>
        <w:sz w:val="20"/>
      </w:rPr>
      <w:t xml:space="preserve">   </w:t>
    </w:r>
    <w:r w:rsidRPr="00681090">
      <w:rPr>
        <w:rFonts w:ascii="Times New Roman" w:hAnsi="Times New Roman" w:cs="Times New Roman" w:hint="eastAsia"/>
        <w:b/>
        <w:i/>
        <w:color w:val="FF0000"/>
        <w:sz w:val="20"/>
        <w:szCs w:val="20"/>
        <w:bdr w:val="single" w:sz="4" w:space="0" w:color="FF0000"/>
      </w:rPr>
      <w:t>NYJ</w:t>
    </w:r>
  </w:p>
  <w:p w:rsidR="00C107AD" w:rsidRPr="00681090" w:rsidRDefault="00C107AD" w:rsidP="0068109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0B82"/>
    <w:multiLevelType w:val="hybridMultilevel"/>
    <w:tmpl w:val="65169BAE"/>
    <w:lvl w:ilvl="0" w:tplc="EE94426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2sDA0NQACI1MzAyUdpeDU4uLM/DyQAuNaAGgSVfgsAAAA"/>
  </w:docVars>
  <w:rsids>
    <w:rsidRoot w:val="00AC322E"/>
    <w:rsid w:val="00011E11"/>
    <w:rsid w:val="000851D3"/>
    <w:rsid w:val="00121B07"/>
    <w:rsid w:val="00127027"/>
    <w:rsid w:val="001A24DA"/>
    <w:rsid w:val="00251635"/>
    <w:rsid w:val="002523D2"/>
    <w:rsid w:val="00310A5C"/>
    <w:rsid w:val="003330FA"/>
    <w:rsid w:val="0033776A"/>
    <w:rsid w:val="00352EEF"/>
    <w:rsid w:val="00386820"/>
    <w:rsid w:val="003878C2"/>
    <w:rsid w:val="00457C60"/>
    <w:rsid w:val="00474884"/>
    <w:rsid w:val="004857AA"/>
    <w:rsid w:val="004F4275"/>
    <w:rsid w:val="00526A2E"/>
    <w:rsid w:val="00550580"/>
    <w:rsid w:val="00592FC7"/>
    <w:rsid w:val="005F65D8"/>
    <w:rsid w:val="006059B9"/>
    <w:rsid w:val="00670C26"/>
    <w:rsid w:val="00681090"/>
    <w:rsid w:val="006E2214"/>
    <w:rsid w:val="00723E2F"/>
    <w:rsid w:val="00740397"/>
    <w:rsid w:val="00771031"/>
    <w:rsid w:val="00783306"/>
    <w:rsid w:val="0078605B"/>
    <w:rsid w:val="007B1FDD"/>
    <w:rsid w:val="007E3C18"/>
    <w:rsid w:val="007E4D59"/>
    <w:rsid w:val="00811F72"/>
    <w:rsid w:val="008421EE"/>
    <w:rsid w:val="00851285"/>
    <w:rsid w:val="00860D58"/>
    <w:rsid w:val="008648C2"/>
    <w:rsid w:val="008946A0"/>
    <w:rsid w:val="008B3C66"/>
    <w:rsid w:val="008F180F"/>
    <w:rsid w:val="00954FC4"/>
    <w:rsid w:val="00993269"/>
    <w:rsid w:val="009D45F0"/>
    <w:rsid w:val="009D51B8"/>
    <w:rsid w:val="009E4E16"/>
    <w:rsid w:val="00A17633"/>
    <w:rsid w:val="00A42649"/>
    <w:rsid w:val="00AA7938"/>
    <w:rsid w:val="00AB15F8"/>
    <w:rsid w:val="00AB4E00"/>
    <w:rsid w:val="00AC0A77"/>
    <w:rsid w:val="00AC322E"/>
    <w:rsid w:val="00AD106C"/>
    <w:rsid w:val="00AE2A00"/>
    <w:rsid w:val="00B00C14"/>
    <w:rsid w:val="00B61F49"/>
    <w:rsid w:val="00B65376"/>
    <w:rsid w:val="00BA23A9"/>
    <w:rsid w:val="00C02BAB"/>
    <w:rsid w:val="00C107AD"/>
    <w:rsid w:val="00C3276D"/>
    <w:rsid w:val="00C44F5D"/>
    <w:rsid w:val="00C86CDC"/>
    <w:rsid w:val="00CA4FA0"/>
    <w:rsid w:val="00CC0073"/>
    <w:rsid w:val="00CF7C32"/>
    <w:rsid w:val="00D90169"/>
    <w:rsid w:val="00EE765D"/>
    <w:rsid w:val="00EF3BC4"/>
    <w:rsid w:val="00F10AF5"/>
    <w:rsid w:val="00F8056A"/>
    <w:rsid w:val="00F81A1D"/>
    <w:rsid w:val="00F90808"/>
    <w:rsid w:val="00FA672B"/>
    <w:rsid w:val="00FB31FA"/>
    <w:rsid w:val="00FC1796"/>
    <w:rsid w:val="00FF4501"/>
    <w:rsid w:val="00FF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22E"/>
    <w:rPr>
      <w:color w:val="0000FF" w:themeColor="hyperlink"/>
      <w:u w:val="single"/>
    </w:rPr>
  </w:style>
  <w:style w:type="paragraph" w:customStyle="1" w:styleId="msonospacing0">
    <w:name w:val="msonospacing"/>
    <w:rsid w:val="00011E11"/>
    <w:pPr>
      <w:spacing w:after="0" w:line="240" w:lineRule="auto"/>
    </w:pPr>
    <w:rPr>
      <w:rFonts w:ascii="Calibri" w:eastAsia="Times New Roman" w:hAnsi="Calibri" w:cs="Times New Roman"/>
    </w:rPr>
  </w:style>
  <w:style w:type="paragraph" w:styleId="NoSpacing">
    <w:name w:val="No Spacing"/>
    <w:uiPriority w:val="1"/>
    <w:qFormat/>
    <w:rsid w:val="00CA4FA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74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97"/>
    <w:rPr>
      <w:rFonts w:ascii="Tahoma" w:hAnsi="Tahoma" w:cs="Tahoma"/>
      <w:sz w:val="16"/>
      <w:szCs w:val="16"/>
    </w:rPr>
  </w:style>
  <w:style w:type="paragraph" w:styleId="Header">
    <w:name w:val="header"/>
    <w:basedOn w:val="Normal"/>
    <w:link w:val="HeaderChar"/>
    <w:uiPriority w:val="99"/>
    <w:unhideWhenUsed/>
    <w:rsid w:val="00851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85"/>
  </w:style>
  <w:style w:type="paragraph" w:styleId="Footer">
    <w:name w:val="footer"/>
    <w:basedOn w:val="Normal"/>
    <w:link w:val="FooterChar"/>
    <w:uiPriority w:val="99"/>
    <w:unhideWhenUsed/>
    <w:rsid w:val="00851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285"/>
  </w:style>
  <w:style w:type="paragraph" w:styleId="ListParagraph">
    <w:name w:val="List Paragraph"/>
    <w:basedOn w:val="Normal"/>
    <w:uiPriority w:val="34"/>
    <w:qFormat/>
    <w:rsid w:val="003377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22E"/>
    <w:rPr>
      <w:color w:val="0000FF" w:themeColor="hyperlink"/>
      <w:u w:val="single"/>
    </w:rPr>
  </w:style>
  <w:style w:type="paragraph" w:customStyle="1" w:styleId="msonospacing0">
    <w:name w:val="msonospacing"/>
    <w:rsid w:val="00011E11"/>
    <w:pPr>
      <w:spacing w:after="0" w:line="240" w:lineRule="auto"/>
    </w:pPr>
    <w:rPr>
      <w:rFonts w:ascii="Calibri" w:eastAsia="Times New Roman" w:hAnsi="Calibri" w:cs="Times New Roman"/>
    </w:rPr>
  </w:style>
  <w:style w:type="paragraph" w:styleId="NoSpacing">
    <w:name w:val="No Spacing"/>
    <w:uiPriority w:val="1"/>
    <w:qFormat/>
    <w:rsid w:val="00CA4FA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74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97"/>
    <w:rPr>
      <w:rFonts w:ascii="Tahoma" w:hAnsi="Tahoma" w:cs="Tahoma"/>
      <w:sz w:val="16"/>
      <w:szCs w:val="16"/>
    </w:rPr>
  </w:style>
  <w:style w:type="paragraph" w:styleId="Header">
    <w:name w:val="header"/>
    <w:basedOn w:val="Normal"/>
    <w:link w:val="HeaderChar"/>
    <w:uiPriority w:val="99"/>
    <w:unhideWhenUsed/>
    <w:rsid w:val="00851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85"/>
  </w:style>
  <w:style w:type="paragraph" w:styleId="Footer">
    <w:name w:val="footer"/>
    <w:basedOn w:val="Normal"/>
    <w:link w:val="FooterChar"/>
    <w:uiPriority w:val="99"/>
    <w:unhideWhenUsed/>
    <w:rsid w:val="00851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285"/>
  </w:style>
  <w:style w:type="paragraph" w:styleId="ListParagraph">
    <w:name w:val="List Paragraph"/>
    <w:basedOn w:val="Normal"/>
    <w:uiPriority w:val="34"/>
    <w:qFormat/>
    <w:rsid w:val="003377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67803">
      <w:bodyDiv w:val="1"/>
      <w:marLeft w:val="0"/>
      <w:marRight w:val="0"/>
      <w:marTop w:val="0"/>
      <w:marBottom w:val="0"/>
      <w:divBdr>
        <w:top w:val="none" w:sz="0" w:space="0" w:color="auto"/>
        <w:left w:val="none" w:sz="0" w:space="0" w:color="auto"/>
        <w:bottom w:val="none" w:sz="0" w:space="0" w:color="auto"/>
        <w:right w:val="none" w:sz="0" w:space="0" w:color="auto"/>
      </w:divBdr>
    </w:div>
    <w:div w:id="739332312">
      <w:bodyDiv w:val="1"/>
      <w:marLeft w:val="0"/>
      <w:marRight w:val="0"/>
      <w:marTop w:val="0"/>
      <w:marBottom w:val="0"/>
      <w:divBdr>
        <w:top w:val="none" w:sz="0" w:space="0" w:color="auto"/>
        <w:left w:val="none" w:sz="0" w:space="0" w:color="auto"/>
        <w:bottom w:val="none" w:sz="0" w:space="0" w:color="auto"/>
        <w:right w:val="none" w:sz="0" w:space="0" w:color="auto"/>
      </w:divBdr>
    </w:div>
    <w:div w:id="1496216187">
      <w:bodyDiv w:val="1"/>
      <w:marLeft w:val="0"/>
      <w:marRight w:val="0"/>
      <w:marTop w:val="0"/>
      <w:marBottom w:val="0"/>
      <w:divBdr>
        <w:top w:val="none" w:sz="0" w:space="0" w:color="auto"/>
        <w:left w:val="none" w:sz="0" w:space="0" w:color="auto"/>
        <w:bottom w:val="none" w:sz="0" w:space="0" w:color="auto"/>
        <w:right w:val="none" w:sz="0" w:space="0" w:color="auto"/>
      </w:divBdr>
    </w:div>
    <w:div w:id="1960799993">
      <w:bodyDiv w:val="1"/>
      <w:marLeft w:val="0"/>
      <w:marRight w:val="0"/>
      <w:marTop w:val="0"/>
      <w:marBottom w:val="0"/>
      <w:divBdr>
        <w:top w:val="none" w:sz="0" w:space="0" w:color="auto"/>
        <w:left w:val="none" w:sz="0" w:space="0" w:color="auto"/>
        <w:bottom w:val="none" w:sz="0" w:space="0" w:color="auto"/>
        <w:right w:val="none" w:sz="0" w:space="0" w:color="auto"/>
      </w:divBdr>
    </w:div>
    <w:div w:id="20596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30420.05"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sciencepub.net/newyor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biye.ibiene@uniport.edu.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IOMA%20NKEIRUKA\Desktop\M.Sc%20project\MIK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IOMA%20NKEIRUKA\Desktop\M.Sc%20project\MIK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IOMA%20NKEIRUKA\Desktop\M.Sc%20project\MIK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eal\Desktop\Desktop\M.Sc%20project\MIK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0725032252324742E-2"/>
          <c:y val="5.5267181408149429E-2"/>
          <c:w val="0.85717442946751199"/>
          <c:h val="0.72859237087804629"/>
        </c:manualLayout>
      </c:layout>
      <c:barChart>
        <c:barDir val="col"/>
        <c:grouping val="clustered"/>
        <c:varyColors val="0"/>
        <c:ser>
          <c:idx val="0"/>
          <c:order val="0"/>
          <c:tx>
            <c:strRef>
              <c:f>Sheet1!$A$207</c:f>
              <c:strCache>
                <c:ptCount val="1"/>
                <c:pt idx="0">
                  <c:v>0 hr</c:v>
                </c:pt>
              </c:strCache>
            </c:strRef>
          </c:tx>
          <c:invertIfNegative val="0"/>
          <c:cat>
            <c:strRef>
              <c:f>Sheet1!$B$206:$J$206</c:f>
              <c:strCache>
                <c:ptCount val="9"/>
                <c:pt idx="0">
                  <c:v>TCM 4L</c:v>
                </c:pt>
                <c:pt idx="1">
                  <c:v>TCA 4L</c:v>
                </c:pt>
                <c:pt idx="2">
                  <c:v>TCS 4L</c:v>
                </c:pt>
                <c:pt idx="3">
                  <c:v>TCM 10L</c:v>
                </c:pt>
                <c:pt idx="4">
                  <c:v>TCA 10L</c:v>
                </c:pt>
                <c:pt idx="5">
                  <c:v>TCS 10L</c:v>
                </c:pt>
                <c:pt idx="6">
                  <c:v>TCM 15L</c:v>
                </c:pt>
                <c:pt idx="7">
                  <c:v>TCA 15L</c:v>
                </c:pt>
                <c:pt idx="8">
                  <c:v>TCS 15L</c:v>
                </c:pt>
              </c:strCache>
            </c:strRef>
          </c:cat>
          <c:val>
            <c:numRef>
              <c:f>Sheet1!$B$207:$J$207</c:f>
              <c:numCache>
                <c:formatCode>General</c:formatCode>
                <c:ptCount val="9"/>
                <c:pt idx="0">
                  <c:v>3.3</c:v>
                </c:pt>
                <c:pt idx="1">
                  <c:v>3.3</c:v>
                </c:pt>
                <c:pt idx="2">
                  <c:v>3.3</c:v>
                </c:pt>
                <c:pt idx="3">
                  <c:v>3.3</c:v>
                </c:pt>
                <c:pt idx="4">
                  <c:v>3.3</c:v>
                </c:pt>
                <c:pt idx="5">
                  <c:v>3.3</c:v>
                </c:pt>
                <c:pt idx="6">
                  <c:v>3.3</c:v>
                </c:pt>
                <c:pt idx="7">
                  <c:v>3.3</c:v>
                </c:pt>
                <c:pt idx="8">
                  <c:v>3.3</c:v>
                </c:pt>
              </c:numCache>
            </c:numRef>
          </c:val>
          <c:extLst xmlns:c16r2="http://schemas.microsoft.com/office/drawing/2015/06/chart">
            <c:ext xmlns:c16="http://schemas.microsoft.com/office/drawing/2014/chart" uri="{C3380CC4-5D6E-409C-BE32-E72D297353CC}">
              <c16:uniqueId val="{00000000-93F4-4295-A66D-FF666CF25EAC}"/>
            </c:ext>
          </c:extLst>
        </c:ser>
        <c:ser>
          <c:idx val="1"/>
          <c:order val="1"/>
          <c:tx>
            <c:strRef>
              <c:f>Sheet1!$A$208</c:f>
              <c:strCache>
                <c:ptCount val="1"/>
                <c:pt idx="0">
                  <c:v>2 hr</c:v>
                </c:pt>
              </c:strCache>
            </c:strRef>
          </c:tx>
          <c:invertIfNegative val="0"/>
          <c:cat>
            <c:strRef>
              <c:f>Sheet1!$B$206:$J$206</c:f>
              <c:strCache>
                <c:ptCount val="9"/>
                <c:pt idx="0">
                  <c:v>TCM 4L</c:v>
                </c:pt>
                <c:pt idx="1">
                  <c:v>TCA 4L</c:v>
                </c:pt>
                <c:pt idx="2">
                  <c:v>TCS 4L</c:v>
                </c:pt>
                <c:pt idx="3">
                  <c:v>TCM 10L</c:v>
                </c:pt>
                <c:pt idx="4">
                  <c:v>TCA 10L</c:v>
                </c:pt>
                <c:pt idx="5">
                  <c:v>TCS 10L</c:v>
                </c:pt>
                <c:pt idx="6">
                  <c:v>TCM 15L</c:v>
                </c:pt>
                <c:pt idx="7">
                  <c:v>TCA 15L</c:v>
                </c:pt>
                <c:pt idx="8">
                  <c:v>TCS 15L</c:v>
                </c:pt>
              </c:strCache>
            </c:strRef>
          </c:cat>
          <c:val>
            <c:numRef>
              <c:f>Sheet1!$B$208:$J$208</c:f>
              <c:numCache>
                <c:formatCode>General</c:formatCode>
                <c:ptCount val="9"/>
                <c:pt idx="0">
                  <c:v>1.9000000000000001</c:v>
                </c:pt>
                <c:pt idx="1">
                  <c:v>2.5</c:v>
                </c:pt>
                <c:pt idx="2">
                  <c:v>2.9</c:v>
                </c:pt>
                <c:pt idx="3">
                  <c:v>2</c:v>
                </c:pt>
                <c:pt idx="4">
                  <c:v>2.7</c:v>
                </c:pt>
                <c:pt idx="5">
                  <c:v>3.2</c:v>
                </c:pt>
                <c:pt idx="6">
                  <c:v>2.1</c:v>
                </c:pt>
                <c:pt idx="7">
                  <c:v>3.2</c:v>
                </c:pt>
                <c:pt idx="8">
                  <c:v>3.2</c:v>
                </c:pt>
              </c:numCache>
            </c:numRef>
          </c:val>
          <c:extLst xmlns:c16r2="http://schemas.microsoft.com/office/drawing/2015/06/chart">
            <c:ext xmlns:c16="http://schemas.microsoft.com/office/drawing/2014/chart" uri="{C3380CC4-5D6E-409C-BE32-E72D297353CC}">
              <c16:uniqueId val="{00000001-93F4-4295-A66D-FF666CF25EAC}"/>
            </c:ext>
          </c:extLst>
        </c:ser>
        <c:ser>
          <c:idx val="2"/>
          <c:order val="2"/>
          <c:tx>
            <c:strRef>
              <c:f>Sheet1!$A$209</c:f>
              <c:strCache>
                <c:ptCount val="1"/>
                <c:pt idx="0">
                  <c:v>4 hr</c:v>
                </c:pt>
              </c:strCache>
            </c:strRef>
          </c:tx>
          <c:invertIfNegative val="0"/>
          <c:cat>
            <c:strRef>
              <c:f>Sheet1!$B$206:$J$206</c:f>
              <c:strCache>
                <c:ptCount val="9"/>
                <c:pt idx="0">
                  <c:v>TCM 4L</c:v>
                </c:pt>
                <c:pt idx="1">
                  <c:v>TCA 4L</c:v>
                </c:pt>
                <c:pt idx="2">
                  <c:v>TCS 4L</c:v>
                </c:pt>
                <c:pt idx="3">
                  <c:v>TCM 10L</c:v>
                </c:pt>
                <c:pt idx="4">
                  <c:v>TCA 10L</c:v>
                </c:pt>
                <c:pt idx="5">
                  <c:v>TCS 10L</c:v>
                </c:pt>
                <c:pt idx="6">
                  <c:v>TCM 15L</c:v>
                </c:pt>
                <c:pt idx="7">
                  <c:v>TCA 15L</c:v>
                </c:pt>
                <c:pt idx="8">
                  <c:v>TCS 15L</c:v>
                </c:pt>
              </c:strCache>
            </c:strRef>
          </c:cat>
          <c:val>
            <c:numRef>
              <c:f>Sheet1!$B$209:$J$209</c:f>
              <c:numCache>
                <c:formatCode>General</c:formatCode>
                <c:ptCount val="9"/>
                <c:pt idx="0">
                  <c:v>0.9</c:v>
                </c:pt>
                <c:pt idx="1">
                  <c:v>2.2000000000000002</c:v>
                </c:pt>
                <c:pt idx="2">
                  <c:v>2.4</c:v>
                </c:pt>
                <c:pt idx="3">
                  <c:v>1.3</c:v>
                </c:pt>
                <c:pt idx="4">
                  <c:v>2.5</c:v>
                </c:pt>
                <c:pt idx="5">
                  <c:v>2.7</c:v>
                </c:pt>
                <c:pt idx="6">
                  <c:v>1.5</c:v>
                </c:pt>
                <c:pt idx="7">
                  <c:v>2.7</c:v>
                </c:pt>
                <c:pt idx="8">
                  <c:v>2.7</c:v>
                </c:pt>
              </c:numCache>
            </c:numRef>
          </c:val>
          <c:extLst xmlns:c16r2="http://schemas.microsoft.com/office/drawing/2015/06/chart">
            <c:ext xmlns:c16="http://schemas.microsoft.com/office/drawing/2014/chart" uri="{C3380CC4-5D6E-409C-BE32-E72D297353CC}">
              <c16:uniqueId val="{00000002-93F4-4295-A66D-FF666CF25EAC}"/>
            </c:ext>
          </c:extLst>
        </c:ser>
        <c:ser>
          <c:idx val="3"/>
          <c:order val="3"/>
          <c:tx>
            <c:strRef>
              <c:f>Sheet1!$A$210</c:f>
              <c:strCache>
                <c:ptCount val="1"/>
                <c:pt idx="0">
                  <c:v>6hr</c:v>
                </c:pt>
              </c:strCache>
            </c:strRef>
          </c:tx>
          <c:invertIfNegative val="0"/>
          <c:cat>
            <c:strRef>
              <c:f>Sheet1!$B$206:$J$206</c:f>
              <c:strCache>
                <c:ptCount val="9"/>
                <c:pt idx="0">
                  <c:v>TCM 4L</c:v>
                </c:pt>
                <c:pt idx="1">
                  <c:v>TCA 4L</c:v>
                </c:pt>
                <c:pt idx="2">
                  <c:v>TCS 4L</c:v>
                </c:pt>
                <c:pt idx="3">
                  <c:v>TCM 10L</c:v>
                </c:pt>
                <c:pt idx="4">
                  <c:v>TCA 10L</c:v>
                </c:pt>
                <c:pt idx="5">
                  <c:v>TCS 10L</c:v>
                </c:pt>
                <c:pt idx="6">
                  <c:v>TCM 15L</c:v>
                </c:pt>
                <c:pt idx="7">
                  <c:v>TCA 15L</c:v>
                </c:pt>
                <c:pt idx="8">
                  <c:v>TCS 15L</c:v>
                </c:pt>
              </c:strCache>
            </c:strRef>
          </c:cat>
          <c:val>
            <c:numRef>
              <c:f>Sheet1!$B$210:$J$210</c:f>
              <c:numCache>
                <c:formatCode>General</c:formatCode>
                <c:ptCount val="9"/>
                <c:pt idx="0">
                  <c:v>0.70000000000000062</c:v>
                </c:pt>
                <c:pt idx="1">
                  <c:v>1.5</c:v>
                </c:pt>
                <c:pt idx="2">
                  <c:v>2</c:v>
                </c:pt>
                <c:pt idx="3">
                  <c:v>0.9</c:v>
                </c:pt>
                <c:pt idx="4">
                  <c:v>1.7000000000000008</c:v>
                </c:pt>
                <c:pt idx="5">
                  <c:v>2.5</c:v>
                </c:pt>
                <c:pt idx="6">
                  <c:v>1.2</c:v>
                </c:pt>
                <c:pt idx="7">
                  <c:v>2.4</c:v>
                </c:pt>
                <c:pt idx="8">
                  <c:v>2.2999999999999998</c:v>
                </c:pt>
              </c:numCache>
            </c:numRef>
          </c:val>
          <c:extLst xmlns:c16r2="http://schemas.microsoft.com/office/drawing/2015/06/chart">
            <c:ext xmlns:c16="http://schemas.microsoft.com/office/drawing/2014/chart" uri="{C3380CC4-5D6E-409C-BE32-E72D297353CC}">
              <c16:uniqueId val="{00000003-93F4-4295-A66D-FF666CF25EAC}"/>
            </c:ext>
          </c:extLst>
        </c:ser>
        <c:ser>
          <c:idx val="4"/>
          <c:order val="4"/>
          <c:tx>
            <c:strRef>
              <c:f>Sheet1!$A$211</c:f>
              <c:strCache>
                <c:ptCount val="1"/>
                <c:pt idx="0">
                  <c:v>8hr</c:v>
                </c:pt>
              </c:strCache>
            </c:strRef>
          </c:tx>
          <c:invertIfNegative val="0"/>
          <c:cat>
            <c:strRef>
              <c:f>Sheet1!$B$206:$J$206</c:f>
              <c:strCache>
                <c:ptCount val="9"/>
                <c:pt idx="0">
                  <c:v>TCM 4L</c:v>
                </c:pt>
                <c:pt idx="1">
                  <c:v>TCA 4L</c:v>
                </c:pt>
                <c:pt idx="2">
                  <c:v>TCS 4L</c:v>
                </c:pt>
                <c:pt idx="3">
                  <c:v>TCM 10L</c:v>
                </c:pt>
                <c:pt idx="4">
                  <c:v>TCA 10L</c:v>
                </c:pt>
                <c:pt idx="5">
                  <c:v>TCS 10L</c:v>
                </c:pt>
                <c:pt idx="6">
                  <c:v>TCM 15L</c:v>
                </c:pt>
                <c:pt idx="7">
                  <c:v>TCA 15L</c:v>
                </c:pt>
                <c:pt idx="8">
                  <c:v>TCS 15L</c:v>
                </c:pt>
              </c:strCache>
            </c:strRef>
          </c:cat>
          <c:val>
            <c:numRef>
              <c:f>Sheet1!$B$211:$J$211</c:f>
              <c:numCache>
                <c:formatCode>General</c:formatCode>
                <c:ptCount val="9"/>
                <c:pt idx="0">
                  <c:v>0</c:v>
                </c:pt>
                <c:pt idx="1">
                  <c:v>0</c:v>
                </c:pt>
                <c:pt idx="2">
                  <c:v>1.5</c:v>
                </c:pt>
                <c:pt idx="3">
                  <c:v>0</c:v>
                </c:pt>
                <c:pt idx="4">
                  <c:v>0</c:v>
                </c:pt>
                <c:pt idx="5">
                  <c:v>1.9000000000000001</c:v>
                </c:pt>
                <c:pt idx="6">
                  <c:v>0</c:v>
                </c:pt>
                <c:pt idx="7">
                  <c:v>0.9</c:v>
                </c:pt>
                <c:pt idx="8">
                  <c:v>2</c:v>
                </c:pt>
              </c:numCache>
            </c:numRef>
          </c:val>
          <c:extLst xmlns:c16r2="http://schemas.microsoft.com/office/drawing/2015/06/chart">
            <c:ext xmlns:c16="http://schemas.microsoft.com/office/drawing/2014/chart" uri="{C3380CC4-5D6E-409C-BE32-E72D297353CC}">
              <c16:uniqueId val="{00000004-93F4-4295-A66D-FF666CF25EAC}"/>
            </c:ext>
          </c:extLst>
        </c:ser>
        <c:dLbls>
          <c:showLegendKey val="0"/>
          <c:showVal val="0"/>
          <c:showCatName val="0"/>
          <c:showSerName val="0"/>
          <c:showPercent val="0"/>
          <c:showBubbleSize val="0"/>
        </c:dLbls>
        <c:gapWidth val="150"/>
        <c:axId val="157954048"/>
        <c:axId val="157955968"/>
      </c:barChart>
      <c:catAx>
        <c:axId val="157954048"/>
        <c:scaling>
          <c:orientation val="minMax"/>
        </c:scaling>
        <c:delete val="0"/>
        <c:axPos val="b"/>
        <c:title>
          <c:tx>
            <c:rich>
              <a:bodyPr/>
              <a:lstStyle/>
              <a:p>
                <a:pPr>
                  <a:defRPr lang="en-US"/>
                </a:pPr>
                <a:r>
                  <a:rPr lang="en-US"/>
                  <a:t>SAMPLE</a:t>
                </a:r>
                <a:r>
                  <a:rPr lang="en-US" baseline="0"/>
                  <a:t> VOLUMES</a:t>
                </a:r>
                <a:endParaRPr lang="en-US"/>
              </a:p>
            </c:rich>
          </c:tx>
          <c:overlay val="0"/>
        </c:title>
        <c:numFmt formatCode="General" sourceLinked="0"/>
        <c:majorTickMark val="none"/>
        <c:minorTickMark val="none"/>
        <c:tickLblPos val="nextTo"/>
        <c:txPr>
          <a:bodyPr/>
          <a:lstStyle/>
          <a:p>
            <a:pPr>
              <a:defRPr lang="en-US"/>
            </a:pPr>
            <a:endParaRPr lang="en-US"/>
          </a:p>
        </c:txPr>
        <c:crossAx val="157955968"/>
        <c:crosses val="autoZero"/>
        <c:auto val="1"/>
        <c:lblAlgn val="ctr"/>
        <c:lblOffset val="100"/>
        <c:noMultiLvlLbl val="0"/>
      </c:catAx>
      <c:valAx>
        <c:axId val="157955968"/>
        <c:scaling>
          <c:orientation val="minMax"/>
        </c:scaling>
        <c:delete val="0"/>
        <c:axPos val="l"/>
        <c:title>
          <c:tx>
            <c:rich>
              <a:bodyPr/>
              <a:lstStyle/>
              <a:p>
                <a:pPr>
                  <a:defRPr lang="en-US"/>
                </a:pPr>
                <a:r>
                  <a:rPr lang="en-US"/>
                  <a:t>Log</a:t>
                </a:r>
                <a:r>
                  <a:rPr lang="en-US" baseline="0"/>
                  <a:t> MPN INDEX/100ml</a:t>
                </a:r>
                <a:endParaRPr lang="en-US"/>
              </a:p>
            </c:rich>
          </c:tx>
          <c:overlay val="0"/>
        </c:title>
        <c:numFmt formatCode="General" sourceLinked="1"/>
        <c:majorTickMark val="out"/>
        <c:minorTickMark val="none"/>
        <c:tickLblPos val="nextTo"/>
        <c:txPr>
          <a:bodyPr/>
          <a:lstStyle/>
          <a:p>
            <a:pPr>
              <a:defRPr lang="en-US"/>
            </a:pPr>
            <a:endParaRPr lang="en-US"/>
          </a:p>
        </c:txPr>
        <c:crossAx val="157954048"/>
        <c:crosses val="autoZero"/>
        <c:crossBetween val="between"/>
      </c:valAx>
    </c:plotArea>
    <c:legend>
      <c:legendPos val="r"/>
      <c:layout>
        <c:manualLayout>
          <c:xMode val="edge"/>
          <c:yMode val="edge"/>
          <c:x val="0.92530059166333023"/>
          <c:y val="3.751675458043479E-2"/>
          <c:w val="6.8013350183078983E-2"/>
          <c:h val="0.29260377646968888"/>
        </c:manualLayout>
      </c:layout>
      <c:overlay val="0"/>
      <c:txPr>
        <a:bodyPr/>
        <a:lstStyle/>
        <a:p>
          <a:pPr>
            <a:defRPr lang="en-US"/>
          </a:pPr>
          <a:endParaRPr lang="en-US"/>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7270341207349084E-2"/>
          <c:y val="2.9669638402637689E-2"/>
          <c:w val="0.83212194629519143"/>
          <c:h val="0.70203744033035853"/>
        </c:manualLayout>
      </c:layout>
      <c:barChart>
        <c:barDir val="col"/>
        <c:grouping val="clustered"/>
        <c:varyColors val="0"/>
        <c:ser>
          <c:idx val="0"/>
          <c:order val="0"/>
          <c:tx>
            <c:strRef>
              <c:f>Sheet1!$A$218</c:f>
              <c:strCache>
                <c:ptCount val="1"/>
                <c:pt idx="0">
                  <c:v>0 hr</c:v>
                </c:pt>
              </c:strCache>
            </c:strRef>
          </c:tx>
          <c:invertIfNegative val="0"/>
          <c:cat>
            <c:strRef>
              <c:f>Sheet1!$B$217:$J$217</c:f>
              <c:strCache>
                <c:ptCount val="9"/>
                <c:pt idx="0">
                  <c:v>FCM 4L</c:v>
                </c:pt>
                <c:pt idx="1">
                  <c:v>FCA 4L</c:v>
                </c:pt>
                <c:pt idx="2">
                  <c:v>FCS 4L</c:v>
                </c:pt>
                <c:pt idx="3">
                  <c:v>FCM 10L</c:v>
                </c:pt>
                <c:pt idx="4">
                  <c:v>FCA 10L</c:v>
                </c:pt>
                <c:pt idx="5">
                  <c:v>FCS 10L</c:v>
                </c:pt>
                <c:pt idx="6">
                  <c:v>FCM 15L</c:v>
                </c:pt>
                <c:pt idx="7">
                  <c:v>FCA 15L</c:v>
                </c:pt>
                <c:pt idx="8">
                  <c:v>FCS 15L</c:v>
                </c:pt>
              </c:strCache>
            </c:strRef>
          </c:cat>
          <c:val>
            <c:numRef>
              <c:f>Sheet1!$B$218:$J$218</c:f>
              <c:numCache>
                <c:formatCode>General</c:formatCode>
                <c:ptCount val="9"/>
                <c:pt idx="0">
                  <c:v>1.7</c:v>
                </c:pt>
                <c:pt idx="1">
                  <c:v>1.7</c:v>
                </c:pt>
                <c:pt idx="2">
                  <c:v>1.7</c:v>
                </c:pt>
                <c:pt idx="3">
                  <c:v>1.7</c:v>
                </c:pt>
                <c:pt idx="4">
                  <c:v>1.7</c:v>
                </c:pt>
                <c:pt idx="5">
                  <c:v>1.7</c:v>
                </c:pt>
                <c:pt idx="6">
                  <c:v>1.8</c:v>
                </c:pt>
                <c:pt idx="7">
                  <c:v>1.8</c:v>
                </c:pt>
                <c:pt idx="8">
                  <c:v>1.8</c:v>
                </c:pt>
              </c:numCache>
            </c:numRef>
          </c:val>
          <c:extLst xmlns:c16r2="http://schemas.microsoft.com/office/drawing/2015/06/chart">
            <c:ext xmlns:c16="http://schemas.microsoft.com/office/drawing/2014/chart" uri="{C3380CC4-5D6E-409C-BE32-E72D297353CC}">
              <c16:uniqueId val="{00000000-0DC1-49E7-AAB3-66DDF5BB8479}"/>
            </c:ext>
          </c:extLst>
        </c:ser>
        <c:ser>
          <c:idx val="1"/>
          <c:order val="1"/>
          <c:tx>
            <c:strRef>
              <c:f>Sheet1!$A$219</c:f>
              <c:strCache>
                <c:ptCount val="1"/>
                <c:pt idx="0">
                  <c:v>2 hr</c:v>
                </c:pt>
              </c:strCache>
            </c:strRef>
          </c:tx>
          <c:invertIfNegative val="0"/>
          <c:cat>
            <c:strRef>
              <c:f>Sheet1!$B$217:$J$217</c:f>
              <c:strCache>
                <c:ptCount val="9"/>
                <c:pt idx="0">
                  <c:v>FCM 4L</c:v>
                </c:pt>
                <c:pt idx="1">
                  <c:v>FCA 4L</c:v>
                </c:pt>
                <c:pt idx="2">
                  <c:v>FCS 4L</c:v>
                </c:pt>
                <c:pt idx="3">
                  <c:v>FCM 10L</c:v>
                </c:pt>
                <c:pt idx="4">
                  <c:v>FCA 10L</c:v>
                </c:pt>
                <c:pt idx="5">
                  <c:v>FCS 10L</c:v>
                </c:pt>
                <c:pt idx="6">
                  <c:v>FCM 15L</c:v>
                </c:pt>
                <c:pt idx="7">
                  <c:v>FCA 15L</c:v>
                </c:pt>
                <c:pt idx="8">
                  <c:v>FCS 15L</c:v>
                </c:pt>
              </c:strCache>
            </c:strRef>
          </c:cat>
          <c:val>
            <c:numRef>
              <c:f>Sheet1!$B$219:$J$219</c:f>
              <c:numCache>
                <c:formatCode>General</c:formatCode>
                <c:ptCount val="9"/>
                <c:pt idx="0">
                  <c:v>1.5</c:v>
                </c:pt>
                <c:pt idx="1">
                  <c:v>1.6</c:v>
                </c:pt>
                <c:pt idx="2">
                  <c:v>1.6</c:v>
                </c:pt>
                <c:pt idx="3">
                  <c:v>1.6</c:v>
                </c:pt>
                <c:pt idx="4">
                  <c:v>1.7</c:v>
                </c:pt>
                <c:pt idx="5">
                  <c:v>1.7</c:v>
                </c:pt>
                <c:pt idx="6">
                  <c:v>1.6</c:v>
                </c:pt>
                <c:pt idx="7">
                  <c:v>1.7</c:v>
                </c:pt>
                <c:pt idx="8">
                  <c:v>1.7</c:v>
                </c:pt>
              </c:numCache>
            </c:numRef>
          </c:val>
          <c:extLst xmlns:c16r2="http://schemas.microsoft.com/office/drawing/2015/06/chart">
            <c:ext xmlns:c16="http://schemas.microsoft.com/office/drawing/2014/chart" uri="{C3380CC4-5D6E-409C-BE32-E72D297353CC}">
              <c16:uniqueId val="{00000001-0DC1-49E7-AAB3-66DDF5BB8479}"/>
            </c:ext>
          </c:extLst>
        </c:ser>
        <c:ser>
          <c:idx val="2"/>
          <c:order val="2"/>
          <c:tx>
            <c:strRef>
              <c:f>Sheet1!$A$220</c:f>
              <c:strCache>
                <c:ptCount val="1"/>
                <c:pt idx="0">
                  <c:v>4 hr</c:v>
                </c:pt>
              </c:strCache>
            </c:strRef>
          </c:tx>
          <c:invertIfNegative val="0"/>
          <c:cat>
            <c:strRef>
              <c:f>Sheet1!$B$217:$J$217</c:f>
              <c:strCache>
                <c:ptCount val="9"/>
                <c:pt idx="0">
                  <c:v>FCM 4L</c:v>
                </c:pt>
                <c:pt idx="1">
                  <c:v>FCA 4L</c:v>
                </c:pt>
                <c:pt idx="2">
                  <c:v>FCS 4L</c:v>
                </c:pt>
                <c:pt idx="3">
                  <c:v>FCM 10L</c:v>
                </c:pt>
                <c:pt idx="4">
                  <c:v>FCA 10L</c:v>
                </c:pt>
                <c:pt idx="5">
                  <c:v>FCS 10L</c:v>
                </c:pt>
                <c:pt idx="6">
                  <c:v>FCM 15L</c:v>
                </c:pt>
                <c:pt idx="7">
                  <c:v>FCA 15L</c:v>
                </c:pt>
                <c:pt idx="8">
                  <c:v>FCS 15L</c:v>
                </c:pt>
              </c:strCache>
            </c:strRef>
          </c:cat>
          <c:val>
            <c:numRef>
              <c:f>Sheet1!$B$220:$J$220</c:f>
              <c:numCache>
                <c:formatCode>General</c:formatCode>
                <c:ptCount val="9"/>
                <c:pt idx="0">
                  <c:v>1.3</c:v>
                </c:pt>
                <c:pt idx="1">
                  <c:v>1.6</c:v>
                </c:pt>
                <c:pt idx="2">
                  <c:v>1.5</c:v>
                </c:pt>
                <c:pt idx="3">
                  <c:v>1.5</c:v>
                </c:pt>
                <c:pt idx="4">
                  <c:v>1.6</c:v>
                </c:pt>
                <c:pt idx="5">
                  <c:v>1.6</c:v>
                </c:pt>
                <c:pt idx="6">
                  <c:v>1.4</c:v>
                </c:pt>
                <c:pt idx="7">
                  <c:v>1.7</c:v>
                </c:pt>
                <c:pt idx="8">
                  <c:v>1.6</c:v>
                </c:pt>
              </c:numCache>
            </c:numRef>
          </c:val>
          <c:extLst xmlns:c16r2="http://schemas.microsoft.com/office/drawing/2015/06/chart">
            <c:ext xmlns:c16="http://schemas.microsoft.com/office/drawing/2014/chart" uri="{C3380CC4-5D6E-409C-BE32-E72D297353CC}">
              <c16:uniqueId val="{00000002-0DC1-49E7-AAB3-66DDF5BB8479}"/>
            </c:ext>
          </c:extLst>
        </c:ser>
        <c:ser>
          <c:idx val="3"/>
          <c:order val="3"/>
          <c:tx>
            <c:strRef>
              <c:f>Sheet1!$A$221</c:f>
              <c:strCache>
                <c:ptCount val="1"/>
                <c:pt idx="0">
                  <c:v>6hr</c:v>
                </c:pt>
              </c:strCache>
            </c:strRef>
          </c:tx>
          <c:invertIfNegative val="0"/>
          <c:cat>
            <c:strRef>
              <c:f>Sheet1!$B$217:$J$217</c:f>
              <c:strCache>
                <c:ptCount val="9"/>
                <c:pt idx="0">
                  <c:v>FCM 4L</c:v>
                </c:pt>
                <c:pt idx="1">
                  <c:v>FCA 4L</c:v>
                </c:pt>
                <c:pt idx="2">
                  <c:v>FCS 4L</c:v>
                </c:pt>
                <c:pt idx="3">
                  <c:v>FCM 10L</c:v>
                </c:pt>
                <c:pt idx="4">
                  <c:v>FCA 10L</c:v>
                </c:pt>
                <c:pt idx="5">
                  <c:v>FCS 10L</c:v>
                </c:pt>
                <c:pt idx="6">
                  <c:v>FCM 15L</c:v>
                </c:pt>
                <c:pt idx="7">
                  <c:v>FCA 15L</c:v>
                </c:pt>
                <c:pt idx="8">
                  <c:v>FCS 15L</c:v>
                </c:pt>
              </c:strCache>
            </c:strRef>
          </c:cat>
          <c:val>
            <c:numRef>
              <c:f>Sheet1!$B$221:$J$221</c:f>
              <c:numCache>
                <c:formatCode>General</c:formatCode>
                <c:ptCount val="9"/>
                <c:pt idx="0">
                  <c:v>1</c:v>
                </c:pt>
                <c:pt idx="1">
                  <c:v>1.4</c:v>
                </c:pt>
                <c:pt idx="2">
                  <c:v>1.4</c:v>
                </c:pt>
                <c:pt idx="3">
                  <c:v>1.3</c:v>
                </c:pt>
                <c:pt idx="4">
                  <c:v>1.5</c:v>
                </c:pt>
                <c:pt idx="5">
                  <c:v>1.5</c:v>
                </c:pt>
                <c:pt idx="6">
                  <c:v>1.3</c:v>
                </c:pt>
                <c:pt idx="7">
                  <c:v>1.6</c:v>
                </c:pt>
                <c:pt idx="8">
                  <c:v>1.6</c:v>
                </c:pt>
              </c:numCache>
            </c:numRef>
          </c:val>
          <c:extLst xmlns:c16r2="http://schemas.microsoft.com/office/drawing/2015/06/chart">
            <c:ext xmlns:c16="http://schemas.microsoft.com/office/drawing/2014/chart" uri="{C3380CC4-5D6E-409C-BE32-E72D297353CC}">
              <c16:uniqueId val="{00000003-0DC1-49E7-AAB3-66DDF5BB8479}"/>
            </c:ext>
          </c:extLst>
        </c:ser>
        <c:ser>
          <c:idx val="4"/>
          <c:order val="4"/>
          <c:tx>
            <c:strRef>
              <c:f>Sheet1!$A$222</c:f>
              <c:strCache>
                <c:ptCount val="1"/>
                <c:pt idx="0">
                  <c:v>8hr</c:v>
                </c:pt>
              </c:strCache>
            </c:strRef>
          </c:tx>
          <c:invertIfNegative val="0"/>
          <c:cat>
            <c:strRef>
              <c:f>Sheet1!$B$217:$J$217</c:f>
              <c:strCache>
                <c:ptCount val="9"/>
                <c:pt idx="0">
                  <c:v>FCM 4L</c:v>
                </c:pt>
                <c:pt idx="1">
                  <c:v>FCA 4L</c:v>
                </c:pt>
                <c:pt idx="2">
                  <c:v>FCS 4L</c:v>
                </c:pt>
                <c:pt idx="3">
                  <c:v>FCM 10L</c:v>
                </c:pt>
                <c:pt idx="4">
                  <c:v>FCA 10L</c:v>
                </c:pt>
                <c:pt idx="5">
                  <c:v>FCS 10L</c:v>
                </c:pt>
                <c:pt idx="6">
                  <c:v>FCM 15L</c:v>
                </c:pt>
                <c:pt idx="7">
                  <c:v>FCA 15L</c:v>
                </c:pt>
                <c:pt idx="8">
                  <c:v>FCS 15L</c:v>
                </c:pt>
              </c:strCache>
            </c:strRef>
          </c:cat>
          <c:val>
            <c:numRef>
              <c:f>Sheet1!$B$222:$J$222</c:f>
              <c:numCache>
                <c:formatCode>General</c:formatCode>
                <c:ptCount val="9"/>
                <c:pt idx="0">
                  <c:v>0</c:v>
                </c:pt>
                <c:pt idx="1">
                  <c:v>0</c:v>
                </c:pt>
                <c:pt idx="2">
                  <c:v>0.8</c:v>
                </c:pt>
                <c:pt idx="3">
                  <c:v>0</c:v>
                </c:pt>
                <c:pt idx="4">
                  <c:v>0</c:v>
                </c:pt>
                <c:pt idx="5">
                  <c:v>0</c:v>
                </c:pt>
                <c:pt idx="6">
                  <c:v>0</c:v>
                </c:pt>
                <c:pt idx="7">
                  <c:v>1.3</c:v>
                </c:pt>
                <c:pt idx="8">
                  <c:v>1.3</c:v>
                </c:pt>
              </c:numCache>
            </c:numRef>
          </c:val>
          <c:extLst xmlns:c16r2="http://schemas.microsoft.com/office/drawing/2015/06/chart">
            <c:ext xmlns:c16="http://schemas.microsoft.com/office/drawing/2014/chart" uri="{C3380CC4-5D6E-409C-BE32-E72D297353CC}">
              <c16:uniqueId val="{00000004-0DC1-49E7-AAB3-66DDF5BB8479}"/>
            </c:ext>
          </c:extLst>
        </c:ser>
        <c:dLbls>
          <c:showLegendKey val="0"/>
          <c:showVal val="0"/>
          <c:showCatName val="0"/>
          <c:showSerName val="0"/>
          <c:showPercent val="0"/>
          <c:showBubbleSize val="0"/>
        </c:dLbls>
        <c:gapWidth val="150"/>
        <c:axId val="157985792"/>
        <c:axId val="157996160"/>
      </c:barChart>
      <c:catAx>
        <c:axId val="157985792"/>
        <c:scaling>
          <c:orientation val="minMax"/>
        </c:scaling>
        <c:delete val="0"/>
        <c:axPos val="b"/>
        <c:title>
          <c:tx>
            <c:rich>
              <a:bodyPr/>
              <a:lstStyle/>
              <a:p>
                <a:pPr>
                  <a:defRPr lang="en-US"/>
                </a:pPr>
                <a:r>
                  <a:rPr lang="en-US" sz="1200">
                    <a:latin typeface="Times New Roman" pitchFamily="18" charset="0"/>
                    <a:cs typeface="Times New Roman" pitchFamily="18" charset="0"/>
                  </a:rPr>
                  <a:t>SAMPLE</a:t>
                </a:r>
                <a:r>
                  <a:rPr lang="en-US" sz="1200" baseline="0">
                    <a:latin typeface="Times New Roman" pitchFamily="18" charset="0"/>
                    <a:cs typeface="Times New Roman" pitchFamily="18" charset="0"/>
                  </a:rPr>
                  <a:t> VOLUMES</a:t>
                </a:r>
                <a:endParaRPr lang="en-US" sz="120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lang="en-US"/>
            </a:pPr>
            <a:endParaRPr lang="en-US"/>
          </a:p>
        </c:txPr>
        <c:crossAx val="157996160"/>
        <c:crosses val="autoZero"/>
        <c:auto val="1"/>
        <c:lblAlgn val="ctr"/>
        <c:lblOffset val="100"/>
        <c:noMultiLvlLbl val="0"/>
      </c:catAx>
      <c:valAx>
        <c:axId val="157996160"/>
        <c:scaling>
          <c:orientation val="minMax"/>
        </c:scaling>
        <c:delete val="0"/>
        <c:axPos val="l"/>
        <c:title>
          <c:tx>
            <c:rich>
              <a:bodyPr/>
              <a:lstStyle/>
              <a:p>
                <a:pPr>
                  <a:defRPr lang="en-US"/>
                </a:pPr>
                <a:r>
                  <a:rPr lang="en-US" sz="1200">
                    <a:latin typeface="Times New Roman" pitchFamily="18" charset="0"/>
                    <a:cs typeface="Times New Roman" pitchFamily="18" charset="0"/>
                  </a:rPr>
                  <a:t>Log cfu/ml</a:t>
                </a:r>
              </a:p>
            </c:rich>
          </c:tx>
          <c:overlay val="0"/>
        </c:title>
        <c:numFmt formatCode="General" sourceLinked="1"/>
        <c:majorTickMark val="out"/>
        <c:minorTickMark val="none"/>
        <c:tickLblPos val="nextTo"/>
        <c:txPr>
          <a:bodyPr/>
          <a:lstStyle/>
          <a:p>
            <a:pPr>
              <a:defRPr lang="en-US"/>
            </a:pPr>
            <a:endParaRPr lang="en-US"/>
          </a:p>
        </c:txPr>
        <c:crossAx val="157985792"/>
        <c:crosses val="autoZero"/>
        <c:crossBetween val="between"/>
      </c:valAx>
    </c:plotArea>
    <c:legend>
      <c:legendPos val="r"/>
      <c:layout>
        <c:manualLayout>
          <c:xMode val="edge"/>
          <c:yMode val="edge"/>
          <c:x val="0.93177608216929564"/>
          <c:y val="3.8219272177755413E-2"/>
          <c:w val="6.8223917830704722E-2"/>
          <c:h val="0.31892272324925502"/>
        </c:manualLayout>
      </c:layout>
      <c:overlay val="0"/>
      <c:txPr>
        <a:bodyPr/>
        <a:lstStyle/>
        <a:p>
          <a:pPr>
            <a:defRPr lang="en-US"/>
          </a:pPr>
          <a:endParaRPr lang="en-US"/>
        </a:p>
      </c:txPr>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9702537182852934E-2"/>
          <c:y val="5.8207655393190262E-2"/>
          <c:w val="0.88513745877919103"/>
          <c:h val="0.71870115049849992"/>
        </c:manualLayout>
      </c:layout>
      <c:barChart>
        <c:barDir val="col"/>
        <c:grouping val="clustered"/>
        <c:varyColors val="0"/>
        <c:ser>
          <c:idx val="0"/>
          <c:order val="0"/>
          <c:tx>
            <c:strRef>
              <c:f>Sheet1!$A$250</c:f>
              <c:strCache>
                <c:ptCount val="1"/>
                <c:pt idx="0">
                  <c:v>0 hr</c:v>
                </c:pt>
              </c:strCache>
            </c:strRef>
          </c:tx>
          <c:invertIfNegative val="0"/>
          <c:cat>
            <c:strRef>
              <c:f>Sheet1!$B$249:$J$249</c:f>
              <c:strCache>
                <c:ptCount val="9"/>
                <c:pt idx="0">
                  <c:v>TCHBCM 4L</c:v>
                </c:pt>
                <c:pt idx="1">
                  <c:v>TCHBCA 4L</c:v>
                </c:pt>
                <c:pt idx="2">
                  <c:v>TCHBCS 4L</c:v>
                </c:pt>
                <c:pt idx="3">
                  <c:v>TCHBCM 10L</c:v>
                </c:pt>
                <c:pt idx="4">
                  <c:v>TCHBCA 10L</c:v>
                </c:pt>
                <c:pt idx="5">
                  <c:v>TCHBCS 10L</c:v>
                </c:pt>
                <c:pt idx="6">
                  <c:v>TCHBCM 15L</c:v>
                </c:pt>
                <c:pt idx="7">
                  <c:v>TCHBCA 15L</c:v>
                </c:pt>
                <c:pt idx="8">
                  <c:v>TCHBCS 15L</c:v>
                </c:pt>
              </c:strCache>
            </c:strRef>
          </c:cat>
          <c:val>
            <c:numRef>
              <c:f>Sheet1!$B$250:$J$250</c:f>
              <c:numCache>
                <c:formatCode>General</c:formatCode>
                <c:ptCount val="9"/>
                <c:pt idx="0">
                  <c:v>2.2000000000000002</c:v>
                </c:pt>
                <c:pt idx="1">
                  <c:v>2.2000000000000002</c:v>
                </c:pt>
                <c:pt idx="2">
                  <c:v>2.2000000000000002</c:v>
                </c:pt>
                <c:pt idx="3">
                  <c:v>2.2000000000000002</c:v>
                </c:pt>
                <c:pt idx="4">
                  <c:v>2.2000000000000002</c:v>
                </c:pt>
                <c:pt idx="5">
                  <c:v>2.2000000000000002</c:v>
                </c:pt>
                <c:pt idx="6">
                  <c:v>2.2999999999999998</c:v>
                </c:pt>
                <c:pt idx="7">
                  <c:v>2.2999999999999998</c:v>
                </c:pt>
                <c:pt idx="8">
                  <c:v>2.2999999999999998</c:v>
                </c:pt>
              </c:numCache>
            </c:numRef>
          </c:val>
          <c:extLst xmlns:c16r2="http://schemas.microsoft.com/office/drawing/2015/06/chart">
            <c:ext xmlns:c16="http://schemas.microsoft.com/office/drawing/2014/chart" uri="{C3380CC4-5D6E-409C-BE32-E72D297353CC}">
              <c16:uniqueId val="{00000000-FE31-4CE0-8CC5-E21245384FE7}"/>
            </c:ext>
          </c:extLst>
        </c:ser>
        <c:ser>
          <c:idx val="1"/>
          <c:order val="1"/>
          <c:tx>
            <c:strRef>
              <c:f>Sheet1!$A$251</c:f>
              <c:strCache>
                <c:ptCount val="1"/>
                <c:pt idx="0">
                  <c:v>2 hr</c:v>
                </c:pt>
              </c:strCache>
            </c:strRef>
          </c:tx>
          <c:invertIfNegative val="0"/>
          <c:cat>
            <c:strRef>
              <c:f>Sheet1!$B$249:$J$249</c:f>
              <c:strCache>
                <c:ptCount val="9"/>
                <c:pt idx="0">
                  <c:v>TCHBCM 4L</c:v>
                </c:pt>
                <c:pt idx="1">
                  <c:v>TCHBCA 4L</c:v>
                </c:pt>
                <c:pt idx="2">
                  <c:v>TCHBCS 4L</c:v>
                </c:pt>
                <c:pt idx="3">
                  <c:v>TCHBCM 10L</c:v>
                </c:pt>
                <c:pt idx="4">
                  <c:v>TCHBCA 10L</c:v>
                </c:pt>
                <c:pt idx="5">
                  <c:v>TCHBCS 10L</c:v>
                </c:pt>
                <c:pt idx="6">
                  <c:v>TCHBCM 15L</c:v>
                </c:pt>
                <c:pt idx="7">
                  <c:v>TCHBCA 15L</c:v>
                </c:pt>
                <c:pt idx="8">
                  <c:v>TCHBCS 15L</c:v>
                </c:pt>
              </c:strCache>
            </c:strRef>
          </c:cat>
          <c:val>
            <c:numRef>
              <c:f>Sheet1!$B$251:$J$251</c:f>
              <c:numCache>
                <c:formatCode>General</c:formatCode>
                <c:ptCount val="9"/>
                <c:pt idx="0">
                  <c:v>1.7</c:v>
                </c:pt>
                <c:pt idx="1">
                  <c:v>2.1</c:v>
                </c:pt>
                <c:pt idx="2">
                  <c:v>2.2000000000000002</c:v>
                </c:pt>
                <c:pt idx="3">
                  <c:v>1.9000000000000001</c:v>
                </c:pt>
                <c:pt idx="4">
                  <c:v>2</c:v>
                </c:pt>
                <c:pt idx="5">
                  <c:v>2.2000000000000002</c:v>
                </c:pt>
                <c:pt idx="6">
                  <c:v>2</c:v>
                </c:pt>
                <c:pt idx="7">
                  <c:v>2.2000000000000002</c:v>
                </c:pt>
                <c:pt idx="8">
                  <c:v>2.2000000000000002</c:v>
                </c:pt>
              </c:numCache>
            </c:numRef>
          </c:val>
          <c:extLst xmlns:c16r2="http://schemas.microsoft.com/office/drawing/2015/06/chart">
            <c:ext xmlns:c16="http://schemas.microsoft.com/office/drawing/2014/chart" uri="{C3380CC4-5D6E-409C-BE32-E72D297353CC}">
              <c16:uniqueId val="{00000001-FE31-4CE0-8CC5-E21245384FE7}"/>
            </c:ext>
          </c:extLst>
        </c:ser>
        <c:ser>
          <c:idx val="2"/>
          <c:order val="2"/>
          <c:tx>
            <c:strRef>
              <c:f>Sheet1!$A$252</c:f>
              <c:strCache>
                <c:ptCount val="1"/>
                <c:pt idx="0">
                  <c:v>4 hr</c:v>
                </c:pt>
              </c:strCache>
            </c:strRef>
          </c:tx>
          <c:invertIfNegative val="0"/>
          <c:cat>
            <c:strRef>
              <c:f>Sheet1!$B$249:$J$249</c:f>
              <c:strCache>
                <c:ptCount val="9"/>
                <c:pt idx="0">
                  <c:v>TCHBCM 4L</c:v>
                </c:pt>
                <c:pt idx="1">
                  <c:v>TCHBCA 4L</c:v>
                </c:pt>
                <c:pt idx="2">
                  <c:v>TCHBCS 4L</c:v>
                </c:pt>
                <c:pt idx="3">
                  <c:v>TCHBCM 10L</c:v>
                </c:pt>
                <c:pt idx="4">
                  <c:v>TCHBCA 10L</c:v>
                </c:pt>
                <c:pt idx="5">
                  <c:v>TCHBCS 10L</c:v>
                </c:pt>
                <c:pt idx="6">
                  <c:v>TCHBCM 15L</c:v>
                </c:pt>
                <c:pt idx="7">
                  <c:v>TCHBCA 15L</c:v>
                </c:pt>
                <c:pt idx="8">
                  <c:v>TCHBCS 15L</c:v>
                </c:pt>
              </c:strCache>
            </c:strRef>
          </c:cat>
          <c:val>
            <c:numRef>
              <c:f>Sheet1!$B$252:$J$252</c:f>
              <c:numCache>
                <c:formatCode>General</c:formatCode>
                <c:ptCount val="9"/>
                <c:pt idx="0">
                  <c:v>1.5</c:v>
                </c:pt>
                <c:pt idx="1">
                  <c:v>1.8</c:v>
                </c:pt>
                <c:pt idx="2">
                  <c:v>2</c:v>
                </c:pt>
                <c:pt idx="3">
                  <c:v>1.6</c:v>
                </c:pt>
                <c:pt idx="4">
                  <c:v>1.8</c:v>
                </c:pt>
                <c:pt idx="5">
                  <c:v>2.2000000000000002</c:v>
                </c:pt>
                <c:pt idx="6">
                  <c:v>1.7</c:v>
                </c:pt>
                <c:pt idx="7">
                  <c:v>2.1</c:v>
                </c:pt>
                <c:pt idx="8">
                  <c:v>2.2000000000000002</c:v>
                </c:pt>
              </c:numCache>
            </c:numRef>
          </c:val>
          <c:extLst xmlns:c16r2="http://schemas.microsoft.com/office/drawing/2015/06/chart">
            <c:ext xmlns:c16="http://schemas.microsoft.com/office/drawing/2014/chart" uri="{C3380CC4-5D6E-409C-BE32-E72D297353CC}">
              <c16:uniqueId val="{00000002-FE31-4CE0-8CC5-E21245384FE7}"/>
            </c:ext>
          </c:extLst>
        </c:ser>
        <c:ser>
          <c:idx val="3"/>
          <c:order val="3"/>
          <c:tx>
            <c:strRef>
              <c:f>Sheet1!$A$253</c:f>
              <c:strCache>
                <c:ptCount val="1"/>
                <c:pt idx="0">
                  <c:v>6hr</c:v>
                </c:pt>
              </c:strCache>
            </c:strRef>
          </c:tx>
          <c:invertIfNegative val="0"/>
          <c:cat>
            <c:strRef>
              <c:f>Sheet1!$B$249:$J$249</c:f>
              <c:strCache>
                <c:ptCount val="9"/>
                <c:pt idx="0">
                  <c:v>TCHBCM 4L</c:v>
                </c:pt>
                <c:pt idx="1">
                  <c:v>TCHBCA 4L</c:v>
                </c:pt>
                <c:pt idx="2">
                  <c:v>TCHBCS 4L</c:v>
                </c:pt>
                <c:pt idx="3">
                  <c:v>TCHBCM 10L</c:v>
                </c:pt>
                <c:pt idx="4">
                  <c:v>TCHBCA 10L</c:v>
                </c:pt>
                <c:pt idx="5">
                  <c:v>TCHBCS 10L</c:v>
                </c:pt>
                <c:pt idx="6">
                  <c:v>TCHBCM 15L</c:v>
                </c:pt>
                <c:pt idx="7">
                  <c:v>TCHBCA 15L</c:v>
                </c:pt>
                <c:pt idx="8">
                  <c:v>TCHBCS 15L</c:v>
                </c:pt>
              </c:strCache>
            </c:strRef>
          </c:cat>
          <c:val>
            <c:numRef>
              <c:f>Sheet1!$B$253:$J$253</c:f>
              <c:numCache>
                <c:formatCode>General</c:formatCode>
                <c:ptCount val="9"/>
                <c:pt idx="0">
                  <c:v>1.3</c:v>
                </c:pt>
                <c:pt idx="1">
                  <c:v>1.5</c:v>
                </c:pt>
                <c:pt idx="2">
                  <c:v>1.9000000000000001</c:v>
                </c:pt>
                <c:pt idx="3">
                  <c:v>1.6</c:v>
                </c:pt>
                <c:pt idx="4">
                  <c:v>1.6</c:v>
                </c:pt>
                <c:pt idx="5">
                  <c:v>2</c:v>
                </c:pt>
                <c:pt idx="6">
                  <c:v>1.6</c:v>
                </c:pt>
                <c:pt idx="7">
                  <c:v>1.9000000000000001</c:v>
                </c:pt>
                <c:pt idx="8">
                  <c:v>2</c:v>
                </c:pt>
              </c:numCache>
            </c:numRef>
          </c:val>
          <c:extLst xmlns:c16r2="http://schemas.microsoft.com/office/drawing/2015/06/chart">
            <c:ext xmlns:c16="http://schemas.microsoft.com/office/drawing/2014/chart" uri="{C3380CC4-5D6E-409C-BE32-E72D297353CC}">
              <c16:uniqueId val="{00000003-FE31-4CE0-8CC5-E21245384FE7}"/>
            </c:ext>
          </c:extLst>
        </c:ser>
        <c:ser>
          <c:idx val="4"/>
          <c:order val="4"/>
          <c:tx>
            <c:strRef>
              <c:f>Sheet1!$A$254</c:f>
              <c:strCache>
                <c:ptCount val="1"/>
                <c:pt idx="0">
                  <c:v>8hr</c:v>
                </c:pt>
              </c:strCache>
            </c:strRef>
          </c:tx>
          <c:invertIfNegative val="0"/>
          <c:cat>
            <c:strRef>
              <c:f>Sheet1!$B$249:$J$249</c:f>
              <c:strCache>
                <c:ptCount val="9"/>
                <c:pt idx="0">
                  <c:v>TCHBCM 4L</c:v>
                </c:pt>
                <c:pt idx="1">
                  <c:v>TCHBCA 4L</c:v>
                </c:pt>
                <c:pt idx="2">
                  <c:v>TCHBCS 4L</c:v>
                </c:pt>
                <c:pt idx="3">
                  <c:v>TCHBCM 10L</c:v>
                </c:pt>
                <c:pt idx="4">
                  <c:v>TCHBCA 10L</c:v>
                </c:pt>
                <c:pt idx="5">
                  <c:v>TCHBCS 10L</c:v>
                </c:pt>
                <c:pt idx="6">
                  <c:v>TCHBCM 15L</c:v>
                </c:pt>
                <c:pt idx="7">
                  <c:v>TCHBCA 15L</c:v>
                </c:pt>
                <c:pt idx="8">
                  <c:v>TCHBCS 15L</c:v>
                </c:pt>
              </c:strCache>
            </c:strRef>
          </c:cat>
          <c:val>
            <c:numRef>
              <c:f>Sheet1!$B$254:$J$254</c:f>
              <c:numCache>
                <c:formatCode>General</c:formatCode>
                <c:ptCount val="9"/>
                <c:pt idx="0">
                  <c:v>1.2</c:v>
                </c:pt>
                <c:pt idx="1">
                  <c:v>1.3</c:v>
                </c:pt>
                <c:pt idx="2">
                  <c:v>1.5</c:v>
                </c:pt>
                <c:pt idx="3">
                  <c:v>1.4</c:v>
                </c:pt>
                <c:pt idx="4">
                  <c:v>1.3</c:v>
                </c:pt>
                <c:pt idx="5">
                  <c:v>1.8</c:v>
                </c:pt>
                <c:pt idx="6">
                  <c:v>1.3</c:v>
                </c:pt>
                <c:pt idx="7">
                  <c:v>1.6</c:v>
                </c:pt>
                <c:pt idx="8">
                  <c:v>1.8</c:v>
                </c:pt>
              </c:numCache>
            </c:numRef>
          </c:val>
          <c:extLst xmlns:c16r2="http://schemas.microsoft.com/office/drawing/2015/06/chart">
            <c:ext xmlns:c16="http://schemas.microsoft.com/office/drawing/2014/chart" uri="{C3380CC4-5D6E-409C-BE32-E72D297353CC}">
              <c16:uniqueId val="{00000004-FE31-4CE0-8CC5-E21245384FE7}"/>
            </c:ext>
          </c:extLst>
        </c:ser>
        <c:dLbls>
          <c:showLegendKey val="0"/>
          <c:showVal val="0"/>
          <c:showCatName val="0"/>
          <c:showSerName val="0"/>
          <c:showPercent val="0"/>
          <c:showBubbleSize val="0"/>
        </c:dLbls>
        <c:gapWidth val="150"/>
        <c:axId val="158038272"/>
        <c:axId val="158048640"/>
      </c:barChart>
      <c:catAx>
        <c:axId val="158038272"/>
        <c:scaling>
          <c:orientation val="minMax"/>
        </c:scaling>
        <c:delete val="0"/>
        <c:axPos val="b"/>
        <c:title>
          <c:tx>
            <c:rich>
              <a:bodyPr/>
              <a:lstStyle/>
              <a:p>
                <a:pPr>
                  <a:defRPr lang="en-US"/>
                </a:pPr>
                <a:r>
                  <a:rPr lang="en-US" sz="1200">
                    <a:latin typeface="Times New Roman" pitchFamily="18" charset="0"/>
                    <a:cs typeface="Times New Roman" pitchFamily="18" charset="0"/>
                  </a:rPr>
                  <a:t>SAMPLE</a:t>
                </a:r>
                <a:r>
                  <a:rPr lang="en-US" sz="1200" baseline="0">
                    <a:latin typeface="Times New Roman" pitchFamily="18" charset="0"/>
                    <a:cs typeface="Times New Roman" pitchFamily="18" charset="0"/>
                  </a:rPr>
                  <a:t> VOLUMES</a:t>
                </a:r>
                <a:endParaRPr lang="en-US" sz="120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lang="en-US"/>
            </a:pPr>
            <a:endParaRPr lang="en-US"/>
          </a:p>
        </c:txPr>
        <c:crossAx val="158048640"/>
        <c:crosses val="autoZero"/>
        <c:auto val="1"/>
        <c:lblAlgn val="ctr"/>
        <c:lblOffset val="100"/>
        <c:noMultiLvlLbl val="0"/>
      </c:catAx>
      <c:valAx>
        <c:axId val="158048640"/>
        <c:scaling>
          <c:orientation val="minMax"/>
        </c:scaling>
        <c:delete val="0"/>
        <c:axPos val="l"/>
        <c:title>
          <c:tx>
            <c:rich>
              <a:bodyPr/>
              <a:lstStyle/>
              <a:p>
                <a:pPr>
                  <a:defRPr lang="en-US"/>
                </a:pPr>
                <a:r>
                  <a:rPr lang="en-US" sz="1200">
                    <a:latin typeface="Times New Roman" pitchFamily="18" charset="0"/>
                    <a:cs typeface="Times New Roman" pitchFamily="18" charset="0"/>
                  </a:rPr>
                  <a:t>Log</a:t>
                </a:r>
                <a:r>
                  <a:rPr lang="en-US" sz="1200" baseline="0">
                    <a:latin typeface="Times New Roman" pitchFamily="18" charset="0"/>
                    <a:cs typeface="Times New Roman" pitchFamily="18" charset="0"/>
                  </a:rPr>
                  <a:t> cfu/ml</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158038272"/>
        <c:crosses val="autoZero"/>
        <c:crossBetween val="between"/>
      </c:valAx>
    </c:plotArea>
    <c:legend>
      <c:legendPos val="r"/>
      <c:layout>
        <c:manualLayout>
          <c:xMode val="edge"/>
          <c:yMode val="edge"/>
          <c:x val="0.92868503087599485"/>
          <c:y val="2.7933476278851892E-2"/>
          <c:w val="6.7908553033336524E-2"/>
          <c:h val="0.27586442998973765"/>
        </c:manualLayout>
      </c:layout>
      <c:overlay val="0"/>
      <c:txPr>
        <a:bodyPr/>
        <a:lstStyle/>
        <a:p>
          <a:pPr>
            <a:defRPr lang="en-US"/>
          </a:pPr>
          <a:endParaRPr lang="en-US"/>
        </a:p>
      </c:txPr>
    </c:legend>
    <c:plotVisOnly val="1"/>
    <c:dispBlanksAs val="gap"/>
    <c:showDLblsOverMax val="0"/>
  </c:chart>
  <c:spPr>
    <a:ln>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1825747391332175E-2"/>
          <c:y val="7.5755999250094033E-2"/>
          <c:w val="0.86280791882721952"/>
          <c:h val="0.75161783348511579"/>
        </c:manualLayout>
      </c:layout>
      <c:barChart>
        <c:barDir val="col"/>
        <c:grouping val="clustered"/>
        <c:varyColors val="0"/>
        <c:ser>
          <c:idx val="1"/>
          <c:order val="1"/>
          <c:tx>
            <c:strRef>
              <c:f>Sheet1!$C$406</c:f>
              <c:strCache>
                <c:ptCount val="1"/>
                <c:pt idx="0">
                  <c:v>TEMPERATURE AFTER EXPOSURE</c:v>
                </c:pt>
              </c:strCache>
            </c:strRef>
          </c:tx>
          <c:invertIfNegative val="0"/>
          <c:cat>
            <c:strRef>
              <c:f>Sheet1!$A$407:$A$409</c:f>
              <c:strCache>
                <c:ptCount val="3"/>
                <c:pt idx="0">
                  <c:v>4L</c:v>
                </c:pt>
                <c:pt idx="1">
                  <c:v>10L</c:v>
                </c:pt>
                <c:pt idx="2">
                  <c:v>15L</c:v>
                </c:pt>
              </c:strCache>
            </c:strRef>
          </c:cat>
          <c:val>
            <c:numRef>
              <c:f>Sheet1!$C$407:$C$409</c:f>
              <c:numCache>
                <c:formatCode>General</c:formatCode>
                <c:ptCount val="3"/>
                <c:pt idx="0">
                  <c:v>53</c:v>
                </c:pt>
                <c:pt idx="1">
                  <c:v>44</c:v>
                </c:pt>
                <c:pt idx="2">
                  <c:v>45</c:v>
                </c:pt>
              </c:numCache>
            </c:numRef>
          </c:val>
          <c:extLst xmlns:c16r2="http://schemas.microsoft.com/office/drawing/2015/06/chart">
            <c:ext xmlns:c16="http://schemas.microsoft.com/office/drawing/2014/chart" uri="{C3380CC4-5D6E-409C-BE32-E72D297353CC}">
              <c16:uniqueId val="{00000000-6037-422C-9ED2-8028985D4EE1}"/>
            </c:ext>
          </c:extLst>
        </c:ser>
        <c:dLbls>
          <c:showLegendKey val="0"/>
          <c:showVal val="0"/>
          <c:showCatName val="0"/>
          <c:showSerName val="0"/>
          <c:showPercent val="0"/>
          <c:showBubbleSize val="0"/>
        </c:dLbls>
        <c:gapWidth val="86"/>
        <c:overlap val="-53"/>
        <c:axId val="158186496"/>
        <c:axId val="158188672"/>
      </c:barChart>
      <c:barChart>
        <c:barDir val="col"/>
        <c:grouping val="clustered"/>
        <c:varyColors val="0"/>
        <c:ser>
          <c:idx val="0"/>
          <c:order val="0"/>
          <c:tx>
            <c:strRef>
              <c:f>Sheet1!$B$406</c:f>
              <c:strCache>
                <c:ptCount val="1"/>
                <c:pt idx="0">
                  <c:v>TEMPERATURE BEFORE EXPOSSURE</c:v>
                </c:pt>
              </c:strCache>
            </c:strRef>
          </c:tx>
          <c:invertIfNegative val="0"/>
          <c:cat>
            <c:strRef>
              <c:f>Sheet1!$A$407:$A$409</c:f>
              <c:strCache>
                <c:ptCount val="3"/>
                <c:pt idx="0">
                  <c:v>4L</c:v>
                </c:pt>
                <c:pt idx="1">
                  <c:v>10L</c:v>
                </c:pt>
                <c:pt idx="2">
                  <c:v>15L</c:v>
                </c:pt>
              </c:strCache>
            </c:strRef>
          </c:cat>
          <c:val>
            <c:numRef>
              <c:f>Sheet1!$B$407:$B$409</c:f>
              <c:numCache>
                <c:formatCode>General</c:formatCode>
                <c:ptCount val="3"/>
                <c:pt idx="0">
                  <c:v>28</c:v>
                </c:pt>
                <c:pt idx="1">
                  <c:v>28</c:v>
                </c:pt>
                <c:pt idx="2">
                  <c:v>28</c:v>
                </c:pt>
              </c:numCache>
            </c:numRef>
          </c:val>
          <c:extLst xmlns:c16r2="http://schemas.microsoft.com/office/drawing/2015/06/chart">
            <c:ext xmlns:c16="http://schemas.microsoft.com/office/drawing/2014/chart" uri="{C3380CC4-5D6E-409C-BE32-E72D297353CC}">
              <c16:uniqueId val="{00000001-6037-422C-9ED2-8028985D4EE1}"/>
            </c:ext>
          </c:extLst>
        </c:ser>
        <c:dLbls>
          <c:showLegendKey val="0"/>
          <c:showVal val="0"/>
          <c:showCatName val="0"/>
          <c:showSerName val="0"/>
          <c:showPercent val="0"/>
          <c:showBubbleSize val="0"/>
        </c:dLbls>
        <c:gapWidth val="176"/>
        <c:overlap val="-11"/>
        <c:axId val="157815168"/>
        <c:axId val="158190208"/>
      </c:barChart>
      <c:catAx>
        <c:axId val="158186496"/>
        <c:scaling>
          <c:orientation val="minMax"/>
        </c:scaling>
        <c:delete val="0"/>
        <c:axPos val="b"/>
        <c:title>
          <c:tx>
            <c:rich>
              <a:bodyPr/>
              <a:lstStyle/>
              <a:p>
                <a:pPr>
                  <a:defRPr lang="en-US"/>
                </a:pPr>
                <a:r>
                  <a:rPr lang="en-US"/>
                  <a:t>SAMPLE VOLUME</a:t>
                </a:r>
              </a:p>
            </c:rich>
          </c:tx>
          <c:overlay val="0"/>
        </c:title>
        <c:numFmt formatCode="General" sourceLinked="0"/>
        <c:majorTickMark val="none"/>
        <c:minorTickMark val="none"/>
        <c:tickLblPos val="nextTo"/>
        <c:txPr>
          <a:bodyPr/>
          <a:lstStyle/>
          <a:p>
            <a:pPr>
              <a:defRPr lang="en-US"/>
            </a:pPr>
            <a:endParaRPr lang="en-US"/>
          </a:p>
        </c:txPr>
        <c:crossAx val="158188672"/>
        <c:crosses val="autoZero"/>
        <c:auto val="1"/>
        <c:lblAlgn val="ctr"/>
        <c:lblOffset val="100"/>
        <c:noMultiLvlLbl val="0"/>
      </c:catAx>
      <c:valAx>
        <c:axId val="158188672"/>
        <c:scaling>
          <c:orientation val="minMax"/>
        </c:scaling>
        <c:delete val="0"/>
        <c:axPos val="l"/>
        <c:numFmt formatCode="General" sourceLinked="1"/>
        <c:majorTickMark val="out"/>
        <c:minorTickMark val="none"/>
        <c:tickLblPos val="nextTo"/>
        <c:txPr>
          <a:bodyPr/>
          <a:lstStyle/>
          <a:p>
            <a:pPr>
              <a:defRPr lang="en-US"/>
            </a:pPr>
            <a:endParaRPr lang="en-US"/>
          </a:p>
        </c:txPr>
        <c:crossAx val="158186496"/>
        <c:crosses val="autoZero"/>
        <c:crossBetween val="between"/>
      </c:valAx>
      <c:valAx>
        <c:axId val="158190208"/>
        <c:scaling>
          <c:orientation val="minMax"/>
        </c:scaling>
        <c:delete val="0"/>
        <c:axPos val="r"/>
        <c:numFmt formatCode="General" sourceLinked="1"/>
        <c:majorTickMark val="out"/>
        <c:minorTickMark val="none"/>
        <c:tickLblPos val="nextTo"/>
        <c:txPr>
          <a:bodyPr/>
          <a:lstStyle/>
          <a:p>
            <a:pPr>
              <a:defRPr lang="en-US"/>
            </a:pPr>
            <a:endParaRPr lang="en-US"/>
          </a:p>
        </c:txPr>
        <c:crossAx val="157815168"/>
        <c:crosses val="max"/>
        <c:crossBetween val="between"/>
      </c:valAx>
      <c:catAx>
        <c:axId val="157815168"/>
        <c:scaling>
          <c:orientation val="minMax"/>
        </c:scaling>
        <c:delete val="1"/>
        <c:axPos val="b"/>
        <c:numFmt formatCode="General" sourceLinked="1"/>
        <c:majorTickMark val="out"/>
        <c:minorTickMark val="none"/>
        <c:tickLblPos val="none"/>
        <c:crossAx val="158190208"/>
        <c:crosses val="autoZero"/>
        <c:auto val="1"/>
        <c:lblAlgn val="ctr"/>
        <c:lblOffset val="100"/>
        <c:noMultiLvlLbl val="0"/>
      </c:catAx>
    </c:plotArea>
    <c:legend>
      <c:legendPos val="r"/>
      <c:layout>
        <c:manualLayout>
          <c:xMode val="edge"/>
          <c:yMode val="edge"/>
          <c:x val="0.31837270341207458"/>
          <c:y val="1.18673336273967E-2"/>
          <c:w val="0.57877611189012335"/>
          <c:h val="0.11776561898773508"/>
        </c:manualLayout>
      </c:layout>
      <c:overlay val="0"/>
      <c:txPr>
        <a:bodyPr/>
        <a:lstStyle/>
        <a:p>
          <a:pPr>
            <a:defRPr lang="en-US"/>
          </a:pPr>
          <a:endParaRPr lang="en-US"/>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37CE-AAB7-4ED6-B78A-740091A1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PHMM</cp:lastModifiedBy>
  <cp:revision>2</cp:revision>
  <dcterms:created xsi:type="dcterms:W3CDTF">2020-05-03T07:19:00Z</dcterms:created>
  <dcterms:modified xsi:type="dcterms:W3CDTF">2020-05-03T07:19:00Z</dcterms:modified>
</cp:coreProperties>
</file>