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64D" w:rsidRPr="0006264D" w:rsidRDefault="0006264D" w:rsidP="002F4011">
      <w:pPr>
        <w:snapToGrid w:val="0"/>
        <w:jc w:val="center"/>
        <w:rPr>
          <w:rFonts w:ascii="Times New Roman" w:hAnsi="Times New Roman"/>
          <w:b/>
          <w:bCs/>
          <w:color w:val="000000" w:themeColor="text1"/>
          <w:sz w:val="20"/>
          <w:szCs w:val="20"/>
          <w:lang w:eastAsia="zh-CN"/>
        </w:rPr>
      </w:pPr>
    </w:p>
    <w:p w:rsidR="00E45D9C" w:rsidRPr="0006264D" w:rsidRDefault="00990244" w:rsidP="002F4011">
      <w:pPr>
        <w:snapToGrid w:val="0"/>
        <w:jc w:val="center"/>
        <w:rPr>
          <w:rFonts w:ascii="Times New Roman" w:hAnsi="Times New Roman"/>
          <w:b/>
          <w:bCs/>
          <w:color w:val="000000" w:themeColor="text1"/>
          <w:sz w:val="20"/>
          <w:szCs w:val="20"/>
        </w:rPr>
      </w:pPr>
      <w:r w:rsidRPr="0006264D">
        <w:rPr>
          <w:rFonts w:ascii="Times New Roman" w:hAnsi="Times New Roman"/>
          <w:b/>
          <w:bCs/>
          <w:color w:val="000000" w:themeColor="text1"/>
          <w:sz w:val="20"/>
          <w:szCs w:val="20"/>
        </w:rPr>
        <w:t>Surgical Management of Craniocervical Junction Lesions, 35 Case Series</w:t>
      </w:r>
    </w:p>
    <w:p w:rsidR="00E45D9C" w:rsidRPr="0006264D" w:rsidRDefault="00E45D9C" w:rsidP="002F4011">
      <w:pPr>
        <w:snapToGrid w:val="0"/>
        <w:jc w:val="center"/>
        <w:rPr>
          <w:rFonts w:ascii="Times New Roman" w:hAnsi="Times New Roman"/>
          <w:b/>
          <w:bCs/>
          <w:color w:val="000000" w:themeColor="text1"/>
          <w:sz w:val="20"/>
          <w:szCs w:val="20"/>
        </w:rPr>
      </w:pPr>
    </w:p>
    <w:p w:rsidR="00E45D9C" w:rsidRPr="0006264D" w:rsidRDefault="00990244" w:rsidP="002F4011">
      <w:pPr>
        <w:snapToGrid w:val="0"/>
        <w:jc w:val="center"/>
        <w:rPr>
          <w:rFonts w:ascii="Times New Roman" w:hAnsi="Times New Roman"/>
          <w:sz w:val="20"/>
          <w:szCs w:val="20"/>
        </w:rPr>
      </w:pPr>
      <w:r w:rsidRPr="0006264D">
        <w:rPr>
          <w:rFonts w:ascii="Times New Roman" w:hAnsi="Times New Roman"/>
          <w:sz w:val="20"/>
          <w:szCs w:val="20"/>
        </w:rPr>
        <w:t>Ahmed Samir Elshikhali, MD.</w:t>
      </w:r>
      <w:r w:rsidR="002F4011">
        <w:rPr>
          <w:rFonts w:ascii="Times New Roman" w:hAnsi="Times New Roman" w:hint="eastAsia"/>
          <w:sz w:val="20"/>
          <w:szCs w:val="20"/>
          <w:lang w:eastAsia="zh-CN"/>
        </w:rPr>
        <w:t xml:space="preserve">, </w:t>
      </w:r>
      <w:r w:rsidRPr="0006264D">
        <w:rPr>
          <w:rFonts w:ascii="Times New Roman" w:hAnsi="Times New Roman"/>
          <w:sz w:val="20"/>
          <w:szCs w:val="20"/>
        </w:rPr>
        <w:t>Esam Abd El Hay Mokbel, Ashraf Mohamed Farid</w:t>
      </w:r>
      <w:r w:rsidR="006E6074" w:rsidRPr="0006264D">
        <w:rPr>
          <w:rFonts w:ascii="Times New Roman" w:hAnsi="Times New Roman"/>
          <w:sz w:val="20"/>
          <w:szCs w:val="20"/>
        </w:rPr>
        <w:t xml:space="preserve"> and</w:t>
      </w:r>
      <w:r w:rsidRPr="0006264D">
        <w:rPr>
          <w:rFonts w:ascii="Times New Roman" w:hAnsi="Times New Roman"/>
          <w:sz w:val="20"/>
          <w:szCs w:val="20"/>
        </w:rPr>
        <w:t xml:space="preserve"> Magdy Abdel Aziz Elmahallawy</w:t>
      </w:r>
    </w:p>
    <w:p w:rsidR="00E45D9C" w:rsidRPr="0006264D" w:rsidRDefault="00E45D9C" w:rsidP="002F4011">
      <w:pPr>
        <w:snapToGrid w:val="0"/>
        <w:jc w:val="center"/>
        <w:rPr>
          <w:rFonts w:ascii="Times New Roman" w:hAnsi="Times New Roman"/>
          <w:sz w:val="20"/>
          <w:szCs w:val="20"/>
        </w:rPr>
      </w:pPr>
    </w:p>
    <w:p w:rsidR="00990244" w:rsidRPr="0006264D" w:rsidRDefault="00990244" w:rsidP="002F4011">
      <w:pPr>
        <w:snapToGrid w:val="0"/>
        <w:jc w:val="center"/>
        <w:rPr>
          <w:rFonts w:ascii="Times New Roman" w:hAnsi="Times New Roman"/>
          <w:sz w:val="20"/>
          <w:szCs w:val="20"/>
        </w:rPr>
      </w:pPr>
      <w:r w:rsidRPr="0006264D">
        <w:rPr>
          <w:rFonts w:ascii="Times New Roman" w:hAnsi="Times New Roman"/>
          <w:sz w:val="20"/>
          <w:szCs w:val="20"/>
        </w:rPr>
        <w:t xml:space="preserve">Department of Neurosurgery, </w:t>
      </w:r>
      <w:r w:rsidR="006E6074" w:rsidRPr="0006264D">
        <w:rPr>
          <w:rFonts w:ascii="Times New Roman" w:hAnsi="Times New Roman"/>
          <w:sz w:val="20"/>
          <w:szCs w:val="20"/>
        </w:rPr>
        <w:t>F</w:t>
      </w:r>
      <w:r w:rsidRPr="0006264D">
        <w:rPr>
          <w:rFonts w:ascii="Times New Roman" w:hAnsi="Times New Roman"/>
          <w:sz w:val="20"/>
          <w:szCs w:val="20"/>
        </w:rPr>
        <w:t>aculty of Medicine, Tanta University, Egypt</w:t>
      </w:r>
    </w:p>
    <w:p w:rsidR="00E45D9C" w:rsidRPr="0006264D" w:rsidRDefault="00227A8B" w:rsidP="002F4011">
      <w:pPr>
        <w:snapToGrid w:val="0"/>
        <w:jc w:val="center"/>
        <w:rPr>
          <w:rFonts w:ascii="Times New Roman" w:hAnsi="Times New Roman"/>
          <w:color w:val="0000CC"/>
          <w:sz w:val="20"/>
          <w:szCs w:val="20"/>
          <w:u w:val="single"/>
        </w:rPr>
      </w:pPr>
      <w:hyperlink r:id="rId8" w:history="1">
        <w:r w:rsidR="00084B64" w:rsidRPr="0006264D">
          <w:rPr>
            <w:rStyle w:val="Hyperlink"/>
            <w:rFonts w:ascii="Times New Roman" w:hAnsi="Times New Roman"/>
            <w:sz w:val="20"/>
            <w:szCs w:val="20"/>
          </w:rPr>
          <w:t>ahmed.elsheikh@</w:t>
        </w:r>
      </w:hyperlink>
      <w:r w:rsidR="00990244" w:rsidRPr="0006264D">
        <w:rPr>
          <w:rFonts w:ascii="Times New Roman" w:hAnsi="Times New Roman"/>
          <w:color w:val="0000CC"/>
          <w:sz w:val="20"/>
          <w:szCs w:val="20"/>
          <w:u w:val="single"/>
        </w:rPr>
        <w:t>med.tanta.edu.eg</w:t>
      </w:r>
    </w:p>
    <w:p w:rsidR="00E45D9C" w:rsidRPr="0006264D" w:rsidRDefault="00E45D9C" w:rsidP="002F4011">
      <w:pPr>
        <w:snapToGrid w:val="0"/>
        <w:jc w:val="center"/>
        <w:rPr>
          <w:rFonts w:ascii="Times New Roman" w:hAnsi="Times New Roman"/>
          <w:color w:val="0000CC"/>
          <w:sz w:val="20"/>
          <w:szCs w:val="20"/>
          <w:u w:val="single"/>
        </w:rPr>
      </w:pPr>
    </w:p>
    <w:p w:rsidR="00001098" w:rsidRPr="0006264D" w:rsidRDefault="00C41EDD" w:rsidP="002F4011">
      <w:pPr>
        <w:widowControl w:val="0"/>
        <w:autoSpaceDE w:val="0"/>
        <w:autoSpaceDN w:val="0"/>
        <w:adjustRightInd w:val="0"/>
        <w:snapToGrid w:val="0"/>
        <w:jc w:val="both"/>
        <w:rPr>
          <w:rFonts w:ascii="Times New Roman" w:hAnsi="Times New Roman"/>
          <w:b/>
          <w:bCs/>
          <w:color w:val="FF0000"/>
          <w:sz w:val="20"/>
          <w:szCs w:val="20"/>
        </w:rPr>
      </w:pPr>
      <w:r w:rsidRPr="0006264D">
        <w:rPr>
          <w:rFonts w:ascii="Times New Roman" w:hAnsi="Times New Roman"/>
          <w:b/>
          <w:bCs/>
          <w:color w:val="000000"/>
          <w:sz w:val="20"/>
          <w:szCs w:val="20"/>
        </w:rPr>
        <w:t>Abstract</w:t>
      </w:r>
      <w:r w:rsidR="00780284" w:rsidRPr="0006264D">
        <w:rPr>
          <w:rFonts w:ascii="Times New Roman" w:hAnsi="Times New Roman"/>
          <w:b/>
          <w:bCs/>
          <w:color w:val="000000"/>
          <w:sz w:val="20"/>
          <w:szCs w:val="20"/>
        </w:rPr>
        <w:t>:</w:t>
      </w:r>
      <w:r w:rsidR="006E6074" w:rsidRPr="0006264D">
        <w:rPr>
          <w:rFonts w:ascii="Times New Roman" w:hAnsi="Times New Roman"/>
          <w:b/>
          <w:bCs/>
          <w:color w:val="FF0000"/>
          <w:sz w:val="20"/>
          <w:szCs w:val="20"/>
        </w:rPr>
        <w:t xml:space="preserve"> </w:t>
      </w:r>
      <w:r w:rsidRPr="0006264D">
        <w:rPr>
          <w:rFonts w:ascii="Times New Roman" w:hAnsi="Times New Roman"/>
          <w:b/>
          <w:bCs/>
          <w:color w:val="000000"/>
          <w:sz w:val="20"/>
          <w:szCs w:val="20"/>
        </w:rPr>
        <w:t>Purpose:</w:t>
      </w:r>
      <w:r w:rsidR="006E6074" w:rsidRPr="0006264D">
        <w:rPr>
          <w:rFonts w:ascii="Times New Roman" w:hAnsi="Times New Roman"/>
          <w:b/>
          <w:bCs/>
          <w:color w:val="000000"/>
          <w:sz w:val="20"/>
          <w:szCs w:val="20"/>
        </w:rPr>
        <w:t xml:space="preserve"> </w:t>
      </w:r>
      <w:r w:rsidR="00C25E70" w:rsidRPr="0006264D">
        <w:rPr>
          <w:rFonts w:ascii="Times New Roman" w:hAnsi="Times New Roman"/>
          <w:sz w:val="20"/>
          <w:szCs w:val="20"/>
        </w:rPr>
        <w:t>S</w:t>
      </w:r>
      <w:r w:rsidR="00E941F9" w:rsidRPr="0006264D">
        <w:rPr>
          <w:rFonts w:ascii="Times New Roman" w:hAnsi="Times New Roman"/>
          <w:sz w:val="20"/>
          <w:szCs w:val="20"/>
        </w:rPr>
        <w:t xml:space="preserve">tudy surgical techniques used in management of </w:t>
      </w:r>
      <w:r w:rsidR="00C25E70" w:rsidRPr="0006264D">
        <w:rPr>
          <w:rFonts w:ascii="Times New Roman" w:hAnsi="Times New Roman"/>
          <w:sz w:val="20"/>
          <w:szCs w:val="20"/>
        </w:rPr>
        <w:t>C</w:t>
      </w:r>
      <w:r w:rsidR="00D23D49" w:rsidRPr="0006264D">
        <w:rPr>
          <w:rFonts w:ascii="Times New Roman" w:hAnsi="Times New Roman"/>
          <w:sz w:val="20"/>
          <w:szCs w:val="20"/>
        </w:rPr>
        <w:t>C</w:t>
      </w:r>
      <w:r w:rsidR="00C25E70" w:rsidRPr="0006264D">
        <w:rPr>
          <w:rFonts w:ascii="Times New Roman" w:hAnsi="Times New Roman"/>
          <w:sz w:val="20"/>
          <w:szCs w:val="20"/>
        </w:rPr>
        <w:t xml:space="preserve">J </w:t>
      </w:r>
      <w:r w:rsidR="009F500F" w:rsidRPr="0006264D">
        <w:rPr>
          <w:rFonts w:ascii="Times New Roman" w:hAnsi="Times New Roman"/>
          <w:sz w:val="20"/>
          <w:szCs w:val="20"/>
        </w:rPr>
        <w:t>lesions either</w:t>
      </w:r>
      <w:r w:rsidR="00E941F9" w:rsidRPr="0006264D">
        <w:rPr>
          <w:rFonts w:ascii="Times New Roman" w:hAnsi="Times New Roman"/>
          <w:sz w:val="20"/>
          <w:szCs w:val="20"/>
        </w:rPr>
        <w:t>: Anterior, Posterior and Posterolateral approach with attention to their relative effect on the outcome.</w:t>
      </w:r>
      <w:r w:rsidR="006E6074" w:rsidRPr="0006264D">
        <w:rPr>
          <w:rFonts w:ascii="Times New Roman" w:hAnsi="Times New Roman"/>
          <w:b/>
          <w:bCs/>
          <w:color w:val="FF0000"/>
          <w:sz w:val="20"/>
          <w:szCs w:val="20"/>
        </w:rPr>
        <w:t xml:space="preserve"> </w:t>
      </w:r>
      <w:r w:rsidRPr="0006264D">
        <w:rPr>
          <w:rFonts w:ascii="Times New Roman" w:hAnsi="Times New Roman"/>
          <w:b/>
          <w:bCs/>
          <w:color w:val="000000"/>
          <w:sz w:val="20"/>
          <w:szCs w:val="20"/>
        </w:rPr>
        <w:t>Patients and Methods:</w:t>
      </w:r>
      <w:r w:rsidR="006E6074" w:rsidRPr="0006264D">
        <w:rPr>
          <w:rFonts w:ascii="Times New Roman" w:hAnsi="Times New Roman"/>
          <w:b/>
          <w:bCs/>
          <w:color w:val="FF0000"/>
          <w:sz w:val="20"/>
          <w:szCs w:val="20"/>
        </w:rPr>
        <w:t xml:space="preserve"> </w:t>
      </w:r>
      <w:r w:rsidR="00C25E70" w:rsidRPr="0006264D">
        <w:rPr>
          <w:rFonts w:ascii="Times New Roman" w:hAnsi="Times New Roman"/>
          <w:color w:val="000000"/>
          <w:sz w:val="20"/>
          <w:szCs w:val="20"/>
        </w:rPr>
        <w:t xml:space="preserve">Prospective case series, </w:t>
      </w:r>
      <w:r w:rsidR="008817CF" w:rsidRPr="0006264D">
        <w:rPr>
          <w:rFonts w:ascii="Times New Roman" w:hAnsi="Times New Roman"/>
          <w:color w:val="000000"/>
          <w:sz w:val="20"/>
          <w:szCs w:val="20"/>
        </w:rPr>
        <w:t>35</w:t>
      </w:r>
      <w:r w:rsidRPr="0006264D">
        <w:rPr>
          <w:rFonts w:ascii="Times New Roman" w:hAnsi="Times New Roman"/>
          <w:color w:val="000000"/>
          <w:sz w:val="20"/>
          <w:szCs w:val="20"/>
        </w:rPr>
        <w:t xml:space="preserve"> patients with </w:t>
      </w:r>
      <w:r w:rsidR="009B1FCF" w:rsidRPr="0006264D">
        <w:rPr>
          <w:rFonts w:ascii="Times New Roman" w:hAnsi="Times New Roman"/>
          <w:color w:val="000000"/>
          <w:sz w:val="20"/>
          <w:szCs w:val="20"/>
        </w:rPr>
        <w:t xml:space="preserve">different pathologies, neoplastic and non-neoplastic lesions treated by either </w:t>
      </w:r>
      <w:r w:rsidR="00D23D49" w:rsidRPr="0006264D">
        <w:rPr>
          <w:rFonts w:ascii="Times New Roman" w:hAnsi="Times New Roman"/>
          <w:color w:val="000000"/>
          <w:sz w:val="20"/>
          <w:szCs w:val="20"/>
        </w:rPr>
        <w:t>p</w:t>
      </w:r>
      <w:r w:rsidR="009B1FCF" w:rsidRPr="0006264D">
        <w:rPr>
          <w:rFonts w:ascii="Times New Roman" w:hAnsi="Times New Roman"/>
          <w:color w:val="000000"/>
          <w:sz w:val="20"/>
          <w:szCs w:val="20"/>
        </w:rPr>
        <w:t xml:space="preserve">osterior, </w:t>
      </w:r>
      <w:r w:rsidR="00D23D49" w:rsidRPr="0006264D">
        <w:rPr>
          <w:rFonts w:ascii="Times New Roman" w:hAnsi="Times New Roman"/>
          <w:color w:val="000000"/>
          <w:sz w:val="20"/>
          <w:szCs w:val="20"/>
        </w:rPr>
        <w:t>a</w:t>
      </w:r>
      <w:r w:rsidR="009B1FCF" w:rsidRPr="0006264D">
        <w:rPr>
          <w:rFonts w:ascii="Times New Roman" w:hAnsi="Times New Roman"/>
          <w:color w:val="000000"/>
          <w:sz w:val="20"/>
          <w:szCs w:val="20"/>
        </w:rPr>
        <w:t xml:space="preserve">nterior, combined approach or </w:t>
      </w:r>
      <w:r w:rsidR="00D23D49" w:rsidRPr="0006264D">
        <w:rPr>
          <w:rFonts w:ascii="Times New Roman" w:hAnsi="Times New Roman"/>
          <w:color w:val="000000"/>
          <w:sz w:val="20"/>
          <w:szCs w:val="20"/>
        </w:rPr>
        <w:t>f</w:t>
      </w:r>
      <w:r w:rsidR="009B1FCF" w:rsidRPr="0006264D">
        <w:rPr>
          <w:rFonts w:ascii="Times New Roman" w:hAnsi="Times New Roman"/>
          <w:color w:val="000000"/>
          <w:sz w:val="20"/>
          <w:szCs w:val="20"/>
        </w:rPr>
        <w:t xml:space="preserve">ar lateral approach. </w:t>
      </w:r>
      <w:r w:rsidR="008118D1" w:rsidRPr="0006264D">
        <w:rPr>
          <w:rFonts w:ascii="Times New Roman" w:hAnsi="Times New Roman"/>
          <w:color w:val="000000"/>
          <w:sz w:val="20"/>
          <w:szCs w:val="20"/>
        </w:rPr>
        <w:t xml:space="preserve">Complete clinical and radiological study including </w:t>
      </w:r>
      <w:r w:rsidR="009B1FCF" w:rsidRPr="0006264D">
        <w:rPr>
          <w:rFonts w:ascii="Times New Roman" w:hAnsi="Times New Roman"/>
          <w:color w:val="000000"/>
          <w:sz w:val="20"/>
          <w:szCs w:val="20"/>
        </w:rPr>
        <w:t xml:space="preserve">Plain radiographs and CT </w:t>
      </w:r>
      <w:r w:rsidR="00C25E70" w:rsidRPr="0006264D">
        <w:rPr>
          <w:rFonts w:ascii="Times New Roman" w:hAnsi="Times New Roman"/>
          <w:color w:val="000000"/>
          <w:sz w:val="20"/>
          <w:szCs w:val="20"/>
        </w:rPr>
        <w:t xml:space="preserve">and MRI </w:t>
      </w:r>
      <w:r w:rsidR="009B1FCF" w:rsidRPr="0006264D">
        <w:rPr>
          <w:rFonts w:ascii="Times New Roman" w:hAnsi="Times New Roman"/>
          <w:color w:val="000000"/>
          <w:sz w:val="20"/>
          <w:szCs w:val="20"/>
        </w:rPr>
        <w:t>cervical spine were done in all cases</w:t>
      </w:r>
      <w:r w:rsidR="00C25E70" w:rsidRPr="0006264D">
        <w:rPr>
          <w:rFonts w:ascii="Times New Roman" w:hAnsi="Times New Roman"/>
          <w:color w:val="000000"/>
          <w:sz w:val="20"/>
          <w:szCs w:val="20"/>
        </w:rPr>
        <w:t>.</w:t>
      </w:r>
      <w:r w:rsidR="006E6074" w:rsidRPr="0006264D">
        <w:rPr>
          <w:rFonts w:ascii="Times New Roman" w:hAnsi="Times New Roman"/>
          <w:b/>
          <w:bCs/>
          <w:color w:val="FF0000"/>
          <w:sz w:val="20"/>
          <w:szCs w:val="20"/>
        </w:rPr>
        <w:t xml:space="preserve"> </w:t>
      </w:r>
      <w:r w:rsidRPr="0006264D">
        <w:rPr>
          <w:rFonts w:ascii="Times New Roman" w:hAnsi="Times New Roman"/>
          <w:b/>
          <w:bCs/>
          <w:color w:val="000000"/>
          <w:sz w:val="20"/>
          <w:szCs w:val="20"/>
        </w:rPr>
        <w:t>Results:</w:t>
      </w:r>
      <w:r w:rsidR="006E6074" w:rsidRPr="0006264D">
        <w:rPr>
          <w:rFonts w:ascii="Times New Roman" w:hAnsi="Times New Roman"/>
          <w:b/>
          <w:bCs/>
          <w:color w:val="FF0000"/>
          <w:sz w:val="20"/>
          <w:szCs w:val="20"/>
        </w:rPr>
        <w:t xml:space="preserve"> </w:t>
      </w:r>
      <w:r w:rsidR="001C5199" w:rsidRPr="0006264D">
        <w:rPr>
          <w:rFonts w:ascii="Times New Roman" w:hAnsi="Times New Roman"/>
          <w:sz w:val="20"/>
          <w:szCs w:val="20"/>
        </w:rPr>
        <w:t xml:space="preserve">35 cases with different pathologies, the mean </w:t>
      </w:r>
      <w:r w:rsidR="00D23D49" w:rsidRPr="0006264D">
        <w:rPr>
          <w:rFonts w:ascii="Times New Roman" w:hAnsi="Times New Roman"/>
          <w:sz w:val="20"/>
          <w:szCs w:val="20"/>
        </w:rPr>
        <w:t xml:space="preserve">age: </w:t>
      </w:r>
      <w:r w:rsidR="00D23D49" w:rsidRPr="0006264D">
        <w:rPr>
          <w:rFonts w:ascii="Times New Roman" w:hAnsi="Times New Roman"/>
          <w:color w:val="000000"/>
          <w:sz w:val="20"/>
          <w:szCs w:val="20"/>
        </w:rPr>
        <w:t>Mean ± SD = 51.23 ± 20.24</w:t>
      </w:r>
      <w:r w:rsidR="00D23D49" w:rsidRPr="0006264D">
        <w:rPr>
          <w:rFonts w:ascii="Times New Roman" w:hAnsi="Times New Roman"/>
          <w:sz w:val="20"/>
          <w:szCs w:val="20"/>
        </w:rPr>
        <w:t xml:space="preserve"> and male: female ratio is (28.6%: 71.4%).</w:t>
      </w:r>
      <w:r w:rsidR="00B145EE" w:rsidRPr="0006264D">
        <w:rPr>
          <w:rFonts w:ascii="Times New Roman" w:hAnsi="Times New Roman"/>
          <w:sz w:val="20"/>
          <w:szCs w:val="20"/>
          <w:lang w:eastAsia="zh-CN"/>
        </w:rPr>
        <w:t xml:space="preserve"> </w:t>
      </w:r>
      <w:r w:rsidR="00A57BCB" w:rsidRPr="0006264D">
        <w:rPr>
          <w:rFonts w:ascii="Times New Roman" w:hAnsi="Times New Roman"/>
          <w:sz w:val="20"/>
          <w:szCs w:val="20"/>
        </w:rPr>
        <w:t xml:space="preserve">5 neoplastic Cases with </w:t>
      </w:r>
      <w:r w:rsidR="00C57F03" w:rsidRPr="0006264D">
        <w:rPr>
          <w:rFonts w:ascii="Times New Roman" w:hAnsi="Times New Roman"/>
          <w:sz w:val="20"/>
          <w:szCs w:val="20"/>
        </w:rPr>
        <w:t>different</w:t>
      </w:r>
      <w:r w:rsidR="00A57BCB" w:rsidRPr="0006264D">
        <w:rPr>
          <w:rFonts w:ascii="Times New Roman" w:hAnsi="Times New Roman"/>
          <w:sz w:val="20"/>
          <w:szCs w:val="20"/>
        </w:rPr>
        <w:t xml:space="preserve"> types and 30 Cases of Non-Neoplastic origin.</w:t>
      </w:r>
      <w:r w:rsidR="00B145EE" w:rsidRPr="0006264D">
        <w:rPr>
          <w:rFonts w:ascii="Times New Roman" w:hAnsi="Times New Roman"/>
          <w:sz w:val="20"/>
          <w:szCs w:val="20"/>
          <w:lang w:eastAsia="zh-CN"/>
        </w:rPr>
        <w:t xml:space="preserve"> </w:t>
      </w:r>
      <w:r w:rsidR="00A57BCB" w:rsidRPr="0006264D">
        <w:rPr>
          <w:rFonts w:ascii="Times New Roman" w:hAnsi="Times New Roman"/>
          <w:sz w:val="20"/>
          <w:szCs w:val="20"/>
        </w:rPr>
        <w:t xml:space="preserve">Post approach was the main approach used in 33 Cases, </w:t>
      </w:r>
      <w:r w:rsidR="00D23D49" w:rsidRPr="0006264D">
        <w:rPr>
          <w:rFonts w:ascii="Times New Roman" w:hAnsi="Times New Roman"/>
          <w:sz w:val="20"/>
          <w:szCs w:val="20"/>
        </w:rPr>
        <w:t>a</w:t>
      </w:r>
      <w:r w:rsidR="00A57BCB" w:rsidRPr="0006264D">
        <w:rPr>
          <w:rFonts w:ascii="Times New Roman" w:hAnsi="Times New Roman"/>
          <w:sz w:val="20"/>
          <w:szCs w:val="20"/>
        </w:rPr>
        <w:t>nterior approach in 3 cases</w:t>
      </w:r>
      <w:r w:rsidR="008817CF" w:rsidRPr="0006264D">
        <w:rPr>
          <w:rFonts w:ascii="Times New Roman" w:hAnsi="Times New Roman"/>
          <w:sz w:val="20"/>
          <w:szCs w:val="20"/>
        </w:rPr>
        <w:t xml:space="preserve"> and </w:t>
      </w:r>
      <w:r w:rsidR="00D23D49" w:rsidRPr="0006264D">
        <w:rPr>
          <w:rFonts w:ascii="Times New Roman" w:hAnsi="Times New Roman"/>
          <w:sz w:val="20"/>
          <w:szCs w:val="20"/>
        </w:rPr>
        <w:t>f</w:t>
      </w:r>
      <w:r w:rsidR="008817CF" w:rsidRPr="0006264D">
        <w:rPr>
          <w:rFonts w:ascii="Times New Roman" w:hAnsi="Times New Roman"/>
          <w:sz w:val="20"/>
          <w:szCs w:val="20"/>
        </w:rPr>
        <w:t xml:space="preserve">ar lateral approach was used in One case. </w:t>
      </w:r>
      <w:r w:rsidR="008817CF" w:rsidRPr="0006264D">
        <w:rPr>
          <w:rFonts w:ascii="Times New Roman" w:hAnsi="Times New Roman"/>
          <w:color w:val="000000" w:themeColor="text1"/>
          <w:sz w:val="20"/>
          <w:szCs w:val="20"/>
        </w:rPr>
        <w:t xml:space="preserve">We had </w:t>
      </w:r>
      <w:r w:rsidR="00D23D49" w:rsidRPr="0006264D">
        <w:rPr>
          <w:rFonts w:ascii="Times New Roman" w:hAnsi="Times New Roman"/>
          <w:color w:val="000000" w:themeColor="text1"/>
          <w:sz w:val="20"/>
          <w:szCs w:val="20"/>
        </w:rPr>
        <w:t>mild h</w:t>
      </w:r>
      <w:r w:rsidR="008817CF" w:rsidRPr="0006264D">
        <w:rPr>
          <w:rFonts w:ascii="Times New Roman" w:hAnsi="Times New Roman"/>
          <w:color w:val="000000" w:themeColor="text1"/>
          <w:sz w:val="20"/>
          <w:szCs w:val="20"/>
        </w:rPr>
        <w:t>ypoglossal nerve dysfunction in one case, Failure of fusion and redo surgery in 2 cases and wound infection in one case.</w:t>
      </w:r>
      <w:r w:rsidR="006E6074" w:rsidRPr="0006264D">
        <w:rPr>
          <w:rFonts w:ascii="Times New Roman" w:hAnsi="Times New Roman"/>
          <w:b/>
          <w:bCs/>
          <w:color w:val="FF0000"/>
          <w:sz w:val="20"/>
          <w:szCs w:val="20"/>
        </w:rPr>
        <w:t xml:space="preserve"> </w:t>
      </w:r>
      <w:r w:rsidRPr="0006264D">
        <w:rPr>
          <w:rFonts w:ascii="Times New Roman" w:hAnsi="Times New Roman"/>
          <w:b/>
          <w:bCs/>
          <w:color w:val="000000"/>
          <w:sz w:val="20"/>
          <w:szCs w:val="20"/>
        </w:rPr>
        <w:t>Conclusion:</w:t>
      </w:r>
      <w:r w:rsidR="001C5199" w:rsidRPr="0006264D">
        <w:rPr>
          <w:rFonts w:ascii="Times New Roman" w:hAnsi="Times New Roman"/>
          <w:sz w:val="20"/>
          <w:szCs w:val="20"/>
        </w:rPr>
        <w:t xml:space="preserve">- Posterior approach is safe and covers a wide range of management for most of the </w:t>
      </w:r>
      <w:r w:rsidR="00862D59" w:rsidRPr="0006264D">
        <w:rPr>
          <w:rFonts w:ascii="Times New Roman" w:hAnsi="Times New Roman"/>
          <w:sz w:val="20"/>
          <w:szCs w:val="20"/>
        </w:rPr>
        <w:t>CSJ</w:t>
      </w:r>
      <w:r w:rsidR="001C5199" w:rsidRPr="0006264D">
        <w:rPr>
          <w:rFonts w:ascii="Times New Roman" w:hAnsi="Times New Roman"/>
          <w:sz w:val="20"/>
          <w:szCs w:val="20"/>
        </w:rPr>
        <w:t xml:space="preserve"> lesions, for either decompression or tumors posteriorly or poster</w:t>
      </w:r>
      <w:r w:rsidR="00D23D49" w:rsidRPr="0006264D">
        <w:rPr>
          <w:rFonts w:ascii="Times New Roman" w:hAnsi="Times New Roman"/>
          <w:sz w:val="20"/>
          <w:szCs w:val="20"/>
        </w:rPr>
        <w:t>-</w:t>
      </w:r>
      <w:r w:rsidR="001C5199" w:rsidRPr="0006264D">
        <w:rPr>
          <w:rFonts w:ascii="Times New Roman" w:hAnsi="Times New Roman"/>
          <w:sz w:val="20"/>
          <w:szCs w:val="20"/>
        </w:rPr>
        <w:t>laterally located or fusion for instability cases with minimal side effects.</w:t>
      </w:r>
      <w:r w:rsidR="001C14C8" w:rsidRPr="0006264D">
        <w:rPr>
          <w:rFonts w:ascii="Times New Roman" w:hAnsi="Times New Roman"/>
          <w:sz w:val="20"/>
          <w:szCs w:val="20"/>
        </w:rPr>
        <w:t xml:space="preserve">- Anterior and </w:t>
      </w:r>
      <w:r w:rsidR="00D23D49" w:rsidRPr="0006264D">
        <w:rPr>
          <w:rFonts w:ascii="Times New Roman" w:hAnsi="Times New Roman"/>
          <w:sz w:val="20"/>
          <w:szCs w:val="20"/>
        </w:rPr>
        <w:t>f</w:t>
      </w:r>
      <w:r w:rsidR="001C14C8" w:rsidRPr="0006264D">
        <w:rPr>
          <w:rFonts w:ascii="Times New Roman" w:hAnsi="Times New Roman"/>
          <w:sz w:val="20"/>
          <w:szCs w:val="20"/>
        </w:rPr>
        <w:t>ar lateral approach</w:t>
      </w:r>
      <w:r w:rsidR="00D23D49" w:rsidRPr="0006264D">
        <w:rPr>
          <w:rFonts w:ascii="Times New Roman" w:hAnsi="Times New Roman"/>
          <w:sz w:val="20"/>
          <w:szCs w:val="20"/>
        </w:rPr>
        <w:t xml:space="preserve"> is</w:t>
      </w:r>
      <w:r w:rsidR="001C14C8" w:rsidRPr="0006264D">
        <w:rPr>
          <w:rFonts w:ascii="Times New Roman" w:hAnsi="Times New Roman"/>
          <w:sz w:val="20"/>
          <w:szCs w:val="20"/>
        </w:rPr>
        <w:t xml:space="preserve"> less popular with limited indications.</w:t>
      </w:r>
    </w:p>
    <w:p w:rsidR="00AF16DA" w:rsidRPr="0006264D" w:rsidRDefault="0006264D" w:rsidP="002F4011">
      <w:pPr>
        <w:snapToGrid w:val="0"/>
        <w:jc w:val="both"/>
        <w:rPr>
          <w:rFonts w:ascii="Times New Roman" w:hAnsi="Times New Roman"/>
          <w:b/>
          <w:bCs/>
          <w:color w:val="000000" w:themeColor="text1"/>
          <w:sz w:val="20"/>
          <w:szCs w:val="20"/>
        </w:rPr>
      </w:pPr>
      <w:r w:rsidRPr="0006264D">
        <w:rPr>
          <w:rFonts w:ascii="Times New Roman" w:hAnsi="Times New Roman"/>
          <w:sz w:val="20"/>
          <w:szCs w:val="20"/>
        </w:rPr>
        <w:t>[Ahmed Samir Elshikhali</w:t>
      </w:r>
      <w:r w:rsidRPr="0006264D">
        <w:rPr>
          <w:rFonts w:ascii="Times New Roman" w:hAnsi="Times New Roman"/>
          <w:sz w:val="20"/>
          <w:szCs w:val="20"/>
          <w:lang w:eastAsia="zh-CN"/>
        </w:rPr>
        <w:t xml:space="preserve">, </w:t>
      </w:r>
      <w:r w:rsidR="00084B64" w:rsidRPr="0006264D">
        <w:rPr>
          <w:rFonts w:ascii="Times New Roman" w:hAnsi="Times New Roman"/>
          <w:sz w:val="20"/>
          <w:szCs w:val="20"/>
        </w:rPr>
        <w:t xml:space="preserve">Esam Abd El Hay Mokbel, Ashraf Mohamed Farid and Magdy Abdel Aziz Elmahallawy. </w:t>
      </w:r>
      <w:r w:rsidR="00084B64" w:rsidRPr="0006264D">
        <w:rPr>
          <w:rFonts w:ascii="Times New Roman" w:hAnsi="Times New Roman"/>
          <w:b/>
          <w:bCs/>
          <w:color w:val="000000" w:themeColor="text1"/>
          <w:sz w:val="20"/>
          <w:szCs w:val="20"/>
        </w:rPr>
        <w:t>Surgical Management of Craniocervical Junction Lesions, 35 Case Series</w:t>
      </w:r>
      <w:r w:rsidR="00AF16DA" w:rsidRPr="0006264D">
        <w:rPr>
          <w:rFonts w:ascii="Times New Roman" w:eastAsia="Times New Roman" w:hAnsi="Times New Roman"/>
          <w:b/>
          <w:bCs/>
          <w:sz w:val="20"/>
          <w:szCs w:val="20"/>
          <w:lang w:bidi="fa-IR"/>
        </w:rPr>
        <w:t>.</w:t>
      </w:r>
      <w:r w:rsidR="00AF16DA" w:rsidRPr="0006264D">
        <w:rPr>
          <w:rFonts w:ascii="Times New Roman" w:hAnsi="Times New Roman"/>
          <w:bCs/>
          <w:i/>
          <w:sz w:val="20"/>
          <w:szCs w:val="20"/>
        </w:rPr>
        <w:t xml:space="preserve"> N Y Sci J</w:t>
      </w:r>
      <w:r w:rsidR="00AF16DA" w:rsidRPr="0006264D">
        <w:rPr>
          <w:rFonts w:ascii="Times New Roman" w:hAnsi="Times New Roman"/>
          <w:bCs/>
          <w:sz w:val="20"/>
          <w:szCs w:val="20"/>
        </w:rPr>
        <w:t xml:space="preserve"> </w:t>
      </w:r>
      <w:r w:rsidR="00AF16DA" w:rsidRPr="0006264D">
        <w:rPr>
          <w:rFonts w:ascii="Times New Roman" w:hAnsi="Times New Roman"/>
          <w:sz w:val="20"/>
          <w:szCs w:val="20"/>
        </w:rPr>
        <w:t>2020;13(</w:t>
      </w:r>
      <w:r w:rsidR="00AF16DA" w:rsidRPr="0006264D">
        <w:rPr>
          <w:rFonts w:ascii="Times New Roman" w:hAnsi="Times New Roman"/>
          <w:sz w:val="20"/>
          <w:szCs w:val="20"/>
          <w:lang w:eastAsia="zh-CN"/>
        </w:rPr>
        <w:t>2</w:t>
      </w:r>
      <w:r w:rsidR="00AF16DA" w:rsidRPr="0006264D">
        <w:rPr>
          <w:rFonts w:ascii="Times New Roman" w:hAnsi="Times New Roman"/>
          <w:sz w:val="20"/>
          <w:szCs w:val="20"/>
        </w:rPr>
        <w:t>):</w:t>
      </w:r>
      <w:r w:rsidR="00042B39">
        <w:rPr>
          <w:rFonts w:ascii="Times New Roman" w:hAnsi="Times New Roman"/>
          <w:noProof/>
          <w:color w:val="000000"/>
          <w:sz w:val="20"/>
          <w:szCs w:val="20"/>
        </w:rPr>
        <w:t>1-1</w:t>
      </w:r>
      <w:r w:rsidR="004765DE">
        <w:rPr>
          <w:rFonts w:ascii="Times New Roman" w:hAnsi="Times New Roman" w:hint="eastAsia"/>
          <w:noProof/>
          <w:color w:val="000000"/>
          <w:sz w:val="20"/>
          <w:szCs w:val="20"/>
          <w:lang w:eastAsia="zh-CN"/>
        </w:rPr>
        <w:t>7</w:t>
      </w:r>
      <w:r w:rsidR="00AF16DA" w:rsidRPr="0006264D">
        <w:rPr>
          <w:rFonts w:ascii="Times New Roman" w:hAnsi="Times New Roman"/>
          <w:sz w:val="20"/>
          <w:szCs w:val="20"/>
        </w:rPr>
        <w:t xml:space="preserve">]. </w:t>
      </w:r>
      <w:r w:rsidR="00AF16DA" w:rsidRPr="0006264D">
        <w:rPr>
          <w:rFonts w:ascii="Times New Roman" w:hAnsi="Times New Roman"/>
          <w:iCs/>
          <w:color w:val="000000"/>
          <w:sz w:val="20"/>
          <w:szCs w:val="20"/>
        </w:rPr>
        <w:t>ISSN 1554-0200 (print); ISSN 2375-723X (online)</w:t>
      </w:r>
      <w:r w:rsidR="00AF16DA" w:rsidRPr="0006264D">
        <w:rPr>
          <w:rFonts w:ascii="Times New Roman" w:hAnsi="Times New Roman"/>
          <w:sz w:val="20"/>
          <w:szCs w:val="20"/>
        </w:rPr>
        <w:t xml:space="preserve">. </w:t>
      </w:r>
      <w:hyperlink r:id="rId9" w:history="1">
        <w:r w:rsidR="00AF16DA" w:rsidRPr="0006264D">
          <w:rPr>
            <w:rStyle w:val="Hyperlink"/>
            <w:rFonts w:ascii="Times New Roman" w:hAnsi="Times New Roman"/>
            <w:sz w:val="20"/>
            <w:szCs w:val="20"/>
          </w:rPr>
          <w:t>http://www.sciencepub.net/newyork</w:t>
        </w:r>
      </w:hyperlink>
      <w:r w:rsidR="00AF16DA" w:rsidRPr="0006264D">
        <w:rPr>
          <w:rFonts w:ascii="Times New Roman" w:hAnsi="Times New Roman"/>
          <w:sz w:val="20"/>
          <w:szCs w:val="20"/>
        </w:rPr>
        <w:t xml:space="preserve">. </w:t>
      </w:r>
      <w:r w:rsidRPr="0006264D">
        <w:rPr>
          <w:rFonts w:ascii="Times New Roman" w:hAnsi="Times New Roman"/>
          <w:sz w:val="20"/>
          <w:szCs w:val="20"/>
          <w:lang w:eastAsia="zh-CN"/>
        </w:rPr>
        <w:t>1</w:t>
      </w:r>
      <w:r w:rsidR="00AF16DA" w:rsidRPr="0006264D">
        <w:rPr>
          <w:rFonts w:ascii="Times New Roman" w:hAnsi="Times New Roman"/>
          <w:sz w:val="20"/>
          <w:szCs w:val="20"/>
        </w:rPr>
        <w:t xml:space="preserve">. </w:t>
      </w:r>
      <w:r w:rsidR="00AF16DA" w:rsidRPr="0006264D">
        <w:rPr>
          <w:rFonts w:ascii="Times New Roman" w:hAnsi="Times New Roman"/>
          <w:color w:val="000000"/>
          <w:sz w:val="20"/>
          <w:szCs w:val="20"/>
          <w:shd w:val="clear" w:color="auto" w:fill="FFFFFF"/>
        </w:rPr>
        <w:t>doi:</w:t>
      </w:r>
      <w:hyperlink r:id="rId10" w:history="1">
        <w:r w:rsidR="00AF16DA" w:rsidRPr="0006264D">
          <w:rPr>
            <w:rStyle w:val="Hyperlink"/>
            <w:rFonts w:ascii="Times New Roman" w:hAnsi="Times New Roman"/>
            <w:sz w:val="20"/>
            <w:szCs w:val="20"/>
            <w:shd w:val="clear" w:color="auto" w:fill="FFFFFF"/>
          </w:rPr>
          <w:t>10.7537/marsnys130</w:t>
        </w:r>
        <w:r w:rsidR="00AF16DA" w:rsidRPr="0006264D">
          <w:rPr>
            <w:rStyle w:val="Hyperlink"/>
            <w:rFonts w:ascii="Times New Roman" w:hAnsi="Times New Roman"/>
            <w:sz w:val="20"/>
            <w:szCs w:val="20"/>
            <w:shd w:val="clear" w:color="auto" w:fill="FFFFFF"/>
            <w:lang w:eastAsia="zh-CN"/>
          </w:rPr>
          <w:t>2</w:t>
        </w:r>
        <w:r w:rsidR="00AF16DA" w:rsidRPr="0006264D">
          <w:rPr>
            <w:rStyle w:val="Hyperlink"/>
            <w:rFonts w:ascii="Times New Roman" w:hAnsi="Times New Roman"/>
            <w:sz w:val="20"/>
            <w:szCs w:val="20"/>
            <w:shd w:val="clear" w:color="auto" w:fill="FFFFFF"/>
          </w:rPr>
          <w:t>20.0</w:t>
        </w:r>
        <w:r w:rsidRPr="0006264D">
          <w:rPr>
            <w:rStyle w:val="Hyperlink"/>
            <w:rFonts w:ascii="Times New Roman" w:hAnsi="Times New Roman"/>
            <w:sz w:val="20"/>
            <w:szCs w:val="20"/>
            <w:shd w:val="clear" w:color="auto" w:fill="FFFFFF"/>
            <w:lang w:eastAsia="zh-CN"/>
          </w:rPr>
          <w:t>1</w:t>
        </w:r>
      </w:hyperlink>
      <w:r w:rsidR="00AF16DA" w:rsidRPr="0006264D">
        <w:rPr>
          <w:rFonts w:ascii="Times New Roman" w:hAnsi="Times New Roman"/>
          <w:color w:val="000000"/>
          <w:sz w:val="20"/>
          <w:szCs w:val="20"/>
          <w:shd w:val="clear" w:color="auto" w:fill="FFFFFF"/>
        </w:rPr>
        <w:t>.</w:t>
      </w:r>
    </w:p>
    <w:p w:rsidR="00AF16DA" w:rsidRPr="0006264D" w:rsidRDefault="00AF16DA" w:rsidP="002F4011">
      <w:pPr>
        <w:snapToGrid w:val="0"/>
        <w:jc w:val="both"/>
        <w:rPr>
          <w:rFonts w:ascii="Times New Roman" w:hAnsi="Times New Roman"/>
          <w:sz w:val="20"/>
          <w:lang w:eastAsia="zh-CN"/>
        </w:rPr>
      </w:pPr>
    </w:p>
    <w:p w:rsidR="00B145EE" w:rsidRPr="0006264D" w:rsidRDefault="00B145EE" w:rsidP="002F4011">
      <w:pPr>
        <w:snapToGrid w:val="0"/>
        <w:jc w:val="both"/>
        <w:rPr>
          <w:rFonts w:ascii="Times New Roman" w:hAnsi="Times New Roman"/>
          <w:b/>
          <w:bCs/>
          <w:sz w:val="20"/>
          <w:szCs w:val="20"/>
          <w:lang w:eastAsia="zh-CN" w:bidi="ar-EG"/>
        </w:rPr>
      </w:pPr>
      <w:r w:rsidRPr="0006264D">
        <w:rPr>
          <w:rFonts w:ascii="Times New Roman" w:hAnsi="Times New Roman"/>
          <w:b/>
          <w:sz w:val="20"/>
          <w:lang w:eastAsia="zh-CN"/>
        </w:rPr>
        <w:t>Keywords:</w:t>
      </w:r>
      <w:r w:rsidRPr="0006264D">
        <w:rPr>
          <w:rFonts w:ascii="Times New Roman" w:hAnsi="Times New Roman"/>
          <w:sz w:val="20"/>
          <w:lang w:eastAsia="zh-CN"/>
        </w:rPr>
        <w:t xml:space="preserve"> </w:t>
      </w:r>
      <w:r w:rsidRPr="0006264D">
        <w:rPr>
          <w:rFonts w:ascii="Times New Roman" w:hAnsi="Times New Roman"/>
          <w:bCs/>
          <w:color w:val="000000" w:themeColor="text1"/>
          <w:sz w:val="20"/>
          <w:szCs w:val="20"/>
        </w:rPr>
        <w:t>Surgical</w:t>
      </w:r>
      <w:r w:rsidRPr="0006264D">
        <w:rPr>
          <w:rFonts w:ascii="Times New Roman" w:hAnsi="Times New Roman"/>
          <w:bCs/>
          <w:color w:val="000000" w:themeColor="text1"/>
          <w:sz w:val="20"/>
          <w:szCs w:val="20"/>
          <w:lang w:eastAsia="zh-CN"/>
        </w:rPr>
        <w:t>;</w:t>
      </w:r>
      <w:r w:rsidRPr="0006264D">
        <w:rPr>
          <w:rFonts w:ascii="Times New Roman" w:hAnsi="Times New Roman"/>
          <w:bCs/>
          <w:color w:val="000000" w:themeColor="text1"/>
          <w:sz w:val="20"/>
          <w:szCs w:val="20"/>
        </w:rPr>
        <w:t xml:space="preserve"> Management</w:t>
      </w:r>
      <w:r w:rsidRPr="0006264D">
        <w:rPr>
          <w:rFonts w:ascii="Times New Roman" w:hAnsi="Times New Roman"/>
          <w:bCs/>
          <w:color w:val="000000" w:themeColor="text1"/>
          <w:sz w:val="20"/>
          <w:szCs w:val="20"/>
          <w:lang w:eastAsia="zh-CN"/>
        </w:rPr>
        <w:t>;</w:t>
      </w:r>
      <w:r w:rsidRPr="0006264D">
        <w:rPr>
          <w:rFonts w:ascii="Times New Roman" w:hAnsi="Times New Roman"/>
          <w:bCs/>
          <w:color w:val="000000" w:themeColor="text1"/>
          <w:sz w:val="20"/>
          <w:szCs w:val="20"/>
        </w:rPr>
        <w:t xml:space="preserve"> Craniocervical</w:t>
      </w:r>
      <w:r w:rsidRPr="0006264D">
        <w:rPr>
          <w:rFonts w:ascii="Times New Roman" w:hAnsi="Times New Roman"/>
          <w:bCs/>
          <w:color w:val="000000" w:themeColor="text1"/>
          <w:sz w:val="20"/>
          <w:szCs w:val="20"/>
          <w:lang w:eastAsia="zh-CN"/>
        </w:rPr>
        <w:t>;</w:t>
      </w:r>
      <w:r w:rsidRPr="0006264D">
        <w:rPr>
          <w:rFonts w:ascii="Times New Roman" w:hAnsi="Times New Roman"/>
          <w:bCs/>
          <w:color w:val="000000" w:themeColor="text1"/>
          <w:sz w:val="20"/>
          <w:szCs w:val="20"/>
        </w:rPr>
        <w:t xml:space="preserve"> Junction</w:t>
      </w:r>
      <w:r w:rsidRPr="0006264D">
        <w:rPr>
          <w:rFonts w:ascii="Times New Roman" w:hAnsi="Times New Roman"/>
          <w:bCs/>
          <w:color w:val="000000" w:themeColor="text1"/>
          <w:sz w:val="20"/>
          <w:szCs w:val="20"/>
          <w:lang w:eastAsia="zh-CN"/>
        </w:rPr>
        <w:t>;</w:t>
      </w:r>
      <w:r w:rsidRPr="0006264D">
        <w:rPr>
          <w:rFonts w:ascii="Times New Roman" w:hAnsi="Times New Roman"/>
          <w:bCs/>
          <w:color w:val="000000" w:themeColor="text1"/>
          <w:sz w:val="20"/>
          <w:szCs w:val="20"/>
        </w:rPr>
        <w:t xml:space="preserve"> Lesions</w:t>
      </w:r>
      <w:r w:rsidRPr="0006264D">
        <w:rPr>
          <w:rFonts w:ascii="Times New Roman" w:hAnsi="Times New Roman"/>
          <w:bCs/>
          <w:color w:val="000000" w:themeColor="text1"/>
          <w:sz w:val="20"/>
          <w:szCs w:val="20"/>
          <w:lang w:eastAsia="zh-CN"/>
        </w:rPr>
        <w:t>;</w:t>
      </w:r>
      <w:r w:rsidR="00E45D9C" w:rsidRPr="0006264D">
        <w:rPr>
          <w:rFonts w:ascii="Times New Roman" w:hAnsi="Times New Roman"/>
          <w:bCs/>
          <w:color w:val="000000" w:themeColor="text1"/>
          <w:sz w:val="20"/>
          <w:szCs w:val="20"/>
        </w:rPr>
        <w:t xml:space="preserve"> </w:t>
      </w:r>
      <w:r w:rsidRPr="0006264D">
        <w:rPr>
          <w:rFonts w:ascii="Times New Roman" w:hAnsi="Times New Roman"/>
          <w:bCs/>
          <w:color w:val="000000" w:themeColor="text1"/>
          <w:sz w:val="20"/>
          <w:szCs w:val="20"/>
        </w:rPr>
        <w:t>Case</w:t>
      </w:r>
      <w:r w:rsidRPr="0006264D">
        <w:rPr>
          <w:rFonts w:ascii="Times New Roman" w:hAnsi="Times New Roman"/>
          <w:bCs/>
          <w:color w:val="000000" w:themeColor="text1"/>
          <w:sz w:val="20"/>
          <w:szCs w:val="20"/>
          <w:lang w:eastAsia="zh-CN"/>
        </w:rPr>
        <w:t>;</w:t>
      </w:r>
      <w:r w:rsidRPr="0006264D">
        <w:rPr>
          <w:rFonts w:ascii="Times New Roman" w:hAnsi="Times New Roman"/>
          <w:bCs/>
          <w:color w:val="000000" w:themeColor="text1"/>
          <w:sz w:val="20"/>
          <w:szCs w:val="20"/>
        </w:rPr>
        <w:t xml:space="preserve"> Series</w:t>
      </w:r>
    </w:p>
    <w:p w:rsidR="00084B64" w:rsidRPr="00042B39" w:rsidRDefault="00084B64" w:rsidP="002F4011">
      <w:pPr>
        <w:snapToGrid w:val="0"/>
        <w:ind w:firstLine="425"/>
        <w:jc w:val="both"/>
        <w:rPr>
          <w:rFonts w:ascii="Times New Roman" w:hAnsi="Times New Roman"/>
          <w:sz w:val="22"/>
          <w:szCs w:val="20"/>
        </w:rPr>
      </w:pPr>
    </w:p>
    <w:p w:rsidR="0006264D" w:rsidRPr="0006264D" w:rsidRDefault="0006264D" w:rsidP="002F4011">
      <w:pPr>
        <w:widowControl w:val="0"/>
        <w:autoSpaceDE w:val="0"/>
        <w:autoSpaceDN w:val="0"/>
        <w:adjustRightInd w:val="0"/>
        <w:snapToGrid w:val="0"/>
        <w:jc w:val="both"/>
        <w:rPr>
          <w:rFonts w:ascii="Times New Roman" w:hAnsi="Times New Roman"/>
          <w:b/>
          <w:bCs/>
          <w:sz w:val="20"/>
          <w:szCs w:val="20"/>
        </w:rPr>
        <w:sectPr w:rsidR="0006264D" w:rsidRPr="0006264D" w:rsidSect="00E45D9C">
          <w:headerReference w:type="default" r:id="rId11"/>
          <w:footerReference w:type="even" r:id="rId12"/>
          <w:footerReference w:type="default" r:id="rId13"/>
          <w:type w:val="continuous"/>
          <w:pgSz w:w="12240" w:h="15840" w:code="1"/>
          <w:pgMar w:top="1440" w:right="1440" w:bottom="1440" w:left="1440" w:header="720" w:footer="720" w:gutter="0"/>
          <w:cols w:space="720"/>
          <w:docGrid w:linePitch="360"/>
        </w:sectPr>
      </w:pPr>
    </w:p>
    <w:p w:rsidR="009B7FE7" w:rsidRPr="0006264D" w:rsidRDefault="00315CBA" w:rsidP="002F4011">
      <w:pPr>
        <w:widowControl w:val="0"/>
        <w:autoSpaceDE w:val="0"/>
        <w:autoSpaceDN w:val="0"/>
        <w:adjustRightInd w:val="0"/>
        <w:snapToGrid w:val="0"/>
        <w:jc w:val="both"/>
        <w:rPr>
          <w:rFonts w:ascii="Times New Roman" w:hAnsi="Times New Roman"/>
          <w:b/>
          <w:bCs/>
          <w:sz w:val="20"/>
          <w:szCs w:val="20"/>
        </w:rPr>
      </w:pPr>
      <w:r w:rsidRPr="0006264D">
        <w:rPr>
          <w:rFonts w:ascii="Times New Roman" w:hAnsi="Times New Roman"/>
          <w:b/>
          <w:bCs/>
          <w:sz w:val="20"/>
          <w:szCs w:val="20"/>
        </w:rPr>
        <w:lastRenderedPageBreak/>
        <w:t xml:space="preserve">1. </w:t>
      </w:r>
      <w:r w:rsidR="009B7FE7" w:rsidRPr="0006264D">
        <w:rPr>
          <w:rFonts w:ascii="Times New Roman" w:hAnsi="Times New Roman"/>
          <w:b/>
          <w:bCs/>
          <w:sz w:val="20"/>
          <w:szCs w:val="20"/>
        </w:rPr>
        <w:t>Introduction</w:t>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The craniocervical junction acts as a transitional zone between the cranial base and the upper cervical spine. A wide variety of lesions can affect the structures making up the CCJ. An understanding of the pathogenesis of these lesions in the context of the various structures affected is needed before proceeding with a therapeutic regimen. Lesions are generally classified as congenital, developmental, or acquired. </w:t>
      </w:r>
      <w:r w:rsidR="00227A8B" w:rsidRPr="0006264D">
        <w:rPr>
          <w:rFonts w:ascii="Times New Roman" w:hAnsi="Times New Roman"/>
          <w:color w:val="000000"/>
          <w:sz w:val="20"/>
          <w:szCs w:val="20"/>
        </w:rPr>
        <w:fldChar w:fldCharType="begin" w:fldLock="1"/>
      </w:r>
      <w:r w:rsidRPr="0006264D">
        <w:rPr>
          <w:rFonts w:ascii="Times New Roman" w:hAnsi="Times New Roman"/>
          <w:color w:val="000000"/>
          <w:sz w:val="20"/>
          <w:szCs w:val="20"/>
        </w:rPr>
        <w:instrText>ADDIN CSL_CITATION {"citationItems":[{"id":"ITEM-1","itemData":{"DOI":"10.1097/00013414-200106000-00007","ISSN":"1050-6438","author":[{"dropping-particle":"","family":"Vender","given":"John R.","non-dropping-particle":"","parse-names":false,"suffix":""},{"dropping-particle":"","family":"McDonnell","given":"Dennis E.","non-dropping-particle":"","parse-names":false,"suffix":""}],"container-title":"Neurosurgery Quarterly","id":"ITEM-1","issue":"2","issued":{"date-parts":[["2001"]]},"page":"151-171","publisher":"LWW","title":"Management of Lesions Involving the Craniocervical Junction","type":"article-journal","volume":"11"},"uris":["http://www.mendeley.com/documents/?uuid=2cc2b340-d0ca-4b38-b3f7-63e37631fdcb"]}],"mendeley":{"formattedCitation":"[1]","plainTextFormattedCitation":"[1]","previouslyFormattedCitation":"[1]"},"properties":{"noteIndex":0},"schema":"https://github.com/citation-style-language/schema/raw/master/csl-citation.json"}</w:instrText>
      </w:r>
      <w:r w:rsidR="00227A8B" w:rsidRPr="0006264D">
        <w:rPr>
          <w:rFonts w:ascii="Times New Roman" w:hAnsi="Times New Roman"/>
          <w:color w:val="000000"/>
          <w:sz w:val="20"/>
          <w:szCs w:val="20"/>
        </w:rPr>
        <w:fldChar w:fldCharType="separate"/>
      </w:r>
      <w:r w:rsidRPr="0006264D">
        <w:rPr>
          <w:rFonts w:ascii="Times New Roman" w:hAnsi="Times New Roman"/>
          <w:noProof/>
          <w:color w:val="000000"/>
          <w:sz w:val="20"/>
          <w:szCs w:val="20"/>
        </w:rPr>
        <w:t>[1]</w:t>
      </w:r>
      <w:r w:rsidR="00227A8B" w:rsidRPr="0006264D">
        <w:rPr>
          <w:rFonts w:ascii="Times New Roman" w:hAnsi="Times New Roman"/>
          <w:color w:val="000000"/>
          <w:sz w:val="20"/>
          <w:szCs w:val="20"/>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vertAlign w:val="superscript"/>
        </w:rPr>
      </w:pPr>
      <w:r w:rsidRPr="0006264D">
        <w:rPr>
          <w:rFonts w:ascii="Times New Roman" w:hAnsi="Times New Roman"/>
          <w:color w:val="000000"/>
          <w:sz w:val="20"/>
          <w:szCs w:val="20"/>
        </w:rPr>
        <w:t xml:space="preserve">Abnormalities at the CCJ can present with a wide range of signs and symptoms. These can include pain, paresthesias, motor weakness and gait disturbance caused by myelopathy, brain stem, cranial nerve, cervical nerve root dysfunction, and vascular insufficiency with segmental ischemia. </w:t>
      </w:r>
      <w:r w:rsidR="00227A8B" w:rsidRPr="0006264D">
        <w:rPr>
          <w:rFonts w:ascii="Times New Roman" w:hAnsi="Times New Roman"/>
          <w:color w:val="000000"/>
          <w:sz w:val="20"/>
          <w:szCs w:val="20"/>
        </w:rPr>
        <w:fldChar w:fldCharType="begin" w:fldLock="1"/>
      </w:r>
      <w:r w:rsidRPr="0006264D">
        <w:rPr>
          <w:rFonts w:ascii="Times New Roman" w:hAnsi="Times New Roman"/>
          <w:color w:val="000000"/>
          <w:sz w:val="20"/>
          <w:szCs w:val="20"/>
        </w:rPr>
        <w:instrText>ADDIN CSL_CITATION {"citationItems":[{"id":"ITEM-1","itemData":{"author":[{"dropping-particle":"","family":"John","given":"I C","non-dropping-particle":"","parse-names":false,"suffix":""},{"dropping-particle":"","family":"Menezes","given":"Arnold H","non-dropping-particle":"","parse-names":false,"suffix":""}],"container-title":"Schmidek &amp; Sweet Operative Neurosurgical techniques: Indications, Methodes and Results,","id":"ITEM-1","issued":{"date-parts":[["2000"]]},"page":"1717-1728","title":"Craniovertebral Abnormalities and Their Treatment","type":"article-journal","volume":"2"},"uris":["http://www.mendeley.com/documents/?uuid=bd8fc6d2-7450-4870-aa17-1559237cd137"]}],"mendeley":{"formattedCitation":"[2]","plainTextFormattedCitation":"[2]","previouslyFormattedCitation":"[2]"},"properties":{"noteIndex":0},"schema":"https://github.com/citation-style-language/schema/raw/master/csl-citation.json"}</w:instrText>
      </w:r>
      <w:r w:rsidR="00227A8B" w:rsidRPr="0006264D">
        <w:rPr>
          <w:rFonts w:ascii="Times New Roman" w:hAnsi="Times New Roman"/>
          <w:color w:val="000000"/>
          <w:sz w:val="20"/>
          <w:szCs w:val="20"/>
        </w:rPr>
        <w:fldChar w:fldCharType="separate"/>
      </w:r>
      <w:r w:rsidRPr="0006264D">
        <w:rPr>
          <w:rFonts w:ascii="Times New Roman" w:hAnsi="Times New Roman"/>
          <w:noProof/>
          <w:color w:val="000000"/>
          <w:sz w:val="20"/>
          <w:szCs w:val="20"/>
        </w:rPr>
        <w:t>[2]</w:t>
      </w:r>
      <w:r w:rsidR="00227A8B" w:rsidRPr="0006264D">
        <w:rPr>
          <w:rFonts w:ascii="Times New Roman" w:hAnsi="Times New Roman"/>
          <w:color w:val="000000"/>
          <w:sz w:val="20"/>
          <w:szCs w:val="20"/>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vertAlign w:val="superscript"/>
        </w:rPr>
      </w:pPr>
      <w:r w:rsidRPr="0006264D">
        <w:rPr>
          <w:rFonts w:ascii="Times New Roman" w:hAnsi="Times New Roman"/>
          <w:color w:val="000000"/>
          <w:sz w:val="20"/>
          <w:szCs w:val="20"/>
        </w:rPr>
        <w:t xml:space="preserve">All surgical approaches and stabilization techniques are limited by the complexity of this region, when evaluating the patient with a CCJ lesion, it is important to assess the site of maximum compression, to determine whether the lesion is reducible or not, and to determine whether the CCJ is stable or unstable. The CCJ may be unstable as a result of the destruction of osseous and ligamentous structures by the underlying pathologic process or </w:t>
      </w:r>
      <w:r w:rsidRPr="0006264D">
        <w:rPr>
          <w:rFonts w:ascii="Times New Roman" w:hAnsi="Times New Roman"/>
          <w:color w:val="000000"/>
          <w:sz w:val="20"/>
          <w:szCs w:val="20"/>
        </w:rPr>
        <w:lastRenderedPageBreak/>
        <w:t>became unstable after surgical procedures. When CCJ malalignments are reducible, they must be considered unstable and fusion is always required. Based on these observations, a relatively straightforward treatment algorithm can be applied to determine the best management strategy for each patient. From this point, the selection of an anterior versus posterior surgical approach for decompression and stabilization is straightforward.</w:t>
      </w:r>
      <w:r w:rsidR="00227A8B" w:rsidRPr="0006264D">
        <w:rPr>
          <w:rFonts w:ascii="Times New Roman" w:hAnsi="Times New Roman"/>
          <w:color w:val="000000"/>
          <w:sz w:val="20"/>
          <w:szCs w:val="20"/>
          <w:vertAlign w:val="superscript"/>
        </w:rPr>
        <w:fldChar w:fldCharType="begin" w:fldLock="1"/>
      </w:r>
      <w:r w:rsidRPr="0006264D">
        <w:rPr>
          <w:rFonts w:ascii="Times New Roman" w:hAnsi="Times New Roman"/>
          <w:color w:val="000000"/>
          <w:sz w:val="20"/>
          <w:szCs w:val="20"/>
          <w:vertAlign w:val="superscript"/>
        </w:rPr>
        <w:instrText>ADDIN CSL_CITATION {"citationItems":[{"id":"ITEM-1","itemData":{"DOI":"10.3171/jns.1992.77.4.0525","ISBN":"0022-3085 (Print)\\n0022-3085 (Linking)","ISSN":"0022-3085","PMID":"1527609","abstract":"Twenty-seven cases of craniovertebral junction compression treated with transoral surgery were reviewed to assess the influences of pathological processes and surgical interventions on spinal stability. All patients presented with signs and symptoms of spinal-cord or brain-stem dysfunction. Pathology included rheumatoid arthritis in 11 patients, congenital osseous malformations in 11, spinal fractures in two, plasmacytoma in one, osteomyelitis in one, and a gunshot injury in one. Instability was defined as clear radiographic evidence of mobile subluxation in conjunction with clinical assessment. Of 19 patients (70%) requiring internal fixation, nine underwent upper cervical fusion and 10 had occipitocervical fusion. When instability occurred, all subluxations were at the C1-2 level. There were no occipito-atlantal subluxations. Eight patients (30%) had preoperative instability of the craniovertebral junction due solely to their pathology, 11 patients (40%) suffered instability after transoral surgery, and eight (30%) were without clinical or radiographic evidence of instability (mean follow-up period 14 months). Craniovertebral junction instability predominated among patients with rheumatoid arthritis: 91% required fusion and 45% presented with pre-existing instability. Among individuals with congenital osseous malformations, 45% required fusion and only one patient (9%) had pre-existing instability. Patients who required subsequent posterior decompression of a Chiari malformation were at risk for developing instability; three of four became unstable after posterior decompression. Transoral resection of the dens, the anterior arch of C-1, and the lower clivus does not fully destabilize the spine; however, this operation may potentiate incipient pathological instability. The primary determinants of instability are the extent of pathological bone destruction, ligamentous weakening, and operative bone removal. Long-term follow-up monitoring is needed after transoral surgery to detect cases of late instability.","author":[{"dropping-particle":"","family":"Dickman","given":"Curtis A.","non-dropping-particle":"","parse-names":false,"suffix":""},{"dropping-particle":"","family":"Locantro","given":"Jacqueline","non-dropping-particle":"","parse-names":false,"suffix":""},{"dropping-particle":"","family":"Fessler","given":"Richard G.","non-dropping-particle":"","parse-names":false,"suffix":""}],"container-title":"Journal of Neurosurgery","id":"ITEM-1","issue":"4","issued":{"date-parts":[["1992"]]},"page":"525-530","publisher":"Journal of Neurosurgery Publishing Group","title":"The influence of transoral odontoid resection on stability of the craniovertebral junction","type":"article-journal","volume":"77"},"uris":["http://www.mendeley.com/documents/?uuid=40d0f741-6603-4ba3-a7dc-9ece6fe0bab2"]}],"mendeley":{"formattedCitation":"[3]","plainTextFormattedCitation":"[3]","previouslyFormattedCitation":"[4]"},"properties":{"noteIndex":0},"schema":"https://github.com/citation-style-language/schema/raw/master/csl-citation.json"}</w:instrText>
      </w:r>
      <w:r w:rsidR="00227A8B" w:rsidRPr="0006264D">
        <w:rPr>
          <w:rFonts w:ascii="Times New Roman" w:hAnsi="Times New Roman"/>
          <w:color w:val="000000"/>
          <w:sz w:val="20"/>
          <w:szCs w:val="20"/>
          <w:vertAlign w:val="superscript"/>
        </w:rPr>
        <w:fldChar w:fldCharType="separate"/>
      </w:r>
      <w:r w:rsidRPr="0006264D">
        <w:rPr>
          <w:rFonts w:ascii="Times New Roman" w:hAnsi="Times New Roman"/>
          <w:noProof/>
          <w:color w:val="000000"/>
          <w:sz w:val="20"/>
          <w:szCs w:val="20"/>
        </w:rPr>
        <w:t>[3]</w:t>
      </w:r>
      <w:r w:rsidR="00227A8B" w:rsidRPr="0006264D">
        <w:rPr>
          <w:rFonts w:ascii="Times New Roman" w:hAnsi="Times New Roman"/>
          <w:color w:val="000000"/>
          <w:sz w:val="20"/>
          <w:szCs w:val="20"/>
          <w:vertAlign w:val="superscript"/>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The anterior surgical approaches are reserved for ventrally or ventrolaterally placed lesions that require resection and for decompression of mechanical lesions that cannot be reduced with traction or manipulation of the cervical spine. Lesions located ventral to the brain stem and spinal cord can be addressed through one of several anterior surgical approaches. Both the transoral transpharyngeal and high anterior cervical retropharyngeal approaches.</w:t>
      </w:r>
      <w:r w:rsidR="00227A8B" w:rsidRPr="0006264D">
        <w:rPr>
          <w:rFonts w:ascii="Times New Roman" w:hAnsi="Times New Roman"/>
          <w:color w:val="000000"/>
          <w:sz w:val="20"/>
          <w:szCs w:val="20"/>
          <w:vertAlign w:val="superscript"/>
        </w:rPr>
        <w:fldChar w:fldCharType="begin" w:fldLock="1"/>
      </w:r>
      <w:r w:rsidRPr="0006264D">
        <w:rPr>
          <w:rFonts w:ascii="Times New Roman" w:hAnsi="Times New Roman"/>
          <w:color w:val="000000"/>
          <w:sz w:val="20"/>
          <w:szCs w:val="20"/>
          <w:vertAlign w:val="superscript"/>
        </w:rPr>
        <w:instrText>ADDIN CSL_CITATION {"citationItems":[{"id":"ITEM-1","itemData":{"author":[{"dropping-particle":"","family":"Mcdonnell","given":"Dennis E","non-dropping-particle":"","parse-names":false,"suffix":""}],"container-title":"Wilkins RH, Rengachary SS, eds. Neurosurgery","edition":"McGraw-Hil","id":"ITEM-1","issued":{"date-parts":[["1996"]]},"page":"136-153","publisher-place":"New York","title":"Anterolateral Cervical Approach To the Craniovertebral Junction","type":"chapter"},"uris":["http://www.mendeley.com/documents/?uuid=5b9d9f84-9ea6-454d-88d4-15c00779d31c"]}],"mendeley":{"formattedCitation":"[4]","plainTextFormattedCitation":"[4]","previouslyFormattedCitation":"[5]"},"properties":{"noteIndex":0},"schema":"https://github.com/citation-style-language/schema/raw/master/csl-citation.json"}</w:instrText>
      </w:r>
      <w:r w:rsidR="00227A8B" w:rsidRPr="0006264D">
        <w:rPr>
          <w:rFonts w:ascii="Times New Roman" w:hAnsi="Times New Roman"/>
          <w:color w:val="000000"/>
          <w:sz w:val="20"/>
          <w:szCs w:val="20"/>
          <w:vertAlign w:val="superscript"/>
        </w:rPr>
        <w:fldChar w:fldCharType="separate"/>
      </w:r>
      <w:r w:rsidRPr="0006264D">
        <w:rPr>
          <w:rFonts w:ascii="Times New Roman" w:hAnsi="Times New Roman"/>
          <w:noProof/>
          <w:color w:val="000000"/>
          <w:sz w:val="20"/>
          <w:szCs w:val="20"/>
        </w:rPr>
        <w:t>[4]</w:t>
      </w:r>
      <w:r w:rsidR="00227A8B" w:rsidRPr="0006264D">
        <w:rPr>
          <w:rFonts w:ascii="Times New Roman" w:hAnsi="Times New Roman"/>
          <w:color w:val="000000"/>
          <w:sz w:val="20"/>
          <w:szCs w:val="20"/>
          <w:vertAlign w:val="superscript"/>
        </w:rPr>
        <w:fldChar w:fldCharType="end"/>
      </w:r>
    </w:p>
    <w:p w:rsidR="00042B39" w:rsidRDefault="009B7FE7" w:rsidP="002F4011">
      <w:pPr>
        <w:autoSpaceDE w:val="0"/>
        <w:autoSpaceDN w:val="0"/>
        <w:adjustRightInd w:val="0"/>
        <w:snapToGrid w:val="0"/>
        <w:ind w:firstLine="425"/>
        <w:jc w:val="both"/>
        <w:rPr>
          <w:rFonts w:ascii="Times New Roman" w:hAnsi="Times New Roman"/>
          <w:color w:val="000000"/>
          <w:sz w:val="20"/>
          <w:szCs w:val="20"/>
        </w:rPr>
        <w:sectPr w:rsidR="00042B39" w:rsidSect="0006264D">
          <w:type w:val="continuous"/>
          <w:pgSz w:w="12240" w:h="15840" w:code="1"/>
          <w:pgMar w:top="1440" w:right="1440" w:bottom="1440" w:left="1440" w:header="720" w:footer="720" w:gutter="0"/>
          <w:cols w:num="2" w:space="600"/>
          <w:docGrid w:linePitch="360"/>
        </w:sectPr>
      </w:pPr>
      <w:r w:rsidRPr="0006264D">
        <w:rPr>
          <w:rFonts w:ascii="Times New Roman" w:hAnsi="Times New Roman"/>
          <w:color w:val="000000"/>
          <w:sz w:val="20"/>
          <w:szCs w:val="20"/>
        </w:rPr>
        <w:t xml:space="preserve">A posterior decompression can be easily performed if dorsal compression from an irreducible malalignment or a dorsally located lesion is present. In most cases posterior approaches are used to stabilize the occipital-cervical junction if no anterior compression exists, after reduction of a malalignment </w:t>
      </w:r>
    </w:p>
    <w:p w:rsidR="009B7FE7" w:rsidRPr="0006264D" w:rsidRDefault="009F500F" w:rsidP="00042B39">
      <w:pPr>
        <w:autoSpaceDE w:val="0"/>
        <w:autoSpaceDN w:val="0"/>
        <w:adjustRightInd w:val="0"/>
        <w:snapToGrid w:val="0"/>
        <w:jc w:val="both"/>
        <w:rPr>
          <w:rFonts w:ascii="Times New Roman" w:hAnsi="Times New Roman"/>
          <w:color w:val="000000"/>
          <w:sz w:val="20"/>
          <w:szCs w:val="20"/>
        </w:rPr>
      </w:pPr>
      <w:r w:rsidRPr="0006264D">
        <w:rPr>
          <w:rFonts w:ascii="Times New Roman" w:hAnsi="Times New Roman"/>
          <w:color w:val="000000"/>
          <w:sz w:val="20"/>
          <w:szCs w:val="20"/>
        </w:rPr>
        <w:lastRenderedPageBreak/>
        <w:t xml:space="preserve">associated with anterior compression, or as an adjunct to an anterior, decompressive procedure. Some fixed </w:t>
      </w:r>
      <w:r w:rsidR="009B7FE7" w:rsidRPr="0006264D">
        <w:rPr>
          <w:rFonts w:ascii="Times New Roman" w:hAnsi="Times New Roman"/>
          <w:color w:val="000000"/>
          <w:sz w:val="20"/>
          <w:szCs w:val="20"/>
        </w:rPr>
        <w:t>anterior subluxations require laminectomy for adequate posterior neural decompression.</w:t>
      </w:r>
      <w:r w:rsidR="00227A8B" w:rsidRPr="0006264D">
        <w:rPr>
          <w:rFonts w:ascii="Times New Roman" w:hAnsi="Times New Roman"/>
          <w:color w:val="000000"/>
          <w:sz w:val="20"/>
          <w:szCs w:val="20"/>
        </w:rPr>
        <w:fldChar w:fldCharType="begin" w:fldLock="1"/>
      </w:r>
      <w:r w:rsidR="009B7FE7" w:rsidRPr="0006264D">
        <w:rPr>
          <w:rFonts w:ascii="Times New Roman" w:hAnsi="Times New Roman"/>
          <w:color w:val="000000"/>
          <w:sz w:val="20"/>
          <w:szCs w:val="20"/>
        </w:rPr>
        <w:instrText>ADDIN CSL_CITATION {"citationItems":[{"id":"ITEM-1","itemData":{"DOI":"10.1097/00013414-200106000-00007","ISSN":"1050-6438","author":[{"dropping-particle":"","family":"Vender","given":"John R.","non-dropping-particle":"","parse-names":false,"suffix":""},{"dropping-particle":"","family":"McDonnell","given":"Dennis E.","non-dropping-particle":"","parse-names":false,"suffix":""}],"container-title":"Neurosurgery Quarterly","id":"ITEM-1","issue":"2","issued":{"date-parts":[["2001"]]},"page":"151-171","publisher":"LWW","title":"Management of Lesions Involving the Craniocervical Junction","type":"article-journal","volume":"11"},"uris":["http://www.mendeley.com/documents/?uuid=2cc2b340-d0ca-4b38-b3f7-63e37631fdcb"]}],"mendeley":{"formattedCitation":"[1]","plainTextFormattedCitation":"[1]","previouslyFormattedCitation":"[1]"},"properties":{"noteIndex":0},"schema":"https://github.com/citation-style-language/schema/raw/master/csl-citation.json"}</w:instrText>
      </w:r>
      <w:r w:rsidR="00227A8B" w:rsidRPr="0006264D">
        <w:rPr>
          <w:rFonts w:ascii="Times New Roman" w:hAnsi="Times New Roman"/>
          <w:color w:val="000000"/>
          <w:sz w:val="20"/>
          <w:szCs w:val="20"/>
        </w:rPr>
        <w:fldChar w:fldCharType="separate"/>
      </w:r>
      <w:r w:rsidR="009B7FE7" w:rsidRPr="0006264D">
        <w:rPr>
          <w:rFonts w:ascii="Times New Roman" w:hAnsi="Times New Roman"/>
          <w:noProof/>
          <w:color w:val="000000"/>
          <w:sz w:val="20"/>
          <w:szCs w:val="20"/>
        </w:rPr>
        <w:t>[1]</w:t>
      </w:r>
      <w:r w:rsidR="00227A8B" w:rsidRPr="0006264D">
        <w:rPr>
          <w:rFonts w:ascii="Times New Roman" w:hAnsi="Times New Roman"/>
          <w:color w:val="000000"/>
          <w:sz w:val="20"/>
          <w:szCs w:val="20"/>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vertAlign w:val="superscript"/>
        </w:rPr>
      </w:pPr>
      <w:r w:rsidRPr="0006264D">
        <w:rPr>
          <w:rFonts w:ascii="Times New Roman" w:hAnsi="Times New Roman"/>
          <w:color w:val="000000"/>
          <w:sz w:val="20"/>
          <w:szCs w:val="20"/>
        </w:rPr>
        <w:t>Seeger was the first to describe a dorsolateral approach to the vertebrobasilar junction and to use the term “transcondylar” in the present context. Traditionally, the midline posterior approach was used to expose most intradural lesions located lateral or posterior to the neuraxis at the cervicomedullary junction. Being associated with significant disadvantages, the direct transoral approach to intradural pathology of the foramen magnum region has not gained wide acceptance. Instead, multiple variations of the suboccipital approach were elaborated and published in the 1980s and early 1990s. George and Laurian advocated the lateral enlargement of the usual posterior opening. This exposure requires control of the vertebral artery and sigmoid sinus. For further enlargement, medial transposition of the vertebral artery and transection of the sigmoid sinus with inferior petrosal resection are necessary.</w:t>
      </w:r>
      <w:r w:rsidR="00227A8B" w:rsidRPr="0006264D">
        <w:rPr>
          <w:rFonts w:ascii="Times New Roman" w:hAnsi="Times New Roman"/>
          <w:color w:val="000000"/>
          <w:sz w:val="20"/>
          <w:szCs w:val="20"/>
          <w:vertAlign w:val="superscript"/>
        </w:rPr>
        <w:fldChar w:fldCharType="begin" w:fldLock="1"/>
      </w:r>
      <w:r w:rsidRPr="0006264D">
        <w:rPr>
          <w:rFonts w:ascii="Times New Roman" w:hAnsi="Times New Roman"/>
          <w:color w:val="000000"/>
          <w:sz w:val="20"/>
          <w:szCs w:val="20"/>
          <w:vertAlign w:val="superscript"/>
        </w:rPr>
        <w:instrText>ADDIN CSL_CITATION {"citationItems":[{"id":"ITEM-1","itemData":{"ISBN":"0148-396X","ISSN":"0148396X","PMID":"1758590","abstract":"The authors review their experience with a dorsolateral approach to the anterior rim of the foramen magnum and adjacent region. The operative technique includes exposure of the vertebral artery at C1, partial resection of the occipital condyle and lateral atlantal mass, and extradural drilling of the jugular tubercle. This approach has been applied in six patients who harbored intradural space-occupying lesions located ventral to the lower brain stem. Excision of the neoplasm was virtually total in all but one patient, in whom biopsy was the primary goal of the intervention. No morbidity and no mortality were associated with this approach. The main advantage of the dorsolateral, suboccipital, transcondylar route is the direct view it offers to the anterior rim of the foramen magnum without requiring brain stem retraction.","author":[{"dropping-particle":"","family":"Bertalanffy","given":"H.","non-dropping-particle":"","parse-names":false,"suffix":""},{"dropping-particle":"","family":"Seeger","given":"W.","non-dropping-particle":"","parse-names":false,"suffix":""}],"container-title":"Neurosurgery","id":"ITEM-1","issue":"6","issued":{"date-parts":[["1991"]]},"page":"815-821","publisher":"LWW","title":"The dorsolateral, suboccipital, transcondylar approach to the lower clivus and anterior portion of the craniocervical junction","type":"article-journal","volume":"29"},"uris":["http://www.mendeley.com/documents/?uuid=854a72cc-f5bc-4916-90f3-65451f759c6a"]}],"mendeley":{"formattedCitation":"[5]","plainTextFormattedCitation":"[5]","previouslyFormattedCitation":"[6]"},"properties":{"noteIndex":0},"schema":"https://github.com/citation-style-language/schema/raw/master/csl-citation.json"}</w:instrText>
      </w:r>
      <w:r w:rsidR="00227A8B" w:rsidRPr="0006264D">
        <w:rPr>
          <w:rFonts w:ascii="Times New Roman" w:hAnsi="Times New Roman"/>
          <w:color w:val="000000"/>
          <w:sz w:val="20"/>
          <w:szCs w:val="20"/>
          <w:vertAlign w:val="superscript"/>
        </w:rPr>
        <w:fldChar w:fldCharType="separate"/>
      </w:r>
      <w:r w:rsidRPr="0006264D">
        <w:rPr>
          <w:rFonts w:ascii="Times New Roman" w:hAnsi="Times New Roman"/>
          <w:noProof/>
          <w:color w:val="000000"/>
          <w:sz w:val="20"/>
          <w:szCs w:val="20"/>
        </w:rPr>
        <w:t>[5]</w:t>
      </w:r>
      <w:r w:rsidR="00227A8B" w:rsidRPr="0006264D">
        <w:rPr>
          <w:rFonts w:ascii="Times New Roman" w:hAnsi="Times New Roman"/>
          <w:color w:val="000000"/>
          <w:sz w:val="20"/>
          <w:szCs w:val="20"/>
          <w:vertAlign w:val="superscript"/>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Various types of tumors may be found at the CCJ. Confusion between benign and malignant tumors or pseudotumors must be avoided, sometimes requiring a biopsy. Surgery using a lateral approach usually permits the surgeon to achieve a complete resection either preserving the stability of the CCJ whenever intact or associated with stabilization procedure. Tumoral involvement of the neighboring structures including bone, nerves and vertebral artery and the dynamic aspects of the bone structures raise technical difficulties in the surgical approach. The surgical management includes tumoral resection and stabilization of the CCJ.</w:t>
      </w:r>
      <w:r w:rsidR="00227A8B" w:rsidRPr="0006264D">
        <w:rPr>
          <w:rFonts w:ascii="Times New Roman" w:hAnsi="Times New Roman"/>
          <w:color w:val="000000"/>
          <w:sz w:val="20"/>
          <w:szCs w:val="20"/>
          <w:vertAlign w:val="superscript"/>
        </w:rPr>
        <w:fldChar w:fldCharType="begin" w:fldLock="1"/>
      </w:r>
      <w:r w:rsidRPr="0006264D">
        <w:rPr>
          <w:rFonts w:ascii="Times New Roman" w:hAnsi="Times New Roman"/>
          <w:color w:val="000000"/>
          <w:sz w:val="20"/>
          <w:szCs w:val="20"/>
          <w:vertAlign w:val="superscript"/>
        </w:rPr>
        <w:instrText>ADDIN CSL_CITATION {"citationItems":[{"id":"ITEM-1","itemData":{"DOI":"10.1007/s00701-006-0789-2","ISBN":"0001-6268 (Print) 0001-6268 (Linking)","ISSN":"00016268","PMID":"16708168","abstract":"BACKGROUND: Bone tumors located at the cranio-cervical junction (CCJ)are rare. Tumoral involvement of the neighbouring structures including bone, nerves and vertebral artery and the dynamic aspects of the bone structures raise technical difficulties in the surgical approach. The surgical management includes tumoral resection and stabilization of the CCJ.\\n\\nMETHODS: Forty-one patients presenting a bone tumor (26 benign and 15 malignant tumors), excluding chordomas, located at the CCJ (including lower third of the clivus, C1 and C2) were observed over 20 years from 1981 to 2001. Imaging work-up included CT scanner with bone windows sequences and reconstruction in the coronal and sagittal plane; since 1984 most of the patients (N=35) underwent a MRI and angioMR scanning. Vertebral angiography was rarely performed (N=9) and mostly when the diagnosis was doubtful. In some cases the diagnosis was clear but in others, imaging studies showed destructive lesions suggesting a malignancy, which sometimes required a biopsy (N=4). The surgical resection was only performed through a lateral approach.\\n\\nFINDINGS: Complete resection was achieved in 38 cases while in 3 cases a small remnant was left behind. A complementary stabilization procedure was necessary in 18 cases using either bone grafting during the same procedure and through the same approach (N=5) or a craniocervical plating and bone grafting (N=13). No recurrence in the group of benign tumors was seen during an average follow-up of 6 years (from 2 to 11 years). The pre-operative symptoms of pain and neck stiffness, improved or disappeared in most patients. Three patients with lower cranial nerves (N=2) or sphincter disturbances (N=1) remained unchanged. One patient with tetraplegia eventually died.\\n\\nCONCLUSIONS: Various types of bone tumors may be found at the CCJ. Confusion between benign and malignant tumor or pseudo tumors must be avoided, sometimes requiring a biopsy. Surgery using a lateral approach, usually permits the surgeon to achieve a complete resection either preserving the stability of the CCJ whenever intact or associated with a stabilization procedure.","author":[{"dropping-particle":"","family":"George","given":"B.","non-dropping-particle":"","parse-names":false,"suffix":""},{"dropping-particle":"","family":"Archilli","given":"M.","non-dropping-particle":"","parse-names":false,"suffix":""},{"dropping-particle":"","family":"Cornelius","given":"J. F.","non-dropping-particle":"","parse-names":false,"suffix":""}],"container-title":"Acta Neurochirurgica","id":"ITEM-1","issue":"7","issued":{"date-parts":[["2006"]]},"page":"741-749","publisher":"Springer","title":"Bone tumors at the cranio-cervical junction. Surgical management and results from a series of 41 cases","type":"article-journal","volume":"148"},"uris":["http://www.mendeley.com/documents/?uuid=c8dbfa42-922b-4a85-82f5-ccecea590f4e"]}],"mendeley":{"formattedCitation":"[6]","plainTextFormattedCitation":"[6]","previouslyFormattedCitation":"[7]"},"properties":{"noteIndex":0},"schema":"https://github.com/citation-style-language/schema/raw/master/csl-citation.json"}</w:instrText>
      </w:r>
      <w:r w:rsidR="00227A8B" w:rsidRPr="0006264D">
        <w:rPr>
          <w:rFonts w:ascii="Times New Roman" w:hAnsi="Times New Roman"/>
          <w:color w:val="000000"/>
          <w:sz w:val="20"/>
          <w:szCs w:val="20"/>
          <w:vertAlign w:val="superscript"/>
        </w:rPr>
        <w:fldChar w:fldCharType="separate"/>
      </w:r>
      <w:r w:rsidRPr="0006264D">
        <w:rPr>
          <w:rFonts w:ascii="Times New Roman" w:hAnsi="Times New Roman"/>
          <w:noProof/>
          <w:color w:val="000000"/>
          <w:sz w:val="20"/>
          <w:szCs w:val="20"/>
        </w:rPr>
        <w:t>[6]</w:t>
      </w:r>
      <w:r w:rsidR="00227A8B" w:rsidRPr="0006264D">
        <w:rPr>
          <w:rFonts w:ascii="Times New Roman" w:hAnsi="Times New Roman"/>
          <w:color w:val="000000"/>
          <w:sz w:val="20"/>
          <w:szCs w:val="20"/>
          <w:vertAlign w:val="superscript"/>
        </w:rPr>
        <w:fldChar w:fldCharType="end"/>
      </w:r>
    </w:p>
    <w:p w:rsidR="009B7FE7" w:rsidRPr="0006264D" w:rsidRDefault="009B7FE7" w:rsidP="002F4011">
      <w:pPr>
        <w:autoSpaceDE w:val="0"/>
        <w:autoSpaceDN w:val="0"/>
        <w:adjustRightInd w:val="0"/>
        <w:snapToGrid w:val="0"/>
        <w:ind w:firstLine="425"/>
        <w:jc w:val="both"/>
        <w:rPr>
          <w:rFonts w:ascii="Times New Roman" w:hAnsi="Times New Roman"/>
          <w:color w:val="000000"/>
          <w:sz w:val="20"/>
          <w:szCs w:val="10"/>
        </w:rPr>
      </w:pPr>
    </w:p>
    <w:p w:rsidR="00E15978" w:rsidRPr="0006264D" w:rsidRDefault="00315CBA" w:rsidP="002F4011">
      <w:pPr>
        <w:widowControl w:val="0"/>
        <w:autoSpaceDE w:val="0"/>
        <w:autoSpaceDN w:val="0"/>
        <w:adjustRightInd w:val="0"/>
        <w:snapToGrid w:val="0"/>
        <w:jc w:val="both"/>
        <w:rPr>
          <w:rFonts w:ascii="Times New Roman" w:hAnsi="Times New Roman"/>
          <w:b/>
          <w:bCs/>
          <w:sz w:val="20"/>
          <w:szCs w:val="20"/>
        </w:rPr>
      </w:pPr>
      <w:r w:rsidRPr="0006264D">
        <w:rPr>
          <w:rFonts w:ascii="Times New Roman" w:hAnsi="Times New Roman"/>
          <w:b/>
          <w:bCs/>
          <w:sz w:val="20"/>
          <w:szCs w:val="20"/>
        </w:rPr>
        <w:t xml:space="preserve">2. </w:t>
      </w:r>
      <w:r w:rsidR="00E15978" w:rsidRPr="0006264D">
        <w:rPr>
          <w:rFonts w:ascii="Times New Roman" w:hAnsi="Times New Roman"/>
          <w:b/>
          <w:bCs/>
          <w:sz w:val="20"/>
          <w:szCs w:val="20"/>
        </w:rPr>
        <w:t>Patients and Methods</w:t>
      </w:r>
    </w:p>
    <w:p w:rsidR="00E15978" w:rsidRPr="0006264D" w:rsidRDefault="00E15978" w:rsidP="002F4011">
      <w:pPr>
        <w:snapToGrid w:val="0"/>
        <w:ind w:firstLine="425"/>
        <w:jc w:val="both"/>
        <w:rPr>
          <w:rFonts w:ascii="Times New Roman" w:hAnsi="Times New Roman"/>
          <w:sz w:val="20"/>
          <w:szCs w:val="20"/>
        </w:rPr>
      </w:pPr>
      <w:r w:rsidRPr="0006264D">
        <w:rPr>
          <w:rFonts w:ascii="Times New Roman" w:hAnsi="Times New Roman"/>
          <w:sz w:val="20"/>
          <w:szCs w:val="20"/>
        </w:rPr>
        <w:t xml:space="preserve">This descriptive study included </w:t>
      </w:r>
      <w:r w:rsidRPr="0006264D">
        <w:rPr>
          <w:rFonts w:ascii="Times New Roman" w:hAnsi="Times New Roman"/>
          <w:b/>
          <w:bCs/>
          <w:sz w:val="20"/>
          <w:szCs w:val="20"/>
        </w:rPr>
        <w:t>35</w:t>
      </w:r>
      <w:r w:rsidRPr="0006264D">
        <w:rPr>
          <w:rFonts w:ascii="Times New Roman" w:hAnsi="Times New Roman"/>
          <w:sz w:val="20"/>
          <w:szCs w:val="20"/>
        </w:rPr>
        <w:t xml:space="preserve"> patients with different types of craniocervical junction lesions, managed in the departments of Neurosurgery, Tanta University between February 2016 to December 2018.</w:t>
      </w:r>
      <w:r w:rsidR="0006201C" w:rsidRPr="0006264D">
        <w:rPr>
          <w:rFonts w:ascii="Times New Roman" w:hAnsi="Times New Roman"/>
          <w:sz w:val="20"/>
          <w:szCs w:val="20"/>
        </w:rPr>
        <w:t xml:space="preserve"> The inclusion criteria included p</w:t>
      </w:r>
      <w:r w:rsidRPr="0006264D">
        <w:rPr>
          <w:rFonts w:ascii="Times New Roman" w:hAnsi="Times New Roman"/>
          <w:sz w:val="20"/>
          <w:szCs w:val="20"/>
        </w:rPr>
        <w:t xml:space="preserve">atients with different craniocervical junction lesions </w:t>
      </w:r>
      <w:r w:rsidR="0006201C" w:rsidRPr="0006264D">
        <w:rPr>
          <w:rFonts w:ascii="Times New Roman" w:hAnsi="Times New Roman"/>
          <w:sz w:val="20"/>
          <w:szCs w:val="20"/>
        </w:rPr>
        <w:t xml:space="preserve">who were surgically treated </w:t>
      </w:r>
      <w:r w:rsidRPr="0006264D">
        <w:rPr>
          <w:rFonts w:ascii="Times New Roman" w:hAnsi="Times New Roman"/>
          <w:sz w:val="20"/>
          <w:szCs w:val="20"/>
        </w:rPr>
        <w:t>were classified</w:t>
      </w:r>
      <w:r w:rsidR="0006201C" w:rsidRPr="0006264D">
        <w:rPr>
          <w:rFonts w:ascii="Times New Roman" w:hAnsi="Times New Roman"/>
          <w:sz w:val="20"/>
          <w:szCs w:val="20"/>
        </w:rPr>
        <w:t xml:space="preserve"> into: neoplastic and non-neoplastic lesions including congenital, developmental, traumatic bony lesions and other lesions as inflammatory lesions also included. We excluded in this series patients treated conservatively and </w:t>
      </w:r>
    </w:p>
    <w:p w:rsidR="0006201C" w:rsidRPr="0006264D" w:rsidRDefault="0006201C" w:rsidP="002F4011">
      <w:pPr>
        <w:widowControl w:val="0"/>
        <w:autoSpaceDE w:val="0"/>
        <w:autoSpaceDN w:val="0"/>
        <w:adjustRightInd w:val="0"/>
        <w:snapToGrid w:val="0"/>
        <w:ind w:firstLine="425"/>
        <w:jc w:val="both"/>
        <w:rPr>
          <w:rFonts w:ascii="Times New Roman" w:hAnsi="Times New Roman"/>
          <w:color w:val="000000" w:themeColor="text1"/>
          <w:sz w:val="20"/>
          <w:szCs w:val="20"/>
        </w:rPr>
      </w:pPr>
      <w:r w:rsidRPr="0006264D">
        <w:rPr>
          <w:rFonts w:ascii="Times New Roman" w:hAnsi="Times New Roman"/>
          <w:color w:val="000000" w:themeColor="text1"/>
          <w:sz w:val="20"/>
          <w:szCs w:val="20"/>
        </w:rPr>
        <w:t xml:space="preserve">All patients were subjected to clinical history and examination (general and neurological). Suboccipital headache was evaluated by VAS, other symptoms were also evaluated as numbness, weakness. All cases were evaluated radiologically by MRI brain, Cervical and also whole spine MRI in </w:t>
      </w:r>
      <w:r w:rsidRPr="0006264D">
        <w:rPr>
          <w:rFonts w:ascii="Times New Roman" w:hAnsi="Times New Roman"/>
          <w:color w:val="000000" w:themeColor="text1"/>
          <w:sz w:val="20"/>
          <w:szCs w:val="20"/>
        </w:rPr>
        <w:lastRenderedPageBreak/>
        <w:t>Chiari cases to assess for syrinx or not.</w:t>
      </w:r>
    </w:p>
    <w:p w:rsidR="002F4011" w:rsidRDefault="00E15978" w:rsidP="002F4011">
      <w:pPr>
        <w:snapToGrid w:val="0"/>
        <w:ind w:firstLine="425"/>
        <w:jc w:val="both"/>
        <w:rPr>
          <w:rFonts w:ascii="Times New Roman" w:hAnsi="Times New Roman"/>
          <w:sz w:val="20"/>
          <w:szCs w:val="20"/>
        </w:rPr>
      </w:pPr>
      <w:r w:rsidRPr="0006264D">
        <w:rPr>
          <w:rFonts w:ascii="Times New Roman" w:hAnsi="Times New Roman"/>
          <w:sz w:val="20"/>
          <w:szCs w:val="20"/>
        </w:rPr>
        <w:t>Treatment</w:t>
      </w:r>
      <w:r w:rsidR="00B83973" w:rsidRPr="0006264D">
        <w:rPr>
          <w:rFonts w:ascii="Times New Roman" w:hAnsi="Times New Roman"/>
          <w:sz w:val="20"/>
          <w:szCs w:val="20"/>
        </w:rPr>
        <w:t xml:space="preserve"> included a</w:t>
      </w:r>
      <w:r w:rsidRPr="0006264D">
        <w:rPr>
          <w:rFonts w:ascii="Times New Roman" w:hAnsi="Times New Roman"/>
          <w:sz w:val="20"/>
          <w:szCs w:val="20"/>
        </w:rPr>
        <w:t>n informed consent obtained from all participants in this research</w:t>
      </w:r>
      <w:r w:rsidR="002F4011" w:rsidRPr="0006264D">
        <w:rPr>
          <w:rFonts w:ascii="Times New Roman" w:hAnsi="Times New Roman"/>
          <w:sz w:val="20"/>
          <w:szCs w:val="20"/>
        </w:rPr>
        <w:t>.</w:t>
      </w:r>
      <w:r w:rsidR="002F4011">
        <w:rPr>
          <w:rFonts w:ascii="Times New Roman" w:hAnsi="Times New Roman"/>
          <w:sz w:val="20"/>
          <w:szCs w:val="20"/>
        </w:rPr>
        <w:t xml:space="preserve"> </w:t>
      </w:r>
      <w:r w:rsidR="002F4011" w:rsidRPr="0006264D">
        <w:rPr>
          <w:rFonts w:ascii="Times New Roman" w:hAnsi="Times New Roman"/>
          <w:sz w:val="20"/>
          <w:szCs w:val="20"/>
        </w:rPr>
        <w:t>P</w:t>
      </w:r>
      <w:r w:rsidRPr="0006264D">
        <w:rPr>
          <w:rFonts w:ascii="Times New Roman" w:hAnsi="Times New Roman"/>
          <w:sz w:val="20"/>
          <w:szCs w:val="20"/>
        </w:rPr>
        <w:t>atients included in the study, according to inclusion and exclusion criteria mentioned above subjected to surgical intervention either Anterior, Posterior or Posterolateral approach to the craniocervical junction. Decision making based upon the radiologic study regarding anatomic location, relation to bone, Neurovascular structures and according to stability of this area, fusion was considered in unstable conditions or post-surgical instabilit</w:t>
      </w:r>
      <w:r w:rsidR="002F4011" w:rsidRPr="0006264D">
        <w:rPr>
          <w:rFonts w:ascii="Times New Roman" w:hAnsi="Times New Roman"/>
          <w:sz w:val="20"/>
          <w:szCs w:val="20"/>
        </w:rPr>
        <w:t>y</w:t>
      </w:r>
      <w:r w:rsidR="002F4011">
        <w:rPr>
          <w:rFonts w:ascii="Times New Roman" w:hAnsi="Times New Roman"/>
          <w:sz w:val="20"/>
          <w:szCs w:val="20"/>
        </w:rPr>
        <w:t>.</w:t>
      </w:r>
    </w:p>
    <w:p w:rsidR="00E15978" w:rsidRPr="0006264D" w:rsidRDefault="00E15978" w:rsidP="002F4011">
      <w:pPr>
        <w:snapToGrid w:val="0"/>
        <w:ind w:firstLine="425"/>
        <w:jc w:val="both"/>
        <w:rPr>
          <w:rFonts w:ascii="Times New Roman" w:hAnsi="Times New Roman"/>
          <w:sz w:val="20"/>
          <w:szCs w:val="20"/>
        </w:rPr>
      </w:pPr>
      <w:r w:rsidRPr="0006264D">
        <w:rPr>
          <w:rFonts w:ascii="Times New Roman" w:hAnsi="Times New Roman"/>
          <w:sz w:val="20"/>
          <w:szCs w:val="20"/>
        </w:rPr>
        <w:t>Follow up</w:t>
      </w:r>
      <w:r w:rsidR="00B83973" w:rsidRPr="0006264D">
        <w:rPr>
          <w:rFonts w:ascii="Times New Roman" w:hAnsi="Times New Roman"/>
          <w:sz w:val="20"/>
          <w:szCs w:val="20"/>
        </w:rPr>
        <w:t>, a</w:t>
      </w:r>
      <w:r w:rsidRPr="0006264D">
        <w:rPr>
          <w:rFonts w:ascii="Times New Roman" w:hAnsi="Times New Roman"/>
          <w:sz w:val="20"/>
          <w:szCs w:val="20"/>
        </w:rPr>
        <w:t xml:space="preserve">ll patients were followed up after surgery for at least </w:t>
      </w:r>
      <w:r w:rsidR="0006201C" w:rsidRPr="0006264D">
        <w:rPr>
          <w:rFonts w:ascii="Times New Roman" w:hAnsi="Times New Roman"/>
          <w:sz w:val="20"/>
          <w:szCs w:val="20"/>
        </w:rPr>
        <w:t>6</w:t>
      </w:r>
      <w:r w:rsidRPr="0006264D">
        <w:rPr>
          <w:rFonts w:ascii="Times New Roman" w:hAnsi="Times New Roman"/>
          <w:sz w:val="20"/>
          <w:szCs w:val="20"/>
        </w:rPr>
        <w:t xml:space="preserve"> months </w:t>
      </w:r>
      <w:r w:rsidR="00B83973" w:rsidRPr="0006264D">
        <w:rPr>
          <w:rFonts w:ascii="Times New Roman" w:hAnsi="Times New Roman"/>
          <w:sz w:val="20"/>
          <w:szCs w:val="20"/>
        </w:rPr>
        <w:t xml:space="preserve">including </w:t>
      </w:r>
      <w:r w:rsidRPr="0006264D">
        <w:rPr>
          <w:rFonts w:ascii="Times New Roman" w:eastAsia="Calibri" w:hAnsi="Times New Roman"/>
          <w:sz w:val="20"/>
          <w:szCs w:val="20"/>
        </w:rPr>
        <w:t>Clinical</w:t>
      </w:r>
      <w:r w:rsidR="00B83973" w:rsidRPr="0006264D">
        <w:rPr>
          <w:rFonts w:ascii="Times New Roman" w:eastAsia="Calibri" w:hAnsi="Times New Roman"/>
          <w:sz w:val="20"/>
          <w:szCs w:val="20"/>
        </w:rPr>
        <w:t xml:space="preserve"> e</w:t>
      </w:r>
      <w:r w:rsidRPr="0006264D">
        <w:rPr>
          <w:rFonts w:ascii="Times New Roman" w:eastAsia="Calibri" w:hAnsi="Times New Roman"/>
          <w:sz w:val="20"/>
          <w:szCs w:val="20"/>
        </w:rPr>
        <w:t>valuation of neurological status of patient</w:t>
      </w:r>
      <w:r w:rsidR="00B83973" w:rsidRPr="0006264D">
        <w:rPr>
          <w:rFonts w:ascii="Times New Roman" w:eastAsia="Calibri" w:hAnsi="Times New Roman"/>
          <w:sz w:val="20"/>
          <w:szCs w:val="20"/>
        </w:rPr>
        <w:t xml:space="preserve"> and radiological evaluation including</w:t>
      </w:r>
      <w:r w:rsidR="00B83973" w:rsidRPr="0006264D">
        <w:rPr>
          <w:rFonts w:ascii="Times New Roman" w:hAnsi="Times New Roman"/>
          <w:sz w:val="20"/>
          <w:szCs w:val="20"/>
        </w:rPr>
        <w:t>: f</w:t>
      </w:r>
      <w:r w:rsidRPr="0006264D">
        <w:rPr>
          <w:rFonts w:ascii="Times New Roman" w:hAnsi="Times New Roman"/>
          <w:sz w:val="20"/>
          <w:szCs w:val="20"/>
        </w:rPr>
        <w:t>ollow up x-ray</w:t>
      </w:r>
      <w:r w:rsidR="00B83973" w:rsidRPr="0006264D">
        <w:rPr>
          <w:rFonts w:ascii="Times New Roman" w:hAnsi="Times New Roman"/>
          <w:sz w:val="20"/>
          <w:szCs w:val="20"/>
        </w:rPr>
        <w:t xml:space="preserve"> cervical spine and </w:t>
      </w:r>
      <w:r w:rsidRPr="0006264D">
        <w:rPr>
          <w:rFonts w:ascii="Times New Roman" w:hAnsi="Times New Roman"/>
          <w:sz w:val="20"/>
          <w:szCs w:val="20"/>
        </w:rPr>
        <w:t>CT scan and /or MRI according to the pathology of the lesion.</w:t>
      </w:r>
    </w:p>
    <w:p w:rsidR="008118D1" w:rsidRPr="0006264D" w:rsidRDefault="008118D1" w:rsidP="002F4011">
      <w:pPr>
        <w:snapToGrid w:val="0"/>
        <w:ind w:firstLine="425"/>
        <w:jc w:val="both"/>
        <w:rPr>
          <w:rFonts w:ascii="Times New Roman" w:hAnsi="Times New Roman"/>
          <w:color w:val="000000" w:themeColor="text1"/>
          <w:sz w:val="20"/>
          <w:szCs w:val="20"/>
        </w:rPr>
      </w:pPr>
      <w:r w:rsidRPr="0006264D">
        <w:rPr>
          <w:rFonts w:ascii="Times New Roman" w:hAnsi="Times New Roman"/>
          <w:color w:val="000000" w:themeColor="text1"/>
          <w:sz w:val="20"/>
          <w:szCs w:val="20"/>
        </w:rPr>
        <w:t xml:space="preserve">Surgical approach to the craniocervical junction is usually chosen according to the pathology and location of the lesion and weather fusion </w:t>
      </w:r>
      <w:r w:rsidR="003150AB" w:rsidRPr="0006264D">
        <w:rPr>
          <w:rFonts w:ascii="Times New Roman" w:hAnsi="Times New Roman"/>
          <w:color w:val="000000" w:themeColor="text1"/>
          <w:sz w:val="20"/>
          <w:szCs w:val="20"/>
        </w:rPr>
        <w:t>is needed or not</w:t>
      </w:r>
      <w:r w:rsidRPr="0006264D">
        <w:rPr>
          <w:rFonts w:ascii="Times New Roman" w:hAnsi="Times New Roman"/>
          <w:color w:val="000000" w:themeColor="text1"/>
          <w:sz w:val="20"/>
          <w:szCs w:val="20"/>
        </w:rPr>
        <w:t>.</w:t>
      </w:r>
    </w:p>
    <w:p w:rsidR="008118D1" w:rsidRPr="0006264D" w:rsidRDefault="008118D1" w:rsidP="002F4011">
      <w:pPr>
        <w:snapToGrid w:val="0"/>
        <w:ind w:firstLine="425"/>
        <w:jc w:val="both"/>
        <w:rPr>
          <w:rFonts w:ascii="Times New Roman" w:hAnsi="Times New Roman"/>
          <w:color w:val="000000" w:themeColor="text1"/>
          <w:sz w:val="20"/>
          <w:szCs w:val="20"/>
        </w:rPr>
      </w:pPr>
      <w:r w:rsidRPr="0006264D">
        <w:rPr>
          <w:rFonts w:ascii="Times New Roman" w:hAnsi="Times New Roman"/>
          <w:color w:val="000000" w:themeColor="text1"/>
          <w:sz w:val="20"/>
          <w:szCs w:val="20"/>
        </w:rPr>
        <w:t xml:space="preserve">The posterior approach is the most common approach used in these thesis as it gives us wide range for managing cases in the region of the </w:t>
      </w:r>
      <w:r w:rsidR="003150AB" w:rsidRPr="0006264D">
        <w:rPr>
          <w:rFonts w:ascii="Times New Roman" w:hAnsi="Times New Roman"/>
          <w:color w:val="000000" w:themeColor="text1"/>
          <w:sz w:val="20"/>
          <w:szCs w:val="20"/>
        </w:rPr>
        <w:t>c</w:t>
      </w:r>
      <w:r w:rsidRPr="0006264D">
        <w:rPr>
          <w:rFonts w:ascii="Times New Roman" w:hAnsi="Times New Roman"/>
          <w:color w:val="000000" w:themeColor="text1"/>
          <w:sz w:val="20"/>
          <w:szCs w:val="20"/>
        </w:rPr>
        <w:t>raniocervical junction, some cases</w:t>
      </w:r>
      <w:r w:rsidR="00E45D9C" w:rsidRPr="0006264D">
        <w:rPr>
          <w:rFonts w:ascii="Times New Roman" w:hAnsi="Times New Roman"/>
          <w:color w:val="000000" w:themeColor="text1"/>
          <w:sz w:val="20"/>
          <w:szCs w:val="20"/>
        </w:rPr>
        <w:t xml:space="preserve"> </w:t>
      </w:r>
      <w:r w:rsidRPr="0006264D">
        <w:rPr>
          <w:rFonts w:ascii="Times New Roman" w:hAnsi="Times New Roman"/>
          <w:color w:val="000000" w:themeColor="text1"/>
          <w:sz w:val="20"/>
          <w:szCs w:val="20"/>
        </w:rPr>
        <w:t xml:space="preserve">we have to extend far lateral approach and other cases we used </w:t>
      </w:r>
      <w:r w:rsidR="003150AB" w:rsidRPr="0006264D">
        <w:rPr>
          <w:rFonts w:ascii="Times New Roman" w:hAnsi="Times New Roman"/>
          <w:color w:val="000000" w:themeColor="text1"/>
          <w:sz w:val="20"/>
          <w:szCs w:val="20"/>
        </w:rPr>
        <w:t>a</w:t>
      </w:r>
      <w:r w:rsidRPr="0006264D">
        <w:rPr>
          <w:rFonts w:ascii="Times New Roman" w:hAnsi="Times New Roman"/>
          <w:color w:val="000000" w:themeColor="text1"/>
          <w:sz w:val="20"/>
          <w:szCs w:val="20"/>
        </w:rPr>
        <w:t xml:space="preserve">nterior approach in the form of odontoid screw insertion and the other situation we used the anterior approach in the form of </w:t>
      </w:r>
      <w:r w:rsidR="003150AB" w:rsidRPr="0006264D">
        <w:rPr>
          <w:rFonts w:ascii="Times New Roman" w:hAnsi="Times New Roman"/>
          <w:color w:val="000000" w:themeColor="text1"/>
          <w:sz w:val="20"/>
          <w:szCs w:val="20"/>
        </w:rPr>
        <w:t>r</w:t>
      </w:r>
      <w:r w:rsidRPr="0006264D">
        <w:rPr>
          <w:rFonts w:ascii="Times New Roman" w:hAnsi="Times New Roman"/>
          <w:color w:val="000000" w:themeColor="text1"/>
          <w:sz w:val="20"/>
          <w:szCs w:val="20"/>
        </w:rPr>
        <w:t xml:space="preserve">etropharyngeal approach as first stage for either biopsy or infection drainage then we used posterior approach as second stage for fusion in selected cases will be discussed in details, </w:t>
      </w:r>
      <w:r w:rsidR="003150AB" w:rsidRPr="0006264D">
        <w:rPr>
          <w:rFonts w:ascii="Times New Roman" w:hAnsi="Times New Roman"/>
          <w:color w:val="000000" w:themeColor="text1"/>
          <w:sz w:val="20"/>
          <w:szCs w:val="20"/>
        </w:rPr>
        <w:t>t</w:t>
      </w:r>
      <w:r w:rsidRPr="0006264D">
        <w:rPr>
          <w:rFonts w:ascii="Times New Roman" w:hAnsi="Times New Roman"/>
          <w:color w:val="000000" w:themeColor="text1"/>
          <w:sz w:val="20"/>
          <w:szCs w:val="20"/>
        </w:rPr>
        <w:t>ransoral approach is not included in these thesis as we didn’t face cases absolutely indicated plus reported high rate of complications.</w:t>
      </w:r>
    </w:p>
    <w:p w:rsidR="008118D1" w:rsidRPr="0006264D" w:rsidRDefault="008118D1" w:rsidP="002F4011">
      <w:pPr>
        <w:snapToGrid w:val="0"/>
        <w:jc w:val="both"/>
        <w:rPr>
          <w:rFonts w:ascii="Times New Roman" w:hAnsi="Times New Roman"/>
          <w:b/>
          <w:bCs/>
          <w:color w:val="000000"/>
          <w:sz w:val="20"/>
          <w:szCs w:val="20"/>
        </w:rPr>
      </w:pPr>
      <w:r w:rsidRPr="0006264D">
        <w:rPr>
          <w:rFonts w:ascii="Times New Roman" w:hAnsi="Times New Roman"/>
          <w:b/>
          <w:bCs/>
          <w:color w:val="000000"/>
          <w:sz w:val="20"/>
          <w:szCs w:val="20"/>
        </w:rPr>
        <w:t>Posterior Approach to the CCJ:</w:t>
      </w:r>
    </w:p>
    <w:p w:rsidR="00E45D9C" w:rsidRPr="0006264D" w:rsidRDefault="00FA2377" w:rsidP="002F4011">
      <w:pPr>
        <w:snapToGrid w:val="0"/>
        <w:jc w:val="both"/>
        <w:rPr>
          <w:rFonts w:ascii="Times New Roman" w:hAnsi="Times New Roman"/>
          <w:b/>
          <w:bCs/>
          <w:color w:val="FF0000"/>
          <w:sz w:val="20"/>
          <w:szCs w:val="20"/>
        </w:rPr>
      </w:pPr>
      <w:r w:rsidRPr="0006264D">
        <w:rPr>
          <w:rFonts w:ascii="Times New Roman" w:hAnsi="Times New Roman"/>
          <w:b/>
          <w:bCs/>
          <w:color w:val="000000" w:themeColor="text1"/>
          <w:sz w:val="20"/>
          <w:szCs w:val="20"/>
        </w:rPr>
        <w:t>- Posterior Decompression in the CCJ:</w:t>
      </w:r>
    </w:p>
    <w:p w:rsidR="008118D1" w:rsidRPr="0006264D" w:rsidRDefault="00E45D9C" w:rsidP="002F4011">
      <w:pPr>
        <w:widowControl w:val="0"/>
        <w:autoSpaceDE w:val="0"/>
        <w:autoSpaceDN w:val="0"/>
        <w:adjustRightInd w:val="0"/>
        <w:snapToGrid w:val="0"/>
        <w:ind w:firstLine="425"/>
        <w:jc w:val="both"/>
        <w:rPr>
          <w:rFonts w:ascii="Times New Roman" w:hAnsi="Times New Roman"/>
          <w:b/>
          <w:bCs/>
          <w:sz w:val="20"/>
          <w:szCs w:val="20"/>
        </w:rPr>
      </w:pPr>
      <w:r w:rsidRPr="0006264D">
        <w:rPr>
          <w:rFonts w:ascii="Times New Roman" w:eastAsia="Times New Roman" w:hAnsi="Times New Roman"/>
          <w:sz w:val="20"/>
          <w:szCs w:val="20"/>
          <w:highlight w:val="white"/>
          <w:shd w:val="clear" w:color="auto" w:fill="FEFEFE"/>
        </w:rPr>
        <w:t>T</w:t>
      </w:r>
      <w:r w:rsidR="008118D1" w:rsidRPr="0006264D">
        <w:rPr>
          <w:rFonts w:ascii="Times New Roman" w:eastAsia="Times New Roman" w:hAnsi="Times New Roman"/>
          <w:sz w:val="20"/>
          <w:szCs w:val="20"/>
          <w:highlight w:val="white"/>
          <w:shd w:val="clear" w:color="auto" w:fill="FEFEFE"/>
        </w:rPr>
        <w:t>he patient’s position is prone on the operative bed and the cervical spine was prepped and draped in the usual sterile fashion. Intravenous perioperative antibiotics were administered as per protocol. X-ray fluoroscopy was used to localize the C1 through C2 vertebra. Neuromonitoring was used throughout the case to monitor somatosensory evoked potentials as well as motor evoked potentials.</w:t>
      </w:r>
    </w:p>
    <w:p w:rsidR="008118D1"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A linear incision was made over the C1/2 spinous processes. A subperiosteal dissection was performed. At this point, the microscope was brought into the field and a C1 to C2 laminectomy was performed using the bone scalpel. Next, a suboccipital craniectomy was also performed for exposure of the cranial aspect of the lesion.</w:t>
      </w:r>
    </w:p>
    <w:p w:rsidR="008118D1"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xml:space="preserve">The thecal sac was gently palpated with a micro hook instrument to verify location of lesion. Next, a durotomy was performed in a linear fashion. The dura </w:t>
      </w:r>
      <w:r w:rsidRPr="0006264D">
        <w:rPr>
          <w:rFonts w:ascii="Times New Roman" w:eastAsia="Times New Roman" w:hAnsi="Times New Roman"/>
          <w:sz w:val="20"/>
          <w:szCs w:val="20"/>
          <w:highlight w:val="white"/>
          <w:shd w:val="clear" w:color="auto" w:fill="FEFEFE"/>
        </w:rPr>
        <w:lastRenderedPageBreak/>
        <w:t>was tacked up with 4-0 Nurolon structures. The tumor was immediately visible, with the spinal cord pushed to the contralateral side. At this point, microsurgical technique and instruments were used to resect the tumor it its entirety. An intraoperative consultation from the Neuropathology Department was obtained, and the lesion was consistent with a meningioma. All dural attachments were bipolared. The motor evoked potentials were stable compared to baseline after tumor resection.</w:t>
      </w:r>
    </w:p>
    <w:p w:rsidR="008118D1"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At the conclusion of the procedure, there appeared to be gross total resection of the tumor. Hemostasis in the surgical bed was achieved using bipolar cautery. The wound was copiously irrigated and the dura was closed in a watertight fashion using 4-0 Nurolon sutures. Duraseal was then applied over durotomy.</w:t>
      </w:r>
    </w:p>
    <w:p w:rsidR="00FA2377"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The incision was then closed in anatomical layers using 0 and 2-0 Vicryls. The skin incision was then closed using a running nylon stitch.</w:t>
      </w:r>
      <w:r w:rsidR="00D43CA8" w:rsidRPr="0006264D">
        <w:rPr>
          <w:rFonts w:ascii="Times New Roman" w:eastAsia="Times New Roman" w:hAnsi="Times New Roman"/>
          <w:sz w:val="20"/>
          <w:szCs w:val="20"/>
        </w:rPr>
        <w:t xml:space="preserve"> </w:t>
      </w:r>
      <w:r w:rsidRPr="0006264D">
        <w:rPr>
          <w:rFonts w:ascii="Times New Roman" w:eastAsia="Times New Roman" w:hAnsi="Times New Roman"/>
          <w:sz w:val="20"/>
          <w:szCs w:val="20"/>
          <w:highlight w:val="white"/>
          <w:shd w:val="clear" w:color="auto" w:fill="FEFEFE"/>
        </w:rPr>
        <w:t>A sterile dressing was applied and the patient was returned to the supine position onto his hospital bed.</w:t>
      </w:r>
    </w:p>
    <w:p w:rsidR="00E45D9C" w:rsidRPr="0006264D" w:rsidRDefault="00FA2377" w:rsidP="002F4011">
      <w:pPr>
        <w:widowControl w:val="0"/>
        <w:autoSpaceDE w:val="0"/>
        <w:autoSpaceDN w:val="0"/>
        <w:adjustRightInd w:val="0"/>
        <w:snapToGrid w:val="0"/>
        <w:ind w:firstLine="425"/>
        <w:jc w:val="both"/>
        <w:rPr>
          <w:rFonts w:ascii="Times New Roman" w:hAnsi="Times New Roman"/>
          <w:sz w:val="20"/>
          <w:szCs w:val="20"/>
        </w:rPr>
      </w:pPr>
      <w:r w:rsidRPr="0006264D">
        <w:rPr>
          <w:rFonts w:ascii="Times New Roman" w:hAnsi="Times New Roman"/>
          <w:sz w:val="20"/>
          <w:szCs w:val="20"/>
        </w:rPr>
        <w:t xml:space="preserve">In Chiari cases we used also a separate pericranial incision about 4 cm lateral to the midline incision and we close the duroplasty using douple layered graft of pericranial and Gortex and achieve water tight closure of the duroplasty, the other steps similar to the previous </w:t>
      </w:r>
      <w:r w:rsidR="009F500F" w:rsidRPr="0006264D">
        <w:rPr>
          <w:rFonts w:ascii="Times New Roman" w:hAnsi="Times New Roman"/>
          <w:sz w:val="20"/>
          <w:szCs w:val="20"/>
        </w:rPr>
        <w:t>method</w:t>
      </w:r>
      <w:r w:rsidRPr="0006264D">
        <w:rPr>
          <w:rFonts w:ascii="Times New Roman" w:hAnsi="Times New Roman"/>
          <w:sz w:val="20"/>
          <w:szCs w:val="20"/>
        </w:rPr>
        <w:t xml:space="preserve"> for closure of the wound.</w:t>
      </w:r>
    </w:p>
    <w:p w:rsidR="00E45D9C" w:rsidRPr="0006264D" w:rsidRDefault="008118D1" w:rsidP="002F4011">
      <w:pPr>
        <w:widowControl w:val="0"/>
        <w:autoSpaceDE w:val="0"/>
        <w:autoSpaceDN w:val="0"/>
        <w:adjustRightInd w:val="0"/>
        <w:snapToGrid w:val="0"/>
        <w:jc w:val="both"/>
        <w:rPr>
          <w:rFonts w:ascii="Times New Roman" w:eastAsia="Times New Roman" w:hAnsi="Times New Roman"/>
          <w:sz w:val="20"/>
          <w:szCs w:val="20"/>
          <w:highlight w:val="white"/>
          <w:shd w:val="clear" w:color="auto" w:fill="FEFEFE"/>
        </w:rPr>
      </w:pPr>
      <w:r w:rsidRPr="0006264D">
        <w:rPr>
          <w:rFonts w:ascii="Times New Roman" w:hAnsi="Times New Roman"/>
          <w:b/>
          <w:bCs/>
          <w:color w:val="000000" w:themeColor="text1"/>
          <w:sz w:val="20"/>
          <w:szCs w:val="20"/>
        </w:rPr>
        <w:t>- Posterior instrumentation in the CCJ:</w:t>
      </w:r>
    </w:p>
    <w:p w:rsidR="00033C1D" w:rsidRPr="0006264D" w:rsidRDefault="00E45D9C" w:rsidP="002F4011">
      <w:pPr>
        <w:widowControl w:val="0"/>
        <w:autoSpaceDE w:val="0"/>
        <w:autoSpaceDN w:val="0"/>
        <w:adjustRightInd w:val="0"/>
        <w:snapToGrid w:val="0"/>
        <w:ind w:firstLine="425"/>
        <w:jc w:val="both"/>
        <w:rPr>
          <w:rFonts w:ascii="Times New Roman" w:hAnsi="Times New Roman"/>
          <w:sz w:val="20"/>
          <w:szCs w:val="20"/>
        </w:rPr>
      </w:pPr>
      <w:r w:rsidRPr="0006264D">
        <w:rPr>
          <w:rFonts w:ascii="Times New Roman" w:hAnsi="Times New Roman"/>
          <w:sz w:val="20"/>
          <w:szCs w:val="20"/>
        </w:rPr>
        <w:t>I</w:t>
      </w:r>
      <w:r w:rsidR="008118D1" w:rsidRPr="0006264D">
        <w:rPr>
          <w:rFonts w:ascii="Times New Roman" w:hAnsi="Times New Roman"/>
          <w:sz w:val="20"/>
          <w:szCs w:val="20"/>
        </w:rPr>
        <w:t>n cases which show dislocation or evident instability confirmed by clinical and radiological investigations including movement in flexion and extension views and increased ADI and wide distances in powers ratio &gt;1 On CT craniocervical junction and showing mostly pannus from instability as in Rheumatoid arthritis and traumatic instability we usually do decompression at C1 and C2 plus instrumented fusion, there are multiple instrumentation techniques used in our thesis, the preferred one for fusion of C1 and C2 is C1 lateral mass and C2 pedicle or par screw either by free hand technique and C-Arm imaging or in some cases we used the neuronavigator for accurate screw insertion, Preoperative CT angiography is done for most cases to determine vertebral artery location and relation to bony anatomy, we measure screw length needed to be inserted in C1 and C2 in the preoperative scan, drilling the facet between C1 and C2 and decortication and using the bone from decompression for fusion augmented by allograft</w:t>
      </w:r>
      <w:r w:rsidR="002F4011" w:rsidRPr="0006264D">
        <w:rPr>
          <w:rFonts w:ascii="Times New Roman" w:hAnsi="Times New Roman"/>
          <w:sz w:val="20"/>
          <w:szCs w:val="20"/>
        </w:rPr>
        <w:t>.</w:t>
      </w:r>
      <w:r w:rsidR="002F4011">
        <w:rPr>
          <w:rFonts w:ascii="Times New Roman" w:hAnsi="Times New Roman"/>
          <w:sz w:val="20"/>
          <w:szCs w:val="20"/>
        </w:rPr>
        <w:t xml:space="preserve"> </w:t>
      </w:r>
      <w:r w:rsidR="002F4011" w:rsidRPr="0006264D">
        <w:rPr>
          <w:rFonts w:ascii="Times New Roman" w:hAnsi="Times New Roman"/>
          <w:sz w:val="20"/>
          <w:szCs w:val="20"/>
        </w:rPr>
        <w:t>i</w:t>
      </w:r>
      <w:r w:rsidR="008118D1" w:rsidRPr="0006264D">
        <w:rPr>
          <w:rFonts w:ascii="Times New Roman" w:hAnsi="Times New Roman"/>
          <w:sz w:val="20"/>
          <w:szCs w:val="20"/>
        </w:rPr>
        <w:t>n some Fusion cases where laminectomy is not needed and the C2 lamina in wide while C2 pedicle is thin and less prominent we preferred to use C2 lamina screw instead of C2 pedicle or pars screw, and decortication of lamina of C1 and C2 and augmenting the fusion with allograft.</w:t>
      </w:r>
    </w:p>
    <w:p w:rsidR="00033C1D" w:rsidRPr="0006264D" w:rsidRDefault="00FA2377" w:rsidP="002F4011">
      <w:pPr>
        <w:widowControl w:val="0"/>
        <w:autoSpaceDE w:val="0"/>
        <w:autoSpaceDN w:val="0"/>
        <w:adjustRightInd w:val="0"/>
        <w:snapToGrid w:val="0"/>
        <w:jc w:val="both"/>
        <w:rPr>
          <w:rFonts w:ascii="Times New Roman" w:hAnsi="Times New Roman"/>
          <w:sz w:val="20"/>
          <w:szCs w:val="20"/>
        </w:rPr>
      </w:pPr>
      <w:r w:rsidRPr="0006264D">
        <w:rPr>
          <w:rFonts w:ascii="Times New Roman" w:hAnsi="Times New Roman"/>
          <w:b/>
          <w:bCs/>
          <w:sz w:val="20"/>
          <w:szCs w:val="20"/>
        </w:rPr>
        <w:lastRenderedPageBreak/>
        <w:t>-</w:t>
      </w:r>
      <w:r w:rsidR="008118D1" w:rsidRPr="0006264D">
        <w:rPr>
          <w:rFonts w:ascii="Times New Roman" w:hAnsi="Times New Roman"/>
          <w:b/>
          <w:bCs/>
          <w:sz w:val="20"/>
          <w:szCs w:val="20"/>
        </w:rPr>
        <w:t>Example of C1-C2 Fusion for instability:</w:t>
      </w:r>
    </w:p>
    <w:p w:rsidR="008118D1" w:rsidRPr="0006264D" w:rsidRDefault="002F4011" w:rsidP="002F4011">
      <w:pPr>
        <w:widowControl w:val="0"/>
        <w:autoSpaceDE w:val="0"/>
        <w:autoSpaceDN w:val="0"/>
        <w:adjustRightInd w:val="0"/>
        <w:snapToGrid w:val="0"/>
        <w:ind w:firstLine="425"/>
        <w:jc w:val="both"/>
        <w:rPr>
          <w:rFonts w:ascii="Times New Roman" w:hAnsi="Times New Roman"/>
          <w:sz w:val="20"/>
          <w:szCs w:val="20"/>
        </w:rPr>
      </w:pPr>
      <w:r w:rsidRPr="0006264D">
        <w:rPr>
          <w:rFonts w:ascii="Times New Roman" w:eastAsia="Times New Roman" w:hAnsi="Times New Roman"/>
          <w:sz w:val="20"/>
          <w:szCs w:val="20"/>
          <w:highlight w:val="white"/>
          <w:shd w:val="clear" w:color="auto" w:fill="FEFEFE"/>
        </w:rPr>
        <w:t>Description Of Procedure:</w:t>
      </w:r>
    </w:p>
    <w:p w:rsidR="008118D1"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xml:space="preserve">Neurophysiology monitoring was obtained to monitor somatosensory and motor-evoked potentials throughout the entirety of the case. Baseline signals were obtained prior to positioning. The patient was positioned prone on a regular table with his head fixed in a Mayfield C-clamp. After positioning the neuro monitoring signals remained stable. The posterior cervical spine was prepped and draped in usual sterile fashion. Perioperative intravenous antibiotics were administered as per protocol. </w:t>
      </w:r>
    </w:p>
    <w:p w:rsidR="008118D1"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xml:space="preserve">A linear incision was made over the C1-2 spinous processes. A subperiosteal dissection was then performed. Hemostasis was achieved using bipolar cautery and Surgiflo. At this point, bilateral lateral mass screws were placed on the C1 lateral masses measuring 18 mm. with trajectory about 20 degrees medial and 20 degrees superior </w:t>
      </w:r>
      <w:r w:rsidR="009F500F" w:rsidRPr="0006264D">
        <w:rPr>
          <w:rFonts w:ascii="Times New Roman" w:eastAsia="Times New Roman" w:hAnsi="Times New Roman"/>
          <w:sz w:val="20"/>
          <w:szCs w:val="20"/>
          <w:highlight w:val="white"/>
          <w:shd w:val="clear" w:color="auto" w:fill="FEFEFE"/>
        </w:rPr>
        <w:t>towards</w:t>
      </w:r>
      <w:r w:rsidRPr="0006264D">
        <w:rPr>
          <w:rFonts w:ascii="Times New Roman" w:eastAsia="Times New Roman" w:hAnsi="Times New Roman"/>
          <w:sz w:val="20"/>
          <w:szCs w:val="20"/>
          <w:highlight w:val="white"/>
          <w:shd w:val="clear" w:color="auto" w:fill="FEFEFE"/>
        </w:rPr>
        <w:t xml:space="preserve"> anterior tubercle of C1, Appropriate positioning of the screws was verified using lateral fluoroscopy. We then subsequently placed C2 pedicle screws guided by anatomical entry point and feeling the pedicle by penfild instrument or feeler, measuring 22 mm bilaterally. This was once again confirmed using lateral fluoroscopy. Subsequently, a C1-2 laminectomy was performed using the bone scalpel. After placement of screws and laminectomy</w:t>
      </w:r>
      <w:r w:rsidR="00D70529" w:rsidRPr="0006264D">
        <w:rPr>
          <w:rFonts w:ascii="Times New Roman" w:eastAsia="Times New Roman" w:hAnsi="Times New Roman"/>
          <w:sz w:val="20"/>
          <w:szCs w:val="20"/>
          <w:highlight w:val="white"/>
          <w:shd w:val="clear" w:color="auto" w:fill="FEFEFE"/>
        </w:rPr>
        <w:t xml:space="preserve"> (Fig.1)</w:t>
      </w:r>
      <w:r w:rsidRPr="0006264D">
        <w:rPr>
          <w:rFonts w:ascii="Times New Roman" w:eastAsia="Times New Roman" w:hAnsi="Times New Roman"/>
          <w:sz w:val="20"/>
          <w:szCs w:val="20"/>
          <w:highlight w:val="white"/>
          <w:shd w:val="clear" w:color="auto" w:fill="FEFEFE"/>
        </w:rPr>
        <w:t xml:space="preserve">, the neuro monitoring signals remained stable. </w:t>
      </w:r>
    </w:p>
    <w:p w:rsidR="00315CBA" w:rsidRPr="0006264D" w:rsidRDefault="008118D1" w:rsidP="002F4011">
      <w:pPr>
        <w:widowControl w:val="0"/>
        <w:autoSpaceDE w:val="0"/>
        <w:autoSpaceDN w:val="0"/>
        <w:adjustRightInd w:val="0"/>
        <w:snapToGrid w:val="0"/>
        <w:ind w:firstLine="425"/>
        <w:jc w:val="both"/>
        <w:rPr>
          <w:rFonts w:ascii="Times New Roman" w:eastAsia="Times New Roman" w:hAnsi="Times New Roman"/>
          <w:sz w:val="20"/>
          <w:szCs w:val="20"/>
          <w:shd w:val="clear" w:color="auto" w:fill="FEFEFE"/>
        </w:rPr>
      </w:pPr>
      <w:r w:rsidRPr="0006264D">
        <w:rPr>
          <w:rFonts w:ascii="Times New Roman" w:eastAsia="Times New Roman" w:hAnsi="Times New Roman"/>
          <w:sz w:val="20"/>
          <w:szCs w:val="20"/>
          <w:highlight w:val="white"/>
          <w:shd w:val="clear" w:color="auto" w:fill="FEFEFE"/>
        </w:rPr>
        <w:t>At this point, all exposed bony surfaces and the C1/2 joint were decorticated and a combination of ViviGen, DBX, and local autograft was placed over all exposed bony surfaces spanning the C1-2 joint. Titanium screws were then connected bilaterally using a titanium rod. The wound was copiously irrigated with sterile saline and vancomycin powder was introduced in the wound. The wound was then closed in anatomical layers using 1 and 2-0 Vicryl sutures. The skin was then closed with skin staples. Cervical collar was then applied to the patient's neck and then the patient was returned to the supine position</w:t>
      </w:r>
      <w:r w:rsidR="007366C1" w:rsidRPr="0006264D">
        <w:rPr>
          <w:rFonts w:ascii="Times New Roman" w:eastAsia="Times New Roman" w:hAnsi="Times New Roman"/>
          <w:sz w:val="20"/>
          <w:szCs w:val="20"/>
          <w:highlight w:val="white"/>
          <w:shd w:val="clear" w:color="auto" w:fill="FEFEFE"/>
        </w:rPr>
        <w:t>.</w:t>
      </w:r>
    </w:p>
    <w:p w:rsidR="009F500F" w:rsidRPr="0006264D" w:rsidRDefault="009F500F" w:rsidP="009F500F">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rPr>
        <w:t>In some other cases, we used C2 laminar screw (Fig.3) instead of C2 pedicle or pars screw as mentioned and we used neuronavigation in some other cases (Fig. 2).</w:t>
      </w:r>
    </w:p>
    <w:p w:rsidR="00E45D9C" w:rsidRPr="0006264D" w:rsidRDefault="009F500F" w:rsidP="002F4011">
      <w:pPr>
        <w:widowControl w:val="0"/>
        <w:autoSpaceDE w:val="0"/>
        <w:autoSpaceDN w:val="0"/>
        <w:adjustRightInd w:val="0"/>
        <w:snapToGrid w:val="0"/>
        <w:ind w:firstLine="425"/>
        <w:jc w:val="both"/>
        <w:rPr>
          <w:rFonts w:ascii="Times New Roman" w:hAnsi="Times New Roman"/>
          <w:sz w:val="20"/>
          <w:szCs w:val="10"/>
        </w:rPr>
      </w:pPr>
      <w:r w:rsidRPr="0006264D">
        <w:rPr>
          <w:rFonts w:ascii="Times New Roman" w:hAnsi="Times New Roman"/>
          <w:sz w:val="20"/>
          <w:szCs w:val="20"/>
        </w:rPr>
        <w:t>In cases of c</w:t>
      </w:r>
      <w:r>
        <w:rPr>
          <w:rFonts w:ascii="Times New Roman" w:hAnsi="Times New Roman" w:hint="eastAsia"/>
          <w:sz w:val="20"/>
          <w:szCs w:val="20"/>
          <w:lang w:eastAsia="zh-CN"/>
        </w:rPr>
        <w:t>e</w:t>
      </w:r>
      <w:r w:rsidRPr="0006264D">
        <w:rPr>
          <w:rFonts w:ascii="Times New Roman" w:hAnsi="Times New Roman"/>
          <w:sz w:val="20"/>
          <w:szCs w:val="20"/>
        </w:rPr>
        <w:t>rniocervical instability where occipitocervical fusion is indicated we used occipital plate and mostly skip C1 and use C2 pedicle or pars screw or C2 laminar screw and extend fusion to C3 and subaxial spine when needed using modified Magerl technique for lateral mass screws in the subaxial spine and the occipital plate screws around the occipital protuberance for maximal screw torque then connected to the C2 screw and the subaxial screws usually by connector to decrease stress on the rod at the bending site.</w:t>
      </w:r>
    </w:p>
    <w:p w:rsidR="002F4011" w:rsidRDefault="004765DE" w:rsidP="002F4011">
      <w:pPr>
        <w:widowControl w:val="0"/>
        <w:autoSpaceDE w:val="0"/>
        <w:autoSpaceDN w:val="0"/>
        <w:adjustRightInd w:val="0"/>
        <w:snapToGrid w:val="0"/>
        <w:jc w:val="center"/>
        <w:rPr>
          <w:rFonts w:ascii="Times New Roman" w:hAnsi="Times New Roman"/>
          <w:b/>
          <w:noProof/>
          <w:sz w:val="20"/>
          <w:szCs w:val="18"/>
          <w:lang w:eastAsia="zh-CN"/>
        </w:rPr>
      </w:pPr>
      <w:r w:rsidRPr="00227A8B">
        <w:rPr>
          <w:rFonts w:ascii="Times New Roman" w:hAnsi="Times New Roman"/>
          <w:b/>
          <w:noProof/>
          <w:sz w:val="20"/>
          <w:szCs w:val="18"/>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 o:spid="_x0000_i1025" type="#_x0000_t75" alt="10.png" style="width:198.45pt;height:173.45pt;visibility:visible;mso-wrap-style:square">
            <v:imagedata r:id="rId14" o:title="10" croptop="17908f" cropbottom="5608f"/>
          </v:shape>
        </w:pict>
      </w:r>
    </w:p>
    <w:p w:rsidR="002F4011" w:rsidRDefault="002F4011" w:rsidP="002F4011">
      <w:pPr>
        <w:widowControl w:val="0"/>
        <w:autoSpaceDE w:val="0"/>
        <w:autoSpaceDN w:val="0"/>
        <w:adjustRightInd w:val="0"/>
        <w:snapToGrid w:val="0"/>
        <w:jc w:val="center"/>
        <w:rPr>
          <w:rFonts w:ascii="Times New Roman" w:hAnsi="Times New Roman"/>
          <w:b/>
          <w:noProof/>
          <w:sz w:val="20"/>
          <w:szCs w:val="18"/>
          <w:lang w:eastAsia="zh-CN"/>
        </w:rPr>
      </w:pPr>
    </w:p>
    <w:p w:rsidR="00D7392A" w:rsidRPr="0006264D" w:rsidRDefault="004765DE" w:rsidP="002F4011">
      <w:pPr>
        <w:widowControl w:val="0"/>
        <w:autoSpaceDE w:val="0"/>
        <w:autoSpaceDN w:val="0"/>
        <w:adjustRightInd w:val="0"/>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333" o:spid="_x0000_i1026" type="#_x0000_t75" alt="11.png" style="width:198.45pt;height:243.55pt;visibility:visible;mso-wrap-style:square">
            <v:imagedata r:id="rId15" o:title="11" croptop="5916f" cropbottom="8537f"/>
          </v:shape>
        </w:pict>
      </w:r>
    </w:p>
    <w:p w:rsidR="00D7392A" w:rsidRPr="0006264D" w:rsidRDefault="005A3752" w:rsidP="002F4011">
      <w:pPr>
        <w:widowControl w:val="0"/>
        <w:autoSpaceDE w:val="0"/>
        <w:autoSpaceDN w:val="0"/>
        <w:adjustRightInd w:val="0"/>
        <w:snapToGrid w:val="0"/>
        <w:jc w:val="both"/>
        <w:rPr>
          <w:rFonts w:ascii="Times New Roman" w:hAnsi="Times New Roman"/>
          <w:b/>
          <w:bCs/>
          <w:sz w:val="20"/>
          <w:szCs w:val="18"/>
          <w:lang w:eastAsia="zh-CN"/>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1: </w:t>
      </w:r>
      <w:r w:rsidR="00D7392A" w:rsidRPr="0006264D">
        <w:rPr>
          <w:rFonts w:ascii="Times New Roman" w:hAnsi="Times New Roman"/>
          <w:b/>
          <w:bCs/>
          <w:sz w:val="20"/>
          <w:szCs w:val="18"/>
        </w:rPr>
        <w:t>Intraoperative image</w:t>
      </w:r>
      <w:r w:rsidRPr="0006264D">
        <w:rPr>
          <w:rFonts w:ascii="Times New Roman" w:hAnsi="Times New Roman"/>
          <w:b/>
          <w:bCs/>
          <w:sz w:val="20"/>
          <w:szCs w:val="18"/>
        </w:rPr>
        <w:t>s</w:t>
      </w:r>
      <w:r w:rsidR="00D7392A" w:rsidRPr="0006264D">
        <w:rPr>
          <w:rFonts w:ascii="Times New Roman" w:hAnsi="Times New Roman"/>
          <w:b/>
          <w:bCs/>
          <w:sz w:val="20"/>
          <w:szCs w:val="18"/>
        </w:rPr>
        <w:t xml:space="preserve"> after decompression and C1- C2 screws insertion</w:t>
      </w:r>
    </w:p>
    <w:p w:rsidR="00315CBA" w:rsidRPr="0006264D" w:rsidRDefault="00315CBA" w:rsidP="002F4011">
      <w:pPr>
        <w:widowControl w:val="0"/>
        <w:autoSpaceDE w:val="0"/>
        <w:autoSpaceDN w:val="0"/>
        <w:adjustRightInd w:val="0"/>
        <w:snapToGrid w:val="0"/>
        <w:ind w:firstLine="425"/>
        <w:jc w:val="both"/>
        <w:rPr>
          <w:rFonts w:ascii="Times New Roman" w:eastAsia="Times New Roman" w:hAnsi="Times New Roman"/>
          <w:sz w:val="20"/>
          <w:szCs w:val="6"/>
        </w:rPr>
      </w:pPr>
    </w:p>
    <w:p w:rsidR="007366C1"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335" o:spid="_x0000_i1027" type="#_x0000_t75" alt="Screen%20Shot%202017-07-21%20at%2012.41.18%20AM.png" style="width:211.6pt;height:144.65pt;visibility:visible;mso-wrap-style:square">
            <v:imagedata r:id="rId16" o:title="Screen%20Shot%202017-07-21%20at%2012"/>
          </v:shape>
        </w:pict>
      </w:r>
    </w:p>
    <w:p w:rsidR="00315CBA" w:rsidRDefault="005A3752" w:rsidP="002F4011">
      <w:pPr>
        <w:snapToGrid w:val="0"/>
        <w:jc w:val="center"/>
        <w:rPr>
          <w:rFonts w:ascii="Times New Roman" w:hAnsi="Times New Roman"/>
          <w:b/>
          <w:bCs/>
          <w:sz w:val="20"/>
          <w:szCs w:val="18"/>
          <w:lang w:eastAsia="zh-CN"/>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2: </w:t>
      </w:r>
      <w:r w:rsidR="00454040" w:rsidRPr="0006264D">
        <w:rPr>
          <w:rFonts w:ascii="Times New Roman" w:hAnsi="Times New Roman"/>
          <w:b/>
          <w:bCs/>
          <w:sz w:val="20"/>
          <w:szCs w:val="18"/>
        </w:rPr>
        <w:t>postoperative picture C2 lamina</w:t>
      </w:r>
    </w:p>
    <w:p w:rsidR="002F4011" w:rsidRPr="0006264D" w:rsidRDefault="002F4011" w:rsidP="002F4011">
      <w:pPr>
        <w:snapToGrid w:val="0"/>
        <w:ind w:firstLine="425"/>
        <w:jc w:val="both"/>
        <w:rPr>
          <w:rFonts w:ascii="Times New Roman" w:hAnsi="Times New Roman"/>
          <w:sz w:val="20"/>
          <w:szCs w:val="20"/>
        </w:rPr>
      </w:pPr>
    </w:p>
    <w:p w:rsidR="00E45D9C" w:rsidRPr="0006264D" w:rsidRDefault="00E45D9C" w:rsidP="002F4011">
      <w:pPr>
        <w:snapToGrid w:val="0"/>
        <w:jc w:val="both"/>
        <w:rPr>
          <w:rFonts w:ascii="Times New Roman" w:hAnsi="Times New Roman"/>
          <w:b/>
          <w:bCs/>
          <w:sz w:val="20"/>
          <w:szCs w:val="18"/>
          <w:lang w:eastAsia="zh-CN"/>
        </w:rPr>
      </w:pPr>
    </w:p>
    <w:p w:rsidR="00454040"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lastRenderedPageBreak/>
        <w:pict>
          <v:shape id="Picture 336" o:spid="_x0000_i1028" type="#_x0000_t75" alt="Screen%20Shot%202017-07-21%20at%2012.41.59%20AM.png" style="width:198.45pt;height:175.3pt;visibility:visible;mso-wrap-style:square">
            <v:imagedata r:id="rId17" o:title="Screen%20Shot%202017-07-21%20at%2012"/>
          </v:shape>
        </w:pict>
      </w:r>
    </w:p>
    <w:p w:rsidR="00D7392A" w:rsidRPr="0006264D" w:rsidRDefault="005A3752" w:rsidP="002F4011">
      <w:pPr>
        <w:snapToGrid w:val="0"/>
        <w:jc w:val="center"/>
        <w:rPr>
          <w:rFonts w:ascii="Times New Roman" w:hAnsi="Times New Roman"/>
          <w:b/>
          <w:bCs/>
          <w:sz w:val="20"/>
          <w:szCs w:val="18"/>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3: </w:t>
      </w:r>
      <w:r w:rsidR="00D7392A" w:rsidRPr="0006264D">
        <w:rPr>
          <w:rFonts w:ascii="Times New Roman" w:hAnsi="Times New Roman"/>
          <w:b/>
          <w:bCs/>
          <w:sz w:val="20"/>
          <w:szCs w:val="18"/>
        </w:rPr>
        <w:t>3D C1-C2 lamina graft</w:t>
      </w:r>
    </w:p>
    <w:p w:rsidR="00E45D9C" w:rsidRPr="0006264D" w:rsidRDefault="00E45D9C" w:rsidP="002F4011">
      <w:pPr>
        <w:snapToGrid w:val="0"/>
        <w:jc w:val="both"/>
        <w:rPr>
          <w:rFonts w:ascii="Times New Roman" w:hAnsi="Times New Roman"/>
          <w:b/>
          <w:bCs/>
          <w:sz w:val="20"/>
          <w:szCs w:val="18"/>
        </w:rPr>
      </w:pPr>
    </w:p>
    <w:p w:rsidR="00D7392A"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1" o:spid="_x0000_i1029" type="#_x0000_t75" alt="../../../Dr-Ahmed/MEDICAL/USA%20Cases%20AHMED/الرساله%20آمريكا/21-Blake,%20Audrey%20Ann%20MRN%203646088%20Dan%20Lue%20C1-4/Intraop%20Pic/Screen%20Sh" style="width:198.45pt;height:168.4pt;visibility:visible;mso-wrap-style:square">
            <v:imagedata r:id="rId18" o:title="Screen%20Sh"/>
          </v:shape>
        </w:pict>
      </w:r>
    </w:p>
    <w:p w:rsidR="00D7392A" w:rsidRPr="0006264D" w:rsidRDefault="005A3752" w:rsidP="002F4011">
      <w:pPr>
        <w:snapToGrid w:val="0"/>
        <w:jc w:val="both"/>
        <w:rPr>
          <w:rFonts w:ascii="Times New Roman" w:hAnsi="Times New Roman"/>
          <w:b/>
          <w:bCs/>
          <w:sz w:val="20"/>
          <w:szCs w:val="18"/>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4: </w:t>
      </w:r>
      <w:r w:rsidR="00D7392A" w:rsidRPr="0006264D">
        <w:rPr>
          <w:rFonts w:ascii="Times New Roman" w:hAnsi="Times New Roman"/>
          <w:b/>
          <w:bCs/>
          <w:sz w:val="20"/>
          <w:szCs w:val="18"/>
        </w:rPr>
        <w:t>Neuronavigation for Screw insertion</w:t>
      </w:r>
    </w:p>
    <w:p w:rsidR="008118D1" w:rsidRPr="0006264D" w:rsidRDefault="008118D1" w:rsidP="002F4011">
      <w:pPr>
        <w:widowControl w:val="0"/>
        <w:autoSpaceDE w:val="0"/>
        <w:autoSpaceDN w:val="0"/>
        <w:adjustRightInd w:val="0"/>
        <w:snapToGrid w:val="0"/>
        <w:ind w:firstLine="425"/>
        <w:jc w:val="both"/>
        <w:rPr>
          <w:rFonts w:ascii="Times New Roman" w:hAnsi="Times New Roman"/>
          <w:sz w:val="20"/>
          <w:szCs w:val="12"/>
        </w:rPr>
      </w:pPr>
    </w:p>
    <w:p w:rsidR="00E45D9C" w:rsidRPr="0006264D" w:rsidRDefault="00FA2377" w:rsidP="002F4011">
      <w:pPr>
        <w:snapToGrid w:val="0"/>
        <w:jc w:val="both"/>
        <w:rPr>
          <w:rFonts w:ascii="Times New Roman" w:hAnsi="Times New Roman"/>
          <w:sz w:val="20"/>
          <w:szCs w:val="20"/>
        </w:rPr>
      </w:pPr>
      <w:r w:rsidRPr="0006264D">
        <w:rPr>
          <w:rFonts w:ascii="Times New Roman" w:hAnsi="Times New Roman"/>
          <w:b/>
          <w:bCs/>
          <w:sz w:val="20"/>
          <w:szCs w:val="20"/>
        </w:rPr>
        <w:t>-</w:t>
      </w:r>
      <w:r w:rsidR="008118D1" w:rsidRPr="0006264D">
        <w:rPr>
          <w:rFonts w:ascii="Times New Roman" w:hAnsi="Times New Roman"/>
          <w:b/>
          <w:bCs/>
          <w:sz w:val="20"/>
          <w:szCs w:val="20"/>
        </w:rPr>
        <w:t>Example of O</w:t>
      </w:r>
      <w:r w:rsidR="00033C1D" w:rsidRPr="0006264D">
        <w:rPr>
          <w:rFonts w:ascii="Times New Roman" w:hAnsi="Times New Roman"/>
          <w:b/>
          <w:bCs/>
          <w:sz w:val="20"/>
          <w:szCs w:val="20"/>
        </w:rPr>
        <w:t>ccipitocervical</w:t>
      </w:r>
      <w:r w:rsidR="008118D1" w:rsidRPr="0006264D">
        <w:rPr>
          <w:rFonts w:ascii="Times New Roman" w:hAnsi="Times New Roman"/>
          <w:b/>
          <w:bCs/>
          <w:sz w:val="20"/>
          <w:szCs w:val="20"/>
        </w:rPr>
        <w:t xml:space="preserve"> Fusion as C1 metastatic lesion and C1 Jefferson fracture:</w:t>
      </w:r>
    </w:p>
    <w:p w:rsidR="008118D1" w:rsidRPr="0006264D" w:rsidRDefault="008118D1" w:rsidP="002F4011">
      <w:pPr>
        <w:snapToGrid w:val="0"/>
        <w:ind w:firstLine="425"/>
        <w:jc w:val="both"/>
        <w:rPr>
          <w:rFonts w:ascii="Times New Roman" w:eastAsia="Times New Roman" w:hAnsi="Times New Roman"/>
          <w:sz w:val="20"/>
          <w:szCs w:val="20"/>
          <w:highlight w:val="white"/>
          <w:shd w:val="clear" w:color="auto" w:fill="FEFEFE"/>
        </w:rPr>
      </w:pPr>
      <w:r w:rsidRPr="0006264D">
        <w:rPr>
          <w:rFonts w:ascii="Times New Roman" w:eastAsia="Times New Roman" w:hAnsi="Times New Roman"/>
          <w:sz w:val="20"/>
          <w:szCs w:val="20"/>
          <w:highlight w:val="white"/>
          <w:shd w:val="clear" w:color="auto" w:fill="FEFEFE"/>
        </w:rPr>
        <w:t>Position and surgical steps same as before, regarding instrumentation: -</w:t>
      </w:r>
    </w:p>
    <w:p w:rsidR="008118D1" w:rsidRPr="0006264D" w:rsidRDefault="008118D1" w:rsidP="002F4011">
      <w:pPr>
        <w:snapToGrid w:val="0"/>
        <w:ind w:firstLine="425"/>
        <w:jc w:val="both"/>
        <w:rPr>
          <w:rFonts w:ascii="Times New Roman" w:eastAsia="Times New Roman" w:hAnsi="Times New Roman"/>
          <w:sz w:val="20"/>
          <w:szCs w:val="20"/>
          <w:highlight w:val="white"/>
          <w:shd w:val="clear" w:color="auto" w:fill="FEFEFE"/>
        </w:rPr>
      </w:pPr>
      <w:r w:rsidRPr="0006264D">
        <w:rPr>
          <w:rFonts w:ascii="Times New Roman" w:eastAsia="Times New Roman" w:hAnsi="Times New Roman"/>
          <w:sz w:val="20"/>
          <w:szCs w:val="20"/>
          <w:highlight w:val="white"/>
          <w:shd w:val="clear" w:color="auto" w:fill="FEFEFE"/>
        </w:rPr>
        <w:t xml:space="preserve">The C1 lamina is exposed using the Penfield 1 and the curette. Lateral fluoroscopy confirms the spinal levels. The lateral masses of C3 are exposed using the Bovie. We then use a high-speed drill to drill entry sites into the C3 lateral mass directly within its center point. The hand drill was then used to aim approximately 25 degrees laterally and cephalad, and a pilot hole is created using this trajectory. The hole is then palpated and tapped. We then place a appropriate length screw at this level mostly 12 mm. We then place bilateral translaminar screws at the C2 level. Using the high-speed drill, we create entry points at the lamina spinous process junction bilaterally. One of the entry sites is slightly more cephalad than the other. We then drill to a depth of approximately 18 mm. The holes are then palpated and then tapped. To make sure no evidence of any breach. Mostly 18 mm length screws are then placed. </w:t>
      </w:r>
    </w:p>
    <w:p w:rsidR="002F4011" w:rsidRDefault="004765DE" w:rsidP="002F4011">
      <w:pPr>
        <w:snapToGrid w:val="0"/>
        <w:jc w:val="center"/>
        <w:rPr>
          <w:rFonts w:ascii="Times New Roman" w:hAnsi="Times New Roman"/>
          <w:b/>
          <w:noProof/>
          <w:sz w:val="20"/>
          <w:szCs w:val="18"/>
          <w:lang w:eastAsia="zh-CN"/>
        </w:rPr>
      </w:pPr>
      <w:r w:rsidRPr="00227A8B">
        <w:rPr>
          <w:rFonts w:ascii="Times New Roman" w:hAnsi="Times New Roman"/>
          <w:b/>
          <w:noProof/>
          <w:sz w:val="20"/>
          <w:szCs w:val="18"/>
          <w:lang w:eastAsia="zh-CN"/>
        </w:rPr>
        <w:lastRenderedPageBreak/>
        <w:pict>
          <v:shape id="Picture 12" o:spid="_x0000_i1030" type="#_x0000_t75" alt="Screen%20Shot%202017-07-22%20at%2012.20.02%20AM.png" style="width:198.45pt;height:206pt;visibility:visible;mso-wrap-style:square">
            <v:imagedata r:id="rId19" o:title="Screen%20Shot%202017-07-22%20at%2012" croptop="7330f" cropbottom="3524f"/>
          </v:shape>
        </w:pict>
      </w:r>
    </w:p>
    <w:p w:rsidR="008118D1"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14" o:spid="_x0000_i1031" type="#_x0000_t75" alt="Screen%20Shot%202017-07-22%20at%2012.21.08%20AM.png" style="width:198.45pt;height:195.95pt;visibility:visible;mso-wrap-style:square">
            <v:imagedata r:id="rId20" o:title="Screen%20Shot%202017-07-22%20at%2012" croptop="4845f" cropbottom="8830f"/>
          </v:shape>
        </w:pict>
      </w:r>
    </w:p>
    <w:p w:rsidR="008118D1" w:rsidRPr="0006264D" w:rsidRDefault="005A3752" w:rsidP="002F4011">
      <w:pPr>
        <w:snapToGrid w:val="0"/>
        <w:jc w:val="both"/>
        <w:rPr>
          <w:rFonts w:ascii="Times New Roman" w:hAnsi="Times New Roman"/>
          <w:b/>
          <w:bCs/>
          <w:sz w:val="20"/>
          <w:szCs w:val="18"/>
          <w:lang w:eastAsia="zh-CN"/>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5: </w:t>
      </w:r>
      <w:r w:rsidR="008118D1" w:rsidRPr="0006264D">
        <w:rPr>
          <w:rFonts w:ascii="Times New Roman" w:hAnsi="Times New Roman"/>
          <w:b/>
          <w:bCs/>
          <w:sz w:val="20"/>
          <w:szCs w:val="18"/>
        </w:rPr>
        <w:t>Intraoperative images showing the occipitocervical fixation system and the used graft.</w:t>
      </w:r>
    </w:p>
    <w:p w:rsidR="009F500F" w:rsidRDefault="009F500F" w:rsidP="002F4011">
      <w:pPr>
        <w:snapToGrid w:val="0"/>
        <w:ind w:firstLine="425"/>
        <w:jc w:val="both"/>
        <w:rPr>
          <w:rFonts w:ascii="Times New Roman" w:hAnsi="Times New Roman"/>
          <w:sz w:val="20"/>
          <w:szCs w:val="20"/>
          <w:highlight w:val="white"/>
          <w:shd w:val="clear" w:color="auto" w:fill="FEFEFE"/>
          <w:lang w:eastAsia="zh-CN"/>
        </w:rPr>
      </w:pPr>
    </w:p>
    <w:p w:rsidR="002F4011" w:rsidRPr="0006264D" w:rsidRDefault="002F4011" w:rsidP="002F4011">
      <w:pPr>
        <w:snapToGrid w:val="0"/>
        <w:ind w:firstLine="425"/>
        <w:jc w:val="both"/>
        <w:rPr>
          <w:rFonts w:ascii="Times New Roman" w:eastAsia="Times New Roman" w:hAnsi="Times New Roman"/>
          <w:sz w:val="20"/>
          <w:szCs w:val="20"/>
          <w:highlight w:val="white"/>
          <w:shd w:val="clear" w:color="auto" w:fill="FEFEFE"/>
        </w:rPr>
      </w:pPr>
      <w:r w:rsidRPr="0006264D">
        <w:rPr>
          <w:rFonts w:ascii="Times New Roman" w:eastAsia="Times New Roman" w:hAnsi="Times New Roman"/>
          <w:sz w:val="20"/>
          <w:szCs w:val="20"/>
          <w:highlight w:val="white"/>
          <w:shd w:val="clear" w:color="auto" w:fill="FEFEFE"/>
        </w:rPr>
        <w:t xml:space="preserve">Satisfactory position is confirmed using lateral fluoroscopy. We then inspect the occipital and suboccipital region for placement of the occipital plate. We determine the location of the inion. We then fashioned the occipital plate to the contour of the skull and then placed it approximately 1.5 cm below the inion. We then drill holes in the skull through the plate using the hand drill. One of the holes is in the midline keyhole and just lateral to the keyhole. One of the holes is only 6 mm deep before reaching the dura. The other holes were 8 mm deep. The holes are then palpated and then tapped. We place one 6 mm screw and three 8 mm screws. The screws should have satisfactory bony purchase. </w:t>
      </w:r>
    </w:p>
    <w:p w:rsidR="002F4011" w:rsidRPr="0006264D" w:rsidRDefault="002F4011" w:rsidP="002F4011">
      <w:pPr>
        <w:snapToGrid w:val="0"/>
        <w:ind w:firstLine="425"/>
        <w:jc w:val="both"/>
        <w:rPr>
          <w:rFonts w:ascii="Times New Roman" w:hAnsi="Times New Roman"/>
          <w:sz w:val="20"/>
          <w:szCs w:val="20"/>
        </w:rPr>
      </w:pPr>
      <w:r w:rsidRPr="0006264D">
        <w:rPr>
          <w:rFonts w:ascii="Times New Roman" w:eastAsia="Times New Roman" w:hAnsi="Times New Roman"/>
          <w:sz w:val="20"/>
          <w:szCs w:val="20"/>
          <w:highlight w:val="white"/>
          <w:shd w:val="clear" w:color="auto" w:fill="FEFEFE"/>
        </w:rPr>
        <w:t xml:space="preserve">We then fashion the hinged rods to the contour and shape of the cervical screws and the occipital plate. We used a cross connector to attach the rod to the C2 translaminar screws. All of the screws were </w:t>
      </w:r>
      <w:r w:rsidRPr="0006264D">
        <w:rPr>
          <w:rFonts w:ascii="Times New Roman" w:eastAsia="Times New Roman" w:hAnsi="Times New Roman"/>
          <w:sz w:val="20"/>
          <w:szCs w:val="20"/>
          <w:highlight w:val="white"/>
          <w:shd w:val="clear" w:color="auto" w:fill="FEFEFE"/>
        </w:rPr>
        <w:lastRenderedPageBreak/>
        <w:t>then tightened to their final positions, and the construct was complete (Fig. 5 and 6). We decorticate the bony surfaces between the occiput and C3, and demineralize bone matrix, and allograft bone was placed over the decorticated regions</w:t>
      </w:r>
      <w:r w:rsidRPr="0006264D">
        <w:rPr>
          <w:rFonts w:ascii="Times New Roman" w:eastAsia="Times New Roman" w:hAnsi="Times New Roman"/>
          <w:sz w:val="20"/>
          <w:szCs w:val="20"/>
          <w:shd w:val="clear" w:color="auto" w:fill="FEFEFE"/>
        </w:rPr>
        <w:t>.</w:t>
      </w:r>
    </w:p>
    <w:p w:rsidR="008118D1" w:rsidRPr="0006264D" w:rsidRDefault="008118D1" w:rsidP="002F4011">
      <w:pPr>
        <w:snapToGrid w:val="0"/>
        <w:jc w:val="both"/>
        <w:rPr>
          <w:rFonts w:ascii="Times New Roman" w:hAnsi="Times New Roman"/>
          <w:b/>
          <w:bCs/>
          <w:sz w:val="20"/>
          <w:szCs w:val="14"/>
        </w:rPr>
      </w:pPr>
    </w:p>
    <w:p w:rsidR="002F4011" w:rsidRDefault="004765DE" w:rsidP="002F4011">
      <w:pPr>
        <w:snapToGrid w:val="0"/>
        <w:jc w:val="center"/>
        <w:rPr>
          <w:rFonts w:ascii="Times New Roman" w:hAnsi="Times New Roman"/>
          <w:b/>
          <w:noProof/>
          <w:sz w:val="20"/>
          <w:szCs w:val="18"/>
          <w:lang w:eastAsia="zh-CN"/>
        </w:rPr>
      </w:pPr>
      <w:r w:rsidRPr="00227A8B">
        <w:rPr>
          <w:rFonts w:ascii="Times New Roman" w:hAnsi="Times New Roman"/>
          <w:b/>
          <w:noProof/>
          <w:sz w:val="20"/>
          <w:szCs w:val="18"/>
          <w:lang w:eastAsia="zh-CN"/>
        </w:rPr>
        <w:pict>
          <v:shape id="Picture 8" o:spid="_x0000_i1032" type="#_x0000_t75" alt="../../../Dr-Ahmed/MEDICAL/USA%20Cases%20AHMED/الرساله%20آمريكا/18-Holly-Sharlyn%20C%20Santa%20Romana%202591592/C-ARM%20Intraop%20and%20Postop/Screen%20Shot" style="width:198.45pt;height:195.35pt;visibility:visible;mso-wrap-style:square">
            <v:imagedata r:id="rId21" o:title="Screen%20Shot" cropbottom="7932f"/>
          </v:shape>
        </w:pict>
      </w:r>
    </w:p>
    <w:p w:rsidR="008118D1"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9" o:spid="_x0000_i1033" type="#_x0000_t75" alt="../../../Dr-Ahmed/MEDICAL/USA%20Cases%20AHMED/الرساله%20آمريكا/18-Holly-Sharlyn%20C%20Santa%20Romana%202591592/C-ARM%20Intraop%20and%20Postop/Screen%20Shot" style="width:198.45pt;height:222.9pt;visibility:visible;mso-wrap-style:square">
            <v:imagedata r:id="rId22" o:title="Screen%20Shot"/>
          </v:shape>
        </w:pict>
      </w:r>
    </w:p>
    <w:p w:rsidR="00033C1D" w:rsidRPr="0006264D" w:rsidRDefault="005A3752" w:rsidP="002F4011">
      <w:pPr>
        <w:snapToGrid w:val="0"/>
        <w:jc w:val="both"/>
        <w:rPr>
          <w:rFonts w:ascii="Times New Roman" w:hAnsi="Times New Roman"/>
          <w:b/>
          <w:bCs/>
          <w:sz w:val="20"/>
          <w:szCs w:val="18"/>
          <w:lang w:eastAsia="zh-CN"/>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6: </w:t>
      </w:r>
      <w:r w:rsidR="008118D1" w:rsidRPr="0006264D">
        <w:rPr>
          <w:rFonts w:ascii="Times New Roman" w:hAnsi="Times New Roman"/>
          <w:b/>
          <w:bCs/>
          <w:sz w:val="20"/>
          <w:szCs w:val="18"/>
        </w:rPr>
        <w:t>Postoperative image of Occipitocervical fixation</w:t>
      </w:r>
      <w:r w:rsidR="00315CBA" w:rsidRPr="0006264D">
        <w:rPr>
          <w:rFonts w:ascii="Times New Roman" w:hAnsi="Times New Roman"/>
          <w:b/>
          <w:bCs/>
          <w:sz w:val="20"/>
          <w:szCs w:val="18"/>
        </w:rPr>
        <w:t xml:space="preserve"> </w:t>
      </w:r>
      <w:r w:rsidR="008118D1" w:rsidRPr="0006264D">
        <w:rPr>
          <w:rFonts w:ascii="Times New Roman" w:hAnsi="Times New Roman"/>
          <w:b/>
          <w:bCs/>
          <w:sz w:val="20"/>
          <w:szCs w:val="18"/>
        </w:rPr>
        <w:t>with</w:t>
      </w:r>
      <w:r w:rsidR="00315CBA" w:rsidRPr="0006264D">
        <w:rPr>
          <w:rFonts w:ascii="Times New Roman" w:hAnsi="Times New Roman"/>
          <w:b/>
          <w:bCs/>
          <w:sz w:val="20"/>
          <w:szCs w:val="18"/>
        </w:rPr>
        <w:t xml:space="preserve"> </w:t>
      </w:r>
      <w:r w:rsidR="008118D1" w:rsidRPr="0006264D">
        <w:rPr>
          <w:rFonts w:ascii="Times New Roman" w:hAnsi="Times New Roman"/>
          <w:b/>
          <w:bCs/>
          <w:sz w:val="20"/>
          <w:szCs w:val="18"/>
        </w:rPr>
        <w:t>good alignment.</w:t>
      </w:r>
    </w:p>
    <w:p w:rsidR="00315CBA" w:rsidRPr="0006264D" w:rsidRDefault="00315CBA" w:rsidP="002F4011">
      <w:pPr>
        <w:snapToGrid w:val="0"/>
        <w:jc w:val="both"/>
        <w:rPr>
          <w:rFonts w:ascii="Times New Roman" w:hAnsi="Times New Roman"/>
          <w:b/>
          <w:bCs/>
          <w:color w:val="FF0000"/>
          <w:sz w:val="20"/>
          <w:szCs w:val="12"/>
        </w:rPr>
      </w:pPr>
    </w:p>
    <w:p w:rsidR="00E45D9C" w:rsidRPr="0006264D" w:rsidRDefault="008118D1" w:rsidP="002F4011">
      <w:pPr>
        <w:snapToGrid w:val="0"/>
        <w:jc w:val="both"/>
        <w:rPr>
          <w:rFonts w:ascii="Times New Roman" w:hAnsi="Times New Roman"/>
          <w:color w:val="000000"/>
          <w:sz w:val="20"/>
          <w:szCs w:val="20"/>
        </w:rPr>
      </w:pPr>
      <w:r w:rsidRPr="0006264D">
        <w:rPr>
          <w:rFonts w:ascii="Times New Roman" w:hAnsi="Times New Roman"/>
          <w:b/>
          <w:bCs/>
          <w:color w:val="000000"/>
          <w:sz w:val="20"/>
          <w:szCs w:val="20"/>
        </w:rPr>
        <w:t>Far Lateral Approach to the CCJ:</w:t>
      </w:r>
    </w:p>
    <w:p w:rsidR="00033C1D" w:rsidRPr="0006264D" w:rsidRDefault="00E45D9C"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rPr>
        <w:t>W</w:t>
      </w:r>
      <w:r w:rsidR="00033C1D" w:rsidRPr="0006264D">
        <w:rPr>
          <w:rFonts w:ascii="Times New Roman" w:eastAsia="Times New Roman" w:hAnsi="Times New Roman"/>
          <w:sz w:val="20"/>
          <w:szCs w:val="20"/>
        </w:rPr>
        <w:t>e used far lateral approach in this thesis in one case with large tumor extending from CPA area to the craniocervical region, Full description of the approach as follow:</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p>
    <w:p w:rsidR="00033C1D" w:rsidRPr="0006264D" w:rsidRDefault="00033C1D" w:rsidP="002F4011">
      <w:pPr>
        <w:widowControl w:val="0"/>
        <w:autoSpaceDE w:val="0"/>
        <w:autoSpaceDN w:val="0"/>
        <w:adjustRightInd w:val="0"/>
        <w:snapToGrid w:val="0"/>
        <w:jc w:val="both"/>
        <w:rPr>
          <w:rFonts w:ascii="Times New Roman" w:eastAsia="Times New Roman" w:hAnsi="Times New Roman"/>
          <w:sz w:val="20"/>
          <w:szCs w:val="20"/>
        </w:rPr>
      </w:pPr>
      <w:r w:rsidRPr="0006264D">
        <w:rPr>
          <w:rFonts w:ascii="Times New Roman" w:eastAsia="Times New Roman" w:hAnsi="Times New Roman"/>
          <w:b/>
          <w:bCs/>
          <w:sz w:val="20"/>
          <w:szCs w:val="20"/>
          <w:highlight w:val="white"/>
          <w:shd w:val="clear" w:color="auto" w:fill="FEFEFE"/>
        </w:rPr>
        <w:t>Description of Procedure</w:t>
      </w:r>
      <w:r w:rsidRPr="0006264D">
        <w:rPr>
          <w:rFonts w:ascii="Times New Roman" w:eastAsia="Times New Roman" w:hAnsi="Times New Roman"/>
          <w:b/>
          <w:bCs/>
          <w:sz w:val="20"/>
          <w:szCs w:val="20"/>
          <w:shd w:val="clear" w:color="auto" w:fill="FEFEFE"/>
        </w:rPr>
        <w:t>:</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Positioning: Body position lateral, left side up. Head placed in 3-point Mayfield head holder. Body parts were positioned and padded for protection.</w:t>
      </w:r>
    </w:p>
    <w:p w:rsidR="002F4011"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highlight w:val="white"/>
          <w:shd w:val="clear" w:color="auto" w:fill="FEFEFE"/>
        </w:rPr>
      </w:pPr>
      <w:r w:rsidRPr="0006264D">
        <w:rPr>
          <w:rFonts w:ascii="Times New Roman" w:eastAsia="Times New Roman" w:hAnsi="Times New Roman"/>
          <w:sz w:val="20"/>
          <w:szCs w:val="20"/>
          <w:highlight w:val="white"/>
          <w:shd w:val="clear" w:color="auto" w:fill="FEFEFE"/>
        </w:rPr>
        <w:lastRenderedPageBreak/>
        <w:t>- Neuro-navigation: Brain LAB registration obtaine</w:t>
      </w:r>
      <w:r w:rsidR="002F4011" w:rsidRPr="0006264D">
        <w:rPr>
          <w:rFonts w:ascii="Times New Roman" w:eastAsia="Times New Roman" w:hAnsi="Times New Roman"/>
          <w:sz w:val="20"/>
          <w:szCs w:val="20"/>
          <w:highlight w:val="white"/>
          <w:shd w:val="clear" w:color="auto" w:fill="FEFEFE"/>
        </w:rPr>
        <w:t>d</w:t>
      </w:r>
      <w:r w:rsidR="002F4011">
        <w:rPr>
          <w:rFonts w:ascii="Times New Roman" w:eastAsia="Times New Roman" w:hAnsi="Times New Roman"/>
          <w:sz w:val="20"/>
          <w:szCs w:val="20"/>
          <w:highlight w:val="white"/>
          <w:shd w:val="clear" w:color="auto" w:fill="FEFEFE"/>
        </w:rPr>
        <w:t>.</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Incisions: New C-shaped incision line marked out from C3 to inion to behind pinna. Hair was clipped in a routine fashion.</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Prep: Preprep skin cleansing with soft hand scrub brushes. Routine Betadine prep. Sterile draping was placed. The incisions were infiltrated with 0.25% Marcaine 1: 200,000 dilution epinephrine.</w:t>
      </w:r>
    </w:p>
    <w:p w:rsidR="00033C1D" w:rsidRPr="0006264D" w:rsidRDefault="00033C1D" w:rsidP="002F4011">
      <w:pPr>
        <w:widowControl w:val="0"/>
        <w:autoSpaceDE w:val="0"/>
        <w:autoSpaceDN w:val="0"/>
        <w:adjustRightInd w:val="0"/>
        <w:snapToGrid w:val="0"/>
        <w:jc w:val="both"/>
        <w:rPr>
          <w:rFonts w:ascii="Times New Roman" w:eastAsia="Times New Roman" w:hAnsi="Times New Roman"/>
          <w:b/>
          <w:bCs/>
          <w:sz w:val="20"/>
          <w:szCs w:val="20"/>
          <w:highlight w:val="white"/>
          <w:shd w:val="clear" w:color="auto" w:fill="FEFEFE"/>
        </w:rPr>
      </w:pPr>
      <w:r w:rsidRPr="0006264D">
        <w:rPr>
          <w:rFonts w:ascii="Times New Roman" w:eastAsia="Times New Roman" w:hAnsi="Times New Roman"/>
          <w:b/>
          <w:bCs/>
          <w:sz w:val="20"/>
          <w:szCs w:val="20"/>
          <w:highlight w:val="white"/>
          <w:shd w:val="clear" w:color="auto" w:fill="FEFEFE"/>
        </w:rPr>
        <w:t xml:space="preserve">- Approach: </w:t>
      </w:r>
    </w:p>
    <w:p w:rsidR="002F4011"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highlight w:val="white"/>
          <w:shd w:val="clear" w:color="auto" w:fill="FEFEFE"/>
        </w:rPr>
      </w:pPr>
      <w:r w:rsidRPr="0006264D">
        <w:rPr>
          <w:rFonts w:ascii="Times New Roman" w:eastAsia="Times New Roman" w:hAnsi="Times New Roman"/>
          <w:sz w:val="20"/>
          <w:szCs w:val="20"/>
          <w:highlight w:val="white"/>
          <w:shd w:val="clear" w:color="auto" w:fill="FEFEFE"/>
        </w:rPr>
        <w:t>The incision was opened. Rainey clips were applied for hemostasis. The dissection was carried down to the periosteum, elevating the nuchal musculature laterally on bloc to expose the suboccipital bone, posterior arch of C1, and continued laterally to the sulcus arteriosis. The cervical suboccipital dura was exposed. The scalp/muscle was retracted laterally</w:t>
      </w:r>
      <w:r w:rsidRPr="0006264D">
        <w:rPr>
          <w:rFonts w:ascii="Times New Roman" w:eastAsia="Times New Roman" w:hAnsi="Times New Roman"/>
          <w:color w:val="0F0F0F"/>
          <w:sz w:val="20"/>
          <w:szCs w:val="20"/>
          <w:highlight w:val="white"/>
          <w:shd w:val="clear" w:color="auto" w:fill="FEFEFE"/>
        </w:rPr>
        <w:t>. </w:t>
      </w:r>
      <w:r w:rsidRPr="0006264D">
        <w:rPr>
          <w:rFonts w:ascii="Times New Roman" w:eastAsia="Times New Roman" w:hAnsi="Times New Roman"/>
          <w:sz w:val="20"/>
          <w:szCs w:val="20"/>
          <w:highlight w:val="white"/>
          <w:shd w:val="clear" w:color="auto" w:fill="FEFEFE"/>
        </w:rPr>
        <w:t xml:space="preserve"> The scalp was padded, and retracted with fish hooks and rubber band</w:t>
      </w:r>
      <w:r w:rsidR="002F4011" w:rsidRPr="0006264D">
        <w:rPr>
          <w:rFonts w:ascii="Times New Roman" w:eastAsia="Times New Roman" w:hAnsi="Times New Roman"/>
          <w:sz w:val="20"/>
          <w:szCs w:val="20"/>
          <w:highlight w:val="white"/>
          <w:shd w:val="clear" w:color="auto" w:fill="FEFEFE"/>
        </w:rPr>
        <w:t>s</w:t>
      </w:r>
      <w:r w:rsidR="002F4011">
        <w:rPr>
          <w:rFonts w:ascii="Times New Roman" w:eastAsia="Times New Roman" w:hAnsi="Times New Roman"/>
          <w:sz w:val="20"/>
          <w:szCs w:val="20"/>
          <w:highlight w:val="white"/>
          <w:shd w:val="clear" w:color="auto" w:fill="FEFEFE"/>
        </w:rPr>
        <w:t>.</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color w:val="0F0F0F"/>
          <w:sz w:val="20"/>
          <w:szCs w:val="20"/>
          <w:highlight w:val="white"/>
          <w:shd w:val="clear" w:color="auto" w:fill="FEFEFE"/>
        </w:rPr>
        <w:t>- Pericranial graft: </w:t>
      </w:r>
      <w:r w:rsidRPr="0006264D">
        <w:rPr>
          <w:rFonts w:ascii="Times New Roman" w:eastAsia="Times New Roman" w:hAnsi="Times New Roman"/>
          <w:sz w:val="20"/>
          <w:szCs w:val="20"/>
          <w:highlight w:val="white"/>
          <w:shd w:val="clear" w:color="auto" w:fill="FEFEFE"/>
        </w:rPr>
        <w:t xml:space="preserve"> None</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color w:val="0F0F0F"/>
          <w:sz w:val="20"/>
          <w:szCs w:val="20"/>
          <w:highlight w:val="white"/>
          <w:shd w:val="clear" w:color="auto" w:fill="FEFEFE"/>
        </w:rPr>
        <w:t>- Craniotomy: </w:t>
      </w:r>
      <w:r w:rsidRPr="0006264D">
        <w:rPr>
          <w:rFonts w:ascii="Times New Roman" w:eastAsia="Times New Roman" w:hAnsi="Times New Roman"/>
          <w:sz w:val="20"/>
          <w:szCs w:val="20"/>
          <w:highlight w:val="white"/>
          <w:shd w:val="clear" w:color="auto" w:fill="FEFEFE"/>
        </w:rPr>
        <w:t xml:space="preserve"> Burr holes were placed and the craniotomy elevated using the high-speed drill.  The dura was intact at opening</w:t>
      </w:r>
      <w:r w:rsidRPr="0006264D">
        <w:rPr>
          <w:rFonts w:ascii="Times New Roman" w:eastAsia="Times New Roman" w:hAnsi="Times New Roman"/>
          <w:color w:val="0F0F0F"/>
          <w:sz w:val="20"/>
          <w:szCs w:val="20"/>
          <w:highlight w:val="white"/>
          <w:shd w:val="clear" w:color="auto" w:fill="FEFEFE"/>
        </w:rPr>
        <w:t>.</w:t>
      </w:r>
      <w:r w:rsidRPr="0006264D">
        <w:rPr>
          <w:rFonts w:ascii="Times New Roman" w:eastAsia="Times New Roman" w:hAnsi="Times New Roman"/>
          <w:sz w:val="20"/>
          <w:szCs w:val="20"/>
          <w:highlight w:val="white"/>
          <w:shd w:val="clear" w:color="auto" w:fill="FEFEFE"/>
        </w:rPr>
        <w:t xml:space="preserve"> The posterior arch of C1 was removed</w:t>
      </w:r>
      <w:r w:rsidR="002F4011" w:rsidRPr="0006264D">
        <w:rPr>
          <w:rFonts w:ascii="Times New Roman" w:eastAsia="Times New Roman" w:hAnsi="Times New Roman"/>
          <w:sz w:val="20"/>
          <w:szCs w:val="20"/>
          <w:highlight w:val="white"/>
          <w:shd w:val="clear" w:color="auto" w:fill="FEFEFE"/>
        </w:rPr>
        <w:t>.</w:t>
      </w:r>
      <w:r w:rsidR="002F4011">
        <w:rPr>
          <w:rFonts w:ascii="Times New Roman" w:eastAsia="Times New Roman" w:hAnsi="Times New Roman"/>
          <w:sz w:val="20"/>
          <w:szCs w:val="20"/>
          <w:highlight w:val="white"/>
          <w:shd w:val="clear" w:color="auto" w:fill="FEFEFE"/>
        </w:rPr>
        <w:t xml:space="preserve"> </w:t>
      </w:r>
      <w:r w:rsidR="002F4011" w:rsidRPr="0006264D">
        <w:rPr>
          <w:rFonts w:ascii="Times New Roman" w:eastAsia="Times New Roman" w:hAnsi="Times New Roman"/>
          <w:sz w:val="20"/>
          <w:szCs w:val="20"/>
          <w:highlight w:val="white"/>
          <w:shd w:val="clear" w:color="auto" w:fill="FEFEFE"/>
        </w:rPr>
        <w:t>T</w:t>
      </w:r>
      <w:r w:rsidRPr="0006264D">
        <w:rPr>
          <w:rFonts w:ascii="Times New Roman" w:eastAsia="Times New Roman" w:hAnsi="Times New Roman"/>
          <w:sz w:val="20"/>
          <w:szCs w:val="20"/>
          <w:highlight w:val="white"/>
          <w:shd w:val="clear" w:color="auto" w:fill="FEFEFE"/>
        </w:rPr>
        <w:t>he condylar vein was coagulated, and a couple of mm of the condylar joint drilled down. The dura was adherent, and no dural tack ups were required.</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Dural opening:  The dura was opened carefully.</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The operating microscope was brought into the field</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 Definitive procedure: The vertebral artery was located. Branches of 11</w:t>
      </w:r>
      <w:r w:rsidR="001037BB" w:rsidRPr="0006264D">
        <w:rPr>
          <w:rFonts w:ascii="Times New Roman" w:eastAsia="Times New Roman" w:hAnsi="Times New Roman"/>
          <w:sz w:val="20"/>
          <w:szCs w:val="20"/>
          <w:highlight w:val="white"/>
          <w:shd w:val="clear" w:color="auto" w:fill="FEFEFE"/>
          <w:vertAlign w:val="superscript"/>
        </w:rPr>
        <w:t>th</w:t>
      </w:r>
      <w:r w:rsidR="001037BB" w:rsidRPr="0006264D">
        <w:rPr>
          <w:rFonts w:ascii="Times New Roman" w:eastAsia="Times New Roman" w:hAnsi="Times New Roman"/>
          <w:sz w:val="20"/>
          <w:szCs w:val="20"/>
          <w:highlight w:val="white"/>
          <w:shd w:val="clear" w:color="auto" w:fill="FEFEFE"/>
        </w:rPr>
        <w:t xml:space="preserve"> nerve </w:t>
      </w:r>
      <w:r w:rsidRPr="0006264D">
        <w:rPr>
          <w:rFonts w:ascii="Times New Roman" w:eastAsia="Times New Roman" w:hAnsi="Times New Roman"/>
          <w:sz w:val="20"/>
          <w:szCs w:val="20"/>
          <w:highlight w:val="white"/>
          <w:shd w:val="clear" w:color="auto" w:fill="FEFEFE"/>
        </w:rPr>
        <w:t xml:space="preserve">were identified and swept off </w:t>
      </w:r>
      <w:r w:rsidR="009F500F">
        <w:rPr>
          <w:rFonts w:ascii="Times New Roman" w:eastAsia="Times New Roman" w:hAnsi="Times New Roman"/>
          <w:sz w:val="20"/>
          <w:szCs w:val="20"/>
          <w:highlight w:val="white"/>
          <w:shd w:val="clear" w:color="auto" w:fill="FEFEFE"/>
        </w:rPr>
        <w:t xml:space="preserve">the tumor capsule. </w:t>
      </w:r>
      <w:r w:rsidRPr="0006264D">
        <w:rPr>
          <w:rFonts w:ascii="Times New Roman" w:eastAsia="Times New Roman" w:hAnsi="Times New Roman"/>
          <w:sz w:val="20"/>
          <w:szCs w:val="20"/>
          <w:highlight w:val="white"/>
          <w:shd w:val="clear" w:color="auto" w:fill="FEFEFE"/>
        </w:rPr>
        <w:t>Using microdissection technique, the arachnoid was gently pulled away from the tumor capsule. Cottonoids were placed and this process continued circu</w:t>
      </w:r>
      <w:r w:rsidR="001037BB" w:rsidRPr="0006264D">
        <w:rPr>
          <w:rFonts w:ascii="Times New Roman" w:eastAsia="Times New Roman" w:hAnsi="Times New Roman"/>
          <w:sz w:val="20"/>
          <w:szCs w:val="20"/>
          <w:highlight w:val="white"/>
          <w:shd w:val="clear" w:color="auto" w:fill="FEFEFE"/>
        </w:rPr>
        <w:t>m</w:t>
      </w:r>
      <w:r w:rsidRPr="0006264D">
        <w:rPr>
          <w:rFonts w:ascii="Times New Roman" w:eastAsia="Times New Roman" w:hAnsi="Times New Roman"/>
          <w:sz w:val="20"/>
          <w:szCs w:val="20"/>
          <w:highlight w:val="white"/>
          <w:shd w:val="clear" w:color="auto" w:fill="FEFEFE"/>
        </w:rPr>
        <w:t>ferentially to free the margins. The tumor was centrally debulked using the ultrasonic aspirator. The dissection was continued as described above until the entire tumor was freed and removed. This involved identification and carefully sweeping away 7 through 12. Nerve stimulation was used throughout with intact function maintained. Tiny tumor pieces were left on CN branches if they were too adherent. Meticulous attention was placed to preserve cortical veins and arterioles.</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Extent of resection: Near gross total, possible tiny residual along CNs</w:t>
      </w:r>
    </w:p>
    <w:p w:rsidR="00033C1D" w:rsidRPr="0006264D" w:rsidRDefault="00033C1D" w:rsidP="002F4011">
      <w:pPr>
        <w:widowControl w:val="0"/>
        <w:autoSpaceDE w:val="0"/>
        <w:autoSpaceDN w:val="0"/>
        <w:adjustRightInd w:val="0"/>
        <w:snapToGrid w:val="0"/>
        <w:ind w:firstLine="425"/>
        <w:jc w:val="both"/>
        <w:rPr>
          <w:rFonts w:ascii="Times New Roman" w:eastAsia="Times New Roman" w:hAnsi="Times New Roman"/>
          <w:sz w:val="20"/>
          <w:szCs w:val="20"/>
        </w:rPr>
      </w:pPr>
      <w:r w:rsidRPr="0006264D">
        <w:rPr>
          <w:rFonts w:ascii="Times New Roman" w:eastAsia="Times New Roman" w:hAnsi="Times New Roman"/>
          <w:sz w:val="20"/>
          <w:szCs w:val="20"/>
          <w:highlight w:val="white"/>
          <w:shd w:val="clear" w:color="auto" w:fill="FEFEFE"/>
        </w:rPr>
        <w:t>Resection cavity: Hemostasis was acquired</w:t>
      </w:r>
    </w:p>
    <w:p w:rsidR="00E45D9C" w:rsidRPr="0006264D" w:rsidRDefault="00033C1D" w:rsidP="002F4011">
      <w:pPr>
        <w:snapToGrid w:val="0"/>
        <w:ind w:firstLine="425"/>
        <w:jc w:val="both"/>
        <w:rPr>
          <w:rFonts w:ascii="Times New Roman" w:hAnsi="Times New Roman"/>
          <w:color w:val="FF0000"/>
          <w:sz w:val="20"/>
          <w:szCs w:val="20"/>
        </w:rPr>
      </w:pPr>
      <w:r w:rsidRPr="0006264D">
        <w:rPr>
          <w:rFonts w:ascii="Times New Roman" w:eastAsia="Times New Roman" w:hAnsi="Times New Roman"/>
          <w:sz w:val="20"/>
          <w:szCs w:val="20"/>
          <w:highlight w:val="white"/>
          <w:shd w:val="clear" w:color="auto" w:fill="FEFEFE"/>
        </w:rPr>
        <w:t>- Dural closure: The dura was closed primarily using 4-0 neurolon interrupted sutures. A watertight dural closure was obtained. Tisseel was used</w:t>
      </w:r>
      <w:r w:rsidRPr="0006264D">
        <w:rPr>
          <w:rFonts w:ascii="Times New Roman" w:eastAsia="Times New Roman" w:hAnsi="Times New Roman"/>
          <w:sz w:val="20"/>
          <w:szCs w:val="20"/>
        </w:rPr>
        <w:t xml:space="preserve">. </w:t>
      </w:r>
      <w:r w:rsidRPr="0006264D">
        <w:rPr>
          <w:rFonts w:ascii="Times New Roman" w:eastAsia="Times New Roman" w:hAnsi="Times New Roman"/>
          <w:sz w:val="20"/>
          <w:szCs w:val="20"/>
          <w:highlight w:val="white"/>
          <w:shd w:val="clear" w:color="auto" w:fill="FEFEFE"/>
        </w:rPr>
        <w:t xml:space="preserve">The wound was irrigated. Central tack ups were placed. The bone flap was returned, and anchored with titanium plates and screws. </w:t>
      </w:r>
      <w:r w:rsidRPr="0006264D">
        <w:rPr>
          <w:rFonts w:ascii="Times New Roman" w:eastAsia="Times New Roman" w:hAnsi="Times New Roman"/>
          <w:color w:val="0F0F0F"/>
          <w:sz w:val="20"/>
          <w:szCs w:val="20"/>
          <w:highlight w:val="white"/>
          <w:shd w:val="clear" w:color="auto" w:fill="FEFEFE"/>
        </w:rPr>
        <w:t>The muscle fascia was closed in layers with 0 and 3-0 Vicryl.</w:t>
      </w:r>
      <w:r w:rsidR="00315CBA" w:rsidRPr="0006264D">
        <w:rPr>
          <w:rFonts w:ascii="Times New Roman" w:eastAsia="Times New Roman" w:hAnsi="Times New Roman"/>
          <w:color w:val="0F0F0F"/>
          <w:sz w:val="20"/>
          <w:szCs w:val="20"/>
          <w:highlight w:val="white"/>
          <w:shd w:val="clear" w:color="auto" w:fill="FEFEFE"/>
        </w:rPr>
        <w:t xml:space="preserve"> </w:t>
      </w:r>
      <w:r w:rsidRPr="0006264D">
        <w:rPr>
          <w:rFonts w:ascii="Times New Roman" w:eastAsia="Times New Roman" w:hAnsi="Times New Roman"/>
          <w:sz w:val="20"/>
          <w:szCs w:val="20"/>
          <w:highlight w:val="white"/>
          <w:shd w:val="clear" w:color="auto" w:fill="FEFEFE"/>
        </w:rPr>
        <w:t xml:space="preserve">The galea was closed with 3-0 Vicryl. The skin was closed with 3-0 </w:t>
      </w:r>
      <w:r w:rsidRPr="0006264D">
        <w:rPr>
          <w:rFonts w:ascii="Times New Roman" w:eastAsia="Times New Roman" w:hAnsi="Times New Roman"/>
          <w:sz w:val="20"/>
          <w:szCs w:val="20"/>
          <w:highlight w:val="white"/>
          <w:shd w:val="clear" w:color="auto" w:fill="FEFEFE"/>
        </w:rPr>
        <w:lastRenderedPageBreak/>
        <w:t>nylon vertical mattress sutures. Sterile dressing was placed. The Mayfield was removed.</w:t>
      </w:r>
    </w:p>
    <w:p w:rsidR="008118D1" w:rsidRPr="0006264D" w:rsidRDefault="008118D1" w:rsidP="002F4011">
      <w:pPr>
        <w:snapToGrid w:val="0"/>
        <w:jc w:val="both"/>
        <w:rPr>
          <w:rFonts w:ascii="Times New Roman" w:hAnsi="Times New Roman"/>
          <w:color w:val="000000"/>
          <w:sz w:val="20"/>
          <w:szCs w:val="20"/>
        </w:rPr>
      </w:pPr>
      <w:r w:rsidRPr="0006264D">
        <w:rPr>
          <w:rFonts w:ascii="Times New Roman" w:hAnsi="Times New Roman"/>
          <w:b/>
          <w:bCs/>
          <w:color w:val="000000"/>
          <w:sz w:val="20"/>
          <w:szCs w:val="20"/>
        </w:rPr>
        <w:t>Anterior Approaches to the CCJ:</w:t>
      </w:r>
    </w:p>
    <w:p w:rsidR="008118D1" w:rsidRPr="0006264D" w:rsidRDefault="008118D1" w:rsidP="002F4011">
      <w:pPr>
        <w:snapToGrid w:val="0"/>
        <w:ind w:firstLine="425"/>
        <w:jc w:val="both"/>
        <w:rPr>
          <w:rFonts w:ascii="Times New Roman" w:hAnsi="Times New Roman"/>
          <w:color w:val="FF0000"/>
          <w:sz w:val="20"/>
          <w:szCs w:val="20"/>
        </w:rPr>
      </w:pPr>
      <w:r w:rsidRPr="0006264D">
        <w:rPr>
          <w:rFonts w:ascii="Times New Roman" w:hAnsi="Times New Roman"/>
          <w:sz w:val="20"/>
          <w:szCs w:val="20"/>
        </w:rPr>
        <w:t xml:space="preserve">Anterior approaches to the craniocervical junction in our thesis </w:t>
      </w:r>
      <w:r w:rsidR="008F1692" w:rsidRPr="0006264D">
        <w:rPr>
          <w:rFonts w:ascii="Times New Roman" w:hAnsi="Times New Roman"/>
          <w:sz w:val="20"/>
          <w:szCs w:val="20"/>
        </w:rPr>
        <w:t>consist</w:t>
      </w:r>
      <w:r w:rsidRPr="0006264D">
        <w:rPr>
          <w:rFonts w:ascii="Times New Roman" w:hAnsi="Times New Roman"/>
          <w:sz w:val="20"/>
          <w:szCs w:val="20"/>
        </w:rPr>
        <w:t xml:space="preserve"> of either Anterior odontoid screw insertion or Retropharyngeal approach. Transoral approach is out of our thesis due to reported complications by other authors and unfamiliarity with the approach.</w:t>
      </w:r>
    </w:p>
    <w:p w:rsidR="008118D1" w:rsidRPr="0006264D" w:rsidRDefault="00FA2377" w:rsidP="002F4011">
      <w:pPr>
        <w:snapToGrid w:val="0"/>
        <w:jc w:val="both"/>
        <w:rPr>
          <w:rFonts w:ascii="Times New Roman" w:hAnsi="Times New Roman"/>
          <w:sz w:val="20"/>
          <w:szCs w:val="20"/>
        </w:rPr>
      </w:pPr>
      <w:r w:rsidRPr="0006264D">
        <w:rPr>
          <w:rFonts w:ascii="Times New Roman" w:hAnsi="Times New Roman"/>
          <w:b/>
          <w:bCs/>
          <w:sz w:val="20"/>
          <w:szCs w:val="20"/>
        </w:rPr>
        <w:t>-</w:t>
      </w:r>
      <w:r w:rsidR="008118D1" w:rsidRPr="0006264D">
        <w:rPr>
          <w:rFonts w:ascii="Times New Roman" w:hAnsi="Times New Roman"/>
          <w:b/>
          <w:bCs/>
          <w:sz w:val="20"/>
          <w:szCs w:val="20"/>
        </w:rPr>
        <w:t>Anterior Odontoid Screw:</w:t>
      </w:r>
    </w:p>
    <w:p w:rsidR="00E45D9C" w:rsidRPr="0006264D" w:rsidRDefault="008118D1" w:rsidP="002F4011">
      <w:pPr>
        <w:snapToGrid w:val="0"/>
        <w:ind w:firstLine="425"/>
        <w:jc w:val="both"/>
        <w:rPr>
          <w:rFonts w:ascii="Times New Roman" w:hAnsi="Times New Roman"/>
          <w:sz w:val="20"/>
          <w:szCs w:val="20"/>
        </w:rPr>
      </w:pPr>
      <w:r w:rsidRPr="0006264D">
        <w:rPr>
          <w:rFonts w:ascii="Times New Roman" w:hAnsi="Times New Roman"/>
          <w:sz w:val="20"/>
          <w:szCs w:val="20"/>
        </w:rPr>
        <w:t>In managing cases of atlantoaxial instability in our cases and our concept to use this screw for cases of odontoid fracture type 3 or odontoid fracture type 2 with oblique fracture with minimal displacement and intact transverse ligament or after failure of fusion with Halo placement.</w:t>
      </w:r>
    </w:p>
    <w:p w:rsidR="008118D1" w:rsidRPr="0006264D" w:rsidRDefault="008118D1" w:rsidP="002F4011">
      <w:pPr>
        <w:snapToGrid w:val="0"/>
        <w:ind w:firstLine="425"/>
        <w:jc w:val="both"/>
        <w:rPr>
          <w:rFonts w:ascii="Times New Roman" w:hAnsi="Times New Roman"/>
          <w:sz w:val="20"/>
          <w:szCs w:val="20"/>
        </w:rPr>
      </w:pPr>
      <w:r w:rsidRPr="0006264D">
        <w:rPr>
          <w:rFonts w:ascii="Times New Roman" w:hAnsi="Times New Roman"/>
          <w:sz w:val="20"/>
          <w:szCs w:val="20"/>
        </w:rPr>
        <w:t>Position of the patient supine position, we mark our incision guided by Fluoro imaging aiming the level of C5-C6 cervical disc, Then after prep the incision site as usual way we make a horizontal incision usually in the right side of the neck, then we dissect and cut the platysma muscle and then we dissect the anterior strap muscles by blunt dissection aiming at the cervical spine, then we dissect the prevertebral fascia and by using spinal needle we confirm the level, better to use Apfelbaum retractor, slight dissection of the longus coli muscles on both sides, then we the electric drill to drill a hole in the lower anterior border of C2 in the midline guided an confirmed by the bi-plane fluoro imaging Anteroposterior and lateral views, then we tap the hole all the way to the odontoid tip guided by Biplane fluro imaging, the application of the screw all the way in the track previously tapped and the length of the screw determined by measuring the distance from lower anterior C2 body border to the tip of the odontoid in preoperative CT imaging, hemostasis of the wound is achieved then closure of the platysma muscle with intruptedvicryl sutures, then closure of the subcutaneous and subcuticular layer with vicryl sutures, steristreps applied to the wound site.</w:t>
      </w:r>
    </w:p>
    <w:p w:rsidR="00E45D9C" w:rsidRPr="0006264D" w:rsidRDefault="00E45D9C" w:rsidP="002F4011">
      <w:pPr>
        <w:snapToGrid w:val="0"/>
        <w:ind w:firstLine="425"/>
        <w:jc w:val="both"/>
        <w:rPr>
          <w:rFonts w:ascii="Times New Roman" w:hAnsi="Times New Roman"/>
          <w:sz w:val="20"/>
          <w:szCs w:val="20"/>
        </w:rPr>
      </w:pPr>
    </w:p>
    <w:p w:rsidR="008118D1"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291" o:spid="_x0000_i1034" type="#_x0000_t75" alt="../../../../../../Desktop/20170920_132555" style="width:212.25pt;height:118.95pt;visibility:visible;mso-wrap-style:square">
            <v:imagedata r:id="rId23" o:title="20170920_132555"/>
          </v:shape>
        </w:pict>
      </w:r>
    </w:p>
    <w:p w:rsidR="008118D1" w:rsidRPr="0006264D" w:rsidRDefault="005A3752" w:rsidP="002F4011">
      <w:pPr>
        <w:snapToGrid w:val="0"/>
        <w:jc w:val="both"/>
        <w:rPr>
          <w:rFonts w:ascii="Times New Roman" w:hAnsi="Times New Roman"/>
          <w:b/>
          <w:bCs/>
          <w:sz w:val="20"/>
          <w:szCs w:val="18"/>
          <w:lang w:eastAsia="zh-CN"/>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7: </w:t>
      </w:r>
      <w:r w:rsidR="008118D1" w:rsidRPr="0006264D">
        <w:rPr>
          <w:rFonts w:ascii="Times New Roman" w:hAnsi="Times New Roman"/>
          <w:b/>
          <w:bCs/>
          <w:sz w:val="20"/>
          <w:szCs w:val="18"/>
        </w:rPr>
        <w:t>Intraoperative image of the surgical room showing Biplane C-arm</w:t>
      </w:r>
    </w:p>
    <w:p w:rsidR="00E45D9C" w:rsidRPr="0006264D" w:rsidRDefault="00E45D9C" w:rsidP="002F4011">
      <w:pPr>
        <w:snapToGrid w:val="0"/>
        <w:jc w:val="both"/>
        <w:rPr>
          <w:rFonts w:ascii="Times New Roman" w:hAnsi="Times New Roman"/>
          <w:b/>
          <w:bCs/>
          <w:sz w:val="20"/>
          <w:szCs w:val="18"/>
          <w:lang w:eastAsia="zh-CN"/>
        </w:rPr>
      </w:pPr>
    </w:p>
    <w:p w:rsidR="00FA2377"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lastRenderedPageBreak/>
        <w:pict>
          <v:shape id="Picture 4" o:spid="_x0000_i1035" type="#_x0000_t75" alt="Screen%20Shot%202017-07-22%20at%2010.40.37%20PM.png" style="width:198.45pt;height:221.65pt;visibility:visible;mso-wrap-style:square">
            <v:imagedata r:id="rId24" o:title="Screen%20Shot%202017-07-22%20at%2010"/>
          </v:shape>
        </w:pict>
      </w:r>
      <w:r w:rsidRPr="00227A8B">
        <w:rPr>
          <w:rFonts w:ascii="Times New Roman" w:hAnsi="Times New Roman"/>
          <w:b/>
          <w:noProof/>
          <w:sz w:val="20"/>
          <w:szCs w:val="18"/>
          <w:lang w:eastAsia="zh-CN"/>
        </w:rPr>
        <w:pict>
          <v:shape id="Picture 5" o:spid="_x0000_i1036" type="#_x0000_t75" alt="Screen%20Shot%202017-07-22%20at%2010.40.50%20PM.png" style="width:198.45pt;height:207.25pt;visibility:visible;mso-wrap-style:square">
            <v:imagedata r:id="rId25" o:title="Screen%20Shot%202017-07-22%20at%2010"/>
          </v:shape>
        </w:pict>
      </w:r>
    </w:p>
    <w:p w:rsidR="00E45D9C" w:rsidRPr="0006264D" w:rsidRDefault="005A3752" w:rsidP="002F4011">
      <w:pPr>
        <w:snapToGrid w:val="0"/>
        <w:jc w:val="both"/>
        <w:rPr>
          <w:rFonts w:ascii="Times New Roman" w:hAnsi="Times New Roman"/>
          <w:sz w:val="20"/>
          <w:szCs w:val="20"/>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8: </w:t>
      </w:r>
      <w:r w:rsidR="008118D1" w:rsidRPr="0006264D">
        <w:rPr>
          <w:rFonts w:ascii="Times New Roman" w:hAnsi="Times New Roman"/>
          <w:b/>
          <w:bCs/>
          <w:sz w:val="20"/>
          <w:szCs w:val="18"/>
        </w:rPr>
        <w:t>Biplane Fluro-imaging AP and Lateral views</w:t>
      </w:r>
    </w:p>
    <w:p w:rsidR="00E45D9C" w:rsidRDefault="00E45D9C" w:rsidP="002F4011">
      <w:pPr>
        <w:snapToGrid w:val="0"/>
        <w:ind w:firstLine="425"/>
        <w:jc w:val="both"/>
        <w:rPr>
          <w:rFonts w:ascii="Times New Roman" w:hAnsi="Times New Roman"/>
          <w:sz w:val="20"/>
          <w:szCs w:val="20"/>
          <w:lang w:eastAsia="zh-CN"/>
        </w:rPr>
      </w:pPr>
    </w:p>
    <w:p w:rsidR="00852E0C" w:rsidRPr="0006264D" w:rsidRDefault="00852E0C" w:rsidP="00852E0C">
      <w:pPr>
        <w:snapToGrid w:val="0"/>
        <w:jc w:val="both"/>
        <w:rPr>
          <w:rFonts w:ascii="Times New Roman" w:hAnsi="Times New Roman"/>
          <w:sz w:val="20"/>
          <w:szCs w:val="20"/>
        </w:rPr>
      </w:pPr>
      <w:r w:rsidRPr="0006264D">
        <w:rPr>
          <w:rFonts w:ascii="Times New Roman" w:hAnsi="Times New Roman"/>
          <w:b/>
          <w:bCs/>
          <w:sz w:val="20"/>
          <w:szCs w:val="20"/>
        </w:rPr>
        <w:t>-Submandibular Retropharyngeal Approach to the CCJ:</w:t>
      </w:r>
    </w:p>
    <w:p w:rsidR="00852E0C" w:rsidRPr="0006264D" w:rsidRDefault="00852E0C" w:rsidP="00852E0C">
      <w:pPr>
        <w:snapToGrid w:val="0"/>
        <w:ind w:firstLine="425"/>
        <w:jc w:val="both"/>
        <w:rPr>
          <w:rFonts w:ascii="Times New Roman" w:hAnsi="Times New Roman"/>
          <w:sz w:val="20"/>
          <w:szCs w:val="20"/>
          <w:lang w:eastAsia="zh-CN"/>
        </w:rPr>
      </w:pPr>
      <w:r w:rsidRPr="0006264D">
        <w:rPr>
          <w:rFonts w:ascii="Times New Roman" w:hAnsi="Times New Roman"/>
          <w:color w:val="000000"/>
          <w:sz w:val="20"/>
          <w:szCs w:val="20"/>
        </w:rPr>
        <w:t xml:space="preserve">The patient’s position is supine and the patient’s head is extended approximately 15° and rotated 30° away from the surgeon. This results in elevation of the mandible out of the surgeon’s line of sight to the surgical field. a transverse incision about 2 cm below the mandible, extending from the angle of the mandible to approximately 1 cm past the midline. Subcutaneous tissues are then dissected free from the underlying platysma muscle. In the midline, the vertically oriented fascial raphe of the platysma muscle is seen. The platysma muscle is elevated beginning at its medial edge, and a hole is cut into the medial fascial raphe. The opening of the raphe passes from the superficial to the middle fascial layer. This </w:t>
      </w:r>
      <w:r w:rsidRPr="0006264D">
        <w:rPr>
          <w:rFonts w:ascii="Times New Roman" w:hAnsi="Times New Roman"/>
          <w:color w:val="000000"/>
          <w:sz w:val="20"/>
          <w:szCs w:val="20"/>
        </w:rPr>
        <w:lastRenderedPageBreak/>
        <w:t>opening is then extended in both a cephalad and caudal direction, thereby separating the platysma in the cervical midline.</w:t>
      </w:r>
    </w:p>
    <w:p w:rsidR="002F4011" w:rsidRDefault="004765DE" w:rsidP="002F4011">
      <w:pPr>
        <w:snapToGrid w:val="0"/>
        <w:jc w:val="center"/>
        <w:rPr>
          <w:rFonts w:ascii="Times New Roman" w:hAnsi="Times New Roman"/>
          <w:b/>
          <w:noProof/>
          <w:sz w:val="20"/>
          <w:szCs w:val="18"/>
          <w:lang w:eastAsia="zh-CN"/>
        </w:rPr>
      </w:pPr>
      <w:r w:rsidRPr="00227A8B">
        <w:rPr>
          <w:rFonts w:ascii="Times New Roman" w:hAnsi="Times New Roman"/>
          <w:b/>
          <w:noProof/>
          <w:sz w:val="20"/>
          <w:szCs w:val="18"/>
          <w:lang w:eastAsia="zh-CN"/>
        </w:rPr>
        <w:pict>
          <v:shape id="Picture 10" o:spid="_x0000_i1037" type="#_x0000_t75" alt="Screen%20Shot%202017-07-22%20at%2010.41.21%20PM.png" style="width:198.45pt;height:170.9pt;visibility:visible;mso-wrap-style:square">
            <v:imagedata r:id="rId26" o:title="Screen%20Shot%202017-07-22%20at%2010"/>
          </v:shape>
        </w:pict>
      </w:r>
    </w:p>
    <w:p w:rsidR="00E45D9C" w:rsidRPr="0006264D" w:rsidRDefault="004765DE" w:rsidP="002F4011">
      <w:pPr>
        <w:snapToGrid w:val="0"/>
        <w:jc w:val="center"/>
        <w:rPr>
          <w:rFonts w:ascii="Times New Roman" w:hAnsi="Times New Roman"/>
          <w:b/>
          <w:bCs/>
          <w:sz w:val="20"/>
          <w:szCs w:val="18"/>
        </w:rPr>
      </w:pPr>
      <w:r w:rsidRPr="00227A8B">
        <w:rPr>
          <w:rFonts w:ascii="Times New Roman" w:hAnsi="Times New Roman"/>
          <w:b/>
          <w:noProof/>
          <w:sz w:val="20"/>
          <w:szCs w:val="18"/>
          <w:lang w:eastAsia="zh-CN"/>
        </w:rPr>
        <w:pict>
          <v:shape id="Picture 11" o:spid="_x0000_i1038" type="#_x0000_t75" alt="Screen%20Shot%202017-07-22%20at%2010.42.26%20PM.png" style="width:198.45pt;height:174.05pt;visibility:visible;mso-wrap-style:square">
            <v:imagedata r:id="rId27" o:title="Screen%20Shot%202017-07-22%20at%2010"/>
          </v:shape>
        </w:pict>
      </w:r>
      <w:r w:rsidRPr="00227A8B">
        <w:rPr>
          <w:rFonts w:ascii="Times New Roman" w:hAnsi="Times New Roman"/>
          <w:b/>
          <w:noProof/>
          <w:sz w:val="20"/>
          <w:szCs w:val="18"/>
          <w:lang w:eastAsia="zh-CN"/>
        </w:rPr>
        <w:pict>
          <v:shape id="Picture 290" o:spid="_x0000_i1039" type="#_x0000_t75" alt="../../../../../../Desktop/Screen%20Shot%202017-07-28%20at%207." style="width:198.45pt;height:190.35pt;visibility:visible;mso-wrap-style:square">
            <v:imagedata r:id="rId28" o:title="Screen%20Shot%202017-07-28%20at%207"/>
          </v:shape>
        </w:pict>
      </w:r>
    </w:p>
    <w:p w:rsidR="008118D1" w:rsidRPr="0006264D" w:rsidRDefault="005A3752" w:rsidP="002F4011">
      <w:pPr>
        <w:snapToGrid w:val="0"/>
        <w:jc w:val="center"/>
        <w:rPr>
          <w:rFonts w:ascii="Times New Roman" w:hAnsi="Times New Roman"/>
          <w:sz w:val="20"/>
          <w:szCs w:val="20"/>
        </w:rPr>
      </w:pPr>
      <w:r w:rsidRPr="0006264D">
        <w:rPr>
          <w:rFonts w:ascii="Times New Roman" w:hAnsi="Times New Roman"/>
          <w:b/>
          <w:bCs/>
          <w:sz w:val="20"/>
          <w:szCs w:val="18"/>
        </w:rPr>
        <w:t>Fig</w:t>
      </w:r>
      <w:r w:rsidR="00D70529" w:rsidRPr="0006264D">
        <w:rPr>
          <w:rFonts w:ascii="Times New Roman" w:hAnsi="Times New Roman"/>
          <w:b/>
          <w:bCs/>
          <w:sz w:val="20"/>
          <w:szCs w:val="18"/>
        </w:rPr>
        <w:t>.</w:t>
      </w:r>
      <w:r w:rsidRPr="0006264D">
        <w:rPr>
          <w:rFonts w:ascii="Times New Roman" w:hAnsi="Times New Roman"/>
          <w:b/>
          <w:bCs/>
          <w:sz w:val="20"/>
          <w:szCs w:val="18"/>
        </w:rPr>
        <w:t xml:space="preserve"> 9: </w:t>
      </w:r>
      <w:r w:rsidR="008118D1" w:rsidRPr="0006264D">
        <w:rPr>
          <w:rFonts w:ascii="Times New Roman" w:hAnsi="Times New Roman"/>
          <w:b/>
          <w:bCs/>
          <w:sz w:val="20"/>
          <w:szCs w:val="18"/>
        </w:rPr>
        <w:t>Screw insertion</w:t>
      </w:r>
      <w:r w:rsidRPr="0006264D">
        <w:rPr>
          <w:rFonts w:ascii="Times New Roman" w:hAnsi="Times New Roman"/>
          <w:b/>
          <w:bCs/>
          <w:sz w:val="20"/>
          <w:szCs w:val="18"/>
        </w:rPr>
        <w:t xml:space="preserve"> lateral and AP views</w:t>
      </w:r>
    </w:p>
    <w:p w:rsidR="00E45D9C" w:rsidRPr="0006264D" w:rsidRDefault="00E45D9C" w:rsidP="002F4011">
      <w:pPr>
        <w:snapToGrid w:val="0"/>
        <w:ind w:firstLine="425"/>
        <w:jc w:val="both"/>
        <w:rPr>
          <w:rFonts w:ascii="Times New Roman" w:hAnsi="Times New Roman"/>
          <w:sz w:val="20"/>
          <w:szCs w:val="20"/>
        </w:rPr>
      </w:pPr>
    </w:p>
    <w:p w:rsidR="008118D1" w:rsidRPr="0006264D" w:rsidRDefault="008118D1" w:rsidP="002F4011">
      <w:pPr>
        <w:widowControl w:val="0"/>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This fascial raphe incision extends from the symphysis of the mandible to the level of the medial notch of the superior thyroid cartilage. This vertical access allows easier retraction of the deeper structures </w:t>
      </w:r>
      <w:r w:rsidRPr="0006264D">
        <w:rPr>
          <w:rFonts w:ascii="Times New Roman" w:hAnsi="Times New Roman"/>
          <w:color w:val="000000"/>
          <w:sz w:val="20"/>
          <w:szCs w:val="20"/>
        </w:rPr>
        <w:lastRenderedPageBreak/>
        <w:t xml:space="preserve">of the neck. The undersurface of the platysma muscle is then dissected free from medial to lateral at the level of the midportion of the raphe. The muscle is then transected in line with the original skin incision. After elevation of the platysmal flaps, the superficial fascial investment of the submandibular gland is visualized. This is initially seen protruding from beneath the superficial layer of deep cervical fascia. The fascial capsule is opened and undermined inferiorly to allow elevation of the submandibular gland cephalad with the self-retaining retractor along with the skin edge. Deep and slightly inferior-lateral to the gland are the facial artery and vein. These vessels are dissected free along their visible course, thus extending the fascial opening. The facial vein can be suture-ligated and transected. The facial artery should still be preserved. Proximal dissection of the facial artery leads to identification of the reflection of alar fascia of the carotid sheath. This represents the lateral limit to the exposure. </w:t>
      </w:r>
    </w:p>
    <w:p w:rsidR="008118D1" w:rsidRPr="0006264D" w:rsidRDefault="008118D1" w:rsidP="002F4011">
      <w:pPr>
        <w:widowControl w:val="0"/>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After dissection of the facial vessels, the submandibular gland can be retracted further cephalad and the digastric tendon is visualized as a glistening white cord running horizontally through the field. There is a fascial sling tethering the tendon of the digastric muscle to the underlying hyoid bone. Transection of this fascial layer allows mobilization of the tendon and the two bellies of the digastric muscle. Dissection of the fascial planes of the digastric both medially and laterally permits its retraction rostrally. With elevation of the digastric tendon, the hypoglossal nerve can be seen through its fascial investment running in the same orientation as the digastric tendon. Careful dissection of this fascial layer from a medial to lateral direction will allow mobilization and elevation of the hypoglossal nerve. This dissection is continued to the level of the descending hypoglossal ramus, which also helps define the lateral extent of dissection. The hypoglossal nerve can then be retracted cephalad, exposing the hyoglossus muscle. </w:t>
      </w:r>
    </w:p>
    <w:p w:rsidR="008118D1" w:rsidRPr="0006264D" w:rsidRDefault="008118D1" w:rsidP="002F4011">
      <w:pPr>
        <w:widowControl w:val="0"/>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The anterior tubercle of C1 can be palpated rostrally. This assists in defining the midline. The longus coli muscles, which are converging toward the anterior tubercle of C1, are cauterized and dissected from the anterior and lateral surfaces of C2 and C3. Deep self-retaining retractors can then be inserted between the medial borders of the elevated longus coli muscles, similar to any anterior cervical dissection. With further retraction of the prevertebral muscles, the anterior arch of C1 can be identified. With this surgical approach, further longus capitus muscle dissection can lead to exposure of the clival basiocciput. </w:t>
      </w:r>
    </w:p>
    <w:p w:rsidR="00454040" w:rsidRPr="0006264D" w:rsidRDefault="008118D1" w:rsidP="002F4011">
      <w:pPr>
        <w:widowControl w:val="0"/>
        <w:autoSpaceDE w:val="0"/>
        <w:autoSpaceDN w:val="0"/>
        <w:adjustRightInd w:val="0"/>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A retractor can then be inserted with its tip on </w:t>
      </w:r>
      <w:r w:rsidRPr="0006264D">
        <w:rPr>
          <w:rFonts w:ascii="Times New Roman" w:hAnsi="Times New Roman"/>
          <w:color w:val="000000"/>
          <w:sz w:val="20"/>
          <w:szCs w:val="20"/>
        </w:rPr>
        <w:lastRenderedPageBreak/>
        <w:t>the superior surface of the anterior arch of C1. This retractor is attached to a restraint close to the operating field with rubber bands. If the C1 arch is absent, is involved in the pathologic process, or is part of the bone to be resected, a notch can be drilled into the basiocciput to provide a purchase site for the tip of the retractor. At this point the arch of C1, base of the dens, predental space, lateral mass articulations, ventral surface of C2 and C3 vertebral bodies, and the C2–3 intravertebral disk should be clearly in view. There is always significant bleeding from the epidural veins in the lateral recesses. This bleeding is controlled by resection of these lateral ligaments, bipolar electrocautery, and microfibrillary collagen tamponade. With gentle pressure with cottonoids and patience, this bleeding can be controlled.</w:t>
      </w:r>
    </w:p>
    <w:p w:rsidR="002E1070" w:rsidRPr="0006264D" w:rsidRDefault="002E1070" w:rsidP="002F4011">
      <w:pPr>
        <w:widowControl w:val="0"/>
        <w:autoSpaceDE w:val="0"/>
        <w:autoSpaceDN w:val="0"/>
        <w:adjustRightInd w:val="0"/>
        <w:snapToGrid w:val="0"/>
        <w:jc w:val="both"/>
        <w:rPr>
          <w:rFonts w:ascii="Times New Roman" w:hAnsi="Times New Roman"/>
          <w:b/>
          <w:bCs/>
          <w:color w:val="000000"/>
          <w:sz w:val="20"/>
          <w:szCs w:val="12"/>
        </w:rPr>
      </w:pPr>
    </w:p>
    <w:p w:rsidR="00454040" w:rsidRPr="0006264D" w:rsidRDefault="002E1070" w:rsidP="002F4011">
      <w:pPr>
        <w:widowControl w:val="0"/>
        <w:autoSpaceDE w:val="0"/>
        <w:autoSpaceDN w:val="0"/>
        <w:adjustRightInd w:val="0"/>
        <w:snapToGrid w:val="0"/>
        <w:jc w:val="both"/>
        <w:rPr>
          <w:rFonts w:ascii="Times New Roman" w:hAnsi="Times New Roman"/>
          <w:b/>
          <w:bCs/>
          <w:color w:val="000000"/>
          <w:sz w:val="20"/>
          <w:szCs w:val="20"/>
        </w:rPr>
      </w:pPr>
      <w:r w:rsidRPr="0006264D">
        <w:rPr>
          <w:rFonts w:ascii="Times New Roman" w:hAnsi="Times New Roman"/>
          <w:b/>
          <w:bCs/>
          <w:color w:val="000000"/>
          <w:sz w:val="20"/>
          <w:szCs w:val="20"/>
        </w:rPr>
        <w:t xml:space="preserve">3. </w:t>
      </w:r>
      <w:r w:rsidR="00454040" w:rsidRPr="0006264D">
        <w:rPr>
          <w:rFonts w:ascii="Times New Roman" w:hAnsi="Times New Roman"/>
          <w:b/>
          <w:bCs/>
          <w:color w:val="000000"/>
          <w:sz w:val="20"/>
          <w:szCs w:val="20"/>
        </w:rPr>
        <w:t>Results:</w:t>
      </w:r>
    </w:p>
    <w:p w:rsidR="00454040" w:rsidRPr="0006264D" w:rsidRDefault="00454040" w:rsidP="002F4011">
      <w:pPr>
        <w:snapToGrid w:val="0"/>
        <w:ind w:firstLine="425"/>
        <w:jc w:val="both"/>
        <w:rPr>
          <w:rFonts w:ascii="Times New Roman" w:hAnsi="Times New Roman"/>
          <w:b/>
          <w:bCs/>
          <w:color w:val="000000"/>
          <w:sz w:val="20"/>
          <w:szCs w:val="20"/>
        </w:rPr>
      </w:pPr>
      <w:r w:rsidRPr="0006264D">
        <w:rPr>
          <w:rFonts w:ascii="Times New Roman" w:hAnsi="Times New Roman"/>
          <w:b/>
          <w:bCs/>
          <w:color w:val="000000"/>
          <w:sz w:val="20"/>
          <w:szCs w:val="20"/>
        </w:rPr>
        <w:t>Age:</w:t>
      </w:r>
      <w:r w:rsidR="002E1070" w:rsidRPr="0006264D">
        <w:rPr>
          <w:rFonts w:ascii="Times New Roman" w:hAnsi="Times New Roman"/>
          <w:b/>
          <w:bCs/>
          <w:color w:val="000000"/>
          <w:sz w:val="20"/>
          <w:szCs w:val="20"/>
        </w:rPr>
        <w:t xml:space="preserve"> </w:t>
      </w:r>
      <w:r w:rsidRPr="0006264D">
        <w:rPr>
          <w:rFonts w:ascii="Times New Roman" w:hAnsi="Times New Roman"/>
          <w:color w:val="000000"/>
          <w:sz w:val="20"/>
          <w:szCs w:val="20"/>
        </w:rPr>
        <w:t>Min- max: 2 – 93 y</w:t>
      </w:r>
    </w:p>
    <w:p w:rsidR="00454040" w:rsidRPr="0006264D" w:rsidRDefault="00454040" w:rsidP="002F4011">
      <w:pPr>
        <w:snapToGrid w:val="0"/>
        <w:ind w:firstLine="425"/>
        <w:jc w:val="both"/>
        <w:rPr>
          <w:rFonts w:ascii="Times New Roman" w:hAnsi="Times New Roman"/>
          <w:color w:val="000000"/>
          <w:sz w:val="20"/>
          <w:szCs w:val="20"/>
          <w:lang w:eastAsia="zh-CN"/>
        </w:rPr>
      </w:pPr>
      <w:r w:rsidRPr="0006264D">
        <w:rPr>
          <w:rFonts w:ascii="Times New Roman" w:hAnsi="Times New Roman"/>
          <w:color w:val="000000"/>
          <w:sz w:val="20"/>
          <w:szCs w:val="20"/>
        </w:rPr>
        <w:t>Mean ± SD = 51.23 ± 20.24</w:t>
      </w:r>
    </w:p>
    <w:p w:rsidR="00E45D9C" w:rsidRPr="0006264D" w:rsidRDefault="00E45D9C" w:rsidP="002F4011">
      <w:pPr>
        <w:snapToGrid w:val="0"/>
        <w:ind w:firstLine="425"/>
        <w:jc w:val="both"/>
        <w:rPr>
          <w:rFonts w:ascii="Times New Roman" w:hAnsi="Times New Roman"/>
          <w:color w:val="000000"/>
          <w:sz w:val="20"/>
          <w:szCs w:val="20"/>
          <w:lang w:eastAsia="zh-CN"/>
        </w:rPr>
      </w:pPr>
    </w:p>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1</w:t>
      </w:r>
      <w:r w:rsidRPr="0006264D">
        <w:rPr>
          <w:rFonts w:ascii="Times New Roman" w:hAnsi="Times New Roman"/>
          <w:b/>
          <w:bCs/>
          <w:color w:val="000000"/>
          <w:sz w:val="20"/>
          <w:szCs w:val="18"/>
        </w:rPr>
        <w:t>: Distribution of cases according to age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060"/>
        <w:gridCol w:w="1062"/>
        <w:gridCol w:w="1372"/>
      </w:tblGrid>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Age</w:t>
            </w:r>
          </w:p>
        </w:tc>
        <w:tc>
          <w:tcPr>
            <w:tcW w:w="1182"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No</w:t>
            </w:r>
          </w:p>
        </w:tc>
        <w:tc>
          <w:tcPr>
            <w:tcW w:w="1527"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0-10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11-20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5.7</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21-30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7</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31-40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41-50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7</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51-60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7</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61-70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4</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11.4</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71-80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8.6</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81-90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5.7</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91-100</w:t>
            </w:r>
          </w:p>
        </w:tc>
        <w:tc>
          <w:tcPr>
            <w:tcW w:w="118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152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E45D9C">
        <w:trPr>
          <w:jc w:val="center"/>
        </w:trPr>
        <w:tc>
          <w:tcPr>
            <w:tcW w:w="229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Mean ± SD</w:t>
            </w:r>
          </w:p>
        </w:tc>
        <w:tc>
          <w:tcPr>
            <w:tcW w:w="2709" w:type="pct"/>
            <w:gridSpan w:val="2"/>
            <w:shd w:val="clear" w:color="auto" w:fill="auto"/>
            <w:vAlign w:val="center"/>
          </w:tcPr>
          <w:p w:rsidR="00454040" w:rsidRPr="0006264D" w:rsidRDefault="00454040" w:rsidP="002F4011">
            <w:pPr>
              <w:snapToGrid w:val="0"/>
              <w:jc w:val="both"/>
              <w:rPr>
                <w:rFonts w:ascii="Times New Roman" w:hAnsi="Times New Roman"/>
                <w:sz w:val="20"/>
                <w:szCs w:val="18"/>
              </w:rPr>
            </w:pPr>
            <w:r w:rsidRPr="0006264D">
              <w:rPr>
                <w:rFonts w:ascii="Times New Roman" w:hAnsi="Times New Roman"/>
                <w:color w:val="000000"/>
                <w:sz w:val="20"/>
                <w:szCs w:val="18"/>
              </w:rPr>
              <w:t>51.23 ± 20.24</w:t>
            </w:r>
          </w:p>
        </w:tc>
      </w:tr>
    </w:tbl>
    <w:p w:rsidR="00454040" w:rsidRPr="0006264D" w:rsidRDefault="00454040" w:rsidP="002F4011">
      <w:pPr>
        <w:snapToGrid w:val="0"/>
        <w:ind w:firstLine="425"/>
        <w:jc w:val="both"/>
        <w:rPr>
          <w:rFonts w:ascii="Times New Roman" w:hAnsi="Times New Roman"/>
          <w:color w:val="000000"/>
          <w:sz w:val="20"/>
          <w:szCs w:val="14"/>
        </w:rPr>
      </w:pPr>
    </w:p>
    <w:p w:rsidR="00454040" w:rsidRPr="0006264D" w:rsidRDefault="00454040" w:rsidP="002F4011">
      <w:pPr>
        <w:snapToGrid w:val="0"/>
        <w:ind w:firstLine="425"/>
        <w:jc w:val="both"/>
        <w:rPr>
          <w:rFonts w:ascii="Times New Roman" w:hAnsi="Times New Roman"/>
          <w:b/>
          <w:bCs/>
          <w:color w:val="000000"/>
          <w:sz w:val="20"/>
          <w:szCs w:val="20"/>
        </w:rPr>
      </w:pPr>
      <w:r w:rsidRPr="0006264D">
        <w:rPr>
          <w:rFonts w:ascii="Times New Roman" w:hAnsi="Times New Roman"/>
          <w:b/>
          <w:bCs/>
          <w:color w:val="000000"/>
          <w:sz w:val="20"/>
          <w:szCs w:val="20"/>
        </w:rPr>
        <w:t>Gender:</w:t>
      </w:r>
      <w:r w:rsidR="002E1070" w:rsidRPr="0006264D">
        <w:rPr>
          <w:rFonts w:ascii="Times New Roman" w:hAnsi="Times New Roman"/>
          <w:b/>
          <w:bCs/>
          <w:color w:val="000000"/>
          <w:sz w:val="20"/>
          <w:szCs w:val="20"/>
        </w:rPr>
        <w:t xml:space="preserve"> </w:t>
      </w:r>
      <w:r w:rsidRPr="0006264D">
        <w:rPr>
          <w:rFonts w:ascii="Times New Roman" w:hAnsi="Times New Roman"/>
          <w:color w:val="000000"/>
          <w:sz w:val="20"/>
          <w:szCs w:val="20"/>
        </w:rPr>
        <w:t>Male = 10 / 35 = 28.6 %</w:t>
      </w:r>
    </w:p>
    <w:p w:rsidR="00454040" w:rsidRDefault="00454040" w:rsidP="002F4011">
      <w:pPr>
        <w:snapToGrid w:val="0"/>
        <w:ind w:firstLine="425"/>
        <w:jc w:val="both"/>
        <w:rPr>
          <w:rFonts w:ascii="Times New Roman" w:hAnsi="Times New Roman"/>
          <w:color w:val="000000"/>
          <w:sz w:val="20"/>
          <w:szCs w:val="20"/>
          <w:lang w:eastAsia="zh-CN"/>
        </w:rPr>
      </w:pPr>
      <w:r w:rsidRPr="0006264D">
        <w:rPr>
          <w:rFonts w:ascii="Times New Roman" w:hAnsi="Times New Roman"/>
          <w:color w:val="000000"/>
          <w:sz w:val="20"/>
          <w:szCs w:val="20"/>
        </w:rPr>
        <w:t>Female = 25 / 35 = 71.4 %</w:t>
      </w:r>
    </w:p>
    <w:p w:rsidR="002F4011" w:rsidRPr="0006264D" w:rsidRDefault="002F4011" w:rsidP="002F4011">
      <w:pPr>
        <w:snapToGrid w:val="0"/>
        <w:ind w:firstLine="425"/>
        <w:jc w:val="both"/>
        <w:rPr>
          <w:rFonts w:ascii="Times New Roman" w:hAnsi="Times New Roman"/>
          <w:color w:val="000000"/>
          <w:sz w:val="20"/>
          <w:szCs w:val="20"/>
          <w:lang w:eastAsia="zh-CN"/>
        </w:rPr>
      </w:pPr>
    </w:p>
    <w:bookmarkStart w:id="0" w:name="_MON_1621849915"/>
    <w:bookmarkEnd w:id="0"/>
    <w:p w:rsidR="00454040" w:rsidRPr="0006264D" w:rsidRDefault="002F4011" w:rsidP="002F4011">
      <w:pPr>
        <w:snapToGrid w:val="0"/>
        <w:jc w:val="center"/>
        <w:rPr>
          <w:rFonts w:ascii="Times New Roman" w:hAnsi="Times New Roman"/>
          <w:b/>
          <w:bCs/>
          <w:color w:val="000000"/>
          <w:sz w:val="20"/>
          <w:szCs w:val="12"/>
          <w:u w:val="single"/>
        </w:rPr>
      </w:pPr>
      <w:r w:rsidRPr="0006264D">
        <w:rPr>
          <w:rFonts w:ascii="Times New Roman" w:hAnsi="Times New Roman"/>
          <w:noProof/>
          <w:sz w:val="20"/>
          <w:szCs w:val="20"/>
        </w:rPr>
        <w:object w:dxaOrig="4243" w:dyaOrig="2957">
          <v:shape id="_x0000_i1040" type="#_x0000_t75" alt="" style="width:212.25pt;height:147.75pt" o:ole="">
            <v:imagedata r:id="rId29" o:title=""/>
          </v:shape>
          <o:OLEObject Type="Embed" ProgID="Excel.Sheet.8" ShapeID="_x0000_i1040" DrawAspect="Content" ObjectID="_1639858963" r:id="rId30">
            <o:FieldCodes>\s</o:FieldCodes>
          </o:OLEObject>
        </w:object>
      </w:r>
    </w:p>
    <w:p w:rsidR="002F4011" w:rsidRDefault="002F4011" w:rsidP="002F4011">
      <w:pPr>
        <w:snapToGrid w:val="0"/>
        <w:jc w:val="both"/>
        <w:rPr>
          <w:rFonts w:ascii="Times New Roman" w:hAnsi="Times New Roman"/>
          <w:b/>
          <w:bCs/>
          <w:color w:val="000000"/>
          <w:sz w:val="20"/>
          <w:szCs w:val="20"/>
          <w:lang w:eastAsia="zh-CN"/>
        </w:rPr>
      </w:pPr>
    </w:p>
    <w:p w:rsidR="00E45D9C" w:rsidRPr="0006264D" w:rsidRDefault="00454040" w:rsidP="009F500F">
      <w:pPr>
        <w:snapToGrid w:val="0"/>
        <w:jc w:val="both"/>
        <w:rPr>
          <w:rFonts w:ascii="Times New Roman" w:hAnsi="Times New Roman"/>
          <w:sz w:val="20"/>
          <w:szCs w:val="20"/>
          <w:lang w:eastAsia="zh-CN"/>
        </w:rPr>
      </w:pPr>
      <w:r w:rsidRPr="0006264D">
        <w:rPr>
          <w:rFonts w:ascii="Times New Roman" w:hAnsi="Times New Roman"/>
          <w:b/>
          <w:bCs/>
          <w:color w:val="000000"/>
          <w:sz w:val="20"/>
          <w:szCs w:val="20"/>
        </w:rPr>
        <w:t>Clinical Presentations:</w:t>
      </w:r>
    </w:p>
    <w:p w:rsidR="002F4011" w:rsidRDefault="002F4011" w:rsidP="002F4011">
      <w:pPr>
        <w:snapToGrid w:val="0"/>
        <w:jc w:val="both"/>
        <w:rPr>
          <w:rFonts w:ascii="Times New Roman" w:hAnsi="Times New Roman"/>
          <w:b/>
          <w:bCs/>
          <w:color w:val="000000"/>
          <w:sz w:val="20"/>
          <w:szCs w:val="18"/>
        </w:rPr>
        <w:sectPr w:rsidR="002F4011" w:rsidSect="00042B39">
          <w:headerReference w:type="default" r:id="rId31"/>
          <w:pgSz w:w="12240" w:h="15840" w:code="1"/>
          <w:pgMar w:top="1440" w:right="1440" w:bottom="1440" w:left="1440" w:header="720" w:footer="720" w:gutter="0"/>
          <w:cols w:num="2" w:space="600"/>
          <w:docGrid w:linePitch="360"/>
        </w:sectPr>
      </w:pPr>
    </w:p>
    <w:p w:rsidR="00852E0C" w:rsidRDefault="00852E0C" w:rsidP="002F4011">
      <w:pPr>
        <w:snapToGrid w:val="0"/>
        <w:jc w:val="center"/>
        <w:rPr>
          <w:rFonts w:ascii="Times New Roman" w:hAnsi="Times New Roman"/>
          <w:b/>
          <w:bCs/>
          <w:color w:val="000000"/>
          <w:sz w:val="20"/>
          <w:szCs w:val="18"/>
          <w:lang w:eastAsia="zh-CN"/>
        </w:rPr>
      </w:pPr>
    </w:p>
    <w:p w:rsidR="00454040" w:rsidRPr="0006264D" w:rsidRDefault="00454040" w:rsidP="002F4011">
      <w:pPr>
        <w:snapToGrid w:val="0"/>
        <w:jc w:val="center"/>
        <w:rPr>
          <w:rFonts w:ascii="Times New Roman" w:hAnsi="Times New Roman"/>
          <w:b/>
          <w:bCs/>
          <w:color w:val="000000"/>
          <w:sz w:val="20"/>
          <w:szCs w:val="18"/>
        </w:rPr>
      </w:pPr>
      <w:r w:rsidRPr="0006264D">
        <w:rPr>
          <w:rFonts w:ascii="Times New Roman" w:hAnsi="Times New Roman"/>
          <w:b/>
          <w:bCs/>
          <w:color w:val="000000"/>
          <w:sz w:val="20"/>
          <w:szCs w:val="18"/>
        </w:rPr>
        <w:lastRenderedPageBreak/>
        <w:t xml:space="preserve">Table </w:t>
      </w:r>
      <w:r w:rsidR="005A3752" w:rsidRPr="0006264D">
        <w:rPr>
          <w:rFonts w:ascii="Times New Roman" w:hAnsi="Times New Roman"/>
          <w:b/>
          <w:bCs/>
          <w:color w:val="000000"/>
          <w:sz w:val="20"/>
          <w:szCs w:val="18"/>
        </w:rPr>
        <w:t>2</w:t>
      </w:r>
      <w:r w:rsidRPr="0006264D">
        <w:rPr>
          <w:rFonts w:ascii="Times New Roman" w:hAnsi="Times New Roman"/>
          <w:b/>
          <w:bCs/>
          <w:color w:val="000000"/>
          <w:sz w:val="20"/>
          <w:szCs w:val="18"/>
        </w:rPr>
        <w:t>: Distribution of cases according to clinical presentations.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467"/>
        <w:gridCol w:w="1563"/>
        <w:gridCol w:w="464"/>
      </w:tblGrid>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b/>
                <w:bCs/>
                <w:color w:val="000000"/>
                <w:sz w:val="20"/>
                <w:szCs w:val="18"/>
              </w:rPr>
            </w:pPr>
            <w:r w:rsidRPr="0006264D">
              <w:rPr>
                <w:rFonts w:ascii="Times New Roman" w:hAnsi="Times New Roman"/>
                <w:b/>
                <w:bCs/>
                <w:color w:val="000000"/>
                <w:sz w:val="20"/>
                <w:szCs w:val="18"/>
              </w:rPr>
              <w:t>C/O</w:t>
            </w:r>
          </w:p>
        </w:tc>
        <w:tc>
          <w:tcPr>
            <w:tcW w:w="1563" w:type="dxa"/>
            <w:shd w:val="clear" w:color="auto" w:fill="auto"/>
            <w:vAlign w:val="center"/>
          </w:tcPr>
          <w:p w:rsidR="00454040" w:rsidRPr="0006264D" w:rsidRDefault="00454040" w:rsidP="00852E0C">
            <w:pPr>
              <w:snapToGrid w:val="0"/>
              <w:rPr>
                <w:rFonts w:ascii="Times New Roman" w:hAnsi="Times New Roman"/>
                <w:b/>
                <w:bCs/>
                <w:color w:val="000000"/>
                <w:sz w:val="20"/>
                <w:szCs w:val="18"/>
              </w:rPr>
            </w:pPr>
            <w:r w:rsidRPr="0006264D">
              <w:rPr>
                <w:rFonts w:ascii="Times New Roman" w:hAnsi="Times New Roman"/>
                <w:b/>
                <w:bCs/>
                <w:color w:val="000000"/>
                <w:sz w:val="20"/>
                <w:szCs w:val="18"/>
              </w:rPr>
              <w:t>No of Cases (35)</w:t>
            </w:r>
          </w:p>
        </w:tc>
        <w:tc>
          <w:tcPr>
            <w:tcW w:w="0" w:type="auto"/>
            <w:shd w:val="clear" w:color="auto" w:fill="auto"/>
            <w:vAlign w:val="center"/>
          </w:tcPr>
          <w:p w:rsidR="00454040" w:rsidRPr="0006264D" w:rsidRDefault="00454040" w:rsidP="00852E0C">
            <w:pPr>
              <w:snapToGrid w:val="0"/>
              <w:rPr>
                <w:rFonts w:ascii="Times New Roman" w:hAnsi="Times New Roman"/>
                <w:b/>
                <w:bCs/>
                <w:color w:val="000000"/>
                <w:sz w:val="20"/>
                <w:szCs w:val="18"/>
              </w:rPr>
            </w:pPr>
            <w:r w:rsidRPr="0006264D">
              <w:rPr>
                <w:rFonts w:ascii="Times New Roman" w:hAnsi="Times New Roman"/>
                <w:b/>
                <w:bCs/>
                <w:color w:val="000000"/>
                <w:sz w:val="20"/>
                <w:szCs w:val="18"/>
              </w:rPr>
              <w:t>%</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Neck pain</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30</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85.7</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Headache</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11</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31.4</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Upper extremity Numbness</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10</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28.6</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Progressive Weakness</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8</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22.9</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Myelopathy</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8</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22.9</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Dizziness</w:t>
            </w:r>
            <w:r w:rsidR="00E45D9C" w:rsidRPr="0006264D">
              <w:rPr>
                <w:rFonts w:ascii="Times New Roman" w:hAnsi="Times New Roman"/>
                <w:color w:val="000000"/>
                <w:sz w:val="20"/>
                <w:szCs w:val="18"/>
              </w:rPr>
              <w:t xml:space="preserve"> &amp; </w:t>
            </w:r>
            <w:r w:rsidRPr="0006264D">
              <w:rPr>
                <w:rFonts w:ascii="Times New Roman" w:hAnsi="Times New Roman"/>
                <w:color w:val="000000"/>
                <w:sz w:val="20"/>
                <w:szCs w:val="18"/>
              </w:rPr>
              <w:t>Gait disturbance</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7</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Dysarthria and Swallowing difficulties</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Positional vertigo</w:t>
            </w:r>
            <w:r w:rsidR="00E45D9C" w:rsidRPr="0006264D">
              <w:rPr>
                <w:rFonts w:ascii="Times New Roman" w:hAnsi="Times New Roman"/>
                <w:color w:val="000000"/>
                <w:sz w:val="20"/>
                <w:szCs w:val="18"/>
              </w:rPr>
              <w:t xml:space="preserve"> &amp; </w:t>
            </w:r>
            <w:r w:rsidRPr="0006264D">
              <w:rPr>
                <w:rFonts w:ascii="Times New Roman" w:hAnsi="Times New Roman"/>
                <w:color w:val="000000"/>
                <w:sz w:val="20"/>
                <w:szCs w:val="18"/>
              </w:rPr>
              <w:t>syncopal attacks</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Disturbed Conscious Level</w:t>
            </w:r>
            <w:r w:rsidR="00E45D9C" w:rsidRPr="0006264D">
              <w:rPr>
                <w:rFonts w:ascii="Times New Roman" w:hAnsi="Times New Roman"/>
                <w:color w:val="000000"/>
                <w:sz w:val="20"/>
                <w:szCs w:val="18"/>
              </w:rPr>
              <w:t xml:space="preserve"> &amp; </w:t>
            </w:r>
            <w:r w:rsidRPr="0006264D">
              <w:rPr>
                <w:rFonts w:ascii="Times New Roman" w:hAnsi="Times New Roman"/>
                <w:color w:val="000000"/>
                <w:sz w:val="20"/>
                <w:szCs w:val="18"/>
              </w:rPr>
              <w:t>Coma</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852E0C">
        <w:trPr>
          <w:jc w:val="center"/>
        </w:trPr>
        <w:tc>
          <w:tcPr>
            <w:tcW w:w="2467"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Head and Eye Tremors</w:t>
            </w:r>
          </w:p>
        </w:tc>
        <w:tc>
          <w:tcPr>
            <w:tcW w:w="1563" w:type="dxa"/>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1</w:t>
            </w:r>
          </w:p>
        </w:tc>
        <w:tc>
          <w:tcPr>
            <w:tcW w:w="0" w:type="auto"/>
            <w:shd w:val="clear" w:color="auto" w:fill="auto"/>
            <w:vAlign w:val="center"/>
          </w:tcPr>
          <w:p w:rsidR="00454040" w:rsidRPr="0006264D" w:rsidRDefault="00454040" w:rsidP="00852E0C">
            <w:pPr>
              <w:snapToGrid w:val="0"/>
              <w:rPr>
                <w:rFonts w:ascii="Times New Roman" w:hAnsi="Times New Roman"/>
                <w:color w:val="000000"/>
                <w:sz w:val="20"/>
                <w:szCs w:val="18"/>
              </w:rPr>
            </w:pPr>
            <w:r w:rsidRPr="0006264D">
              <w:rPr>
                <w:rFonts w:ascii="Times New Roman" w:hAnsi="Times New Roman"/>
                <w:color w:val="000000"/>
                <w:sz w:val="20"/>
                <w:szCs w:val="18"/>
              </w:rPr>
              <w:t>2.9</w:t>
            </w:r>
          </w:p>
        </w:tc>
      </w:tr>
    </w:tbl>
    <w:p w:rsidR="00E45D9C" w:rsidRPr="0006264D" w:rsidRDefault="00852E0C" w:rsidP="00852E0C">
      <w:pPr>
        <w:snapToGrid w:val="0"/>
        <w:jc w:val="center"/>
        <w:rPr>
          <w:rFonts w:ascii="Times New Roman" w:hAnsi="Times New Roman"/>
          <w:b/>
          <w:bCs/>
          <w:color w:val="000000"/>
          <w:sz w:val="20"/>
          <w:szCs w:val="20"/>
          <w:lang w:eastAsia="zh-CN"/>
        </w:rPr>
      </w:pPr>
      <w:r w:rsidRPr="0006264D">
        <w:rPr>
          <w:rFonts w:ascii="Times New Roman" w:hAnsi="Times New Roman"/>
          <w:noProof/>
          <w:sz w:val="20"/>
          <w:szCs w:val="20"/>
        </w:rPr>
        <w:object w:dxaOrig="8808" w:dyaOrig="6050">
          <v:shape id="_x0000_i1041" type="#_x0000_t75" alt="" style="width:226pt;height:151.5pt;mso-width-percent:0;mso-height-percent:0;mso-width-percent:0;mso-height-percent:0" o:ole="">
            <v:imagedata r:id="rId32" o:title=""/>
          </v:shape>
          <o:OLEObject Type="Embed" ProgID="Excel.Sheet.12" ShapeID="_x0000_i1041" DrawAspect="Content" ObjectID="_1639858964" r:id="rId33"/>
        </w:object>
      </w:r>
    </w:p>
    <w:p w:rsidR="00454040" w:rsidRPr="0006264D" w:rsidRDefault="00454040" w:rsidP="002F4011">
      <w:pPr>
        <w:snapToGrid w:val="0"/>
        <w:jc w:val="both"/>
        <w:rPr>
          <w:rFonts w:ascii="Times New Roman" w:hAnsi="Times New Roman"/>
          <w:b/>
          <w:bCs/>
          <w:color w:val="000000"/>
          <w:sz w:val="20"/>
          <w:szCs w:val="20"/>
          <w:lang w:eastAsia="zh-CN"/>
        </w:rPr>
      </w:pPr>
      <w:r w:rsidRPr="0006264D">
        <w:rPr>
          <w:rFonts w:ascii="Times New Roman" w:hAnsi="Times New Roman"/>
          <w:b/>
          <w:bCs/>
          <w:color w:val="000000"/>
          <w:sz w:val="20"/>
          <w:szCs w:val="20"/>
        </w:rPr>
        <w:t>Type of Lesion:</w:t>
      </w:r>
    </w:p>
    <w:p w:rsidR="00E45D9C" w:rsidRPr="0006264D" w:rsidRDefault="00E45D9C" w:rsidP="002F4011">
      <w:pPr>
        <w:snapToGrid w:val="0"/>
        <w:jc w:val="center"/>
        <w:rPr>
          <w:rFonts w:ascii="Times New Roman" w:hAnsi="Times New Roman"/>
          <w:b/>
          <w:bCs/>
          <w:color w:val="000000"/>
          <w:sz w:val="20"/>
          <w:szCs w:val="20"/>
          <w:lang w:eastAsia="zh-CN"/>
        </w:rPr>
      </w:pPr>
    </w:p>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3</w:t>
      </w:r>
      <w:r w:rsidRPr="0006264D">
        <w:rPr>
          <w:rFonts w:ascii="Times New Roman" w:hAnsi="Times New Roman"/>
          <w:b/>
          <w:bCs/>
          <w:color w:val="000000"/>
          <w:sz w:val="20"/>
          <w:szCs w:val="18"/>
        </w:rPr>
        <w:t>: Distribution of cases according to type of lesion.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816"/>
        <w:gridCol w:w="732"/>
        <w:gridCol w:w="946"/>
      </w:tblGrid>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Type of Lesion</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No</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Developmental</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11</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31.4</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Traumatic</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9</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25.7</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Neoplastic</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14.3</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Inflammatory</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14.3</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Degenerative</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8.6</w:t>
            </w:r>
          </w:p>
        </w:tc>
      </w:tr>
      <w:tr w:rsidR="00454040" w:rsidRPr="0006264D" w:rsidTr="00E45D9C">
        <w:trPr>
          <w:jc w:val="center"/>
        </w:trPr>
        <w:tc>
          <w:tcPr>
            <w:tcW w:w="31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Congenital</w:t>
            </w:r>
          </w:p>
        </w:tc>
        <w:tc>
          <w:tcPr>
            <w:tcW w:w="81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105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5.7</w:t>
            </w:r>
          </w:p>
        </w:tc>
      </w:tr>
    </w:tbl>
    <w:p w:rsidR="00454040" w:rsidRPr="0006264D" w:rsidRDefault="00454040" w:rsidP="002F4011">
      <w:pPr>
        <w:snapToGrid w:val="0"/>
        <w:ind w:firstLine="425"/>
        <w:jc w:val="both"/>
        <w:rPr>
          <w:rFonts w:ascii="Times New Roman" w:hAnsi="Times New Roman"/>
          <w:sz w:val="20"/>
          <w:szCs w:val="20"/>
        </w:rPr>
      </w:pPr>
    </w:p>
    <w:p w:rsidR="00454040" w:rsidRPr="0006264D" w:rsidRDefault="00852E0C" w:rsidP="002F4011">
      <w:pPr>
        <w:snapToGrid w:val="0"/>
        <w:jc w:val="center"/>
        <w:rPr>
          <w:rFonts w:ascii="Times New Roman" w:hAnsi="Times New Roman"/>
          <w:color w:val="000000"/>
          <w:sz w:val="20"/>
          <w:szCs w:val="20"/>
        </w:rPr>
      </w:pPr>
      <w:r w:rsidRPr="0006264D">
        <w:rPr>
          <w:rFonts w:ascii="Times New Roman" w:hAnsi="Times New Roman"/>
          <w:noProof/>
          <w:sz w:val="20"/>
          <w:szCs w:val="20"/>
        </w:rPr>
        <w:object w:dxaOrig="8856" w:dyaOrig="5019">
          <v:shape id="_x0000_i1042" type="#_x0000_t75" alt="" style="width:200.95pt;height:136.5pt;mso-width-percent:0;mso-height-percent:0;mso-width-percent:0;mso-height-percent:0" o:ole="">
            <v:imagedata r:id="rId34" o:title=""/>
          </v:shape>
          <o:OLEObject Type="Embed" ProgID="Excel.Sheet.12" ShapeID="_x0000_i1042" DrawAspect="Content" ObjectID="_1639858965" r:id="rId35"/>
        </w:object>
      </w:r>
    </w:p>
    <w:p w:rsidR="002F4011" w:rsidRDefault="002F4011" w:rsidP="002F4011">
      <w:pPr>
        <w:snapToGrid w:val="0"/>
        <w:jc w:val="both"/>
        <w:rPr>
          <w:rFonts w:ascii="Times New Roman" w:hAnsi="Times New Roman"/>
          <w:b/>
          <w:bCs/>
          <w:color w:val="000000"/>
          <w:sz w:val="20"/>
          <w:szCs w:val="20"/>
          <w:lang w:eastAsia="zh-CN"/>
        </w:rPr>
      </w:pPr>
    </w:p>
    <w:p w:rsidR="00454040" w:rsidRPr="0006264D" w:rsidRDefault="00454040" w:rsidP="002F4011">
      <w:pPr>
        <w:snapToGrid w:val="0"/>
        <w:jc w:val="both"/>
        <w:rPr>
          <w:rFonts w:ascii="Times New Roman" w:hAnsi="Times New Roman"/>
          <w:b/>
          <w:bCs/>
          <w:color w:val="000000"/>
          <w:sz w:val="20"/>
          <w:szCs w:val="20"/>
        </w:rPr>
      </w:pPr>
      <w:r w:rsidRPr="0006264D">
        <w:rPr>
          <w:rFonts w:ascii="Times New Roman" w:hAnsi="Times New Roman"/>
          <w:b/>
          <w:bCs/>
          <w:color w:val="000000"/>
          <w:sz w:val="20"/>
          <w:szCs w:val="20"/>
        </w:rPr>
        <w:lastRenderedPageBreak/>
        <w:t>Approaches:</w:t>
      </w:r>
    </w:p>
    <w:p w:rsidR="00454040" w:rsidRPr="0006264D" w:rsidRDefault="00454040" w:rsidP="002F4011">
      <w:pPr>
        <w:numPr>
          <w:ilvl w:val="0"/>
          <w:numId w:val="3"/>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Post Approach: 33 Case</w:t>
      </w:r>
    </w:p>
    <w:p w:rsidR="00454040" w:rsidRPr="0006264D" w:rsidRDefault="00454040" w:rsidP="002F4011">
      <w:pPr>
        <w:numPr>
          <w:ilvl w:val="0"/>
          <w:numId w:val="3"/>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Anterior Approach: 3 cases: 1 odontoid screw and 2 Cases Retropharyngeal approach (1</w:t>
      </w:r>
      <w:r w:rsidRPr="0006264D">
        <w:rPr>
          <w:rFonts w:ascii="Times New Roman" w:hAnsi="Times New Roman"/>
          <w:color w:val="000000"/>
          <w:sz w:val="20"/>
          <w:szCs w:val="20"/>
          <w:vertAlign w:val="superscript"/>
        </w:rPr>
        <w:t>st</w:t>
      </w:r>
      <w:r w:rsidRPr="0006264D">
        <w:rPr>
          <w:rFonts w:ascii="Times New Roman" w:hAnsi="Times New Roman"/>
          <w:color w:val="000000"/>
          <w:sz w:val="20"/>
          <w:szCs w:val="20"/>
        </w:rPr>
        <w:t xml:space="preserve"> stage of combined approach)</w:t>
      </w:r>
    </w:p>
    <w:p w:rsidR="00454040" w:rsidRPr="0006264D" w:rsidRDefault="00454040" w:rsidP="002F4011">
      <w:pPr>
        <w:numPr>
          <w:ilvl w:val="0"/>
          <w:numId w:val="3"/>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Far lateral approach: 1 Case</w:t>
      </w:r>
    </w:p>
    <w:p w:rsidR="002E1070" w:rsidRPr="0006264D" w:rsidRDefault="002E1070" w:rsidP="002F4011">
      <w:pPr>
        <w:snapToGrid w:val="0"/>
        <w:jc w:val="center"/>
        <w:rPr>
          <w:rFonts w:ascii="Times New Roman" w:hAnsi="Times New Roman"/>
          <w:b/>
          <w:bCs/>
          <w:color w:val="000000"/>
          <w:sz w:val="20"/>
          <w:szCs w:val="6"/>
        </w:rPr>
      </w:pPr>
    </w:p>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4</w:t>
      </w:r>
      <w:r w:rsidRPr="0006264D">
        <w:rPr>
          <w:rFonts w:ascii="Times New Roman" w:hAnsi="Times New Roman"/>
          <w:b/>
          <w:bCs/>
          <w:color w:val="000000"/>
          <w:sz w:val="20"/>
          <w:szCs w:val="18"/>
        </w:rPr>
        <w:t>: Distribution of cases according to Approaches.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02"/>
        <w:gridCol w:w="607"/>
        <w:gridCol w:w="785"/>
      </w:tblGrid>
      <w:tr w:rsidR="00454040" w:rsidRPr="0006264D" w:rsidTr="00E45D9C">
        <w:trPr>
          <w:jc w:val="center"/>
        </w:trPr>
        <w:tc>
          <w:tcPr>
            <w:tcW w:w="3452" w:type="pct"/>
            <w:shd w:val="clear" w:color="auto" w:fill="auto"/>
            <w:vAlign w:val="center"/>
          </w:tcPr>
          <w:p w:rsidR="00454040" w:rsidRPr="0006264D" w:rsidRDefault="00454040" w:rsidP="002F4011">
            <w:pPr>
              <w:pStyle w:val="ListParagraph"/>
              <w:snapToGrid w:val="0"/>
              <w:ind w:left="0"/>
              <w:jc w:val="both"/>
              <w:rPr>
                <w:rFonts w:ascii="Times New Roman" w:hAnsi="Times New Roman"/>
                <w:b/>
                <w:bCs/>
                <w:color w:val="000000"/>
                <w:sz w:val="20"/>
                <w:szCs w:val="18"/>
              </w:rPr>
            </w:pPr>
            <w:r w:rsidRPr="0006264D">
              <w:rPr>
                <w:rFonts w:ascii="Times New Roman" w:hAnsi="Times New Roman"/>
                <w:b/>
                <w:bCs/>
                <w:color w:val="000000"/>
                <w:sz w:val="20"/>
                <w:szCs w:val="18"/>
              </w:rPr>
              <w:t>Approaches</w:t>
            </w:r>
          </w:p>
        </w:tc>
        <w:tc>
          <w:tcPr>
            <w:tcW w:w="675"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No</w:t>
            </w:r>
          </w:p>
        </w:tc>
        <w:tc>
          <w:tcPr>
            <w:tcW w:w="873" w:type="pct"/>
            <w:shd w:val="clear" w:color="auto" w:fill="auto"/>
            <w:vAlign w:val="center"/>
          </w:tcPr>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w:t>
            </w:r>
          </w:p>
        </w:tc>
      </w:tr>
      <w:tr w:rsidR="00454040" w:rsidRPr="0006264D" w:rsidTr="00E45D9C">
        <w:trPr>
          <w:jc w:val="center"/>
        </w:trPr>
        <w:tc>
          <w:tcPr>
            <w:tcW w:w="345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Posterior Approach</w:t>
            </w:r>
          </w:p>
        </w:tc>
        <w:tc>
          <w:tcPr>
            <w:tcW w:w="67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33</w:t>
            </w:r>
          </w:p>
        </w:tc>
        <w:tc>
          <w:tcPr>
            <w:tcW w:w="87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94.3</w:t>
            </w:r>
          </w:p>
        </w:tc>
      </w:tr>
      <w:tr w:rsidR="00454040" w:rsidRPr="0006264D" w:rsidTr="00E45D9C">
        <w:trPr>
          <w:jc w:val="center"/>
        </w:trPr>
        <w:tc>
          <w:tcPr>
            <w:tcW w:w="345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Anterior Approach</w:t>
            </w:r>
          </w:p>
        </w:tc>
        <w:tc>
          <w:tcPr>
            <w:tcW w:w="67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w:t>
            </w:r>
          </w:p>
        </w:tc>
        <w:tc>
          <w:tcPr>
            <w:tcW w:w="87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8.6</w:t>
            </w:r>
          </w:p>
        </w:tc>
      </w:tr>
      <w:tr w:rsidR="00454040" w:rsidRPr="0006264D" w:rsidTr="00E45D9C">
        <w:trPr>
          <w:jc w:val="center"/>
        </w:trPr>
        <w:tc>
          <w:tcPr>
            <w:tcW w:w="345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Far Lateral Approach</w:t>
            </w:r>
          </w:p>
        </w:tc>
        <w:tc>
          <w:tcPr>
            <w:tcW w:w="67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87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bl>
    <w:bookmarkStart w:id="1" w:name="_MON_1621850259"/>
    <w:bookmarkEnd w:id="1"/>
    <w:bookmarkStart w:id="2" w:name="_MON_1619777216"/>
    <w:bookmarkEnd w:id="2"/>
    <w:p w:rsidR="00454040" w:rsidRDefault="00011AF6" w:rsidP="002F4011">
      <w:pPr>
        <w:snapToGrid w:val="0"/>
        <w:jc w:val="center"/>
        <w:rPr>
          <w:rFonts w:ascii="Times New Roman" w:hAnsi="Times New Roman"/>
          <w:noProof/>
          <w:sz w:val="20"/>
          <w:szCs w:val="14"/>
          <w:lang w:eastAsia="zh-CN"/>
        </w:rPr>
      </w:pPr>
      <w:r w:rsidRPr="0006264D">
        <w:rPr>
          <w:rFonts w:ascii="Times New Roman" w:hAnsi="Times New Roman"/>
          <w:noProof/>
          <w:sz w:val="20"/>
          <w:szCs w:val="14"/>
        </w:rPr>
        <w:object w:dxaOrig="4245" w:dyaOrig="2295">
          <v:shape id="_x0000_i1043" type="#_x0000_t75" alt="" style="width:212.25pt;height:114.55pt" o:ole="">
            <v:imagedata r:id="rId36" o:title=""/>
          </v:shape>
          <o:OLEObject Type="Embed" ProgID="Excel.Sheet.8" ShapeID="_x0000_i1043" DrawAspect="Content" ObjectID="_1639858966" r:id="rId37">
            <o:FieldCodes>\s</o:FieldCodes>
          </o:OLEObject>
        </w:object>
      </w:r>
    </w:p>
    <w:p w:rsidR="00454040" w:rsidRPr="0006264D" w:rsidRDefault="004765DE" w:rsidP="002F4011">
      <w:pPr>
        <w:snapToGrid w:val="0"/>
        <w:jc w:val="center"/>
        <w:rPr>
          <w:rFonts w:ascii="Times New Roman" w:hAnsi="Times New Roman"/>
          <w:b/>
          <w:bCs/>
          <w:color w:val="000000"/>
          <w:sz w:val="20"/>
          <w:szCs w:val="20"/>
        </w:rPr>
      </w:pPr>
      <w:r w:rsidRPr="00227A8B">
        <w:rPr>
          <w:rFonts w:ascii="Times New Roman" w:hAnsi="Times New Roman"/>
          <w:noProof/>
          <w:sz w:val="20"/>
          <w:szCs w:val="20"/>
          <w:lang w:eastAsia="zh-CN"/>
        </w:rPr>
        <w:pict>
          <v:shape id="Chart 243" o:spid="_x0000_i1044" type="#_x0000_t75" style="width:206.6pt;height:97.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">
            <v:imagedata r:id="rId38" o:title=""/>
          </v:shape>
        </w:pict>
      </w:r>
    </w:p>
    <w:p w:rsidR="00E45D9C" w:rsidRPr="0006264D" w:rsidRDefault="00E45D9C" w:rsidP="002F4011">
      <w:pPr>
        <w:snapToGrid w:val="0"/>
        <w:jc w:val="both"/>
        <w:rPr>
          <w:rFonts w:ascii="Times New Roman" w:hAnsi="Times New Roman"/>
          <w:b/>
          <w:bCs/>
          <w:color w:val="000000"/>
          <w:sz w:val="20"/>
          <w:szCs w:val="18"/>
          <w:lang w:eastAsia="zh-CN"/>
        </w:rPr>
      </w:pPr>
    </w:p>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b/>
          <w:bCs/>
          <w:color w:val="000000"/>
          <w:sz w:val="20"/>
          <w:szCs w:val="18"/>
        </w:rPr>
        <w:t xml:space="preserve"># Decompression without Fusion (Non-fusion group): </w:t>
      </w:r>
    </w:p>
    <w:p w:rsidR="00454040" w:rsidRPr="0006264D" w:rsidRDefault="00454040" w:rsidP="002F4011">
      <w:pPr>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15 Case: 15/35 = 42.9 %</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Chiari: 11 Case</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Cysticercosis: 1 Case</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Neoplastic: 3 Cases</w:t>
      </w:r>
    </w:p>
    <w:p w:rsidR="00454040" w:rsidRPr="0006264D" w:rsidRDefault="00454040" w:rsidP="002F4011">
      <w:pPr>
        <w:snapToGrid w:val="0"/>
        <w:jc w:val="center"/>
        <w:rPr>
          <w:rFonts w:ascii="Times New Roman" w:hAnsi="Times New Roman"/>
          <w:b/>
          <w:bCs/>
          <w:color w:val="000000"/>
          <w:sz w:val="20"/>
          <w:szCs w:val="4"/>
        </w:rPr>
      </w:pPr>
    </w:p>
    <w:p w:rsidR="00454040" w:rsidRPr="0006264D" w:rsidRDefault="00454040" w:rsidP="002F4011">
      <w:pPr>
        <w:snapToGrid w:val="0"/>
        <w:jc w:val="center"/>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5</w:t>
      </w:r>
      <w:r w:rsidRPr="0006264D">
        <w:rPr>
          <w:rFonts w:ascii="Times New Roman" w:hAnsi="Times New Roman"/>
          <w:b/>
          <w:bCs/>
          <w:color w:val="000000"/>
          <w:sz w:val="20"/>
          <w:szCs w:val="18"/>
        </w:rPr>
        <w:t>: Distribution of cases in non-fusion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594"/>
        <w:gridCol w:w="393"/>
        <w:gridCol w:w="507"/>
      </w:tblGrid>
      <w:tr w:rsidR="00454040" w:rsidRPr="0006264D" w:rsidTr="00E45D9C">
        <w:trPr>
          <w:jc w:val="center"/>
        </w:trPr>
        <w:tc>
          <w:tcPr>
            <w:tcW w:w="3999" w:type="pct"/>
            <w:shd w:val="clear" w:color="auto" w:fill="auto"/>
            <w:vAlign w:val="center"/>
          </w:tcPr>
          <w:p w:rsidR="00454040" w:rsidRPr="0006264D" w:rsidRDefault="00454040" w:rsidP="002F4011">
            <w:pPr>
              <w:pStyle w:val="ListParagraph"/>
              <w:snapToGrid w:val="0"/>
              <w:ind w:left="0"/>
              <w:jc w:val="both"/>
              <w:rPr>
                <w:rFonts w:ascii="Times New Roman" w:hAnsi="Times New Roman"/>
                <w:b/>
                <w:bCs/>
                <w:color w:val="000000"/>
                <w:sz w:val="20"/>
                <w:szCs w:val="18"/>
              </w:rPr>
            </w:pPr>
            <w:r w:rsidRPr="0006264D">
              <w:rPr>
                <w:rFonts w:ascii="Times New Roman" w:hAnsi="Times New Roman"/>
                <w:b/>
                <w:bCs/>
                <w:color w:val="000000"/>
                <w:sz w:val="20"/>
                <w:szCs w:val="18"/>
              </w:rPr>
              <w:t>Decompression without Fusion Cases</w:t>
            </w:r>
          </w:p>
        </w:tc>
        <w:tc>
          <w:tcPr>
            <w:tcW w:w="43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No</w:t>
            </w:r>
          </w:p>
        </w:tc>
        <w:tc>
          <w:tcPr>
            <w:tcW w:w="56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t>
            </w:r>
          </w:p>
        </w:tc>
      </w:tr>
      <w:tr w:rsidR="00454040" w:rsidRPr="0006264D" w:rsidTr="00E45D9C">
        <w:trPr>
          <w:jc w:val="center"/>
        </w:trPr>
        <w:tc>
          <w:tcPr>
            <w:tcW w:w="3999"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Chiari</w:t>
            </w:r>
          </w:p>
        </w:tc>
        <w:tc>
          <w:tcPr>
            <w:tcW w:w="43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11</w:t>
            </w:r>
          </w:p>
        </w:tc>
        <w:tc>
          <w:tcPr>
            <w:tcW w:w="56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73.3</w:t>
            </w:r>
          </w:p>
        </w:tc>
      </w:tr>
      <w:tr w:rsidR="00454040" w:rsidRPr="0006264D" w:rsidTr="00E45D9C">
        <w:trPr>
          <w:jc w:val="center"/>
        </w:trPr>
        <w:tc>
          <w:tcPr>
            <w:tcW w:w="3999"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Neoplastic</w:t>
            </w:r>
          </w:p>
        </w:tc>
        <w:tc>
          <w:tcPr>
            <w:tcW w:w="437"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w:t>
            </w:r>
          </w:p>
        </w:tc>
        <w:tc>
          <w:tcPr>
            <w:tcW w:w="56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E45D9C">
        <w:trPr>
          <w:jc w:val="center"/>
        </w:trPr>
        <w:tc>
          <w:tcPr>
            <w:tcW w:w="3999" w:type="pct"/>
            <w:tcBorders>
              <w:top w:val="single" w:sz="4" w:space="0" w:color="auto"/>
              <w:left w:val="single" w:sz="4" w:space="0" w:color="auto"/>
              <w:bottom w:val="single" w:sz="4" w:space="0" w:color="auto"/>
              <w:right w:val="single" w:sz="4" w:space="0" w:color="auto"/>
            </w:tcBorders>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Cysticercosis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6.7</w:t>
            </w:r>
          </w:p>
        </w:tc>
      </w:tr>
    </w:tbl>
    <w:bookmarkStart w:id="3" w:name="_MON_1621850281"/>
    <w:bookmarkEnd w:id="3"/>
    <w:p w:rsidR="00454040" w:rsidRPr="0006264D" w:rsidRDefault="00011AF6" w:rsidP="002F4011">
      <w:pPr>
        <w:pStyle w:val="ListParagraph"/>
        <w:snapToGrid w:val="0"/>
        <w:ind w:left="0"/>
        <w:jc w:val="center"/>
        <w:rPr>
          <w:rFonts w:ascii="Times New Roman" w:hAnsi="Times New Roman"/>
          <w:sz w:val="20"/>
          <w:szCs w:val="2"/>
        </w:rPr>
      </w:pPr>
      <w:r w:rsidRPr="0006264D">
        <w:rPr>
          <w:rFonts w:ascii="Times New Roman" w:hAnsi="Times New Roman"/>
          <w:noProof/>
          <w:sz w:val="20"/>
          <w:szCs w:val="20"/>
        </w:rPr>
        <w:object w:dxaOrig="4245" w:dyaOrig="2220">
          <v:shape id="_x0000_i1045" type="#_x0000_t75" alt="" style="width:212.25pt;height:110.8pt" o:ole="">
            <v:imagedata r:id="rId39" o:title=""/>
          </v:shape>
          <o:OLEObject Type="Embed" ProgID="Excel.Sheet.8" ShapeID="_x0000_i1045" DrawAspect="Content" ObjectID="_1639858967" r:id="rId40">
            <o:FieldCodes>\s</o:FieldCodes>
          </o:OLEObject>
        </w:object>
      </w:r>
    </w:p>
    <w:p w:rsidR="002F4011" w:rsidRDefault="002F4011" w:rsidP="002F4011">
      <w:pPr>
        <w:pStyle w:val="ListParagraph"/>
        <w:snapToGrid w:val="0"/>
        <w:ind w:left="0" w:firstLine="425"/>
        <w:jc w:val="both"/>
        <w:rPr>
          <w:rFonts w:ascii="Times New Roman" w:hAnsi="Times New Roman" w:hint="eastAsia"/>
          <w:b/>
          <w:bCs/>
          <w:color w:val="000000"/>
          <w:sz w:val="20"/>
          <w:szCs w:val="20"/>
          <w:lang w:eastAsia="zh-CN"/>
        </w:rPr>
      </w:pPr>
    </w:p>
    <w:p w:rsidR="004765DE" w:rsidRDefault="004765DE" w:rsidP="002F4011">
      <w:pPr>
        <w:pStyle w:val="ListParagraph"/>
        <w:snapToGrid w:val="0"/>
        <w:ind w:left="0" w:firstLine="425"/>
        <w:jc w:val="both"/>
        <w:rPr>
          <w:rFonts w:ascii="Times New Roman" w:hAnsi="Times New Roman"/>
          <w:b/>
          <w:bCs/>
          <w:color w:val="000000"/>
          <w:sz w:val="20"/>
          <w:szCs w:val="20"/>
          <w:lang w:eastAsia="zh-CN"/>
        </w:rPr>
      </w:pPr>
    </w:p>
    <w:p w:rsidR="00454040" w:rsidRPr="0006264D" w:rsidRDefault="00454040" w:rsidP="002F4011">
      <w:pPr>
        <w:pStyle w:val="ListParagraph"/>
        <w:snapToGrid w:val="0"/>
        <w:ind w:left="0" w:firstLine="425"/>
        <w:jc w:val="both"/>
        <w:rPr>
          <w:rFonts w:ascii="Times New Roman" w:hAnsi="Times New Roman"/>
          <w:sz w:val="20"/>
          <w:szCs w:val="20"/>
        </w:rPr>
      </w:pPr>
      <w:r w:rsidRPr="0006264D">
        <w:rPr>
          <w:rFonts w:ascii="Times New Roman" w:hAnsi="Times New Roman"/>
          <w:b/>
          <w:bCs/>
          <w:color w:val="000000"/>
          <w:sz w:val="20"/>
          <w:szCs w:val="20"/>
        </w:rPr>
        <w:t># Fusion Cases</w:t>
      </w:r>
      <w:r w:rsidRPr="0006264D">
        <w:rPr>
          <w:rFonts w:ascii="Times New Roman" w:hAnsi="Times New Roman"/>
          <w:color w:val="000000"/>
          <w:sz w:val="20"/>
          <w:szCs w:val="20"/>
        </w:rPr>
        <w:t>:</w:t>
      </w:r>
      <w:r w:rsidR="00E45D9C" w:rsidRPr="0006264D">
        <w:rPr>
          <w:rFonts w:ascii="Times New Roman" w:hAnsi="Times New Roman"/>
          <w:color w:val="000000"/>
          <w:sz w:val="20"/>
          <w:szCs w:val="20"/>
        </w:rPr>
        <w:t xml:space="preserve"> </w:t>
      </w:r>
      <w:r w:rsidRPr="0006264D">
        <w:rPr>
          <w:rFonts w:ascii="Times New Roman" w:hAnsi="Times New Roman"/>
          <w:color w:val="000000"/>
          <w:sz w:val="20"/>
          <w:szCs w:val="20"/>
        </w:rPr>
        <w:t>20 Cases: 20/35 = 57.1 %</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Traumatic: 9 Cases</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Inflammatory: 4 Cases</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Degenerative: 3 Cases</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Congenital: 2 Cases</w:t>
      </w:r>
    </w:p>
    <w:p w:rsidR="00454040" w:rsidRPr="0006264D" w:rsidRDefault="00454040" w:rsidP="002F4011">
      <w:pPr>
        <w:pStyle w:val="ListParagraph"/>
        <w:numPr>
          <w:ilvl w:val="0"/>
          <w:numId w:val="1"/>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Neoplastic: 2 Cases</w:t>
      </w:r>
    </w:p>
    <w:p w:rsidR="00E45D9C" w:rsidRPr="0006264D" w:rsidRDefault="00E45D9C" w:rsidP="002F4011">
      <w:pPr>
        <w:pStyle w:val="ListParagraph"/>
        <w:numPr>
          <w:ilvl w:val="0"/>
          <w:numId w:val="1"/>
        </w:numPr>
        <w:snapToGrid w:val="0"/>
        <w:ind w:left="0" w:firstLine="425"/>
        <w:jc w:val="both"/>
        <w:rPr>
          <w:rFonts w:ascii="Times New Roman" w:hAnsi="Times New Roman"/>
          <w:color w:val="000000"/>
          <w:sz w:val="20"/>
          <w:szCs w:val="20"/>
        </w:rPr>
      </w:pPr>
    </w:p>
    <w:p w:rsidR="00084B64" w:rsidRPr="0006264D" w:rsidRDefault="00084B64" w:rsidP="002F4011">
      <w:pPr>
        <w:snapToGrid w:val="0"/>
        <w:jc w:val="center"/>
        <w:rPr>
          <w:rFonts w:ascii="Times New Roman" w:hAnsi="Times New Roman"/>
          <w:b/>
          <w:bCs/>
          <w:color w:val="000000"/>
          <w:sz w:val="20"/>
          <w:szCs w:val="10"/>
        </w:rPr>
      </w:pPr>
    </w:p>
    <w:p w:rsidR="00454040" w:rsidRPr="0006264D" w:rsidRDefault="00454040" w:rsidP="002F4011">
      <w:pPr>
        <w:snapToGrid w:val="0"/>
        <w:jc w:val="center"/>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6</w:t>
      </w:r>
      <w:r w:rsidRPr="0006264D">
        <w:rPr>
          <w:rFonts w:ascii="Times New Roman" w:hAnsi="Times New Roman"/>
          <w:b/>
          <w:bCs/>
          <w:color w:val="000000"/>
          <w:sz w:val="20"/>
          <w:szCs w:val="18"/>
        </w:rPr>
        <w:t>: Distribution of cases in fusion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905"/>
        <w:gridCol w:w="848"/>
        <w:gridCol w:w="741"/>
      </w:tblGrid>
      <w:tr w:rsidR="00454040" w:rsidRPr="0006264D" w:rsidTr="00E45D9C">
        <w:trPr>
          <w:jc w:val="center"/>
        </w:trPr>
        <w:tc>
          <w:tcPr>
            <w:tcW w:w="3233" w:type="pct"/>
            <w:shd w:val="clear" w:color="auto" w:fill="auto"/>
            <w:vAlign w:val="center"/>
          </w:tcPr>
          <w:p w:rsidR="00454040" w:rsidRPr="0006264D" w:rsidRDefault="00454040" w:rsidP="002F4011">
            <w:pPr>
              <w:pStyle w:val="ListParagraph"/>
              <w:snapToGrid w:val="0"/>
              <w:ind w:left="0"/>
              <w:jc w:val="both"/>
              <w:rPr>
                <w:rFonts w:ascii="Times New Roman" w:hAnsi="Times New Roman"/>
                <w:b/>
                <w:bCs/>
                <w:color w:val="000000"/>
                <w:sz w:val="20"/>
                <w:szCs w:val="18"/>
              </w:rPr>
            </w:pPr>
            <w:r w:rsidRPr="0006264D">
              <w:rPr>
                <w:rFonts w:ascii="Times New Roman" w:hAnsi="Times New Roman"/>
                <w:b/>
                <w:bCs/>
                <w:color w:val="000000"/>
                <w:sz w:val="20"/>
                <w:szCs w:val="18"/>
              </w:rPr>
              <w:t>Fusion Cases</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No</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t>
            </w:r>
          </w:p>
        </w:tc>
      </w:tr>
      <w:tr w:rsidR="00454040" w:rsidRPr="0006264D" w:rsidTr="00E45D9C">
        <w:trPr>
          <w:jc w:val="center"/>
        </w:trPr>
        <w:tc>
          <w:tcPr>
            <w:tcW w:w="32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Traumatic</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9</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45</w:t>
            </w:r>
          </w:p>
        </w:tc>
      </w:tr>
      <w:tr w:rsidR="00454040" w:rsidRPr="0006264D" w:rsidTr="00E45D9C">
        <w:trPr>
          <w:jc w:val="center"/>
        </w:trPr>
        <w:tc>
          <w:tcPr>
            <w:tcW w:w="32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Inflammatory</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4</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20</w:t>
            </w:r>
          </w:p>
        </w:tc>
      </w:tr>
      <w:tr w:rsidR="00454040" w:rsidRPr="0006264D" w:rsidTr="00E45D9C">
        <w:trPr>
          <w:jc w:val="center"/>
        </w:trPr>
        <w:tc>
          <w:tcPr>
            <w:tcW w:w="32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Degenerative</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3</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15</w:t>
            </w:r>
          </w:p>
        </w:tc>
      </w:tr>
      <w:tr w:rsidR="00454040" w:rsidRPr="0006264D" w:rsidTr="00E45D9C">
        <w:trPr>
          <w:jc w:val="center"/>
        </w:trPr>
        <w:tc>
          <w:tcPr>
            <w:tcW w:w="32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Congenital</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10</w:t>
            </w:r>
          </w:p>
        </w:tc>
      </w:tr>
      <w:tr w:rsidR="00454040" w:rsidRPr="0006264D" w:rsidTr="00E45D9C">
        <w:trPr>
          <w:jc w:val="center"/>
        </w:trPr>
        <w:tc>
          <w:tcPr>
            <w:tcW w:w="323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Neoplastic</w:t>
            </w:r>
          </w:p>
        </w:tc>
        <w:tc>
          <w:tcPr>
            <w:tcW w:w="943"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825"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10</w:t>
            </w:r>
          </w:p>
        </w:tc>
      </w:tr>
    </w:tbl>
    <w:p w:rsidR="004765DE" w:rsidRDefault="004765DE" w:rsidP="002F4011">
      <w:pPr>
        <w:pStyle w:val="ListParagraph"/>
        <w:snapToGrid w:val="0"/>
        <w:ind w:left="0"/>
        <w:jc w:val="center"/>
        <w:rPr>
          <w:rFonts w:ascii="Times New Roman" w:hAnsi="Times New Roman" w:hint="eastAsia"/>
          <w:noProof/>
          <w:sz w:val="20"/>
          <w:szCs w:val="16"/>
          <w:lang w:eastAsia="zh-CN"/>
        </w:rPr>
      </w:pPr>
    </w:p>
    <w:bookmarkStart w:id="4" w:name="_MON_1621850708"/>
    <w:bookmarkEnd w:id="4"/>
    <w:p w:rsidR="00454040" w:rsidRPr="0006264D" w:rsidRDefault="00011AF6" w:rsidP="002F4011">
      <w:pPr>
        <w:pStyle w:val="ListParagraph"/>
        <w:snapToGrid w:val="0"/>
        <w:ind w:left="0"/>
        <w:jc w:val="center"/>
        <w:rPr>
          <w:rFonts w:ascii="Times New Roman" w:hAnsi="Times New Roman"/>
          <w:sz w:val="20"/>
          <w:szCs w:val="20"/>
        </w:rPr>
      </w:pPr>
      <w:r w:rsidRPr="0006264D">
        <w:rPr>
          <w:rFonts w:ascii="Times New Roman" w:hAnsi="Times New Roman"/>
          <w:noProof/>
          <w:sz w:val="20"/>
          <w:szCs w:val="16"/>
        </w:rPr>
        <w:object w:dxaOrig="4245" w:dyaOrig="1845">
          <v:shape id="_x0000_i1046" type="#_x0000_t75" alt="" style="width:212.25pt;height:92.05pt" o:ole="">
            <v:imagedata r:id="rId41" o:title=""/>
          </v:shape>
          <o:OLEObject Type="Embed" ProgID="Excel.Sheet.8" ShapeID="_x0000_i1046" DrawAspect="Content" ObjectID="_1639858968" r:id="rId42">
            <o:FieldCodes>\s</o:FieldCodes>
          </o:OLEObject>
        </w:object>
      </w:r>
    </w:p>
    <w:p w:rsidR="00D43CA8" w:rsidRPr="0006264D" w:rsidRDefault="00D43CA8" w:rsidP="002F4011">
      <w:pPr>
        <w:pStyle w:val="ListParagraph"/>
        <w:snapToGrid w:val="0"/>
        <w:ind w:left="0"/>
        <w:jc w:val="both"/>
        <w:rPr>
          <w:rFonts w:ascii="Times New Roman" w:hAnsi="Times New Roman"/>
          <w:b/>
          <w:bCs/>
          <w:color w:val="000000"/>
          <w:sz w:val="20"/>
          <w:szCs w:val="20"/>
        </w:rPr>
      </w:pPr>
    </w:p>
    <w:p w:rsidR="00454040" w:rsidRPr="0006264D" w:rsidRDefault="00454040" w:rsidP="002F4011">
      <w:pPr>
        <w:pStyle w:val="ListParagraph"/>
        <w:snapToGrid w:val="0"/>
        <w:ind w:left="0" w:firstLine="425"/>
        <w:jc w:val="both"/>
        <w:rPr>
          <w:rFonts w:ascii="Times New Roman" w:hAnsi="Times New Roman"/>
          <w:b/>
          <w:bCs/>
          <w:color w:val="000000"/>
          <w:sz w:val="20"/>
          <w:szCs w:val="20"/>
        </w:rPr>
      </w:pPr>
      <w:r w:rsidRPr="0006264D">
        <w:rPr>
          <w:rFonts w:ascii="Times New Roman" w:hAnsi="Times New Roman"/>
          <w:b/>
          <w:bCs/>
          <w:color w:val="000000"/>
          <w:sz w:val="20"/>
          <w:szCs w:val="20"/>
        </w:rPr>
        <w:t xml:space="preserve">Type of Fusion: </w:t>
      </w:r>
      <w:r w:rsidRPr="0006264D">
        <w:rPr>
          <w:rFonts w:ascii="Times New Roman" w:hAnsi="Times New Roman"/>
          <w:color w:val="000000"/>
          <w:sz w:val="20"/>
          <w:szCs w:val="20"/>
        </w:rPr>
        <w:t>20 Cases</w:t>
      </w:r>
    </w:p>
    <w:p w:rsidR="00454040" w:rsidRPr="0006264D" w:rsidRDefault="00454040" w:rsidP="002F4011">
      <w:pPr>
        <w:pStyle w:val="ListParagraph"/>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O-C Fusion: 10 Case</w:t>
      </w:r>
    </w:p>
    <w:p w:rsidR="00454040" w:rsidRPr="0006264D" w:rsidRDefault="00454040" w:rsidP="002F4011">
      <w:pPr>
        <w:pStyle w:val="ListParagraph"/>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C1-C2 Fusion: 8 Cases</w:t>
      </w:r>
    </w:p>
    <w:p w:rsidR="00454040" w:rsidRPr="0006264D" w:rsidRDefault="00454040" w:rsidP="002F4011">
      <w:pPr>
        <w:pStyle w:val="ListParagraph"/>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Odontoid Screw: 1 Case</w:t>
      </w:r>
    </w:p>
    <w:p w:rsidR="00454040" w:rsidRPr="0006264D" w:rsidRDefault="00454040" w:rsidP="002F4011">
      <w:pPr>
        <w:pStyle w:val="ListParagraph"/>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Post. Wiring: 1 Case</w:t>
      </w:r>
    </w:p>
    <w:p w:rsidR="00454040" w:rsidRDefault="00454040" w:rsidP="002F4011">
      <w:pPr>
        <w:pStyle w:val="ListParagraph"/>
        <w:snapToGrid w:val="0"/>
        <w:ind w:left="0"/>
        <w:jc w:val="center"/>
        <w:rPr>
          <w:rFonts w:ascii="Times New Roman" w:hAnsi="Times New Roman" w:hint="eastAsia"/>
          <w:color w:val="000000"/>
          <w:sz w:val="20"/>
          <w:szCs w:val="12"/>
          <w:lang w:eastAsia="zh-CN"/>
        </w:rPr>
      </w:pPr>
    </w:p>
    <w:p w:rsidR="004765DE" w:rsidRPr="0006264D" w:rsidRDefault="004765DE" w:rsidP="002F4011">
      <w:pPr>
        <w:pStyle w:val="ListParagraph"/>
        <w:snapToGrid w:val="0"/>
        <w:ind w:left="0"/>
        <w:jc w:val="center"/>
        <w:rPr>
          <w:rFonts w:ascii="Times New Roman" w:hAnsi="Times New Roman" w:hint="eastAsia"/>
          <w:color w:val="000000"/>
          <w:sz w:val="20"/>
          <w:szCs w:val="12"/>
          <w:lang w:eastAsia="zh-CN"/>
        </w:rPr>
      </w:pPr>
    </w:p>
    <w:p w:rsidR="00454040" w:rsidRPr="0006264D" w:rsidRDefault="00454040" w:rsidP="002F4011">
      <w:pPr>
        <w:snapToGrid w:val="0"/>
        <w:jc w:val="both"/>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7</w:t>
      </w:r>
      <w:r w:rsidRPr="0006264D">
        <w:rPr>
          <w:rFonts w:ascii="Times New Roman" w:hAnsi="Times New Roman"/>
          <w:b/>
          <w:bCs/>
          <w:color w:val="000000"/>
          <w:sz w:val="20"/>
          <w:szCs w:val="18"/>
        </w:rPr>
        <w:t>: Distribution of cases according to type of fusion.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049"/>
        <w:gridCol w:w="771"/>
        <w:gridCol w:w="674"/>
      </w:tblGrid>
      <w:tr w:rsidR="00454040" w:rsidRPr="0006264D" w:rsidTr="00E45D9C">
        <w:trPr>
          <w:jc w:val="center"/>
        </w:trPr>
        <w:tc>
          <w:tcPr>
            <w:tcW w:w="3392" w:type="pct"/>
            <w:shd w:val="clear" w:color="auto" w:fill="auto"/>
            <w:vAlign w:val="center"/>
          </w:tcPr>
          <w:p w:rsidR="00454040" w:rsidRPr="0006264D" w:rsidRDefault="00454040" w:rsidP="002F4011">
            <w:pPr>
              <w:pStyle w:val="ListParagraph"/>
              <w:snapToGrid w:val="0"/>
              <w:ind w:left="0"/>
              <w:jc w:val="both"/>
              <w:rPr>
                <w:rFonts w:ascii="Times New Roman" w:hAnsi="Times New Roman"/>
                <w:b/>
                <w:bCs/>
                <w:color w:val="000000"/>
                <w:sz w:val="20"/>
                <w:szCs w:val="18"/>
              </w:rPr>
            </w:pPr>
            <w:r w:rsidRPr="0006264D">
              <w:rPr>
                <w:rFonts w:ascii="Times New Roman" w:hAnsi="Times New Roman"/>
                <w:b/>
                <w:bCs/>
                <w:color w:val="000000"/>
                <w:sz w:val="20"/>
                <w:szCs w:val="18"/>
              </w:rPr>
              <w:t>Type of Fusion</w:t>
            </w:r>
          </w:p>
        </w:tc>
        <w:tc>
          <w:tcPr>
            <w:tcW w:w="858"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No</w:t>
            </w:r>
          </w:p>
        </w:tc>
        <w:tc>
          <w:tcPr>
            <w:tcW w:w="750"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t>
            </w:r>
          </w:p>
        </w:tc>
      </w:tr>
      <w:tr w:rsidR="00454040" w:rsidRPr="0006264D" w:rsidTr="00E45D9C">
        <w:trPr>
          <w:jc w:val="center"/>
        </w:trPr>
        <w:tc>
          <w:tcPr>
            <w:tcW w:w="339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OC Fusion</w:t>
            </w:r>
          </w:p>
        </w:tc>
        <w:tc>
          <w:tcPr>
            <w:tcW w:w="858"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10</w:t>
            </w:r>
          </w:p>
        </w:tc>
        <w:tc>
          <w:tcPr>
            <w:tcW w:w="750"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50</w:t>
            </w:r>
          </w:p>
        </w:tc>
      </w:tr>
      <w:tr w:rsidR="00454040" w:rsidRPr="0006264D" w:rsidTr="00E45D9C">
        <w:trPr>
          <w:jc w:val="center"/>
        </w:trPr>
        <w:tc>
          <w:tcPr>
            <w:tcW w:w="339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C1-C2 Fusion</w:t>
            </w:r>
          </w:p>
        </w:tc>
        <w:tc>
          <w:tcPr>
            <w:tcW w:w="858"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8</w:t>
            </w:r>
          </w:p>
        </w:tc>
        <w:tc>
          <w:tcPr>
            <w:tcW w:w="750"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40</w:t>
            </w:r>
          </w:p>
        </w:tc>
      </w:tr>
      <w:tr w:rsidR="00454040" w:rsidRPr="0006264D" w:rsidTr="00E45D9C">
        <w:trPr>
          <w:jc w:val="center"/>
        </w:trPr>
        <w:tc>
          <w:tcPr>
            <w:tcW w:w="339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Odontoid Screw</w:t>
            </w:r>
          </w:p>
        </w:tc>
        <w:tc>
          <w:tcPr>
            <w:tcW w:w="858"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750"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w:t>
            </w:r>
          </w:p>
        </w:tc>
      </w:tr>
      <w:tr w:rsidR="00454040" w:rsidRPr="0006264D" w:rsidTr="00E45D9C">
        <w:trPr>
          <w:jc w:val="center"/>
        </w:trPr>
        <w:tc>
          <w:tcPr>
            <w:tcW w:w="3392"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Post. wiring</w:t>
            </w:r>
          </w:p>
        </w:tc>
        <w:tc>
          <w:tcPr>
            <w:tcW w:w="858"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750"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w:t>
            </w:r>
          </w:p>
        </w:tc>
      </w:tr>
    </w:tbl>
    <w:p w:rsidR="004765DE" w:rsidRDefault="004765DE" w:rsidP="002F4011">
      <w:pPr>
        <w:snapToGrid w:val="0"/>
        <w:jc w:val="center"/>
        <w:rPr>
          <w:rFonts w:ascii="Times New Roman" w:hAnsi="Times New Roman" w:hint="eastAsia"/>
          <w:noProof/>
          <w:sz w:val="20"/>
          <w:szCs w:val="20"/>
          <w:lang w:eastAsia="zh-CN"/>
        </w:rPr>
      </w:pPr>
    </w:p>
    <w:p w:rsidR="00454040" w:rsidRPr="0006264D" w:rsidRDefault="004765DE" w:rsidP="002F4011">
      <w:pPr>
        <w:snapToGrid w:val="0"/>
        <w:jc w:val="center"/>
        <w:rPr>
          <w:rFonts w:ascii="Times New Roman" w:hAnsi="Times New Roman"/>
          <w:sz w:val="20"/>
          <w:szCs w:val="8"/>
        </w:rPr>
      </w:pPr>
      <w:r w:rsidRPr="0006264D">
        <w:rPr>
          <w:rFonts w:ascii="Times New Roman" w:hAnsi="Times New Roman"/>
          <w:noProof/>
          <w:sz w:val="20"/>
          <w:szCs w:val="20"/>
        </w:rPr>
        <w:object w:dxaOrig="7204" w:dyaOrig="4075">
          <v:shape id="_x0000_i1047" type="#_x0000_t75" alt="" style="width:229.15pt;height:137.75pt;mso-width-percent:0;mso-height-percent:0;mso-width-percent:0;mso-height-percent:0" o:ole="">
            <v:imagedata r:id="rId43" o:title=""/>
          </v:shape>
          <o:OLEObject Type="Embed" ProgID="Excel.Sheet.12" ShapeID="_x0000_i1047" DrawAspect="Content" ObjectID="_1639858969" r:id="rId44"/>
        </w:object>
      </w:r>
    </w:p>
    <w:p w:rsidR="00E45D9C" w:rsidRDefault="00E45D9C" w:rsidP="002F4011">
      <w:pPr>
        <w:snapToGrid w:val="0"/>
        <w:jc w:val="both"/>
        <w:rPr>
          <w:rFonts w:ascii="Times New Roman" w:hAnsi="Times New Roman" w:hint="eastAsia"/>
          <w:b/>
          <w:bCs/>
          <w:color w:val="000000"/>
          <w:sz w:val="20"/>
          <w:szCs w:val="20"/>
          <w:lang w:eastAsia="zh-CN"/>
        </w:rPr>
      </w:pPr>
    </w:p>
    <w:p w:rsidR="004765DE" w:rsidRPr="0006264D" w:rsidRDefault="004765DE" w:rsidP="002F4011">
      <w:pPr>
        <w:snapToGrid w:val="0"/>
        <w:jc w:val="both"/>
        <w:rPr>
          <w:rFonts w:ascii="Times New Roman" w:hAnsi="Times New Roman"/>
          <w:b/>
          <w:bCs/>
          <w:color w:val="000000"/>
          <w:sz w:val="20"/>
          <w:szCs w:val="20"/>
          <w:lang w:eastAsia="zh-CN"/>
        </w:rPr>
      </w:pPr>
    </w:p>
    <w:p w:rsidR="00454040" w:rsidRPr="0006264D" w:rsidRDefault="00454040" w:rsidP="002F4011">
      <w:pPr>
        <w:snapToGrid w:val="0"/>
        <w:jc w:val="both"/>
        <w:rPr>
          <w:rFonts w:ascii="Times New Roman" w:hAnsi="Times New Roman"/>
          <w:b/>
          <w:bCs/>
          <w:color w:val="000000"/>
          <w:sz w:val="20"/>
          <w:szCs w:val="20"/>
        </w:rPr>
      </w:pPr>
      <w:r w:rsidRPr="0006264D">
        <w:rPr>
          <w:rFonts w:ascii="Times New Roman" w:hAnsi="Times New Roman"/>
          <w:b/>
          <w:bCs/>
          <w:color w:val="000000"/>
          <w:sz w:val="20"/>
          <w:szCs w:val="20"/>
        </w:rPr>
        <w:t>Outcome and Follow up:</w:t>
      </w:r>
    </w:p>
    <w:p w:rsidR="00454040" w:rsidRPr="0006264D" w:rsidRDefault="00454040" w:rsidP="002F4011">
      <w:pPr>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All cases showed marked improvement postoperatively in comparison to preoperative presentation, and patients continued to improve in postoperative follow up visits at 2 weeks and 3-month visits, little neck pain and discomfort at surgical site improved postoperatively.</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Eleven Cases with Chiari malformations with a verity of symptoms including headache tussive in nature, Neck pain, dizziness, weakness with imaging showing Chiari malformation in the form of cerebellar tonsillar descent below foramen magnum with four cases showing Syrinx, all cases underwent suboccipital decompression and C1 laminectomy and tonsillar shrinkage by bipolar cauterization without resection of the tonsils, all cases show marked improvement postoperatively.</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Headache and upper extremity numbness encountered in Chiari patients and other pathologies improved markedly, transient less severe headache early postoperative for 2 weeks controlled by analgesics then relived, one case among Chiari cases showed Head and eye tremors who showed marked improvement postoperatively.</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one case with degenerative pannus and instability at the craniocervical junction presented with dysarthria and swallowing difficulties misdiagnosed before as stroke markedly improved postoperative.</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one case presented with positional vertigo and syncopal attacks when bending the head, the patient has Congenital Ehler-Danlos syndrome with hyper-laxity at the craniocervical junction, markedly improved after OC fusion</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Eight patients presented with progressive weakness and myelopathy and Seven Patients in our Thesis had Dizziness and gait disturbance who shown marked improvement of weakness and continue to improve with physical therapy and occupational therapy.</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Two cases of Rheumatoid Arthritis one of them was intact with severe neck pain with atlantoaxial subluxation and instability, C1-2 fusion was done, the second case presented with neck pain and quadriparesis grade II with imaging showed marked sublaxation at the atlanto axial and atlanto occipital joint with basilar invagination and cord compression improved after traction and occipito-cervical fusion to motor power grade IV.</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Five neoplastic lesions at the craniocervical junction two of them Meningiomas one at CPA extending caudally to the craniocervical and one schwannoma bilaterally located at the foramen magnum and 2 cases with metastatic lesions at C2 </w:t>
      </w:r>
      <w:r w:rsidRPr="0006264D">
        <w:rPr>
          <w:rFonts w:ascii="Times New Roman" w:hAnsi="Times New Roman"/>
          <w:color w:val="000000"/>
          <w:sz w:val="20"/>
          <w:szCs w:val="20"/>
        </w:rPr>
        <w:lastRenderedPageBreak/>
        <w:t>level, in our series two cases managed by posterior approach only with no reported complications and one case by far lateral approach with mild hypoglossal dysfunction, the other two cases one of them managed by Combined anterior retropharyngeal approach for Biopsy and posterior Approach for fusion and the other one with known primary operated by posterior fusion and radiotherapy.</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Nine patients with traumatic lesions including: 7 patients with type II dense fracture and one case with Jefferson C1 fracture and one case Child presented with occipito -Atlanto -axial dissociation post Motor vehicle accident with Coma and, External ventricular drain was placed and ICU stabilization, then OC Fusion was done posteriorly and kept in ICU till weaned from EVD and continue to show improvement. Among the seven cases presented with type II dense fractures we used posterior approach in 6 cases for managing these cases and one case operated using Anterior approach in the form of Anterior odontoid screw and was intact.</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The posterior approach for fusion among these 6 cases was C1-2 fusion using C1 lateral mass and C2 Pedicle or Pars screws in 3 Cases and 2 cases we preferred Occipito cervical fusion as these cases have very small pedicles and the patients were old age and in one case was totally intact aged 93 years old we preferred wiring and graft fusion as a protective small maneuver.</w:t>
      </w:r>
    </w:p>
    <w:p w:rsidR="00454040" w:rsidRPr="0006264D" w:rsidRDefault="00454040" w:rsidP="002F4011">
      <w:pPr>
        <w:numPr>
          <w:ilvl w:val="0"/>
          <w:numId w:val="4"/>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3 cases traction was done and failed Halo fusion for 3 months prior to surgery and were intact motor power with Neck pain, and 3 cases presented with old neglected fracture with pannus compressing the cord and progressive neurologic deficit.</w:t>
      </w:r>
    </w:p>
    <w:p w:rsidR="00454040" w:rsidRPr="0006264D" w:rsidRDefault="00454040" w:rsidP="002F4011">
      <w:pPr>
        <w:numPr>
          <w:ilvl w:val="0"/>
          <w:numId w:val="5"/>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The last case of the 9 trauma patients a case presented with Jefferson fracture operated with occipito-cervical fusion then after four months presented with failure of fusion, redo surgery for OC fusion was done using navigation guided cervical pedicle screws and extra rod.</w:t>
      </w:r>
    </w:p>
    <w:p w:rsidR="00454040" w:rsidRPr="0006264D" w:rsidRDefault="00454040" w:rsidP="002F4011">
      <w:pPr>
        <w:numPr>
          <w:ilvl w:val="0"/>
          <w:numId w:val="5"/>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One case of craniocervical junction infection stated to be cysticercosis, in our patient the case presented at first with headache and dizziness and was diagnosed with hydrocephalic changes and being cysticercoid antibody positive, Albendazole therapy and shunt was done in other hospital, then presented to us with shunt malfunction with increasing symptoms with revision of shunt and repeated imaging, well-formed cyst at the craniocervical junction and fourth ventricle was seen, so suboccipital decompression and cyst removal was done with improved preoperative symptoms. </w:t>
      </w:r>
    </w:p>
    <w:p w:rsidR="00454040" w:rsidRPr="0006264D" w:rsidRDefault="00454040" w:rsidP="002F4011">
      <w:pPr>
        <w:numPr>
          <w:ilvl w:val="0"/>
          <w:numId w:val="5"/>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 xml:space="preserve">One case presented with infection at the CVJ, presented with progressive quadriparesis, after antibiotic course and follow up imaging we found it </w:t>
      </w:r>
      <w:r w:rsidRPr="0006264D">
        <w:rPr>
          <w:rFonts w:ascii="Times New Roman" w:hAnsi="Times New Roman"/>
          <w:color w:val="000000"/>
          <w:sz w:val="20"/>
          <w:szCs w:val="20"/>
        </w:rPr>
        <w:lastRenderedPageBreak/>
        <w:t xml:space="preserve">more favorable to the patient to drain the abscess by retropharyngeal submandibular approach and then in the same setting we did occipito cervical fusion posteriorly with significant postoperative improvement. </w:t>
      </w:r>
    </w:p>
    <w:p w:rsidR="00454040" w:rsidRPr="0006264D" w:rsidRDefault="00454040" w:rsidP="002F4011">
      <w:pPr>
        <w:numPr>
          <w:ilvl w:val="0"/>
          <w:numId w:val="5"/>
        </w:numPr>
        <w:snapToGrid w:val="0"/>
        <w:ind w:left="0" w:firstLine="425"/>
        <w:jc w:val="both"/>
        <w:rPr>
          <w:rFonts w:ascii="Times New Roman" w:hAnsi="Times New Roman"/>
          <w:color w:val="000000"/>
          <w:sz w:val="20"/>
          <w:szCs w:val="20"/>
        </w:rPr>
      </w:pPr>
      <w:r w:rsidRPr="0006264D">
        <w:rPr>
          <w:rFonts w:ascii="Times New Roman" w:hAnsi="Times New Roman"/>
          <w:color w:val="000000"/>
          <w:sz w:val="20"/>
          <w:szCs w:val="20"/>
        </w:rPr>
        <w:t>Long term follow showed failure of fusion and Redo cases are mentioned in complications.</w:t>
      </w:r>
    </w:p>
    <w:p w:rsidR="00454040" w:rsidRDefault="00454040" w:rsidP="002F4011">
      <w:pPr>
        <w:snapToGrid w:val="0"/>
        <w:jc w:val="both"/>
        <w:rPr>
          <w:rFonts w:ascii="Times New Roman" w:hAnsi="Times New Roman" w:hint="eastAsia"/>
          <w:b/>
          <w:bCs/>
          <w:color w:val="000000"/>
          <w:sz w:val="20"/>
          <w:szCs w:val="2"/>
          <w:u w:val="single"/>
          <w:lang w:eastAsia="zh-CN"/>
        </w:rPr>
      </w:pPr>
    </w:p>
    <w:p w:rsidR="004765DE" w:rsidRPr="0006264D" w:rsidRDefault="004765DE" w:rsidP="002F4011">
      <w:pPr>
        <w:snapToGrid w:val="0"/>
        <w:jc w:val="both"/>
        <w:rPr>
          <w:rFonts w:ascii="Times New Roman" w:hAnsi="Times New Roman" w:hint="eastAsia"/>
          <w:b/>
          <w:bCs/>
          <w:color w:val="000000"/>
          <w:sz w:val="20"/>
          <w:szCs w:val="2"/>
          <w:u w:val="single"/>
          <w:lang w:eastAsia="zh-CN"/>
        </w:rPr>
      </w:pPr>
    </w:p>
    <w:p w:rsidR="00454040" w:rsidRPr="0006264D" w:rsidRDefault="00454040" w:rsidP="002F4011">
      <w:pPr>
        <w:snapToGrid w:val="0"/>
        <w:jc w:val="both"/>
        <w:rPr>
          <w:rFonts w:ascii="Times New Roman" w:hAnsi="Times New Roman"/>
          <w:b/>
          <w:bCs/>
          <w:color w:val="000000"/>
          <w:sz w:val="20"/>
          <w:szCs w:val="20"/>
        </w:rPr>
      </w:pPr>
      <w:r w:rsidRPr="0006264D">
        <w:rPr>
          <w:rFonts w:ascii="Times New Roman" w:hAnsi="Times New Roman"/>
          <w:b/>
          <w:bCs/>
          <w:color w:val="000000"/>
          <w:sz w:val="20"/>
          <w:szCs w:val="20"/>
        </w:rPr>
        <w:t>Complications:</w:t>
      </w:r>
    </w:p>
    <w:p w:rsidR="00E45D9C" w:rsidRDefault="00E45D9C" w:rsidP="002F4011">
      <w:pPr>
        <w:snapToGrid w:val="0"/>
        <w:jc w:val="center"/>
        <w:rPr>
          <w:rFonts w:ascii="Times New Roman" w:hAnsi="Times New Roman" w:hint="eastAsia"/>
          <w:b/>
          <w:bCs/>
          <w:color w:val="000000"/>
          <w:sz w:val="20"/>
          <w:szCs w:val="18"/>
          <w:lang w:eastAsia="zh-CN"/>
        </w:rPr>
      </w:pPr>
    </w:p>
    <w:p w:rsidR="004765DE" w:rsidRPr="0006264D" w:rsidRDefault="004765DE" w:rsidP="002F4011">
      <w:pPr>
        <w:snapToGrid w:val="0"/>
        <w:jc w:val="center"/>
        <w:rPr>
          <w:rFonts w:ascii="Times New Roman" w:hAnsi="Times New Roman"/>
          <w:b/>
          <w:bCs/>
          <w:color w:val="000000"/>
          <w:sz w:val="20"/>
          <w:szCs w:val="18"/>
          <w:lang w:eastAsia="zh-CN"/>
        </w:rPr>
      </w:pPr>
    </w:p>
    <w:p w:rsidR="00454040" w:rsidRPr="0006264D" w:rsidRDefault="00454040" w:rsidP="002F4011">
      <w:pPr>
        <w:snapToGrid w:val="0"/>
        <w:jc w:val="center"/>
        <w:rPr>
          <w:rFonts w:ascii="Times New Roman" w:hAnsi="Times New Roman"/>
          <w:b/>
          <w:bCs/>
          <w:color w:val="000000"/>
          <w:sz w:val="20"/>
          <w:szCs w:val="18"/>
        </w:rPr>
      </w:pPr>
      <w:r w:rsidRPr="0006264D">
        <w:rPr>
          <w:rFonts w:ascii="Times New Roman" w:hAnsi="Times New Roman"/>
          <w:b/>
          <w:bCs/>
          <w:color w:val="000000"/>
          <w:sz w:val="20"/>
          <w:szCs w:val="18"/>
        </w:rPr>
        <w:t xml:space="preserve">Table. </w:t>
      </w:r>
      <w:r w:rsidR="005A3752" w:rsidRPr="0006264D">
        <w:rPr>
          <w:rFonts w:ascii="Times New Roman" w:hAnsi="Times New Roman"/>
          <w:b/>
          <w:bCs/>
          <w:color w:val="000000"/>
          <w:sz w:val="20"/>
          <w:szCs w:val="18"/>
        </w:rPr>
        <w:t>8</w:t>
      </w:r>
      <w:r w:rsidRPr="0006264D">
        <w:rPr>
          <w:rFonts w:ascii="Times New Roman" w:hAnsi="Times New Roman"/>
          <w:b/>
          <w:bCs/>
          <w:color w:val="000000"/>
          <w:sz w:val="20"/>
          <w:szCs w:val="18"/>
        </w:rPr>
        <w:t>: Complications.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600"/>
        <w:gridCol w:w="444"/>
        <w:gridCol w:w="450"/>
      </w:tblGrid>
      <w:tr w:rsidR="00454040" w:rsidRPr="0006264D" w:rsidTr="00E45D9C">
        <w:trPr>
          <w:jc w:val="center"/>
        </w:trPr>
        <w:tc>
          <w:tcPr>
            <w:tcW w:w="4004" w:type="pct"/>
            <w:shd w:val="clear" w:color="auto" w:fill="auto"/>
            <w:vAlign w:val="center"/>
          </w:tcPr>
          <w:p w:rsidR="00454040" w:rsidRPr="0006264D" w:rsidRDefault="00454040" w:rsidP="002F4011">
            <w:pPr>
              <w:pStyle w:val="ListParagraph"/>
              <w:snapToGrid w:val="0"/>
              <w:ind w:left="0"/>
              <w:jc w:val="both"/>
              <w:rPr>
                <w:rFonts w:ascii="Times New Roman" w:hAnsi="Times New Roman"/>
                <w:b/>
                <w:bCs/>
                <w:color w:val="000000"/>
                <w:sz w:val="20"/>
                <w:szCs w:val="18"/>
              </w:rPr>
            </w:pPr>
            <w:r w:rsidRPr="0006264D">
              <w:rPr>
                <w:rFonts w:ascii="Times New Roman" w:hAnsi="Times New Roman"/>
                <w:b/>
                <w:bCs/>
                <w:color w:val="000000"/>
                <w:sz w:val="20"/>
                <w:szCs w:val="18"/>
              </w:rPr>
              <w:t>Complications</w:t>
            </w:r>
          </w:p>
        </w:tc>
        <w:tc>
          <w:tcPr>
            <w:tcW w:w="49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No</w:t>
            </w:r>
          </w:p>
        </w:tc>
        <w:tc>
          <w:tcPr>
            <w:tcW w:w="50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t>
            </w:r>
          </w:p>
        </w:tc>
      </w:tr>
      <w:tr w:rsidR="00454040" w:rsidRPr="0006264D" w:rsidTr="00E45D9C">
        <w:trPr>
          <w:jc w:val="center"/>
        </w:trPr>
        <w:tc>
          <w:tcPr>
            <w:tcW w:w="400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Failure of fusion and Redo surgery</w:t>
            </w:r>
          </w:p>
        </w:tc>
        <w:tc>
          <w:tcPr>
            <w:tcW w:w="49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w:t>
            </w:r>
          </w:p>
        </w:tc>
        <w:tc>
          <w:tcPr>
            <w:tcW w:w="50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5.7</w:t>
            </w:r>
          </w:p>
        </w:tc>
      </w:tr>
      <w:tr w:rsidR="00454040" w:rsidRPr="0006264D" w:rsidTr="00E45D9C">
        <w:trPr>
          <w:jc w:val="center"/>
        </w:trPr>
        <w:tc>
          <w:tcPr>
            <w:tcW w:w="400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Wound infection</w:t>
            </w:r>
          </w:p>
        </w:tc>
        <w:tc>
          <w:tcPr>
            <w:tcW w:w="49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50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r w:rsidR="00454040" w:rsidRPr="0006264D" w:rsidTr="00E45D9C">
        <w:trPr>
          <w:jc w:val="center"/>
        </w:trPr>
        <w:tc>
          <w:tcPr>
            <w:tcW w:w="400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Hypoglossal Nerve dysfunction</w:t>
            </w:r>
          </w:p>
        </w:tc>
        <w:tc>
          <w:tcPr>
            <w:tcW w:w="494"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1</w:t>
            </w:r>
          </w:p>
        </w:tc>
        <w:tc>
          <w:tcPr>
            <w:tcW w:w="501" w:type="pct"/>
            <w:shd w:val="clear" w:color="auto" w:fill="auto"/>
            <w:vAlign w:val="center"/>
          </w:tcPr>
          <w:p w:rsidR="00454040" w:rsidRPr="0006264D" w:rsidRDefault="00454040" w:rsidP="002F4011">
            <w:pPr>
              <w:snapToGrid w:val="0"/>
              <w:jc w:val="both"/>
              <w:rPr>
                <w:rFonts w:ascii="Times New Roman" w:hAnsi="Times New Roman"/>
                <w:color w:val="000000"/>
                <w:sz w:val="20"/>
                <w:szCs w:val="18"/>
              </w:rPr>
            </w:pPr>
            <w:r w:rsidRPr="0006264D">
              <w:rPr>
                <w:rFonts w:ascii="Times New Roman" w:hAnsi="Times New Roman"/>
                <w:color w:val="000000"/>
                <w:sz w:val="20"/>
                <w:szCs w:val="18"/>
              </w:rPr>
              <w:t>2.9</w:t>
            </w:r>
          </w:p>
        </w:tc>
      </w:tr>
    </w:tbl>
    <w:p w:rsidR="004765DE" w:rsidRDefault="004765DE" w:rsidP="002F4011">
      <w:pPr>
        <w:snapToGrid w:val="0"/>
        <w:jc w:val="center"/>
        <w:rPr>
          <w:rFonts w:ascii="Times New Roman" w:hAnsi="Times New Roman" w:hint="eastAsia"/>
          <w:noProof/>
          <w:sz w:val="20"/>
          <w:szCs w:val="20"/>
          <w:lang w:eastAsia="zh-CN"/>
        </w:rPr>
      </w:pPr>
    </w:p>
    <w:p w:rsidR="00454040" w:rsidRPr="0006264D" w:rsidRDefault="004765DE" w:rsidP="002F4011">
      <w:pPr>
        <w:snapToGrid w:val="0"/>
        <w:jc w:val="center"/>
        <w:rPr>
          <w:rFonts w:ascii="Times New Roman" w:hAnsi="Times New Roman"/>
          <w:sz w:val="20"/>
          <w:szCs w:val="20"/>
        </w:rPr>
      </w:pPr>
      <w:r w:rsidRPr="0006264D">
        <w:rPr>
          <w:rFonts w:ascii="Times New Roman" w:hAnsi="Times New Roman"/>
          <w:noProof/>
          <w:sz w:val="20"/>
          <w:szCs w:val="20"/>
        </w:rPr>
        <w:object w:dxaOrig="7574" w:dyaOrig="4022">
          <v:shape id="_x0000_i1048" type="#_x0000_t75" alt="" style="width:224.15pt;height:148.4pt;mso-width-percent:0;mso-height-percent:0;mso-width-percent:0;mso-height-percent:0" o:ole="">
            <v:imagedata r:id="rId45" o:title=""/>
          </v:shape>
          <o:OLEObject Type="Embed" ProgID="Excel.Sheet.12" ShapeID="_x0000_i1048" DrawAspect="Content" ObjectID="_1639858970" r:id="rId46"/>
        </w:object>
      </w:r>
    </w:p>
    <w:p w:rsidR="002F4011" w:rsidRDefault="002F4011" w:rsidP="002F4011">
      <w:pPr>
        <w:snapToGrid w:val="0"/>
        <w:ind w:firstLine="425"/>
        <w:jc w:val="both"/>
        <w:rPr>
          <w:rFonts w:ascii="Times New Roman" w:hAnsi="Times New Roman"/>
          <w:color w:val="000000"/>
          <w:sz w:val="20"/>
          <w:szCs w:val="20"/>
          <w:lang w:eastAsia="zh-CN"/>
        </w:rPr>
      </w:pPr>
    </w:p>
    <w:p w:rsidR="00454040" w:rsidRPr="0006264D" w:rsidRDefault="00454040" w:rsidP="002F4011">
      <w:pPr>
        <w:snapToGrid w:val="0"/>
        <w:ind w:firstLine="425"/>
        <w:jc w:val="both"/>
        <w:rPr>
          <w:rFonts w:ascii="Times New Roman" w:hAnsi="Times New Roman"/>
          <w:color w:val="000000"/>
          <w:sz w:val="20"/>
          <w:szCs w:val="20"/>
        </w:rPr>
      </w:pPr>
      <w:r w:rsidRPr="0006264D">
        <w:rPr>
          <w:rFonts w:ascii="Times New Roman" w:hAnsi="Times New Roman"/>
          <w:color w:val="000000"/>
          <w:sz w:val="20"/>
          <w:szCs w:val="20"/>
        </w:rPr>
        <w:t>Failure of fusion and Redo surgery: 2 cases with failed fusion 5.7%, the 1</w:t>
      </w:r>
      <w:r w:rsidRPr="0006264D">
        <w:rPr>
          <w:rFonts w:ascii="Times New Roman" w:hAnsi="Times New Roman"/>
          <w:color w:val="000000"/>
          <w:sz w:val="20"/>
          <w:szCs w:val="20"/>
          <w:vertAlign w:val="superscript"/>
        </w:rPr>
        <w:t>st</w:t>
      </w:r>
      <w:r w:rsidRPr="0006264D">
        <w:rPr>
          <w:rFonts w:ascii="Times New Roman" w:hAnsi="Times New Roman"/>
          <w:color w:val="000000"/>
          <w:sz w:val="20"/>
          <w:szCs w:val="20"/>
        </w:rPr>
        <w:t xml:space="preserve"> one we Redo surgery in the form of OC- Cervical (pedicle screws) fusion and augmentation of fusion after 5 months of 1</w:t>
      </w:r>
      <w:r w:rsidRPr="0006264D">
        <w:rPr>
          <w:rFonts w:ascii="Times New Roman" w:hAnsi="Times New Roman"/>
          <w:color w:val="000000"/>
          <w:sz w:val="20"/>
          <w:szCs w:val="20"/>
          <w:vertAlign w:val="superscript"/>
        </w:rPr>
        <w:t>st</w:t>
      </w:r>
      <w:r w:rsidRPr="0006264D">
        <w:rPr>
          <w:rFonts w:ascii="Times New Roman" w:hAnsi="Times New Roman"/>
          <w:color w:val="000000"/>
          <w:sz w:val="20"/>
          <w:szCs w:val="20"/>
        </w:rPr>
        <w:t xml:space="preserve"> surgery as occipito cervical fusion for Jefferson fracture, the 2</w:t>
      </w:r>
      <w:r w:rsidRPr="0006264D">
        <w:rPr>
          <w:rFonts w:ascii="Times New Roman" w:hAnsi="Times New Roman"/>
          <w:color w:val="000000"/>
          <w:sz w:val="20"/>
          <w:szCs w:val="20"/>
          <w:vertAlign w:val="superscript"/>
        </w:rPr>
        <w:t>nd</w:t>
      </w:r>
      <w:r w:rsidRPr="0006264D">
        <w:rPr>
          <w:rFonts w:ascii="Times New Roman" w:hAnsi="Times New Roman"/>
          <w:color w:val="000000"/>
          <w:sz w:val="20"/>
          <w:szCs w:val="20"/>
        </w:rPr>
        <w:t xml:space="preserve"> Case Rheumatoid arthritis 4 month after surgery We Removed the system and kept in Hard collar</w:t>
      </w:r>
      <w:r w:rsidR="002F4011" w:rsidRPr="0006264D">
        <w:rPr>
          <w:rFonts w:ascii="Times New Roman" w:hAnsi="Times New Roman"/>
          <w:color w:val="000000"/>
          <w:sz w:val="20"/>
          <w:szCs w:val="20"/>
        </w:rPr>
        <w:t>.</w:t>
      </w:r>
      <w:r w:rsidR="002F4011">
        <w:rPr>
          <w:rFonts w:ascii="Times New Roman" w:hAnsi="Times New Roman"/>
          <w:color w:val="000000"/>
          <w:sz w:val="20"/>
          <w:szCs w:val="20"/>
        </w:rPr>
        <w:t xml:space="preserve"> </w:t>
      </w:r>
      <w:r w:rsidR="002F4011" w:rsidRPr="0006264D">
        <w:rPr>
          <w:rFonts w:ascii="Times New Roman" w:hAnsi="Times New Roman"/>
          <w:color w:val="000000"/>
          <w:sz w:val="20"/>
          <w:szCs w:val="20"/>
        </w:rPr>
        <w:t>W</w:t>
      </w:r>
      <w:r w:rsidRPr="0006264D">
        <w:rPr>
          <w:rFonts w:ascii="Times New Roman" w:hAnsi="Times New Roman"/>
          <w:color w:val="000000"/>
          <w:sz w:val="20"/>
          <w:szCs w:val="20"/>
        </w:rPr>
        <w:t>ound infection: in one case 2.9%, the case was Rheumatoid with multi organ affection, osteoporosis and on high dose steroid therapy, infection of the wound, we Removed the system and kept in Hard collar</w:t>
      </w:r>
      <w:r w:rsidR="002F4011" w:rsidRPr="0006264D">
        <w:rPr>
          <w:rFonts w:ascii="Times New Roman" w:hAnsi="Times New Roman"/>
          <w:color w:val="000000"/>
          <w:sz w:val="20"/>
          <w:szCs w:val="20"/>
        </w:rPr>
        <w:t>.</w:t>
      </w:r>
      <w:r w:rsidR="002F4011">
        <w:rPr>
          <w:rFonts w:ascii="Times New Roman" w:hAnsi="Times New Roman"/>
          <w:color w:val="000000"/>
          <w:sz w:val="20"/>
          <w:szCs w:val="20"/>
        </w:rPr>
        <w:t xml:space="preserve"> </w:t>
      </w:r>
      <w:r w:rsidR="002F4011" w:rsidRPr="0006264D">
        <w:rPr>
          <w:rFonts w:ascii="Times New Roman" w:hAnsi="Times New Roman"/>
          <w:color w:val="000000"/>
          <w:sz w:val="20"/>
          <w:szCs w:val="20"/>
        </w:rPr>
        <w:t>H</w:t>
      </w:r>
      <w:r w:rsidRPr="0006264D">
        <w:rPr>
          <w:rFonts w:ascii="Times New Roman" w:hAnsi="Times New Roman"/>
          <w:color w:val="000000"/>
          <w:sz w:val="20"/>
          <w:szCs w:val="20"/>
        </w:rPr>
        <w:t>ypoglossal Nerve dysfunction in one tumor Case 2.9%, in the form of tongue deviation, protrusion, swallowing difficulties and dysarthria, partially improved with conservative measures and speech therapy.</w:t>
      </w:r>
    </w:p>
    <w:p w:rsidR="00454040" w:rsidRDefault="00454040" w:rsidP="002F4011">
      <w:pPr>
        <w:widowControl w:val="0"/>
        <w:autoSpaceDE w:val="0"/>
        <w:autoSpaceDN w:val="0"/>
        <w:adjustRightInd w:val="0"/>
        <w:snapToGrid w:val="0"/>
        <w:ind w:firstLine="425"/>
        <w:jc w:val="both"/>
        <w:rPr>
          <w:rFonts w:ascii="Times New Roman" w:hAnsi="Times New Roman" w:hint="eastAsia"/>
          <w:color w:val="000000"/>
          <w:sz w:val="20"/>
          <w:szCs w:val="20"/>
          <w:lang w:eastAsia="zh-CN"/>
        </w:rPr>
      </w:pPr>
    </w:p>
    <w:p w:rsidR="004765DE" w:rsidRPr="0006264D" w:rsidRDefault="004765DE" w:rsidP="002F4011">
      <w:pPr>
        <w:widowControl w:val="0"/>
        <w:autoSpaceDE w:val="0"/>
        <w:autoSpaceDN w:val="0"/>
        <w:adjustRightInd w:val="0"/>
        <w:snapToGrid w:val="0"/>
        <w:ind w:firstLine="425"/>
        <w:jc w:val="both"/>
        <w:rPr>
          <w:rFonts w:ascii="Times New Roman" w:hAnsi="Times New Roman" w:hint="eastAsia"/>
          <w:color w:val="000000"/>
          <w:sz w:val="20"/>
          <w:szCs w:val="20"/>
          <w:lang w:eastAsia="zh-CN"/>
        </w:rPr>
      </w:pPr>
    </w:p>
    <w:p w:rsidR="00454040" w:rsidRPr="0006264D" w:rsidRDefault="002E1070" w:rsidP="002F4011">
      <w:pPr>
        <w:widowControl w:val="0"/>
        <w:autoSpaceDE w:val="0"/>
        <w:autoSpaceDN w:val="0"/>
        <w:adjustRightInd w:val="0"/>
        <w:snapToGrid w:val="0"/>
        <w:jc w:val="both"/>
        <w:rPr>
          <w:rFonts w:ascii="Times New Roman" w:hAnsi="Times New Roman"/>
          <w:b/>
          <w:bCs/>
          <w:sz w:val="20"/>
          <w:szCs w:val="20"/>
        </w:rPr>
      </w:pPr>
      <w:r w:rsidRPr="0006264D">
        <w:rPr>
          <w:rFonts w:ascii="Times New Roman" w:hAnsi="Times New Roman"/>
          <w:b/>
          <w:bCs/>
          <w:sz w:val="20"/>
          <w:szCs w:val="20"/>
        </w:rPr>
        <w:t xml:space="preserve">4. </w:t>
      </w:r>
      <w:r w:rsidR="00454040" w:rsidRPr="0006264D">
        <w:rPr>
          <w:rFonts w:ascii="Times New Roman" w:hAnsi="Times New Roman"/>
          <w:b/>
          <w:bCs/>
          <w:sz w:val="20"/>
          <w:szCs w:val="20"/>
        </w:rPr>
        <w:t>Discussion</w:t>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 xml:space="preserve">The craniocervical junction region is affected by various pathological processes, that varies widely and involves congenital, developmental, acquired abnormalities and etc., which can result in </w:t>
      </w:r>
      <w:r w:rsidRPr="0006264D">
        <w:rPr>
          <w:rFonts w:ascii="Times New Roman" w:hAnsi="Times New Roman"/>
          <w:sz w:val="20"/>
          <w:szCs w:val="20"/>
        </w:rPr>
        <w:lastRenderedPageBreak/>
        <w:t>neurological deficit secondary to neurovascular compression, abnormal cerebrospinal fluid dynamics and vertebral instability. A physiological approach selection depends on understanding of the craniocervical junction dynamics, the site of encroachment and stability.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{"citationItems":[{"id":"ITEM-1","itemData":{"DOI":"10.1007/s00381-008-0604-x","ISBN":"0256-7040\\r1433-0350","ISSN":"02567040","author":[{"dropping-particle":"","family":"Menezes","given":"Arnold H.","non-dropping-particle":"","parse-names":false,"suffix":""}],"container-title":"Child's Nervous System","id":"ITEM-1","issue":"10","issued":{"date-parts":[["2008"]]},"page":"1147-1153","title":"Decision making","type":"article-journal","volume":"24"},"uris":["http://www.mendeley.com/documents/?uuid=43dc5578-354f-342b-8a07-aeda9f951386"]}],"mendeley":{"formattedCitation":"[7]","plainTextFormattedCitation":"[7]","previouslyFormattedCitation":"[1]"},"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[7]</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In our presented study, we have included a variety of 35 cases of craniocervical junction lesions with different pathologies and different approaches to treat those lesions, the age varies widely of the candidates: Min- max: 2 – 93 y with Mean ± SD = 51.23 ± 20.24 and male: female ratio in our thesis is (28.6%: 71.4%).</w:t>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We had in our series eleven cases with Chiari malformations with a verity of symptoms including headache, neck pain, dizziness, weakness with imaging showing Chiari malformation in the form of cerebellar tonsillar descent below foramen magnum with four cases showing syrinx, all cases underwent suboccipital decompression and C1 laminectomy and tonsillar shrinkage by minimal bipolar cauterization without resection of the tonsils, we always aim to keep the pia around the tonsils intact to avoid chemical meningitis from blood and adhesions, and close the defect with double layer of Gortex and pericranial graft from a separate incision, all cases showed marked improvement postoperatively. This technique we used was matching the same as Batzdorf et al 2013, as they reported 177 case with Chiari malformation including 97 cases with syringomyelia underwent posterior fossa decompressive surgery, both the dura and arachnoid were opened in 150 patients and 135 underwent reduction of cerebellar tonsils with the same technique we use for decompression and duroplasty with double layer Gortex and pericranial flap and they recorded the symptoms and signs and they measured the size of retrotonsillar and subtonsillar cisterns and syringomyelia cavities as well using scales on MRI image viewer and found that Clinical improvement is strongly related to enlargement of subarachnoid cisterns and enlargement of cisterns also correlated to reduction of syrinx cavity.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{"citationItems":[{"id":"ITEM-1","itemData":{"DOI":"10.3171/2012.10.JNS12305","ISBN":"0022-3085","ISSN":"0022-3085","PMID":"23176335","abstract":"Object This study aims to show the relationship between clinical outcome in patients who underwent surgical decompression for Chiari malformation (CM) and postoperative imaging studies, with particular emphasis on the subarachnoid cisterns of the posterior fossa. Methods One hundred seventy-seven patients with CM, including 97 with syringomyelia, underwent posterior fossa decompressive surgery. Both the dura and arachnoid were opened in 150 of these patients, and 135 underwent reduction of the cerebellar tonsils. The patients' clinical signs and symptoms were evaluated at 2 time points after surgery. Their imaging studies were analyzed specifically for the size of the retrotonsillar and subtonsillar cisterns and the syringomyelic cavities. The authors evaluated the relationship between these imaging findings and clinical parameters. Results Clinical improvement correlated strongly with enlargement of the subarachnoid cisterns, and enlargement of the cisterns also correlated with reduction in size of the s...","author":[{"dropping-particle":"","family":"Batzdorf","given":"Ulrich","non-dropping-particle":"","parse-names":false,"suffix":""},{"dropping-particle":"","family":"McArthur","given":"David L.","non-dropping-particle":"","parse-names":false,"suffix":""},{"dropping-particle":"","family":"Bentson","given":"John R.","non-dropping-particle":"","parse-names":false,"suffix":""}],"container-title":"Journal of Neurosurgery","id":"ITEM-1","issue":"2","issued":{"date-parts":[["2013"]]},"page":"232-242","title":"Surgical treatment of Chiari malformation with and without syringomyelia: experience with 177 adult patients","type":"article-journal","volume":"118"},"uris":["http://www.mendeley.com/documents/?uuid=9ced6c5d-87d5-4801-b8e8-788df753cfda"]}],"mendeley":{"formattedCitation":"[8]","plainTextFormattedCitation":"[8]","previouslyFormattedCitation":"[2]"},"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[8]</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Different other techniques were described for management of chiari malformation as</w:t>
      </w:r>
      <w:r w:rsidR="00E45D9C" w:rsidRPr="0006264D">
        <w:rPr>
          <w:rFonts w:ascii="Times New Roman" w:hAnsi="Times New Roman"/>
          <w:sz w:val="20"/>
          <w:szCs w:val="20"/>
        </w:rPr>
        <w:t xml:space="preserve"> </w:t>
      </w:r>
      <w:r w:rsidRPr="0006264D">
        <w:rPr>
          <w:rFonts w:ascii="Times New Roman" w:hAnsi="Times New Roman"/>
          <w:sz w:val="20"/>
          <w:szCs w:val="20"/>
        </w:rPr>
        <w:t>Goldschagg et al 2017,</w:t>
      </w:r>
      <w:r w:rsidR="00E45D9C" w:rsidRPr="0006264D">
        <w:rPr>
          <w:rFonts w:ascii="Times New Roman" w:hAnsi="Times New Roman"/>
          <w:sz w:val="20"/>
          <w:szCs w:val="20"/>
        </w:rPr>
        <w:t xml:space="preserve"> </w:t>
      </w:r>
      <w:r w:rsidRPr="0006264D">
        <w:rPr>
          <w:rFonts w:ascii="Times New Roman" w:hAnsi="Times New Roman"/>
          <w:sz w:val="20"/>
          <w:szCs w:val="20"/>
        </w:rPr>
        <w:t>who reported 14</w:t>
      </w:r>
      <w:r w:rsidR="00E45D9C" w:rsidRPr="0006264D">
        <w:rPr>
          <w:rFonts w:ascii="Times New Roman" w:hAnsi="Times New Roman"/>
          <w:sz w:val="20"/>
          <w:szCs w:val="20"/>
        </w:rPr>
        <w:t xml:space="preserve"> </w:t>
      </w:r>
      <w:r w:rsidRPr="0006264D">
        <w:rPr>
          <w:rFonts w:ascii="Times New Roman" w:hAnsi="Times New Roman"/>
          <w:sz w:val="20"/>
          <w:szCs w:val="20"/>
        </w:rPr>
        <w:t xml:space="preserve">Chiari cases with varying symptoms: headache, ataxia, hypo-/dysthesia and paresis all cases underwent suboccipital decompression and removal of one tonsil, they stated that marked improvement regarding preoperative complaints was obtained however he stated that 50% of patients had mild ocular motor dysfunction than preoperative recordings which shown to be asymptomatic.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10.3389/fneur.2017.00292","ISSN":"1664-2295","author":[{"dropping-particle":"","family":"Goldschagg","given":"Nicolina","non-dropping-particle":"","parse-names":false,"suffix":""},{"dropping-particle":"","family":"Feil","given":"Katharina","non-dropping-particle":"","parse-names":false,"suffix":""},{"dropping-particle":"","family":"Ihl","given":"Franziska","non-dropping-particle":"","parse-names":false,"suffix":""},{"dropping-particle":"","family":"Krafczyk","given":"Siegbert","non-dropping-particle":"","parse-names":false,"suffix":""},{"dropping-particle":"","family":"Kunz","given":"Mathias","non-dropping-particle":"","parse-names":false,"suffix":""},{"dropping-particle":"","family":"Tonn","given":"Jörg Christian","non-dropping-particle":"","parse-names":false,"suffix":""},{"dropping-particle":"","family":"Strupp","given":"Michael","non-dropping-particle":"","parse-names":false,"suffix":""},{"dropping-particle":"","family":"Peraud","given":"Aurelia","non-dropping-particle":"","parse-names":false,"suffix":""}],"container-title":"Frontiers in Neurology","id":"ITEM-1","issued":{"date-parts":[["2017"]]},"title":"Decompression in Chiari Malformation: Clinical, Ocular Motor, Cerebellar, and Vestibular Outcome","type":"article-journal","volume":"8"},"uris":["http://www.mendeley.com/documents/?uuid=5150e117-ef11-3cd9-86ef-ba2a9291ab0b"]}],"mendeley":{"formattedCitation":"[9]","plainTextFormattedCitation":"[9]","previouslyFormattedCitation":"[3]"},"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[9]</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Also Chotai et al 2014, reported 30 case with Chiari malformations with male: female ratio 1:14 (in our series 1:10) with mean age 35.5 </w:t>
      </w:r>
      <w:r w:rsidRPr="0006264D">
        <w:rPr>
          <w:rFonts w:ascii="Times New Roman" w:hAnsi="Times New Roman"/>
          <w:sz w:val="20"/>
          <w:szCs w:val="20"/>
        </w:rPr>
        <w:lastRenderedPageBreak/>
        <w:t>years (in our series of eleven cases 32.9 years) with varying symptoms and he used wide suboccipital decompression and intentionally sparing Arachnoid opening, and the reason they explained that to prevent exposure of subarachnoid space and CSF leak so prevention of arachnoid scarring and adhesions and aseptic meningitis, they also used wider bony decompressio</w:t>
      </w:r>
      <w:r w:rsidR="00E45D9C" w:rsidRPr="0006264D">
        <w:rPr>
          <w:rFonts w:ascii="Times New Roman" w:hAnsi="Times New Roman"/>
          <w:sz w:val="20"/>
          <w:szCs w:val="20"/>
        </w:rPr>
        <w:t>n (</w:t>
      </w:r>
      <w:r w:rsidRPr="0006264D">
        <w:rPr>
          <w:rFonts w:ascii="Times New Roman" w:hAnsi="Times New Roman"/>
          <w:sz w:val="20"/>
          <w:szCs w:val="20"/>
        </w:rPr>
        <w:t>3.5-4.5 cm).</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{"citationItems":[{"id":"ITEM-1","itemData":{"DOI":"10.1016/j.clineuro.2014.02.016","ISBN":"1872-6968 (Electronic)\\r0303-8467 (Linking)","ISSN":"18726968","PMID":"24656777","abstract":"Posterior fossa decompression with or without duraplasty is the most common surgical technique employed to treat Chiari-1 malformation (CM). There is considerable debate as to whether large versus small craniectomy leads to better outcomes. The aim of this study was to report our technique and outcomes using a wide suboccipital craniectomy with arachnoid sparing duraplasty. A retrospective review of medical records for symptomatic CM patients with and without syringomyelia was conducted. Follow-up results were obtained via telephone interviews and medical records. Favorable outcome was defined as improvement in self-rated overall status and/or improvement in Glasgow outcome scale (GOS) score. Poor outcome was defined as worsening of either self-rated overall status or GOS score postoperatively. Mean age of 28 female and 2 male patients was 36.6 years (range 20-67). Seven (23%) patients had syringomyelia, one (3%) had hydrocephalus, and two (7%) had prior surgery. Mean follow-up was 27.5 months (range 5-72). Favorable, acceptable, and poor outcomes were achieved in 90%, 3%, and 7% respectively. 87% of respondents indicated they would choose surgery if they had to make a decision again. The most common complication was pseudomeningocele (23%) followed by CSF leak (10%) and meningitis (7%). One transient (3%) neurologic complication occurred. Surgical technique of wide bony decompression of posterior fossa with arachnoid sparing pericranial duraplasty demonstrates favorable outcomes with an acceptable complication rate for patients with symptomatic CM. Prior CM decompression and non-autologous dural graft were associated with poor outcome. Further study is needed to determine the optimal extent of bony decompression. © 2014 Elsevier B.V.","author":[{"dropping-particle":"","family":"Chotai","given":"Silky","non-dropping-particle":"","parse-names":false,"suffix":""},{"dropping-particle":"","family":"Kshettry","given":"Varun R.","non-dropping-particle":"","parse-names":false,"suffix":""},{"dropping-particle":"","family":"Lamki","given":"Tariq","non-dropping-particle":"","parse-names":false,"suffix":""},{"dropping-particle":"","family":"Ammirati","given":"Mario","non-dropping-particle":"","parse-names":false,"suffix":""}],"container-title":"Clinical Neurology and Neurosurgery","id":"ITEM-1","issued":{"date-parts":[["2014"]]},"page":"129-135","publisher":"Elsevier B.V.","title":"Surgical outcomes using wide suboccipital decompression for adult Chiari i malformation with and without syringomyelia","type":"article-journal","volume":"120"},"uris":["http://www.mendeley.com/documents/?uuid=60cc1eb9-105f-4424-8f53-fbff54ea332b","http://www.mendeley.com/documents/?uuid=c6d4fd40-0332-431b-9c68-84d0e4d26952"]}],"mendeley":{"formattedCitation":"[10]","plainTextFormattedCitation":"[10]","previouslyFormattedCitation":"[4]"},"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[10]</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 xml:space="preserve">There is lot of controversy regarding Chiari malformation surgeries and what is the best way to manage, and that each surgical modification </w:t>
      </w:r>
      <w:r w:rsidRPr="0006264D">
        <w:rPr>
          <w:rFonts w:ascii="Times New Roman" w:hAnsi="Times New Roman"/>
          <w:sz w:val="20"/>
          <w:szCs w:val="20"/>
          <w:shd w:val="clear" w:color="auto" w:fill="FFFFFF"/>
        </w:rPr>
        <w:t xml:space="preserve">increases the potential for improved surgical outcomes also subjects patients to certain additional surgical risks as reported by </w:t>
      </w:r>
      <w:r w:rsidRPr="0006264D">
        <w:rPr>
          <w:rFonts w:ascii="Times New Roman" w:hAnsi="Times New Roman"/>
          <w:sz w:val="20"/>
          <w:szCs w:val="20"/>
        </w:rPr>
        <w:t>Baisden et al</w:t>
      </w:r>
      <w:r w:rsidRPr="0006264D">
        <w:rPr>
          <w:rFonts w:ascii="Times New Roman" w:hAnsi="Times New Roman"/>
          <w:sz w:val="20"/>
          <w:szCs w:val="20"/>
          <w:shd w:val="clear" w:color="auto" w:fill="FFFFFF"/>
        </w:rPr>
        <w:t>, for example they mentioned that, Sindou and Gimbert's meta-analysis of 12 studies involving adult patients with Chiari malformation without syringomyelia, they noted that 84% clinical improvement rate in patients underwent foramen magnum decompression accompanied by dural opening and/or duroplasty, but with preservation of the arachnoid (No superiority with arachnoid opening was identified) to enlarge the cisterna magna, and Clinical improvement was also noted for foramen magnum decompression, dural opening, arachnoid opening, and duroplasty; however, a higher complication rate was observed when the arachnoid was opened.</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{"citationItems":[{"id":"ITEM-1","itemData":{"DOI":"10.4103/2152-7806.98580","ISBN":"2152-7806 (Electronic)\\r2152-7806 (Linking)","ISSN":"2152-7806","PMID":"22905329","abstract":"BACKGROUND: The diagnosis and management of Chiari I malformations (CMI) remains controversial, particularly since it is often an incidental finding on cervical MR scans performed for neck pain and/or headaches. Recently, some surgeons \"over-operated\" on asymptomatic patients with Chiari I malformations, or even on those without the requisite radiographic diagnostic features for Chiari I malformations: unfortunately, only a subset were admonished for indiscriminate surgery. Nevertheless, when this hindbrain malformation is truly symptomatic, contributing to impaired cerebrospinal fluid (CSF) circulation, various valid surgical management strategies may be adopted.\\n\\nMETHODS: This review focuses on the current literature regarding the clinical presentation, diagnosis, and surgical management of Chiari I malformation. Variations in the surgical technique are also presented and critiqued.\\n\\nRESULTS: The recommended treatment for Chiari I malformations I consists of decompressive suboccipital craniectomy and duroplasty when abnormal cine-flow MRI is observed preoperatively and blockage of CSF flow persists intraoperatively despite bony decompression.\\n\\nCONCLUSIONS: Controversy continues regarding the optimal surgical technique to address Chiari malformations I. Proper diagnostic studies and patient selection are needed to optimize patient outcomes, while avoiding unnecessary surgical procedures.","author":[{"dropping-particle":"","family":"Baisden","given":"Jamie","non-dropping-particle":"","parse-names":false,"suffix":""}],"container-title":"Surgical Neurology International","id":"ITEM-1","issue":"4","issued":{"date-parts":[["2012"]]},"page":"232","title":"Controversies in Chiari I malformations","type":"article-journal","volume":"3"},"uris":["http://www.mendeley.com/documents/?uuid=e73d7257-f95c-3469-b517-cd0a69bb0d7f"]}],"mendeley":{"formattedCitation":"[11]","plainTextFormattedCitation":"[11]","previouslyFormattedCitation":"[5]"},"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[11]</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ab/>
        <w:t xml:space="preserve">Our bony decompression size was 2.5 to3cm and our concept regarding that wide decompression may lead to cerebellar sagging and ptosis and limit improvement and the arachnoid opening with meticulous hemostasis to prevent adhesions and aseptic meningitis, none of our cases showed aseptic meningitis or CSF leak. Also, Baisden et al concluded that regarding the size of decompressive craniotomies. The smaller craniectomy group had shown clearly long term efficacy than large craniectomy group and also the syrinx size decreased more in smaller craniectomy group than larger craniotomies.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{"citationItems":[{"id":"ITEM-1","itemData":{"DOI":"10.4103/2152-7806.98580","ISBN":"2152-7806 (Electronic)\\r2152-7806 (Linking)","ISSN":"2152-7806","PMID":"22905329","abstract":"BACKGROUND: The diagnosis and management of Chiari I malformations (CMI) remains controversial, particularly since it is often an incidental finding on cervical MR scans performed for neck pain and/or headaches. Recently, some surgeons \"over-operated\" on asymptomatic patients with Chiari I malformations, or even on those without the requisite radiographic diagnostic features for Chiari I malformations: unfortunately, only a subset were admonished for indiscriminate surgery. Nevertheless, when this hindbrain malformation is truly symptomatic, contributing to impaired cerebrospinal fluid (CSF) circulation, various valid surgical management strategies may be adopted.\\n\\nMETHODS: This review focuses on the current literature regarding the clinical presentation, diagnosis, and surgical management of Chiari I malformation. Variations in the surgical technique are also presented and critiqued.\\n\\nRESULTS: The recommended treatment for Chiari I malformations I consists of decompressive suboccipital craniectomy and duroplasty when abnormal cine-flow MRI is observed preoperatively and blockage of CSF flow persists intraoperatively despite bony decompression.\\n\\nCONCLUSIONS: Controversy continues regarding the optimal surgical technique to address Chiari malformations I. Proper diagnostic studies and patient selection are needed to optimize patient outcomes, while avoiding unnecessary surgical procedures.","author":[{"dropping-particle":"","family":"Baisden","given":"Jamie","non-dropping-particle":"","parse-names":false,"suffix":""}],"container-title":"Surgical Neurology International","id":"ITEM-1","issue":"4","issued":{"date-parts":[["2012"]]},"page":"232","title":"Controversies in Chiari I malformations","type":"article-journal","volume":"3"},"uris":["http://www.mendeley.com/documents/?uuid=e73d7257-f95c-3469-b517-cd0a69bb0d7f"]}],"mendeley":{"formattedCitation":"[11]","plainTextFormattedCitation":"[11]","previouslyFormattedCitation":"[5]"},"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[11]</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Regarding the craniectomy size, the bigger decompression may lead to cerebellar ptosis and decrease improvement with possible deterioration as reported by Holly and Batzdorf 2001, as they reported seven patients with cerebellar ptosis following craniocervical decompression, 5 cases with worsening intractable headache</w:t>
      </w:r>
      <w:r w:rsidR="00E45D9C" w:rsidRPr="0006264D">
        <w:rPr>
          <w:rFonts w:ascii="Times New Roman" w:hAnsi="Times New Roman"/>
          <w:sz w:val="20"/>
          <w:szCs w:val="20"/>
        </w:rPr>
        <w:t xml:space="preserve"> </w:t>
      </w:r>
      <w:r w:rsidRPr="0006264D">
        <w:rPr>
          <w:rFonts w:ascii="Times New Roman" w:hAnsi="Times New Roman"/>
          <w:sz w:val="20"/>
          <w:szCs w:val="20"/>
        </w:rPr>
        <w:t xml:space="preserve">and 2 cases with neurological deficits caused by recurrent syringomyelia and reported the cause of that is wide suboccipital decompression about 4 x 4 cm which is about double needed decompression and they managed these patients with various measures including VP shunt, syringo-peritoneal shunt, partial suboccipital cranioplasty with reported improvement.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{"citationItems":[{"id":"ITEM-1","itemData":{"DOI":"10.3171/jns.2001.94.1.0021","ISSN":"0022-3085","PMID":"11147893","abstract":"OBJECT: In this report the authors review their experience in the treatment of seven patients with symptomatic cerebellar ptosis following craniovertebral decompression (CVD) for Chiari I malformation. METHODS: The mean age of the patients was 37 years and the average amount of time between the initial suboccipital craniectomy and evaluation for cerebellar ptosis was 6.8 years. Five patients presented primarily with intractable headache and the remaining two patients with neurological deficits caused by recurrent syringomyelia. Three different surgical modalities were used to treat these patients: ventriculoperitoneal shunt placement (one patient), syringoperitoneal shunt placement (two patients), and partial suboccipital cranioplasty with or without intradural exploration (four patients). The mean follow-up period was 51 months. The three patients who underwent shunt placement procedures experienced poor results, with no evidence of symptom relief and continued neurological deterioration. In contrast, all four patients who underwent cranioplasty experienced good or excellent clinical outcomes. Postoperative magnetic resonance imaging studies revealed a reduction in the size of the syrinx cavity in patients who simultaneously underwent intradural exploration. CONCLUSIONS: The emergence of symptomatic cerebellar ptosis following CVD for Chiari I malformation is primarily caused when the suboccipital craniectomy is too large for the specific patient. The cerebellar ptosis usually presents with severe headache and/or neurological deficit due to persistent or recurrent syringomyelia. Partial suboccipital cranioplasty, with or without intradural exploration, is effective in treating this condition.","author":[{"dropping-particle":"","family":"Holly","given":"L T","non-dropping-particle":"","parse-names":false,"suffix":""},{"dropping-particle":"","family":"Batzdorf","given":"U","non-dropping-particle":"","parse-names":false,"suffix":""}],"container-title":"Journal of neurosurgery","id":"ITEM-1","issue":"1","issued":{"date-parts":[["2001"]]},"page":"21-26","title":"Management of cerebellar ptosis following craniovertebral decompression for Chiari I malformation.","type":"article-journal","volume":"94"},"uris":["http://www.mendeley.com/documents/?uuid=07bb4f43-9e26-46d3-98e3-f021c577d33a"]}],"mendeley":{"formattedCitation":"[12]","plainTextFormattedCitation":"[12]","previouslyFormattedCitation":"[6]"},"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[12]</w:t>
      </w:r>
      <w:r w:rsidR="00227A8B" w:rsidRPr="0006264D">
        <w:rPr>
          <w:rFonts w:ascii="Times New Roman" w:hAnsi="Times New Roman"/>
          <w:sz w:val="20"/>
          <w:szCs w:val="20"/>
          <w:vertAlign w:val="superscript"/>
        </w:rPr>
        <w:fldChar w:fldCharType="end"/>
      </w:r>
      <w:r w:rsidR="009F500F">
        <w:rPr>
          <w:rFonts w:ascii="Times New Roman" w:hAnsi="Times New Roman" w:hint="eastAsia"/>
          <w:sz w:val="20"/>
          <w:szCs w:val="20"/>
          <w:vertAlign w:val="superscript"/>
          <w:lang w:eastAsia="zh-CN"/>
        </w:rPr>
        <w:t xml:space="preserve"> </w:t>
      </w:r>
      <w:r w:rsidRPr="0006264D">
        <w:rPr>
          <w:rFonts w:ascii="Times New Roman" w:hAnsi="Times New Roman"/>
          <w:sz w:val="20"/>
          <w:szCs w:val="20"/>
        </w:rPr>
        <w:t xml:space="preserve">Also, Litvak et al 2013 also described in a retrospective cohort study that Dural splitting decompression was </w:t>
      </w:r>
      <w:r w:rsidRPr="0006264D">
        <w:rPr>
          <w:rFonts w:ascii="Times New Roman" w:hAnsi="Times New Roman"/>
          <w:sz w:val="20"/>
          <w:szCs w:val="20"/>
        </w:rPr>
        <w:lastRenderedPageBreak/>
        <w:t>equally effective, safer, and lower cost for treatment of Chiari I malformation without syringomyelia.</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{"citationItems":[{"id":"ITEM-1","itemData":{"DOI":"10.1227/NEU.0b013e31828ca1ed","ISBN":"0148-396x","ISSN":"0148396X","PMID":"23426152","abstract":"BACKGROUND Dural splitting decompression may be an effective and safe treatment for Chiari I malformation. OBJECTIVE To compare clinical outcomes, complications, and resource utilization for patients undergoing Chiari I decompression with or without duraplasty. METHODS Between 2000 and 2009, the senior author performed 113 Chiari I decompression operations with dural splitting or duraplasty in children less than 18 years of age; 110 were included in a retrospective cohort analysis of safety, efficacy, and treatment cost. Patients without significant syringomyelia underwent dural splitting decompression, and patients with syringomyelia underwent duraplasty. RESULTS : Sixty-three patients without significant syringomyelia (57%) underwent dural splitting decompression. They were significantly younger than patients undergoing duraplasty (8.3 ± 4.9 years vs 10.4 ± 4.4 years; P &lt; .05). Headaches improved or resolved in most patients in both groups (90.5% vs 93.6%; P = .59). Dysphagia, long tract signs, cranial nerve, and bulbar symptoms also improved similarly in both groups. Three duraplasty patients were treated medically for aseptic meningitis; one underwent reoperation for a symptomatic pseudomeningocele. No patient undergoing dural splitting decompression experienced a cerebrospinal fluid-related complication. Extradural decompression required less operative time than duraplasty (105.5 vs 168.9 minutes, P &lt; .001), a shorter length of stay (2.4 vs 2.8 days, P = .011), and lower total cost for the primary hospitalization ($26 837 vs $29 862, P = .015). CONCLUSION In this retrospective cohort study, dural splitting decompression was equally effective, safer, and lower cost for treatment of Chiari I malformation without syringomyelia. A multicenter trial with groups balanced for the presence of syringomyelia is necessary to determine whether these results are generalizable.","author":[{"dropping-particle":"","family":"Litvack","given":"Zachary N.","non-dropping-particle":"","parse-names":false,"suffix":""},{"dropping-particle":"","family":"Lindsay","given":"Rebecca A.","non-dropping-particle":"","parse-names":false,"suffix":""},{"dropping-particle":"","family":"Selden","given":"Nathan R.","non-dropping-particle":"","parse-names":false,"suffix":""}],"container-title":"Neurosurgery","id":"ITEM-1","issue":"6","issued":{"date-parts":[["2013","6"]]},"page":"922-928","title":"Dura splitting decompression for Chiari I malformation in pediatric patients: Clinical outcomes, healthcare costs, and resource utilization","type":"article-journal","volume":"72"},"uris":["http://www.mendeley.com/documents/?uuid=674b185f-15cb-4b93-869a-fe6dcbdaded0"]}],"mendeley":{"formattedCitation":"[13]","plainTextFormattedCitation":"[13]","previouslyFormattedCitation":"[7]"},"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[13]</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In our series we had two cases of rheumatoid Arthritis one of them was intact complaining of severe neck pain with atlantoaxial subluxation and instability, C1-C2 fusion was done, the second case presented with neck pain and quadriparesis grade II with imaging showed marked sublaxation at the atlanto axial and atlanto occipital joint with basilar invagination and cord compression improved after traction and occipito-cervical fusion to motor power grade IV. Wolfs et al, studied a clinical trial of rheumatoid craniocervical treatment which is an interventional- prognostic trial comparing early surgery and conservative treatment, and found that early surgery could prevent serious neurological deficits, and reported that surgical cervical fixation in patients with atlantoaxial pathology without neurological complaints early surgery in those patients has advantages of probable preservation of neurological function with higher degree of general functioning, and also the surgical fixation will be less extensive and easier to perform compared to surgery in later stage because of more pronounced destruction of joints and bones, and if neurological deficits are present before surgical fixation there is a little chance of full neurologic recovery.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{"citationItems":[{"id":"ITEM-1","itemData":{"DOI":"10.1186/1471-2474-7-14","ISBN":"1471-2474 (Electronic)\\r1471-2474 (Linking)","ISSN":"1471-2474","PMID":"16483360","abstract":"Rheumatoid arthritis is a chronic inflammatory disease, which affects 1% of the population. Hands and feet are most commonly involved followed by the cervical spine. The spinal column consists of vertebrae stabilized by an intricate network of ligaments. Especially in the upper cervical spine, rheumatoid arthritis can cause degeneration of these ligaments, causing laxity, instability and subluxation of the vertebral bodies. Subsequent compression of the spinal cord and medulla oblongata can cause severe neurological deficits and even sudden death. Once neurological deficits occur, progression is inevitable although the rapidity of progression is highly variable. The first signs and symptoms are pain at the back of the head caused by compression of the major occipital nerve, followed by loss of strength of arms and legs. The severity of the subluxation can be observed with radiological investigations (MRI, CT) with a high sensitivity. The authors have sent a Delphi Questionnaire about the current treatment strategies of craniocervical involvement by rheumatoid arthritis to an international forum of expert rheumatologists and surgeons. The timing of surgery in patients with radiographic instability without evidence of neurological deficit is an area of considerable controversy. If signs and symptoms of myelopathy are present there is little chance of recovery to normal levels after surgery.","author":[{"dropping-particle":"","family":"Wolfs","given":"Jasper F C","non-dropping-particle":"","parse-names":false,"suffix":""},{"dropping-particle":"","family":"Peul","given":"Wilco C","non-dropping-particle":"","parse-names":false,"suffix":""},{"dropping-particle":"","family":"Boers","given":"Maarten","non-dropping-particle":"","parse-names":false,"suffix":""},{"dropping-particle":"","family":"Tulder","given":"Maurits W","non-dropping-particle":"van","parse-names":false,"suffix":""},{"dropping-particle":"","family":"Brand","given":"Ronald","non-dropping-particle":"","parse-names":false,"suffix":""},{"dropping-particle":"","family":"Houwelingen","given":"Hans J C","non-dropping-particle":"van","parse-names":false,"suffix":""},{"dropping-particle":"","family":"Thomeer","given":"Raph T W M","non-dropping-particle":"","parse-names":false,"suffix":""}],"container-title":"BMC musculoskeletal disorders","id":"ITEM-1","issued":{"date-parts":[["2006"]]},"page":"14","title":"Rationale and design of The Delphi Trial--I(RCT)2: international randomized clinical trial of rheumatoid craniocervical treatment, an intervention-prognostic trial comparing 'early' surgery with conservative treatment [ISRCTN65076841].","type":"article-journal","volume":"7"},"uris":["http://www.mendeley.com/documents/?uuid=d2d954de-b3fa-4ff0-8b95-be90b1483484"]}],"mendeley":{"formattedCitation":"[14]","plainTextFormattedCitation":"[14]","previouslyFormattedCitation":"[8]"},"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[14]</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 xml:space="preserve">In our series, we had five neoplastic lesions at the craniocervical junction (two of them Meningiomas, one at CPA extending caudally to the craniocervical junction, one schwannoma bilaterally located at the foramen magnum and two cases with metastatic lesions at C2 level. In our series two cases managed by posterior approach only with no reported complications and one case by far lateral approach with mild hypoglossal dysfunction, the other two metastatic cases one of them managed by Combined anterior retropharyngeal approach for Biopsy and posterior Approach for fusion, the other one with known primary managed by posterior approach only for fusion and then radiotherapy. Duhrsen et al studied meningiomas at the craniocervical junction and follow up of 18 patients with craniocervical junction Meningiomas located at different sites in the craniocervical junction including 10 patients at CO and C2 and 3 patients at the level of foramen magnum and 5 patients located at the level of clivus and extending caudally, of the upper cervical tumors nine were located ventrally to the medulla and two lateral to it, and the surgical approaches they used included retro sigmoid in one case, sub occipital midline in eleven cases, sub occipital midline with lateral extension in six cases with additional laminectomy of C1. And they also concluded that cure can be achieved surgically in these benign lesions and because their exceptionally benign behavior, complete </w:t>
      </w:r>
      <w:r w:rsidRPr="0006264D">
        <w:rPr>
          <w:rFonts w:ascii="Times New Roman" w:hAnsi="Times New Roman"/>
          <w:sz w:val="20"/>
          <w:szCs w:val="20"/>
        </w:rPr>
        <w:lastRenderedPageBreak/>
        <w:t>resection should not be forced if limited access may complicate this attempt. And the sub occipital midline approach is associated with low rate of morbidity, therefore should be used to avoid surgery related complications.</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{"citationItems":[{"id":"ITEM-1","itemData":{"DOI":"10.1371/journal.pone.0153405","ISSN":"19326203","PMID":"27070421","abstract":"Meningioma of the cranio-cervical junction is a rare diagnosis and demand a thorough surgical planning as radical excision of these tumors is difficult. In this context recurrence is most likely due to regrowth of residual tumor. The aim of this study was to evaluate the clinical course of patients operated for craniocervical meningioma (CCM) and to investigate the histological features of these tumors and their impact on recurrence rate. Results 18 patients with CCM with a mean age of 56.2 years and median follow-up of 60 months were included in the study. Sensory or motor deficit was the most frequent presenting symptom followed by neck pain and lower cranial nerve palsy. Simpson grade II resection was achieved in 16 patients and Simpson grade III resection in two patients. Mortality, morbidity and recurrence rates were 16.7%, 5.5% and 5.5%, respectively. According to the WHO grading all were found to be grade I meningiomas. Histological subtypes included meningotheliomatous (10), transitional (2), fibrillar (2), angiomatous (3) and secretory (1) meningioma. The mean MIB-1 labeling index in the study group was significantly higher than in the control group, (7.2% and 3.6%, respectively), p &lt; 0.05. There was no correlation between MIB-1 levels and tumor recurrence. Conclusions CCM seems to have a benign character. Despite a significantly higher MIB-1 index, a high rate of recurrence was not observed. Therefore, approaches with high morbidity are not justified. Nevertheless, in view of the challenging approaches with limited access to the lesion, CCM should be considered a distinctive clinical subgroup.","author":[{"dropping-particle":"","family":"Dührsen","given":"Lasse","non-dropping-particle":"","parse-names":false,"suffix":""},{"dropping-particle":"","family":"Emami","given":"Pedram","non-dropping-particle":"","parse-names":false,"suffix":""},{"dropping-particle":"","family":"Matschke","given":"Jakob","non-dropping-particle":"","parse-names":false,"suffix":""},{"dropping-particle":"","family":"Abboud","given":"Tammam","non-dropping-particle":"","parse-names":false,"suffix":""},{"dropping-particle":"","family":"Westphal","given":"Manfred","non-dropping-particle":"","parse-names":false,"suffix":""},{"dropping-particle":"","family":"Regelsberger","given":"Jan","non-dropping-particle":"","parse-names":false,"suffix":""}],"container-title":"PLoS ONE","id":"ITEM-1","issue":"4","issued":{"date-parts":[["2016"]]},"title":"Meninigiomas of the Craniocervical Junction - A Distinctive Subgroup of Meningiomas","type":"article-journal","volume":"11"},"uris":["http://www.mendeley.com/documents/?uuid=6090d7a4-6b93-3fbc-8ff6-be0db559e2be"]}],"mendeley":{"formattedCitation":"[15]","plainTextFormattedCitation":"[15]","previouslyFormattedCitation":"[9]"},"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[15]</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Shiban et al 2016, reported 21 cases operated for with far lateral or extreme lateral approach with unilateral chondylar</w:t>
      </w:r>
      <w:r w:rsidR="00E45D9C" w:rsidRPr="0006264D">
        <w:rPr>
          <w:rFonts w:ascii="Times New Roman" w:hAnsi="Times New Roman"/>
          <w:sz w:val="20"/>
          <w:szCs w:val="20"/>
        </w:rPr>
        <w:t xml:space="preserve"> </w:t>
      </w:r>
      <w:r w:rsidRPr="0006264D">
        <w:rPr>
          <w:rFonts w:ascii="Times New Roman" w:hAnsi="Times New Roman"/>
          <w:sz w:val="20"/>
          <w:szCs w:val="20"/>
        </w:rPr>
        <w:t>resection by about 25% or less in 15 cases and 50% in one case and more than 75% in 5 patients and none of these cases shown any signs of instability or needed fusion later and considered that safe and accepted to remove more than 75% of unilateral chondyle without showing instability.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{"citationItems":[{"id":"ITEM-1","itemData":{"DOI":"10.3171/2015.5.JNS15176.196","ISBN":"0940-6719","ISSN":"1933-0693 (Electronic)","PMID":"26544774","abstract":"OBJECT Far-lateral or extreme-lateral approaches to the skull base allow access to the lateral and anterior portion of the lower posterior fossa and foramen magnum. These approaches include a certain extent of resection of the condyle, which potentially results in craniocervical junction instability. However, it is debated what extent of condyle resection is safe and at what extent of condyle resection an occipitocervical fusion should be recommended. The authors reviewed cases of condyle resection/destruction with regard to necessity of occipitocervical fusion. METHODS The authors conducted a retrospective analysis of all patients in whom a far- or extreme-lateral approach including condyle resection of various extents was performed between January 2007 and December 2014. RESULTS Twenty-one consecutive patients who had undergone a unilateral far- or extreme-lateral approach including condyle resection were identified. There were 10 male and 11 female patients with a median age of 61 years (range 22-83 years). The extent of condyle resection was 25% or less in 15 cases, 50% in 1 case, and greater than 75% in 5 cases. None of the patients who underwent condyle resection of 50% or less was placed in a collar postoperatively or developed neck pain. Two of the patients with condyle resection of greater than 75% were placed in a semirigid collar for a period of 3 months postoperatively and remained free of pain after this period. At last follow-up none of the cases showed any clear sign of radiological or clinical instability. CONCLUSIONS The unilateral resection or destruction of the condyle does not necessarily result in craniocervical instability. No evident instability was encountered even in the 5 patients who underwent removal of more than 75% of the condyle. The far- or extreme-lateral approach may be safer than generally accepted with regard to craniocervical instability as generally considered and may not compel fusion in all cases with condylar resection of more than 75%.","author":[{"dropping-particle":"","family":"Shiban","given":"Ehab","non-dropping-particle":"","parse-names":false,"suffix":""},{"dropping-particle":"","family":"Török","given":"Elisabeth","non-dropping-particle":"","parse-names":false,"suffix":""},{"dropping-particle":"","family":"Wostrack","given":"Maria","non-dropping-particle":"","parse-names":false,"suffix":""},{"dropping-particle":"","family":"Meyer","given":"Bernhard","non-dropping-particle":"","parse-names":false,"suffix":""},{"dropping-particle":"","family":"Lehmberg","given":"Jens","non-dropping-particle":"","parse-names":false,"suffix":""}],"container-title":"J Neurosurg","id":"ITEM-1","issue":"July","issued":{"date-parts":[["2016"]]},"page":"196-201","title":"The far-lateral approach: destruction of the condyle does not necessarily result in clinically evident craniovertebral junction instability","type":"article-journal","volume":"125"},"uris":["http://www.mendeley.com/documents/?uuid=e044314f-ce42-4f77-8e7e-40e8869570e8"]}],"mendeley":{"formattedCitation":"[16]","plainTextFormattedCitation":"[16]","previouslyFormattedCitation":"[10]"},"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[16]</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In our case we removed about one quarter of the condyle on one side with no signs of instability.</w:t>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Ren et al 2014, reported a combined anterior retropharyngeal approach and posterior approach for resection and reconstruction of C2 metastatic tumours, A case report of 44 years old patient, they did posterior fusion then resection of the tumor anteriorly by retropharyngeal approach.</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{"citationItems":[{"id":"ITEM-1","itemData":{"DOI":"10.3892/etm.2014.1493","ISSN":"17920981","PMID":"24660034","abstract":"This study reports the case of a 44-year-old male who had experienced severe neck pain for one month and was diagnosed with a metastatic tumor of the left C2 vertebral body and the left transverse process. The tumor was distributed to layers A-D and sectors 3-7 according to the Weinstein-Boriani-Biagini classification, and was in Category IV according to the Harrington classification system. A conventional posterior cervical approach was used to resect the left transverse process and part of the tumor in a piecemeal fashion, and spinal instrumentation was also performed. Gelfoam and absorbable hemostatic gauze were placed ventrally to the left vertebral artery and the left C3 nerve root over the tumor bed to prevent their accidental injury in the subsequent anterior approach. A high anterior retropharyngeal approach was then used to resect the tumorous C2 vertebral body by corpectomy and to perform anterior reconstruction. Six months after the surgery, the patient remained pain free. Therefore, C2 metastatic tumor resection and spinal reconstruction can be fulfilled by a single-stage combined high anterior retropharyngeal and posterior approach.","author":[{"dropping-particle":"","family":"Ren","given":"Xian Feng","non-dropping-particle":"","parse-names":false,"suffix":""},{"dropping-particle":"","family":"Xi","given":"Yong Ming","non-dropping-particle":"","parse-names":false,"suffix":""},{"dropping-particle":"","family":"Zhang","given":"Guo Qing","non-dropping-particle":"","parse-names":false,"suffix":""},{"dropping-particle":"","family":"Yang","given":"Wen Jiu","non-dropping-particle":"","parse-names":false,"suffix":""},{"dropping-particle":"","family":"Zhang","given":"Xu","non-dropping-particle":"","parse-names":false,"suffix":""},{"dropping-particle":"","family":"Yang","given":"De Ling","non-dropping-particle":"","parse-names":false,"suffix":""},{"dropping-particle":"","family":"Hu","given":"You Gu","non-dropping-particle":"","parse-names":false,"suffix":""}],"container-title":"Experimental and Therapeutic Medicine","id":"ITEM-1","issue":"4","issued":{"date-parts":[["2014"]]},"page":"887-890","publisher":"Spandidos Publications","title":"Single-stage combined anterior retropharyngeal and posterior approach for the resection and reconstruction of C2 metastatic tumors: A case report","type":"article-journal","volume":"7"},"uris":["http://www.mendeley.com/documents/?uuid=a7d8d89f-e1e3-4f3c-83c8-d1445aa5ba9b"]}],"mendeley":{"formattedCitation":"[17]","plainTextFormattedCitation":"[17]","previouslyFormattedCitation":"[11]"},"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[17]</w:t>
      </w:r>
      <w:r w:rsidR="00227A8B" w:rsidRPr="0006264D">
        <w:rPr>
          <w:rFonts w:ascii="Times New Roman" w:hAnsi="Times New Roman"/>
          <w:sz w:val="20"/>
          <w:szCs w:val="20"/>
          <w:vertAlign w:val="superscript"/>
        </w:rPr>
        <w:fldChar w:fldCharType="end"/>
      </w:r>
      <w:r w:rsidR="009F500F">
        <w:rPr>
          <w:rFonts w:ascii="Times New Roman" w:hAnsi="Times New Roman" w:hint="eastAsia"/>
          <w:sz w:val="20"/>
          <w:szCs w:val="20"/>
          <w:vertAlign w:val="superscript"/>
          <w:lang w:eastAsia="zh-CN"/>
        </w:rPr>
        <w:t xml:space="preserve"> </w:t>
      </w:r>
      <w:r w:rsidRPr="0006264D">
        <w:rPr>
          <w:rFonts w:ascii="Times New Roman" w:hAnsi="Times New Roman"/>
          <w:sz w:val="20"/>
          <w:szCs w:val="20"/>
        </w:rPr>
        <w:t>Colak, et al 2004 reported two staged operations for managing C2 neoplastic lesions, they performed anterior retropharyngeal resection of the lesion for decompression and then a second stage posterior fusion in 8 patients</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{"citationItems":[{"id":"ITEM-1","itemData":{"DOI":"10.1007/s10143-003-0319-0 [doi]","ISSN":"0344-5607; 0344-5607","PMID":"14704860","abstract":"This retrospective study included eight consecutive cases with C2 vertebral body neoplastic lesions. The anterior retropharyngeal approach was used to remove the lesions and decompress the spinal cord. Spinal stabilization with occipitocervical plating in a second-stage operation makes the treatment more tolerable for patients. The object of this study was to determine the effectiveness of a two-stage operation strategy for these lesions. Eight patients were operated on via anterior retropharyngeal approach and then stabilized with occipitocervical plates posteriorly in a second sitting. All neck pain and all dysphagia problems resolved. Partial neurologic improvement was achieved in three out of four patients. No postoperative infection was seen. The retropharyngeal approach to the upper cervical spine and anterior foramen magnum lesions is an effective alternative to transoral surgery because of low complication rates. Neoplastic lesions in the upper cervical spine can safely and effectively be operated with this technique. The general medical status of patients with malignancies does not permit too long, time-consuming operations. Stabilization of the spine in a separate operation increases patient tolerability without any morbidity.","author":[{"dropping-particle":"","family":"Colak","given":"A","non-dropping-particle":"","parse-names":false,"suffix":""},{"dropping-particle":"","family":"Kutlay","given":"M","non-dropping-particle":"","parse-names":false,"suffix":""},{"dropping-particle":"","family":"Kibici","given":"K","non-dropping-particle":"","parse-names":false,"suffix":""},{"dropping-particle":"","family":"Demircan","given":"M N","non-dropping-particle":"","parse-names":false,"suffix":""},{"dropping-particle":"","family":"Akin","given":"O N","non-dropping-particle":"","parse-names":false,"suffix":""}],"container-title":"Neurosurgical review","id":"ITEM-1","issue":"3","issued":{"date-parts":[["2004"]]},"page":"189-193","publisher":"Springer","title":"Two-staged operation on C2 neoplastic lesions: anterior excision and posterior stabilization","type":"article-journal","volume":"27"},"uris":["http://www.mendeley.com/documents/?uuid=22e3a664-e3cb-41f3-b08f-f7d0611dd80b"]}],"mendeley":{"formattedCitation":"[18]","plainTextFormattedCitation":"[18]","previouslyFormattedCitation":"[12]"},"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[18]</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in our cases we did anterior retropharyngeal approach for biopsy and confirming the diagnosis and in the same setting posterior fusion and follow up radiotherapy of these cases. </w:t>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 xml:space="preserve">In our series, we included nine patients with traumatic lesions including: 7 patients with type II odontid fracture and one case with Jefferson C1 fracture and one child in MVA presented with occipito-Atlanto-axial dissociation. Among the seven cases presented with type II dense fractures we used posterior approach in 6 cases for managing these cases and one case operated using Anterior approach in the form of Anterior odontoid screw and was intact. The posterior approach for fusion among these 6 cases was C1-2 fusion using C1 lateral mass and C2 Pedicle or Pars screws in 3 Cases and 2 cases we preferred Occipito cervical fusion as these cases have very small pedicles and the patients were old age and in one case was totally intact aged 93 years old we preferred wiring and graft fusion as a protective less risky maneuver. Three cases in which traction was done, they failed Halo fusion for 3 months prior to surgery and were intact motor power with neck pain, and -3 cases presented with old neglected fracture with pannus compressing the cord and progressive neurologic deficit. The case presented with Jefferson fracture operated with occipito-cervical fusion then after four months presented with failure of fusion, redo surgery for OC fusion was done using navigation guided cervical pedicle screws and extra rod, and the </w:t>
      </w:r>
      <w:r w:rsidRPr="0006264D">
        <w:rPr>
          <w:rFonts w:ascii="Times New Roman" w:hAnsi="Times New Roman"/>
          <w:sz w:val="20"/>
          <w:szCs w:val="20"/>
        </w:rPr>
        <w:lastRenderedPageBreak/>
        <w:t>case with occipitoatlanto axial dissociation fused using OC fusion posteriorly.</w:t>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Type II odontoid fracture is the most common odontoid fracture (65%-74%) and is the most prevalent cervical fracture in patients &gt;70 years old. Result in high percentage of non-unions, and is associated with a low prevalence of associated neurologic deficits (2%- 27%).</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{"citationItems":[{"id":"ITEM-1","itemData":{"DOI":"10.1016/j.wneu.2016.10.120","ISSN":"18788769","abstract":"Objective To analyze characteristics of type II odontoid fracture (TII-OF), including clinical and radiographic factors, that influence surgical planning in 8 Latin American centers. Methods Retrospective chart review was performed of 88 patients with TII-OF between 2004 and 2015 from 8 Latin American centers. Parameters studied included 1) demographic data and causes of TII-OF, 2) clinical and neurologic presentation, 3) characteristics of fracture (degree of odontoid displacement, displacement of odontoid relative to C2 body, anatomy of fracture line, distance between fragments, presence of comminution, contact area between odontoid and C2 body), 4) type of treatment, and 5) clinical and radiographic outcome. Bone fusion was assessed using computed tomography. Results Mean patient age was 45.33 years ± 23.54; 78.4% of patients were male. Surgery was the primary treatment in 65 patients (73.8%), with an anterior approach in 64.6%. Surgery was usually preferred in patients with posterior or horizontal oblique fracture lines, local pain, and a smaller bone contact surface between the odontoid and the body of C2. A posterior approach was chosen when distance between the fractured bone fragments was &gt;2 mm or after failed conservative or anterior odontoid screw treatment in a symptomatic patient. Conclusion The treatment of choice for TII-OF in 8 Latin American trauma centers was surgery through an anterior approach using screw fixation. Posterior segmental C1-C2 fixation was indicated when distance between bone fragments was &gt;2 mm and in symptomatic patients with nonunion.","author":[{"dropping-particle":"","family":"Falavigna","given":"Asdrubal","non-dropping-particle":"","parse-names":false,"suffix":""},{"dropping-particle":"","family":"Righesso","given":"Orlando","non-dropping-particle":"","parse-names":false,"suffix":""},{"dropping-particle":"","family":"Silva","given":"Pedro Guarise","non-dropping-particle":"da","parse-names":false,"suffix":""},{"dropping-particle":"","family":"Siri","given":"Carlos Rocca","non-dropping-particle":"","parse-names":false,"suffix":""},{"dropping-particle":"","family":"Daniel","given":"Jefferson W.","non-dropping-particle":"","parse-names":false,"suffix":""},{"dropping-particle":"","family":"Esteves Veiga","given":"José Carlos","non-dropping-particle":"","parse-names":false,"suffix":""},{"dropping-particle":"","family":"Azevedo","given":"Gustavo Borges Laurindo","non-dropping-particle":"de","parse-names":false,"suffix":""},{"dropping-particle":"","family":"Carelli","given":"Luis Eduardo","non-dropping-particle":"","parse-names":false,"suffix":""},{"dropping-particle":"","family":"Yurac","given":"Ratko","non-dropping-particle":"","parse-names":false,"suffix":""},{"dropping-particle":"","family":"Sanchez Chavez","given":"Felix Adolfo","non-dropping-particle":"","parse-names":false,"suffix":""},{"dropping-particle":"","family":"Sfreddo","given":"Ericson","non-dropping-particle":"","parse-names":false,"suffix":""},{"dropping-particle":"","family":"Cecchini","given":"Andre","non-dropping-particle":"","parse-names":false,"suffix":""},{"dropping-particle":"","family":"Reis","given":"Marcelo Martins","non-dropping-particle":"do","parse-names":false,"suffix":""},{"dropping-particle":"","family":"Jiménez Avila","given":"Jose Maria","non-dropping-particle":"","parse-names":false,"suffix":""},{"dropping-particle":"","family":"Riew","given":"K. Daniel","non-dropping-particle":"","parse-names":false,"suffix":""}],"container-title":"World Neurosurgery","id":"ITEM-1","issued":{"date-parts":[["2017"]]},"page":"673-681","title":"Management of Type II Odontoid Fractures: Experience from Latin American Spine Centers","type":"article-journal","volume":"98"},"uris":["http://www.mendeley.com/documents/?uuid=bb9d154b-74af-399f-b5cf-3192024f7d2f"]}],"mendeley":{"formattedCitation":"[19]","plainTextFormattedCitation":"[19]","previouslyFormattedCitation":"[13]"},"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[19]</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Falavigna et al 2017, studied a retrospective study of 88 patients with type II odontoid fractures between 2004 and 2015 in 8 Latin American centers including clinical and radiographic factors that influence surgical planning and found that surgery was the primary treatment in 65 patients (73.8 %) with anterior approach in 64.6 %and they reported that this approach is preferred in patients with posterior or horizontal oblique fracture line, local pain and smaller bone contact surface between odontoid and body of C2. And Posterior approach was chosen when distance between fractured bone fragments was &gt; 2 mm or after failed conservative or anterior odontoid screw treatment in a symptomatic patient. These criteria are similar to our criteria for judging the selected approach in odontoid fracture type II patients as we used anterior odontoid screw in a case with minimal displacement and with oblique fracture, and the other cases we used posterior approach as these cases were failed Halo fusion or old neglected fracture with Pannus formation. The difference in percentage between Anterior versus posterior because our number of cases was small in comparison but the criteria for selection of the approach was the same.</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{"citationItems":[{"id":"ITEM-1","itemData":{"DOI":"10.1016/j.wneu.2016.10.120","ISSN":"18788769","abstract":"Objective To analyze characteristics of type II odontoid fracture (TII-OF), including clinical and radiographic factors, that influence surgical planning in 8 Latin American centers. Methods Retrospective chart review was performed of 88 patients with TII-OF between 2004 and 2015 from 8 Latin American centers. Parameters studied included 1) demographic data and causes of TII-OF, 2) clinical and neurologic presentation, 3) characteristics of fracture (degree of odontoid displacement, displacement of odontoid relative to C2 body, anatomy of fracture line, distance between fragments, presence of comminution, contact area between odontoid and C2 body), 4) type of treatment, and 5) clinical and radiographic outcome. Bone fusion was assessed using computed tomography. Results Mean patient age was 45.33 years ± 23.54; 78.4% of patients were male. Surgery was the primary treatment in 65 patients (73.8%), with an anterior approach in 64.6%. Surgery was usually preferred in patients with posterior or horizontal oblique fracture lines, local pain, and a smaller bone contact surface between the odontoid and the body of C2. A posterior approach was chosen when distance between the fractured bone fragments was &gt;2 mm or after failed conservative or anterior odontoid screw treatment in a symptomatic patient. Conclusion The treatment of choice for TII-OF in 8 Latin American trauma centers was surgery through an anterior approach using screw fixation. Posterior segmental C1-C2 fixation was indicated when distance between bone fragments was &gt;2 mm and in symptomatic patients with nonunion.","author":[{"dropping-particle":"","family":"Falavigna","given":"Asdrubal","non-dropping-particle":"","parse-names":false,"suffix":""},{"dropping-particle":"","family":"Righesso","given":"Orlando","non-dropping-particle":"","parse-names":false,"suffix":""},{"dropping-particle":"","family":"Silva","given":"Pedro Guarise","non-dropping-particle":"da","parse-names":false,"suffix":""},{"dropping-particle":"","family":"Siri","given":"Carlos Rocca","non-dropping-particle":"","parse-names":false,"suffix":""},{"dropping-particle":"","family":"Daniel","given":"Jefferson W.","non-dropping-particle":"","parse-names":false,"suffix":""},{"dropping-particle":"","family":"Esteves Veiga","given":"José Carlos","non-dropping-particle":"","parse-names":false,"suffix":""},{"dropping-particle":"","family":"Azevedo","given":"Gustavo Borges Laurindo","non-dropping-particle":"de","parse-names":false,"suffix":""},{"dropping-particle":"","family":"Carelli","given":"Luis Eduardo","non-dropping-particle":"","parse-names":false,"suffix":""},{"dropping-particle":"","family":"Yurac","given":"Ratko","non-dropping-particle":"","parse-names":false,"suffix":""},{"dropping-particle":"","family":"Sanchez Chavez","given":"Felix Adolfo","non-dropping-particle":"","parse-names":false,"suffix":""},{"dropping-particle":"","family":"Sfreddo","given":"Ericson","non-dropping-particle":"","parse-names":false,"suffix":""},{"dropping-particle":"","family":"Cecchini","given":"Andre","non-dropping-particle":"","parse-names":false,"suffix":""},{"dropping-particle":"","family":"Reis","given":"Marcelo Martins","non-dropping-particle":"do","parse-names":false,"suffix":""},{"dropping-particle":"","family":"Jiménez Avila","given":"Jose Maria","non-dropping-particle":"","parse-names":false,"suffix":""},{"dropping-particle":"","family":"Riew","given":"K. Daniel","non-dropping-particle":"","parse-names":false,"suffix":""}],"container-title":"World Neurosurgery","id":"ITEM-1","issued":{"date-parts":[["2017"]]},"page":"673-681","title":"Management of Type II Odontoid Fractures: Experience from Latin American Spine Centers","type":"article-journal","volume":"98"},"uris":["http://www.mendeley.com/documents/?uuid=bb9d154b-74af-399f-b5cf-3192024f7d2f"]}],"mendeley":{"formattedCitation":"[19]","plainTextFormattedCitation":"[19]","previouslyFormattedCitation":"[13]"},"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[19]</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Also, Faure et al 2017, studied the trends in the surgical management of odontoid fractures in patients above 75 years in a retrospective study of 70 cases and found that 22 patients underwent anterior odontoid screw fixation, 38 were treated using Harms technique and 10 patients with other procedures, and they concluded that Surgical treatment in elderly result in an excellent union rate and Harms technique has a lower risk of complication and better mechanical stability than anterior screw fixation, and they believe that Harms technique is probably the best choice for treating odontoid fractures in elderly.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10.1016/j.otsr.2017.07.008","ISSN":"18770568","author":[{"dropping-particle":"","family":"Faure","given":"A.","non-dropping-particle":"","parse-names":false,"suffix":""},{"dropping-particle":"","family":"Graillon","given":"T.","non-dropping-particle":"","parse-names":false,"suffix":""},{"dropping-particle":"","family":"Pesenti","given":"S.","non-dropping-particle":"","parse-names":false,"suffix":""},{"dropping-particle":"","family":"Tropiano","given":"P.","non-dropping-particle":"","parse-names":false,"suffix":""},{"dropping-particle":"","family":"Blondel","given":"B.","non-dropping-particle":"","parse-names":false,"suffix":""},{"dropping-particle":"","family":"Fuentes","given":"S.","non-dropping-particle":"","parse-names":false,"suffix":""}],"container-title":"Orthopaedics &amp; Traumatology: Surgery &amp; Research","id":"ITEM-1","issued":{"date-parts":[["2017"]]},"publisher":"Elsevier Masson SAS","title":"Trends in the surgical management of odontoid fractures in patients above 75 years of age: Retrospective study of 70 cases","type":"article-journal"},"uris":["http://www.mendeley.com/documents/?uuid=644d33af-3866-4154-963f-baf5fa0ca0a4"]}],"mendeley":{"formattedCitation":"[20]","plainTextFormattedCitation":"[20]","previouslyFormattedCitation":"[14]"},"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[20]</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Wagner et al 2017, studied the management of geriatric odontoid fractures in the literatures and found a lot of controversy and found that surgical intervention has been shown to improve functional outcomes when compared to non-surgical treatment, and they recommend posterior C1- C2 arthrodesis for geriatric type II odontoid fractures and the preferred treatment is C1 lateral mass and a C2 pars screw construct.</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{"citationItems":[{"id":"ITEM-1","itemData":{"DOI":"10.1097/BOT.0000000000000948","ISBN":"0000000000000","ISSN":"0890-5339","author":[{"dropping-particle":"","family":"Wagner","given":"Scott C.","non-dropping-particle":"","parse-names":false,"suffix":""},{"dropping-particle":"","family":"Schroeder","given":"Gregory D.","non-dropping-particle":"","parse-names":false,"suffix":""},{"dropping-particle":"","family":"Kepler","given":"Christopher K.","non-dropping-particle":"","parse-names":false,"suffix":""},{"dropping-particle":"","family":"Schupper","given":"Alexander J.","non-dropping-particle":"","parse-names":false,"suffix":""},{"dropping-particle":"","family":"Kandziora","given":"Frank","non-dropping-particle":"","parse-names":false,"suffix":""},{"dropping-particle":"","family":"Vialle","given":"Emiliano N.","non-dropping-particle":"","parse-names":false,"suffix":""},{"dropping-particle":"","family":"Oner","given":"Cumhur","non-dropping-particle":"","parse-names":false,"suffix":""},{"dropping-particle":"","family":"Fehlings","given":"Michael G.","non-dropping-particle":"","parse-names":false,"suffix":""},{"dropping-particle":"","family":"Vaccaro","given":"Alexander R.","non-dropping-particle":"","parse-names":false,"suffix":""}],"container-title":"Journal of Orthopaedic Trauma","id":"ITEM-1","issue":"9","issued":{"date-parts":[["2017"]]},"page":"S44-S48","title":"Controversies in the Management of Geriatric Odontoid Fractures","type":"article-journal","volume":"31"},"uris":["http://www.mendeley.com/documents/?uuid=d68d0216-7ef4-4cf2-9c7e-115616bbf78a"]}],"mendeley":{"formattedCitation":"[21]","plainTextFormattedCitation":"[21]","previouslyFormattedCitation":"[15]"},"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[21]</w:t>
      </w:r>
      <w:r w:rsidR="00227A8B" w:rsidRPr="0006264D">
        <w:rPr>
          <w:rFonts w:ascii="Times New Roman" w:hAnsi="Times New Roman"/>
          <w:sz w:val="20"/>
          <w:szCs w:val="20"/>
          <w:vertAlign w:val="superscript"/>
        </w:rPr>
        <w:fldChar w:fldCharType="end"/>
      </w:r>
      <w:r w:rsidR="009F500F">
        <w:rPr>
          <w:rFonts w:ascii="Times New Roman" w:hAnsi="Times New Roman" w:hint="eastAsia"/>
          <w:sz w:val="20"/>
          <w:szCs w:val="20"/>
          <w:vertAlign w:val="superscript"/>
          <w:lang w:eastAsia="zh-CN"/>
        </w:rPr>
        <w:t xml:space="preserve"> </w:t>
      </w:r>
      <w:r w:rsidRPr="0006264D">
        <w:rPr>
          <w:rFonts w:ascii="Times New Roman" w:hAnsi="Times New Roman"/>
          <w:sz w:val="20"/>
          <w:szCs w:val="20"/>
        </w:rPr>
        <w:t xml:space="preserve">Munakomi et al 2016, reported the use of Anterior single odontoid screw in 15 patients with type II odontoid fracture being ideal option but with some modification on the usual approach as the use of </w:t>
      </w:r>
      <w:r w:rsidRPr="0006264D">
        <w:rPr>
          <w:rFonts w:ascii="Times New Roman" w:hAnsi="Times New Roman"/>
          <w:sz w:val="20"/>
          <w:szCs w:val="20"/>
        </w:rPr>
        <w:lastRenderedPageBreak/>
        <w:t>neuro-navigation or O-arm as the quality of C-arm images is an obstacle and they have some modifications as central small C2-3 discectomy to make sure they are exactly midline, With excellent outcome.</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{"citationItems":[{"id":"ITEM-1","itemData":{"DOI":"10.12688/f1000research.9131.2","ISSN":"2046-1402","PMID":"27990259","abstract":"Objective: Anterior odontoid screw fixation for type II odontoid fracture is the ideal management option. However in the context of unavailability of an O-arm or neuro-navigation and poor images from the available C-arm may be an obstacle to ideal trajectory and placement of the odontoid screw. We herein detail  our surgical technique so as to ensure a correct trajectory and subsequent good fusion in Type II odontoid fractures. This may be advantageous  in clinical set ups lacking state of the art facilities.  Methods and Results: In this cohort study we included 15 consecutive patients who underwent anterior odontoid screw placement. We routinely dissect the longus colli to completely visualize the entire width of C3 body. We then perform a median C2-C3 disectomy followed by creating a gutter in the superior end of C3 body. We then guide the Kirchsner (K) wire purchasing adequate anterior cortex of C2. Rest of the procedure follows the similar steps as described for odontoid screw placement. We achieved 100% correct trajectory and screw placement in our study. There were no instances of screw break out, pull out or nonunion. There was one patient mortality following myocardial infarction in our study. Conclusion: Preoperative imaging details, proper patient positioning, meticulous dissection, thorough anatomical knowledge and few added surgical nuances are the cornerstones in ideal odontoid screw placement. This may be pivotal in managing  patients in developing nations having rudimentary neurosurgical set up.","author":[{"dropping-particle":"","family":"Munakomi","given":"Sunil","non-dropping-particle":"","parse-names":false,"suffix":""},{"dropping-particle":"","family":"Tamrakar","given":"Karuna","non-dropping-particle":"","parse-names":false,"suffix":""},{"dropping-particle":"","family":"Chaudhary","given":"Pramod Kumar","non-dropping-particle":"","parse-names":false,"suffix":""},{"dropping-particle":"","family":"Bhattarai","given":"Binod","non-dropping-particle":"","parse-names":false,"suffix":""}],"container-title":"F1000Research","id":"ITEM-1","issue":"0","issued":{"date-parts":[["2016"]]},"page":"1681","title":"Anterior single odontoid screw placement for type II odontoid fractures: our modified surgical technique and initial results in a cohort study of 15 patients.","type":"article-journal","volume":"5"},"uris":["http://www.mendeley.com/documents/?uuid=ff9529e5-f72c-4eeb-a259-bcdb8d2fe3e0"]}],"mendeley":{"formattedCitation":"[22]","plainTextFormattedCitation":"[22]","previouslyFormattedCitation":"[16]"},"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[22]</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Anterior odontoid screw fixation can maintain cervical rotation, provides immediate stabilization and resulted in high fusion rates with rapid return to normal life.</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{"citationItems":[{"id":"ITEM-1","itemData":{"author":[{"dropping-particle":"","family":"Dalvandi","given":"Mohsen","non-dropping-particle":"","parse-names":false,"suffix":""},{"dropping-particle":"","family":"Mohamadi","given":"Ali Reza","non-dropping-particle":"","parse-names":false,"suffix":""},{"dropping-particle":"","family":"Ahmadi","given":"Sayed Ali","non-dropping-particle":"","parse-names":false,"suffix":""}],"container-title":"Journal Of Iranian Clinical Research","id":"ITEM-1","issue":"2","issued":{"date-parts":[["2015"]]},"page":"62-66","title":"Anterior Single Lag Screw Fixation in Type II Odontoid Process Fractures: A Case Series with Literature Review","type":"article-journal","volume":"1"},"uris":["http://www.mendeley.com/documents/?uuid=270dc316-c3c4-49ef-83f1-80ba2e53a729"]}],"mendeley":{"formattedCitation":"[23]","plainTextFormattedCitation":"[23]","previouslyFormattedCitation":"[17]"},"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[23]</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We used in our case Bi- plane C-arm for AP open mouth and Lateral images with excellent outcome., our selection to anterior odontoid screw in this case because the fracture was oblique fracture extending from antero-superior to postero-inferior which was ideal to this technique to maintain the motion segment of C1-C2 complex instead posterior fusion which affect the mobility especially in axial rotation. </w:t>
      </w:r>
    </w:p>
    <w:p w:rsidR="00454040" w:rsidRPr="0006264D" w:rsidRDefault="00454040" w:rsidP="002F4011">
      <w:pPr>
        <w:snapToGrid w:val="0"/>
        <w:ind w:firstLine="425"/>
        <w:jc w:val="both"/>
        <w:rPr>
          <w:rFonts w:ascii="Times New Roman" w:hAnsi="Times New Roman"/>
          <w:sz w:val="20"/>
          <w:szCs w:val="20"/>
          <w:vertAlign w:val="superscript"/>
        </w:rPr>
      </w:pPr>
      <w:r w:rsidRPr="0006264D">
        <w:rPr>
          <w:rFonts w:ascii="Times New Roman" w:hAnsi="Times New Roman"/>
          <w:sz w:val="20"/>
          <w:szCs w:val="20"/>
        </w:rPr>
        <w:t>In our series we had a case of craniocervical junction infection proved to be cysticercosis, in our patient the patient presented at first with headache and dizziness and was diagnosed with hydrocephalic changes and being cysticercoid antibody positive, Albendazole therapy and shunt was done in other hospital, then presented to us with shunt malfunction with increasing symptoms one year later, with revision of shunt and repeated imaging, well-formed cyst at the craniocervical junction and fourth ventricle was seen, so suboccipital decompression and cyst removal was done with improved preoperative symptoms, the reason the shunt device was inserted at first because there was not yet a well formed cyst and presented with hydrocephalus from adhesions and granulation tissue from infection and once we noticed the well-formed cyst we removed it with suboccipital decompression and duroplasty with improvement of the preoperative symptoms. Wang et al 2015 reported a case with craniocervical junction with progressive loss of vision, headache and thoracic back pain and Chiari like symptoms with imaging showing obstructive hydrocephalus and cysticercosis cyst at the craniocervical junction and foramen magnum, they managed the case with suboccipital decompression and cyst removal and duroplasty and external ventricular drain which removed later without need for permanent CSF diversion and continued with Albendazole therapy.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{"citationItems":[{"id":"ITEM-1","itemData":{"DOI":"10.1016/j.jocn.2015.03.031","ISBN":"0967-5868","ISSN":"15322653","PMID":"26122382","abstract":"We present a 45-year-old man with tussive headache and blurred vision found to have obstructive hydrocephalus from a neurocysticercal cyst at the cervicomedullary junction who underwent surgical removal of the cyst. We performed a suboccipital craniectomy to remove the cervicomedullary cyst en bloc. Cyst removal successfully treated the patient's headaches without necessitating permanent cerebrospinal fluid diversion. Neurocysticercosis is the most common parasite infection of the central nervous system causing seizures and, less commonly, hydrocephalus. Intraventricular cysts or arachnoiditis usually cause hydrocephalus in neurocysticercosis but craniocervical junction cysts causing obstructive hydrocephalus are rare. Neurocysticercosis at the craniocervical junction may cause Chiari-like symptoms. In the absence of arachnoiditis and leptomeningeal enhancement, surgical removal of the intact cyst can lead to favorable outcomes.","author":[{"dropping-particle":"","family":"Wang","given":"Doris D.","non-dropping-particle":"","parse-names":false,"suffix":""},{"dropping-particle":"","family":"Huang","given":"Michael C.","non-dropping-particle":"","parse-names":false,"suffix":""}],"container-title":"Journal of Clinical Neuroscience","id":"ITEM-1","issue":"9","issued":{"date-parts":[["2015"]]},"page":"1525-1528","title":"Cervicomedullary neurocysticercosis causing obstructive hydrocephalus","type":"article-journal","volume":"22"},"uris":["http://www.mendeley.com/documents/?uuid=986ec855-84f5-33a1-8188-87727f9ff053"]}],"mendeley":{"formattedCitation":"[24]","plainTextFormattedCitation":"[24]","previouslyFormattedCitation":"[18]"},"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[24]</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vertAlign w:val="superscript"/>
        </w:rPr>
      </w:pPr>
      <w:r w:rsidRPr="0006264D">
        <w:rPr>
          <w:rFonts w:ascii="Times New Roman" w:hAnsi="Times New Roman"/>
          <w:sz w:val="20"/>
          <w:szCs w:val="20"/>
        </w:rPr>
        <w:t xml:space="preserve">Also Amelot and Faillot 2014, reported 3 cases with Neurocysticercosis and the first case he presented had cystic lesion at the lower fourth ventricle and craniocervical removed surgically he explained direct relation of the cyst to hydeoceohalic changes, and the other 2 cases shown calcifications in the occipital lobe and hydrocephalic changes, CSF diversion is inserted and he did explain other mechanisms for hydrocephalic changes as adhesions and inflammatory reactions to cysticercosis without finding of macroscopic parasitic cyst.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{"citationItems":[{"id":"ITEM-1","itemData":{"DOI":"10.3988/jcn.2014.10.4.363","ISBN":"1738-6586 (Print)\\r1738-6586 (Linking)","ISSN":"20055013","PMID":"25324888","abstract":"BACKGROUND: Cysticercosis is the most frequent parasitic infection of the nervous system. Most lesions are intracranial, and spinal involvement is rare. We describe here in two cases of neurocysticercosis (NCC) in the brain and one in the spinal cord that illustrate three distinct mechanisms leading to symptomatic acute hydrocephalus.\\n\\nCASE REPORT: Hydrocephalus was related to intracranial NCC in two of them. In the first case the hydrocephalus was due to an extensive arachnoiditis to the craniocervical junction, while in the second it was caused by obstruction of Magendie's foramen in the fourth ventricle by the scolex of Taenia solium. For the third patient, hydrocephalus revealed cysticercosis of the cauda equina due to the scolex.\\n\\nCONCLUSIONS: NCC should be considered as a possible diagnosis for patients suffering from hydrocephalus when they originate from or have traveled in endemic areas, MRI of the spine is mandatory to search for intraspinal lesions.","author":[{"dropping-particle":"","family":"Amelot","given":"Aymeric","non-dropping-particle":"","parse-names":false,"suffix":""},{"dropping-particle":"","family":"Faillot","given":"Thierry","non-dropping-particle":"","parse-names":false,"suffix":""}],"container-title":"Journal of Clinical Neurology (Korea)","id":"ITEM-1","issue":"4","issued":{"date-parts":[["2014"]]},"page":"363-366","title":"Hydrocephalus and neurocysticercosis: Cases illustrative of three distinct mechanisms","type":"article-journal","volume":"10"},"uris":["http://www.mendeley.com/documents/?uuid=e0a395f0-3cf9-3c60-84ef-4edf60114279"]}],"mendeley":{"formattedCitation":"[25]","plainTextFormattedCitation":"[25]","previouslyFormattedCitation":"[19]"},"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[25]</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lastRenderedPageBreak/>
        <w:t xml:space="preserve">In our presented study, we had one case with CVJ infection, after antibiotic course and follow up imaging we found it more favorable to the patient to drain the abscess by retropharyngeal submandibular approach and then in the same setting we did occipito cervical fusion posteriorly, the case was 45 years old and was intact complaining of worsening neck pain, with significant postoperative improvement. Goulart et al 2015 reported a 50 years old case of craniocervical junction instability following infection and retropharyngeal abscess managed by antibiotics at first, then developed deficit in hospital course then they did traction and then posterior craniocervical fusion with improvement of motor power and regain full strength back after 5 months.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{"citationItems":[{"id":"ITEM-1","itemData":{"DOI":"10.3171/2015.4.spine14952","ISBN":"1547-5646","ISSN":"15475646","PMID":"26407087","abstract":"Because of the proximity of the oropharynx (a naturally contaminated region) to the spinal structures of the craniocervical junction, it is possible that small mucosal lacerations in the oropharynx caused by unstable traumatic craniocervical injuries may become contaminated and lead to secondary infection and osteomyelitis. In this report, the authors describe the case of a previously healthy and immunocompetent patient who developed a large retropharyngeal abscess with spinal osteomyelitis after a high-energy craniocervical injury. This unusual report of osteomyelitis with a delayed presentation after a high-energy traumatic injury of the craniocervical junction highlights the possibility of direct injury to a specific area in the oropharyngeal mucosa adjacent to the osteoligamentous structures of the craniocervical junction, an overall underrecognized complication of unstable craniocervical injuries.","author":[{"dropping-particle":"","family":"Goulart","given":"C R","non-dropping-particle":"","parse-names":false,"suffix":""},{"dropping-particle":"","family":"Mattei","given":"T A","non-dropping-particle":"","parse-names":false,"suffix":""},{"dropping-particle":"","family":"Fiore","given":"M E","non-dropping-particle":"","parse-names":false,"suffix":""},{"dropping-particle":"","family":"Thoman","given":"W J","non-dropping-particle":"","parse-names":false,"suffix":""},{"dropping-particle":"","family":"Mendel","given":"E","non-dropping-particle":"","parse-names":false,"suffix":""}],"container-title":"J Neurosurg Spine","id":"ITEM-1","issue":"January","issued":{"date-parts":[["2015"]]},"page":"1-9","title":"Retropharyngeal abscess with secondary osteomyelitis and epidural abscess: proposed pathophysiological mechanism of an underrecognized complication of unstable craniocervical injuries: case report","type":"article-journal","volume":"24"},"uris":["http://www.mendeley.com/documents/?uuid=561ac91e-894b-4ee7-b269-1f22ecbcf0bd"]}],"mendeley":{"formattedCitation":"[26]","plainTextFormattedCitation":"[26]","previouslyFormattedCitation":"[20]"},"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[26]</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Also, Xing et al 2016 concluded that the anterior cervical and retropharyngeal debridement combined with posterior occipito cervical fusion has been proved to be effective treatment of upper cervical tuberculosis, which plays an important role in removing the lesion, restoring stability, and anatomical reduction as they used this combine approach in eleven patients with upper cervical tuberculosis complicated with atlantoaxial dislocation.</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{"citationItems":[{"id":"ITEM-1","itemData":{"DOI":"10.1097/BRS.0000000000001169","ISBN":"0000000000","ISSN":"0362-2436","PMID":"26679892","abstract":"Study Design.A retrospective analysis of 11 cases.Objective.The aim of\\nthe study was to evaluate the effectiveness of anterior cervical and\\nretropharyngeal debridement combined with posterior occipital-cervical\\nfusion in treatment of upper cervical spinal tuberculosis.Summary of\\nBackground Data.The anterior approach simply could not provide strong\\nfixation whereas the posterior treatment could not clear up the lesions\\ncompletely. The method combining anterior and posterior approaches to\\ntreat the upper cervical tuberculosis is advisable.Methods.The clinical\\ndata of 11 patients with upper cervical tuberculosis who underwent an\\nupper cervical operation in our hospital were retrospectively analyzed.\\nAll 11 patients underwent the surgery of anterior cervical and\\nretropharyngeal approaches to debridement, and then, according to the\\ndifferent degrees of patient pedicle destruction and deformity,\\ndifferent occipitocervical approaches were used (either through pedicle\\nscrew or laminar screw fixation). After surgery, antituberculosis drugs\\nwere administered for 18 months. During the follow-up, neurological\\nfunction, clinical symptoms, fusion, reducible degree, and complications\\nwere all evaluated and documented.Results.Surgeries for 11 patients were\\nperformed successfully; anatomical reduction was achieved in nine cases,\\nbony fusion was achieved in all 11 patients, and all cases with\\ntuberculosis were clinically cured in the 18 months after the operation.\\nThe Japanese Orthopaedic Association score increased from 8.41.3\\npreoperative to 15.01.3 in the last follow-up (P&lt;0.05). The\\noccipitocervical visual analog scale decreased from 6.7 +/- 0.6\\npreoperative to 0.6 +/- 0.6 at the last follow-up (P&lt;0.05). No serious\\ncomplications were documented during follow-up.Conclusion.The approach\\nof anterior cervical and retropharyngeal debridement combined with\\nposterior occipitocervical fusion has been proved to be an effective\\ntreatment of upper cervical tuberculosis, which plays an important role\\nin removing the lesions, restoring stability, and anatomical\\nreduction.Level of Evidence: 4","author":[{"dropping-particle":"","family":"Xing","given":"Shuai","non-dropping-particle":"","parse-names":false,"suffix":""},{"dropping-particle":"","family":"Gao","given":"Yanzheng","non-dropping-particle":"","parse-names":false,"suffix":""},{"dropping-particle":"","family":"Gao","given":"Kun","non-dropping-particle":"","parse-names":false,"suffix":""},{"dropping-particle":"","family":"Zhang","given":"Guangquan","non-dropping-particle":"","parse-names":false,"suffix":""},{"dropping-particle":"","family":"Yu","given":"Zhenghong","non-dropping-particle":"","parse-names":false,"suffix":""}],"container-title":"Spine","id":"ITEM-1","issue":"2","issued":{"date-parts":[["2016"]]},"page":"104-110","publisher":"LWW","title":"Anterior Cervical Retropharyngeal Debridement Combined With Occipital Cervical Fusion to Upper Cervical Tuberculosis","type":"article-journal","volume":"41"},"uris":["http://www.mendeley.com/documents/?uuid=76053a7c-d61d-405b-9a82-d90173a7b99d"]}],"mendeley":{"formattedCitation":"[27]","plainTextFormattedCitation":"[27]","previouslyFormattedCitation":"[21]"},"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[27]</w:t>
      </w:r>
      <w:r w:rsidR="00227A8B" w:rsidRPr="0006264D">
        <w:rPr>
          <w:rFonts w:ascii="Times New Roman" w:hAnsi="Times New Roman"/>
          <w:sz w:val="20"/>
          <w:szCs w:val="20"/>
          <w:vertAlign w:val="superscript"/>
        </w:rPr>
        <w:fldChar w:fldCharType="end"/>
      </w:r>
    </w:p>
    <w:p w:rsidR="00454040" w:rsidRPr="0006264D" w:rsidRDefault="00454040" w:rsidP="002F4011">
      <w:pPr>
        <w:snapToGrid w:val="0"/>
        <w:ind w:firstLine="425"/>
        <w:jc w:val="both"/>
        <w:rPr>
          <w:rFonts w:ascii="Times New Roman" w:hAnsi="Times New Roman"/>
          <w:sz w:val="20"/>
          <w:szCs w:val="20"/>
        </w:rPr>
      </w:pPr>
      <w:r w:rsidRPr="0006264D">
        <w:rPr>
          <w:rFonts w:ascii="Times New Roman" w:hAnsi="Times New Roman"/>
          <w:sz w:val="20"/>
          <w:szCs w:val="20"/>
        </w:rPr>
        <w:t>In our series, we had 10 patients underwent occipitocervical fusion with mean age of this series 51.4 years and 5 patients were males and the other 5 patients were females with different lesion in the craniocervical junction including: C2 infection (2 cases), Rhumatoid arthritis (1 case)</w:t>
      </w:r>
      <w:r w:rsidR="002F4011" w:rsidRPr="0006264D">
        <w:rPr>
          <w:rFonts w:ascii="Times New Roman" w:hAnsi="Times New Roman"/>
          <w:sz w:val="20"/>
          <w:szCs w:val="20"/>
        </w:rPr>
        <w:t>,</w:t>
      </w:r>
      <w:r w:rsidR="002F4011">
        <w:rPr>
          <w:rFonts w:ascii="Times New Roman" w:hAnsi="Times New Roman"/>
          <w:sz w:val="20"/>
          <w:szCs w:val="20"/>
        </w:rPr>
        <w:t xml:space="preserve"> </w:t>
      </w:r>
      <w:r w:rsidR="002F4011" w:rsidRPr="0006264D">
        <w:rPr>
          <w:rFonts w:ascii="Times New Roman" w:hAnsi="Times New Roman"/>
          <w:sz w:val="20"/>
          <w:szCs w:val="20"/>
        </w:rPr>
        <w:t>o</w:t>
      </w:r>
      <w:r w:rsidRPr="0006264D">
        <w:rPr>
          <w:rFonts w:ascii="Times New Roman" w:hAnsi="Times New Roman"/>
          <w:sz w:val="20"/>
          <w:szCs w:val="20"/>
        </w:rPr>
        <w:t xml:space="preserve">ld C2 odontoid fracture type 2 (2 cases), metastatic C2 lesion (1 case), C1 Jefferson fracture (1 case), Ehlerdanlossyndromr (1 case), os-odontoidum and klipplefiel syndrome (1 case), occipitoatlanto axial dissociation (1 case). Our results matched to the study of Tan et al, who reported 14 consecutive case of occipitocervical fixation 8 of them were men and 6 women with mean age 57 years and follow up 2 years were retrospectively reviewed, and the main indications for surgeries were rheumatoid in 6 cases and cervical metastasis in 4 cases with no neurologic deterioration in any of the cases or evidence of vertebral artery or spinal cord injury with one endured a superficial infection and two showed implant breakage and concluded that occpitocervical fixation is a viable option with favorable results in patients requiring stabilization of the craniocervical junction.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{"citationItems":[{"id":"ITEM-1","itemData":{"DOI":"10.1177/230949900701500317","ISSN":"1022-5536","PMID":"18162680","abstract":"To report on 14 consecutive cases of occipitocervical fixation.","author":[{"dropping-particle":"","family":"Tan","given":"K J","non-dropping-particle":"","parse-names":false,"suffix":""},{"dropping-particle":"","family":"Hee","given":"H T","non-dropping-particle":"","parse-names":false,"suffix":""}],"container-title":"Journal of orthopaedic surgery (Hong Kong)","id":"ITEM-1","issue":"3","issued":{"date-parts":[["2007"]]},"page":"323-6","title":"Neurological recovery after occipitocervical fixation.","type":"article-journal","volume":"15"},"uris":["http://www.mendeley.com/documents/?uuid=23ac070b-5110-4487-be35-b00e336437d1"]}],"mendeley":{"formattedCitation":"[28]","plainTextFormattedCitation":"[28]","previouslyFormattedCitation":"[22]"},"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[28]</w:t>
      </w:r>
      <w:r w:rsidR="00227A8B" w:rsidRPr="0006264D">
        <w:rPr>
          <w:rFonts w:ascii="Times New Roman" w:hAnsi="Times New Roman"/>
          <w:sz w:val="20"/>
          <w:szCs w:val="20"/>
          <w:vertAlign w:val="superscript"/>
        </w:rPr>
        <w:fldChar w:fldCharType="end"/>
      </w:r>
    </w:p>
    <w:p w:rsidR="00454040" w:rsidRPr="0006264D" w:rsidRDefault="00454040" w:rsidP="002F4011">
      <w:pPr>
        <w:pStyle w:val="ListParagraph"/>
        <w:snapToGrid w:val="0"/>
        <w:ind w:left="0" w:firstLine="425"/>
        <w:jc w:val="both"/>
        <w:rPr>
          <w:rFonts w:ascii="Times New Roman" w:hAnsi="Times New Roman"/>
          <w:sz w:val="20"/>
          <w:szCs w:val="20"/>
        </w:rPr>
      </w:pPr>
      <w:r w:rsidRPr="0006264D">
        <w:rPr>
          <w:rFonts w:ascii="Times New Roman" w:hAnsi="Times New Roman"/>
          <w:sz w:val="20"/>
          <w:szCs w:val="20"/>
        </w:rPr>
        <w:t xml:space="preserve">Regarding to complications, none of the cases showed any neurological deterioration or vascular injury, although we had a case complicated with infection and hard ware removal, the case was rheumatoid arthritis with multi organ affection, osteoporosis and on high dose steroid therapy, infection of the wound, we removed the system and kept in hard collar, the second case was Jefferson fracture after lifting a heavy object and working out </w:t>
      </w:r>
      <w:r w:rsidRPr="0006264D">
        <w:rPr>
          <w:rFonts w:ascii="Times New Roman" w:hAnsi="Times New Roman"/>
          <w:sz w:val="20"/>
          <w:szCs w:val="20"/>
        </w:rPr>
        <w:lastRenderedPageBreak/>
        <w:t>with dumbbells four month after surgery patient felt severe neck pain and numbness in his hands, imaging showed failure of fusion of the occipitocervical fixation</w:t>
      </w:r>
      <w:r w:rsidR="00E45D9C" w:rsidRPr="0006264D">
        <w:rPr>
          <w:rFonts w:ascii="Times New Roman" w:hAnsi="Times New Roman"/>
          <w:sz w:val="20"/>
          <w:szCs w:val="20"/>
        </w:rPr>
        <w:t xml:space="preserve"> </w:t>
      </w:r>
      <w:r w:rsidRPr="0006264D">
        <w:rPr>
          <w:rFonts w:ascii="Times New Roman" w:hAnsi="Times New Roman"/>
          <w:sz w:val="20"/>
          <w:szCs w:val="20"/>
        </w:rPr>
        <w:t xml:space="preserve">with hallow sign around screws and we had to revise and redo surgery with using neuro-navigation for cervical pedicle screws instead of lateral mass screws and augmentation of fusion. </w:t>
      </w:r>
    </w:p>
    <w:p w:rsidR="00454040" w:rsidRPr="0006264D" w:rsidRDefault="00454040" w:rsidP="002F4011">
      <w:pPr>
        <w:pStyle w:val="ListParagraph"/>
        <w:snapToGrid w:val="0"/>
        <w:ind w:left="0" w:firstLine="425"/>
        <w:jc w:val="both"/>
        <w:rPr>
          <w:rFonts w:ascii="Times New Roman" w:hAnsi="Times New Roman"/>
          <w:sz w:val="20"/>
          <w:szCs w:val="20"/>
        </w:rPr>
      </w:pPr>
      <w:r w:rsidRPr="0006264D">
        <w:rPr>
          <w:rFonts w:ascii="Times New Roman" w:hAnsi="Times New Roman"/>
          <w:sz w:val="20"/>
          <w:szCs w:val="20"/>
        </w:rPr>
        <w:t xml:space="preserve">Also, we had a case who developed tongue protrusion and dysarthria as hypoglossal nerve dysfunction after resection of large meningioma at the CVJ using far lateral approach although we had neurophysiological monitoring and cranial nerves were grossly intact, this may be due to manipulation during tumor removal affecting the function, the patient continued to improve by conservative treatment and speech therapy. </w:t>
      </w:r>
      <w:r w:rsidRPr="0006264D">
        <w:rPr>
          <w:rFonts w:ascii="Times New Roman" w:hAnsi="Times New Roman"/>
          <w:noProof/>
          <w:sz w:val="20"/>
          <w:szCs w:val="20"/>
        </w:rPr>
        <w:t xml:space="preserve">Al-Mefty et al., reported that </w:t>
      </w:r>
      <w:r w:rsidRPr="0006264D">
        <w:rPr>
          <w:rFonts w:ascii="Times New Roman" w:hAnsi="Times New Roman"/>
          <w:sz w:val="20"/>
          <w:szCs w:val="20"/>
        </w:rPr>
        <w:t>the most frequent surgical complications associated with far-lateral exposure for resection of FMMs are lower cranial nerves deficits, especially cranial nerves IX through XII.</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{"citationItems":[{"id":"ITEM-1","itemData":{"ISSN":"0022-3085","PMID":"10616061","abstract":"OBJECT Ventral foramen magnum meningiomas (VFMMs) are rare lesions that account for more than 3% of all meningiomas. These are among the most challenging of all meningiomas to treat. The authors comprehensively analyzed multiple features in a series of VFMMs. METHODS A retrospective study was performed of 18 patients who harbored a meningioma in the ventral foramen magnum (mean follow-up period, 40 months) and underwent surgery via a transcondylar approach. Sixteen patients underwent surgery for the first time: 12 underwent gross-total (75%), two near-total (12.5%), and two subtotal (12.5%) tumor removal. The remaining two patients were treated for a recurrent tumor. After obtaining postoperative Karnofsky Performance Scale (KPS) scores at follow up, statistically significant improvement was demonstrated compared with the preoperative scores. The extent of surgery and higher preoperative KPS scores were variables that showed statistically significant favorable influence on outcome. Ninth and 10th cranial nerve deficits were the most common complications contributing to a prolonged hospital stay. There were no perioperative deaths. Four patients died during the follow-up period. The first patient died of multiple myeloma. The second patient, in whom surgery was performed to treat a recurrent tumor, died 3 years after the surgery of new tumor recurrence at the age of 80 years. The remaining two patients died 1.5 and 5 months postsurgery of pulmonary embolus and endocarditis, respectively. CONCLUSIONS Ventral foramen magnum meningiomas can be radically resected in a majority of patients, with frequent but transient morbidity caused by lower cranial nerve deficits. Radical removal of a recurrent tumor provides a relatively long, stable postoperative course. In patients presenting with a low KPS score a poor prognosis is demonstrated, and early diagnosis and treatment are recommended to avoid it.","author":[{"dropping-particle":"","family":"Arnautović","given":"K I","non-dropping-particle":"","parse-names":false,"suffix":""},{"dropping-particle":"","family":"Al-Mefty","given":"O","non-dropping-particle":"","parse-names":false,"suffix":""},{"dropping-particle":"","family":"Husain","given":"M","non-dropping-particle":"","parse-names":false,"suffix":""}],"container-title":"Journal of neurosurgery","id":"ITEM-1","issue":"1 Suppl","issued":{"date-parts":[["2000","1"]]},"page":"71-80","title":"Ventral foramen magnum meninigiomas.","type":"article-journal","volume":"92"},"uris":["http://www.mendeley.com/documents/?uuid=23229cdb-6a39-3a25-a40c-c3613fdf3a86"]}],"mendeley":{"formattedCitation":"[29]","plainTextFormattedCitation":"[29]","previouslyFormattedCitation":"[23]"},"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[29]</w:t>
      </w:r>
      <w:r w:rsidR="00227A8B" w:rsidRPr="0006264D">
        <w:rPr>
          <w:rFonts w:ascii="Times New Roman" w:hAnsi="Times New Roman"/>
          <w:sz w:val="20"/>
          <w:szCs w:val="20"/>
          <w:vertAlign w:val="superscript"/>
        </w:rPr>
        <w:fldChar w:fldCharType="end"/>
      </w:r>
      <w:r w:rsidR="002E1070" w:rsidRPr="0006264D">
        <w:rPr>
          <w:rFonts w:ascii="Times New Roman" w:hAnsi="Times New Roman"/>
          <w:sz w:val="20"/>
          <w:szCs w:val="20"/>
        </w:rPr>
        <w:t xml:space="preserve"> </w:t>
      </w:r>
      <w:r w:rsidRPr="0006264D">
        <w:rPr>
          <w:rFonts w:ascii="Times New Roman" w:hAnsi="Times New Roman"/>
          <w:sz w:val="20"/>
          <w:szCs w:val="20"/>
        </w:rPr>
        <w:t>Talacchi et al 2012</w:t>
      </w:r>
      <w:r w:rsidR="00E45D9C" w:rsidRPr="0006264D">
        <w:rPr>
          <w:rFonts w:ascii="Times New Roman" w:hAnsi="Times New Roman"/>
          <w:sz w:val="20"/>
          <w:szCs w:val="20"/>
        </w:rPr>
        <w:t>,</w:t>
      </w:r>
      <w:r w:rsidRPr="0006264D">
        <w:rPr>
          <w:rFonts w:ascii="Times New Roman" w:hAnsi="Times New Roman"/>
          <w:sz w:val="20"/>
          <w:szCs w:val="20"/>
        </w:rPr>
        <w:t xml:space="preserve"> in a recently published series of 64 patients with ventral and ventrolateral FMMs, reported a high incidence of cranial nerve IX–X and XII dysfunctions postoperatively (44% and 33%, respectively).</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10.1007/s10143-012-0381-6","ISSN":"0344-5607","author":[{"dropping-particle":"","family":"Talacchi","given":"Andrea","non-dropping-particle":"","parse-names":false,"suffix":""},{"dropping-particle":"","family":"Biroli","given":"Antonio","non-dropping-particle":"","parse-names":false,"suffix":""},{"dropping-particle":"","family":"Soda","given":"Christian","non-dropping-particle":"","parse-names":false,"suffix":""},{"dropping-particle":"","family":"Masotto","given":"Barbara","non-dropping-particle":"","parse-names":false,"suffix":""},{"dropping-particle":"","family":"Bricolo","given":"Albino","non-dropping-particle":"","parse-names":false,"suffix":""}],"container-title":"Neurosurgical Review","id":"ITEM-1","issue":"3","issued":{"date-parts":[["2012","7","21"]]},"page":"359-368","publisher":"Springer-Verlag","title":"Surgical management of ventral and ventrolateral foramen magnum meningiomas: report on a 64-case series and review of the literature","type":"article-journal","volume":"35"},"uris":["http://www.mendeley.com/documents/?uuid=4c259894-c1c5-3ad3-b5a2-644ce5f1fcab"]}],"mendeley":{"formattedCitation":"[30]","plainTextFormattedCitation":"[30]","previouslyFormattedCitation":"[24]"},"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[30]</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At their final outcome assessment, however, 66% of the cranial nerve deficits had improved completely, and all but 2 patients had returned to normal productive life. Samii et al. 1996 reported an overall complication rate of 30%, with aspiration pneumonia occurring in 10% of the patients.</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10.1097/00006123-199612000-00003","ISSN":"0148-396X","author":[{"dropping-particle":"","family":"Samii","given":"Madjid","non-dropping-particle":"","parse-names":false,"suffix":""},{"dropping-particle":"","family":"Klekamp","given":"Jörg","non-dropping-particle":"","parse-names":false,"suffix":""},{"dropping-particle":"","family":"Carvalho","given":"Gustavo","non-dropping-particle":"","parse-names":false,"suffix":""}],"container-title":"Neurosurgery","id":"ITEM-1","issue":"6","issued":{"date-parts":[["1996","12","1"]]},"page":"1086-1095","publisher":"Narnia","title":"Surgical Results for Meningiomas of the Craniocervical Junction","type":"article-journal","volume":"39"},"uris":["http://www.mendeley.com/documents/?uuid=a9f24b11-fc58-3df8-bf75-4d837706a35a"]}],"mendeley":{"formattedCitation":"[31]","plainTextFormattedCitation":"[31]","previouslyFormattedCitation":"[25]"},"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[31]</w:t>
      </w:r>
      <w:r w:rsidR="00227A8B" w:rsidRPr="0006264D">
        <w:rPr>
          <w:rFonts w:ascii="Times New Roman" w:hAnsi="Times New Roman"/>
          <w:sz w:val="20"/>
          <w:szCs w:val="20"/>
          <w:vertAlign w:val="superscript"/>
        </w:rPr>
        <w:fldChar w:fldCharType="end"/>
      </w:r>
      <w:r w:rsidRPr="0006264D">
        <w:rPr>
          <w:rFonts w:ascii="Times New Roman" w:hAnsi="Times New Roman"/>
          <w:sz w:val="20"/>
          <w:szCs w:val="20"/>
        </w:rPr>
        <w:t xml:space="preserve"> After multiple regression analysis, tumor recurrence, arachnoid scarring, degree of cranial extension, and absence of preoperative cranial nerve dysfunction were all significantly associated with an increased risk of aspiration pneumonia. </w:t>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10.1007/s10143-012-0381-6","ISSN":"0344-5607","author":[{"dropping-particle":"","family":"Talacchi","given":"Andrea","non-dropping-particle":"","parse-names":false,"suffix":""},{"dropping-particle":"","family":"Biroli","given":"Antonio","non-dropping-particle":"","parse-names":false,"suffix":""},{"dropping-particle":"","family":"Soda","given":"Christian","non-dropping-particle":"","parse-names":false,"suffix":""},{"dropping-particle":"","family":"Masotto","given":"Barbara","non-dropping-particle":"","parse-names":false,"suffix":""},{"dropping-particle":"","family":"Bricolo","given":"Albino","non-dropping-particle":"","parse-names":false,"suffix":""}],"container-title":"Neurosurgical Review","id":"ITEM-1","issue":"3","issued":{"date-parts":[["2012","7","21"]]},"page":"359-368","publisher":"Springer-Verlag","title":"Surgical management of ventral and ventrolateral foramen magnum meningiomas: report on a 64-case series and review of the literature","type":"article-journal","volume":"35"},"uris":["http://www.mendeley.com/documents/?uuid=4c259894-c1c5-3ad3-b5a2-644ce5f1fcab"]}],"mendeley":{"formattedCitation":"[30]","plainTextFormattedCitation":"[30]","previouslyFormattedCitation":"[24]"},"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[30]</w:t>
      </w:r>
      <w:r w:rsidR="00227A8B" w:rsidRPr="0006264D">
        <w:rPr>
          <w:rFonts w:ascii="Times New Roman" w:hAnsi="Times New Roman"/>
          <w:sz w:val="20"/>
          <w:szCs w:val="20"/>
          <w:vertAlign w:val="superscript"/>
        </w:rPr>
        <w:fldChar w:fldCharType="end"/>
      </w:r>
      <w:r w:rsidR="00227A8B" w:rsidRPr="0006264D">
        <w:rPr>
          <w:rFonts w:ascii="Times New Roman" w:hAnsi="Times New Roman"/>
          <w:sz w:val="20"/>
          <w:szCs w:val="20"/>
          <w:vertAlign w:val="superscript"/>
        </w:rPr>
        <w:fldChar w:fldCharType="begin" w:fldLock="1"/>
      </w:r>
      <w:r w:rsidR="009B7FE7" w:rsidRPr="0006264D">
        <w:rPr>
          <w:rFonts w:ascii="Times New Roman" w:hAnsi="Times New Roman"/>
          <w:sz w:val="20"/>
          <w:szCs w:val="20"/>
          <w:vertAlign w:val="superscript"/>
        </w:rPr>
        <w:instrText>ADDIN CSL_CITATION {"citationItems":[{"id":"ITEM-1","itemData":{"DOI":"10.1097/00006123-199612000-00003","ISSN":"0148-396X","author":[{"dropping-particle":"","family":"Samii","given":"Madjid","non-dropping-particle":"","parse-names":false,"suffix":""},{"dropping-particle":"","family":"Klekamp","given":"Jörg","non-dropping-particle":"","parse-names":false,"suffix":""},{"dropping-particle":"","family":"Carvalho","given":"Gustavo","non-dropping-particle":"","parse-names":false,"suffix":""}],"container-title":"Neurosurgery","id":"ITEM-1","issue":"6","issued":{"date-parts":[["1996","12","1"]]},"page":"1086-1095","publisher":"Narnia","title":"Surgical Results for Meningiomas of the Craniocervical Junction","type":"article-journal","volume":"39"},"uris":["http://www.mendeley.com/documents/?uuid=a9f24b11-fc58-3df8-bf75-4d837706a35a"]}],"mendeley":{"formattedCitation":"[31]","plainTextFormattedCitation":"[31]","previouslyFormattedCitation":"[25]"},"properties":{"noteIndex":0},"schema":"https://github.com/citation-style-language/schema/raw/master/csl-citation.json"}</w:instrText>
      </w:r>
      <w:r w:rsidR="00227A8B" w:rsidRPr="0006264D">
        <w:rPr>
          <w:rFonts w:ascii="Times New Roman" w:hAnsi="Times New Roman"/>
          <w:sz w:val="20"/>
          <w:szCs w:val="20"/>
          <w:vertAlign w:val="superscript"/>
        </w:rPr>
        <w:fldChar w:fldCharType="separate"/>
      </w:r>
      <w:r w:rsidR="009B7FE7" w:rsidRPr="0006264D">
        <w:rPr>
          <w:rFonts w:ascii="Times New Roman" w:hAnsi="Times New Roman"/>
          <w:noProof/>
          <w:sz w:val="20"/>
          <w:szCs w:val="20"/>
        </w:rPr>
        <w:t>[31]</w:t>
      </w:r>
      <w:r w:rsidR="00227A8B" w:rsidRPr="0006264D">
        <w:rPr>
          <w:rFonts w:ascii="Times New Roman" w:hAnsi="Times New Roman"/>
          <w:sz w:val="20"/>
          <w:szCs w:val="20"/>
          <w:vertAlign w:val="superscript"/>
        </w:rPr>
        <w:fldChar w:fldCharType="end"/>
      </w:r>
    </w:p>
    <w:p w:rsidR="00454040" w:rsidRPr="004765DE" w:rsidRDefault="00454040" w:rsidP="002F4011">
      <w:pPr>
        <w:widowControl w:val="0"/>
        <w:autoSpaceDE w:val="0"/>
        <w:autoSpaceDN w:val="0"/>
        <w:adjustRightInd w:val="0"/>
        <w:snapToGrid w:val="0"/>
        <w:ind w:firstLine="425"/>
        <w:jc w:val="both"/>
        <w:rPr>
          <w:rFonts w:ascii="Times New Roman" w:hAnsi="Times New Roman"/>
          <w:color w:val="000000"/>
          <w:sz w:val="20"/>
          <w:szCs w:val="20"/>
        </w:rPr>
      </w:pPr>
    </w:p>
    <w:p w:rsidR="00E15978" w:rsidRPr="004765DE" w:rsidRDefault="002E1070" w:rsidP="002F4011">
      <w:pPr>
        <w:snapToGrid w:val="0"/>
        <w:jc w:val="both"/>
        <w:rPr>
          <w:rFonts w:ascii="Times New Roman" w:hAnsi="Times New Roman"/>
          <w:b/>
          <w:bCs/>
          <w:color w:val="000000"/>
          <w:sz w:val="20"/>
          <w:szCs w:val="20"/>
        </w:rPr>
      </w:pPr>
      <w:r w:rsidRPr="004765DE">
        <w:rPr>
          <w:rFonts w:ascii="Times New Roman" w:hAnsi="Times New Roman"/>
          <w:b/>
          <w:bCs/>
          <w:color w:val="000000"/>
          <w:sz w:val="20"/>
          <w:szCs w:val="20"/>
        </w:rPr>
        <w:t xml:space="preserve">5. </w:t>
      </w:r>
      <w:r w:rsidR="00E15978" w:rsidRPr="004765DE">
        <w:rPr>
          <w:rFonts w:ascii="Times New Roman" w:hAnsi="Times New Roman"/>
          <w:b/>
          <w:bCs/>
          <w:color w:val="000000"/>
          <w:sz w:val="20"/>
          <w:szCs w:val="20"/>
        </w:rPr>
        <w:t>Conclusion</w:t>
      </w:r>
    </w:p>
    <w:p w:rsidR="00E15978" w:rsidRPr="004765DE" w:rsidRDefault="00E15978" w:rsidP="002F4011">
      <w:pPr>
        <w:numPr>
          <w:ilvl w:val="0"/>
          <w:numId w:val="18"/>
        </w:numPr>
        <w:snapToGrid w:val="0"/>
        <w:ind w:left="0" w:firstLine="425"/>
        <w:jc w:val="both"/>
        <w:rPr>
          <w:rFonts w:ascii="Times New Roman" w:hAnsi="Times New Roman"/>
          <w:color w:val="000000"/>
          <w:sz w:val="20"/>
          <w:szCs w:val="20"/>
        </w:rPr>
      </w:pPr>
      <w:r w:rsidRPr="004765DE">
        <w:rPr>
          <w:rFonts w:ascii="Times New Roman" w:hAnsi="Times New Roman"/>
          <w:color w:val="000000"/>
          <w:sz w:val="20"/>
          <w:szCs w:val="20"/>
        </w:rPr>
        <w:t>Posterior approach is safe and covers a wide range of management for most of the craniocervical junction lesions, and can be used to manage cases in need for either decompression as tumors posteriorly or poster laterally located or fusion for instability cases with minimal side effects.</w:t>
      </w:r>
    </w:p>
    <w:p w:rsidR="00E15978" w:rsidRPr="004765DE" w:rsidRDefault="00E15978" w:rsidP="002F4011">
      <w:pPr>
        <w:numPr>
          <w:ilvl w:val="0"/>
          <w:numId w:val="18"/>
        </w:numPr>
        <w:snapToGrid w:val="0"/>
        <w:ind w:left="0" w:firstLine="425"/>
        <w:jc w:val="both"/>
        <w:rPr>
          <w:rFonts w:ascii="Times New Roman" w:hAnsi="Times New Roman"/>
          <w:color w:val="000000"/>
          <w:sz w:val="20"/>
          <w:szCs w:val="20"/>
        </w:rPr>
      </w:pPr>
      <w:r w:rsidRPr="004765DE">
        <w:rPr>
          <w:rFonts w:ascii="Times New Roman" w:hAnsi="Times New Roman"/>
          <w:color w:val="000000"/>
          <w:sz w:val="20"/>
          <w:szCs w:val="20"/>
        </w:rPr>
        <w:t>Anterior odontoid screw can be an alternative option to posterior C1-C2 fusion in selected recent odontoid fracture type II with oblique fracture and minimal displacement.</w:t>
      </w:r>
    </w:p>
    <w:p w:rsidR="00E15978" w:rsidRPr="004765DE" w:rsidRDefault="00E15978" w:rsidP="002F4011">
      <w:pPr>
        <w:numPr>
          <w:ilvl w:val="0"/>
          <w:numId w:val="18"/>
        </w:numPr>
        <w:snapToGrid w:val="0"/>
        <w:ind w:left="0" w:firstLine="425"/>
        <w:jc w:val="both"/>
        <w:rPr>
          <w:rFonts w:ascii="Times New Roman" w:hAnsi="Times New Roman"/>
          <w:color w:val="000000"/>
          <w:sz w:val="20"/>
          <w:szCs w:val="20"/>
        </w:rPr>
      </w:pPr>
      <w:r w:rsidRPr="004765DE">
        <w:rPr>
          <w:rFonts w:ascii="Times New Roman" w:hAnsi="Times New Roman"/>
          <w:color w:val="000000"/>
          <w:sz w:val="20"/>
          <w:szCs w:val="20"/>
        </w:rPr>
        <w:t>Anterior retropharyngeal approach can be an option for accessing the craniocervical junction for either biopsy of lesion, drainage of abscess or other selected lesions.</w:t>
      </w:r>
    </w:p>
    <w:p w:rsidR="00E15978" w:rsidRPr="004765DE" w:rsidRDefault="00E15978" w:rsidP="002F4011">
      <w:pPr>
        <w:numPr>
          <w:ilvl w:val="0"/>
          <w:numId w:val="18"/>
        </w:numPr>
        <w:snapToGrid w:val="0"/>
        <w:ind w:left="0" w:firstLine="425"/>
        <w:jc w:val="both"/>
        <w:rPr>
          <w:rFonts w:ascii="Times New Roman" w:hAnsi="Times New Roman"/>
          <w:sz w:val="20"/>
          <w:szCs w:val="20"/>
        </w:rPr>
      </w:pPr>
      <w:r w:rsidRPr="004765DE">
        <w:rPr>
          <w:rFonts w:ascii="Times New Roman" w:hAnsi="Times New Roman"/>
          <w:color w:val="000000"/>
          <w:sz w:val="20"/>
          <w:szCs w:val="20"/>
        </w:rPr>
        <w:t xml:space="preserve">Far Lateral approach is the appropriate approach for anterior or anterolaterally located lesions and complications are common as cranial nerve dysfunction, use of Neuro-navigation, cranial nerves </w:t>
      </w:r>
      <w:r w:rsidRPr="004765DE">
        <w:rPr>
          <w:rFonts w:ascii="Times New Roman" w:hAnsi="Times New Roman"/>
          <w:color w:val="000000"/>
          <w:sz w:val="20"/>
          <w:szCs w:val="20"/>
        </w:rPr>
        <w:lastRenderedPageBreak/>
        <w:t xml:space="preserve">monitoring and stimulation is helpful to decrease the risk of </w:t>
      </w:r>
      <w:r w:rsidRPr="004765DE">
        <w:rPr>
          <w:rFonts w:ascii="Times New Roman" w:hAnsi="Times New Roman"/>
          <w:sz w:val="20"/>
          <w:szCs w:val="20"/>
        </w:rPr>
        <w:t>injury.</w:t>
      </w:r>
    </w:p>
    <w:p w:rsidR="006A4BE2" w:rsidRPr="004765DE" w:rsidRDefault="006A4BE2" w:rsidP="002F4011">
      <w:pPr>
        <w:widowControl w:val="0"/>
        <w:autoSpaceDE w:val="0"/>
        <w:autoSpaceDN w:val="0"/>
        <w:adjustRightInd w:val="0"/>
        <w:snapToGrid w:val="0"/>
        <w:jc w:val="both"/>
        <w:rPr>
          <w:rFonts w:ascii="Times New Roman" w:hAnsi="Times New Roman"/>
          <w:b/>
          <w:bCs/>
          <w:color w:val="000000"/>
          <w:sz w:val="20"/>
          <w:szCs w:val="20"/>
        </w:rPr>
      </w:pPr>
    </w:p>
    <w:p w:rsidR="006A4BE2" w:rsidRPr="004765DE" w:rsidRDefault="006A4BE2" w:rsidP="002F4011">
      <w:pPr>
        <w:widowControl w:val="0"/>
        <w:autoSpaceDE w:val="0"/>
        <w:autoSpaceDN w:val="0"/>
        <w:adjustRightInd w:val="0"/>
        <w:snapToGrid w:val="0"/>
        <w:ind w:left="425" w:hanging="425"/>
        <w:jc w:val="both"/>
        <w:rPr>
          <w:rFonts w:ascii="Times New Roman" w:hAnsi="Times New Roman"/>
          <w:bCs/>
          <w:color w:val="000000"/>
          <w:sz w:val="20"/>
          <w:szCs w:val="20"/>
        </w:rPr>
      </w:pPr>
      <w:r w:rsidRPr="004765DE">
        <w:rPr>
          <w:rFonts w:ascii="Times New Roman" w:hAnsi="Times New Roman"/>
          <w:b/>
          <w:bCs/>
          <w:color w:val="000000"/>
          <w:sz w:val="20"/>
          <w:szCs w:val="20"/>
        </w:rPr>
        <w:t>References:</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Vender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McDonnell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Lesions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Involving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Quarterly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2001;</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11</w:t>
      </w:r>
      <w:r w:rsidRPr="004765DE">
        <w:rPr>
          <w:rFonts w:ascii="Times New Roman" w:hAnsi="Times New Roman"/>
          <w:noProof/>
          <w:sz w:val="20"/>
          <w:szCs w:val="20"/>
        </w:rPr>
        <w:t>(2):151–171.</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John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Menezes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Craniovertebral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Abnormalities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Their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Treatment.</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Schmidek</w:t>
      </w:r>
      <w:r w:rsidR="00E45D9C" w:rsidRPr="004765DE">
        <w:rPr>
          <w:rFonts w:ascii="Times New Roman" w:hAnsi="Times New Roman"/>
          <w:i/>
          <w:iCs/>
          <w:noProof/>
          <w:sz w:val="20"/>
          <w:szCs w:val="20"/>
        </w:rPr>
        <w:t xml:space="preserve"> &amp; </w:t>
      </w:r>
      <w:r w:rsidRPr="004765DE">
        <w:rPr>
          <w:rFonts w:ascii="Times New Roman" w:hAnsi="Times New Roman"/>
          <w:i/>
          <w:iCs/>
          <w:noProof/>
          <w:sz w:val="20"/>
          <w:szCs w:val="20"/>
        </w:rPr>
        <w:t>Sweet</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Operative</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techniques: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Indications,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Methodes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and</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Results,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2000;</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w:t>
      </w:r>
      <w:r w:rsidRPr="004765DE">
        <w:rPr>
          <w:rFonts w:ascii="Times New Roman" w:hAnsi="Times New Roman"/>
          <w:noProof/>
          <w:sz w:val="20"/>
          <w:szCs w:val="20"/>
        </w:rPr>
        <w:t>:1717–1728.</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Dickman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Locantro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Fessler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influence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transoral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resection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stability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craniovertebral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1992;</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77</w:t>
      </w:r>
      <w:r w:rsidRPr="004765DE">
        <w:rPr>
          <w:rFonts w:ascii="Times New Roman" w:hAnsi="Times New Roman"/>
          <w:noProof/>
          <w:sz w:val="20"/>
          <w:szCs w:val="20"/>
        </w:rPr>
        <w:t>(4):525–530.</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Mcdonnell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Anterolateral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Approach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Craniovertebral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Wilkins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RH,</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Rengachary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SS,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eds.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Pr="004765DE">
        <w:rPr>
          <w:rFonts w:ascii="Times New Roman" w:hAnsi="Times New Roman"/>
          <w:noProof/>
          <w:sz w:val="20"/>
          <w:szCs w:val="20"/>
        </w:rPr>
        <w: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McGraw-Hil.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York;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1996:136–153.</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Bertalanffy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Seeger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dorsolateral,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suboccipital,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transcondylar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approach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lower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clivus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portion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1991;</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29</w:t>
      </w:r>
      <w:r w:rsidRPr="004765DE">
        <w:rPr>
          <w:rFonts w:ascii="Times New Roman" w:hAnsi="Times New Roman"/>
          <w:noProof/>
          <w:sz w:val="20"/>
          <w:szCs w:val="20"/>
        </w:rPr>
        <w:t>(6):815–821.</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George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Archilli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Cornelius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Bone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tumors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results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from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series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41</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Acta</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Neurochirurgica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148</w:t>
      </w:r>
      <w:r w:rsidRPr="004765DE">
        <w:rPr>
          <w:rFonts w:ascii="Times New Roman" w:hAnsi="Times New Roman"/>
          <w:noProof/>
          <w:sz w:val="20"/>
          <w:szCs w:val="20"/>
        </w:rPr>
        <w:t>(7):741–749.</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Menezes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Decision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making.</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Child’s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Nervous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System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2008;</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24</w:t>
      </w:r>
      <w:r w:rsidRPr="004765DE">
        <w:rPr>
          <w:rFonts w:ascii="Times New Roman" w:hAnsi="Times New Roman"/>
          <w:noProof/>
          <w:sz w:val="20"/>
          <w:szCs w:val="20"/>
        </w:rPr>
        <w:t>(10):1147–1153.</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Batzdorf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McArthur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Bentson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treatment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without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syringomyelia: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experience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177</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adult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patients.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2013;</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118</w:t>
      </w:r>
      <w:r w:rsidRPr="004765DE">
        <w:rPr>
          <w:rFonts w:ascii="Times New Roman" w:hAnsi="Times New Roman"/>
          <w:noProof/>
          <w:sz w:val="20"/>
          <w:szCs w:val="20"/>
        </w:rPr>
        <w:t>(2):232–242.</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Goldschagg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Feil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Ihl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Decompression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Clinical,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Ocular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Motor,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Cerebellar,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Vestibular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Outcome.</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Frontiers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in</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Neurology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2017;</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8</w:t>
      </w:r>
      <w:r w:rsidRPr="004765DE">
        <w:rPr>
          <w:rFonts w:ascii="Times New Roman" w:hAnsi="Times New Roman"/>
          <w:noProof/>
          <w:sz w:val="20"/>
          <w:szCs w:val="20"/>
        </w:rPr>
        <w:t>.</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Chotai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Kshettry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VR,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Lamki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Ammirati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outcomes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using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wide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suboccipital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decompression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adult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without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syringomyelia.</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Clinical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Neurology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and</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2014;</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120</w:t>
      </w:r>
      <w:r w:rsidRPr="004765DE">
        <w:rPr>
          <w:rFonts w:ascii="Times New Roman" w:hAnsi="Times New Roman"/>
          <w:noProof/>
          <w:sz w:val="20"/>
          <w:szCs w:val="20"/>
        </w:rPr>
        <w:t>:129–135.</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Baisden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Controversies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Surgical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Neurology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International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2012;</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3</w:t>
      </w:r>
      <w:r w:rsidRPr="004765DE">
        <w:rPr>
          <w:rFonts w:ascii="Times New Roman" w:hAnsi="Times New Roman"/>
          <w:noProof/>
          <w:sz w:val="20"/>
          <w:szCs w:val="20"/>
        </w:rPr>
        <w:t>(4):232.</w:t>
      </w:r>
      <w:bookmarkStart w:id="5" w:name="_GoBack"/>
      <w:bookmarkEnd w:id="5"/>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Holly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Batzdorf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cerebellar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ptosis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following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craniovertebral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decompression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2001;</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94</w:t>
      </w:r>
      <w:r w:rsidRPr="004765DE">
        <w:rPr>
          <w:rFonts w:ascii="Times New Roman" w:hAnsi="Times New Roman"/>
          <w:noProof/>
          <w:sz w:val="20"/>
          <w:szCs w:val="20"/>
        </w:rPr>
        <w:t>(1):21–26.</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13.</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Litvack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ZN,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Lindsay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Selden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Dura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splitting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decompression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Chiari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malformation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pediatric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patients: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Clinical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lastRenderedPageBreak/>
        <w:t>outcomes,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healthcare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costs,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resource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utilization.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2013;</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72</w:t>
      </w:r>
      <w:r w:rsidRPr="004765DE">
        <w:rPr>
          <w:rFonts w:ascii="Times New Roman" w:hAnsi="Times New Roman"/>
          <w:noProof/>
          <w:sz w:val="20"/>
          <w:szCs w:val="20"/>
        </w:rPr>
        <w:t>(6):922–928.</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Wolfs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JFC,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Peul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Boers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Rationale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design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Delphi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Trial--</w:t>
      </w:r>
      <w:r w:rsidR="00E45D9C" w:rsidRPr="004765DE">
        <w:rPr>
          <w:rFonts w:ascii="Times New Roman" w:hAnsi="Times New Roman"/>
          <w:noProof/>
          <w:sz w:val="20"/>
          <w:szCs w:val="20"/>
        </w:rPr>
        <w:t>I (</w:t>
      </w:r>
      <w:r w:rsidRPr="004765DE">
        <w:rPr>
          <w:rFonts w:ascii="Times New Roman" w:hAnsi="Times New Roman"/>
          <w:noProof/>
          <w:sz w:val="20"/>
          <w:szCs w:val="20"/>
        </w:rPr>
        <w:t>RCT)2:</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international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randomized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clinical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trial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rheumatoid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treatment,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intervention-prognostic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trial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comparing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“early”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conservative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treatment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[ISRCTN65076841].</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BMC</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musculoskeletal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disorders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7</w:t>
      </w:r>
      <w:r w:rsidRPr="004765DE">
        <w:rPr>
          <w:rFonts w:ascii="Times New Roman" w:hAnsi="Times New Roman"/>
          <w:noProof/>
          <w:sz w:val="20"/>
          <w:szCs w:val="20"/>
        </w:rPr>
        <w:t>:14.</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Dührsen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Emami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Matschke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Abboud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Westphal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Regelsberger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Meninigiomas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Distinctive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Subgroup</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Meningiomas.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PLoS</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11</w:t>
      </w:r>
      <w:r w:rsidRPr="004765DE">
        <w:rPr>
          <w:rFonts w:ascii="Times New Roman" w:hAnsi="Times New Roman"/>
          <w:noProof/>
          <w:sz w:val="20"/>
          <w:szCs w:val="20"/>
        </w:rPr>
        <w:t>(4).</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Shiban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Török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Wostrack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Meyer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Lehmberg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far-lateral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approach: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destruction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condyle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does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not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necessarily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result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clinically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evident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craniovertebral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instability.</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125</w:t>
      </w:r>
      <w:r w:rsidRPr="004765DE">
        <w:rPr>
          <w:rFonts w:ascii="Times New Roman" w:hAnsi="Times New Roman"/>
          <w:noProof/>
          <w:sz w:val="20"/>
          <w:szCs w:val="20"/>
        </w:rPr>
        <w:t>(July):196–201.</w:t>
      </w:r>
      <w:r w:rsidR="00E45D9C" w:rsidRPr="004765DE">
        <w:rPr>
          <w:rFonts w:ascii="Times New Roman" w:hAnsi="Times New Roman"/>
          <w:noProof/>
          <w:sz w:val="20"/>
          <w:szCs w:val="20"/>
        </w:rPr>
        <w:t xml:space="preserve"> </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Ren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XF,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Xi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YM,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Zhang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GQ,</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Single-stage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combined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retropharyngeal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posterior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approach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resection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reconstruction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C2</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metastatic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tumors: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report.</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Experimental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and</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Therapeutic</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Medicine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2014;</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7</w:t>
      </w:r>
      <w:r w:rsidRPr="004765DE">
        <w:rPr>
          <w:rFonts w:ascii="Times New Roman" w:hAnsi="Times New Roman"/>
          <w:noProof/>
          <w:sz w:val="20"/>
          <w:szCs w:val="20"/>
        </w:rPr>
        <w:t>(4):887–890.</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Colak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Kutlay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Kibici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Demircan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Akin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Two-staged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operation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C2</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neoplastic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lesions: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excision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posterior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stabilization.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review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2004;</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27</w:t>
      </w:r>
      <w:r w:rsidRPr="004765DE">
        <w:rPr>
          <w:rFonts w:ascii="Times New Roman" w:hAnsi="Times New Roman"/>
          <w:noProof/>
          <w:sz w:val="20"/>
          <w:szCs w:val="20"/>
        </w:rPr>
        <w:t>(3):189–193.</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Falavigna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Righesso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Silva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Type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Fractures: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Experience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from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Latin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American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Spine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Centers.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World</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2017;</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98</w:t>
      </w:r>
      <w:r w:rsidRPr="004765DE">
        <w:rPr>
          <w:rFonts w:ascii="Times New Roman" w:hAnsi="Times New Roman"/>
          <w:noProof/>
          <w:sz w:val="20"/>
          <w:szCs w:val="20"/>
        </w:rPr>
        <w:t>:673–681.</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Faure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Graillon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Pesenti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Tropiano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Blondel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Fuentes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Trends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fractures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patients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above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75</w:t>
      </w:r>
      <w:r w:rsidR="00E45D9C" w:rsidRPr="004765DE">
        <w:rPr>
          <w:rFonts w:ascii="Times New Roman" w:hAnsi="Times New Roman"/>
          <w:noProof/>
          <w:sz w:val="20"/>
          <w:szCs w:val="20"/>
        </w:rPr>
        <w:t xml:space="preserve"> </w:t>
      </w:r>
      <w:r w:rsidRPr="004765DE">
        <w:rPr>
          <w:rFonts w:ascii="Times New Roman" w:hAnsi="Times New Roman"/>
          <w:noProof/>
          <w:sz w:val="20"/>
          <w:szCs w:val="20"/>
        </w:rPr>
        <w:t>years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age: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Retrospective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study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70</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Orthopaedics</w:t>
      </w:r>
      <w:r w:rsidR="00E45D9C" w:rsidRPr="004765DE">
        <w:rPr>
          <w:rFonts w:ascii="Times New Roman" w:hAnsi="Times New Roman"/>
          <w:i/>
          <w:iCs/>
          <w:noProof/>
          <w:sz w:val="20"/>
          <w:szCs w:val="20"/>
        </w:rPr>
        <w:t xml:space="preserve"> &amp; </w:t>
      </w:r>
      <w:r w:rsidRPr="004765DE">
        <w:rPr>
          <w:rFonts w:ascii="Times New Roman" w:hAnsi="Times New Roman"/>
          <w:i/>
          <w:iCs/>
          <w:noProof/>
          <w:sz w:val="20"/>
          <w:szCs w:val="20"/>
        </w:rPr>
        <w:t>Traumatology: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Surgery</w:t>
      </w:r>
      <w:r w:rsidR="00E45D9C" w:rsidRPr="004765DE">
        <w:rPr>
          <w:rFonts w:ascii="Times New Roman" w:hAnsi="Times New Roman"/>
          <w:i/>
          <w:iCs/>
          <w:noProof/>
          <w:sz w:val="20"/>
          <w:szCs w:val="20"/>
        </w:rPr>
        <w:t xml:space="preserve"> &amp; </w:t>
      </w:r>
      <w:r w:rsidRPr="004765DE">
        <w:rPr>
          <w:rFonts w:ascii="Times New Roman" w:hAnsi="Times New Roman"/>
          <w:i/>
          <w:iCs/>
          <w:noProof/>
          <w:sz w:val="20"/>
          <w:szCs w:val="20"/>
        </w:rPr>
        <w:t>Research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2017.</w:t>
      </w:r>
      <w:r w:rsidR="00E45D9C" w:rsidRPr="004765DE">
        <w:rPr>
          <w:rFonts w:ascii="Times New Roman" w:hAnsi="Times New Roman"/>
          <w:noProof/>
          <w:sz w:val="20"/>
          <w:szCs w:val="20"/>
        </w:rPr>
        <w:t xml:space="preserve"> </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Wagner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Schroeder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Kepler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Controversies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Geriatric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Fractures.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Orthopaedic</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Trauma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2017;</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31</w:t>
      </w:r>
      <w:r w:rsidRPr="004765DE">
        <w:rPr>
          <w:rFonts w:ascii="Times New Roman" w:hAnsi="Times New Roman"/>
          <w:noProof/>
          <w:sz w:val="20"/>
          <w:szCs w:val="20"/>
        </w:rPr>
        <w:t>(9):S44–S48.</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Munakomi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Tamrakar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Chaudhary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Bhattarai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single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screw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placement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type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fractures: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our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modified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technique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initial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results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cohort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study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15</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patients.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F1000Research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5</w:t>
      </w:r>
      <w:r w:rsidRPr="004765DE">
        <w:rPr>
          <w:rFonts w:ascii="Times New Roman" w:hAnsi="Times New Roman"/>
          <w:noProof/>
          <w:sz w:val="20"/>
          <w:szCs w:val="20"/>
        </w:rPr>
        <w:t>(0):1681.</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Dalvandi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Mohamadi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Ahmadi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Single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Lag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Screw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Fixation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Type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Odontoid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Process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Fractures: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Series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Literature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Review.</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Iranian</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Clinical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lastRenderedPageBreak/>
        <w:t>Research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2015;</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w:t>
      </w:r>
      <w:r w:rsidRPr="004765DE">
        <w:rPr>
          <w:rFonts w:ascii="Times New Roman" w:hAnsi="Times New Roman"/>
          <w:noProof/>
          <w:sz w:val="20"/>
          <w:szCs w:val="20"/>
        </w:rPr>
        <w:t>(2):62–66.</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Wang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Huang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Cervicomedullary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neurocysticercosis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causing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obstructive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hydrocephalus.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Clinical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Neuroscience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2015;</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22</w:t>
      </w:r>
      <w:r w:rsidRPr="004765DE">
        <w:rPr>
          <w:rFonts w:ascii="Times New Roman" w:hAnsi="Times New Roman"/>
          <w:noProof/>
          <w:sz w:val="20"/>
          <w:szCs w:val="20"/>
        </w:rPr>
        <w:t>(9):1525–1528.</w:t>
      </w:r>
      <w:r w:rsidR="00E45D9C" w:rsidRPr="004765DE">
        <w:rPr>
          <w:rFonts w:ascii="Times New Roman" w:hAnsi="Times New Roman"/>
          <w:noProof/>
          <w:sz w:val="20"/>
          <w:szCs w:val="20"/>
        </w:rPr>
        <w:t xml:space="preserve"> </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Amelot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Faillot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Hydrocephalus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neurocysticercosis: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illustrative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three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distinct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mechanisms.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Clinical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Neurology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(Korea)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2014;</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10</w:t>
      </w:r>
      <w:r w:rsidRPr="004765DE">
        <w:rPr>
          <w:rFonts w:ascii="Times New Roman" w:hAnsi="Times New Roman"/>
          <w:noProof/>
          <w:sz w:val="20"/>
          <w:szCs w:val="20"/>
        </w:rPr>
        <w:t>(4):363–366.</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Goulart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Mattei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Fiore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Thoman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Mendel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Retropharyngeal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abscess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secondary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osteomyelitis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epidural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abscess: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proposed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pathophysiological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mechanism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underrecognized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complication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unstable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injuries: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case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report.</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Spine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2015;</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24</w:t>
      </w:r>
      <w:r w:rsidRPr="004765DE">
        <w:rPr>
          <w:rFonts w:ascii="Times New Roman" w:hAnsi="Times New Roman"/>
          <w:noProof/>
          <w:sz w:val="20"/>
          <w:szCs w:val="20"/>
        </w:rPr>
        <w:t>(January):1–9.</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Xing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Gao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Gao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w:t>
      </w:r>
      <w:r w:rsidR="00E45D9C" w:rsidRPr="004765DE">
        <w:rPr>
          <w:rFonts w:ascii="Times New Roman" w:hAnsi="Times New Roman"/>
          <w:noProof/>
          <w:sz w:val="20"/>
          <w:szCs w:val="20"/>
        </w:rPr>
        <w:t xml:space="preserve"> </w:t>
      </w:r>
      <w:r w:rsidRPr="004765DE">
        <w:rPr>
          <w:rFonts w:ascii="Times New Roman" w:hAnsi="Times New Roman"/>
          <w:noProof/>
          <w:sz w:val="20"/>
          <w:szCs w:val="20"/>
        </w:rPr>
        <w:t>Zhang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Yu</w:t>
      </w:r>
      <w:r w:rsidR="00E45D9C" w:rsidRPr="004765DE">
        <w:rPr>
          <w:rFonts w:ascii="Times New Roman" w:hAnsi="Times New Roman"/>
          <w:noProof/>
          <w:sz w:val="20"/>
          <w:szCs w:val="20"/>
        </w:rPr>
        <w:t xml:space="preserve"> </w:t>
      </w:r>
      <w:r w:rsidRPr="004765DE">
        <w:rPr>
          <w:rFonts w:ascii="Times New Roman" w:hAnsi="Times New Roman"/>
          <w:noProof/>
          <w:sz w:val="20"/>
          <w:szCs w:val="20"/>
        </w:rPr>
        <w:t>Z.</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Anterior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Retropharyngeal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Debridement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lastRenderedPageBreak/>
        <w:t>Combined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With</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Occipital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Fusion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Upper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Tuberculosis.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Spine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41</w:t>
      </w:r>
      <w:r w:rsidRPr="004765DE">
        <w:rPr>
          <w:rFonts w:ascii="Times New Roman" w:hAnsi="Times New Roman"/>
          <w:noProof/>
          <w:sz w:val="20"/>
          <w:szCs w:val="20"/>
        </w:rPr>
        <w:t>(2):104–110.</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Tan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Hee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Neurological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recovery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after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occipitocervical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fixation.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orthopaedic</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surgery</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(Hong</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Kong)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2007;</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15</w:t>
      </w:r>
      <w:r w:rsidRPr="004765DE">
        <w:rPr>
          <w:rFonts w:ascii="Times New Roman" w:hAnsi="Times New Roman"/>
          <w:noProof/>
          <w:sz w:val="20"/>
          <w:szCs w:val="20"/>
        </w:rPr>
        <w:t>(3):323–6.</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Arnautović</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Al-Mefty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Husain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Ventral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foramen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magnum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meninigiomas.</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Journal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of</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2000;</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92</w:t>
      </w:r>
      <w:r w:rsidRPr="004765DE">
        <w:rPr>
          <w:rFonts w:ascii="Times New Roman" w:hAnsi="Times New Roman"/>
          <w:noProof/>
          <w:sz w:val="20"/>
          <w:szCs w:val="20"/>
        </w:rPr>
        <w:t>(1</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Suppl):71–80.</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Talacchi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Biroli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Soda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Masotto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w:t>
      </w:r>
      <w:r w:rsidR="00E45D9C" w:rsidRPr="004765DE">
        <w:rPr>
          <w:rFonts w:ascii="Times New Roman" w:hAnsi="Times New Roman"/>
          <w:noProof/>
          <w:sz w:val="20"/>
          <w:szCs w:val="20"/>
        </w:rPr>
        <w:t xml:space="preserve"> </w:t>
      </w:r>
      <w:r w:rsidRPr="004765DE">
        <w:rPr>
          <w:rFonts w:ascii="Times New Roman" w:hAnsi="Times New Roman"/>
          <w:noProof/>
          <w:sz w:val="20"/>
          <w:szCs w:val="20"/>
        </w:rPr>
        <w:t>Bricolo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management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ventral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ventrolateral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foramen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magnum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meningiomas: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report</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on</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w:t>
      </w:r>
      <w:r w:rsidR="00E45D9C" w:rsidRPr="004765DE">
        <w:rPr>
          <w:rFonts w:ascii="Times New Roman" w:hAnsi="Times New Roman"/>
          <w:noProof/>
          <w:sz w:val="20"/>
          <w:szCs w:val="20"/>
        </w:rPr>
        <w:t xml:space="preserve"> </w:t>
      </w:r>
      <w:r w:rsidRPr="004765DE">
        <w:rPr>
          <w:rFonts w:ascii="Times New Roman" w:hAnsi="Times New Roman"/>
          <w:noProof/>
          <w:sz w:val="20"/>
          <w:szCs w:val="20"/>
        </w:rPr>
        <w:t>64-case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series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and</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review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literature.</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Neurosurgical</w:t>
      </w:r>
      <w:r w:rsidR="00E45D9C" w:rsidRPr="004765DE">
        <w:rPr>
          <w:rFonts w:ascii="Times New Roman" w:hAnsi="Times New Roman"/>
          <w:i/>
          <w:iCs/>
          <w:noProof/>
          <w:sz w:val="20"/>
          <w:szCs w:val="20"/>
        </w:rPr>
        <w:t xml:space="preserve"> </w:t>
      </w:r>
      <w:r w:rsidRPr="004765DE">
        <w:rPr>
          <w:rFonts w:ascii="Times New Roman" w:hAnsi="Times New Roman"/>
          <w:i/>
          <w:iCs/>
          <w:noProof/>
          <w:sz w:val="20"/>
          <w:szCs w:val="20"/>
        </w:rPr>
        <w:t>Review</w:t>
      </w:r>
      <w:r w:rsidR="00E45D9C" w:rsidRPr="004765DE">
        <w:rPr>
          <w:rFonts w:ascii="Times New Roman" w:hAnsi="Times New Roman"/>
          <w:noProof/>
          <w:sz w:val="20"/>
          <w:szCs w:val="20"/>
        </w:rPr>
        <w:t xml:space="preserve"> </w:t>
      </w:r>
      <w:r w:rsidRPr="004765DE">
        <w:rPr>
          <w:rFonts w:ascii="Times New Roman" w:hAnsi="Times New Roman"/>
          <w:noProof/>
          <w:sz w:val="20"/>
          <w:szCs w:val="20"/>
        </w:rPr>
        <w:t>2012;</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35</w:t>
      </w:r>
      <w:r w:rsidRPr="004765DE">
        <w:rPr>
          <w:rFonts w:ascii="Times New Roman" w:hAnsi="Times New Roman"/>
          <w:noProof/>
          <w:sz w:val="20"/>
          <w:szCs w:val="20"/>
        </w:rPr>
        <w:t>(3):359–368.</w:t>
      </w:r>
    </w:p>
    <w:p w:rsidR="009B7FE7" w:rsidRPr="004765DE" w:rsidRDefault="009B7FE7" w:rsidP="002F4011">
      <w:pPr>
        <w:pStyle w:val="ListParagraph"/>
        <w:widowControl w:val="0"/>
        <w:numPr>
          <w:ilvl w:val="0"/>
          <w:numId w:val="20"/>
        </w:numPr>
        <w:autoSpaceDE w:val="0"/>
        <w:autoSpaceDN w:val="0"/>
        <w:adjustRightInd w:val="0"/>
        <w:snapToGrid w:val="0"/>
        <w:ind w:left="425" w:hanging="425"/>
        <w:jc w:val="both"/>
        <w:rPr>
          <w:rFonts w:ascii="Times New Roman" w:hAnsi="Times New Roman"/>
          <w:noProof/>
          <w:sz w:val="20"/>
          <w:szCs w:val="20"/>
        </w:rPr>
      </w:pPr>
      <w:r w:rsidRPr="004765DE">
        <w:rPr>
          <w:rFonts w:ascii="Times New Roman" w:hAnsi="Times New Roman"/>
          <w:noProof/>
          <w:sz w:val="20"/>
          <w:szCs w:val="20"/>
        </w:rPr>
        <w:t>Samii</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w:t>
      </w:r>
      <w:r w:rsidR="00E45D9C" w:rsidRPr="004765DE">
        <w:rPr>
          <w:rFonts w:ascii="Times New Roman" w:hAnsi="Times New Roman"/>
          <w:noProof/>
          <w:sz w:val="20"/>
          <w:szCs w:val="20"/>
        </w:rPr>
        <w:t xml:space="preserve"> </w:t>
      </w:r>
      <w:r w:rsidRPr="004765DE">
        <w:rPr>
          <w:rFonts w:ascii="Times New Roman" w:hAnsi="Times New Roman"/>
          <w:noProof/>
          <w:sz w:val="20"/>
          <w:szCs w:val="20"/>
        </w:rPr>
        <w:t>Klekamp</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Carvalho</w:t>
      </w:r>
      <w:r w:rsidR="00E45D9C" w:rsidRPr="004765DE">
        <w:rPr>
          <w:rFonts w:ascii="Times New Roman" w:hAnsi="Times New Roman"/>
          <w:noProof/>
          <w:sz w:val="20"/>
          <w:szCs w:val="20"/>
        </w:rPr>
        <w:t xml:space="preserve"> </w:t>
      </w:r>
      <w:r w:rsidRPr="004765DE">
        <w:rPr>
          <w:rFonts w:ascii="Times New Roman" w:hAnsi="Times New Roman"/>
          <w:noProof/>
          <w:sz w:val="20"/>
          <w:szCs w:val="20"/>
        </w:rPr>
        <w:t>G.</w:t>
      </w:r>
      <w:r w:rsidR="00E45D9C" w:rsidRPr="004765DE">
        <w:rPr>
          <w:rFonts w:ascii="Times New Roman" w:hAnsi="Times New Roman"/>
          <w:noProof/>
          <w:sz w:val="20"/>
          <w:szCs w:val="20"/>
        </w:rPr>
        <w:t xml:space="preserve"> </w:t>
      </w:r>
      <w:r w:rsidRPr="004765DE">
        <w:rPr>
          <w:rFonts w:ascii="Times New Roman" w:hAnsi="Times New Roman"/>
          <w:noProof/>
          <w:sz w:val="20"/>
          <w:szCs w:val="20"/>
        </w:rPr>
        <w:t>Surgical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Results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for</w:t>
      </w:r>
      <w:r w:rsidR="00E45D9C" w:rsidRPr="004765DE">
        <w:rPr>
          <w:rFonts w:ascii="Times New Roman" w:hAnsi="Times New Roman"/>
          <w:noProof/>
          <w:sz w:val="20"/>
          <w:szCs w:val="20"/>
        </w:rPr>
        <w:t xml:space="preserve"> </w:t>
      </w:r>
      <w:r w:rsidRPr="004765DE">
        <w:rPr>
          <w:rFonts w:ascii="Times New Roman" w:hAnsi="Times New Roman"/>
          <w:noProof/>
          <w:sz w:val="20"/>
          <w:szCs w:val="20"/>
        </w:rPr>
        <w:t>Meningiomas</w:t>
      </w:r>
      <w:r w:rsidR="00E45D9C" w:rsidRPr="004765DE">
        <w:rPr>
          <w:rFonts w:ascii="Times New Roman" w:hAnsi="Times New Roman"/>
          <w:noProof/>
          <w:sz w:val="20"/>
          <w:szCs w:val="20"/>
        </w:rPr>
        <w:t xml:space="preserve"> </w:t>
      </w:r>
      <w:r w:rsidRPr="004765DE">
        <w:rPr>
          <w:rFonts w:ascii="Times New Roman" w:hAnsi="Times New Roman"/>
          <w:noProof/>
          <w:sz w:val="20"/>
          <w:szCs w:val="20"/>
        </w:rPr>
        <w:t>of</w:t>
      </w:r>
      <w:r w:rsidR="00E45D9C" w:rsidRPr="004765DE">
        <w:rPr>
          <w:rFonts w:ascii="Times New Roman" w:hAnsi="Times New Roman"/>
          <w:noProof/>
          <w:sz w:val="20"/>
          <w:szCs w:val="20"/>
        </w:rPr>
        <w:t xml:space="preserve"> </w:t>
      </w:r>
      <w:r w:rsidRPr="004765DE">
        <w:rPr>
          <w:rFonts w:ascii="Times New Roman" w:hAnsi="Times New Roman"/>
          <w:noProof/>
          <w:sz w:val="20"/>
          <w:szCs w:val="20"/>
        </w:rPr>
        <w:t>the</w:t>
      </w:r>
      <w:r w:rsidR="00E45D9C" w:rsidRPr="004765DE">
        <w:rPr>
          <w:rFonts w:ascii="Times New Roman" w:hAnsi="Times New Roman"/>
          <w:noProof/>
          <w:sz w:val="20"/>
          <w:szCs w:val="20"/>
        </w:rPr>
        <w:t xml:space="preserve"> </w:t>
      </w:r>
      <w:r w:rsidRPr="004765DE">
        <w:rPr>
          <w:rFonts w:ascii="Times New Roman" w:hAnsi="Times New Roman"/>
          <w:noProof/>
          <w:sz w:val="20"/>
          <w:szCs w:val="20"/>
        </w:rPr>
        <w:t>Craniocervical</w:t>
      </w:r>
      <w:r w:rsidR="00E45D9C" w:rsidRPr="004765DE">
        <w:rPr>
          <w:rFonts w:ascii="Times New Roman" w:hAnsi="Times New Roman"/>
          <w:noProof/>
          <w:sz w:val="20"/>
          <w:szCs w:val="20"/>
        </w:rPr>
        <w:t xml:space="preserve"> </w:t>
      </w:r>
      <w:r w:rsidRPr="004765DE">
        <w:rPr>
          <w:rFonts w:ascii="Times New Roman" w:hAnsi="Times New Roman"/>
          <w:noProof/>
          <w:sz w:val="20"/>
          <w:szCs w:val="20"/>
        </w:rPr>
        <w:t>Junction.</w:t>
      </w:r>
      <w:r w:rsidR="00E45D9C" w:rsidRPr="004765DE">
        <w:rPr>
          <w:rFonts w:ascii="Times New Roman" w:hAnsi="Times New Roman"/>
          <w:noProof/>
          <w:sz w:val="20"/>
          <w:szCs w:val="20"/>
        </w:rPr>
        <w:t xml:space="preserve"> </w:t>
      </w:r>
      <w:r w:rsidRPr="004765DE">
        <w:rPr>
          <w:rFonts w:ascii="Times New Roman" w:hAnsi="Times New Roman"/>
          <w:i/>
          <w:iCs/>
          <w:noProof/>
          <w:sz w:val="20"/>
          <w:szCs w:val="20"/>
        </w:rPr>
        <w:t>Neurosurgery</w:t>
      </w:r>
      <w:r w:rsidR="00E45D9C" w:rsidRPr="004765DE">
        <w:rPr>
          <w:rFonts w:ascii="Times New Roman" w:hAnsi="Times New Roman"/>
          <w:noProof/>
          <w:sz w:val="20"/>
          <w:szCs w:val="20"/>
        </w:rPr>
        <w:t xml:space="preserve"> </w:t>
      </w:r>
      <w:r w:rsidRPr="004765DE">
        <w:rPr>
          <w:rFonts w:ascii="Times New Roman" w:hAnsi="Times New Roman"/>
          <w:noProof/>
          <w:sz w:val="20"/>
          <w:szCs w:val="20"/>
        </w:rPr>
        <w:t>1996;</w:t>
      </w:r>
      <w:r w:rsidR="00E45D9C" w:rsidRPr="004765DE">
        <w:rPr>
          <w:rFonts w:ascii="Times New Roman" w:hAnsi="Times New Roman"/>
          <w:noProof/>
          <w:sz w:val="20"/>
          <w:szCs w:val="20"/>
        </w:rPr>
        <w:t xml:space="preserve"> </w:t>
      </w:r>
      <w:r w:rsidRPr="004765DE">
        <w:rPr>
          <w:rFonts w:ascii="Times New Roman" w:hAnsi="Times New Roman"/>
          <w:bCs/>
          <w:noProof/>
          <w:sz w:val="20"/>
          <w:szCs w:val="20"/>
        </w:rPr>
        <w:t>39</w:t>
      </w:r>
      <w:r w:rsidRPr="004765DE">
        <w:rPr>
          <w:rFonts w:ascii="Times New Roman" w:hAnsi="Times New Roman"/>
          <w:noProof/>
          <w:sz w:val="20"/>
          <w:szCs w:val="20"/>
        </w:rPr>
        <w:t>(6):1086–1095.</w:t>
      </w:r>
    </w:p>
    <w:p w:rsidR="0006264D" w:rsidRPr="004765DE" w:rsidRDefault="0006264D" w:rsidP="002F4011">
      <w:pPr>
        <w:widowControl w:val="0"/>
        <w:autoSpaceDE w:val="0"/>
        <w:autoSpaceDN w:val="0"/>
        <w:adjustRightInd w:val="0"/>
        <w:snapToGrid w:val="0"/>
        <w:ind w:left="425" w:hanging="425"/>
        <w:jc w:val="both"/>
        <w:rPr>
          <w:rFonts w:ascii="Times New Roman" w:hAnsi="Times New Roman"/>
          <w:noProof/>
          <w:sz w:val="20"/>
          <w:szCs w:val="20"/>
        </w:rPr>
        <w:sectPr w:rsidR="0006264D" w:rsidRPr="004765DE" w:rsidSect="0006264D">
          <w:type w:val="continuous"/>
          <w:pgSz w:w="12240" w:h="15840" w:code="1"/>
          <w:pgMar w:top="1440" w:right="1440" w:bottom="1440" w:left="1440" w:header="720" w:footer="720" w:gutter="0"/>
          <w:cols w:num="2" w:space="600"/>
          <w:docGrid w:linePitch="360"/>
        </w:sectPr>
      </w:pPr>
    </w:p>
    <w:p w:rsidR="00E45D9C" w:rsidRPr="004765DE" w:rsidRDefault="00E45D9C" w:rsidP="002F4011">
      <w:pPr>
        <w:widowControl w:val="0"/>
        <w:autoSpaceDE w:val="0"/>
        <w:autoSpaceDN w:val="0"/>
        <w:adjustRightInd w:val="0"/>
        <w:snapToGrid w:val="0"/>
        <w:jc w:val="both"/>
        <w:rPr>
          <w:rFonts w:ascii="Times New Roman" w:hAnsi="Times New Roman"/>
          <w:b/>
          <w:bCs/>
          <w:color w:val="000000"/>
          <w:sz w:val="20"/>
          <w:szCs w:val="20"/>
        </w:rPr>
      </w:pPr>
    </w:p>
    <w:p w:rsidR="006E6074" w:rsidRPr="004765DE" w:rsidRDefault="00E45D9C" w:rsidP="002F4011">
      <w:pPr>
        <w:widowControl w:val="0"/>
        <w:autoSpaceDE w:val="0"/>
        <w:autoSpaceDN w:val="0"/>
        <w:adjustRightInd w:val="0"/>
        <w:snapToGrid w:val="0"/>
        <w:jc w:val="both"/>
        <w:rPr>
          <w:rFonts w:ascii="Times New Roman" w:hAnsi="Times New Roman"/>
          <w:bCs/>
          <w:color w:val="000000"/>
          <w:sz w:val="20"/>
          <w:szCs w:val="20"/>
        </w:rPr>
      </w:pPr>
      <w:r w:rsidRPr="004765DE">
        <w:rPr>
          <w:rFonts w:ascii="Times New Roman" w:hAnsi="Times New Roman"/>
          <w:bCs/>
          <w:color w:val="000000"/>
          <w:sz w:val="20"/>
          <w:szCs w:val="20"/>
        </w:rPr>
        <w:t>1/4/2020</w:t>
      </w:r>
    </w:p>
    <w:sectPr w:rsidR="006E6074" w:rsidRPr="004765DE" w:rsidSect="00E45D9C">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2FF" w:rsidRDefault="001102FF" w:rsidP="008F1692">
      <w:r>
        <w:separator/>
      </w:r>
    </w:p>
  </w:endnote>
  <w:endnote w:type="continuationSeparator" w:id="0">
    <w:p w:rsidR="001102FF" w:rsidRDefault="001102FF" w:rsidP="008F16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DengXian Light">
    <w:panose1 w:val="00000000000000000000"/>
    <w:charset w:val="00"/>
    <w:family w:val="roman"/>
    <w:notTrueType/>
    <w:pitch w:val="default"/>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 w:name="DengXi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F" w:rsidRDefault="00227A8B" w:rsidP="0006201C">
    <w:pPr>
      <w:pStyle w:val="Footer"/>
      <w:framePr w:wrap="none" w:vAnchor="text" w:hAnchor="margin" w:xAlign="right" w:y="1"/>
      <w:rPr>
        <w:rStyle w:val="PageNumber"/>
      </w:rPr>
    </w:pPr>
    <w:r>
      <w:rPr>
        <w:rStyle w:val="PageNumber"/>
      </w:rPr>
      <w:fldChar w:fldCharType="begin"/>
    </w:r>
    <w:r w:rsidR="009F500F">
      <w:rPr>
        <w:rStyle w:val="PageNumber"/>
      </w:rPr>
      <w:instrText xml:space="preserve"> PAGE </w:instrText>
    </w:r>
    <w:r>
      <w:rPr>
        <w:rStyle w:val="PageNumber"/>
      </w:rPr>
      <w:fldChar w:fldCharType="end"/>
    </w:r>
  </w:p>
  <w:p w:rsidR="009F500F" w:rsidRDefault="009F500F" w:rsidP="008F169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F" w:rsidRPr="00FA4AFD" w:rsidRDefault="00227A8B" w:rsidP="00FA4AFD">
    <w:pPr>
      <w:jc w:val="center"/>
      <w:rPr>
        <w:rFonts w:ascii="Times New Roman" w:hAnsi="Times New Roman"/>
        <w:sz w:val="20"/>
      </w:rPr>
    </w:pPr>
    <w:r w:rsidRPr="00FA4AFD">
      <w:rPr>
        <w:rFonts w:ascii="Times New Roman" w:hAnsi="Times New Roman"/>
        <w:sz w:val="20"/>
      </w:rPr>
      <w:fldChar w:fldCharType="begin"/>
    </w:r>
    <w:r w:rsidR="009F500F" w:rsidRPr="00FA4AFD">
      <w:rPr>
        <w:rFonts w:ascii="Times New Roman" w:hAnsi="Times New Roman"/>
        <w:sz w:val="20"/>
      </w:rPr>
      <w:instrText xml:space="preserve"> page </w:instrText>
    </w:r>
    <w:r w:rsidRPr="00FA4AFD">
      <w:rPr>
        <w:rFonts w:ascii="Times New Roman" w:hAnsi="Times New Roman"/>
        <w:sz w:val="20"/>
      </w:rPr>
      <w:fldChar w:fldCharType="separate"/>
    </w:r>
    <w:r w:rsidR="004765DE">
      <w:rPr>
        <w:rFonts w:ascii="Times New Roman" w:hAnsi="Times New Roman"/>
        <w:noProof/>
        <w:sz w:val="20"/>
      </w:rPr>
      <w:t>16</w:t>
    </w:r>
    <w:r w:rsidRPr="00FA4AFD">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2FF" w:rsidRDefault="001102FF" w:rsidP="008F1692">
      <w:r>
        <w:separator/>
      </w:r>
    </w:p>
  </w:footnote>
  <w:footnote w:type="continuationSeparator" w:id="0">
    <w:p w:rsidR="001102FF" w:rsidRDefault="001102FF" w:rsidP="008F16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F" w:rsidRPr="00FA4AFD" w:rsidRDefault="00227A8B" w:rsidP="00FA4AFD">
    <w:pPr>
      <w:tabs>
        <w:tab w:val="left" w:pos="851"/>
        <w:tab w:val="left" w:pos="7200"/>
        <w:tab w:val="right" w:pos="8364"/>
      </w:tabs>
      <w:adjustRightInd w:val="0"/>
      <w:snapToGrid w:val="0"/>
      <w:jc w:val="both"/>
      <w:rPr>
        <w:rFonts w:ascii="Times New Roman" w:hAnsi="Times New Roman"/>
        <w:sz w:val="20"/>
        <w:szCs w:val="20"/>
      </w:rPr>
    </w:pPr>
    <w:r w:rsidRPr="00227A8B">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F" w:rsidRPr="00FA4AFD" w:rsidRDefault="009F500F" w:rsidP="00FA4AFD">
    <w:pPr>
      <w:pBdr>
        <w:bottom w:val="thinThickMediumGap" w:sz="12" w:space="1" w:color="auto"/>
      </w:pBdr>
      <w:tabs>
        <w:tab w:val="left" w:pos="851"/>
        <w:tab w:val="right" w:pos="8364"/>
      </w:tabs>
      <w:adjustRightInd w:val="0"/>
      <w:snapToGrid w:val="0"/>
      <w:jc w:val="both"/>
      <w:rPr>
        <w:rFonts w:ascii="Times New Roman" w:hAnsi="Times New Roman"/>
        <w:iCs/>
        <w:sz w:val="20"/>
        <w:szCs w:val="20"/>
      </w:rPr>
    </w:pPr>
    <w:r w:rsidRPr="00FA4AFD">
      <w:rPr>
        <w:rFonts w:ascii="Times New Roman" w:hAnsi="Times New Roman" w:hint="eastAsia"/>
        <w:sz w:val="20"/>
        <w:szCs w:val="20"/>
      </w:rPr>
      <w:tab/>
    </w:r>
    <w:r w:rsidRPr="00FA4AFD">
      <w:rPr>
        <w:rFonts w:ascii="Times New Roman" w:hAnsi="Times New Roman"/>
        <w:sz w:val="20"/>
        <w:szCs w:val="20"/>
      </w:rPr>
      <w:t>New York Science Journal 20</w:t>
    </w:r>
    <w:r w:rsidRPr="00FA4AFD">
      <w:rPr>
        <w:rFonts w:ascii="Times New Roman" w:hAnsi="Times New Roman" w:hint="eastAsia"/>
        <w:sz w:val="20"/>
        <w:szCs w:val="20"/>
      </w:rPr>
      <w:t>20</w:t>
    </w:r>
    <w:r w:rsidRPr="00FA4AFD">
      <w:rPr>
        <w:rFonts w:ascii="Times New Roman" w:hAnsi="Times New Roman"/>
        <w:sz w:val="20"/>
        <w:szCs w:val="20"/>
      </w:rPr>
      <w:t>;</w:t>
    </w:r>
    <w:r w:rsidRPr="00FA4AFD">
      <w:rPr>
        <w:rFonts w:ascii="Times New Roman" w:hAnsi="Times New Roman" w:hint="eastAsia"/>
        <w:sz w:val="20"/>
        <w:szCs w:val="20"/>
      </w:rPr>
      <w:t>13</w:t>
    </w:r>
    <w:r w:rsidRPr="00FA4AFD">
      <w:rPr>
        <w:rFonts w:ascii="Times New Roman" w:hAnsi="Times New Roman"/>
        <w:sz w:val="20"/>
        <w:szCs w:val="20"/>
      </w:rPr>
      <w:t>(</w:t>
    </w:r>
    <w:r w:rsidRPr="00FA4AFD">
      <w:rPr>
        <w:rFonts w:ascii="Times New Roman" w:hAnsi="Times New Roman" w:hint="eastAsia"/>
        <w:sz w:val="20"/>
        <w:szCs w:val="20"/>
        <w:lang w:eastAsia="zh-CN"/>
      </w:rPr>
      <w:t>2</w:t>
    </w:r>
    <w:r w:rsidRPr="00FA4AFD">
      <w:rPr>
        <w:rFonts w:ascii="Times New Roman" w:hAnsi="Times New Roman"/>
        <w:sz w:val="20"/>
        <w:szCs w:val="20"/>
      </w:rPr>
      <w:t>)</w:t>
    </w:r>
    <w:r w:rsidRPr="00FA4AFD">
      <w:rPr>
        <w:rFonts w:ascii="Times New Roman" w:hAnsi="Times New Roman"/>
        <w:iCs/>
        <w:sz w:val="20"/>
        <w:szCs w:val="20"/>
      </w:rPr>
      <w:t xml:space="preserve"> </w:t>
    </w:r>
    <w:r w:rsidRPr="00FA4AFD">
      <w:rPr>
        <w:rFonts w:ascii="Times New Roman" w:hAnsi="Times New Roman" w:hint="eastAsia"/>
        <w:iCs/>
        <w:sz w:val="20"/>
        <w:szCs w:val="20"/>
      </w:rPr>
      <w:tab/>
    </w:r>
    <w:r w:rsidRPr="00FA4AFD">
      <w:rPr>
        <w:rFonts w:ascii="Times New Roman" w:hAnsi="Times New Roman"/>
        <w:iCs/>
        <w:sz w:val="20"/>
        <w:szCs w:val="20"/>
      </w:rPr>
      <w:t xml:space="preserve">  </w:t>
    </w:r>
    <w:hyperlink r:id="rId1" w:history="1">
      <w:r w:rsidRPr="00FA4AFD">
        <w:rPr>
          <w:rStyle w:val="Hyperlink"/>
          <w:rFonts w:ascii="Times New Roman" w:hAnsi="Times New Roman"/>
          <w:sz w:val="20"/>
          <w:szCs w:val="20"/>
        </w:rPr>
        <w:t>http://www.sciencepub.net/newyork</w:t>
      </w:r>
    </w:hyperlink>
    <w:r w:rsidRPr="00FA4AFD">
      <w:rPr>
        <w:rFonts w:ascii="Times New Roman" w:hAnsi="Times New Roman" w:hint="eastAsia"/>
        <w:sz w:val="20"/>
      </w:rPr>
      <w:t xml:space="preserve">   </w:t>
    </w:r>
    <w:r w:rsidRPr="00FA4AFD">
      <w:rPr>
        <w:rFonts w:ascii="Times New Roman" w:hAnsi="Times New Roman" w:hint="eastAsia"/>
        <w:b/>
        <w:i/>
        <w:color w:val="FF0000"/>
        <w:sz w:val="20"/>
        <w:szCs w:val="20"/>
        <w:bdr w:val="single" w:sz="4" w:space="0" w:color="FF0000"/>
      </w:rPr>
      <w:t>NYJ</w:t>
    </w:r>
  </w:p>
  <w:p w:rsidR="009F500F" w:rsidRPr="00FA4AFD" w:rsidRDefault="009F500F" w:rsidP="00FA4AFD">
    <w:pPr>
      <w:tabs>
        <w:tab w:val="left" w:pos="851"/>
        <w:tab w:val="left" w:pos="7200"/>
        <w:tab w:val="right" w:pos="8364"/>
      </w:tabs>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297"/>
    <w:multiLevelType w:val="hybridMultilevel"/>
    <w:tmpl w:val="C8E461A2"/>
    <w:lvl w:ilvl="0" w:tplc="5B96F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87422"/>
    <w:multiLevelType w:val="hybridMultilevel"/>
    <w:tmpl w:val="EAB4AE9C"/>
    <w:lvl w:ilvl="0" w:tplc="1D14E4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21747"/>
    <w:multiLevelType w:val="hybridMultilevel"/>
    <w:tmpl w:val="345029F0"/>
    <w:lvl w:ilvl="0" w:tplc="04090001">
      <w:start w:val="2"/>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DD40064"/>
    <w:multiLevelType w:val="hybridMultilevel"/>
    <w:tmpl w:val="795AF5CA"/>
    <w:lvl w:ilvl="0" w:tplc="5B96F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C266C"/>
    <w:multiLevelType w:val="hybridMultilevel"/>
    <w:tmpl w:val="8E96A1E2"/>
    <w:lvl w:ilvl="0" w:tplc="BD445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FD236C"/>
    <w:multiLevelType w:val="hybridMultilevel"/>
    <w:tmpl w:val="A56A46F6"/>
    <w:lvl w:ilvl="0" w:tplc="23FA735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7C86B9C"/>
    <w:multiLevelType w:val="hybridMultilevel"/>
    <w:tmpl w:val="09182C6A"/>
    <w:lvl w:ilvl="0" w:tplc="22D6B14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42FB59D6"/>
    <w:multiLevelType w:val="hybridMultilevel"/>
    <w:tmpl w:val="115444B8"/>
    <w:lvl w:ilvl="0" w:tplc="CBE2484C">
      <w:start w:val="1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740D94"/>
    <w:multiLevelType w:val="hybridMultilevel"/>
    <w:tmpl w:val="96780C42"/>
    <w:lvl w:ilvl="0" w:tplc="264C7BE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453188"/>
    <w:multiLevelType w:val="hybridMultilevel"/>
    <w:tmpl w:val="F0EE9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D55A69"/>
    <w:multiLevelType w:val="hybridMultilevel"/>
    <w:tmpl w:val="445E4438"/>
    <w:lvl w:ilvl="0" w:tplc="6FA0A64C">
      <w:start w:val="1"/>
      <w:numFmt w:val="decimal"/>
      <w:lvlText w:val="%1-"/>
      <w:lvlJc w:val="left"/>
      <w:pPr>
        <w:ind w:left="1495"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573E1B32"/>
    <w:multiLevelType w:val="hybridMultilevel"/>
    <w:tmpl w:val="1A4A0F04"/>
    <w:lvl w:ilvl="0" w:tplc="72B62DD4">
      <w:start w:val="1"/>
      <w:numFmt w:val="bullet"/>
      <w:lvlText w:val=""/>
      <w:lvlJc w:val="left"/>
      <w:pPr>
        <w:tabs>
          <w:tab w:val="num" w:pos="720"/>
        </w:tabs>
        <w:ind w:left="720" w:hanging="360"/>
      </w:pPr>
      <w:rPr>
        <w:rFonts w:ascii="Wingdings" w:hAnsi="Wingdings" w:hint="default"/>
      </w:rPr>
    </w:lvl>
    <w:lvl w:ilvl="1" w:tplc="A7DE9942">
      <w:start w:val="463"/>
      <w:numFmt w:val="bullet"/>
      <w:lvlText w:val=""/>
      <w:lvlJc w:val="left"/>
      <w:pPr>
        <w:tabs>
          <w:tab w:val="num" w:pos="1440"/>
        </w:tabs>
        <w:ind w:left="1440" w:hanging="360"/>
      </w:pPr>
      <w:rPr>
        <w:rFonts w:ascii="Wingdings" w:hAnsi="Wingdings" w:hint="default"/>
      </w:rPr>
    </w:lvl>
    <w:lvl w:ilvl="2" w:tplc="0CA458E0">
      <w:start w:val="463"/>
      <w:numFmt w:val="bullet"/>
      <w:lvlText w:val=""/>
      <w:lvlJc w:val="left"/>
      <w:pPr>
        <w:tabs>
          <w:tab w:val="num" w:pos="2160"/>
        </w:tabs>
        <w:ind w:left="2160" w:hanging="360"/>
      </w:pPr>
      <w:rPr>
        <w:rFonts w:ascii="Wingdings" w:hAnsi="Wingdings" w:hint="default"/>
      </w:rPr>
    </w:lvl>
    <w:lvl w:ilvl="3" w:tplc="EAEA9118" w:tentative="1">
      <w:start w:val="1"/>
      <w:numFmt w:val="bullet"/>
      <w:lvlText w:val=""/>
      <w:lvlJc w:val="left"/>
      <w:pPr>
        <w:tabs>
          <w:tab w:val="num" w:pos="2880"/>
        </w:tabs>
        <w:ind w:left="2880" w:hanging="360"/>
      </w:pPr>
      <w:rPr>
        <w:rFonts w:ascii="Wingdings" w:hAnsi="Wingdings" w:hint="default"/>
      </w:rPr>
    </w:lvl>
    <w:lvl w:ilvl="4" w:tplc="BBD69E92" w:tentative="1">
      <w:start w:val="1"/>
      <w:numFmt w:val="bullet"/>
      <w:lvlText w:val=""/>
      <w:lvlJc w:val="left"/>
      <w:pPr>
        <w:tabs>
          <w:tab w:val="num" w:pos="3600"/>
        </w:tabs>
        <w:ind w:left="3600" w:hanging="360"/>
      </w:pPr>
      <w:rPr>
        <w:rFonts w:ascii="Wingdings" w:hAnsi="Wingdings" w:hint="default"/>
      </w:rPr>
    </w:lvl>
    <w:lvl w:ilvl="5" w:tplc="EE32A934" w:tentative="1">
      <w:start w:val="1"/>
      <w:numFmt w:val="bullet"/>
      <w:lvlText w:val=""/>
      <w:lvlJc w:val="left"/>
      <w:pPr>
        <w:tabs>
          <w:tab w:val="num" w:pos="4320"/>
        </w:tabs>
        <w:ind w:left="4320" w:hanging="360"/>
      </w:pPr>
      <w:rPr>
        <w:rFonts w:ascii="Wingdings" w:hAnsi="Wingdings" w:hint="default"/>
      </w:rPr>
    </w:lvl>
    <w:lvl w:ilvl="6" w:tplc="E2F689E2" w:tentative="1">
      <w:start w:val="1"/>
      <w:numFmt w:val="bullet"/>
      <w:lvlText w:val=""/>
      <w:lvlJc w:val="left"/>
      <w:pPr>
        <w:tabs>
          <w:tab w:val="num" w:pos="5040"/>
        </w:tabs>
        <w:ind w:left="5040" w:hanging="360"/>
      </w:pPr>
      <w:rPr>
        <w:rFonts w:ascii="Wingdings" w:hAnsi="Wingdings" w:hint="default"/>
      </w:rPr>
    </w:lvl>
    <w:lvl w:ilvl="7" w:tplc="26E8D718" w:tentative="1">
      <w:start w:val="1"/>
      <w:numFmt w:val="bullet"/>
      <w:lvlText w:val=""/>
      <w:lvlJc w:val="left"/>
      <w:pPr>
        <w:tabs>
          <w:tab w:val="num" w:pos="5760"/>
        </w:tabs>
        <w:ind w:left="5760" w:hanging="360"/>
      </w:pPr>
      <w:rPr>
        <w:rFonts w:ascii="Wingdings" w:hAnsi="Wingdings" w:hint="default"/>
      </w:rPr>
    </w:lvl>
    <w:lvl w:ilvl="8" w:tplc="5F629270" w:tentative="1">
      <w:start w:val="1"/>
      <w:numFmt w:val="bullet"/>
      <w:lvlText w:val=""/>
      <w:lvlJc w:val="left"/>
      <w:pPr>
        <w:tabs>
          <w:tab w:val="num" w:pos="6480"/>
        </w:tabs>
        <w:ind w:left="6480" w:hanging="360"/>
      </w:pPr>
      <w:rPr>
        <w:rFonts w:ascii="Wingdings" w:hAnsi="Wingdings" w:hint="default"/>
      </w:rPr>
    </w:lvl>
  </w:abstractNum>
  <w:abstractNum w:abstractNumId="12">
    <w:nsid w:val="5AC6202C"/>
    <w:multiLevelType w:val="hybridMultilevel"/>
    <w:tmpl w:val="F91AE6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5B784F0E"/>
    <w:multiLevelType w:val="hybridMultilevel"/>
    <w:tmpl w:val="14A8E0E8"/>
    <w:lvl w:ilvl="0" w:tplc="6FA0A64C">
      <w:start w:val="1"/>
      <w:numFmt w:val="decimal"/>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5BF8147D"/>
    <w:multiLevelType w:val="hybridMultilevel"/>
    <w:tmpl w:val="306E6028"/>
    <w:lvl w:ilvl="0" w:tplc="E74A907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CA795A"/>
    <w:multiLevelType w:val="hybridMultilevel"/>
    <w:tmpl w:val="D33ADF86"/>
    <w:lvl w:ilvl="0" w:tplc="CAFA5C32">
      <w:start w:val="1"/>
      <w:numFmt w:val="upperLetter"/>
      <w:lvlText w:val="%1-"/>
      <w:lvlJc w:val="left"/>
      <w:pPr>
        <w:ind w:left="1140" w:hanging="4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6C97423"/>
    <w:multiLevelType w:val="hybridMultilevel"/>
    <w:tmpl w:val="97865BD8"/>
    <w:lvl w:ilvl="0" w:tplc="E49A7EE2">
      <w:start w:val="1"/>
      <w:numFmt w:val="upperRoman"/>
      <w:lvlText w:val="%1-"/>
      <w:lvlJc w:val="left"/>
      <w:pPr>
        <w:tabs>
          <w:tab w:val="num" w:pos="1080"/>
        </w:tabs>
        <w:ind w:left="1080" w:hanging="360"/>
      </w:pPr>
      <w:rPr>
        <w:rFonts w:hint="default"/>
        <w:b/>
        <w:i w:val="0"/>
        <w:iCs/>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6F142768"/>
    <w:multiLevelType w:val="hybridMultilevel"/>
    <w:tmpl w:val="F2207D34"/>
    <w:lvl w:ilvl="0" w:tplc="5B96F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0A3F6D"/>
    <w:multiLevelType w:val="hybridMultilevel"/>
    <w:tmpl w:val="F12E0206"/>
    <w:lvl w:ilvl="0" w:tplc="5B96F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CB15BA"/>
    <w:multiLevelType w:val="hybridMultilevel"/>
    <w:tmpl w:val="8A102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18"/>
  </w:num>
  <w:num w:numId="5">
    <w:abstractNumId w:val="17"/>
  </w:num>
  <w:num w:numId="6">
    <w:abstractNumId w:val="14"/>
  </w:num>
  <w:num w:numId="7">
    <w:abstractNumId w:val="2"/>
  </w:num>
  <w:num w:numId="8">
    <w:abstractNumId w:val="12"/>
  </w:num>
  <w:num w:numId="9">
    <w:abstractNumId w:val="10"/>
  </w:num>
  <w:num w:numId="10">
    <w:abstractNumId w:val="13"/>
  </w:num>
  <w:num w:numId="11">
    <w:abstractNumId w:val="8"/>
  </w:num>
  <w:num w:numId="12">
    <w:abstractNumId w:val="4"/>
  </w:num>
  <w:num w:numId="13">
    <w:abstractNumId w:val="15"/>
  </w:num>
  <w:num w:numId="14">
    <w:abstractNumId w:val="11"/>
  </w:num>
  <w:num w:numId="15">
    <w:abstractNumId w:val="5"/>
  </w:num>
  <w:num w:numId="16">
    <w:abstractNumId w:val="6"/>
  </w:num>
  <w:num w:numId="17">
    <w:abstractNumId w:val="16"/>
  </w:num>
  <w:num w:numId="18">
    <w:abstractNumId w:val="0"/>
  </w:num>
  <w:num w:numId="19">
    <w:abstractNumId w:val="9"/>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41EDD"/>
    <w:rsid w:val="00001098"/>
    <w:rsid w:val="00005B05"/>
    <w:rsid w:val="00011AF6"/>
    <w:rsid w:val="00011B2C"/>
    <w:rsid w:val="00031471"/>
    <w:rsid w:val="0003234E"/>
    <w:rsid w:val="00033C1D"/>
    <w:rsid w:val="00042B39"/>
    <w:rsid w:val="000477C7"/>
    <w:rsid w:val="0005166A"/>
    <w:rsid w:val="00060713"/>
    <w:rsid w:val="0006201C"/>
    <w:rsid w:val="0006264D"/>
    <w:rsid w:val="00084B64"/>
    <w:rsid w:val="000A2D1B"/>
    <w:rsid w:val="000A3EFF"/>
    <w:rsid w:val="000C58F3"/>
    <w:rsid w:val="000D0870"/>
    <w:rsid w:val="000F2C89"/>
    <w:rsid w:val="001037BB"/>
    <w:rsid w:val="001102FF"/>
    <w:rsid w:val="001120DB"/>
    <w:rsid w:val="001159FA"/>
    <w:rsid w:val="00117C5E"/>
    <w:rsid w:val="00126764"/>
    <w:rsid w:val="00137544"/>
    <w:rsid w:val="0014116C"/>
    <w:rsid w:val="00162075"/>
    <w:rsid w:val="00173679"/>
    <w:rsid w:val="001824EE"/>
    <w:rsid w:val="00187764"/>
    <w:rsid w:val="001956B4"/>
    <w:rsid w:val="001A0E0C"/>
    <w:rsid w:val="001A7ECD"/>
    <w:rsid w:val="001B1FB1"/>
    <w:rsid w:val="001B4DAD"/>
    <w:rsid w:val="001B56D1"/>
    <w:rsid w:val="001B5BCB"/>
    <w:rsid w:val="001B6295"/>
    <w:rsid w:val="001B6C03"/>
    <w:rsid w:val="001B7EE5"/>
    <w:rsid w:val="001C14C8"/>
    <w:rsid w:val="001C5199"/>
    <w:rsid w:val="001C60CE"/>
    <w:rsid w:val="001D2705"/>
    <w:rsid w:val="001F1B8A"/>
    <w:rsid w:val="001F6780"/>
    <w:rsid w:val="00200ACF"/>
    <w:rsid w:val="00201718"/>
    <w:rsid w:val="00212358"/>
    <w:rsid w:val="00213552"/>
    <w:rsid w:val="00213D35"/>
    <w:rsid w:val="00227A8B"/>
    <w:rsid w:val="00242470"/>
    <w:rsid w:val="00242CEF"/>
    <w:rsid w:val="00255C29"/>
    <w:rsid w:val="00257FF2"/>
    <w:rsid w:val="00266BE3"/>
    <w:rsid w:val="00287206"/>
    <w:rsid w:val="00293949"/>
    <w:rsid w:val="00295AC6"/>
    <w:rsid w:val="002A03CB"/>
    <w:rsid w:val="002B0FA7"/>
    <w:rsid w:val="002B2ACE"/>
    <w:rsid w:val="002B6462"/>
    <w:rsid w:val="002C246B"/>
    <w:rsid w:val="002C37F5"/>
    <w:rsid w:val="002D3F56"/>
    <w:rsid w:val="002E1070"/>
    <w:rsid w:val="002E5348"/>
    <w:rsid w:val="002F2C8D"/>
    <w:rsid w:val="002F4011"/>
    <w:rsid w:val="00303E62"/>
    <w:rsid w:val="00312999"/>
    <w:rsid w:val="003150AB"/>
    <w:rsid w:val="00315CBA"/>
    <w:rsid w:val="003203C9"/>
    <w:rsid w:val="00343575"/>
    <w:rsid w:val="00362345"/>
    <w:rsid w:val="00381BC0"/>
    <w:rsid w:val="0039138A"/>
    <w:rsid w:val="0039632B"/>
    <w:rsid w:val="00397A22"/>
    <w:rsid w:val="003A7D0D"/>
    <w:rsid w:val="003C1F09"/>
    <w:rsid w:val="003C6B34"/>
    <w:rsid w:val="003D16F1"/>
    <w:rsid w:val="003D47B4"/>
    <w:rsid w:val="003F6FC6"/>
    <w:rsid w:val="003F79D3"/>
    <w:rsid w:val="003F7D93"/>
    <w:rsid w:val="0040067A"/>
    <w:rsid w:val="00403622"/>
    <w:rsid w:val="004225F6"/>
    <w:rsid w:val="00430425"/>
    <w:rsid w:val="00434326"/>
    <w:rsid w:val="00435129"/>
    <w:rsid w:val="00436FEE"/>
    <w:rsid w:val="004470D7"/>
    <w:rsid w:val="00450CD3"/>
    <w:rsid w:val="00451E9F"/>
    <w:rsid w:val="00454040"/>
    <w:rsid w:val="004544E5"/>
    <w:rsid w:val="00467D03"/>
    <w:rsid w:val="0047422D"/>
    <w:rsid w:val="004765DE"/>
    <w:rsid w:val="004964DA"/>
    <w:rsid w:val="004A2E35"/>
    <w:rsid w:val="004B20EC"/>
    <w:rsid w:val="004B425D"/>
    <w:rsid w:val="004C7149"/>
    <w:rsid w:val="004D0736"/>
    <w:rsid w:val="004D2FDF"/>
    <w:rsid w:val="005150DB"/>
    <w:rsid w:val="00530380"/>
    <w:rsid w:val="005331D5"/>
    <w:rsid w:val="00554F07"/>
    <w:rsid w:val="00563DA6"/>
    <w:rsid w:val="005640A1"/>
    <w:rsid w:val="005664BE"/>
    <w:rsid w:val="00570E1B"/>
    <w:rsid w:val="00573B41"/>
    <w:rsid w:val="005833C5"/>
    <w:rsid w:val="00585995"/>
    <w:rsid w:val="00592B05"/>
    <w:rsid w:val="00594705"/>
    <w:rsid w:val="005A036E"/>
    <w:rsid w:val="005A3752"/>
    <w:rsid w:val="005C1920"/>
    <w:rsid w:val="005F389A"/>
    <w:rsid w:val="0060041D"/>
    <w:rsid w:val="00603427"/>
    <w:rsid w:val="00630862"/>
    <w:rsid w:val="006327B1"/>
    <w:rsid w:val="00646793"/>
    <w:rsid w:val="0065452B"/>
    <w:rsid w:val="006557CD"/>
    <w:rsid w:val="00656033"/>
    <w:rsid w:val="00662089"/>
    <w:rsid w:val="006677BB"/>
    <w:rsid w:val="00675F76"/>
    <w:rsid w:val="00681302"/>
    <w:rsid w:val="00685796"/>
    <w:rsid w:val="00687298"/>
    <w:rsid w:val="006A4BE2"/>
    <w:rsid w:val="006A607B"/>
    <w:rsid w:val="006B6778"/>
    <w:rsid w:val="006C658F"/>
    <w:rsid w:val="006E15E3"/>
    <w:rsid w:val="006E191B"/>
    <w:rsid w:val="006E6074"/>
    <w:rsid w:val="00706F02"/>
    <w:rsid w:val="007102C3"/>
    <w:rsid w:val="00711337"/>
    <w:rsid w:val="0071348C"/>
    <w:rsid w:val="007155A3"/>
    <w:rsid w:val="007328CE"/>
    <w:rsid w:val="007342ED"/>
    <w:rsid w:val="00735EF5"/>
    <w:rsid w:val="007366C1"/>
    <w:rsid w:val="00745549"/>
    <w:rsid w:val="00753CC4"/>
    <w:rsid w:val="00756ECA"/>
    <w:rsid w:val="00763A69"/>
    <w:rsid w:val="00772978"/>
    <w:rsid w:val="00780284"/>
    <w:rsid w:val="00783A0A"/>
    <w:rsid w:val="007B0516"/>
    <w:rsid w:val="007D7264"/>
    <w:rsid w:val="007D72E1"/>
    <w:rsid w:val="0081013E"/>
    <w:rsid w:val="00811689"/>
    <w:rsid w:val="008118D1"/>
    <w:rsid w:val="00811BDE"/>
    <w:rsid w:val="00821111"/>
    <w:rsid w:val="00823BB7"/>
    <w:rsid w:val="00824BBA"/>
    <w:rsid w:val="00832A8C"/>
    <w:rsid w:val="00834E47"/>
    <w:rsid w:val="00835EF1"/>
    <w:rsid w:val="00837E17"/>
    <w:rsid w:val="0084364F"/>
    <w:rsid w:val="00852E0C"/>
    <w:rsid w:val="008560C6"/>
    <w:rsid w:val="00856E61"/>
    <w:rsid w:val="008614B7"/>
    <w:rsid w:val="008627AC"/>
    <w:rsid w:val="00862D59"/>
    <w:rsid w:val="0087352C"/>
    <w:rsid w:val="0087792A"/>
    <w:rsid w:val="008817CF"/>
    <w:rsid w:val="00895D72"/>
    <w:rsid w:val="008A102E"/>
    <w:rsid w:val="008A1813"/>
    <w:rsid w:val="008C365C"/>
    <w:rsid w:val="008C5551"/>
    <w:rsid w:val="008F1692"/>
    <w:rsid w:val="008F6E05"/>
    <w:rsid w:val="00903F85"/>
    <w:rsid w:val="009065BB"/>
    <w:rsid w:val="009211D2"/>
    <w:rsid w:val="00921AA9"/>
    <w:rsid w:val="00932D30"/>
    <w:rsid w:val="009573E6"/>
    <w:rsid w:val="00963893"/>
    <w:rsid w:val="009660FF"/>
    <w:rsid w:val="00972DA2"/>
    <w:rsid w:val="009760B5"/>
    <w:rsid w:val="009813DC"/>
    <w:rsid w:val="0098634E"/>
    <w:rsid w:val="00990244"/>
    <w:rsid w:val="00996851"/>
    <w:rsid w:val="00997351"/>
    <w:rsid w:val="009A258E"/>
    <w:rsid w:val="009B1FCF"/>
    <w:rsid w:val="009B7FE7"/>
    <w:rsid w:val="009F3124"/>
    <w:rsid w:val="009F500F"/>
    <w:rsid w:val="009F6D48"/>
    <w:rsid w:val="00A02049"/>
    <w:rsid w:val="00A0390E"/>
    <w:rsid w:val="00A07177"/>
    <w:rsid w:val="00A17360"/>
    <w:rsid w:val="00A179B6"/>
    <w:rsid w:val="00A2267A"/>
    <w:rsid w:val="00A24703"/>
    <w:rsid w:val="00A24D01"/>
    <w:rsid w:val="00A261A4"/>
    <w:rsid w:val="00A37367"/>
    <w:rsid w:val="00A54EB9"/>
    <w:rsid w:val="00A57BCB"/>
    <w:rsid w:val="00A633FA"/>
    <w:rsid w:val="00A907AF"/>
    <w:rsid w:val="00A97A5B"/>
    <w:rsid w:val="00AA43C0"/>
    <w:rsid w:val="00AB4078"/>
    <w:rsid w:val="00AB6747"/>
    <w:rsid w:val="00AE4C57"/>
    <w:rsid w:val="00AF16DA"/>
    <w:rsid w:val="00B10CB5"/>
    <w:rsid w:val="00B145EE"/>
    <w:rsid w:val="00B5477B"/>
    <w:rsid w:val="00B83711"/>
    <w:rsid w:val="00B83973"/>
    <w:rsid w:val="00BA27D3"/>
    <w:rsid w:val="00BA6DAD"/>
    <w:rsid w:val="00BB21E3"/>
    <w:rsid w:val="00BC4898"/>
    <w:rsid w:val="00BD2657"/>
    <w:rsid w:val="00BD2FEF"/>
    <w:rsid w:val="00BE338B"/>
    <w:rsid w:val="00C21B86"/>
    <w:rsid w:val="00C21F7D"/>
    <w:rsid w:val="00C23BA3"/>
    <w:rsid w:val="00C25E70"/>
    <w:rsid w:val="00C35A5A"/>
    <w:rsid w:val="00C41172"/>
    <w:rsid w:val="00C41EDD"/>
    <w:rsid w:val="00C57F03"/>
    <w:rsid w:val="00C85824"/>
    <w:rsid w:val="00C8754D"/>
    <w:rsid w:val="00CB5503"/>
    <w:rsid w:val="00CB6422"/>
    <w:rsid w:val="00CC26D8"/>
    <w:rsid w:val="00CF408C"/>
    <w:rsid w:val="00D23D49"/>
    <w:rsid w:val="00D260E3"/>
    <w:rsid w:val="00D41CFA"/>
    <w:rsid w:val="00D43CA8"/>
    <w:rsid w:val="00D522C3"/>
    <w:rsid w:val="00D52F1B"/>
    <w:rsid w:val="00D54AD9"/>
    <w:rsid w:val="00D55259"/>
    <w:rsid w:val="00D57793"/>
    <w:rsid w:val="00D60082"/>
    <w:rsid w:val="00D70529"/>
    <w:rsid w:val="00D7392A"/>
    <w:rsid w:val="00D74DBC"/>
    <w:rsid w:val="00D82FC7"/>
    <w:rsid w:val="00DA4D18"/>
    <w:rsid w:val="00DC00EE"/>
    <w:rsid w:val="00DD4B08"/>
    <w:rsid w:val="00DE1D4F"/>
    <w:rsid w:val="00E033B0"/>
    <w:rsid w:val="00E06007"/>
    <w:rsid w:val="00E13215"/>
    <w:rsid w:val="00E15978"/>
    <w:rsid w:val="00E16E40"/>
    <w:rsid w:val="00E22F31"/>
    <w:rsid w:val="00E45D9C"/>
    <w:rsid w:val="00E630EA"/>
    <w:rsid w:val="00E83B86"/>
    <w:rsid w:val="00E83D39"/>
    <w:rsid w:val="00E83FB8"/>
    <w:rsid w:val="00E86D42"/>
    <w:rsid w:val="00E90542"/>
    <w:rsid w:val="00E93500"/>
    <w:rsid w:val="00E941F9"/>
    <w:rsid w:val="00E975B0"/>
    <w:rsid w:val="00EA08F0"/>
    <w:rsid w:val="00EA6AAA"/>
    <w:rsid w:val="00EB1BE8"/>
    <w:rsid w:val="00EB2A52"/>
    <w:rsid w:val="00EC36D7"/>
    <w:rsid w:val="00ED1F1E"/>
    <w:rsid w:val="00EE4630"/>
    <w:rsid w:val="00EF5B2F"/>
    <w:rsid w:val="00EF6A88"/>
    <w:rsid w:val="00F21D74"/>
    <w:rsid w:val="00F24208"/>
    <w:rsid w:val="00F41EE2"/>
    <w:rsid w:val="00F5475E"/>
    <w:rsid w:val="00F5476F"/>
    <w:rsid w:val="00F568A7"/>
    <w:rsid w:val="00F56A1C"/>
    <w:rsid w:val="00F65FEF"/>
    <w:rsid w:val="00F66A77"/>
    <w:rsid w:val="00F86C71"/>
    <w:rsid w:val="00FA2377"/>
    <w:rsid w:val="00FA4AFD"/>
    <w:rsid w:val="00FA745B"/>
    <w:rsid w:val="00FB5277"/>
    <w:rsid w:val="00FC59DB"/>
    <w:rsid w:val="00FC79CD"/>
    <w:rsid w:val="00FD1ECA"/>
    <w:rsid w:val="00FD39AE"/>
    <w:rsid w:val="00FE5FB8"/>
    <w:rsid w:val="00FE79FA"/>
    <w:rsid w:val="00FF6418"/>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ED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qFormat/>
    <w:rsid w:val="00C41EDD"/>
    <w:pPr>
      <w:ind w:left="720"/>
      <w:contextualSpacing/>
    </w:pPr>
  </w:style>
  <w:style w:type="paragraph" w:styleId="Header">
    <w:name w:val="header"/>
    <w:basedOn w:val="Normal"/>
    <w:link w:val="HeaderChar"/>
    <w:uiPriority w:val="99"/>
    <w:unhideWhenUsed/>
    <w:rsid w:val="008F1692"/>
    <w:pPr>
      <w:tabs>
        <w:tab w:val="center" w:pos="4680"/>
        <w:tab w:val="right" w:pos="9360"/>
      </w:tabs>
    </w:pPr>
  </w:style>
  <w:style w:type="character" w:customStyle="1" w:styleId="HeaderChar">
    <w:name w:val="Header Char"/>
    <w:basedOn w:val="DefaultParagraphFont"/>
    <w:link w:val="Header"/>
    <w:uiPriority w:val="99"/>
    <w:rsid w:val="008F1692"/>
  </w:style>
  <w:style w:type="paragraph" w:styleId="Footer">
    <w:name w:val="footer"/>
    <w:basedOn w:val="Normal"/>
    <w:link w:val="FooterChar"/>
    <w:uiPriority w:val="99"/>
    <w:unhideWhenUsed/>
    <w:rsid w:val="008F1692"/>
    <w:pPr>
      <w:tabs>
        <w:tab w:val="center" w:pos="4680"/>
        <w:tab w:val="right" w:pos="9360"/>
      </w:tabs>
    </w:pPr>
  </w:style>
  <w:style w:type="character" w:customStyle="1" w:styleId="FooterChar">
    <w:name w:val="Footer Char"/>
    <w:basedOn w:val="DefaultParagraphFont"/>
    <w:link w:val="Footer"/>
    <w:uiPriority w:val="99"/>
    <w:rsid w:val="008F1692"/>
  </w:style>
  <w:style w:type="character" w:styleId="PageNumber">
    <w:name w:val="page number"/>
    <w:basedOn w:val="DefaultParagraphFont"/>
    <w:uiPriority w:val="99"/>
    <w:semiHidden/>
    <w:unhideWhenUsed/>
    <w:rsid w:val="008F1692"/>
  </w:style>
  <w:style w:type="character" w:styleId="Hyperlink">
    <w:name w:val="Hyperlink"/>
    <w:basedOn w:val="DefaultParagraphFont"/>
    <w:uiPriority w:val="99"/>
    <w:rsid w:val="00990244"/>
    <w:rPr>
      <w:color w:val="0000FF"/>
      <w:u w:val="single"/>
    </w:rPr>
  </w:style>
  <w:style w:type="character" w:customStyle="1" w:styleId="UnresolvedMention">
    <w:name w:val="Unresolved Mention"/>
    <w:basedOn w:val="DefaultParagraphFont"/>
    <w:uiPriority w:val="99"/>
    <w:rsid w:val="00990244"/>
    <w:rPr>
      <w:color w:val="605E5C"/>
      <w:shd w:val="clear" w:color="auto" w:fill="E1DFDD"/>
    </w:rPr>
  </w:style>
  <w:style w:type="paragraph" w:styleId="BalloonText">
    <w:name w:val="Balloon Text"/>
    <w:basedOn w:val="Normal"/>
    <w:link w:val="BalloonTextChar"/>
    <w:uiPriority w:val="99"/>
    <w:semiHidden/>
    <w:unhideWhenUsed/>
    <w:rsid w:val="00315CBA"/>
    <w:rPr>
      <w:rFonts w:ascii="Tahoma" w:hAnsi="Tahoma" w:cs="Tahoma"/>
      <w:sz w:val="16"/>
      <w:szCs w:val="16"/>
    </w:rPr>
  </w:style>
  <w:style w:type="character" w:customStyle="1" w:styleId="BalloonTextChar">
    <w:name w:val="Balloon Text Char"/>
    <w:basedOn w:val="DefaultParagraphFont"/>
    <w:link w:val="BalloonText"/>
    <w:uiPriority w:val="99"/>
    <w:semiHidden/>
    <w:rsid w:val="00315C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ed.elsheikh@"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oleObject" Target="embeddings/Microsoft_Office_Excel_97-2003____444.xls"/><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package" Target="embeddings/Microsoft_Office_Excel____111.xlsx"/><Relationship Id="rId38" Type="http://schemas.openxmlformats.org/officeDocument/2006/relationships/image" Target="media/image21.png"/><Relationship Id="rId46" Type="http://schemas.openxmlformats.org/officeDocument/2006/relationships/package" Target="embeddings/Microsoft_Office_Excel____444.xlsx"/><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oleObject" Target="embeddings/Microsoft_Office_Excel_97-2003____222.xls"/><Relationship Id="rId40" Type="http://schemas.openxmlformats.org/officeDocument/2006/relationships/oleObject" Target="embeddings/Microsoft_Office_Excel_97-2003____333.xls"/><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emf"/><Relationship Id="rId10" Type="http://schemas.openxmlformats.org/officeDocument/2006/relationships/hyperlink" Target="http://www.dx.doi.org/10.7537/marsnys130220.01" TargetMode="Externa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package" Target="embeddings/Microsoft_Office_Excel____333.xlsx"/><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Microsoft_Office_Excel_97-2003____111.xls"/><Relationship Id="rId35" Type="http://schemas.openxmlformats.org/officeDocument/2006/relationships/package" Target="embeddings/Microsoft_Office_Excel____222.xlsx"/><Relationship Id="rId43" Type="http://schemas.openxmlformats.org/officeDocument/2006/relationships/image" Target="media/image24.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B0783-9A46-40CE-A095-DE34316D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21496</Words>
  <Characters>122533</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Samir</dc:creator>
  <cp:lastModifiedBy>Administrator</cp:lastModifiedBy>
  <cp:revision>4</cp:revision>
  <dcterms:created xsi:type="dcterms:W3CDTF">2020-01-06T14:26:00Z</dcterms:created>
  <dcterms:modified xsi:type="dcterms:W3CDTF">2020-01-07T04:36:00Z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http://www.zotero.org/styles/elsevier-with-titles-alphabetical</vt:lpwstr>
  </property>
  <property fmtid="{D5CDD505-2E9C-101B-9397-08002B2CF9AE}" pid="11" name="Mendeley Recent Style Name 4_1">
    <vt:lpwstr>Elsevier (numeric, with titles, sorted alphabetically)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http://www.zotero.org/styles/international-journal-for-numerical-methods-in-biomedical-engineering</vt:lpwstr>
  </property>
  <property fmtid="{D5CDD505-2E9C-101B-9397-08002B2CF9AE}" pid="15" name="Mendeley Recent Style Name 6_1">
    <vt:lpwstr>International Journal for Numerical Methods in Biomedical Engineering</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http://www.zotero.org/styles/springer-basic-brackets</vt:lpwstr>
  </property>
  <property fmtid="{D5CDD505-2E9C-101B-9397-08002B2CF9AE}" pid="21" name="Mendeley Recent Style Name 9_1">
    <vt:lpwstr>Springer - Basic (numeric, brackets)</vt:lpwstr>
  </property>
  <property fmtid="{D5CDD505-2E9C-101B-9397-08002B2CF9AE}" pid="22" name="Mendeley Document_1">
    <vt:lpwstr>True</vt:lpwstr>
  </property>
  <property fmtid="{D5CDD505-2E9C-101B-9397-08002B2CF9AE}" pid="23" name="Mendeley Citation Style_1">
    <vt:lpwstr>http://www.zotero.org/styles/international-journal-for-numerical-methods-in-biomedical-engineering</vt:lpwstr>
  </property>
  <property fmtid="{D5CDD505-2E9C-101B-9397-08002B2CF9AE}" pid="24" name="Mendeley Unique User Id_1">
    <vt:lpwstr>30c86bba-b988-349a-b7d7-05373728a5c5</vt:lpwstr>
  </property>
</Properties>
</file>