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E9" w:rsidRPr="001F20E9" w:rsidRDefault="001F20E9" w:rsidP="001F20E9">
      <w:pPr>
        <w:suppressAutoHyphens w:val="0"/>
        <w:snapToGrid w:val="0"/>
        <w:jc w:val="center"/>
        <w:rPr>
          <w:b/>
          <w:sz w:val="20"/>
          <w:szCs w:val="20"/>
          <w:lang w:eastAsia="zh-CN"/>
        </w:rPr>
      </w:pPr>
      <w:bookmarkStart w:id="0" w:name="_Hlk22990999"/>
    </w:p>
    <w:p w:rsidR="00C67F37" w:rsidRPr="001F20E9" w:rsidRDefault="000477F5" w:rsidP="001F20E9">
      <w:pPr>
        <w:suppressAutoHyphens w:val="0"/>
        <w:snapToGrid w:val="0"/>
        <w:jc w:val="center"/>
        <w:rPr>
          <w:b/>
          <w:sz w:val="20"/>
          <w:szCs w:val="20"/>
        </w:rPr>
      </w:pPr>
      <w:r w:rsidRPr="001F20E9">
        <w:rPr>
          <w:b/>
          <w:sz w:val="20"/>
          <w:szCs w:val="20"/>
        </w:rPr>
        <w:t>Nexus between CO</w:t>
      </w:r>
      <w:r w:rsidRPr="001F20E9">
        <w:rPr>
          <w:b/>
          <w:sz w:val="20"/>
          <w:szCs w:val="20"/>
          <w:vertAlign w:val="subscript"/>
        </w:rPr>
        <w:t>2</w:t>
      </w:r>
      <w:r w:rsidRPr="001F20E9">
        <w:rPr>
          <w:b/>
          <w:sz w:val="20"/>
          <w:szCs w:val="20"/>
        </w:rPr>
        <w:t>, Trade openness, Economic growth, and Health expenditures in Pakistan</w:t>
      </w:r>
      <w:bookmarkEnd w:id="0"/>
      <w:r w:rsidRPr="001F20E9">
        <w:rPr>
          <w:b/>
          <w:sz w:val="20"/>
          <w:szCs w:val="20"/>
        </w:rPr>
        <w:t>: An application of the ARDL bounds testing approach.</w:t>
      </w:r>
    </w:p>
    <w:p w:rsidR="00C67F37" w:rsidRPr="001F20E9" w:rsidRDefault="00C67F37" w:rsidP="001F20E9">
      <w:pPr>
        <w:suppressAutoHyphens w:val="0"/>
        <w:snapToGrid w:val="0"/>
        <w:jc w:val="center"/>
        <w:rPr>
          <w:b/>
          <w:sz w:val="20"/>
          <w:szCs w:val="20"/>
        </w:rPr>
      </w:pPr>
    </w:p>
    <w:p w:rsidR="00C67F37" w:rsidRPr="001F20E9" w:rsidRDefault="000477F5" w:rsidP="001F20E9">
      <w:pPr>
        <w:suppressAutoHyphens w:val="0"/>
        <w:snapToGrid w:val="0"/>
        <w:jc w:val="center"/>
        <w:rPr>
          <w:sz w:val="20"/>
          <w:szCs w:val="20"/>
        </w:rPr>
      </w:pPr>
      <w:r w:rsidRPr="001F20E9">
        <w:rPr>
          <w:sz w:val="20"/>
          <w:szCs w:val="20"/>
        </w:rPr>
        <w:t xml:space="preserve">Rafid Ullah Khan, Liu Mina, Wajid Ali Khan, Fazal Qadeem, Seniha Rawal </w:t>
      </w:r>
    </w:p>
    <w:p w:rsidR="00C67F37" w:rsidRPr="001F20E9" w:rsidRDefault="00C67F37" w:rsidP="001F20E9">
      <w:pPr>
        <w:suppressAutoHyphens w:val="0"/>
        <w:snapToGrid w:val="0"/>
        <w:jc w:val="center"/>
        <w:rPr>
          <w:sz w:val="20"/>
          <w:szCs w:val="20"/>
        </w:rPr>
      </w:pPr>
    </w:p>
    <w:p w:rsidR="00C67F37" w:rsidRPr="001F20E9" w:rsidRDefault="000477F5" w:rsidP="001F20E9">
      <w:pPr>
        <w:suppressAutoHyphens w:val="0"/>
        <w:snapToGrid w:val="0"/>
        <w:jc w:val="center"/>
        <w:rPr>
          <w:sz w:val="20"/>
          <w:szCs w:val="20"/>
        </w:rPr>
      </w:pPr>
      <w:r w:rsidRPr="001F20E9">
        <w:rPr>
          <w:sz w:val="20"/>
          <w:szCs w:val="20"/>
        </w:rPr>
        <w:t>School of Public affairs, Nanjing University of Science and technology China</w:t>
      </w:r>
    </w:p>
    <w:p w:rsidR="00C67F37" w:rsidRPr="001F20E9" w:rsidRDefault="00C67F37" w:rsidP="001F20E9">
      <w:pPr>
        <w:suppressAutoHyphens w:val="0"/>
        <w:snapToGrid w:val="0"/>
        <w:jc w:val="center"/>
        <w:rPr>
          <w:sz w:val="20"/>
          <w:szCs w:val="20"/>
        </w:rPr>
      </w:pPr>
    </w:p>
    <w:p w:rsidR="00A25754" w:rsidRPr="001F20E9" w:rsidRDefault="00A25754" w:rsidP="001F20E9">
      <w:pPr>
        <w:suppressAutoHyphens w:val="0"/>
        <w:snapToGrid w:val="0"/>
        <w:jc w:val="both"/>
        <w:rPr>
          <w:sz w:val="20"/>
          <w:szCs w:val="20"/>
        </w:rPr>
      </w:pPr>
      <w:bookmarkStart w:id="1" w:name="_GoBack"/>
      <w:bookmarkEnd w:id="1"/>
      <w:r w:rsidRPr="001F20E9">
        <w:rPr>
          <w:b/>
          <w:sz w:val="20"/>
          <w:szCs w:val="20"/>
        </w:rPr>
        <w:t>Abstract</w:t>
      </w:r>
      <w:r w:rsidR="001F20E9" w:rsidRPr="001F20E9">
        <w:rPr>
          <w:b/>
          <w:sz w:val="20"/>
          <w:szCs w:val="20"/>
          <w:lang w:eastAsia="zh-CN"/>
        </w:rPr>
        <w:t xml:space="preserve">: </w:t>
      </w:r>
      <w:r w:rsidRPr="001F20E9">
        <w:rPr>
          <w:sz w:val="20"/>
          <w:szCs w:val="20"/>
        </w:rPr>
        <w:t>This study aims to examine the nexus between CO</w:t>
      </w:r>
      <w:r w:rsidRPr="001F20E9">
        <w:rPr>
          <w:sz w:val="20"/>
          <w:szCs w:val="20"/>
          <w:vertAlign w:val="subscript"/>
        </w:rPr>
        <w:t>2</w:t>
      </w:r>
      <w:r w:rsidRPr="001F20E9">
        <w:rPr>
          <w:sz w:val="20"/>
          <w:szCs w:val="20"/>
        </w:rPr>
        <w:t>, trade openness, economic growth, and health expenditures in Pakistan. Health is a significant element for wealth and revenue growth. Great wellbeing prompts higher profitability levels. CO</w:t>
      </w:r>
      <w:r w:rsidRPr="001F20E9">
        <w:rPr>
          <w:sz w:val="20"/>
          <w:szCs w:val="20"/>
          <w:vertAlign w:val="subscript"/>
        </w:rPr>
        <w:t>2</w:t>
      </w:r>
      <w:r w:rsidRPr="001F20E9">
        <w:rPr>
          <w:sz w:val="20"/>
          <w:szCs w:val="20"/>
        </w:rPr>
        <w:t xml:space="preserve"> is the most important GHG that damages the environment and affects people's health. At the same time, economic growth often negatively, and vice versa, affects health conditions. The study conducted auto-regressive distributive lag (ARDL) using time series data from 1990–2017. The study findings show that the health expenditure, CO</w:t>
      </w:r>
      <w:r w:rsidRPr="001F20E9">
        <w:rPr>
          <w:sz w:val="20"/>
          <w:szCs w:val="20"/>
          <w:vertAlign w:val="subscript"/>
        </w:rPr>
        <w:t>2</w:t>
      </w:r>
      <w:r w:rsidRPr="001F20E9">
        <w:rPr>
          <w:sz w:val="20"/>
          <w:szCs w:val="20"/>
        </w:rPr>
        <w:t xml:space="preserve"> emissions, and economic growth in Pakistan are significantly related both in the long-time period as well as in the short-term period. The bidirectional relationship of Granger causality was examined that health expenditures are the cause of CO</w:t>
      </w:r>
      <w:r w:rsidRPr="001F20E9">
        <w:rPr>
          <w:sz w:val="20"/>
          <w:szCs w:val="20"/>
          <w:vertAlign w:val="subscript"/>
        </w:rPr>
        <w:t>2</w:t>
      </w:r>
      <w:r w:rsidRPr="001F20E9">
        <w:rPr>
          <w:sz w:val="20"/>
          <w:szCs w:val="20"/>
        </w:rPr>
        <w:t xml:space="preserve"> while there is no causality running from health expenditures to economic growth and trade openness. CO</w:t>
      </w:r>
      <w:r w:rsidRPr="001F20E9">
        <w:rPr>
          <w:sz w:val="20"/>
          <w:szCs w:val="20"/>
          <w:vertAlign w:val="subscript"/>
        </w:rPr>
        <w:t>2</w:t>
      </w:r>
      <w:r w:rsidRPr="001F20E9">
        <w:rPr>
          <w:sz w:val="20"/>
          <w:szCs w:val="20"/>
        </w:rPr>
        <w:t xml:space="preserve"> emissions are not the Granger cause of health expenditures and TOP, while carbon emissions have a certain predictive effect on economic growth. GDP is not the Granger cause of HE and TOP, but there is a causality running from GDP to CO</w:t>
      </w:r>
      <w:r w:rsidRPr="001F20E9">
        <w:rPr>
          <w:sz w:val="20"/>
          <w:szCs w:val="20"/>
          <w:vertAlign w:val="subscript"/>
        </w:rPr>
        <w:t>2</w:t>
      </w:r>
      <w:r w:rsidRPr="001F20E9">
        <w:rPr>
          <w:sz w:val="20"/>
          <w:szCs w:val="20"/>
        </w:rPr>
        <w:t>. Trade openness is not the granger cause of health expenditures, CO</w:t>
      </w:r>
      <w:r w:rsidRPr="001F20E9">
        <w:rPr>
          <w:sz w:val="20"/>
          <w:szCs w:val="20"/>
          <w:vertAlign w:val="subscript"/>
        </w:rPr>
        <w:t>2</w:t>
      </w:r>
      <w:r w:rsidRPr="001F20E9">
        <w:rPr>
          <w:sz w:val="20"/>
          <w:szCs w:val="20"/>
        </w:rPr>
        <w:t>, and GDP.</w:t>
      </w:r>
    </w:p>
    <w:p w:rsidR="001F20E9" w:rsidRPr="001F20E9" w:rsidRDefault="001F20E9" w:rsidP="001F20E9">
      <w:pPr>
        <w:suppressAutoHyphens w:val="0"/>
        <w:snapToGrid w:val="0"/>
        <w:jc w:val="both"/>
        <w:rPr>
          <w:b/>
          <w:sz w:val="20"/>
          <w:szCs w:val="20"/>
        </w:rPr>
      </w:pPr>
      <w:r w:rsidRPr="001F20E9">
        <w:rPr>
          <w:bCs/>
          <w:sz w:val="20"/>
          <w:szCs w:val="20"/>
        </w:rPr>
        <w:t>[</w:t>
      </w:r>
      <w:r w:rsidRPr="001F20E9">
        <w:rPr>
          <w:sz w:val="20"/>
          <w:szCs w:val="20"/>
        </w:rPr>
        <w:t>Rafid Ullah Khan, Liu Mina, Wajid Ali Khan, Fazal Qadeem, Seniha Rawal.</w:t>
      </w:r>
      <w:r w:rsidRPr="001F20E9">
        <w:rPr>
          <w:b/>
          <w:bCs/>
          <w:sz w:val="20"/>
          <w:szCs w:val="20"/>
          <w:lang w:bidi="fa-IR"/>
        </w:rPr>
        <w:t xml:space="preserve"> </w:t>
      </w:r>
      <w:r w:rsidRPr="001F20E9">
        <w:rPr>
          <w:b/>
          <w:sz w:val="20"/>
          <w:szCs w:val="20"/>
        </w:rPr>
        <w:t>Nexus between CO</w:t>
      </w:r>
      <w:r w:rsidRPr="001F20E9">
        <w:rPr>
          <w:b/>
          <w:sz w:val="20"/>
          <w:szCs w:val="20"/>
          <w:vertAlign w:val="subscript"/>
        </w:rPr>
        <w:t>2</w:t>
      </w:r>
      <w:r w:rsidRPr="001F20E9">
        <w:rPr>
          <w:b/>
          <w:sz w:val="20"/>
          <w:szCs w:val="20"/>
        </w:rPr>
        <w:t>, Trade openness, Economic growth, and Health expenditures in Pakistan: An application of the ARDL bounds testing approach</w:t>
      </w:r>
      <w:r w:rsidR="00F951C2">
        <w:rPr>
          <w:rFonts w:hint="eastAsia"/>
          <w:b/>
          <w:sz w:val="20"/>
          <w:szCs w:val="20"/>
          <w:lang w:eastAsia="zh-CN"/>
        </w:rPr>
        <w:t>.</w:t>
      </w:r>
      <w:r w:rsidRPr="001F20E9">
        <w:rPr>
          <w:bCs/>
          <w:i/>
          <w:sz w:val="20"/>
          <w:szCs w:val="20"/>
        </w:rPr>
        <w:t xml:space="preserve"> N Y Sci J</w:t>
      </w:r>
      <w:r w:rsidRPr="001F20E9">
        <w:rPr>
          <w:bCs/>
          <w:sz w:val="20"/>
          <w:szCs w:val="20"/>
        </w:rPr>
        <w:t xml:space="preserve"> </w:t>
      </w:r>
      <w:r w:rsidRPr="001F20E9">
        <w:rPr>
          <w:sz w:val="20"/>
          <w:szCs w:val="20"/>
        </w:rPr>
        <w:t>2020;13(1):</w:t>
      </w:r>
      <w:r w:rsidR="00085F90">
        <w:rPr>
          <w:noProof/>
          <w:color w:val="000000"/>
          <w:sz w:val="20"/>
          <w:szCs w:val="20"/>
        </w:rPr>
        <w:t>93-100</w:t>
      </w:r>
      <w:r w:rsidRPr="001F20E9">
        <w:rPr>
          <w:sz w:val="20"/>
          <w:szCs w:val="20"/>
        </w:rPr>
        <w:t xml:space="preserve">]. </w:t>
      </w:r>
      <w:r w:rsidRPr="001F20E9">
        <w:rPr>
          <w:iCs/>
          <w:color w:val="000000"/>
          <w:sz w:val="20"/>
          <w:szCs w:val="20"/>
        </w:rPr>
        <w:t>ISSN 1554-0200 (print); ISSN 2375-723X (online)</w:t>
      </w:r>
      <w:r w:rsidRPr="001F20E9">
        <w:rPr>
          <w:sz w:val="20"/>
          <w:szCs w:val="20"/>
        </w:rPr>
        <w:t xml:space="preserve">. </w:t>
      </w:r>
      <w:hyperlink r:id="rId8" w:history="1">
        <w:r w:rsidRPr="001F20E9">
          <w:rPr>
            <w:rStyle w:val="Hyperlink"/>
            <w:sz w:val="20"/>
            <w:szCs w:val="20"/>
          </w:rPr>
          <w:t>http://www.sciencepub.net/newyork</w:t>
        </w:r>
      </w:hyperlink>
      <w:r w:rsidRPr="001F20E9">
        <w:rPr>
          <w:sz w:val="20"/>
          <w:szCs w:val="20"/>
        </w:rPr>
        <w:t xml:space="preserve">. </w:t>
      </w:r>
      <w:r w:rsidRPr="001F20E9">
        <w:rPr>
          <w:sz w:val="20"/>
          <w:szCs w:val="20"/>
          <w:lang w:eastAsia="zh-CN"/>
        </w:rPr>
        <w:t>13</w:t>
      </w:r>
      <w:r w:rsidRPr="001F20E9">
        <w:rPr>
          <w:sz w:val="20"/>
          <w:szCs w:val="20"/>
        </w:rPr>
        <w:t xml:space="preserve">. </w:t>
      </w:r>
      <w:r w:rsidRPr="001F20E9">
        <w:rPr>
          <w:color w:val="000000"/>
          <w:sz w:val="20"/>
          <w:szCs w:val="20"/>
          <w:shd w:val="clear" w:color="auto" w:fill="FFFFFF"/>
        </w:rPr>
        <w:t>doi:</w:t>
      </w:r>
      <w:hyperlink r:id="rId9" w:history="1">
        <w:r w:rsidRPr="001F20E9">
          <w:rPr>
            <w:rStyle w:val="Hyperlink"/>
            <w:sz w:val="20"/>
            <w:szCs w:val="20"/>
            <w:shd w:val="clear" w:color="auto" w:fill="FFFFFF"/>
          </w:rPr>
          <w:t>10.7537/marsnys130120.</w:t>
        </w:r>
        <w:r w:rsidRPr="001F20E9">
          <w:rPr>
            <w:rStyle w:val="Hyperlink"/>
            <w:sz w:val="20"/>
            <w:szCs w:val="20"/>
            <w:shd w:val="clear" w:color="auto" w:fill="FFFFFF"/>
            <w:lang w:eastAsia="zh-CN"/>
          </w:rPr>
          <w:t>13</w:t>
        </w:r>
      </w:hyperlink>
      <w:r w:rsidRPr="001F20E9">
        <w:rPr>
          <w:color w:val="000000"/>
          <w:sz w:val="20"/>
          <w:szCs w:val="20"/>
          <w:shd w:val="clear" w:color="auto" w:fill="FFFFFF"/>
        </w:rPr>
        <w:t>.</w:t>
      </w:r>
    </w:p>
    <w:p w:rsidR="001817C7" w:rsidRPr="001F20E9" w:rsidRDefault="001817C7" w:rsidP="001F20E9">
      <w:pPr>
        <w:suppressAutoHyphens w:val="0"/>
        <w:snapToGrid w:val="0"/>
        <w:jc w:val="both"/>
        <w:rPr>
          <w:sz w:val="20"/>
          <w:szCs w:val="20"/>
        </w:rPr>
      </w:pPr>
    </w:p>
    <w:p w:rsidR="00A25754" w:rsidRPr="001F20E9" w:rsidRDefault="00A25754" w:rsidP="001F20E9">
      <w:pPr>
        <w:suppressAutoHyphens w:val="0"/>
        <w:snapToGrid w:val="0"/>
        <w:jc w:val="both"/>
        <w:rPr>
          <w:sz w:val="20"/>
          <w:szCs w:val="20"/>
        </w:rPr>
      </w:pPr>
      <w:r w:rsidRPr="001F20E9">
        <w:rPr>
          <w:b/>
          <w:sz w:val="20"/>
          <w:szCs w:val="20"/>
        </w:rPr>
        <w:t>Keywords:</w:t>
      </w:r>
      <w:r w:rsidRPr="001F20E9">
        <w:rPr>
          <w:sz w:val="20"/>
          <w:szCs w:val="20"/>
        </w:rPr>
        <w:t xml:space="preserve"> CO</w:t>
      </w:r>
      <w:r w:rsidRPr="001F20E9">
        <w:rPr>
          <w:sz w:val="20"/>
          <w:szCs w:val="20"/>
          <w:vertAlign w:val="subscript"/>
        </w:rPr>
        <w:t>2</w:t>
      </w:r>
      <w:r w:rsidRPr="001F20E9">
        <w:rPr>
          <w:sz w:val="20"/>
          <w:szCs w:val="20"/>
        </w:rPr>
        <w:t xml:space="preserve"> emissions, Health expenditures, Trade openness, ARDL, Granger Causality</w:t>
      </w:r>
    </w:p>
    <w:p w:rsidR="001817C7" w:rsidRPr="00085F90" w:rsidRDefault="001817C7" w:rsidP="001F20E9">
      <w:pPr>
        <w:suppressAutoHyphens w:val="0"/>
        <w:snapToGrid w:val="0"/>
        <w:ind w:firstLine="425"/>
        <w:jc w:val="both"/>
        <w:rPr>
          <w:sz w:val="22"/>
          <w:szCs w:val="20"/>
        </w:rPr>
      </w:pPr>
    </w:p>
    <w:p w:rsidR="001F20E9" w:rsidRPr="001F20E9" w:rsidRDefault="001F20E9" w:rsidP="001F20E9">
      <w:pPr>
        <w:suppressAutoHyphens w:val="0"/>
        <w:snapToGrid w:val="0"/>
        <w:jc w:val="both"/>
        <w:rPr>
          <w:b/>
          <w:sz w:val="20"/>
          <w:szCs w:val="20"/>
        </w:rPr>
        <w:sectPr w:rsidR="001F20E9" w:rsidRPr="001F20E9" w:rsidSect="00085F9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3"/>
          <w:cols w:space="720"/>
          <w:docGrid w:linePitch="360"/>
        </w:sectPr>
      </w:pPr>
    </w:p>
    <w:p w:rsidR="00471E57" w:rsidRPr="001F20E9" w:rsidRDefault="00471E57" w:rsidP="001F20E9">
      <w:pPr>
        <w:suppressAutoHyphens w:val="0"/>
        <w:snapToGrid w:val="0"/>
        <w:jc w:val="both"/>
        <w:rPr>
          <w:b/>
          <w:sz w:val="20"/>
          <w:szCs w:val="20"/>
        </w:rPr>
      </w:pPr>
      <w:r w:rsidRPr="001F20E9">
        <w:rPr>
          <w:b/>
          <w:sz w:val="20"/>
          <w:szCs w:val="20"/>
        </w:rPr>
        <w:lastRenderedPageBreak/>
        <w:t>1. Introduction</w:t>
      </w:r>
    </w:p>
    <w:p w:rsidR="00A25754" w:rsidRPr="001F20E9" w:rsidRDefault="00A25754" w:rsidP="001F20E9">
      <w:pPr>
        <w:suppressAutoHyphens w:val="0"/>
        <w:snapToGrid w:val="0"/>
        <w:ind w:firstLine="425"/>
        <w:jc w:val="both"/>
        <w:rPr>
          <w:sz w:val="20"/>
          <w:szCs w:val="20"/>
        </w:rPr>
      </w:pPr>
      <w:r w:rsidRPr="001F20E9">
        <w:rPr>
          <w:sz w:val="20"/>
          <w:szCs w:val="20"/>
        </w:rPr>
        <w:t>Health is an important indicator of the quality of life in a country. Labour productivity depends on the health and educational conditions of the workers. Therefore, health expenditure is a significant factor that the government has made to accumulate human capital. Health becomes more important as technology becomes to develop. Hence, there bring more opportunities to people in terms of health issues and improving living standard, which improve work efficiency and productivity in other areas. Among other pollutants, CO</w:t>
      </w:r>
      <w:r w:rsidRPr="001F20E9">
        <w:rPr>
          <w:sz w:val="20"/>
          <w:szCs w:val="20"/>
          <w:vertAlign w:val="subscript"/>
        </w:rPr>
        <w:t xml:space="preserve">2 </w:t>
      </w:r>
      <w:r w:rsidRPr="001F20E9">
        <w:rPr>
          <w:sz w:val="20"/>
          <w:szCs w:val="20"/>
        </w:rPr>
        <w:t xml:space="preserve">is usually acknowledged to be the significant supporter of natural contamination; it can have an unfavorable influence upon social and more, financial improvement of a general public (Chen </w:t>
      </w:r>
      <w:r w:rsidRPr="001F20E9">
        <w:rPr>
          <w:i/>
          <w:sz w:val="20"/>
          <w:szCs w:val="20"/>
        </w:rPr>
        <w:t>et al.</w:t>
      </w:r>
      <w:r w:rsidRPr="001F20E9">
        <w:rPr>
          <w:sz w:val="20"/>
          <w:szCs w:val="20"/>
        </w:rPr>
        <w:t>, 2019). CO</w:t>
      </w:r>
      <w:r w:rsidRPr="001F20E9">
        <w:rPr>
          <w:sz w:val="20"/>
          <w:szCs w:val="20"/>
          <w:vertAlign w:val="subscript"/>
        </w:rPr>
        <w:t>2</w:t>
      </w:r>
      <w:r w:rsidRPr="001F20E9">
        <w:rPr>
          <w:sz w:val="20"/>
          <w:szCs w:val="20"/>
        </w:rPr>
        <w:t xml:space="preserve"> emissions will be polluting air and may bring about undesirable birth of infants conceived, particularly to ladies living close to the mechanical territories, babyhood beginning asthma, hospitalization for breathing and cardiovascular issues 1,</w:t>
      </w:r>
      <w:r w:rsidR="00143617">
        <w:rPr>
          <w:rFonts w:hint="eastAsia"/>
          <w:sz w:val="20"/>
          <w:szCs w:val="20"/>
          <w:lang w:eastAsia="zh-CN"/>
        </w:rPr>
        <w:t xml:space="preserve"> </w:t>
      </w:r>
      <w:r w:rsidRPr="001F20E9">
        <w:rPr>
          <w:sz w:val="20"/>
          <w:szCs w:val="20"/>
        </w:rPr>
        <w:t>37,</w:t>
      </w:r>
      <w:r w:rsidR="00143617">
        <w:rPr>
          <w:rFonts w:hint="eastAsia"/>
          <w:sz w:val="20"/>
          <w:szCs w:val="20"/>
          <w:lang w:eastAsia="zh-CN"/>
        </w:rPr>
        <w:t xml:space="preserve"> </w:t>
      </w:r>
      <w:r w:rsidRPr="001F20E9">
        <w:rPr>
          <w:sz w:val="20"/>
          <w:szCs w:val="20"/>
        </w:rPr>
        <w:t>40,</w:t>
      </w:r>
      <w:r w:rsidR="00143617">
        <w:rPr>
          <w:rFonts w:hint="eastAsia"/>
          <w:sz w:val="20"/>
          <w:szCs w:val="20"/>
          <w:lang w:eastAsia="zh-CN"/>
        </w:rPr>
        <w:t xml:space="preserve"> </w:t>
      </w:r>
      <w:r w:rsidRPr="001F20E9">
        <w:rPr>
          <w:sz w:val="20"/>
          <w:szCs w:val="20"/>
        </w:rPr>
        <w:t>42</w:t>
      </w:r>
      <w:r w:rsidR="00143617">
        <w:rPr>
          <w:rFonts w:hint="eastAsia"/>
          <w:sz w:val="20"/>
          <w:szCs w:val="20"/>
          <w:lang w:eastAsia="zh-CN"/>
        </w:rPr>
        <w:t xml:space="preserve"> </w:t>
      </w:r>
      <w:r w:rsidRPr="001F20E9">
        <w:rPr>
          <w:sz w:val="20"/>
          <w:szCs w:val="20"/>
        </w:rPr>
        <w:t xml:space="preserve">(Chen </w:t>
      </w:r>
      <w:r w:rsidRPr="001F20E9">
        <w:rPr>
          <w:i/>
          <w:sz w:val="20"/>
          <w:szCs w:val="20"/>
        </w:rPr>
        <w:t>et al</w:t>
      </w:r>
      <w:r w:rsidRPr="001F20E9">
        <w:rPr>
          <w:sz w:val="20"/>
          <w:szCs w:val="20"/>
        </w:rPr>
        <w:t xml:space="preserve">, 2019; Xu </w:t>
      </w:r>
      <w:r w:rsidRPr="001F20E9">
        <w:rPr>
          <w:i/>
          <w:sz w:val="20"/>
          <w:szCs w:val="20"/>
        </w:rPr>
        <w:t>et al</w:t>
      </w:r>
      <w:r w:rsidRPr="001F20E9">
        <w:rPr>
          <w:sz w:val="20"/>
          <w:szCs w:val="20"/>
        </w:rPr>
        <w:t xml:space="preserve">, 2013; He </w:t>
      </w:r>
      <w:r w:rsidRPr="001F20E9">
        <w:rPr>
          <w:i/>
          <w:sz w:val="20"/>
          <w:szCs w:val="20"/>
        </w:rPr>
        <w:t>et al</w:t>
      </w:r>
      <w:r w:rsidRPr="001F20E9">
        <w:rPr>
          <w:sz w:val="20"/>
          <w:szCs w:val="20"/>
        </w:rPr>
        <w:t xml:space="preserve">, 2016 and Jiang </w:t>
      </w:r>
      <w:r w:rsidRPr="001F20E9">
        <w:rPr>
          <w:i/>
          <w:sz w:val="20"/>
          <w:szCs w:val="20"/>
        </w:rPr>
        <w:t>et al</w:t>
      </w:r>
      <w:r w:rsidRPr="001F20E9">
        <w:rPr>
          <w:sz w:val="20"/>
          <w:szCs w:val="20"/>
        </w:rPr>
        <w:t>, 2018). CO</w:t>
      </w:r>
      <w:r w:rsidRPr="001F20E9">
        <w:rPr>
          <w:sz w:val="20"/>
          <w:szCs w:val="20"/>
          <w:vertAlign w:val="subscript"/>
        </w:rPr>
        <w:t xml:space="preserve">2 </w:t>
      </w:r>
      <w:r w:rsidRPr="001F20E9">
        <w:rPr>
          <w:sz w:val="20"/>
          <w:szCs w:val="20"/>
        </w:rPr>
        <w:t xml:space="preserve">emissions will not only reduce generally ecological well-being but will also enforce to high charge of medical expenditure. Low quality of nature can have harmful effects on human wellbeing and an antagonistic impact on </w:t>
      </w:r>
      <w:r w:rsidRPr="001F20E9">
        <w:rPr>
          <w:sz w:val="20"/>
          <w:szCs w:val="20"/>
        </w:rPr>
        <w:lastRenderedPageBreak/>
        <w:t>employment output (Yazdi and Khanalizadeh, 2017). Carbon Dioxide emissions are the main factor affecting the quality of the environment that adversely affects society's health. According to the research of medical, different types of mortality are caused by environmental pollution, such as particulate matter can cause work loss and bed disability in adults (Ostro and Rothschild, 1989). Various pollutants such as Sulphur Carbon Dioxide and total suspended particulate matter (TSP) increasing mortality (Schwartz and Dockery, 1992). The impact of CO</w:t>
      </w:r>
      <w:r w:rsidRPr="001F20E9">
        <w:rPr>
          <w:sz w:val="20"/>
          <w:szCs w:val="20"/>
          <w:vertAlign w:val="subscript"/>
        </w:rPr>
        <w:t>2</w:t>
      </w:r>
      <w:r w:rsidRPr="001F20E9">
        <w:rPr>
          <w:sz w:val="20"/>
          <w:szCs w:val="20"/>
        </w:rPr>
        <w:t xml:space="preserve"> on health has important consequences to health expenditures, although most earlier literature shows that revenue is the main factor of health expenditure.</w:t>
      </w:r>
    </w:p>
    <w:p w:rsidR="00085F90" w:rsidRDefault="00A25754" w:rsidP="001F20E9">
      <w:pPr>
        <w:suppressAutoHyphens w:val="0"/>
        <w:snapToGrid w:val="0"/>
        <w:ind w:firstLine="425"/>
        <w:jc w:val="both"/>
        <w:rPr>
          <w:sz w:val="20"/>
          <w:szCs w:val="20"/>
        </w:rPr>
        <w:sectPr w:rsidR="00085F90" w:rsidSect="003C34C7">
          <w:footnotePr>
            <w:pos w:val="beneathText"/>
          </w:footnotePr>
          <w:type w:val="continuous"/>
          <w:pgSz w:w="12240" w:h="15840" w:code="1"/>
          <w:pgMar w:top="1440" w:right="1440" w:bottom="1440" w:left="1440" w:header="720" w:footer="720" w:gutter="0"/>
          <w:cols w:num="2" w:space="600"/>
          <w:docGrid w:linePitch="360"/>
        </w:sectPr>
      </w:pPr>
      <w:r w:rsidRPr="001F20E9">
        <w:rPr>
          <w:sz w:val="20"/>
          <w:szCs w:val="20"/>
        </w:rPr>
        <w:t xml:space="preserve">Trade openness can also be severely influenced the government health expenditures; trade affects health by affecting the availability of goods and services, price level, wealth of community, structure, and dynamics of the global economy. This includes the level and distribution of employment, investment, debt, accumulation, crises, and sustainability (Bljlt, 2007; Pachanee and Wibulpolprasert, 2007; Smith </w:t>
      </w:r>
      <w:r w:rsidRPr="001F20E9">
        <w:rPr>
          <w:i/>
          <w:sz w:val="20"/>
          <w:szCs w:val="20"/>
        </w:rPr>
        <w:t>et al.</w:t>
      </w:r>
      <w:r w:rsidRPr="001F20E9">
        <w:rPr>
          <w:sz w:val="20"/>
          <w:szCs w:val="20"/>
        </w:rPr>
        <w:t xml:space="preserve">, 2009; Lobstein, 2010). Panda (2014) argued that a nation’s trade openness influences the macroeconomy by affecting financial development. This national level economic benefit of openness to trade is </w:t>
      </w:r>
    </w:p>
    <w:p w:rsidR="00A25754" w:rsidRPr="001F20E9" w:rsidRDefault="00A25754" w:rsidP="00085F90">
      <w:pPr>
        <w:suppressAutoHyphens w:val="0"/>
        <w:snapToGrid w:val="0"/>
        <w:jc w:val="both"/>
        <w:rPr>
          <w:sz w:val="20"/>
          <w:szCs w:val="20"/>
        </w:rPr>
      </w:pPr>
      <w:r w:rsidRPr="001F20E9">
        <w:rPr>
          <w:sz w:val="20"/>
          <w:szCs w:val="20"/>
        </w:rPr>
        <w:lastRenderedPageBreak/>
        <w:t xml:space="preserve">anticipated to convert to different sectors of the economy, including the health sector (WHO, 2013). By the study of (Deaton, 2014) trade openness increases the utilization of medicinal merchandise and overflows the international knowledge of health. </w:t>
      </w:r>
    </w:p>
    <w:p w:rsidR="00A25754" w:rsidRPr="001F20E9" w:rsidRDefault="00A25754" w:rsidP="001F20E9">
      <w:pPr>
        <w:suppressAutoHyphens w:val="0"/>
        <w:snapToGrid w:val="0"/>
        <w:ind w:firstLine="425"/>
        <w:jc w:val="both"/>
        <w:rPr>
          <w:sz w:val="20"/>
          <w:szCs w:val="20"/>
        </w:rPr>
      </w:pPr>
      <w:r w:rsidRPr="001F20E9">
        <w:rPr>
          <w:sz w:val="20"/>
          <w:szCs w:val="20"/>
        </w:rPr>
        <w:t xml:space="preserve">Economic growth is usually considered as a fundamental and frequently adequate condition for the development of population wellbeing. The motivation for an increase in fiscal development will lead to an increase in normal earnings especially increasing the underprivileged public's income; results will improve access to and utilization of products and ventures that improve nutritional status and health (Vollmer </w:t>
      </w:r>
      <w:r w:rsidRPr="001F20E9">
        <w:rPr>
          <w:i/>
          <w:sz w:val="20"/>
          <w:szCs w:val="20"/>
        </w:rPr>
        <w:t>et al.</w:t>
      </w:r>
      <w:r w:rsidRPr="001F20E9">
        <w:rPr>
          <w:sz w:val="20"/>
          <w:szCs w:val="20"/>
        </w:rPr>
        <w:t>, 2014). Similarly, Fan and Savedoff (2012) found that increasing income and expenditures on medical technology result raises health expenditures.</w:t>
      </w:r>
      <w:r w:rsidR="00C67F37" w:rsidRPr="001F20E9">
        <w:rPr>
          <w:sz w:val="20"/>
          <w:szCs w:val="20"/>
        </w:rPr>
        <w:t xml:space="preserve"> </w:t>
      </w:r>
    </w:p>
    <w:p w:rsidR="00A25754" w:rsidRPr="001F20E9" w:rsidRDefault="00A25754" w:rsidP="001F20E9">
      <w:pPr>
        <w:suppressAutoHyphens w:val="0"/>
        <w:snapToGrid w:val="0"/>
        <w:ind w:firstLine="425"/>
        <w:jc w:val="both"/>
        <w:rPr>
          <w:sz w:val="20"/>
          <w:szCs w:val="20"/>
        </w:rPr>
      </w:pPr>
      <w:r w:rsidRPr="001F20E9">
        <w:rPr>
          <w:sz w:val="20"/>
          <w:szCs w:val="20"/>
        </w:rPr>
        <w:t>As per our knowledge, a significant space exists to investigate the consequences of CO</w:t>
      </w:r>
      <w:r w:rsidRPr="001F20E9">
        <w:rPr>
          <w:sz w:val="20"/>
          <w:szCs w:val="20"/>
          <w:vertAlign w:val="subscript"/>
        </w:rPr>
        <w:t>2</w:t>
      </w:r>
      <w:r w:rsidRPr="001F20E9">
        <w:rPr>
          <w:sz w:val="20"/>
          <w:szCs w:val="20"/>
        </w:rPr>
        <w:t xml:space="preserve"> emissions and economic growth on health expenditures in the existence of trade openness in the context of Pakistan empirically. Because past studies have examined the impact of health expenditures on economic growth. Nevertheless, a combined impact of CO</w:t>
      </w:r>
      <w:r w:rsidRPr="001F20E9">
        <w:rPr>
          <w:sz w:val="20"/>
          <w:szCs w:val="20"/>
          <w:vertAlign w:val="subscript"/>
        </w:rPr>
        <w:t xml:space="preserve">2, </w:t>
      </w:r>
      <w:r w:rsidRPr="001F20E9">
        <w:rPr>
          <w:sz w:val="20"/>
          <w:szCs w:val="20"/>
        </w:rPr>
        <w:t>trade openness and economic growth with health expenditures are not yet discovered. This examination intends to fill this exploration space by empirically examining the CO</w:t>
      </w:r>
      <w:r w:rsidRPr="001F20E9">
        <w:rPr>
          <w:sz w:val="20"/>
          <w:szCs w:val="20"/>
          <w:vertAlign w:val="subscript"/>
        </w:rPr>
        <w:t xml:space="preserve">2 </w:t>
      </w:r>
      <w:r w:rsidRPr="001F20E9">
        <w:rPr>
          <w:sz w:val="20"/>
          <w:szCs w:val="20"/>
        </w:rPr>
        <w:t>emissions, trade openness, and economic growth on health expenditures in the context of Pakistan.</w:t>
      </w:r>
      <w:r w:rsidR="00C67F37" w:rsidRPr="001F20E9">
        <w:rPr>
          <w:sz w:val="20"/>
          <w:szCs w:val="20"/>
        </w:rPr>
        <w:t xml:space="preserve"> </w:t>
      </w:r>
    </w:p>
    <w:p w:rsidR="00A25754" w:rsidRPr="001F20E9" w:rsidRDefault="00A25754" w:rsidP="001F20E9">
      <w:pPr>
        <w:suppressAutoHyphens w:val="0"/>
        <w:snapToGrid w:val="0"/>
        <w:ind w:firstLine="425"/>
        <w:jc w:val="both"/>
        <w:rPr>
          <w:sz w:val="20"/>
          <w:szCs w:val="20"/>
        </w:rPr>
      </w:pPr>
      <w:r w:rsidRPr="001F20E9">
        <w:rPr>
          <w:sz w:val="20"/>
          <w:szCs w:val="20"/>
        </w:rPr>
        <w:t>The remaining paper is prepared as; unit 2 present analyses of past studies, section 3 discuss data and methodology, section 4 investigates results, and section 5 shows conclusion and strategy recommendations.</w:t>
      </w:r>
    </w:p>
    <w:p w:rsidR="00EB51F4" w:rsidRPr="001F20E9" w:rsidRDefault="00EB51F4" w:rsidP="001F20E9">
      <w:pPr>
        <w:suppressAutoHyphens w:val="0"/>
        <w:snapToGrid w:val="0"/>
        <w:jc w:val="both"/>
        <w:rPr>
          <w:b/>
          <w:sz w:val="20"/>
          <w:szCs w:val="20"/>
        </w:rPr>
      </w:pPr>
    </w:p>
    <w:p w:rsidR="001E0146" w:rsidRPr="001F20E9" w:rsidRDefault="000A131A" w:rsidP="001F20E9">
      <w:pPr>
        <w:suppressAutoHyphens w:val="0"/>
        <w:snapToGrid w:val="0"/>
        <w:jc w:val="both"/>
        <w:rPr>
          <w:b/>
          <w:sz w:val="20"/>
          <w:szCs w:val="20"/>
        </w:rPr>
      </w:pPr>
      <w:r w:rsidRPr="001F20E9">
        <w:rPr>
          <w:b/>
          <w:sz w:val="20"/>
          <w:szCs w:val="20"/>
        </w:rPr>
        <w:t xml:space="preserve">2. </w:t>
      </w:r>
      <w:r w:rsidR="001E0146" w:rsidRPr="001F20E9">
        <w:rPr>
          <w:b/>
          <w:sz w:val="20"/>
          <w:szCs w:val="20"/>
        </w:rPr>
        <w:t>Literature Review</w:t>
      </w:r>
    </w:p>
    <w:p w:rsidR="001E0146" w:rsidRPr="001F20E9" w:rsidRDefault="001E0146" w:rsidP="001F20E9">
      <w:pPr>
        <w:suppressAutoHyphens w:val="0"/>
        <w:snapToGrid w:val="0"/>
        <w:ind w:firstLine="425"/>
        <w:jc w:val="both"/>
        <w:rPr>
          <w:sz w:val="20"/>
          <w:szCs w:val="20"/>
        </w:rPr>
      </w:pPr>
      <w:r w:rsidRPr="001F20E9">
        <w:rPr>
          <w:sz w:val="20"/>
          <w:szCs w:val="20"/>
        </w:rPr>
        <w:t>The first string is regarding Carbon Dioxide</w:t>
      </w:r>
      <w:r w:rsidRPr="001F20E9">
        <w:rPr>
          <w:sz w:val="20"/>
          <w:szCs w:val="20"/>
          <w:vertAlign w:val="subscript"/>
        </w:rPr>
        <w:t xml:space="preserve"> </w:t>
      </w:r>
      <w:r w:rsidRPr="001F20E9">
        <w:rPr>
          <w:sz w:val="20"/>
          <w:szCs w:val="20"/>
        </w:rPr>
        <w:t>emissions and health expenditure. The environment issue, especially CO</w:t>
      </w:r>
      <w:r w:rsidRPr="001F20E9">
        <w:rPr>
          <w:sz w:val="20"/>
          <w:szCs w:val="20"/>
          <w:vertAlign w:val="subscript"/>
        </w:rPr>
        <w:t xml:space="preserve">2 </w:t>
      </w:r>
      <w:r w:rsidRPr="001F20E9">
        <w:rPr>
          <w:sz w:val="20"/>
          <w:szCs w:val="20"/>
        </w:rPr>
        <w:t>emission, has generally pulled the researchers and policy makers. In recent decades, the issue of the nature generally CO</w:t>
      </w:r>
      <w:r w:rsidRPr="001F20E9">
        <w:rPr>
          <w:sz w:val="20"/>
          <w:szCs w:val="20"/>
          <w:vertAlign w:val="subscript"/>
        </w:rPr>
        <w:t xml:space="preserve">2 </w:t>
      </w:r>
      <w:r w:rsidRPr="001F20E9">
        <w:rPr>
          <w:sz w:val="20"/>
          <w:szCs w:val="20"/>
        </w:rPr>
        <w:t xml:space="preserve">emission has serious consequences, especially on health (Saida and Kais, 2018). Khwaja </w:t>
      </w:r>
      <w:r w:rsidRPr="001F20E9">
        <w:rPr>
          <w:i/>
          <w:sz w:val="20"/>
          <w:szCs w:val="20"/>
        </w:rPr>
        <w:t>et al.</w:t>
      </w:r>
      <w:r w:rsidRPr="001F20E9">
        <w:rPr>
          <w:sz w:val="20"/>
          <w:szCs w:val="20"/>
        </w:rPr>
        <w:t xml:space="preserve"> (2013) found that because of air pollution, the rate of admission in cardiology departments was higher, and resultantly increased the health expenditure. Lu </w:t>
      </w:r>
      <w:r w:rsidRPr="001F20E9">
        <w:rPr>
          <w:i/>
          <w:sz w:val="20"/>
          <w:szCs w:val="20"/>
        </w:rPr>
        <w:t>et al.</w:t>
      </w:r>
      <w:r w:rsidRPr="001F20E9">
        <w:rPr>
          <w:sz w:val="20"/>
          <w:szCs w:val="20"/>
        </w:rPr>
        <w:t>, (2017) studied 30 provinces of China that concluded the negative relationship of CO</w:t>
      </w:r>
      <w:r w:rsidRPr="001F20E9">
        <w:rPr>
          <w:sz w:val="20"/>
          <w:szCs w:val="20"/>
          <w:vertAlign w:val="subscript"/>
        </w:rPr>
        <w:t>2</w:t>
      </w:r>
      <w:r w:rsidRPr="001F20E9">
        <w:rPr>
          <w:sz w:val="20"/>
          <w:szCs w:val="20"/>
        </w:rPr>
        <w:t xml:space="preserve"> emission and other natural related contamination upon general wellbeing, but the health and ailment conditions were counted bearing extensive commitment in health advancement. The study of Yazdi </w:t>
      </w:r>
      <w:r w:rsidRPr="001F20E9">
        <w:rPr>
          <w:i/>
          <w:sz w:val="20"/>
          <w:szCs w:val="20"/>
        </w:rPr>
        <w:t>et al.</w:t>
      </w:r>
      <w:r w:rsidRPr="001F20E9">
        <w:rPr>
          <w:sz w:val="20"/>
          <w:szCs w:val="20"/>
        </w:rPr>
        <w:t xml:space="preserve">, (2014) investigated in the framework of Iran throughout 1967-2010 applied co-integration and ARDL technique that carbon monoxide and sulphur oxide have a positive influence on health spending. Boachie </w:t>
      </w:r>
      <w:r w:rsidRPr="001F20E9">
        <w:rPr>
          <w:i/>
          <w:sz w:val="20"/>
          <w:szCs w:val="20"/>
        </w:rPr>
        <w:t>et al.</w:t>
      </w:r>
      <w:r w:rsidRPr="001F20E9">
        <w:rPr>
          <w:sz w:val="20"/>
          <w:szCs w:val="20"/>
        </w:rPr>
        <w:t xml:space="preserve"> (2014) were also </w:t>
      </w:r>
      <w:r w:rsidRPr="001F20E9">
        <w:rPr>
          <w:sz w:val="20"/>
          <w:szCs w:val="20"/>
        </w:rPr>
        <w:lastRenderedPageBreak/>
        <w:t>founded in their study by used the FMOLS approach by taking the period of 1970-2008 that negative effect of CO</w:t>
      </w:r>
      <w:r w:rsidRPr="001F20E9">
        <w:rPr>
          <w:sz w:val="20"/>
          <w:szCs w:val="20"/>
          <w:vertAlign w:val="subscript"/>
        </w:rPr>
        <w:t xml:space="preserve">2 </w:t>
      </w:r>
      <w:r w:rsidRPr="001F20E9">
        <w:rPr>
          <w:sz w:val="20"/>
          <w:szCs w:val="20"/>
        </w:rPr>
        <w:t xml:space="preserve">emission on health expenditure. Wang </w:t>
      </w:r>
      <w:r w:rsidRPr="001F20E9">
        <w:rPr>
          <w:i/>
          <w:sz w:val="20"/>
          <w:szCs w:val="20"/>
        </w:rPr>
        <w:t>et al.</w:t>
      </w:r>
      <w:r w:rsidRPr="001F20E9">
        <w:rPr>
          <w:sz w:val="20"/>
          <w:szCs w:val="20"/>
        </w:rPr>
        <w:t xml:space="preserve"> (2018) examined the relation among CO</w:t>
      </w:r>
      <w:r w:rsidRPr="001F20E9">
        <w:rPr>
          <w:sz w:val="20"/>
          <w:szCs w:val="20"/>
          <w:vertAlign w:val="subscript"/>
        </w:rPr>
        <w:t xml:space="preserve">2 </w:t>
      </w:r>
      <w:r w:rsidRPr="001F20E9">
        <w:rPr>
          <w:sz w:val="20"/>
          <w:szCs w:val="20"/>
        </w:rPr>
        <w:t>emission, health expenditure, and economic growth by using the ARDL model covering the annual data from 1995 to 2017. They found a constructive and factually huge connection between CO</w:t>
      </w:r>
      <w:r w:rsidRPr="001F20E9">
        <w:rPr>
          <w:sz w:val="20"/>
          <w:szCs w:val="20"/>
          <w:vertAlign w:val="subscript"/>
        </w:rPr>
        <w:t xml:space="preserve">2 </w:t>
      </w:r>
      <w:r w:rsidRPr="001F20E9">
        <w:rPr>
          <w:sz w:val="20"/>
          <w:szCs w:val="20"/>
        </w:rPr>
        <w:t>emission and health expenditure in Pakistan. The result shows that when CO</w:t>
      </w:r>
      <w:r w:rsidRPr="001F20E9">
        <w:rPr>
          <w:sz w:val="20"/>
          <w:szCs w:val="20"/>
          <w:vertAlign w:val="subscript"/>
        </w:rPr>
        <w:t xml:space="preserve">2 </w:t>
      </w:r>
      <w:r w:rsidRPr="001F20E9">
        <w:rPr>
          <w:sz w:val="20"/>
          <w:szCs w:val="20"/>
        </w:rPr>
        <w:t xml:space="preserve">emission increases, health expenditures also rise. Apergis </w:t>
      </w:r>
      <w:r w:rsidRPr="001F20E9">
        <w:rPr>
          <w:i/>
          <w:sz w:val="20"/>
          <w:szCs w:val="20"/>
        </w:rPr>
        <w:t>et al.</w:t>
      </w:r>
      <w:r w:rsidRPr="001F20E9">
        <w:rPr>
          <w:sz w:val="20"/>
          <w:szCs w:val="20"/>
        </w:rPr>
        <w:t>, (2018a) studied the effect of CO</w:t>
      </w:r>
      <w:r w:rsidRPr="001F20E9">
        <w:rPr>
          <w:sz w:val="20"/>
          <w:szCs w:val="20"/>
          <w:vertAlign w:val="subscript"/>
        </w:rPr>
        <w:t xml:space="preserve">2 </w:t>
      </w:r>
      <w:r w:rsidRPr="001F20E9">
        <w:rPr>
          <w:sz w:val="20"/>
          <w:szCs w:val="20"/>
        </w:rPr>
        <w:t>emission on health expenditure in 50 U.S states. They concluded that CO</w:t>
      </w:r>
      <w:r w:rsidRPr="001F20E9">
        <w:rPr>
          <w:sz w:val="20"/>
          <w:szCs w:val="20"/>
          <w:vertAlign w:val="subscript"/>
        </w:rPr>
        <w:t xml:space="preserve">2 </w:t>
      </w:r>
      <w:r w:rsidRPr="001F20E9">
        <w:rPr>
          <w:sz w:val="20"/>
          <w:szCs w:val="20"/>
        </w:rPr>
        <w:t>emission has a positive effect on health expenditure and additionally examined that this influence is great for those states which expend more amount on health sector. Similarly, Chaabouni and Saidi (2017a) discussed the impact of CO</w:t>
      </w:r>
      <w:r w:rsidRPr="001F20E9">
        <w:rPr>
          <w:sz w:val="20"/>
          <w:szCs w:val="20"/>
          <w:vertAlign w:val="subscript"/>
        </w:rPr>
        <w:t xml:space="preserve">2 </w:t>
      </w:r>
      <w:r w:rsidRPr="001F20E9">
        <w:rPr>
          <w:sz w:val="20"/>
          <w:szCs w:val="20"/>
        </w:rPr>
        <w:t>emission on health expenditures by using panel data of 51 low-and high-revenue countries and found a two-way connection between CO</w:t>
      </w:r>
      <w:r w:rsidRPr="001F20E9">
        <w:rPr>
          <w:sz w:val="20"/>
          <w:szCs w:val="20"/>
          <w:vertAlign w:val="subscript"/>
        </w:rPr>
        <w:t xml:space="preserve">2 </w:t>
      </w:r>
      <w:r w:rsidRPr="001F20E9">
        <w:rPr>
          <w:sz w:val="20"/>
          <w:szCs w:val="20"/>
        </w:rPr>
        <w:t>emission and health expenditure.</w:t>
      </w:r>
      <w:r w:rsidR="00C67F37" w:rsidRPr="001F20E9">
        <w:rPr>
          <w:sz w:val="20"/>
          <w:szCs w:val="20"/>
        </w:rPr>
        <w:t xml:space="preserve"> </w:t>
      </w:r>
    </w:p>
    <w:p w:rsidR="001E0146" w:rsidRPr="001F20E9" w:rsidRDefault="001E0146" w:rsidP="001F20E9">
      <w:pPr>
        <w:suppressAutoHyphens w:val="0"/>
        <w:snapToGrid w:val="0"/>
        <w:ind w:firstLine="425"/>
        <w:jc w:val="both"/>
        <w:rPr>
          <w:sz w:val="20"/>
          <w:szCs w:val="20"/>
        </w:rPr>
      </w:pPr>
      <w:r w:rsidRPr="001F20E9">
        <w:rPr>
          <w:sz w:val="20"/>
          <w:szCs w:val="20"/>
        </w:rPr>
        <w:t xml:space="preserve">Ullah </w:t>
      </w:r>
      <w:r w:rsidRPr="001F20E9">
        <w:rPr>
          <w:i/>
          <w:sz w:val="20"/>
          <w:szCs w:val="20"/>
        </w:rPr>
        <w:t>et al.</w:t>
      </w:r>
      <w:r w:rsidRPr="001F20E9">
        <w:rPr>
          <w:sz w:val="20"/>
          <w:szCs w:val="20"/>
        </w:rPr>
        <w:t xml:space="preserve"> (2019) investigated the linkages between trade openness, CO</w:t>
      </w:r>
      <w:r w:rsidRPr="001F20E9">
        <w:rPr>
          <w:sz w:val="20"/>
          <w:szCs w:val="20"/>
          <w:vertAlign w:val="subscript"/>
        </w:rPr>
        <w:t xml:space="preserve">2 </w:t>
      </w:r>
      <w:r w:rsidRPr="001F20E9">
        <w:rPr>
          <w:sz w:val="20"/>
          <w:szCs w:val="20"/>
        </w:rPr>
        <w:t>emissions, and health expenditures in China, covering the data from 1990 to 2017. They used the simultaneous equation technique and found trade openness insignificantly influencing the CO</w:t>
      </w:r>
      <w:r w:rsidRPr="001F20E9">
        <w:rPr>
          <w:sz w:val="20"/>
          <w:szCs w:val="20"/>
          <w:vertAlign w:val="subscript"/>
        </w:rPr>
        <w:t xml:space="preserve">2 </w:t>
      </w:r>
      <w:r w:rsidRPr="001F20E9">
        <w:rPr>
          <w:sz w:val="20"/>
          <w:szCs w:val="20"/>
        </w:rPr>
        <w:t xml:space="preserve">emission, resulting in raising the health expenditures. Qadir and Majeed (2018) investigated the effect of trade liberalization on health in Pakistan from 1975 to 2016. They found trade caused an adverse influence on health. Similarly, the study of (Novignon and Atakorah, 2016) examined the data of 42-Sub Saharan African countries in the time of 1995 to 2013 using a Fixed effect, Random effect, and GMM models. The result indicates an important and beneficial affiliation between trade openness health expenditures. The same findings concluded by Maryam and Hassan (2013), using data from 1976-2011, applied the ARDL technique to find the short-run and long-run link between trade openness and health expenditures in Pakistan. The study revealed that trade openness had a positive relationship with health expenditures in both the short-run and the long run. Increasing cross-border in goods, services, people, and capital influence health by different channels, includes the cross-border extent of infectious diseases, advertisement of an unhealthy lifestyle, and migration of health professionals (Smith </w:t>
      </w:r>
      <w:r w:rsidRPr="001F20E9">
        <w:rPr>
          <w:i/>
          <w:sz w:val="20"/>
          <w:szCs w:val="20"/>
        </w:rPr>
        <w:t>et al.</w:t>
      </w:r>
      <w:r w:rsidRPr="001F20E9">
        <w:rPr>
          <w:sz w:val="20"/>
          <w:szCs w:val="20"/>
        </w:rPr>
        <w:t>, 2015).</w:t>
      </w:r>
    </w:p>
    <w:p w:rsidR="001E0146" w:rsidRPr="001F20E9" w:rsidRDefault="001E0146" w:rsidP="001F20E9">
      <w:pPr>
        <w:suppressAutoHyphens w:val="0"/>
        <w:snapToGrid w:val="0"/>
        <w:ind w:firstLine="425"/>
        <w:jc w:val="both"/>
        <w:rPr>
          <w:sz w:val="20"/>
          <w:szCs w:val="20"/>
        </w:rPr>
      </w:pPr>
      <w:r w:rsidRPr="001F20E9">
        <w:rPr>
          <w:sz w:val="20"/>
          <w:szCs w:val="20"/>
        </w:rPr>
        <w:t xml:space="preserve">Similarly, Owen and Wu (2002) studied a board information of 139 established and emerging countries throughout 1960-1995. Used fixed effect technique and found a positive and significant association between trade and population health. They also revealed that population health is benefited from trade openness both in developed and developing countries, </w:t>
      </w:r>
      <w:r w:rsidRPr="001F20E9">
        <w:rPr>
          <w:sz w:val="20"/>
          <w:szCs w:val="20"/>
        </w:rPr>
        <w:lastRenderedPageBreak/>
        <w:t xml:space="preserve">but developing countries benefited more than developed countries. Applying a fixed effect technique on a board information of oil-rich countries covering the duration of 1980 to 2009 (Ramzi, 2012) discovered a critical and positive connection between the openness of trade and life expectancy, while a significant negative relationship found between openness of trade and infant mortality. Yaqoob </w:t>
      </w:r>
      <w:r w:rsidRPr="001F20E9">
        <w:rPr>
          <w:i/>
          <w:sz w:val="20"/>
          <w:szCs w:val="20"/>
        </w:rPr>
        <w:t>et al.</w:t>
      </w:r>
      <w:r w:rsidRPr="001F20E9">
        <w:rPr>
          <w:sz w:val="20"/>
          <w:szCs w:val="20"/>
        </w:rPr>
        <w:t xml:space="preserve"> (2018) explored the impact of economic and population factors on health expenditures in Pakistan by using Multivariate models for the time series data of 1960-2010. The results show that GDP has an encouraging and vastly noteworthy effect on health expenditures in Pakistan in the study period. Using the ARDL technique, Ercelik (2018) found a positive and statistically significant association between economic growth and health expenditure in Turkey from 1980 to 2015. Conducted the research on emerging markets in Europe and Middle East countries covering the period of 1995 to 2013, used the Toda and Yamamoto (1995) test of Causality test, Bedir, (2016) found increasing in the level of income stimulate healthcare spending in emerging markets economies. Hassan and Kalim, (2012) estimated the causality among education expenditure, health expenditure, and GDP for Pakistan throughout 1972-2009. The result indicates that there exists bidirectional causality between GDP and health expenditures in the long run. Mayer (2001) investigated18 Latin American countries to find whether there is granger causality of health expenditures on income and concluded a strong causality of income on18 Latin American countries. Erdil and Yetkiner (2009) used the Granger causality technique to panel data to inspect the association between economic growth and per capita health expenditures. They found unidirectional causality runs from income to health expenditures in lower and middle-income countries.</w:t>
      </w:r>
    </w:p>
    <w:p w:rsidR="001E0146" w:rsidRPr="001F20E9" w:rsidRDefault="001E0146" w:rsidP="001F20E9">
      <w:pPr>
        <w:suppressAutoHyphens w:val="0"/>
        <w:snapToGrid w:val="0"/>
        <w:ind w:firstLine="425"/>
        <w:jc w:val="both"/>
        <w:rPr>
          <w:sz w:val="20"/>
          <w:szCs w:val="20"/>
        </w:rPr>
      </w:pPr>
      <w:r w:rsidRPr="001F20E9">
        <w:rPr>
          <w:sz w:val="20"/>
          <w:szCs w:val="20"/>
        </w:rPr>
        <w:t>Similarly, Wang (2011) investigated the association between GDP growth and the health investment in the production function. The data from 31 countries over the time of 1986 to 2007. The finding indicates that economic growth will decrease health expenditure growth. Amiri and Ventelou (2012) studied causality between economic growth and healthcare expenditures and found bidirectional Granger causality is predominant.</w:t>
      </w:r>
      <w:r w:rsidR="00C67F37" w:rsidRPr="001F20E9">
        <w:rPr>
          <w:sz w:val="20"/>
          <w:szCs w:val="20"/>
        </w:rPr>
        <w:t xml:space="preserve"> </w:t>
      </w:r>
      <w:r w:rsidRPr="001F20E9">
        <w:rPr>
          <w:sz w:val="20"/>
          <w:szCs w:val="20"/>
        </w:rPr>
        <w:t xml:space="preserve">Elmi and Sadeghi (2012) investigated the causality and cointegration association between GDP and health expenditures in developing countries in the period of 1990-2009. Their results indicated that income is an important factor across developing countries in the level and health expenditures growth. Khan </w:t>
      </w:r>
      <w:r w:rsidRPr="001F20E9">
        <w:rPr>
          <w:i/>
          <w:sz w:val="20"/>
          <w:szCs w:val="20"/>
        </w:rPr>
        <w:t>et al.</w:t>
      </w:r>
      <w:r w:rsidRPr="001F20E9">
        <w:rPr>
          <w:sz w:val="20"/>
          <w:szCs w:val="20"/>
        </w:rPr>
        <w:t xml:space="preserve"> (2016) examined the health expenditures and economic growth in SAARC countries from the period 1995 to 2012. Applying (DOLS) and Seemingly Unrelated </w:t>
      </w:r>
      <w:r w:rsidRPr="001F20E9">
        <w:rPr>
          <w:sz w:val="20"/>
          <w:szCs w:val="20"/>
        </w:rPr>
        <w:lastRenderedPageBreak/>
        <w:t>Regression (SUR) techniques. The result shows the long-run relationship, while in the short run, there existed bidirectional causality exists between the variables. Hitris (1997) studied annual data from 1960 to 1991 of 10 European countries, utilized a log-linear model to found the relation among GDP per capita and health expenditures. The result indicates health expenditures depend on each country's GDP, and the health care system is different.</w:t>
      </w:r>
    </w:p>
    <w:p w:rsidR="001E0146" w:rsidRPr="001F20E9" w:rsidRDefault="001E0146" w:rsidP="001F20E9">
      <w:pPr>
        <w:suppressAutoHyphens w:val="0"/>
        <w:snapToGrid w:val="0"/>
        <w:jc w:val="both"/>
        <w:rPr>
          <w:b/>
          <w:sz w:val="20"/>
          <w:szCs w:val="20"/>
        </w:rPr>
      </w:pPr>
    </w:p>
    <w:p w:rsidR="00471E57" w:rsidRPr="001F20E9" w:rsidRDefault="000A131A" w:rsidP="001F20E9">
      <w:pPr>
        <w:suppressAutoHyphens w:val="0"/>
        <w:snapToGrid w:val="0"/>
        <w:jc w:val="both"/>
        <w:rPr>
          <w:b/>
          <w:sz w:val="20"/>
          <w:szCs w:val="20"/>
        </w:rPr>
      </w:pPr>
      <w:r w:rsidRPr="001F20E9">
        <w:rPr>
          <w:b/>
          <w:sz w:val="20"/>
          <w:szCs w:val="20"/>
        </w:rPr>
        <w:t>3</w:t>
      </w:r>
      <w:r w:rsidR="00471E57" w:rsidRPr="001F20E9">
        <w:rPr>
          <w:b/>
          <w:sz w:val="20"/>
          <w:szCs w:val="20"/>
        </w:rPr>
        <w:t xml:space="preserve">. Material and Methods </w:t>
      </w:r>
    </w:p>
    <w:p w:rsidR="00E52EA0" w:rsidRPr="001F20E9" w:rsidRDefault="001E0146" w:rsidP="001F20E9">
      <w:pPr>
        <w:suppressAutoHyphens w:val="0"/>
        <w:snapToGrid w:val="0"/>
        <w:ind w:firstLine="425"/>
        <w:jc w:val="both"/>
        <w:rPr>
          <w:sz w:val="20"/>
          <w:szCs w:val="20"/>
        </w:rPr>
      </w:pPr>
      <w:r w:rsidRPr="001F20E9">
        <w:rPr>
          <w:sz w:val="20"/>
          <w:szCs w:val="20"/>
        </w:rPr>
        <w:t>This paper aims at examining the nexus between CO</w:t>
      </w:r>
      <w:r w:rsidRPr="001F20E9">
        <w:rPr>
          <w:sz w:val="20"/>
          <w:szCs w:val="20"/>
          <w:vertAlign w:val="subscript"/>
        </w:rPr>
        <w:t>2</w:t>
      </w:r>
      <w:bookmarkStart w:id="2" w:name="_Hlk22991737"/>
      <w:r w:rsidRPr="001F20E9">
        <w:rPr>
          <w:sz w:val="20"/>
          <w:szCs w:val="20"/>
        </w:rPr>
        <w:t>, trade openness</w:t>
      </w:r>
      <w:bookmarkEnd w:id="2"/>
      <w:r w:rsidRPr="001F20E9">
        <w:rPr>
          <w:sz w:val="20"/>
          <w:szCs w:val="20"/>
        </w:rPr>
        <w:t xml:space="preserve">, </w:t>
      </w:r>
      <w:bookmarkStart w:id="3" w:name="_Hlk23667540"/>
      <w:bookmarkStart w:id="4" w:name="_Hlk22991772"/>
      <w:r w:rsidRPr="001F20E9">
        <w:rPr>
          <w:sz w:val="20"/>
          <w:szCs w:val="20"/>
        </w:rPr>
        <w:t xml:space="preserve">economic growth, </w:t>
      </w:r>
      <w:bookmarkEnd w:id="3"/>
      <w:r w:rsidRPr="001F20E9">
        <w:rPr>
          <w:sz w:val="20"/>
          <w:szCs w:val="20"/>
        </w:rPr>
        <w:t>and health expenditures</w:t>
      </w:r>
      <w:bookmarkEnd w:id="4"/>
      <w:r w:rsidRPr="001F20E9">
        <w:rPr>
          <w:sz w:val="20"/>
          <w:szCs w:val="20"/>
        </w:rPr>
        <w:t xml:space="preserve"> using annual data from 1990 to 2017 in Pakistan. Data on CO</w:t>
      </w:r>
      <w:r w:rsidRPr="001F20E9">
        <w:rPr>
          <w:sz w:val="20"/>
          <w:szCs w:val="20"/>
          <w:vertAlign w:val="subscript"/>
        </w:rPr>
        <w:t>2</w:t>
      </w:r>
      <w:r w:rsidRPr="001F20E9">
        <w:rPr>
          <w:sz w:val="20"/>
          <w:szCs w:val="20"/>
        </w:rPr>
        <w:t>, trade openness, economic growth, and health expenditures are gathered from World Development Indicators (WDI). Health expenditures are taken as a dependent variable, which is computed as a percentage of absolute GDP. While explanatory variables that were nominated for the pragmatic research are carbon dioxide emissions CO</w:t>
      </w:r>
      <w:r w:rsidRPr="001F20E9">
        <w:rPr>
          <w:sz w:val="20"/>
          <w:szCs w:val="20"/>
          <w:vertAlign w:val="subscript"/>
        </w:rPr>
        <w:t>2</w:t>
      </w:r>
      <w:r w:rsidRPr="001F20E9">
        <w:rPr>
          <w:sz w:val="20"/>
          <w:szCs w:val="20"/>
        </w:rPr>
        <w:t xml:space="preserve"> calculated in metric tons of lubricant </w:t>
      </w:r>
      <w:bookmarkStart w:id="5" w:name="_Hlk23167048"/>
      <w:r w:rsidRPr="001F20E9">
        <w:rPr>
          <w:sz w:val="20"/>
          <w:szCs w:val="20"/>
        </w:rPr>
        <w:t xml:space="preserve">equal trade openness </w:t>
      </w:r>
      <w:bookmarkEnd w:id="5"/>
      <w:r w:rsidRPr="001F20E9">
        <w:rPr>
          <w:sz w:val="20"/>
          <w:szCs w:val="20"/>
        </w:rPr>
        <w:t>measured as export + import /GDP while GDP is the gross domestic product.</w:t>
      </w:r>
    </w:p>
    <w:p w:rsidR="001E0146" w:rsidRDefault="001E0146" w:rsidP="001F20E9">
      <w:pPr>
        <w:suppressAutoHyphens w:val="0"/>
        <w:snapToGrid w:val="0"/>
        <w:ind w:firstLine="425"/>
        <w:jc w:val="both"/>
        <w:rPr>
          <w:sz w:val="20"/>
          <w:szCs w:val="20"/>
          <w:lang w:eastAsia="zh-CN"/>
        </w:rPr>
      </w:pPr>
      <w:r w:rsidRPr="001F20E9">
        <w:rPr>
          <w:sz w:val="20"/>
          <w:szCs w:val="20"/>
        </w:rPr>
        <w:t>The use of ordinary least square methods, simple regression, was usually explored in previous research, CO</w:t>
      </w:r>
      <w:r w:rsidRPr="001F20E9">
        <w:rPr>
          <w:sz w:val="20"/>
          <w:szCs w:val="20"/>
          <w:vertAlign w:val="subscript"/>
        </w:rPr>
        <w:t>2</w:t>
      </w:r>
      <w:r w:rsidRPr="001F20E9">
        <w:rPr>
          <w:sz w:val="20"/>
          <w:szCs w:val="20"/>
        </w:rPr>
        <w:t>, trade accessibility, economic growth, and correlation with health expenditure. However, econometric methods allow for assessment of long-term relationships with short-term associations while taking into consideration the association between CO</w:t>
      </w:r>
      <w:r w:rsidRPr="001F20E9">
        <w:rPr>
          <w:sz w:val="20"/>
          <w:szCs w:val="20"/>
          <w:vertAlign w:val="subscript"/>
        </w:rPr>
        <w:t>2</w:t>
      </w:r>
      <w:r w:rsidRPr="001F20E9">
        <w:rPr>
          <w:sz w:val="20"/>
          <w:szCs w:val="20"/>
        </w:rPr>
        <w:t>, economic growth, and HE on trade openness. This research performs a complete time-series analysis of health determinants in Pakistan for the first time. Until conducting cointegration tests, it is essential to check for stationarity each time series because the regression test results are unreliable if a time series is not stationary. Furthermore, one of the conditions of the bounds testing method is that no parameter in order two is combined with a mixed order. For this function, ADF is used.</w:t>
      </w:r>
    </w:p>
    <w:p w:rsidR="001F20E9" w:rsidRPr="001F20E9" w:rsidRDefault="001F20E9" w:rsidP="001F20E9">
      <w:pPr>
        <w:suppressAutoHyphens w:val="0"/>
        <w:snapToGrid w:val="0"/>
        <w:ind w:firstLine="425"/>
        <w:jc w:val="both"/>
        <w:rPr>
          <w:sz w:val="20"/>
          <w:szCs w:val="20"/>
          <w:lang w:eastAsia="zh-CN"/>
        </w:rPr>
      </w:pPr>
    </w:p>
    <w:p w:rsidR="001E0146" w:rsidRPr="001F20E9" w:rsidRDefault="0076220B" w:rsidP="001F20E9">
      <w:pPr>
        <w:suppressAutoHyphens w:val="0"/>
        <w:snapToGrid w:val="0"/>
        <w:ind w:firstLine="425"/>
        <w:jc w:val="both"/>
        <w:rPr>
          <w:sz w:val="20"/>
          <w:szCs w:val="20"/>
        </w:rPr>
      </w:pPr>
      <m:oMathPara>
        <m:oMath>
          <m:sSub>
            <m:sSubPr>
              <m:ctrlPr>
                <w:rPr>
                  <w:rFonts w:ascii="Cambria Math" w:hAnsi="Cambria Math"/>
                  <w:i/>
                  <w:sz w:val="20"/>
                  <w:szCs w:val="20"/>
                </w:rPr>
              </m:ctrlPr>
            </m:sSubPr>
            <m:e>
              <m:r>
                <w:rPr>
                  <w:sz w:val="20"/>
                  <w:szCs w:val="20"/>
                </w:rPr>
                <m:t>∆</m:t>
              </m:r>
              <m:r>
                <w:rPr>
                  <w:rFonts w:ascii="Cambria Math" w:hAnsi="Cambria Math"/>
                  <w:sz w:val="20"/>
                  <w:szCs w:val="20"/>
                </w:rPr>
                <m:t>x</m:t>
              </m:r>
            </m:e>
            <m:sub>
              <m:r>
                <w:rPr>
                  <w:rFonts w:ascii="Cambria Math" w:hAnsi="Cambria Math"/>
                  <w:sz w:val="20"/>
                  <w:szCs w:val="20"/>
                </w:rPr>
                <m:t>t</m:t>
              </m:r>
            </m:sub>
          </m:sSub>
          <m:r>
            <w:rPr>
              <w:rFonts w:ascii="Cambria Math"/>
              <w:sz w:val="20"/>
              <w:szCs w:val="20"/>
            </w:rPr>
            <m:t>=</m:t>
          </m:r>
          <m:r>
            <w:rPr>
              <w:rFonts w:ascii="Cambria Math" w:hAnsi="Cambria Math"/>
              <w:sz w:val="20"/>
              <w:szCs w:val="20"/>
            </w:rPr>
            <m:t>φ</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r>
                <w:rPr>
                  <w:sz w:val="20"/>
                  <w:szCs w:val="20"/>
                </w:rPr>
                <m:t>-</m:t>
              </m:r>
              <m:r>
                <w:rPr>
                  <w:rFonts w:ascii="Cambria Math"/>
                  <w:sz w:val="20"/>
                  <w:szCs w:val="20"/>
                </w:rPr>
                <m:t>1</m:t>
              </m:r>
            </m:sub>
          </m:sSub>
          <m:r>
            <w:rPr>
              <w:rFonts w:ascii="Cambria Math"/>
              <w:sz w:val="20"/>
              <w:szCs w:val="20"/>
            </w:rPr>
            <m:t>+</m:t>
          </m:r>
          <m:nary>
            <m:naryPr>
              <m:chr m:val="∑"/>
              <m:limLoc m:val="subSup"/>
              <m:supHide m:val="on"/>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e>
              <m:r>
                <w:rPr>
                  <w:rFonts w:ascii="Cambria Math" w:hAnsi="Cambria Math"/>
                  <w:sz w:val="20"/>
                  <w:szCs w:val="20"/>
                </w:rPr>
                <m:t>m</m:t>
              </m:r>
            </m:e>
          </m:nary>
          <m:r>
            <w:rPr>
              <w:rFonts w:ascii="Cambria Math"/>
              <w:sz w:val="20"/>
              <w:szCs w:val="20"/>
            </w:rPr>
            <m:t xml:space="preserve"> </m:t>
          </m:r>
          <m:r>
            <w:rPr>
              <w:rFonts w:ascii="Cambria Math" w:hAnsi="Cambria Math"/>
              <w:sz w:val="20"/>
              <w:szCs w:val="20"/>
            </w:rPr>
            <m:t>δ</m:t>
          </m:r>
          <m:r>
            <w:rPr>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r>
                <w:rPr>
                  <w:sz w:val="20"/>
                  <w:szCs w:val="20"/>
                </w:rPr>
                <m:t>-</m:t>
              </m:r>
              <m:r>
                <w:rPr>
                  <w:rFonts w:ascii="Cambria Math" w:hAnsi="Cambria Math"/>
                  <w:sz w:val="20"/>
                  <w:szCs w:val="20"/>
                </w:rPr>
                <m:t>i</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t</m:t>
              </m:r>
            </m:sub>
          </m:sSub>
        </m:oMath>
      </m:oMathPara>
    </w:p>
    <w:p w:rsidR="001E0146" w:rsidRPr="001F20E9" w:rsidRDefault="0076220B" w:rsidP="001F20E9">
      <w:pPr>
        <w:suppressAutoHyphens w:val="0"/>
        <w:snapToGrid w:val="0"/>
        <w:ind w:firstLine="425"/>
        <w:jc w:val="both"/>
        <w:rPr>
          <w:sz w:val="20"/>
          <w:szCs w:val="20"/>
        </w:rPr>
      </w:pPr>
      <m:oMathPara>
        <m:oMath>
          <m:sSub>
            <m:sSubPr>
              <m:ctrlPr>
                <w:rPr>
                  <w:rFonts w:ascii="Cambria Math" w:hAnsi="Cambria Math"/>
                  <w:i/>
                  <w:sz w:val="20"/>
                  <w:szCs w:val="20"/>
                </w:rPr>
              </m:ctrlPr>
            </m:sSubPr>
            <m:e>
              <m:r>
                <w:rPr>
                  <w:sz w:val="20"/>
                  <w:szCs w:val="20"/>
                </w:rPr>
                <m:t>∆</m:t>
              </m:r>
              <m:r>
                <w:rPr>
                  <w:rFonts w:ascii="Cambria Math" w:hAnsi="Cambria Math"/>
                  <w:sz w:val="20"/>
                  <w:szCs w:val="20"/>
                </w:rPr>
                <m:t>x</m:t>
              </m:r>
            </m:e>
            <m:sub>
              <m:r>
                <w:rPr>
                  <w:rFonts w:ascii="Cambria Math" w:hAnsi="Cambria Math"/>
                  <w:sz w:val="20"/>
                  <w:szCs w:val="20"/>
                </w:rPr>
                <m:t>t</m:t>
              </m:r>
            </m:sub>
          </m:sSub>
          <m:r>
            <w:rPr>
              <w:rFonts w:ascii="Cambria Math"/>
              <w:sz w:val="20"/>
              <w:szCs w:val="20"/>
            </w:rPr>
            <m:t>=</m:t>
          </m:r>
          <m:r>
            <w:rPr>
              <w:rFonts w:ascii="Cambria Math" w:hAnsi="Cambria Math"/>
              <w:sz w:val="20"/>
              <w:szCs w:val="20"/>
            </w:rPr>
            <m:t>α</m:t>
          </m:r>
          <m:r>
            <w:rPr>
              <w:rFonts w:ascii="Cambria Math"/>
              <w:sz w:val="20"/>
              <w:szCs w:val="20"/>
            </w:rPr>
            <m:t>+</m:t>
          </m:r>
          <m:r>
            <w:rPr>
              <w:rFonts w:ascii="Cambria Math" w:hAnsi="Cambria Math"/>
              <w:sz w:val="20"/>
              <w:szCs w:val="20"/>
            </w:rPr>
            <m:t>φ</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r>
                <w:rPr>
                  <w:sz w:val="20"/>
                  <w:szCs w:val="20"/>
                </w:rPr>
                <m:t>-</m:t>
              </m:r>
              <m:r>
                <w:rPr>
                  <w:rFonts w:ascii="Cambria Math"/>
                  <w:sz w:val="20"/>
                  <w:szCs w:val="20"/>
                </w:rPr>
                <m:t>1</m:t>
              </m:r>
            </m:sub>
          </m:sSub>
          <m:r>
            <w:rPr>
              <w:rFonts w:ascii="Cambria Math"/>
              <w:sz w:val="20"/>
              <w:szCs w:val="20"/>
            </w:rPr>
            <m:t>+</m:t>
          </m:r>
          <m:nary>
            <m:naryPr>
              <m:chr m:val="∑"/>
              <m:limLoc m:val="subSup"/>
              <m:supHide m:val="on"/>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e>
              <m:r>
                <w:rPr>
                  <w:rFonts w:ascii="Cambria Math" w:hAnsi="Cambria Math"/>
                  <w:sz w:val="20"/>
                  <w:szCs w:val="20"/>
                </w:rPr>
                <m:t>m</m:t>
              </m:r>
            </m:e>
          </m:nary>
          <m:r>
            <w:rPr>
              <w:rFonts w:ascii="Cambria Math"/>
              <w:sz w:val="20"/>
              <w:szCs w:val="20"/>
            </w:rPr>
            <m:t xml:space="preserve"> </m:t>
          </m:r>
          <m:r>
            <w:rPr>
              <w:rFonts w:ascii="Cambria Math" w:hAnsi="Cambria Math"/>
              <w:sz w:val="20"/>
              <w:szCs w:val="20"/>
            </w:rPr>
            <m:t>δ</m:t>
          </m:r>
          <m:r>
            <w:rPr>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r>
                <w:rPr>
                  <w:sz w:val="20"/>
                  <w:szCs w:val="20"/>
                </w:rPr>
                <m:t>-</m:t>
              </m:r>
              <m:r>
                <w:rPr>
                  <w:rFonts w:ascii="Cambria Math" w:hAnsi="Cambria Math"/>
                  <w:sz w:val="20"/>
                  <w:szCs w:val="20"/>
                </w:rPr>
                <m:t>i</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t</m:t>
              </m:r>
            </m:sub>
          </m:sSub>
        </m:oMath>
      </m:oMathPara>
    </w:p>
    <w:p w:rsidR="001E0146" w:rsidRPr="001F20E9" w:rsidRDefault="0076220B" w:rsidP="001F20E9">
      <w:pPr>
        <w:suppressAutoHyphens w:val="0"/>
        <w:snapToGrid w:val="0"/>
        <w:ind w:firstLine="425"/>
        <w:jc w:val="both"/>
        <w:rPr>
          <w:sz w:val="20"/>
          <w:szCs w:val="20"/>
        </w:rPr>
      </w:pPr>
      <m:oMathPara>
        <m:oMath>
          <m:sSub>
            <m:sSubPr>
              <m:ctrlPr>
                <w:rPr>
                  <w:rFonts w:ascii="Cambria Math" w:hAnsi="Cambria Math"/>
                  <w:i/>
                  <w:sz w:val="20"/>
                  <w:szCs w:val="20"/>
                </w:rPr>
              </m:ctrlPr>
            </m:sSubPr>
            <m:e>
              <m:r>
                <w:rPr>
                  <w:sz w:val="20"/>
                  <w:szCs w:val="20"/>
                </w:rPr>
                <m:t>∆</m:t>
              </m:r>
              <m:r>
                <w:rPr>
                  <w:rFonts w:ascii="Cambria Math" w:hAnsi="Cambria Math"/>
                  <w:sz w:val="20"/>
                  <w:szCs w:val="20"/>
                </w:rPr>
                <m:t>x</m:t>
              </m:r>
            </m:e>
            <m:sub>
              <m:r>
                <w:rPr>
                  <w:rFonts w:ascii="Cambria Math" w:hAnsi="Cambria Math"/>
                  <w:sz w:val="20"/>
                  <w:szCs w:val="20"/>
                </w:rPr>
                <m:t>t</m:t>
              </m:r>
            </m:sub>
          </m:sSub>
          <m:r>
            <w:rPr>
              <w:rFonts w:ascii="Cambria Math"/>
              <w:sz w:val="20"/>
              <w:szCs w:val="20"/>
            </w:rPr>
            <m:t>=</m:t>
          </m:r>
          <m:r>
            <w:rPr>
              <w:rFonts w:ascii="Cambria Math" w:hAnsi="Cambria Math"/>
              <w:sz w:val="20"/>
              <w:szCs w:val="20"/>
            </w:rPr>
            <m:t>α</m:t>
          </m:r>
          <m:r>
            <w:rPr>
              <w:rFonts w:ascii="Cambria Math"/>
              <w:sz w:val="20"/>
              <w:szCs w:val="20"/>
            </w:rPr>
            <m:t>+</m:t>
          </m:r>
          <m:r>
            <w:rPr>
              <w:rFonts w:ascii="Cambria Math" w:hAnsi="Cambria Math"/>
              <w:sz w:val="20"/>
              <w:szCs w:val="20"/>
            </w:rPr>
            <m:t>ωt</m:t>
          </m:r>
          <m:r>
            <w:rPr>
              <w:rFonts w:ascii="Cambria Math"/>
              <w:sz w:val="20"/>
              <w:szCs w:val="20"/>
            </w:rPr>
            <m:t>+</m:t>
          </m:r>
          <m:r>
            <w:rPr>
              <w:rFonts w:ascii="Cambria Math" w:hAnsi="Cambria Math"/>
              <w:sz w:val="20"/>
              <w:szCs w:val="20"/>
            </w:rPr>
            <m:t>φ</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r>
                <w:rPr>
                  <w:sz w:val="20"/>
                  <w:szCs w:val="20"/>
                </w:rPr>
                <m:t>-</m:t>
              </m:r>
              <m:r>
                <w:rPr>
                  <w:rFonts w:ascii="Cambria Math"/>
                  <w:sz w:val="20"/>
                  <w:szCs w:val="20"/>
                </w:rPr>
                <m:t>1</m:t>
              </m:r>
            </m:sub>
          </m:sSub>
          <m:r>
            <w:rPr>
              <w:rFonts w:ascii="Cambria Math"/>
              <w:sz w:val="20"/>
              <w:szCs w:val="20"/>
            </w:rPr>
            <m:t>+</m:t>
          </m:r>
          <m:nary>
            <m:naryPr>
              <m:chr m:val="∑"/>
              <m:limLoc m:val="subSup"/>
              <m:supHide m:val="on"/>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e>
              <m:r>
                <w:rPr>
                  <w:rFonts w:ascii="Cambria Math" w:hAnsi="Cambria Math"/>
                  <w:sz w:val="20"/>
                  <w:szCs w:val="20"/>
                </w:rPr>
                <m:t>m</m:t>
              </m:r>
            </m:e>
          </m:nary>
          <m:r>
            <w:rPr>
              <w:rFonts w:ascii="Cambria Math"/>
              <w:sz w:val="20"/>
              <w:szCs w:val="20"/>
            </w:rPr>
            <m:t xml:space="preserve"> </m:t>
          </m:r>
          <m:r>
            <w:rPr>
              <w:rFonts w:ascii="Cambria Math" w:hAnsi="Cambria Math"/>
              <w:sz w:val="20"/>
              <w:szCs w:val="20"/>
            </w:rPr>
            <m:t>δ</m:t>
          </m:r>
          <m:r>
            <w:rPr>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t</m:t>
              </m:r>
              <m:r>
                <w:rPr>
                  <w:sz w:val="20"/>
                  <w:szCs w:val="20"/>
                </w:rPr>
                <m:t>-</m:t>
              </m:r>
              <m:r>
                <w:rPr>
                  <w:rFonts w:ascii="Cambria Math" w:hAnsi="Cambria Math"/>
                  <w:sz w:val="20"/>
                  <w:szCs w:val="20"/>
                </w:rPr>
                <m:t>i</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t</m:t>
              </m:r>
            </m:sub>
          </m:sSub>
        </m:oMath>
      </m:oMathPara>
    </w:p>
    <w:p w:rsidR="001F20E9" w:rsidRDefault="001F20E9" w:rsidP="001F20E9">
      <w:pPr>
        <w:suppressAutoHyphens w:val="0"/>
        <w:snapToGrid w:val="0"/>
        <w:ind w:firstLine="425"/>
        <w:jc w:val="both"/>
        <w:rPr>
          <w:sz w:val="20"/>
          <w:szCs w:val="20"/>
          <w:lang w:eastAsia="zh-CN"/>
        </w:rPr>
      </w:pPr>
    </w:p>
    <w:p w:rsidR="001E0146" w:rsidRPr="001F20E9" w:rsidRDefault="001E0146" w:rsidP="001F20E9">
      <w:pPr>
        <w:suppressAutoHyphens w:val="0"/>
        <w:snapToGrid w:val="0"/>
        <w:ind w:firstLine="425"/>
        <w:jc w:val="both"/>
        <w:rPr>
          <w:sz w:val="20"/>
          <w:szCs w:val="20"/>
        </w:rPr>
      </w:pPr>
      <w:r w:rsidRPr="001F20E9">
        <w:rPr>
          <w:sz w:val="20"/>
          <w:szCs w:val="20"/>
        </w:rPr>
        <w:t>Where Δ stand for difference operator; α is the intercept; t is a time index; φ shows coefficient presenting process root, i.e. focus on checking; γ is the coefficient on a time trend; m represent several lags of the autoregressive model and ε_ random error term.</w:t>
      </w:r>
    </w:p>
    <w:p w:rsidR="001E0146" w:rsidRPr="001F20E9" w:rsidRDefault="001E0146" w:rsidP="001F20E9">
      <w:pPr>
        <w:suppressAutoHyphens w:val="0"/>
        <w:snapToGrid w:val="0"/>
        <w:ind w:firstLine="425"/>
        <w:jc w:val="both"/>
        <w:rPr>
          <w:sz w:val="20"/>
          <w:szCs w:val="20"/>
        </w:rPr>
      </w:pPr>
      <w:r w:rsidRPr="001F20E9">
        <w:rPr>
          <w:sz w:val="20"/>
          <w:szCs w:val="20"/>
        </w:rPr>
        <w:t xml:space="preserve">A recent study used the methodology (ARDL) known as the autoregressive distributed lag model to </w:t>
      </w:r>
      <w:r w:rsidRPr="001F20E9">
        <w:rPr>
          <w:sz w:val="20"/>
          <w:szCs w:val="20"/>
        </w:rPr>
        <w:lastRenderedPageBreak/>
        <w:t xml:space="preserve">capture long and short-term dynamics. Pasaran </w:t>
      </w:r>
      <w:r w:rsidRPr="001F20E9">
        <w:rPr>
          <w:i/>
          <w:sz w:val="20"/>
          <w:szCs w:val="20"/>
        </w:rPr>
        <w:t>et al</w:t>
      </w:r>
      <w:r w:rsidRPr="001F20E9">
        <w:rPr>
          <w:sz w:val="20"/>
          <w:szCs w:val="20"/>
        </w:rPr>
        <w:t>. (2001) introduce this approach to check the long-run association between the different nexuses of factors. Many researchers have applied multiple techniques of co-integration in past and present literature. Other co-integration methods have certain inconveniences (Phillips an</w:t>
      </w:r>
      <w:r w:rsidR="00F951C2" w:rsidRPr="001F20E9">
        <w:rPr>
          <w:sz w:val="20"/>
          <w:szCs w:val="20"/>
        </w:rPr>
        <w:t>d</w:t>
      </w:r>
      <w:r w:rsidR="00F951C2">
        <w:rPr>
          <w:sz w:val="20"/>
          <w:szCs w:val="20"/>
        </w:rPr>
        <w:t xml:space="preserve"> </w:t>
      </w:r>
      <w:r w:rsidR="00F951C2" w:rsidRPr="001F20E9">
        <w:rPr>
          <w:sz w:val="20"/>
          <w:szCs w:val="20"/>
        </w:rPr>
        <w:t>H</w:t>
      </w:r>
      <w:r w:rsidRPr="001F20E9">
        <w:rPr>
          <w:sz w:val="20"/>
          <w:szCs w:val="20"/>
        </w:rPr>
        <w:t xml:space="preserve">ansen1990, Johansen and Juselius1990; Engle and Granger 1987) such as these strategies do </w:t>
      </w:r>
      <w:r w:rsidRPr="001F20E9">
        <w:rPr>
          <w:sz w:val="20"/>
          <w:szCs w:val="20"/>
        </w:rPr>
        <w:lastRenderedPageBreak/>
        <w:t>not provide an estimate of structural breaks. Therefore, compared with previously mentioned methods, we choose to choose the best approach of ARDL boundary tests for this function. This methodological approach contains many benefits and is suitable if the variables are cointegrated on either level I (0) or level I</w:t>
      </w:r>
      <w:r w:rsidR="00C67F37" w:rsidRPr="001F20E9">
        <w:rPr>
          <w:sz w:val="20"/>
          <w:szCs w:val="20"/>
        </w:rPr>
        <w:t xml:space="preserve"> </w:t>
      </w:r>
      <w:r w:rsidRPr="001F20E9">
        <w:rPr>
          <w:sz w:val="20"/>
          <w:szCs w:val="20"/>
        </w:rPr>
        <w:t>(1). This method of modeling is used here.</w:t>
      </w:r>
    </w:p>
    <w:p w:rsidR="001F20E9" w:rsidRPr="001F20E9" w:rsidRDefault="001F20E9" w:rsidP="001F20E9">
      <w:pPr>
        <w:suppressAutoHyphens w:val="0"/>
        <w:snapToGrid w:val="0"/>
        <w:ind w:firstLine="425"/>
        <w:jc w:val="both"/>
        <w:rPr>
          <w:oMath/>
          <w:rFonts w:ascii="Cambria Math"/>
          <w:sz w:val="20"/>
          <w:szCs w:val="20"/>
          <w:lang w:eastAsia="zh-CN"/>
        </w:rPr>
        <w:sectPr w:rsidR="001F20E9" w:rsidRPr="001F20E9" w:rsidSect="00085F90">
          <w:headerReference w:type="default" r:id="rId13"/>
          <w:footnotePr>
            <w:pos w:val="beneathText"/>
          </w:footnotePr>
          <w:pgSz w:w="12240" w:h="15840" w:code="1"/>
          <w:pgMar w:top="1440" w:right="1440" w:bottom="1440" w:left="1440" w:header="720" w:footer="720" w:gutter="0"/>
          <w:cols w:num="2" w:space="600"/>
          <w:docGrid w:linePitch="360"/>
        </w:sectPr>
      </w:pPr>
    </w:p>
    <w:p w:rsidR="001E0146" w:rsidRPr="001F20E9" w:rsidRDefault="001E0146" w:rsidP="001F20E9">
      <w:pPr>
        <w:suppressAutoHyphens w:val="0"/>
        <w:snapToGrid w:val="0"/>
        <w:jc w:val="center"/>
        <w:rPr>
          <w:sz w:val="20"/>
          <w:szCs w:val="20"/>
        </w:rPr>
      </w:pPr>
      <m:oMath>
        <m:r>
          <w:rPr>
            <w:sz w:val="20"/>
            <w:szCs w:val="20"/>
          </w:rPr>
          <w:lastRenderedPageBreak/>
          <m:t>∆</m:t>
        </m:r>
      </m:oMath>
      <w:r w:rsidRPr="001F20E9">
        <w:rPr>
          <w:sz w:val="20"/>
          <w:szCs w:val="20"/>
        </w:rPr>
        <w:t>HE</w:t>
      </w:r>
      <w:r w:rsidRPr="001F20E9">
        <w:rPr>
          <w:sz w:val="20"/>
          <w:szCs w:val="20"/>
          <w:vertAlign w:val="subscript"/>
        </w:rPr>
        <w:t xml:space="preserve">t </w:t>
      </w:r>
      <w:r w:rsidRPr="001F20E9">
        <w:rPr>
          <w:sz w:val="20"/>
          <w:szCs w:val="20"/>
        </w:rPr>
        <w:t xml:space="preserve">= </w:t>
      </w:r>
      <m:oMath>
        <m:sSub>
          <m:sSubPr>
            <m:ctrlPr>
              <w:rPr>
                <w:rFonts w:ascii="Cambria Math" w:hAnsi="Cambria Math"/>
                <w:i/>
                <w:sz w:val="20"/>
                <w:szCs w:val="20"/>
              </w:rPr>
            </m:ctrlPr>
          </m:sSubPr>
          <m:e>
            <m:r>
              <w:rPr>
                <w:rFonts w:ascii="Cambria Math" w:hAnsi="Cambria Math"/>
                <w:sz w:val="20"/>
                <w:szCs w:val="20"/>
              </w:rPr>
              <m:t>β</m:t>
            </m:r>
          </m:e>
          <m:sub>
            <m:r>
              <w:rPr>
                <w:rFonts w:ascii="Cambria Math"/>
                <w:sz w:val="20"/>
                <w:szCs w:val="20"/>
              </w:rPr>
              <m:t>0</m:t>
            </m:r>
          </m:sub>
        </m:sSub>
      </m:oMath>
      <w:r w:rsidRPr="001F20E9">
        <w:rPr>
          <w:sz w:val="20"/>
          <w:szCs w:val="20"/>
        </w:rPr>
        <w:t xml:space="preserve">+ </w:t>
      </w:r>
      <m:oMath>
        <m:nary>
          <m:naryPr>
            <m:chr m:val="∑"/>
            <m:limLoc m:val="subSup"/>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t</m:t>
            </m:r>
          </m:sup>
          <m:e>
            <m:r>
              <w:rPr>
                <w:rFonts w:ascii="Cambria Math" w:hAnsi="Cambria Math"/>
                <w:sz w:val="20"/>
                <w:szCs w:val="20"/>
              </w:rPr>
              <m:t>β</m:t>
            </m:r>
          </m:e>
        </m:nary>
      </m:oMath>
      <w:r w:rsidRPr="001F20E9">
        <w:rPr>
          <w:sz w:val="20"/>
          <w:szCs w:val="20"/>
          <w:vertAlign w:val="subscript"/>
        </w:rPr>
        <w:t>1</w:t>
      </w:r>
      <m:oMath>
        <m:r>
          <w:rPr>
            <w:sz w:val="20"/>
            <w:szCs w:val="20"/>
          </w:rPr>
          <m:t>∆</m:t>
        </m:r>
        <m:r>
          <w:rPr>
            <w:rFonts w:ascii="Cambria Math"/>
            <w:sz w:val="20"/>
            <w:szCs w:val="20"/>
          </w:rPr>
          <m:t>(</m:t>
        </m:r>
        <m:r>
          <m:rPr>
            <m:sty m:val="p"/>
          </m:rPr>
          <w:rPr>
            <w:rFonts w:ascii="Cambria Math"/>
            <w:sz w:val="20"/>
            <w:szCs w:val="20"/>
          </w:rPr>
          <m:t>GDP</m:t>
        </m:r>
      </m:oMath>
      <w:r w:rsidRPr="001F20E9">
        <w:rPr>
          <w:sz w:val="20"/>
          <w:szCs w:val="20"/>
        </w:rPr>
        <w:t>)</w:t>
      </w:r>
      <w:r w:rsidRPr="001F20E9">
        <w:rPr>
          <w:sz w:val="20"/>
          <w:szCs w:val="20"/>
          <w:vertAlign w:val="subscript"/>
        </w:rPr>
        <w:t xml:space="preserve">t-1 </w:t>
      </w:r>
      <w:r w:rsidRPr="001F20E9">
        <w:rPr>
          <w:sz w:val="20"/>
          <w:szCs w:val="20"/>
        </w:rPr>
        <w:t xml:space="preserve">+ </w:t>
      </w:r>
      <m:oMath>
        <m:nary>
          <m:naryPr>
            <m:chr m:val="∑"/>
            <m:limLoc m:val="subSup"/>
            <m:ctrlPr>
              <w:rPr>
                <w:rFonts w:ascii="Cambria Math" w:hAnsi="Cambria Math"/>
                <w:i/>
                <w:sz w:val="20"/>
                <w:szCs w:val="20"/>
              </w:rPr>
            </m:ctrlPr>
          </m:naryPr>
          <m:sub>
            <m:r>
              <w:rPr>
                <w:rFonts w:ascii="Cambria Math" w:hAnsi="Cambria Math"/>
                <w:sz w:val="20"/>
                <w:szCs w:val="20"/>
              </w:rPr>
              <m:t>i</m:t>
            </m:r>
            <m:r>
              <w:rPr>
                <w:rFonts w:ascii="Cambria Math"/>
                <w:sz w:val="20"/>
                <w:szCs w:val="20"/>
              </w:rPr>
              <m:t>=0</m:t>
            </m:r>
          </m:sub>
          <m:sup>
            <m:r>
              <w:rPr>
                <w:rFonts w:ascii="Cambria Math" w:hAnsi="Cambria Math"/>
                <w:sz w:val="20"/>
                <w:szCs w:val="20"/>
              </w:rPr>
              <m:t>u</m:t>
            </m:r>
          </m:sup>
          <m:e>
            <m:sSub>
              <m:sSubPr>
                <m:ctrlPr>
                  <w:rPr>
                    <w:rFonts w:ascii="Cambria Math" w:hAnsi="Cambria Math"/>
                    <w:i/>
                    <w:sz w:val="20"/>
                    <w:szCs w:val="20"/>
                  </w:rPr>
                </m:ctrlPr>
              </m:sSubPr>
              <m:e>
                <m:r>
                  <w:rPr>
                    <w:rFonts w:ascii="Cambria Math" w:hAnsi="Cambria Math"/>
                    <w:sz w:val="20"/>
                    <w:szCs w:val="20"/>
                  </w:rPr>
                  <m:t>β</m:t>
                </m:r>
              </m:e>
              <m:sub>
                <m:r>
                  <w:rPr>
                    <w:rFonts w:ascii="Cambria Math"/>
                    <w:sz w:val="20"/>
                    <w:szCs w:val="20"/>
                  </w:rPr>
                  <m:t>2</m:t>
                </m:r>
              </m:sub>
            </m:sSub>
          </m:e>
        </m:nary>
        <m:r>
          <m:rPr>
            <m:sty m:val="p"/>
          </m:rPr>
          <w:rPr>
            <w:sz w:val="20"/>
            <w:szCs w:val="20"/>
          </w:rPr>
          <m:t>∆</m:t>
        </m:r>
      </m:oMath>
      <w:r w:rsidRPr="001F20E9">
        <w:rPr>
          <w:sz w:val="20"/>
          <w:szCs w:val="20"/>
        </w:rPr>
        <w:t>(TOP)</w:t>
      </w:r>
      <w:r w:rsidRPr="001F20E9">
        <w:rPr>
          <w:sz w:val="20"/>
          <w:szCs w:val="20"/>
          <w:vertAlign w:val="subscript"/>
        </w:rPr>
        <w:t xml:space="preserve">t-1 </w:t>
      </w:r>
      <w:r w:rsidRPr="001F20E9">
        <w:rPr>
          <w:sz w:val="20"/>
          <w:szCs w:val="20"/>
        </w:rPr>
        <w:t xml:space="preserve">+ </w:t>
      </w:r>
      <m:oMath>
        <m:nary>
          <m:naryPr>
            <m:chr m:val="∑"/>
            <m:limLoc m:val="subSup"/>
            <m:ctrlPr>
              <w:rPr>
                <w:rFonts w:ascii="Cambria Math" w:hAnsi="Cambria Math"/>
                <w:i/>
                <w:sz w:val="20"/>
                <w:szCs w:val="20"/>
              </w:rPr>
            </m:ctrlPr>
          </m:naryPr>
          <m:sub>
            <m:r>
              <w:rPr>
                <w:rFonts w:ascii="Cambria Math" w:hAnsi="Cambria Math"/>
                <w:sz w:val="20"/>
                <w:szCs w:val="20"/>
              </w:rPr>
              <m:t>i</m:t>
            </m:r>
            <m:r>
              <w:rPr>
                <w:rFonts w:ascii="Cambria Math"/>
                <w:sz w:val="20"/>
                <w:szCs w:val="20"/>
              </w:rPr>
              <m:t>=0</m:t>
            </m:r>
          </m:sub>
          <m:sup>
            <m:r>
              <w:rPr>
                <w:rFonts w:ascii="Cambria Math" w:hAnsi="Cambria Math"/>
                <w:sz w:val="20"/>
                <w:szCs w:val="20"/>
              </w:rPr>
              <m:t>v</m:t>
            </m:r>
          </m:sup>
          <m:e>
            <m:sSub>
              <m:sSubPr>
                <m:ctrlPr>
                  <w:rPr>
                    <w:rFonts w:ascii="Cambria Math" w:hAnsi="Cambria Math"/>
                    <w:i/>
                    <w:sz w:val="20"/>
                    <w:szCs w:val="20"/>
                  </w:rPr>
                </m:ctrlPr>
              </m:sSubPr>
              <m:e>
                <m:r>
                  <w:rPr>
                    <w:rFonts w:ascii="Cambria Math" w:hAnsi="Cambria Math"/>
                    <w:sz w:val="20"/>
                    <w:szCs w:val="20"/>
                  </w:rPr>
                  <m:t>β</m:t>
                </m:r>
              </m:e>
              <m:sub>
                <m:r>
                  <w:rPr>
                    <w:rFonts w:ascii="Cambria Math"/>
                    <w:sz w:val="20"/>
                    <w:szCs w:val="20"/>
                  </w:rPr>
                  <m:t>3</m:t>
                </m:r>
              </m:sub>
            </m:sSub>
          </m:e>
        </m:nary>
        <m:r>
          <w:rPr>
            <w:sz w:val="20"/>
            <w:szCs w:val="20"/>
          </w:rPr>
          <m:t>∆</m:t>
        </m:r>
        <m:r>
          <w:rPr>
            <w:rFonts w:ascii="Cambria Math"/>
            <w:sz w:val="20"/>
            <w:szCs w:val="20"/>
          </w:rPr>
          <m:t>(</m:t>
        </m:r>
        <m:r>
          <m:rPr>
            <m:sty m:val="p"/>
          </m:rPr>
          <w:rPr>
            <w:rFonts w:ascii="Cambria Math"/>
            <w:sz w:val="20"/>
            <w:szCs w:val="20"/>
          </w:rPr>
          <m:t>CO2</m:t>
        </m:r>
        <m:r>
          <w:rPr>
            <w:rFonts w:ascii="Cambria Math"/>
            <w:sz w:val="20"/>
            <w:szCs w:val="20"/>
          </w:rPr>
          <m:t>)</m:t>
        </m:r>
      </m:oMath>
      <w:r w:rsidRPr="001F20E9">
        <w:rPr>
          <w:sz w:val="20"/>
          <w:szCs w:val="20"/>
          <w:vertAlign w:val="subscript"/>
        </w:rPr>
        <w:t>t-1</w:t>
      </w:r>
      <w:r w:rsidRPr="001F20E9">
        <w:rPr>
          <w:sz w:val="20"/>
          <w:szCs w:val="20"/>
        </w:rPr>
        <w:t xml:space="preserve">+ </w:t>
      </w:r>
      <m:oMath>
        <m:sSub>
          <m:sSubPr>
            <m:ctrlPr>
              <w:rPr>
                <w:rFonts w:ascii="Cambria Math" w:hAnsi="Cambria Math"/>
                <w:i/>
                <w:sz w:val="20"/>
                <w:szCs w:val="20"/>
              </w:rPr>
            </m:ctrlPr>
          </m:sSubPr>
          <m:e>
            <m:r>
              <w:rPr>
                <w:rFonts w:ascii="Cambria Math" w:hAnsi="Cambria Math"/>
                <w:sz w:val="20"/>
                <w:szCs w:val="20"/>
              </w:rPr>
              <m:t>β</m:t>
            </m:r>
          </m:e>
          <m:sub>
            <m:r>
              <w:rPr>
                <w:rFonts w:ascii="Cambria Math"/>
                <w:sz w:val="20"/>
                <w:szCs w:val="20"/>
              </w:rPr>
              <m:t>4</m:t>
            </m:r>
          </m:sub>
        </m:sSub>
      </m:oMath>
      <w:r w:rsidRPr="001F20E9">
        <w:rPr>
          <w:sz w:val="20"/>
          <w:szCs w:val="20"/>
        </w:rPr>
        <w:t>(GDP)</w:t>
      </w:r>
      <w:r w:rsidRPr="001F20E9">
        <w:rPr>
          <w:sz w:val="20"/>
          <w:szCs w:val="20"/>
          <w:vertAlign w:val="subscript"/>
        </w:rPr>
        <w:t>t-1 +</w:t>
      </w:r>
      <m:oMath>
        <m:sSub>
          <m:sSubPr>
            <m:ctrlPr>
              <w:rPr>
                <w:rFonts w:ascii="Cambria Math" w:hAnsi="Cambria Math"/>
                <w:i/>
                <w:sz w:val="20"/>
                <w:szCs w:val="20"/>
              </w:rPr>
            </m:ctrlPr>
          </m:sSubPr>
          <m:e>
            <m:r>
              <w:rPr>
                <w:rFonts w:ascii="Cambria Math" w:hAnsi="Cambria Math"/>
                <w:sz w:val="20"/>
                <w:szCs w:val="20"/>
              </w:rPr>
              <m:t>β</m:t>
            </m:r>
          </m:e>
          <m:sub>
            <m:r>
              <w:rPr>
                <w:rFonts w:ascii="Cambria Math"/>
                <w:sz w:val="20"/>
                <w:szCs w:val="20"/>
              </w:rPr>
              <m:t>5</m:t>
            </m:r>
          </m:sub>
        </m:sSub>
      </m:oMath>
      <w:r w:rsidRPr="001F20E9">
        <w:rPr>
          <w:sz w:val="20"/>
          <w:szCs w:val="20"/>
        </w:rPr>
        <w:t>(TOP)</w:t>
      </w:r>
      <w:r w:rsidRPr="001F20E9">
        <w:rPr>
          <w:sz w:val="20"/>
          <w:szCs w:val="20"/>
          <w:vertAlign w:val="subscript"/>
        </w:rPr>
        <w:t xml:space="preserve">t-1 + </w:t>
      </w:r>
      <m:oMath>
        <m:sSub>
          <m:sSubPr>
            <m:ctrlPr>
              <w:rPr>
                <w:rFonts w:ascii="Cambria Math" w:hAnsi="Cambria Math"/>
                <w:i/>
                <w:sz w:val="20"/>
                <w:szCs w:val="20"/>
              </w:rPr>
            </m:ctrlPr>
          </m:sSubPr>
          <m:e>
            <m:r>
              <w:rPr>
                <w:rFonts w:ascii="Cambria Math" w:hAnsi="Cambria Math"/>
                <w:sz w:val="20"/>
                <w:szCs w:val="20"/>
              </w:rPr>
              <m:t>β</m:t>
            </m:r>
          </m:e>
          <m:sub>
            <m:r>
              <w:rPr>
                <w:rFonts w:ascii="Cambria Math"/>
                <w:sz w:val="20"/>
                <w:szCs w:val="20"/>
              </w:rPr>
              <m:t>6</m:t>
            </m:r>
          </m:sub>
        </m:sSub>
      </m:oMath>
      <w:r w:rsidRPr="001F20E9">
        <w:rPr>
          <w:sz w:val="20"/>
          <w:szCs w:val="20"/>
        </w:rPr>
        <w:t>(CO2)</w:t>
      </w:r>
      <w:r w:rsidRPr="001F20E9">
        <w:rPr>
          <w:sz w:val="20"/>
          <w:szCs w:val="20"/>
          <w:vertAlign w:val="subscript"/>
        </w:rPr>
        <w:t>t-1</w:t>
      </w:r>
      <w:r w:rsidR="00C67F37" w:rsidRPr="001F20E9">
        <w:rPr>
          <w:sz w:val="20"/>
          <w:szCs w:val="20"/>
          <w:vertAlign w:val="subscript"/>
        </w:rPr>
        <w:t xml:space="preserve"> </w:t>
      </w:r>
      <w:r w:rsidRPr="001F20E9">
        <w:rPr>
          <w:sz w:val="20"/>
          <w:szCs w:val="20"/>
          <w:vertAlign w:val="subscript"/>
        </w:rPr>
        <w:t>+</w:t>
      </w:r>
      <m:oMath>
        <m:r>
          <w:rPr>
            <w:rFonts w:ascii="Cambria Math" w:hAnsi="Cambria Math"/>
            <w:sz w:val="20"/>
            <w:szCs w:val="20"/>
          </w:rPr>
          <m:t>μ</m:t>
        </m:r>
      </m:oMath>
      <w:r w:rsidRPr="001F20E9">
        <w:rPr>
          <w:sz w:val="20"/>
          <w:szCs w:val="20"/>
          <w:vertAlign w:val="subscript"/>
        </w:rPr>
        <w:t xml:space="preserve">t </w:t>
      </w:r>
    </w:p>
    <w:p w:rsidR="001F20E9" w:rsidRDefault="001F20E9" w:rsidP="001F20E9">
      <w:pPr>
        <w:suppressAutoHyphens w:val="0"/>
        <w:snapToGrid w:val="0"/>
        <w:ind w:firstLine="425"/>
        <w:jc w:val="both"/>
        <w:rPr>
          <w:sz w:val="20"/>
          <w:szCs w:val="20"/>
          <w:lang w:eastAsia="zh-CN"/>
        </w:rPr>
      </w:pPr>
    </w:p>
    <w:p w:rsidR="001F20E9" w:rsidRPr="001F20E9" w:rsidRDefault="001F20E9" w:rsidP="001F20E9">
      <w:pPr>
        <w:suppressAutoHyphens w:val="0"/>
        <w:snapToGrid w:val="0"/>
        <w:ind w:firstLine="425"/>
        <w:jc w:val="both"/>
        <w:rPr>
          <w:sz w:val="20"/>
          <w:szCs w:val="20"/>
          <w:lang w:eastAsia="zh-CN"/>
        </w:rPr>
        <w:sectPr w:rsidR="001F20E9" w:rsidRPr="001F20E9" w:rsidSect="00C67F37">
          <w:footnotePr>
            <w:pos w:val="beneathText"/>
          </w:footnotePr>
          <w:type w:val="continuous"/>
          <w:pgSz w:w="12240" w:h="15840" w:code="1"/>
          <w:pgMar w:top="1440" w:right="1440" w:bottom="1440" w:left="1440" w:header="720" w:footer="720" w:gutter="0"/>
          <w:cols w:space="720"/>
          <w:docGrid w:linePitch="360"/>
        </w:sectPr>
      </w:pPr>
    </w:p>
    <w:p w:rsidR="001E0146" w:rsidRPr="001F20E9" w:rsidRDefault="001E0146" w:rsidP="001F20E9">
      <w:pPr>
        <w:suppressAutoHyphens w:val="0"/>
        <w:snapToGrid w:val="0"/>
        <w:ind w:firstLine="425"/>
        <w:jc w:val="both"/>
        <w:rPr>
          <w:sz w:val="20"/>
          <w:szCs w:val="20"/>
        </w:rPr>
      </w:pPr>
      <w:r w:rsidRPr="001F20E9">
        <w:rPr>
          <w:sz w:val="20"/>
          <w:szCs w:val="20"/>
        </w:rPr>
        <w:lastRenderedPageBreak/>
        <w:t>Where the symbol Δ indicates the first difference term, HE shows health expenditures, GDP represents domestic growth product, CO</w:t>
      </w:r>
      <w:r w:rsidRPr="001F20E9">
        <w:rPr>
          <w:sz w:val="20"/>
          <w:szCs w:val="20"/>
          <w:vertAlign w:val="subscript"/>
        </w:rPr>
        <w:t>2</w:t>
      </w:r>
      <w:r w:rsidRPr="001F20E9">
        <w:rPr>
          <w:sz w:val="20"/>
          <w:szCs w:val="20"/>
        </w:rPr>
        <w:t xml:space="preserve"> means carbon dioxide, and TOP shows trade openness. Terms εcm-1 is the error correction term that deferred error from the co-integrating vectors equation produced by the Johansen cointegration test.</w:t>
      </w:r>
    </w:p>
    <w:p w:rsidR="001E0146" w:rsidRPr="001F20E9" w:rsidRDefault="001E0146" w:rsidP="001F20E9">
      <w:pPr>
        <w:suppressAutoHyphens w:val="0"/>
        <w:snapToGrid w:val="0"/>
        <w:ind w:firstLine="425"/>
        <w:jc w:val="both"/>
        <w:rPr>
          <w:sz w:val="20"/>
          <w:szCs w:val="20"/>
        </w:rPr>
      </w:pPr>
      <w:r w:rsidRPr="001F20E9">
        <w:rPr>
          <w:sz w:val="20"/>
          <w:szCs w:val="20"/>
        </w:rPr>
        <w:t xml:space="preserve">The next step is to compare F-statistical calculation to the Narayan critical values (2005) created between 30 and 80 observations for a small sample size. For one set, all variables in the model are I (0), and in the other, they are all I (1). If the F-statistics calculated exceeds the highest critical limits, </w:t>
      </w:r>
      <w:r w:rsidRPr="001F20E9">
        <w:rPr>
          <w:sz w:val="20"/>
          <w:szCs w:val="20"/>
        </w:rPr>
        <w:lastRenderedPageBreak/>
        <w:t>the HO is rejected. The test is inconclusive if the F numbers fall within the boundaries. Eventually, if the F-statistic falls below the lower critical limit value, there is no co-integration.</w:t>
      </w:r>
    </w:p>
    <w:p w:rsidR="001E0146" w:rsidRPr="001F20E9" w:rsidRDefault="001E0146" w:rsidP="00F951C2">
      <w:pPr>
        <w:suppressAutoHyphens w:val="0"/>
        <w:snapToGrid w:val="0"/>
        <w:ind w:firstLine="425"/>
        <w:jc w:val="both"/>
        <w:rPr>
          <w:b/>
          <w:sz w:val="20"/>
          <w:szCs w:val="20"/>
        </w:rPr>
      </w:pPr>
      <w:r w:rsidRPr="001F20E9">
        <w:rPr>
          <w:sz w:val="20"/>
          <w:szCs w:val="20"/>
        </w:rPr>
        <w:t>When the quality of the climate decreases, this adversely affects the health of the people. Deterioration of health requires more spending on health care. This follows that the quality of carbon dioxide deteriorates by creating smog and thus has a harmful effect on human wellbeing. This means the demand for healthcare will increase (Narayan, Narayan</w:t>
      </w:r>
      <w:r w:rsidR="00C67F37" w:rsidRPr="001F20E9">
        <w:rPr>
          <w:sz w:val="20"/>
          <w:szCs w:val="20"/>
        </w:rPr>
        <w:t xml:space="preserve"> &amp; </w:t>
      </w:r>
      <w:r w:rsidRPr="001F20E9">
        <w:rPr>
          <w:sz w:val="20"/>
          <w:szCs w:val="20"/>
        </w:rPr>
        <w:t>Mishra, 2010).</w:t>
      </w:r>
    </w:p>
    <w:p w:rsidR="001F20E9" w:rsidRPr="001F20E9" w:rsidRDefault="001F20E9" w:rsidP="001F20E9">
      <w:pPr>
        <w:suppressAutoHyphens w:val="0"/>
        <w:snapToGrid w:val="0"/>
        <w:ind w:firstLine="425"/>
        <w:jc w:val="both"/>
        <w:rPr>
          <w:sz w:val="20"/>
          <w:szCs w:val="20"/>
        </w:rPr>
        <w:sectPr w:rsidR="001F20E9" w:rsidRPr="001F20E9" w:rsidSect="001F20E9">
          <w:footnotePr>
            <w:pos w:val="beneathText"/>
          </w:footnotePr>
          <w:type w:val="continuous"/>
          <w:pgSz w:w="12240" w:h="15840" w:code="1"/>
          <w:pgMar w:top="1440" w:right="1440" w:bottom="1440" w:left="1440" w:header="720" w:footer="720" w:gutter="0"/>
          <w:cols w:num="2" w:space="600"/>
          <w:docGrid w:linePitch="360"/>
        </w:sectPr>
      </w:pPr>
    </w:p>
    <w:p w:rsidR="0019221F" w:rsidRDefault="0019221F" w:rsidP="001F20E9">
      <w:pPr>
        <w:suppressAutoHyphens w:val="0"/>
        <w:snapToGrid w:val="0"/>
        <w:ind w:firstLine="425"/>
        <w:jc w:val="both"/>
        <w:rPr>
          <w:sz w:val="20"/>
          <w:szCs w:val="20"/>
          <w:lang w:eastAsia="zh-CN"/>
        </w:rPr>
      </w:pPr>
    </w:p>
    <w:p w:rsidR="001F20E9" w:rsidRPr="001F20E9" w:rsidRDefault="001F20E9" w:rsidP="001F20E9">
      <w:pPr>
        <w:suppressAutoHyphens w:val="0"/>
        <w:snapToGrid w:val="0"/>
        <w:jc w:val="center"/>
        <w:rPr>
          <w:sz w:val="20"/>
          <w:szCs w:val="20"/>
          <w:lang w:eastAsia="zh-CN"/>
        </w:rPr>
      </w:pPr>
      <w:r w:rsidRPr="001F20E9">
        <w:rPr>
          <w:b/>
          <w:sz w:val="20"/>
          <w:szCs w:val="20"/>
        </w:rPr>
        <w:t>Table Operational Definitions and Measurement of the Variables</w:t>
      </w:r>
    </w:p>
    <w:tbl>
      <w:tblPr>
        <w:tblW w:w="5000" w:type="pct"/>
        <w:jc w:val="center"/>
        <w:tblCellMar>
          <w:left w:w="57" w:type="dxa"/>
          <w:right w:w="57" w:type="dxa"/>
        </w:tblCellMar>
        <w:tblLook w:val="04A0"/>
      </w:tblPr>
      <w:tblGrid>
        <w:gridCol w:w="1129"/>
        <w:gridCol w:w="2833"/>
        <w:gridCol w:w="739"/>
        <w:gridCol w:w="4773"/>
      </w:tblGrid>
      <w:tr w:rsidR="001E0146" w:rsidRPr="00F951C2" w:rsidTr="001F20E9">
        <w:trPr>
          <w:jc w:val="center"/>
        </w:trPr>
        <w:tc>
          <w:tcPr>
            <w:tcW w:w="596" w:type="pct"/>
            <w:tcBorders>
              <w:top w:val="single" w:sz="4" w:space="0" w:color="auto"/>
              <w:left w:val="single" w:sz="4" w:space="0" w:color="auto"/>
              <w:bottom w:val="single" w:sz="4" w:space="0" w:color="auto"/>
              <w:right w:val="single" w:sz="4" w:space="0" w:color="auto"/>
            </w:tcBorders>
            <w:shd w:val="clear" w:color="auto" w:fill="A6A6A6"/>
            <w:vAlign w:val="center"/>
          </w:tcPr>
          <w:p w:rsidR="001E0146" w:rsidRPr="00F951C2" w:rsidRDefault="001E0146" w:rsidP="001F20E9">
            <w:pPr>
              <w:suppressAutoHyphens w:val="0"/>
              <w:snapToGrid w:val="0"/>
              <w:jc w:val="both"/>
              <w:rPr>
                <w:sz w:val="18"/>
                <w:szCs w:val="18"/>
              </w:rPr>
            </w:pPr>
            <w:r w:rsidRPr="00F951C2">
              <w:rPr>
                <w:sz w:val="18"/>
                <w:szCs w:val="18"/>
              </w:rPr>
              <w:t>Variable</w:t>
            </w:r>
          </w:p>
        </w:tc>
        <w:tc>
          <w:tcPr>
            <w:tcW w:w="1495" w:type="pct"/>
            <w:tcBorders>
              <w:top w:val="single" w:sz="4" w:space="0" w:color="auto"/>
              <w:left w:val="single" w:sz="4" w:space="0" w:color="auto"/>
              <w:bottom w:val="single" w:sz="4" w:space="0" w:color="auto"/>
              <w:right w:val="single" w:sz="4" w:space="0" w:color="auto"/>
            </w:tcBorders>
            <w:shd w:val="clear" w:color="auto" w:fill="A6A6A6"/>
            <w:vAlign w:val="center"/>
          </w:tcPr>
          <w:p w:rsidR="001E0146" w:rsidRPr="00F951C2" w:rsidRDefault="001E0146" w:rsidP="001F20E9">
            <w:pPr>
              <w:suppressAutoHyphens w:val="0"/>
              <w:snapToGrid w:val="0"/>
              <w:jc w:val="both"/>
              <w:rPr>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6A6A6"/>
            <w:vAlign w:val="center"/>
          </w:tcPr>
          <w:p w:rsidR="001E0146" w:rsidRPr="00F951C2" w:rsidRDefault="001E0146" w:rsidP="001F20E9">
            <w:pPr>
              <w:suppressAutoHyphens w:val="0"/>
              <w:snapToGrid w:val="0"/>
              <w:jc w:val="both"/>
              <w:rPr>
                <w:sz w:val="18"/>
                <w:szCs w:val="18"/>
              </w:rPr>
            </w:pPr>
            <w:r w:rsidRPr="00F951C2">
              <w:rPr>
                <w:sz w:val="18"/>
                <w:szCs w:val="18"/>
              </w:rPr>
              <w:t>Type</w:t>
            </w:r>
          </w:p>
        </w:tc>
        <w:tc>
          <w:tcPr>
            <w:tcW w:w="2519" w:type="pct"/>
            <w:tcBorders>
              <w:top w:val="single" w:sz="4" w:space="0" w:color="auto"/>
              <w:left w:val="single" w:sz="4" w:space="0" w:color="auto"/>
              <w:bottom w:val="single" w:sz="4" w:space="0" w:color="auto"/>
              <w:right w:val="single" w:sz="4" w:space="0" w:color="auto"/>
            </w:tcBorders>
            <w:shd w:val="clear" w:color="auto" w:fill="A6A6A6"/>
            <w:vAlign w:val="center"/>
          </w:tcPr>
          <w:p w:rsidR="001E0146" w:rsidRPr="00F951C2" w:rsidRDefault="001E0146" w:rsidP="001F20E9">
            <w:pPr>
              <w:suppressAutoHyphens w:val="0"/>
              <w:snapToGrid w:val="0"/>
              <w:jc w:val="both"/>
              <w:rPr>
                <w:sz w:val="18"/>
                <w:szCs w:val="18"/>
              </w:rPr>
            </w:pPr>
            <w:r w:rsidRPr="00F951C2">
              <w:rPr>
                <w:sz w:val="18"/>
                <w:szCs w:val="18"/>
              </w:rPr>
              <w:t>Measurement Technique</w:t>
            </w:r>
          </w:p>
        </w:tc>
      </w:tr>
      <w:tr w:rsidR="001E0146" w:rsidRPr="00F951C2" w:rsidTr="001F20E9">
        <w:trPr>
          <w:jc w:val="center"/>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HE</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Health expenditures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D.V</w:t>
            </w:r>
          </w:p>
        </w:tc>
        <w:tc>
          <w:tcPr>
            <w:tcW w:w="2519"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i/>
                <w:sz w:val="18"/>
                <w:szCs w:val="18"/>
              </w:rPr>
              <w:t>a share of total GDP</w:t>
            </w:r>
          </w:p>
        </w:tc>
      </w:tr>
      <w:tr w:rsidR="001E0146" w:rsidRPr="00F951C2" w:rsidTr="001F20E9">
        <w:trPr>
          <w:jc w:val="center"/>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CO2</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Carbon Dioxide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IV</w:t>
            </w:r>
          </w:p>
        </w:tc>
        <w:tc>
          <w:tcPr>
            <w:tcW w:w="2519"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i/>
                <w:sz w:val="18"/>
                <w:szCs w:val="18"/>
              </w:rPr>
              <w:t>measured in metric tons of oil equivalent</w:t>
            </w:r>
          </w:p>
        </w:tc>
      </w:tr>
      <w:tr w:rsidR="001E0146" w:rsidRPr="00F951C2" w:rsidTr="001F20E9">
        <w:trPr>
          <w:jc w:val="center"/>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TOP</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Trade Openness</w:t>
            </w:r>
            <w:r w:rsidR="00C67F37" w:rsidRPr="00F951C2">
              <w:rPr>
                <w:sz w:val="18"/>
                <w:szCs w:val="18"/>
              </w:rPr>
              <w:t xml:space="preserve">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IV</w:t>
            </w:r>
          </w:p>
        </w:tc>
        <w:tc>
          <w:tcPr>
            <w:tcW w:w="2519"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i/>
                <w:sz w:val="18"/>
                <w:szCs w:val="18"/>
              </w:rPr>
              <w:t>export + import /GDP</w:t>
            </w:r>
          </w:p>
        </w:tc>
      </w:tr>
      <w:tr w:rsidR="001E0146" w:rsidRPr="00F951C2" w:rsidTr="001F20E9">
        <w:trPr>
          <w:jc w:val="center"/>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GDP</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Gross domestic product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r w:rsidRPr="00F951C2">
              <w:rPr>
                <w:sz w:val="18"/>
                <w:szCs w:val="18"/>
              </w:rPr>
              <w:t>IV</w:t>
            </w:r>
          </w:p>
        </w:tc>
        <w:tc>
          <w:tcPr>
            <w:tcW w:w="2519" w:type="pct"/>
            <w:tcBorders>
              <w:top w:val="single" w:sz="4" w:space="0" w:color="auto"/>
              <w:left w:val="single" w:sz="4" w:space="0" w:color="auto"/>
              <w:bottom w:val="single" w:sz="4" w:space="0" w:color="auto"/>
              <w:right w:val="single" w:sz="4" w:space="0" w:color="auto"/>
            </w:tcBorders>
            <w:shd w:val="clear" w:color="auto" w:fill="auto"/>
            <w:vAlign w:val="center"/>
          </w:tcPr>
          <w:p w:rsidR="001E0146" w:rsidRPr="00F951C2" w:rsidRDefault="001E0146" w:rsidP="001F20E9">
            <w:pPr>
              <w:suppressAutoHyphens w:val="0"/>
              <w:snapToGrid w:val="0"/>
              <w:jc w:val="both"/>
              <w:rPr>
                <w:sz w:val="18"/>
                <w:szCs w:val="18"/>
              </w:rPr>
            </w:pPr>
          </w:p>
        </w:tc>
      </w:tr>
    </w:tbl>
    <w:p w:rsidR="00776658" w:rsidRDefault="000A131A" w:rsidP="001F20E9">
      <w:pPr>
        <w:suppressAutoHyphens w:val="0"/>
        <w:snapToGrid w:val="0"/>
        <w:jc w:val="both"/>
        <w:rPr>
          <w:b/>
          <w:sz w:val="20"/>
          <w:szCs w:val="20"/>
          <w:lang w:eastAsia="zh-CN"/>
        </w:rPr>
      </w:pPr>
      <w:r w:rsidRPr="001F20E9">
        <w:rPr>
          <w:b/>
          <w:sz w:val="20"/>
          <w:szCs w:val="20"/>
        </w:rPr>
        <w:t xml:space="preserve">4. </w:t>
      </w:r>
      <w:r w:rsidR="00776658" w:rsidRPr="001F20E9">
        <w:rPr>
          <w:b/>
          <w:sz w:val="20"/>
          <w:szCs w:val="20"/>
        </w:rPr>
        <w:t>Results and Discussion</w:t>
      </w:r>
    </w:p>
    <w:p w:rsidR="001F20E9" w:rsidRPr="001F20E9" w:rsidRDefault="001F20E9" w:rsidP="001F20E9">
      <w:pPr>
        <w:suppressAutoHyphens w:val="0"/>
        <w:snapToGrid w:val="0"/>
        <w:jc w:val="both"/>
        <w:rPr>
          <w:b/>
          <w:sz w:val="20"/>
          <w:szCs w:val="20"/>
          <w:lang w:eastAsia="zh-CN"/>
        </w:rPr>
      </w:pPr>
    </w:p>
    <w:p w:rsidR="00776658" w:rsidRPr="001F20E9" w:rsidRDefault="00776658" w:rsidP="001F20E9">
      <w:pPr>
        <w:suppressAutoHyphens w:val="0"/>
        <w:snapToGrid w:val="0"/>
        <w:jc w:val="center"/>
        <w:rPr>
          <w:b/>
          <w:i/>
          <w:sz w:val="20"/>
          <w:szCs w:val="20"/>
        </w:rPr>
      </w:pPr>
      <w:r w:rsidRPr="001F20E9">
        <w:rPr>
          <w:b/>
          <w:sz w:val="20"/>
          <w:szCs w:val="20"/>
        </w:rPr>
        <w:t>Table Unit root testing</w:t>
      </w:r>
    </w:p>
    <w:tbl>
      <w:tblPr>
        <w:tblStyle w:val="TableGrid"/>
        <w:tblW w:w="5000" w:type="pct"/>
        <w:jc w:val="center"/>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202"/>
        <w:gridCol w:w="1127"/>
        <w:gridCol w:w="2310"/>
        <w:gridCol w:w="1127"/>
        <w:gridCol w:w="2308"/>
        <w:gridCol w:w="1400"/>
      </w:tblGrid>
      <w:tr w:rsidR="00776658" w:rsidRPr="00F951C2" w:rsidTr="001F20E9">
        <w:trPr>
          <w:jc w:val="center"/>
        </w:trPr>
        <w:tc>
          <w:tcPr>
            <w:tcW w:w="634"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b/>
                <w:sz w:val="18"/>
                <w:szCs w:val="18"/>
              </w:rPr>
            </w:pPr>
          </w:p>
        </w:tc>
        <w:tc>
          <w:tcPr>
            <w:tcW w:w="1814" w:type="pct"/>
            <w:gridSpan w:val="2"/>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b/>
                <w:sz w:val="18"/>
                <w:szCs w:val="18"/>
              </w:rPr>
            </w:pPr>
            <w:r w:rsidRPr="00F951C2">
              <w:rPr>
                <w:b/>
                <w:sz w:val="18"/>
                <w:szCs w:val="18"/>
              </w:rPr>
              <w:t xml:space="preserve"> At-level</w:t>
            </w:r>
          </w:p>
        </w:tc>
        <w:tc>
          <w:tcPr>
            <w:tcW w:w="2552" w:type="pct"/>
            <w:gridSpan w:val="3"/>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b/>
                <w:sz w:val="18"/>
                <w:szCs w:val="18"/>
              </w:rPr>
            </w:pPr>
            <w:r w:rsidRPr="00F951C2">
              <w:rPr>
                <w:b/>
                <w:sz w:val="18"/>
                <w:szCs w:val="18"/>
              </w:rPr>
              <w:t>At 1</w:t>
            </w:r>
            <w:r w:rsidRPr="00F951C2">
              <w:rPr>
                <w:b/>
                <w:sz w:val="18"/>
                <w:szCs w:val="18"/>
                <w:vertAlign w:val="superscript"/>
              </w:rPr>
              <w:t>st</w:t>
            </w:r>
            <w:r w:rsidRPr="00F951C2">
              <w:rPr>
                <w:b/>
                <w:sz w:val="18"/>
                <w:szCs w:val="18"/>
              </w:rPr>
              <w:t>-difference</w:t>
            </w:r>
          </w:p>
        </w:tc>
      </w:tr>
      <w:tr w:rsidR="00776658" w:rsidRPr="00F951C2" w:rsidTr="001F20E9">
        <w:trPr>
          <w:jc w:val="center"/>
        </w:trPr>
        <w:tc>
          <w:tcPr>
            <w:tcW w:w="634"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Variables</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Constant</w:t>
            </w:r>
          </w:p>
        </w:tc>
        <w:tc>
          <w:tcPr>
            <w:tcW w:w="1219"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Constant with trend</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Constant</w:t>
            </w:r>
          </w:p>
        </w:tc>
        <w:tc>
          <w:tcPr>
            <w:tcW w:w="1218"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Constant with trend</w:t>
            </w:r>
          </w:p>
        </w:tc>
        <w:tc>
          <w:tcPr>
            <w:tcW w:w="739"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Conclusion</w:t>
            </w:r>
          </w:p>
        </w:tc>
      </w:tr>
      <w:tr w:rsidR="00776658" w:rsidRPr="00F951C2" w:rsidTr="001F20E9">
        <w:trPr>
          <w:jc w:val="center"/>
        </w:trPr>
        <w:tc>
          <w:tcPr>
            <w:tcW w:w="634"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HE</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-0.454</w:t>
            </w:r>
          </w:p>
        </w:tc>
        <w:tc>
          <w:tcPr>
            <w:tcW w:w="1219"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-2.901</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-3.843*</w:t>
            </w:r>
          </w:p>
        </w:tc>
        <w:tc>
          <w:tcPr>
            <w:tcW w:w="1218"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-4.010*</w:t>
            </w:r>
          </w:p>
        </w:tc>
        <w:tc>
          <w:tcPr>
            <w:tcW w:w="739" w:type="pct"/>
            <w:tcBorders>
              <w:top w:val="single" w:sz="4" w:space="0" w:color="auto"/>
              <w:left w:val="single" w:sz="4" w:space="0" w:color="auto"/>
              <w:bottom w:val="single" w:sz="4" w:space="0" w:color="auto"/>
              <w:right w:val="single" w:sz="4" w:space="0" w:color="auto"/>
            </w:tcBorders>
            <w:vAlign w:val="center"/>
          </w:tcPr>
          <w:p w:rsidR="00776658" w:rsidRPr="00F951C2" w:rsidRDefault="00C67F37" w:rsidP="001F20E9">
            <w:pPr>
              <w:suppressAutoHyphens w:val="0"/>
              <w:snapToGrid w:val="0"/>
              <w:jc w:val="both"/>
              <w:rPr>
                <w:sz w:val="18"/>
                <w:szCs w:val="18"/>
              </w:rPr>
            </w:pPr>
            <w:r w:rsidRPr="00F951C2">
              <w:rPr>
                <w:sz w:val="18"/>
                <w:szCs w:val="18"/>
              </w:rPr>
              <w:t xml:space="preserve"> </w:t>
            </w:r>
            <w:r w:rsidR="00776658" w:rsidRPr="00F951C2">
              <w:rPr>
                <w:sz w:val="18"/>
                <w:szCs w:val="18"/>
              </w:rPr>
              <w:t>I (1)</w:t>
            </w:r>
          </w:p>
        </w:tc>
      </w:tr>
      <w:tr w:rsidR="00776658" w:rsidRPr="00F951C2" w:rsidTr="001F20E9">
        <w:trPr>
          <w:jc w:val="center"/>
        </w:trPr>
        <w:tc>
          <w:tcPr>
            <w:tcW w:w="634"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CO2</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-1.580</w:t>
            </w:r>
          </w:p>
        </w:tc>
        <w:tc>
          <w:tcPr>
            <w:tcW w:w="1219"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-0.540</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-4.380*</w:t>
            </w:r>
          </w:p>
        </w:tc>
        <w:tc>
          <w:tcPr>
            <w:tcW w:w="1218"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-4.687*</w:t>
            </w:r>
          </w:p>
        </w:tc>
        <w:tc>
          <w:tcPr>
            <w:tcW w:w="739" w:type="pct"/>
            <w:tcBorders>
              <w:top w:val="single" w:sz="4" w:space="0" w:color="auto"/>
              <w:left w:val="single" w:sz="4" w:space="0" w:color="auto"/>
              <w:bottom w:val="single" w:sz="4" w:space="0" w:color="auto"/>
              <w:right w:val="single" w:sz="4" w:space="0" w:color="auto"/>
            </w:tcBorders>
            <w:vAlign w:val="center"/>
          </w:tcPr>
          <w:p w:rsidR="00776658" w:rsidRPr="00F951C2" w:rsidRDefault="00C67F37" w:rsidP="001F20E9">
            <w:pPr>
              <w:suppressAutoHyphens w:val="0"/>
              <w:snapToGrid w:val="0"/>
              <w:jc w:val="both"/>
              <w:rPr>
                <w:sz w:val="18"/>
                <w:szCs w:val="18"/>
              </w:rPr>
            </w:pPr>
            <w:r w:rsidRPr="00F951C2">
              <w:rPr>
                <w:sz w:val="18"/>
                <w:szCs w:val="18"/>
              </w:rPr>
              <w:t xml:space="preserve"> </w:t>
            </w:r>
            <w:r w:rsidR="00776658" w:rsidRPr="00F951C2">
              <w:rPr>
                <w:sz w:val="18"/>
                <w:szCs w:val="18"/>
              </w:rPr>
              <w:t>I (1)</w:t>
            </w:r>
          </w:p>
        </w:tc>
      </w:tr>
      <w:tr w:rsidR="00776658" w:rsidRPr="00F951C2" w:rsidTr="001F20E9">
        <w:trPr>
          <w:jc w:val="center"/>
        </w:trPr>
        <w:tc>
          <w:tcPr>
            <w:tcW w:w="634"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GDP</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-1.792</w:t>
            </w:r>
          </w:p>
        </w:tc>
        <w:tc>
          <w:tcPr>
            <w:tcW w:w="1219"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-3.793</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-4.600*</w:t>
            </w:r>
          </w:p>
        </w:tc>
        <w:tc>
          <w:tcPr>
            <w:tcW w:w="1218"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b/>
                <w:sz w:val="18"/>
                <w:szCs w:val="18"/>
              </w:rPr>
            </w:pPr>
            <w:r w:rsidRPr="00F951C2">
              <w:rPr>
                <w:sz w:val="18"/>
                <w:szCs w:val="18"/>
              </w:rPr>
              <w:t>-5.317*</w:t>
            </w:r>
          </w:p>
        </w:tc>
        <w:tc>
          <w:tcPr>
            <w:tcW w:w="739"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I (1)</w:t>
            </w:r>
          </w:p>
        </w:tc>
      </w:tr>
      <w:tr w:rsidR="00776658" w:rsidRPr="00F951C2" w:rsidTr="001F20E9">
        <w:trPr>
          <w:jc w:val="center"/>
        </w:trPr>
        <w:tc>
          <w:tcPr>
            <w:tcW w:w="634"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TOP</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-1.790</w:t>
            </w:r>
          </w:p>
        </w:tc>
        <w:tc>
          <w:tcPr>
            <w:tcW w:w="1219"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-2.537</w:t>
            </w:r>
          </w:p>
        </w:tc>
        <w:tc>
          <w:tcPr>
            <w:tcW w:w="595"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-4.308*</w:t>
            </w:r>
          </w:p>
        </w:tc>
        <w:tc>
          <w:tcPr>
            <w:tcW w:w="1218" w:type="pct"/>
            <w:tcBorders>
              <w:top w:val="single" w:sz="4" w:space="0" w:color="auto"/>
              <w:left w:val="single" w:sz="4" w:space="0" w:color="auto"/>
              <w:bottom w:val="single" w:sz="4" w:space="0" w:color="auto"/>
              <w:right w:val="single" w:sz="4" w:space="0" w:color="auto"/>
            </w:tcBorders>
            <w:vAlign w:val="center"/>
          </w:tcPr>
          <w:p w:rsidR="00776658" w:rsidRPr="00F951C2" w:rsidRDefault="00776658" w:rsidP="001F20E9">
            <w:pPr>
              <w:suppressAutoHyphens w:val="0"/>
              <w:snapToGrid w:val="0"/>
              <w:jc w:val="both"/>
              <w:rPr>
                <w:sz w:val="18"/>
                <w:szCs w:val="18"/>
              </w:rPr>
            </w:pPr>
            <w:r w:rsidRPr="00F951C2">
              <w:rPr>
                <w:sz w:val="18"/>
                <w:szCs w:val="18"/>
              </w:rPr>
              <w:t>-5.353*</w:t>
            </w:r>
          </w:p>
        </w:tc>
        <w:tc>
          <w:tcPr>
            <w:tcW w:w="739" w:type="pct"/>
            <w:tcBorders>
              <w:top w:val="single" w:sz="4" w:space="0" w:color="auto"/>
              <w:left w:val="single" w:sz="4" w:space="0" w:color="auto"/>
              <w:bottom w:val="single" w:sz="4" w:space="0" w:color="auto"/>
              <w:right w:val="single" w:sz="4" w:space="0" w:color="auto"/>
            </w:tcBorders>
            <w:vAlign w:val="center"/>
          </w:tcPr>
          <w:p w:rsidR="00776658" w:rsidRPr="00F951C2" w:rsidRDefault="00C67F37" w:rsidP="001F20E9">
            <w:pPr>
              <w:suppressAutoHyphens w:val="0"/>
              <w:snapToGrid w:val="0"/>
              <w:jc w:val="both"/>
              <w:rPr>
                <w:sz w:val="18"/>
                <w:szCs w:val="18"/>
              </w:rPr>
            </w:pPr>
            <w:r w:rsidRPr="00F951C2">
              <w:rPr>
                <w:sz w:val="18"/>
                <w:szCs w:val="18"/>
              </w:rPr>
              <w:t xml:space="preserve"> </w:t>
            </w:r>
            <w:r w:rsidR="00776658" w:rsidRPr="00F951C2">
              <w:rPr>
                <w:sz w:val="18"/>
                <w:szCs w:val="18"/>
              </w:rPr>
              <w:t>I (1)</w:t>
            </w:r>
          </w:p>
        </w:tc>
      </w:tr>
    </w:tbl>
    <w:p w:rsidR="00776658" w:rsidRPr="00F951C2" w:rsidRDefault="00776658" w:rsidP="001F20E9">
      <w:pPr>
        <w:suppressAutoHyphens w:val="0"/>
        <w:snapToGrid w:val="0"/>
        <w:jc w:val="both"/>
        <w:rPr>
          <w:i/>
          <w:sz w:val="18"/>
          <w:szCs w:val="18"/>
        </w:rPr>
      </w:pPr>
      <w:r w:rsidRPr="00F951C2">
        <w:rPr>
          <w:i/>
          <w:sz w:val="18"/>
          <w:szCs w:val="18"/>
        </w:rPr>
        <w:t>Note: * represent signiﬁcance levels at 5% percent.</w:t>
      </w:r>
    </w:p>
    <w:p w:rsidR="001F20E9" w:rsidRDefault="001F20E9" w:rsidP="001F20E9">
      <w:pPr>
        <w:suppressAutoHyphens w:val="0"/>
        <w:snapToGrid w:val="0"/>
        <w:ind w:firstLine="425"/>
        <w:jc w:val="both"/>
        <w:rPr>
          <w:sz w:val="20"/>
          <w:szCs w:val="20"/>
          <w:lang w:eastAsia="zh-CN"/>
        </w:rPr>
      </w:pPr>
    </w:p>
    <w:p w:rsidR="001F20E9" w:rsidRPr="001F20E9" w:rsidRDefault="001F20E9" w:rsidP="001F20E9">
      <w:pPr>
        <w:suppressAutoHyphens w:val="0"/>
        <w:snapToGrid w:val="0"/>
        <w:ind w:firstLine="425"/>
        <w:jc w:val="both"/>
        <w:rPr>
          <w:sz w:val="20"/>
          <w:szCs w:val="20"/>
          <w:lang w:eastAsia="zh-CN"/>
        </w:rPr>
        <w:sectPr w:rsidR="001F20E9" w:rsidRPr="001F20E9" w:rsidSect="00C67F37">
          <w:footnotePr>
            <w:pos w:val="beneathText"/>
          </w:footnotePr>
          <w:type w:val="continuous"/>
          <w:pgSz w:w="12240" w:h="15840" w:code="1"/>
          <w:pgMar w:top="1440" w:right="1440" w:bottom="1440" w:left="1440" w:header="720" w:footer="720" w:gutter="0"/>
          <w:cols w:space="720"/>
          <w:docGrid w:linePitch="360"/>
        </w:sectPr>
      </w:pPr>
    </w:p>
    <w:p w:rsidR="00F951C2" w:rsidRDefault="00776658" w:rsidP="001F20E9">
      <w:pPr>
        <w:suppressAutoHyphens w:val="0"/>
        <w:snapToGrid w:val="0"/>
        <w:ind w:firstLine="425"/>
        <w:jc w:val="both"/>
        <w:rPr>
          <w:sz w:val="20"/>
          <w:szCs w:val="20"/>
        </w:rPr>
      </w:pPr>
      <w:r w:rsidRPr="001F20E9">
        <w:rPr>
          <w:sz w:val="20"/>
          <w:szCs w:val="20"/>
        </w:rPr>
        <w:lastRenderedPageBreak/>
        <w:t xml:space="preserve">The stationarity of variables was checked through Augmented Dicky Fuller tests, and the outcomes of the ADF tests display that HE was non-stationary- at level but became stationary at first difference. Similarly, when CO2 was tested through the ADF test, and it was not stationary at I (0) but became stationary at 1st difference. The GDP was not </w:t>
      </w:r>
      <w:r w:rsidRPr="001F20E9">
        <w:rPr>
          <w:sz w:val="20"/>
          <w:szCs w:val="20"/>
        </w:rPr>
        <w:lastRenderedPageBreak/>
        <w:t>stationary at level. Similarly, TOP was non-stationary at levels but converted into first difference, then they all became stationary but became stationary at 1st difference. This study, therefore, concluded that all variables are stationary at first difference level. Hence, it gives room to employ an ARDL approach to cointegratio</w:t>
      </w:r>
      <w:r w:rsidR="00F951C2" w:rsidRPr="001F20E9">
        <w:rPr>
          <w:sz w:val="20"/>
          <w:szCs w:val="20"/>
        </w:rPr>
        <w:t>n</w:t>
      </w:r>
      <w:r w:rsidR="00F951C2">
        <w:rPr>
          <w:sz w:val="20"/>
          <w:szCs w:val="20"/>
        </w:rPr>
        <w:t>.</w:t>
      </w:r>
    </w:p>
    <w:p w:rsidR="001F20E9" w:rsidRPr="001F20E9" w:rsidRDefault="001F20E9" w:rsidP="001F20E9">
      <w:pPr>
        <w:suppressAutoHyphens w:val="0"/>
        <w:snapToGrid w:val="0"/>
        <w:jc w:val="center"/>
        <w:rPr>
          <w:rFonts w:eastAsia="Calibri"/>
          <w:b/>
          <w:sz w:val="20"/>
          <w:lang w:eastAsia="en-US"/>
        </w:rPr>
        <w:sectPr w:rsidR="001F20E9" w:rsidRPr="001F20E9" w:rsidSect="001F20E9">
          <w:footnotePr>
            <w:pos w:val="beneathText"/>
          </w:footnotePr>
          <w:type w:val="continuous"/>
          <w:pgSz w:w="12240" w:h="15840" w:code="1"/>
          <w:pgMar w:top="1440" w:right="1440" w:bottom="1440" w:left="1440" w:header="720" w:footer="720" w:gutter="0"/>
          <w:cols w:num="2" w:space="600"/>
          <w:docGrid w:linePitch="360"/>
        </w:sectPr>
      </w:pPr>
    </w:p>
    <w:p w:rsidR="001F20E9" w:rsidRDefault="001F20E9" w:rsidP="001F20E9">
      <w:pPr>
        <w:suppressAutoHyphens w:val="0"/>
        <w:snapToGrid w:val="0"/>
        <w:jc w:val="center"/>
        <w:rPr>
          <w:b/>
          <w:sz w:val="20"/>
          <w:lang w:eastAsia="zh-CN"/>
        </w:rPr>
      </w:pPr>
    </w:p>
    <w:p w:rsidR="00E13E29" w:rsidRPr="001F20E9" w:rsidRDefault="00E13E29" w:rsidP="001F20E9">
      <w:pPr>
        <w:suppressAutoHyphens w:val="0"/>
        <w:snapToGrid w:val="0"/>
        <w:jc w:val="center"/>
        <w:rPr>
          <w:rFonts w:eastAsia="Calibri"/>
          <w:b/>
          <w:sz w:val="20"/>
          <w:lang w:eastAsia="en-US"/>
        </w:rPr>
      </w:pPr>
      <w:r w:rsidRPr="001F20E9">
        <w:rPr>
          <w:rFonts w:eastAsia="Calibri"/>
          <w:b/>
          <w:sz w:val="20"/>
          <w:lang w:eastAsia="en-US"/>
        </w:rPr>
        <w:t>Table Bounds co-integration test</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232"/>
        <w:gridCol w:w="1522"/>
        <w:gridCol w:w="1522"/>
        <w:gridCol w:w="2198"/>
      </w:tblGrid>
      <w:tr w:rsidR="00E13E29" w:rsidRPr="00F951C2" w:rsidTr="001F20E9">
        <w:trPr>
          <w:jc w:val="center"/>
        </w:trPr>
        <w:tc>
          <w:tcPr>
            <w:tcW w:w="2234"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Level of significance</w:t>
            </w:r>
          </w:p>
        </w:tc>
        <w:tc>
          <w:tcPr>
            <w:tcW w:w="1606" w:type="pct"/>
            <w:gridSpan w:val="2"/>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Critical values</w:t>
            </w:r>
          </w:p>
        </w:tc>
        <w:tc>
          <w:tcPr>
            <w:tcW w:w="1161"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F-Statistic</w:t>
            </w:r>
          </w:p>
        </w:tc>
      </w:tr>
      <w:tr w:rsidR="00E13E29" w:rsidRPr="00F951C2" w:rsidTr="001F20E9">
        <w:trPr>
          <w:jc w:val="center"/>
        </w:trPr>
        <w:tc>
          <w:tcPr>
            <w:tcW w:w="2234"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p>
        </w:tc>
        <w:tc>
          <w:tcPr>
            <w:tcW w:w="803"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 xml:space="preserve">Lower </w:t>
            </w:r>
            <w:r w:rsidR="001F20E9" w:rsidRPr="00F951C2">
              <w:rPr>
                <w:sz w:val="18"/>
                <w:szCs w:val="18"/>
              </w:rPr>
              <w:t xml:space="preserve"> </w:t>
            </w:r>
            <w:r w:rsidRPr="00F951C2">
              <w:rPr>
                <w:sz w:val="18"/>
                <w:szCs w:val="18"/>
              </w:rPr>
              <w:t>Bound</w:t>
            </w:r>
          </w:p>
        </w:tc>
        <w:tc>
          <w:tcPr>
            <w:tcW w:w="803"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 xml:space="preserve">Upper </w:t>
            </w:r>
            <w:r w:rsidR="001F20E9" w:rsidRPr="00F951C2">
              <w:rPr>
                <w:sz w:val="18"/>
                <w:szCs w:val="18"/>
              </w:rPr>
              <w:t xml:space="preserve"> </w:t>
            </w:r>
            <w:r w:rsidRPr="00F951C2">
              <w:rPr>
                <w:sz w:val="18"/>
                <w:szCs w:val="18"/>
              </w:rPr>
              <w:t>Bound</w:t>
            </w:r>
          </w:p>
        </w:tc>
        <w:tc>
          <w:tcPr>
            <w:tcW w:w="1161"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p>
        </w:tc>
      </w:tr>
      <w:tr w:rsidR="00E13E29" w:rsidRPr="00F951C2" w:rsidTr="001F20E9">
        <w:trPr>
          <w:jc w:val="center"/>
        </w:trPr>
        <w:tc>
          <w:tcPr>
            <w:tcW w:w="2234"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1 Percent</w:t>
            </w:r>
          </w:p>
        </w:tc>
        <w:tc>
          <w:tcPr>
            <w:tcW w:w="803"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3.65</w:t>
            </w:r>
          </w:p>
        </w:tc>
        <w:tc>
          <w:tcPr>
            <w:tcW w:w="803"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4.66</w:t>
            </w:r>
          </w:p>
        </w:tc>
        <w:tc>
          <w:tcPr>
            <w:tcW w:w="1161"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p>
        </w:tc>
      </w:tr>
      <w:tr w:rsidR="00E13E29" w:rsidRPr="00F951C2" w:rsidTr="001F20E9">
        <w:trPr>
          <w:jc w:val="center"/>
        </w:trPr>
        <w:tc>
          <w:tcPr>
            <w:tcW w:w="2234"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5 Percent</w:t>
            </w:r>
          </w:p>
        </w:tc>
        <w:tc>
          <w:tcPr>
            <w:tcW w:w="803"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2.79</w:t>
            </w:r>
          </w:p>
        </w:tc>
        <w:tc>
          <w:tcPr>
            <w:tcW w:w="803"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3.67</w:t>
            </w:r>
          </w:p>
        </w:tc>
        <w:tc>
          <w:tcPr>
            <w:tcW w:w="1161"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4.66</w:t>
            </w:r>
          </w:p>
        </w:tc>
      </w:tr>
      <w:tr w:rsidR="00E13E29" w:rsidRPr="00F951C2" w:rsidTr="001F20E9">
        <w:trPr>
          <w:jc w:val="center"/>
        </w:trPr>
        <w:tc>
          <w:tcPr>
            <w:tcW w:w="2234"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10 Percent</w:t>
            </w:r>
          </w:p>
        </w:tc>
        <w:tc>
          <w:tcPr>
            <w:tcW w:w="803"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 xml:space="preserve"> 2.37</w:t>
            </w:r>
          </w:p>
        </w:tc>
        <w:tc>
          <w:tcPr>
            <w:tcW w:w="803"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r w:rsidRPr="00F951C2">
              <w:rPr>
                <w:sz w:val="18"/>
                <w:szCs w:val="18"/>
              </w:rPr>
              <w:t>3.20</w:t>
            </w:r>
          </w:p>
        </w:tc>
        <w:tc>
          <w:tcPr>
            <w:tcW w:w="1161" w:type="pct"/>
            <w:tcBorders>
              <w:top w:val="single" w:sz="4" w:space="0" w:color="auto"/>
              <w:left w:val="single" w:sz="4" w:space="0" w:color="auto"/>
              <w:bottom w:val="single" w:sz="4" w:space="0" w:color="auto"/>
              <w:right w:val="single" w:sz="4" w:space="0" w:color="auto"/>
            </w:tcBorders>
            <w:vAlign w:val="center"/>
          </w:tcPr>
          <w:p w:rsidR="00E13E29" w:rsidRPr="00F951C2" w:rsidRDefault="00E13E29" w:rsidP="001F20E9">
            <w:pPr>
              <w:suppressAutoHyphens w:val="0"/>
              <w:snapToGrid w:val="0"/>
              <w:jc w:val="both"/>
              <w:rPr>
                <w:sz w:val="18"/>
                <w:szCs w:val="18"/>
              </w:rPr>
            </w:pPr>
          </w:p>
        </w:tc>
      </w:tr>
    </w:tbl>
    <w:p w:rsidR="001F20E9" w:rsidRDefault="00776658" w:rsidP="00F951C2">
      <w:pPr>
        <w:suppressAutoHyphens w:val="0"/>
        <w:snapToGrid w:val="0"/>
        <w:jc w:val="both"/>
        <w:rPr>
          <w:sz w:val="20"/>
          <w:szCs w:val="20"/>
          <w:lang w:eastAsia="zh-CN"/>
        </w:rPr>
      </w:pPr>
      <w:r w:rsidRPr="00F951C2">
        <w:rPr>
          <w:sz w:val="18"/>
          <w:szCs w:val="18"/>
        </w:rPr>
        <w:t xml:space="preserve">Note: The bounds test values are based on Narayan (2004): Case D: restricted constant and no time trend. </w:t>
      </w:r>
    </w:p>
    <w:p w:rsidR="001F20E9" w:rsidRDefault="001F20E9" w:rsidP="001F20E9">
      <w:pPr>
        <w:suppressAutoHyphens w:val="0"/>
        <w:snapToGrid w:val="0"/>
        <w:ind w:firstLine="425"/>
        <w:jc w:val="both"/>
        <w:rPr>
          <w:rFonts w:hint="eastAsia"/>
          <w:sz w:val="20"/>
          <w:szCs w:val="20"/>
          <w:lang w:eastAsia="zh-CN"/>
        </w:rPr>
      </w:pPr>
    </w:p>
    <w:p w:rsidR="00143617" w:rsidRPr="001F20E9" w:rsidRDefault="00143617" w:rsidP="001F20E9">
      <w:pPr>
        <w:suppressAutoHyphens w:val="0"/>
        <w:snapToGrid w:val="0"/>
        <w:ind w:firstLine="425"/>
        <w:jc w:val="both"/>
        <w:rPr>
          <w:sz w:val="20"/>
          <w:szCs w:val="20"/>
          <w:lang w:eastAsia="zh-CN"/>
        </w:rPr>
        <w:sectPr w:rsidR="00143617" w:rsidRPr="001F20E9" w:rsidSect="00C67F37">
          <w:footnotePr>
            <w:pos w:val="beneathText"/>
          </w:footnotePr>
          <w:type w:val="continuous"/>
          <w:pgSz w:w="12240" w:h="15840" w:code="1"/>
          <w:pgMar w:top="1440" w:right="1440" w:bottom="1440" w:left="1440" w:header="720" w:footer="720" w:gutter="0"/>
          <w:cols w:space="720"/>
          <w:docGrid w:linePitch="360"/>
        </w:sectPr>
      </w:pPr>
    </w:p>
    <w:p w:rsidR="00776658" w:rsidRPr="001F20E9" w:rsidRDefault="00776658" w:rsidP="001F20E9">
      <w:pPr>
        <w:suppressAutoHyphens w:val="0"/>
        <w:snapToGrid w:val="0"/>
        <w:ind w:firstLine="425"/>
        <w:jc w:val="both"/>
        <w:rPr>
          <w:sz w:val="20"/>
          <w:szCs w:val="20"/>
        </w:rPr>
      </w:pPr>
      <w:r w:rsidRPr="001F20E9">
        <w:rPr>
          <w:sz w:val="20"/>
          <w:szCs w:val="20"/>
        </w:rPr>
        <w:lastRenderedPageBreak/>
        <w:t xml:space="preserve">The result of the estimated Wald F-test along critical values taken from Narayan (2004) is provided in Table 2. The computed F-statistic is 4.66, which is </w:t>
      </w:r>
      <w:r w:rsidRPr="001F20E9">
        <w:rPr>
          <w:sz w:val="20"/>
          <w:szCs w:val="20"/>
        </w:rPr>
        <w:lastRenderedPageBreak/>
        <w:t xml:space="preserve">greater than the upper bound critical value at a 5% significance level. This establishes the long-term relationship between the underlying variables. </w:t>
      </w:r>
    </w:p>
    <w:p w:rsidR="001F20E9" w:rsidRPr="001F20E9" w:rsidRDefault="001F20E9" w:rsidP="001F20E9">
      <w:pPr>
        <w:suppressAutoHyphens w:val="0"/>
        <w:snapToGrid w:val="0"/>
        <w:ind w:firstLine="425"/>
        <w:jc w:val="both"/>
        <w:rPr>
          <w:sz w:val="20"/>
          <w:szCs w:val="20"/>
        </w:rPr>
        <w:sectPr w:rsidR="001F20E9" w:rsidRPr="001F20E9" w:rsidSect="001F20E9">
          <w:footnotePr>
            <w:pos w:val="beneathText"/>
          </w:footnotePr>
          <w:type w:val="continuous"/>
          <w:pgSz w:w="12240" w:h="15840" w:code="1"/>
          <w:pgMar w:top="1440" w:right="1440" w:bottom="1440" w:left="1440" w:header="720" w:footer="720" w:gutter="0"/>
          <w:cols w:num="2" w:space="600"/>
          <w:docGrid w:linePitch="360"/>
        </w:sectPr>
      </w:pPr>
    </w:p>
    <w:p w:rsidR="004B7093" w:rsidRPr="001F20E9" w:rsidRDefault="004B7093" w:rsidP="001F20E9">
      <w:pPr>
        <w:suppressAutoHyphens w:val="0"/>
        <w:snapToGrid w:val="0"/>
        <w:ind w:firstLine="425"/>
        <w:jc w:val="both"/>
        <w:rPr>
          <w:sz w:val="20"/>
          <w:szCs w:val="20"/>
        </w:rPr>
      </w:pPr>
    </w:p>
    <w:p w:rsidR="004B7093" w:rsidRPr="001F20E9" w:rsidRDefault="004B7093" w:rsidP="001F20E9">
      <w:pPr>
        <w:suppressAutoHyphens w:val="0"/>
        <w:snapToGrid w:val="0"/>
        <w:jc w:val="center"/>
        <w:rPr>
          <w:b/>
          <w:sz w:val="20"/>
        </w:rPr>
      </w:pPr>
      <w:r w:rsidRPr="001F20E9">
        <w:rPr>
          <w:b/>
          <w:sz w:val="20"/>
        </w:rPr>
        <w:t>Table: Long-run coefficients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850"/>
        <w:gridCol w:w="2334"/>
        <w:gridCol w:w="2079"/>
        <w:gridCol w:w="1542"/>
        <w:gridCol w:w="1669"/>
      </w:tblGrid>
      <w:tr w:rsidR="004B7093" w:rsidRPr="00F951C2" w:rsidTr="001F20E9">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Variable</w:t>
            </w:r>
          </w:p>
        </w:tc>
        <w:tc>
          <w:tcPr>
            <w:tcW w:w="123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Coefficient</w:t>
            </w:r>
          </w:p>
        </w:tc>
        <w:tc>
          <w:tcPr>
            <w:tcW w:w="1097"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Std. Error</w:t>
            </w:r>
          </w:p>
        </w:tc>
        <w:tc>
          <w:tcPr>
            <w:tcW w:w="814"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T-ratio</w:t>
            </w:r>
          </w:p>
        </w:tc>
        <w:tc>
          <w:tcPr>
            <w:tcW w:w="881"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P-value</w:t>
            </w:r>
          </w:p>
        </w:tc>
      </w:tr>
      <w:tr w:rsidR="004B7093" w:rsidRPr="00F951C2" w:rsidTr="001F20E9">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CO2</w:t>
            </w:r>
          </w:p>
        </w:tc>
        <w:tc>
          <w:tcPr>
            <w:tcW w:w="123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0.090</w:t>
            </w:r>
          </w:p>
        </w:tc>
        <w:tc>
          <w:tcPr>
            <w:tcW w:w="1097"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0.040</w:t>
            </w:r>
          </w:p>
        </w:tc>
        <w:tc>
          <w:tcPr>
            <w:tcW w:w="814"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2.500</w:t>
            </w:r>
          </w:p>
        </w:tc>
        <w:tc>
          <w:tcPr>
            <w:tcW w:w="881"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0.010</w:t>
            </w:r>
          </w:p>
        </w:tc>
      </w:tr>
      <w:tr w:rsidR="004B7093" w:rsidRPr="00F951C2" w:rsidTr="001F20E9">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GDP</w:t>
            </w:r>
          </w:p>
        </w:tc>
        <w:tc>
          <w:tcPr>
            <w:tcW w:w="123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-3.702</w:t>
            </w:r>
          </w:p>
        </w:tc>
        <w:tc>
          <w:tcPr>
            <w:tcW w:w="1097"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0.624</w:t>
            </w:r>
          </w:p>
        </w:tc>
        <w:tc>
          <w:tcPr>
            <w:tcW w:w="814"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-5.930</w:t>
            </w:r>
          </w:p>
        </w:tc>
        <w:tc>
          <w:tcPr>
            <w:tcW w:w="881"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0.000</w:t>
            </w:r>
          </w:p>
        </w:tc>
      </w:tr>
      <w:tr w:rsidR="004B7093" w:rsidRPr="00F951C2" w:rsidTr="001F20E9">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TOP</w:t>
            </w:r>
          </w:p>
        </w:tc>
        <w:tc>
          <w:tcPr>
            <w:tcW w:w="123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22.75</w:t>
            </w:r>
          </w:p>
        </w:tc>
        <w:tc>
          <w:tcPr>
            <w:tcW w:w="1097"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19.90</w:t>
            </w:r>
          </w:p>
        </w:tc>
        <w:tc>
          <w:tcPr>
            <w:tcW w:w="814"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1.143</w:t>
            </w:r>
          </w:p>
        </w:tc>
        <w:tc>
          <w:tcPr>
            <w:tcW w:w="881"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0.277</w:t>
            </w:r>
          </w:p>
        </w:tc>
      </w:tr>
      <w:tr w:rsidR="004B7093" w:rsidRPr="00F951C2" w:rsidTr="001F20E9">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C</w:t>
            </w:r>
          </w:p>
        </w:tc>
        <w:tc>
          <w:tcPr>
            <w:tcW w:w="123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-22.25</w:t>
            </w:r>
          </w:p>
        </w:tc>
        <w:tc>
          <w:tcPr>
            <w:tcW w:w="1097"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7.017</w:t>
            </w:r>
          </w:p>
        </w:tc>
        <w:tc>
          <w:tcPr>
            <w:tcW w:w="814"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-3.171</w:t>
            </w:r>
          </w:p>
        </w:tc>
        <w:tc>
          <w:tcPr>
            <w:tcW w:w="881"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0.009</w:t>
            </w:r>
          </w:p>
        </w:tc>
      </w:tr>
    </w:tbl>
    <w:p w:rsidR="001F20E9" w:rsidRDefault="001F20E9" w:rsidP="001F20E9">
      <w:pPr>
        <w:suppressAutoHyphens w:val="0"/>
        <w:snapToGrid w:val="0"/>
        <w:ind w:firstLine="425"/>
        <w:jc w:val="both"/>
        <w:rPr>
          <w:sz w:val="20"/>
          <w:szCs w:val="20"/>
        </w:rPr>
      </w:pPr>
    </w:p>
    <w:p w:rsidR="001F20E9" w:rsidRPr="001F20E9" w:rsidRDefault="001F20E9" w:rsidP="001F20E9">
      <w:pPr>
        <w:suppressAutoHyphens w:val="0"/>
        <w:snapToGrid w:val="0"/>
        <w:ind w:firstLine="425"/>
        <w:jc w:val="both"/>
        <w:rPr>
          <w:sz w:val="20"/>
          <w:szCs w:val="20"/>
        </w:rPr>
        <w:sectPr w:rsidR="001F20E9" w:rsidRPr="001F20E9" w:rsidSect="00C67F37">
          <w:footnotePr>
            <w:pos w:val="beneathText"/>
          </w:footnotePr>
          <w:type w:val="continuous"/>
          <w:pgSz w:w="12240" w:h="15840" w:code="1"/>
          <w:pgMar w:top="1440" w:right="1440" w:bottom="1440" w:left="1440" w:header="720" w:footer="720" w:gutter="0"/>
          <w:cols w:space="720"/>
          <w:docGrid w:linePitch="360"/>
        </w:sectPr>
      </w:pPr>
    </w:p>
    <w:p w:rsidR="004B7093" w:rsidRPr="001F20E9" w:rsidRDefault="004B7093" w:rsidP="001F20E9">
      <w:pPr>
        <w:suppressAutoHyphens w:val="0"/>
        <w:snapToGrid w:val="0"/>
        <w:ind w:firstLine="425"/>
        <w:jc w:val="both"/>
        <w:rPr>
          <w:sz w:val="20"/>
          <w:szCs w:val="20"/>
        </w:rPr>
      </w:pPr>
      <w:r w:rsidRPr="001F20E9">
        <w:rPr>
          <w:sz w:val="20"/>
          <w:szCs w:val="20"/>
        </w:rPr>
        <w:lastRenderedPageBreak/>
        <w:t>In the above table, the estimated coefficients describe that CO</w:t>
      </w:r>
      <w:r w:rsidRPr="001F20E9">
        <w:rPr>
          <w:sz w:val="20"/>
          <w:szCs w:val="20"/>
          <w:vertAlign w:val="subscript"/>
        </w:rPr>
        <w:t>2</w:t>
      </w:r>
      <w:r w:rsidRPr="001F20E9">
        <w:rPr>
          <w:sz w:val="20"/>
          <w:szCs w:val="20"/>
        </w:rPr>
        <w:t xml:space="preserve"> effects HE significantly with a positive magnitude. The impact of GDP on HE is negative and statistically significant. The outcomes display a strong positive association between emissions of CO</w:t>
      </w:r>
      <w:r w:rsidRPr="001F20E9">
        <w:rPr>
          <w:sz w:val="20"/>
          <w:szCs w:val="20"/>
          <w:vertAlign w:val="subscript"/>
        </w:rPr>
        <w:t>2</w:t>
      </w:r>
      <w:r w:rsidRPr="001F20E9">
        <w:rPr>
          <w:sz w:val="20"/>
          <w:szCs w:val="20"/>
        </w:rPr>
        <w:t xml:space="preserve"> and health spending, given the long-term carbon emission coefficient (0.090), and the likelihood value (0.010). This coefficient shows that health expenditure also increases if CO</w:t>
      </w:r>
      <w:r w:rsidRPr="001F20E9">
        <w:rPr>
          <w:sz w:val="20"/>
          <w:szCs w:val="20"/>
          <w:vertAlign w:val="subscript"/>
        </w:rPr>
        <w:t>2</w:t>
      </w:r>
      <w:r w:rsidRPr="001F20E9">
        <w:rPr>
          <w:sz w:val="20"/>
          <w:szCs w:val="20"/>
        </w:rPr>
        <w:t xml:space="preserve"> emissions are increased. These reports support the factual studies of previous years (Beatty and Shimshack, 2014; Mead et al., 2005; Chaabouni et al., 2016). Pakistan faces harsh environmental and climate degradation and makes some contribution to overcoming these serious changes in climate (Zaidi et al. 2018).</w:t>
      </w:r>
    </w:p>
    <w:p w:rsidR="00F951C2" w:rsidRDefault="004B7093" w:rsidP="001F20E9">
      <w:pPr>
        <w:suppressAutoHyphens w:val="0"/>
        <w:snapToGrid w:val="0"/>
        <w:ind w:firstLine="425"/>
        <w:jc w:val="both"/>
        <w:rPr>
          <w:sz w:val="20"/>
          <w:szCs w:val="20"/>
        </w:rPr>
      </w:pPr>
      <w:r w:rsidRPr="001F20E9">
        <w:rPr>
          <w:sz w:val="20"/>
          <w:szCs w:val="20"/>
        </w:rPr>
        <w:lastRenderedPageBreak/>
        <w:t>In contrast, the economic growth coefficient (-3.702) is a negative but important impact on</w:t>
      </w:r>
      <w:r w:rsidRPr="001F20E9">
        <w:rPr>
          <w:i/>
          <w:sz w:val="20"/>
          <w:szCs w:val="20"/>
        </w:rPr>
        <w:t xml:space="preserve"> </w:t>
      </w:r>
      <w:r w:rsidRPr="001F20E9">
        <w:rPr>
          <w:sz w:val="20"/>
          <w:szCs w:val="20"/>
        </w:rPr>
        <w:t>spending on education. That relationship explains how health expenses decline as growth rises due to improved individuals ' incomes. It also means that the productivity of the economy is negatively affected as health spending increases. As reported in Bedir and Business's (2016) study, an increase in expenditure on health is connected to a low level of hominid productivity in a country due to poor health, disrupting that country's economic development. The outcomes of our research are in line with those of Jude Eggoh and Sossou (2015). The trade openness has no impact on the HE as the P-value of TOP is insignifican</w:t>
      </w:r>
      <w:r w:rsidR="00F951C2" w:rsidRPr="001F20E9">
        <w:rPr>
          <w:sz w:val="20"/>
          <w:szCs w:val="20"/>
        </w:rPr>
        <w:t>t</w:t>
      </w:r>
      <w:r w:rsidR="00F951C2">
        <w:rPr>
          <w:sz w:val="20"/>
          <w:szCs w:val="20"/>
        </w:rPr>
        <w:t>.</w:t>
      </w:r>
    </w:p>
    <w:p w:rsidR="001F20E9" w:rsidRPr="001F20E9" w:rsidRDefault="001F20E9" w:rsidP="001F20E9">
      <w:pPr>
        <w:suppressAutoHyphens w:val="0"/>
        <w:snapToGrid w:val="0"/>
        <w:jc w:val="center"/>
        <w:rPr>
          <w:b/>
          <w:sz w:val="20"/>
          <w:szCs w:val="20"/>
        </w:rPr>
        <w:sectPr w:rsidR="001F20E9" w:rsidRPr="001F20E9" w:rsidSect="001F20E9">
          <w:footnotePr>
            <w:pos w:val="beneathText"/>
          </w:footnotePr>
          <w:type w:val="continuous"/>
          <w:pgSz w:w="12240" w:h="15840" w:code="1"/>
          <w:pgMar w:top="1440" w:right="1440" w:bottom="1440" w:left="1440" w:header="720" w:footer="720" w:gutter="0"/>
          <w:cols w:num="2" w:space="600"/>
          <w:docGrid w:linePitch="360"/>
        </w:sectPr>
      </w:pPr>
    </w:p>
    <w:p w:rsidR="00C67F37" w:rsidRPr="001F20E9" w:rsidRDefault="00C67F37" w:rsidP="001F20E9">
      <w:pPr>
        <w:suppressAutoHyphens w:val="0"/>
        <w:snapToGrid w:val="0"/>
        <w:jc w:val="center"/>
        <w:rPr>
          <w:b/>
          <w:sz w:val="20"/>
          <w:szCs w:val="20"/>
        </w:rPr>
      </w:pPr>
    </w:p>
    <w:p w:rsidR="004B7093" w:rsidRPr="001F20E9" w:rsidRDefault="004B7093" w:rsidP="001F20E9">
      <w:pPr>
        <w:suppressAutoHyphens w:val="0"/>
        <w:snapToGrid w:val="0"/>
        <w:jc w:val="center"/>
        <w:rPr>
          <w:b/>
          <w:sz w:val="20"/>
          <w:szCs w:val="20"/>
        </w:rPr>
      </w:pPr>
      <w:r w:rsidRPr="001F20E9">
        <w:rPr>
          <w:b/>
          <w:sz w:val="20"/>
          <w:szCs w:val="20"/>
        </w:rPr>
        <w:t>Table: Short run error correction model</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98"/>
        <w:gridCol w:w="2202"/>
        <w:gridCol w:w="1923"/>
        <w:gridCol w:w="1478"/>
        <w:gridCol w:w="1573"/>
      </w:tblGrid>
      <w:tr w:rsidR="004B7093" w:rsidRPr="00F951C2" w:rsidTr="001F20E9">
        <w:trPr>
          <w:trHeight w:val="150"/>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1F20E9" w:rsidP="001F20E9">
            <w:pPr>
              <w:suppressAutoHyphens w:val="0"/>
              <w:snapToGrid w:val="0"/>
              <w:jc w:val="both"/>
              <w:rPr>
                <w:sz w:val="18"/>
                <w:szCs w:val="18"/>
              </w:rPr>
            </w:pPr>
            <w:r w:rsidRPr="00F951C2">
              <w:rPr>
                <w:sz w:val="18"/>
                <w:szCs w:val="18"/>
              </w:rPr>
              <w:t xml:space="preserve"> </w:t>
            </w:r>
            <w:r w:rsidR="004B7093" w:rsidRPr="00F951C2">
              <w:rPr>
                <w:sz w:val="18"/>
                <w:szCs w:val="18"/>
              </w:rPr>
              <w:t>Variable</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Coefficient</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Panel (A)</w:t>
            </w:r>
            <w:r w:rsidR="001F20E9" w:rsidRPr="00F951C2">
              <w:rPr>
                <w:rFonts w:hint="eastAsia"/>
                <w:sz w:val="18"/>
                <w:szCs w:val="18"/>
                <w:lang w:eastAsia="zh-CN"/>
              </w:rPr>
              <w:t xml:space="preserve"> </w:t>
            </w:r>
            <w:r w:rsidRPr="00F951C2">
              <w:rPr>
                <w:sz w:val="18"/>
                <w:szCs w:val="18"/>
              </w:rPr>
              <w:t>Std Error</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1F20E9" w:rsidP="001F20E9">
            <w:pPr>
              <w:suppressAutoHyphens w:val="0"/>
              <w:snapToGrid w:val="0"/>
              <w:jc w:val="both"/>
              <w:rPr>
                <w:sz w:val="18"/>
                <w:szCs w:val="18"/>
              </w:rPr>
            </w:pPr>
            <w:r w:rsidRPr="00F951C2">
              <w:rPr>
                <w:sz w:val="18"/>
                <w:szCs w:val="18"/>
              </w:rPr>
              <w:t xml:space="preserve"> </w:t>
            </w:r>
            <w:r w:rsidR="004B7093" w:rsidRPr="00F951C2">
              <w:rPr>
                <w:sz w:val="18"/>
                <w:szCs w:val="18"/>
              </w:rPr>
              <w:t>Tratio</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1F20E9" w:rsidP="001F20E9">
            <w:pPr>
              <w:suppressAutoHyphens w:val="0"/>
              <w:snapToGrid w:val="0"/>
              <w:jc w:val="both"/>
              <w:rPr>
                <w:sz w:val="18"/>
                <w:szCs w:val="18"/>
              </w:rPr>
            </w:pPr>
            <w:r w:rsidRPr="00F951C2">
              <w:rPr>
                <w:sz w:val="18"/>
                <w:szCs w:val="18"/>
              </w:rPr>
              <w:t xml:space="preserve"> </w:t>
            </w:r>
            <w:r w:rsidR="004B7093" w:rsidRPr="00F951C2">
              <w:rPr>
                <w:sz w:val="18"/>
                <w:szCs w:val="18"/>
              </w:rPr>
              <w:t>P-value</w:t>
            </w:r>
          </w:p>
        </w:tc>
      </w:tr>
      <w:tr w:rsidR="004B7093" w:rsidRPr="00F951C2" w:rsidTr="001F20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D (</w:t>
            </w:r>
            <w:r w:rsidR="004B7093" w:rsidRPr="00F951C2">
              <w:rPr>
                <w:sz w:val="18"/>
                <w:szCs w:val="18"/>
              </w:rPr>
              <w:t>CO2)</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-0-.010</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0.001</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-10.00</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0.000</w:t>
            </w:r>
          </w:p>
        </w:tc>
      </w:tr>
      <w:tr w:rsidR="004B7093" w:rsidRPr="00F951C2" w:rsidTr="001F20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D (</w:t>
            </w:r>
            <w:r w:rsidR="004B7093" w:rsidRPr="00F951C2">
              <w:rPr>
                <w:sz w:val="18"/>
                <w:szCs w:val="18"/>
              </w:rPr>
              <w:t>CO2(1)</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-0-.020</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0.009</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-2-.22</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0.035</w:t>
            </w:r>
          </w:p>
        </w:tc>
      </w:tr>
      <w:tr w:rsidR="004B7093" w:rsidRPr="00F951C2" w:rsidTr="001F20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D (</w:t>
            </w:r>
            <w:r w:rsidR="004B7093" w:rsidRPr="00F951C2">
              <w:rPr>
                <w:sz w:val="18"/>
                <w:szCs w:val="18"/>
              </w:rPr>
              <w:t>CO2(2)</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-0-.005</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0.002</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-2.50</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0.010</w:t>
            </w:r>
          </w:p>
        </w:tc>
      </w:tr>
      <w:tr w:rsidR="004B7093" w:rsidRPr="00F951C2" w:rsidTr="001F20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D (</w:t>
            </w:r>
            <w:r w:rsidR="004B7093" w:rsidRPr="00F951C2">
              <w:rPr>
                <w:sz w:val="18"/>
                <w:szCs w:val="18"/>
              </w:rPr>
              <w:t>GDP)</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-0.724</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0.141</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-5.131</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0.000</w:t>
            </w:r>
          </w:p>
        </w:tc>
      </w:tr>
      <w:tr w:rsidR="004B7093" w:rsidRPr="00F951C2" w:rsidTr="001F20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D (</w:t>
            </w:r>
            <w:r w:rsidR="004B7093" w:rsidRPr="00F951C2">
              <w:rPr>
                <w:sz w:val="18"/>
                <w:szCs w:val="18"/>
              </w:rPr>
              <w:t>GD</w:t>
            </w:r>
            <w:r w:rsidRPr="00F951C2">
              <w:rPr>
                <w:sz w:val="18"/>
                <w:szCs w:val="18"/>
              </w:rPr>
              <w:t>P (</w:t>
            </w:r>
            <w:r w:rsidR="004B7093" w:rsidRPr="00F951C2">
              <w:rPr>
                <w:sz w:val="18"/>
                <w:szCs w:val="18"/>
              </w:rPr>
              <w:t>1)</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-1.332</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0.324</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-4.111</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0.001</w:t>
            </w:r>
          </w:p>
        </w:tc>
      </w:tr>
      <w:tr w:rsidR="004B7093" w:rsidRPr="00F951C2" w:rsidTr="001F20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D (</w:t>
            </w:r>
            <w:r w:rsidR="004B7093" w:rsidRPr="00F951C2">
              <w:rPr>
                <w:sz w:val="18"/>
                <w:szCs w:val="18"/>
              </w:rPr>
              <w:t>GD</w:t>
            </w:r>
            <w:r w:rsidRPr="00F951C2">
              <w:rPr>
                <w:sz w:val="18"/>
                <w:szCs w:val="18"/>
              </w:rPr>
              <w:t>P (</w:t>
            </w:r>
            <w:r w:rsidR="004B7093" w:rsidRPr="00F951C2">
              <w:rPr>
                <w:sz w:val="18"/>
                <w:szCs w:val="18"/>
              </w:rPr>
              <w:t>2)</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-0.417</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0.175</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-2.372</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0.037</w:t>
            </w:r>
          </w:p>
        </w:tc>
      </w:tr>
      <w:tr w:rsidR="004B7093" w:rsidRPr="00F951C2" w:rsidTr="001F20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D (</w:t>
            </w:r>
            <w:r w:rsidR="004B7093" w:rsidRPr="00F951C2">
              <w:rPr>
                <w:sz w:val="18"/>
                <w:szCs w:val="18"/>
              </w:rPr>
              <w:t>TO</w:t>
            </w:r>
            <w:r w:rsidRPr="00F951C2">
              <w:rPr>
                <w:sz w:val="18"/>
                <w:szCs w:val="18"/>
              </w:rPr>
              <w:t>P (</w:t>
            </w:r>
            <w:r w:rsidR="004B7093" w:rsidRPr="00F951C2">
              <w:rPr>
                <w:sz w:val="18"/>
                <w:szCs w:val="18"/>
              </w:rPr>
              <w:t>2)</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-23.26</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9.765</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-2.382</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0.036</w:t>
            </w:r>
          </w:p>
        </w:tc>
      </w:tr>
      <w:tr w:rsidR="004B7093" w:rsidRPr="00F951C2" w:rsidTr="001F20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EC</w:t>
            </w:r>
            <w:r w:rsidR="00C67F37" w:rsidRPr="00F951C2">
              <w:rPr>
                <w:sz w:val="18"/>
                <w:szCs w:val="18"/>
              </w:rPr>
              <w:t>M (</w:t>
            </w:r>
            <w:r w:rsidRPr="00F951C2">
              <w:rPr>
                <w:sz w:val="18"/>
                <w:szCs w:val="18"/>
              </w:rPr>
              <w:t>1)</w:t>
            </w:r>
          </w:p>
        </w:tc>
        <w:tc>
          <w:tcPr>
            <w:tcW w:w="1162"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-0.678</w:t>
            </w:r>
          </w:p>
        </w:tc>
        <w:tc>
          <w:tcPr>
            <w:tcW w:w="1015" w:type="pct"/>
            <w:tcBorders>
              <w:top w:val="single" w:sz="4" w:space="0" w:color="auto"/>
              <w:left w:val="single" w:sz="4" w:space="0" w:color="auto"/>
              <w:bottom w:val="single" w:sz="4" w:space="0" w:color="auto"/>
              <w:right w:val="single" w:sz="4" w:space="0" w:color="auto"/>
            </w:tcBorders>
            <w:vAlign w:val="center"/>
          </w:tcPr>
          <w:p w:rsidR="004B7093" w:rsidRPr="00F951C2" w:rsidRDefault="00C67F37" w:rsidP="001F20E9">
            <w:pPr>
              <w:suppressAutoHyphens w:val="0"/>
              <w:snapToGrid w:val="0"/>
              <w:jc w:val="both"/>
              <w:rPr>
                <w:sz w:val="18"/>
                <w:szCs w:val="18"/>
              </w:rPr>
            </w:pPr>
            <w:r w:rsidRPr="00F951C2">
              <w:rPr>
                <w:sz w:val="18"/>
                <w:szCs w:val="18"/>
              </w:rPr>
              <w:t xml:space="preserve"> </w:t>
            </w:r>
            <w:r w:rsidR="004B7093" w:rsidRPr="00F951C2">
              <w:rPr>
                <w:sz w:val="18"/>
                <w:szCs w:val="18"/>
              </w:rPr>
              <w:t>0.120</w:t>
            </w:r>
          </w:p>
        </w:tc>
        <w:tc>
          <w:tcPr>
            <w:tcW w:w="78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-5.637</w:t>
            </w:r>
          </w:p>
        </w:tc>
        <w:tc>
          <w:tcPr>
            <w:tcW w:w="83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sz w:val="18"/>
                <w:szCs w:val="18"/>
              </w:rPr>
            </w:pPr>
            <w:r w:rsidRPr="00F951C2">
              <w:rPr>
                <w:sz w:val="18"/>
                <w:szCs w:val="18"/>
              </w:rPr>
              <w:t xml:space="preserve"> 0.000</w:t>
            </w:r>
          </w:p>
        </w:tc>
      </w:tr>
    </w:tbl>
    <w:p w:rsidR="001F20E9" w:rsidRDefault="001F20E9" w:rsidP="001F20E9">
      <w:pPr>
        <w:suppressAutoHyphens w:val="0"/>
        <w:snapToGrid w:val="0"/>
        <w:ind w:firstLine="425"/>
        <w:jc w:val="both"/>
        <w:rPr>
          <w:sz w:val="20"/>
          <w:szCs w:val="20"/>
        </w:rPr>
        <w:sectPr w:rsidR="001F20E9" w:rsidSect="00C67F37">
          <w:footnotePr>
            <w:pos w:val="beneathText"/>
          </w:footnotePr>
          <w:type w:val="continuous"/>
          <w:pgSz w:w="12240" w:h="15840" w:code="1"/>
          <w:pgMar w:top="1440" w:right="1440" w:bottom="1440" w:left="1440" w:header="720" w:footer="720" w:gutter="0"/>
          <w:cols w:space="720"/>
          <w:docGrid w:linePitch="360"/>
        </w:sectPr>
      </w:pPr>
    </w:p>
    <w:p w:rsidR="004B7093" w:rsidRPr="001F20E9" w:rsidRDefault="004B7093" w:rsidP="001F20E9">
      <w:pPr>
        <w:suppressAutoHyphens w:val="0"/>
        <w:snapToGrid w:val="0"/>
        <w:ind w:firstLine="425"/>
        <w:jc w:val="both"/>
        <w:rPr>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94"/>
      </w:tblGrid>
      <w:tr w:rsidR="004B7093" w:rsidRPr="00F951C2" w:rsidTr="001F20E9">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4B7093" w:rsidRPr="00F951C2" w:rsidRDefault="004B7093" w:rsidP="001F20E9">
            <w:pPr>
              <w:suppressAutoHyphens w:val="0"/>
              <w:snapToGrid w:val="0"/>
              <w:jc w:val="both"/>
              <w:rPr>
                <w:b/>
                <w:sz w:val="18"/>
                <w:szCs w:val="18"/>
              </w:rPr>
            </w:pPr>
            <w:r w:rsidRPr="00F951C2">
              <w:rPr>
                <w:b/>
                <w:sz w:val="18"/>
                <w:szCs w:val="18"/>
              </w:rPr>
              <w:t>Panel (B)</w:t>
            </w:r>
          </w:p>
          <w:p w:rsidR="004B7093" w:rsidRPr="00F951C2" w:rsidRDefault="004B7093" w:rsidP="001F20E9">
            <w:pPr>
              <w:suppressAutoHyphens w:val="0"/>
              <w:snapToGrid w:val="0"/>
              <w:jc w:val="both"/>
              <w:rPr>
                <w:b/>
                <w:sz w:val="18"/>
                <w:szCs w:val="18"/>
              </w:rPr>
            </w:pPr>
            <w:r w:rsidRPr="00F951C2">
              <w:rPr>
                <w:b/>
                <w:sz w:val="18"/>
                <w:szCs w:val="18"/>
              </w:rPr>
              <w:t>Diagnostic Tests</w:t>
            </w:r>
          </w:p>
          <w:p w:rsidR="004B7093" w:rsidRPr="00F951C2" w:rsidRDefault="004B7093" w:rsidP="001F20E9">
            <w:pPr>
              <w:tabs>
                <w:tab w:val="left" w:pos="1985"/>
              </w:tabs>
              <w:suppressAutoHyphens w:val="0"/>
              <w:snapToGrid w:val="0"/>
              <w:jc w:val="both"/>
              <w:rPr>
                <w:sz w:val="18"/>
                <w:szCs w:val="18"/>
              </w:rPr>
            </w:pPr>
            <w:r w:rsidRPr="00F951C2">
              <w:rPr>
                <w:sz w:val="18"/>
                <w:szCs w:val="18"/>
              </w:rPr>
              <w:t>R squared</w:t>
            </w:r>
            <w:r w:rsidR="00C67F37" w:rsidRPr="00F951C2">
              <w:rPr>
                <w:sz w:val="18"/>
                <w:szCs w:val="18"/>
              </w:rPr>
              <w:t xml:space="preserve"> </w:t>
            </w:r>
            <w:r w:rsidR="00C67F37" w:rsidRPr="00F951C2">
              <w:rPr>
                <w:sz w:val="18"/>
                <w:szCs w:val="18"/>
              </w:rPr>
              <w:tab/>
              <w:t>0</w:t>
            </w:r>
            <w:r w:rsidRPr="00F951C2">
              <w:rPr>
                <w:sz w:val="18"/>
                <w:szCs w:val="18"/>
              </w:rPr>
              <w:t>.828</w:t>
            </w:r>
          </w:p>
          <w:p w:rsidR="004B7093" w:rsidRPr="00F951C2" w:rsidRDefault="004B7093" w:rsidP="001F20E9">
            <w:pPr>
              <w:tabs>
                <w:tab w:val="left" w:pos="1985"/>
              </w:tabs>
              <w:suppressAutoHyphens w:val="0"/>
              <w:snapToGrid w:val="0"/>
              <w:jc w:val="both"/>
              <w:rPr>
                <w:sz w:val="18"/>
                <w:szCs w:val="18"/>
              </w:rPr>
            </w:pPr>
            <w:r w:rsidRPr="00F951C2">
              <w:rPr>
                <w:sz w:val="18"/>
                <w:szCs w:val="18"/>
              </w:rPr>
              <w:t>DW statistic</w:t>
            </w:r>
            <w:r w:rsidR="00C67F37" w:rsidRPr="00F951C2">
              <w:rPr>
                <w:sz w:val="18"/>
                <w:szCs w:val="18"/>
              </w:rPr>
              <w:t xml:space="preserve"> </w:t>
            </w:r>
            <w:r w:rsidR="00C67F37" w:rsidRPr="00F951C2">
              <w:rPr>
                <w:sz w:val="18"/>
                <w:szCs w:val="18"/>
              </w:rPr>
              <w:tab/>
              <w:t>2</w:t>
            </w:r>
            <w:r w:rsidRPr="00F951C2">
              <w:rPr>
                <w:sz w:val="18"/>
                <w:szCs w:val="18"/>
              </w:rPr>
              <w:t>.170</w:t>
            </w:r>
          </w:p>
          <w:p w:rsidR="004B7093" w:rsidRPr="00F951C2" w:rsidRDefault="004B7093" w:rsidP="001F20E9">
            <w:pPr>
              <w:tabs>
                <w:tab w:val="left" w:pos="1985"/>
              </w:tabs>
              <w:suppressAutoHyphens w:val="0"/>
              <w:snapToGrid w:val="0"/>
              <w:jc w:val="both"/>
              <w:rPr>
                <w:sz w:val="18"/>
                <w:szCs w:val="18"/>
              </w:rPr>
            </w:pPr>
            <w:r w:rsidRPr="00F951C2">
              <w:rPr>
                <w:sz w:val="18"/>
                <w:szCs w:val="18"/>
              </w:rPr>
              <w:t>Serial correlation</w:t>
            </w:r>
            <w:r w:rsidR="00C67F37" w:rsidRPr="00F951C2">
              <w:rPr>
                <w:sz w:val="18"/>
                <w:szCs w:val="18"/>
              </w:rPr>
              <w:t xml:space="preserve"> </w:t>
            </w:r>
            <w:r w:rsidR="00C67F37" w:rsidRPr="00F951C2">
              <w:rPr>
                <w:sz w:val="18"/>
                <w:szCs w:val="18"/>
              </w:rPr>
              <w:tab/>
              <w:t>1</w:t>
            </w:r>
            <w:r w:rsidRPr="00F951C2">
              <w:rPr>
                <w:sz w:val="18"/>
                <w:szCs w:val="18"/>
              </w:rPr>
              <w:t>.630(0.202)</w:t>
            </w:r>
          </w:p>
          <w:p w:rsidR="004B7093" w:rsidRPr="00F951C2" w:rsidRDefault="004B7093" w:rsidP="001F20E9">
            <w:pPr>
              <w:tabs>
                <w:tab w:val="left" w:pos="1985"/>
              </w:tabs>
              <w:suppressAutoHyphens w:val="0"/>
              <w:snapToGrid w:val="0"/>
              <w:jc w:val="both"/>
              <w:rPr>
                <w:sz w:val="18"/>
                <w:szCs w:val="18"/>
              </w:rPr>
            </w:pPr>
            <w:r w:rsidRPr="00F951C2">
              <w:rPr>
                <w:sz w:val="18"/>
                <w:szCs w:val="18"/>
              </w:rPr>
              <w:t>Normality</w:t>
            </w:r>
            <w:r w:rsidR="00C67F37" w:rsidRPr="00F951C2">
              <w:rPr>
                <w:sz w:val="18"/>
                <w:szCs w:val="18"/>
              </w:rPr>
              <w:t xml:space="preserve"> </w:t>
            </w:r>
            <w:r w:rsidR="00C67F37" w:rsidRPr="00F951C2">
              <w:rPr>
                <w:sz w:val="18"/>
                <w:szCs w:val="18"/>
              </w:rPr>
              <w:tab/>
              <w:t>1</w:t>
            </w:r>
            <w:r w:rsidRPr="00F951C2">
              <w:rPr>
                <w:sz w:val="18"/>
                <w:szCs w:val="18"/>
              </w:rPr>
              <w:t>.139(0.933)</w:t>
            </w:r>
          </w:p>
          <w:p w:rsidR="004B7093" w:rsidRPr="00F951C2" w:rsidRDefault="004B7093" w:rsidP="001F20E9">
            <w:pPr>
              <w:tabs>
                <w:tab w:val="left" w:pos="1985"/>
              </w:tabs>
              <w:suppressAutoHyphens w:val="0"/>
              <w:snapToGrid w:val="0"/>
              <w:jc w:val="both"/>
              <w:rPr>
                <w:sz w:val="18"/>
                <w:szCs w:val="18"/>
              </w:rPr>
            </w:pPr>
            <w:r w:rsidRPr="00F951C2">
              <w:rPr>
                <w:sz w:val="18"/>
                <w:szCs w:val="18"/>
              </w:rPr>
              <w:t>Heteroscedasticity</w:t>
            </w:r>
            <w:r w:rsidR="00C67F37" w:rsidRPr="00F951C2">
              <w:rPr>
                <w:sz w:val="18"/>
                <w:szCs w:val="18"/>
              </w:rPr>
              <w:t xml:space="preserve"> </w:t>
            </w:r>
            <w:r w:rsidR="00C67F37" w:rsidRPr="00F951C2">
              <w:rPr>
                <w:sz w:val="18"/>
                <w:szCs w:val="18"/>
              </w:rPr>
              <w:tab/>
              <w:t>1</w:t>
            </w:r>
            <w:r w:rsidRPr="00F951C2">
              <w:rPr>
                <w:sz w:val="18"/>
                <w:szCs w:val="18"/>
              </w:rPr>
              <w:t>5.57(0.273)</w:t>
            </w:r>
          </w:p>
        </w:tc>
      </w:tr>
    </w:tbl>
    <w:p w:rsidR="001F20E9" w:rsidRDefault="001F20E9" w:rsidP="001F20E9">
      <w:pPr>
        <w:suppressAutoHyphens w:val="0"/>
        <w:snapToGrid w:val="0"/>
        <w:jc w:val="both"/>
        <w:rPr>
          <w:i/>
          <w:sz w:val="20"/>
          <w:szCs w:val="20"/>
          <w:lang w:eastAsia="zh-CN"/>
        </w:rPr>
      </w:pPr>
    </w:p>
    <w:p w:rsidR="00776658" w:rsidRPr="001F20E9" w:rsidRDefault="004B7093" w:rsidP="00F951C2">
      <w:pPr>
        <w:suppressAutoHyphens w:val="0"/>
        <w:snapToGrid w:val="0"/>
        <w:jc w:val="center"/>
        <w:rPr>
          <w:i/>
          <w:sz w:val="20"/>
          <w:szCs w:val="20"/>
        </w:rPr>
      </w:pPr>
      <w:r w:rsidRPr="001F20E9">
        <w:rPr>
          <w:b/>
          <w:noProof/>
          <w:sz w:val="20"/>
          <w:szCs w:val="20"/>
          <w:lang w:eastAsia="zh-CN"/>
        </w:rPr>
        <w:drawing>
          <wp:inline distT="0" distB="0" distL="0" distR="0">
            <wp:extent cx="2531304" cy="1594339"/>
            <wp:effectExtent l="19050" t="0" r="234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8591" cy="1598929"/>
                    </a:xfrm>
                    <a:prstGeom prst="rect">
                      <a:avLst/>
                    </a:prstGeom>
                    <a:noFill/>
                  </pic:spPr>
                </pic:pic>
              </a:graphicData>
            </a:graphic>
          </wp:inline>
        </w:drawing>
      </w:r>
    </w:p>
    <w:p w:rsidR="004B7093" w:rsidRPr="001F20E9" w:rsidRDefault="004B7093" w:rsidP="001F20E9">
      <w:pPr>
        <w:suppressAutoHyphens w:val="0"/>
        <w:snapToGrid w:val="0"/>
        <w:jc w:val="both"/>
        <w:rPr>
          <w:b/>
          <w:sz w:val="20"/>
          <w:szCs w:val="20"/>
        </w:rPr>
      </w:pPr>
    </w:p>
    <w:p w:rsidR="004B7093" w:rsidRPr="001F20E9" w:rsidRDefault="00F951C2" w:rsidP="00F951C2">
      <w:pPr>
        <w:suppressAutoHyphens w:val="0"/>
        <w:snapToGrid w:val="0"/>
        <w:jc w:val="center"/>
        <w:rPr>
          <w:b/>
          <w:sz w:val="20"/>
          <w:szCs w:val="20"/>
        </w:rPr>
      </w:pPr>
      <w:r w:rsidRPr="001F20E9">
        <w:rPr>
          <w:noProof/>
          <w:sz w:val="20"/>
        </w:rPr>
        <w:object w:dxaOrig="7275" w:dyaOrig="5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1pt;height:123.95pt" o:ole="">
            <v:imagedata r:id="rId15" o:title=""/>
          </v:shape>
          <o:OLEObject Type="Embed" ProgID="EViews.Workfile.2" ShapeID="_x0000_i1025" DrawAspect="Content" ObjectID="_1640726920" r:id="rId16"/>
        </w:object>
      </w:r>
    </w:p>
    <w:p w:rsidR="0028395D" w:rsidRPr="001F20E9" w:rsidRDefault="0028395D" w:rsidP="001F20E9">
      <w:pPr>
        <w:suppressAutoHyphens w:val="0"/>
        <w:snapToGrid w:val="0"/>
        <w:jc w:val="center"/>
        <w:rPr>
          <w:sz w:val="20"/>
          <w:szCs w:val="20"/>
        </w:rPr>
      </w:pPr>
    </w:p>
    <w:p w:rsidR="00143617" w:rsidRDefault="00143617" w:rsidP="00F951C2">
      <w:pPr>
        <w:suppressAutoHyphens w:val="0"/>
        <w:snapToGrid w:val="0"/>
        <w:ind w:firstLine="425"/>
        <w:jc w:val="both"/>
        <w:rPr>
          <w:rFonts w:hint="eastAsia"/>
          <w:sz w:val="20"/>
          <w:szCs w:val="20"/>
          <w:lang w:eastAsia="zh-CN"/>
        </w:rPr>
      </w:pPr>
    </w:p>
    <w:p w:rsidR="0028395D" w:rsidRPr="001F20E9" w:rsidRDefault="0028395D" w:rsidP="00F951C2">
      <w:pPr>
        <w:suppressAutoHyphens w:val="0"/>
        <w:snapToGrid w:val="0"/>
        <w:ind w:firstLine="425"/>
        <w:jc w:val="both"/>
        <w:rPr>
          <w:sz w:val="20"/>
          <w:szCs w:val="20"/>
        </w:rPr>
      </w:pPr>
      <w:r w:rsidRPr="001F20E9">
        <w:rPr>
          <w:sz w:val="20"/>
          <w:szCs w:val="20"/>
        </w:rPr>
        <w:t xml:space="preserve">Table shows the results of the error correction method. It can be seen from panel (A) that the coefficient of ECM is negative and highly significant at one percent significance level is another evidence of the stable long-term relationship. The estimated coefficient of the ECM is -0.678, suggests that the </w:t>
      </w:r>
      <w:r w:rsidRPr="001F20E9">
        <w:rPr>
          <w:sz w:val="20"/>
          <w:szCs w:val="20"/>
        </w:rPr>
        <w:lastRenderedPageBreak/>
        <w:t>short-term disequilibrium can be rectified at the speed of 68 percent. The model reveals that in the short-run, CO</w:t>
      </w:r>
      <w:r w:rsidRPr="001F20E9">
        <w:rPr>
          <w:sz w:val="20"/>
          <w:szCs w:val="20"/>
          <w:vertAlign w:val="subscript"/>
        </w:rPr>
        <w:t>2</w:t>
      </w:r>
      <w:r w:rsidRPr="001F20E9">
        <w:rPr>
          <w:sz w:val="20"/>
          <w:szCs w:val="20"/>
        </w:rPr>
        <w:t xml:space="preserve"> has an adverse impact on health expenditures, and the effect is statistically significant. GDP is undesirably and pointedly connected to health expenditures. In addition, the short-term findings suggested that the relationship between gross trade openness and expenditure on health is significant. We also used diagnostic tests to check the reliability of the design. Such results do not reflect a serial correlation </w:t>
      </w:r>
      <w:r w:rsidRPr="001F20E9">
        <w:rPr>
          <w:sz w:val="20"/>
          <w:szCs w:val="20"/>
        </w:rPr>
        <w:lastRenderedPageBreak/>
        <w:t>with a model miscarriage or heteroscedasticity, as shown in table. The cumulative sum (CUSUM) and cumulative sum of squared residual plots (CUSUMSQ) are obtained, and stable long-run and short-run relationships are further rectified. The results are shown in figure. The values for CUSUM and CUSUM SQ fall between the upper and lower critical boundaries (at 5 percent meaning levels), which determine the consistency and strongness of long and short-run connection.</w:t>
      </w:r>
    </w:p>
    <w:p w:rsidR="001F20E9" w:rsidRPr="001F20E9" w:rsidRDefault="001F20E9" w:rsidP="001F20E9">
      <w:pPr>
        <w:suppressAutoHyphens w:val="0"/>
        <w:snapToGrid w:val="0"/>
        <w:jc w:val="both"/>
        <w:rPr>
          <w:b/>
          <w:sz w:val="20"/>
          <w:szCs w:val="20"/>
        </w:rPr>
        <w:sectPr w:rsidR="001F20E9" w:rsidRPr="001F20E9" w:rsidSect="001F20E9">
          <w:footnotePr>
            <w:pos w:val="beneathText"/>
          </w:footnotePr>
          <w:type w:val="continuous"/>
          <w:pgSz w:w="12240" w:h="15840" w:code="1"/>
          <w:pgMar w:top="1440" w:right="1440" w:bottom="1440" w:left="1440" w:header="720" w:footer="720" w:gutter="0"/>
          <w:cols w:num="2" w:space="600"/>
          <w:docGrid w:linePitch="360"/>
        </w:sectPr>
      </w:pPr>
    </w:p>
    <w:p w:rsidR="0028395D" w:rsidRPr="001F20E9" w:rsidRDefault="0028395D" w:rsidP="001F20E9">
      <w:pPr>
        <w:suppressAutoHyphens w:val="0"/>
        <w:snapToGrid w:val="0"/>
        <w:jc w:val="both"/>
        <w:rPr>
          <w:b/>
          <w:sz w:val="20"/>
          <w:szCs w:val="20"/>
        </w:rPr>
      </w:pPr>
    </w:p>
    <w:p w:rsidR="00143617" w:rsidRDefault="00143617" w:rsidP="00F951C2">
      <w:pPr>
        <w:suppressAutoHyphens w:val="0"/>
        <w:snapToGrid w:val="0"/>
        <w:jc w:val="center"/>
        <w:rPr>
          <w:rFonts w:hint="eastAsia"/>
          <w:b/>
          <w:sz w:val="20"/>
          <w:szCs w:val="20"/>
          <w:lang w:eastAsia="zh-CN"/>
        </w:rPr>
      </w:pPr>
    </w:p>
    <w:p w:rsidR="0028395D" w:rsidRPr="001F20E9" w:rsidRDefault="00F951C2" w:rsidP="00F951C2">
      <w:pPr>
        <w:suppressAutoHyphens w:val="0"/>
        <w:snapToGrid w:val="0"/>
        <w:jc w:val="center"/>
        <w:rPr>
          <w:b/>
          <w:sz w:val="20"/>
          <w:szCs w:val="20"/>
        </w:rPr>
      </w:pPr>
      <w:r w:rsidRPr="001F20E9">
        <w:rPr>
          <w:b/>
          <w:sz w:val="20"/>
          <w:szCs w:val="20"/>
        </w:rPr>
        <w:t xml:space="preserve">Table: </w:t>
      </w:r>
      <w:r w:rsidR="0028395D" w:rsidRPr="001F20E9">
        <w:rPr>
          <w:b/>
          <w:sz w:val="20"/>
          <w:szCs w:val="20"/>
        </w:rPr>
        <w:t>Granger Causality Results based on VECM</w:t>
      </w:r>
    </w:p>
    <w:tbl>
      <w:tblPr>
        <w:tblStyle w:val="TableGrid"/>
        <w:tblW w:w="5000" w:type="pct"/>
        <w:jc w:val="center"/>
        <w:tblCellMar>
          <w:left w:w="57" w:type="dxa"/>
          <w:right w:w="57" w:type="dxa"/>
        </w:tblCellMar>
        <w:tblLook w:val="04A0"/>
      </w:tblPr>
      <w:tblGrid>
        <w:gridCol w:w="1317"/>
        <w:gridCol w:w="1813"/>
        <w:gridCol w:w="2096"/>
        <w:gridCol w:w="2152"/>
        <w:gridCol w:w="2096"/>
      </w:tblGrid>
      <w:tr w:rsidR="0028395D" w:rsidRPr="00F951C2" w:rsidTr="001F20E9">
        <w:trPr>
          <w:jc w:val="center"/>
        </w:trPr>
        <w:tc>
          <w:tcPr>
            <w:tcW w:w="695" w:type="pct"/>
            <w:vMerge w:val="restar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b/>
                <w:sz w:val="18"/>
                <w:szCs w:val="18"/>
              </w:rPr>
            </w:pPr>
            <w:r w:rsidRPr="00F951C2">
              <w:rPr>
                <w:b/>
                <w:sz w:val="18"/>
                <w:szCs w:val="18"/>
              </w:rPr>
              <w:t>DV</w:t>
            </w:r>
          </w:p>
        </w:tc>
        <w:tc>
          <w:tcPr>
            <w:tcW w:w="4305" w:type="pct"/>
            <w:gridSpan w:val="4"/>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b/>
                <w:sz w:val="18"/>
                <w:szCs w:val="18"/>
              </w:rPr>
            </w:pPr>
            <w:r w:rsidRPr="00F951C2">
              <w:rPr>
                <w:b/>
                <w:sz w:val="18"/>
                <w:szCs w:val="18"/>
              </w:rPr>
              <w:t>IV</w:t>
            </w:r>
          </w:p>
        </w:tc>
      </w:tr>
      <w:tr w:rsidR="0028395D" w:rsidRPr="00F951C2" w:rsidTr="001F20E9">
        <w:trPr>
          <w:jc w:val="center"/>
        </w:trPr>
        <w:tc>
          <w:tcPr>
            <w:tcW w:w="695" w:type="pct"/>
            <w:vMerge/>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b/>
                <w:sz w:val="18"/>
                <w:szCs w:val="18"/>
              </w:rPr>
            </w:pPr>
          </w:p>
        </w:tc>
        <w:tc>
          <w:tcPr>
            <w:tcW w:w="957" w:type="pct"/>
            <w:tcBorders>
              <w:top w:val="single" w:sz="4" w:space="0" w:color="auto"/>
              <w:left w:val="single" w:sz="4" w:space="0" w:color="auto"/>
              <w:bottom w:val="single" w:sz="4" w:space="0" w:color="auto"/>
              <w:right w:val="single" w:sz="4" w:space="0" w:color="auto"/>
            </w:tcBorders>
            <w:vAlign w:val="center"/>
          </w:tcPr>
          <w:p w:rsidR="0028395D" w:rsidRPr="00F951C2" w:rsidRDefault="00C67F37" w:rsidP="001F20E9">
            <w:pPr>
              <w:suppressAutoHyphens w:val="0"/>
              <w:snapToGrid w:val="0"/>
              <w:jc w:val="both"/>
              <w:rPr>
                <w:b/>
                <w:sz w:val="18"/>
                <w:szCs w:val="18"/>
              </w:rPr>
            </w:pPr>
            <w:r w:rsidRPr="00F951C2">
              <w:rPr>
                <w:sz w:val="18"/>
                <w:szCs w:val="18"/>
              </w:rPr>
              <w:t>D (</w:t>
            </w:r>
            <w:r w:rsidR="0028395D" w:rsidRPr="00F951C2">
              <w:rPr>
                <w:sz w:val="18"/>
                <w:szCs w:val="18"/>
              </w:rPr>
              <w:t>HE)</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C67F37" w:rsidP="001F20E9">
            <w:pPr>
              <w:suppressAutoHyphens w:val="0"/>
              <w:snapToGrid w:val="0"/>
              <w:jc w:val="both"/>
              <w:rPr>
                <w:sz w:val="18"/>
                <w:szCs w:val="18"/>
              </w:rPr>
            </w:pPr>
            <w:r w:rsidRPr="00F951C2">
              <w:rPr>
                <w:sz w:val="18"/>
                <w:szCs w:val="18"/>
              </w:rPr>
              <w:t>D (</w:t>
            </w:r>
            <w:r w:rsidR="0028395D" w:rsidRPr="00F951C2">
              <w:rPr>
                <w:sz w:val="18"/>
                <w:szCs w:val="18"/>
              </w:rPr>
              <w:t>CO2)</w:t>
            </w:r>
          </w:p>
        </w:tc>
        <w:tc>
          <w:tcPr>
            <w:tcW w:w="1136" w:type="pct"/>
            <w:tcBorders>
              <w:top w:val="single" w:sz="4" w:space="0" w:color="auto"/>
              <w:left w:val="single" w:sz="4" w:space="0" w:color="auto"/>
              <w:bottom w:val="single" w:sz="4" w:space="0" w:color="auto"/>
              <w:right w:val="single" w:sz="4" w:space="0" w:color="auto"/>
            </w:tcBorders>
            <w:vAlign w:val="center"/>
          </w:tcPr>
          <w:p w:rsidR="0028395D" w:rsidRPr="00F951C2" w:rsidRDefault="00C67F37" w:rsidP="001F20E9">
            <w:pPr>
              <w:suppressAutoHyphens w:val="0"/>
              <w:snapToGrid w:val="0"/>
              <w:jc w:val="both"/>
              <w:rPr>
                <w:sz w:val="18"/>
                <w:szCs w:val="18"/>
              </w:rPr>
            </w:pPr>
            <w:r w:rsidRPr="00F951C2">
              <w:rPr>
                <w:sz w:val="18"/>
                <w:szCs w:val="18"/>
              </w:rPr>
              <w:t>D (</w:t>
            </w:r>
            <w:r w:rsidR="0028395D" w:rsidRPr="00F951C2">
              <w:rPr>
                <w:sz w:val="18"/>
                <w:szCs w:val="18"/>
              </w:rPr>
              <w:t>GDP)</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C67F37" w:rsidP="001F20E9">
            <w:pPr>
              <w:suppressAutoHyphens w:val="0"/>
              <w:snapToGrid w:val="0"/>
              <w:jc w:val="both"/>
              <w:rPr>
                <w:sz w:val="18"/>
                <w:szCs w:val="18"/>
              </w:rPr>
            </w:pPr>
            <w:r w:rsidRPr="00F951C2">
              <w:rPr>
                <w:sz w:val="18"/>
                <w:szCs w:val="18"/>
              </w:rPr>
              <w:t>D (</w:t>
            </w:r>
            <w:r w:rsidR="0028395D" w:rsidRPr="00F951C2">
              <w:rPr>
                <w:sz w:val="18"/>
                <w:szCs w:val="18"/>
              </w:rPr>
              <w:t>TOP)</w:t>
            </w:r>
          </w:p>
        </w:tc>
      </w:tr>
      <w:tr w:rsidR="0028395D" w:rsidRPr="00F951C2" w:rsidTr="001F20E9">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HE</w:t>
            </w:r>
          </w:p>
        </w:tc>
        <w:tc>
          <w:tcPr>
            <w:tcW w:w="957"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b/>
                <w:sz w:val="18"/>
                <w:szCs w:val="18"/>
              </w:rPr>
            </w:pPr>
            <w:r w:rsidRPr="00F951C2">
              <w:rPr>
                <w:b/>
                <w:sz w:val="18"/>
                <w:szCs w:val="18"/>
              </w:rPr>
              <w:t>--</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1.92</w:t>
            </w:r>
          </w:p>
          <w:p w:rsidR="0028395D" w:rsidRPr="00F951C2" w:rsidRDefault="0028395D" w:rsidP="001F20E9">
            <w:pPr>
              <w:suppressAutoHyphens w:val="0"/>
              <w:snapToGrid w:val="0"/>
              <w:jc w:val="both"/>
              <w:rPr>
                <w:sz w:val="18"/>
                <w:szCs w:val="18"/>
              </w:rPr>
            </w:pPr>
            <w:r w:rsidRPr="00F951C2">
              <w:rPr>
                <w:sz w:val="18"/>
                <w:szCs w:val="18"/>
              </w:rPr>
              <w:t>(0.01)</w:t>
            </w:r>
          </w:p>
        </w:tc>
        <w:tc>
          <w:tcPr>
            <w:tcW w:w="113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3.82</w:t>
            </w:r>
          </w:p>
          <w:p w:rsidR="0028395D" w:rsidRPr="00F951C2" w:rsidRDefault="0028395D" w:rsidP="001F20E9">
            <w:pPr>
              <w:suppressAutoHyphens w:val="0"/>
              <w:snapToGrid w:val="0"/>
              <w:jc w:val="both"/>
              <w:rPr>
                <w:sz w:val="18"/>
                <w:szCs w:val="18"/>
              </w:rPr>
            </w:pPr>
            <w:r w:rsidRPr="00F951C2">
              <w:rPr>
                <w:sz w:val="18"/>
                <w:szCs w:val="18"/>
              </w:rPr>
              <w:t>(0.15)</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3.80</w:t>
            </w:r>
          </w:p>
          <w:p w:rsidR="0028395D" w:rsidRPr="00F951C2" w:rsidRDefault="0028395D" w:rsidP="001F20E9">
            <w:pPr>
              <w:suppressAutoHyphens w:val="0"/>
              <w:snapToGrid w:val="0"/>
              <w:jc w:val="both"/>
              <w:rPr>
                <w:sz w:val="18"/>
                <w:szCs w:val="18"/>
              </w:rPr>
            </w:pPr>
            <w:r w:rsidRPr="00F951C2">
              <w:rPr>
                <w:sz w:val="18"/>
                <w:szCs w:val="18"/>
              </w:rPr>
              <w:t>(0.15)</w:t>
            </w:r>
          </w:p>
        </w:tc>
      </w:tr>
      <w:tr w:rsidR="0028395D" w:rsidRPr="00F951C2" w:rsidTr="001F20E9">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CO</w:t>
            </w:r>
            <w:r w:rsidRPr="00F951C2">
              <w:rPr>
                <w:sz w:val="18"/>
                <w:szCs w:val="18"/>
                <w:vertAlign w:val="subscript"/>
              </w:rPr>
              <w:t>2</w:t>
            </w:r>
          </w:p>
        </w:tc>
        <w:tc>
          <w:tcPr>
            <w:tcW w:w="957"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1.21</w:t>
            </w:r>
          </w:p>
          <w:p w:rsidR="0028395D" w:rsidRPr="00F951C2" w:rsidRDefault="0028395D" w:rsidP="001F20E9">
            <w:pPr>
              <w:suppressAutoHyphens w:val="0"/>
              <w:snapToGrid w:val="0"/>
              <w:jc w:val="both"/>
              <w:rPr>
                <w:sz w:val="18"/>
                <w:szCs w:val="18"/>
              </w:rPr>
            </w:pPr>
            <w:r w:rsidRPr="00F951C2">
              <w:rPr>
                <w:sz w:val="18"/>
                <w:szCs w:val="18"/>
              </w:rPr>
              <w:t>(0.55)</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w:t>
            </w:r>
          </w:p>
        </w:tc>
        <w:tc>
          <w:tcPr>
            <w:tcW w:w="113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1.36</w:t>
            </w:r>
          </w:p>
          <w:p w:rsidR="0028395D" w:rsidRPr="00F951C2" w:rsidRDefault="0028395D" w:rsidP="001F20E9">
            <w:pPr>
              <w:suppressAutoHyphens w:val="0"/>
              <w:snapToGrid w:val="0"/>
              <w:jc w:val="both"/>
              <w:rPr>
                <w:sz w:val="18"/>
                <w:szCs w:val="18"/>
              </w:rPr>
            </w:pPr>
            <w:r w:rsidRPr="00F951C2">
              <w:rPr>
                <w:sz w:val="18"/>
                <w:szCs w:val="18"/>
              </w:rPr>
              <w:t>(0.04)</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4.37</w:t>
            </w:r>
          </w:p>
          <w:p w:rsidR="0028395D" w:rsidRPr="00F951C2" w:rsidRDefault="0028395D" w:rsidP="001F20E9">
            <w:pPr>
              <w:suppressAutoHyphens w:val="0"/>
              <w:snapToGrid w:val="0"/>
              <w:jc w:val="both"/>
              <w:rPr>
                <w:sz w:val="18"/>
                <w:szCs w:val="18"/>
              </w:rPr>
            </w:pPr>
            <w:r w:rsidRPr="00F951C2">
              <w:rPr>
                <w:sz w:val="18"/>
                <w:szCs w:val="18"/>
              </w:rPr>
              <w:t>(0.11)</w:t>
            </w:r>
          </w:p>
        </w:tc>
      </w:tr>
      <w:tr w:rsidR="0028395D" w:rsidRPr="00F951C2" w:rsidTr="001F20E9">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GDP</w:t>
            </w:r>
          </w:p>
        </w:tc>
        <w:tc>
          <w:tcPr>
            <w:tcW w:w="957"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2.94</w:t>
            </w:r>
          </w:p>
          <w:p w:rsidR="0028395D" w:rsidRPr="00F951C2" w:rsidRDefault="0028395D" w:rsidP="001F20E9">
            <w:pPr>
              <w:suppressAutoHyphens w:val="0"/>
              <w:snapToGrid w:val="0"/>
              <w:jc w:val="both"/>
              <w:rPr>
                <w:sz w:val="18"/>
                <w:szCs w:val="18"/>
              </w:rPr>
            </w:pPr>
            <w:r w:rsidRPr="00F951C2">
              <w:rPr>
                <w:sz w:val="18"/>
                <w:szCs w:val="18"/>
              </w:rPr>
              <w:t>(0.23)</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6.44</w:t>
            </w:r>
          </w:p>
          <w:p w:rsidR="0028395D" w:rsidRPr="00F951C2" w:rsidRDefault="0028395D" w:rsidP="001F20E9">
            <w:pPr>
              <w:suppressAutoHyphens w:val="0"/>
              <w:snapToGrid w:val="0"/>
              <w:jc w:val="both"/>
              <w:rPr>
                <w:sz w:val="18"/>
                <w:szCs w:val="18"/>
              </w:rPr>
            </w:pPr>
            <w:r w:rsidRPr="00F951C2">
              <w:rPr>
                <w:sz w:val="18"/>
                <w:szCs w:val="18"/>
              </w:rPr>
              <w:t>(0.44)</w:t>
            </w:r>
          </w:p>
        </w:tc>
        <w:tc>
          <w:tcPr>
            <w:tcW w:w="113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3.53</w:t>
            </w:r>
          </w:p>
          <w:p w:rsidR="0028395D" w:rsidRPr="00F951C2" w:rsidRDefault="0028395D" w:rsidP="001F20E9">
            <w:pPr>
              <w:suppressAutoHyphens w:val="0"/>
              <w:snapToGrid w:val="0"/>
              <w:jc w:val="both"/>
              <w:rPr>
                <w:sz w:val="18"/>
                <w:szCs w:val="18"/>
              </w:rPr>
            </w:pPr>
            <w:r w:rsidRPr="00F951C2">
              <w:rPr>
                <w:sz w:val="18"/>
                <w:szCs w:val="18"/>
              </w:rPr>
              <w:t>0.17</w:t>
            </w:r>
          </w:p>
        </w:tc>
      </w:tr>
      <w:tr w:rsidR="0028395D" w:rsidRPr="00F951C2" w:rsidTr="001F20E9">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TOP</w:t>
            </w:r>
          </w:p>
        </w:tc>
        <w:tc>
          <w:tcPr>
            <w:tcW w:w="957"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0.91</w:t>
            </w:r>
          </w:p>
          <w:p w:rsidR="0028395D" w:rsidRPr="00F951C2" w:rsidRDefault="0028395D" w:rsidP="001F20E9">
            <w:pPr>
              <w:suppressAutoHyphens w:val="0"/>
              <w:snapToGrid w:val="0"/>
              <w:jc w:val="both"/>
              <w:rPr>
                <w:sz w:val="18"/>
                <w:szCs w:val="18"/>
              </w:rPr>
            </w:pPr>
            <w:r w:rsidRPr="00F951C2">
              <w:rPr>
                <w:sz w:val="18"/>
                <w:szCs w:val="18"/>
              </w:rPr>
              <w:t>(0.63)</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1.76</w:t>
            </w:r>
          </w:p>
          <w:p w:rsidR="0028395D" w:rsidRPr="00F951C2" w:rsidRDefault="0028395D" w:rsidP="001F20E9">
            <w:pPr>
              <w:suppressAutoHyphens w:val="0"/>
              <w:snapToGrid w:val="0"/>
              <w:jc w:val="both"/>
              <w:rPr>
                <w:sz w:val="18"/>
                <w:szCs w:val="18"/>
              </w:rPr>
            </w:pPr>
            <w:r w:rsidRPr="00F951C2">
              <w:rPr>
                <w:sz w:val="18"/>
                <w:szCs w:val="18"/>
              </w:rPr>
              <w:t>(0.41)</w:t>
            </w:r>
          </w:p>
        </w:tc>
        <w:tc>
          <w:tcPr>
            <w:tcW w:w="113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1.66</w:t>
            </w:r>
          </w:p>
          <w:p w:rsidR="0028395D" w:rsidRPr="00F951C2" w:rsidRDefault="0028395D" w:rsidP="001F20E9">
            <w:pPr>
              <w:suppressAutoHyphens w:val="0"/>
              <w:snapToGrid w:val="0"/>
              <w:jc w:val="both"/>
              <w:rPr>
                <w:sz w:val="18"/>
                <w:szCs w:val="18"/>
              </w:rPr>
            </w:pPr>
            <w:r w:rsidRPr="00F951C2">
              <w:rPr>
                <w:sz w:val="18"/>
                <w:szCs w:val="18"/>
              </w:rPr>
              <w:t>0.43</w:t>
            </w:r>
          </w:p>
        </w:tc>
        <w:tc>
          <w:tcPr>
            <w:tcW w:w="1106" w:type="pct"/>
            <w:tcBorders>
              <w:top w:val="single" w:sz="4" w:space="0" w:color="auto"/>
              <w:left w:val="single" w:sz="4" w:space="0" w:color="auto"/>
              <w:bottom w:val="single" w:sz="4" w:space="0" w:color="auto"/>
              <w:right w:val="single" w:sz="4" w:space="0" w:color="auto"/>
            </w:tcBorders>
            <w:vAlign w:val="center"/>
          </w:tcPr>
          <w:p w:rsidR="0028395D" w:rsidRPr="00F951C2" w:rsidRDefault="0028395D" w:rsidP="001F20E9">
            <w:pPr>
              <w:suppressAutoHyphens w:val="0"/>
              <w:snapToGrid w:val="0"/>
              <w:jc w:val="both"/>
              <w:rPr>
                <w:sz w:val="18"/>
                <w:szCs w:val="18"/>
              </w:rPr>
            </w:pPr>
            <w:r w:rsidRPr="00F951C2">
              <w:rPr>
                <w:sz w:val="18"/>
                <w:szCs w:val="18"/>
              </w:rPr>
              <w:t>--</w:t>
            </w:r>
          </w:p>
        </w:tc>
      </w:tr>
    </w:tbl>
    <w:p w:rsidR="0028395D" w:rsidRDefault="0028395D" w:rsidP="001F20E9">
      <w:pPr>
        <w:suppressAutoHyphens w:val="0"/>
        <w:snapToGrid w:val="0"/>
        <w:ind w:firstLine="425"/>
        <w:jc w:val="both"/>
        <w:rPr>
          <w:rFonts w:hint="eastAsia"/>
          <w:sz w:val="20"/>
          <w:szCs w:val="20"/>
          <w:lang w:eastAsia="zh-CN"/>
        </w:rPr>
      </w:pPr>
    </w:p>
    <w:p w:rsidR="00143617" w:rsidRPr="001F20E9" w:rsidRDefault="00143617" w:rsidP="001F20E9">
      <w:pPr>
        <w:suppressAutoHyphens w:val="0"/>
        <w:snapToGrid w:val="0"/>
        <w:ind w:firstLine="425"/>
        <w:jc w:val="both"/>
        <w:rPr>
          <w:rFonts w:hint="eastAsia"/>
          <w:sz w:val="20"/>
          <w:szCs w:val="20"/>
          <w:lang w:eastAsia="zh-CN"/>
        </w:rPr>
      </w:pPr>
    </w:p>
    <w:p w:rsidR="001F20E9" w:rsidRPr="001F20E9" w:rsidRDefault="001F20E9" w:rsidP="001F20E9">
      <w:pPr>
        <w:suppressAutoHyphens w:val="0"/>
        <w:snapToGrid w:val="0"/>
        <w:ind w:firstLine="425"/>
        <w:jc w:val="both"/>
        <w:rPr>
          <w:sz w:val="20"/>
          <w:szCs w:val="20"/>
        </w:rPr>
        <w:sectPr w:rsidR="001F20E9" w:rsidRPr="001F20E9" w:rsidSect="00C67F37">
          <w:footnotePr>
            <w:pos w:val="beneathText"/>
          </w:footnotePr>
          <w:type w:val="continuous"/>
          <w:pgSz w:w="12240" w:h="15840" w:code="1"/>
          <w:pgMar w:top="1440" w:right="1440" w:bottom="1440" w:left="1440" w:header="720" w:footer="720" w:gutter="0"/>
          <w:cols w:space="720"/>
          <w:docGrid w:linePitch="360"/>
        </w:sectPr>
      </w:pPr>
    </w:p>
    <w:p w:rsidR="0028395D" w:rsidRPr="001F20E9" w:rsidRDefault="0028395D" w:rsidP="001F20E9">
      <w:pPr>
        <w:suppressAutoHyphens w:val="0"/>
        <w:snapToGrid w:val="0"/>
        <w:ind w:firstLine="425"/>
        <w:jc w:val="both"/>
        <w:rPr>
          <w:sz w:val="20"/>
          <w:szCs w:val="20"/>
        </w:rPr>
      </w:pPr>
      <w:r w:rsidRPr="001F20E9">
        <w:rPr>
          <w:sz w:val="20"/>
          <w:szCs w:val="20"/>
        </w:rPr>
        <w:lastRenderedPageBreak/>
        <w:t>From the granger causality test result</w:t>
      </w:r>
      <w:bookmarkStart w:id="6" w:name="_Hlk23671792"/>
      <w:r w:rsidRPr="001F20E9">
        <w:rPr>
          <w:sz w:val="20"/>
          <w:szCs w:val="20"/>
        </w:rPr>
        <w:t>, health expenditures are the cause of CO</w:t>
      </w:r>
      <w:r w:rsidRPr="001F20E9">
        <w:rPr>
          <w:sz w:val="20"/>
          <w:szCs w:val="20"/>
          <w:vertAlign w:val="subscript"/>
        </w:rPr>
        <w:t>2</w:t>
      </w:r>
      <w:r w:rsidRPr="001F20E9">
        <w:rPr>
          <w:sz w:val="20"/>
          <w:szCs w:val="20"/>
        </w:rPr>
        <w:t xml:space="preserve"> while no causatives is running from expenditures of health to economic growth and trade openness. CO</w:t>
      </w:r>
      <w:r w:rsidRPr="001F20E9">
        <w:rPr>
          <w:sz w:val="20"/>
          <w:szCs w:val="20"/>
          <w:vertAlign w:val="subscript"/>
        </w:rPr>
        <w:t>2</w:t>
      </w:r>
      <w:r w:rsidRPr="001F20E9">
        <w:rPr>
          <w:sz w:val="20"/>
          <w:szCs w:val="20"/>
        </w:rPr>
        <w:t xml:space="preserve"> emissions are not the Granger cause of health expenditures and TOP, while carbon emissions have a certain predictive effect on economic growth. GDP is not the Granger cause of HE and TOP- but there is a causality running from GDP to CO</w:t>
      </w:r>
      <w:r w:rsidRPr="001F20E9">
        <w:rPr>
          <w:sz w:val="20"/>
          <w:szCs w:val="20"/>
          <w:vertAlign w:val="subscript"/>
        </w:rPr>
        <w:t>2</w:t>
      </w:r>
      <w:r w:rsidRPr="001F20E9">
        <w:rPr>
          <w:sz w:val="20"/>
          <w:szCs w:val="20"/>
        </w:rPr>
        <w:t>. Trade openness is not the granger cause of health expenditures, CO</w:t>
      </w:r>
      <w:r w:rsidRPr="001F20E9">
        <w:rPr>
          <w:sz w:val="20"/>
          <w:szCs w:val="20"/>
          <w:vertAlign w:val="subscript"/>
        </w:rPr>
        <w:t>2</w:t>
      </w:r>
      <w:r w:rsidRPr="001F20E9">
        <w:rPr>
          <w:sz w:val="20"/>
          <w:szCs w:val="20"/>
        </w:rPr>
        <w:t>, and GDP.</w:t>
      </w:r>
      <w:bookmarkEnd w:id="6"/>
    </w:p>
    <w:p w:rsidR="0028395D" w:rsidRPr="001F20E9" w:rsidRDefault="0028395D" w:rsidP="001F20E9">
      <w:pPr>
        <w:suppressAutoHyphens w:val="0"/>
        <w:snapToGrid w:val="0"/>
        <w:jc w:val="both"/>
        <w:rPr>
          <w:b/>
          <w:sz w:val="20"/>
          <w:szCs w:val="20"/>
        </w:rPr>
      </w:pPr>
    </w:p>
    <w:p w:rsidR="0028395D" w:rsidRPr="001F20E9" w:rsidRDefault="000A131A" w:rsidP="001F20E9">
      <w:pPr>
        <w:suppressAutoHyphens w:val="0"/>
        <w:snapToGrid w:val="0"/>
        <w:jc w:val="both"/>
        <w:rPr>
          <w:sz w:val="20"/>
          <w:szCs w:val="20"/>
        </w:rPr>
      </w:pPr>
      <w:r w:rsidRPr="001F20E9">
        <w:rPr>
          <w:b/>
          <w:sz w:val="20"/>
          <w:szCs w:val="20"/>
        </w:rPr>
        <w:t xml:space="preserve">5. </w:t>
      </w:r>
      <w:r w:rsidR="0028395D" w:rsidRPr="001F20E9">
        <w:rPr>
          <w:b/>
          <w:sz w:val="20"/>
          <w:szCs w:val="20"/>
        </w:rPr>
        <w:t>Conclusion</w:t>
      </w:r>
    </w:p>
    <w:p w:rsidR="0028395D" w:rsidRPr="001F20E9" w:rsidRDefault="0028395D" w:rsidP="001F20E9">
      <w:pPr>
        <w:suppressAutoHyphens w:val="0"/>
        <w:snapToGrid w:val="0"/>
        <w:ind w:firstLine="425"/>
        <w:jc w:val="both"/>
        <w:rPr>
          <w:sz w:val="20"/>
          <w:szCs w:val="20"/>
        </w:rPr>
      </w:pPr>
      <w:r w:rsidRPr="001F20E9">
        <w:rPr>
          <w:sz w:val="20"/>
          <w:szCs w:val="20"/>
        </w:rPr>
        <w:t>The study shows the sound effects on expenditure in Pakistan of CO</w:t>
      </w:r>
      <w:r w:rsidRPr="001F20E9">
        <w:rPr>
          <w:sz w:val="20"/>
          <w:szCs w:val="20"/>
          <w:vertAlign w:val="subscript"/>
        </w:rPr>
        <w:t>2</w:t>
      </w:r>
      <w:r w:rsidRPr="001F20E9">
        <w:rPr>
          <w:sz w:val="20"/>
          <w:szCs w:val="20"/>
        </w:rPr>
        <w:t xml:space="preserve"> emissions, openness to trade, and economic growth. The literature on health expenditures, openness to trade, carbon emissions, and economic growth is limited. The research used the ARDL technique to test short and long-term dynamics between variables. The results verify both the long-term and the short-term relationship between expenditure, CO</w:t>
      </w:r>
      <w:r w:rsidRPr="001F20E9">
        <w:rPr>
          <w:sz w:val="20"/>
          <w:szCs w:val="20"/>
          <w:vertAlign w:val="subscript"/>
        </w:rPr>
        <w:t>2</w:t>
      </w:r>
      <w:r w:rsidRPr="001F20E9">
        <w:rPr>
          <w:sz w:val="20"/>
          <w:szCs w:val="20"/>
        </w:rPr>
        <w:t xml:space="preserve"> emissions, openness to trade, and growth in Pakistan. Diagnostic tests such as Jacque-Bera Normality Tests, the Breusch-Godfrey Serial Correlations LM test, have shown that the model is correct. Overall results showed that Granger's two-way causality is between expenditure and carbon emissions, furthermore between the consumptions on health and economic growth. Health expenditures are the cause of CO</w:t>
      </w:r>
      <w:r w:rsidRPr="001F20E9">
        <w:rPr>
          <w:sz w:val="20"/>
          <w:szCs w:val="20"/>
          <w:vertAlign w:val="subscript"/>
        </w:rPr>
        <w:t>2</w:t>
      </w:r>
      <w:r w:rsidRPr="001F20E9">
        <w:rPr>
          <w:sz w:val="20"/>
          <w:szCs w:val="20"/>
        </w:rPr>
        <w:t>, while there is no antecedent running from expenditures on health to economic growth and trade openness. CO</w:t>
      </w:r>
      <w:r w:rsidRPr="001F20E9">
        <w:rPr>
          <w:sz w:val="20"/>
          <w:szCs w:val="20"/>
          <w:vertAlign w:val="subscript"/>
        </w:rPr>
        <w:t>2</w:t>
      </w:r>
      <w:r w:rsidRPr="001F20E9">
        <w:rPr>
          <w:sz w:val="20"/>
          <w:szCs w:val="20"/>
        </w:rPr>
        <w:t xml:space="preserve"> emissions are not the Granger cause of health expenditures and TOP, while </w:t>
      </w:r>
      <w:r w:rsidRPr="001F20E9">
        <w:rPr>
          <w:sz w:val="20"/>
          <w:szCs w:val="20"/>
          <w:vertAlign w:val="subscript"/>
        </w:rPr>
        <w:t>CO2</w:t>
      </w:r>
      <w:r w:rsidRPr="001F20E9">
        <w:rPr>
          <w:sz w:val="20"/>
          <w:szCs w:val="20"/>
        </w:rPr>
        <w:t xml:space="preserve"> </w:t>
      </w:r>
      <w:r w:rsidRPr="001F20E9">
        <w:rPr>
          <w:sz w:val="20"/>
          <w:szCs w:val="20"/>
        </w:rPr>
        <w:lastRenderedPageBreak/>
        <w:t>carbon emissions have a certain predictive effect on economic growth. GDP is not the Granger cause of health expenditures and trade openness. However, some issues cause GDP to CO</w:t>
      </w:r>
      <w:r w:rsidRPr="001F20E9">
        <w:rPr>
          <w:sz w:val="20"/>
          <w:szCs w:val="20"/>
          <w:vertAlign w:val="subscript"/>
        </w:rPr>
        <w:t>2</w:t>
      </w:r>
      <w:r w:rsidRPr="001F20E9">
        <w:rPr>
          <w:sz w:val="20"/>
          <w:szCs w:val="20"/>
        </w:rPr>
        <w:t>. Trade openness is not the granger cause of health expenditures, CO</w:t>
      </w:r>
      <w:r w:rsidRPr="001F20E9">
        <w:rPr>
          <w:sz w:val="20"/>
          <w:szCs w:val="20"/>
          <w:vertAlign w:val="subscript"/>
        </w:rPr>
        <w:t>2</w:t>
      </w:r>
      <w:r w:rsidRPr="001F20E9">
        <w:rPr>
          <w:sz w:val="20"/>
          <w:szCs w:val="20"/>
        </w:rPr>
        <w:t xml:space="preserve">, and GDP. The results in this research conclude that there are considerable effects on expenditure on carbon emissions (environmental degradation) and economic growth. In this respect, the most important policy is to reduce emissions of carbon Pakistan has great power generation and saving potential among other one Belt and one Road countries if effectively uses its mineral resources Zhang et al. (2018d). </w:t>
      </w:r>
    </w:p>
    <w:p w:rsidR="00C67F37" w:rsidRPr="001F20E9" w:rsidRDefault="0028395D" w:rsidP="001F20E9">
      <w:pPr>
        <w:suppressAutoHyphens w:val="0"/>
        <w:snapToGrid w:val="0"/>
        <w:ind w:firstLine="425"/>
        <w:jc w:val="both"/>
        <w:rPr>
          <w:rFonts w:hint="eastAsia"/>
          <w:sz w:val="20"/>
          <w:szCs w:val="20"/>
          <w:lang w:eastAsia="zh-CN"/>
        </w:rPr>
      </w:pPr>
      <w:r w:rsidRPr="001F20E9">
        <w:rPr>
          <w:sz w:val="20"/>
          <w:szCs w:val="20"/>
        </w:rPr>
        <w:t>A detailed strategy is necessary for this respect. All the stakeholders are accountable, such as leadership of the country, organizations, promoters, and customers, their job should be to reduce CO</w:t>
      </w:r>
      <w:r w:rsidRPr="001F20E9">
        <w:rPr>
          <w:sz w:val="20"/>
          <w:szCs w:val="20"/>
          <w:vertAlign w:val="subscript"/>
        </w:rPr>
        <w:t>2</w:t>
      </w:r>
      <w:r w:rsidRPr="001F20E9">
        <w:rPr>
          <w:sz w:val="20"/>
          <w:szCs w:val="20"/>
        </w:rPr>
        <w:t xml:space="preserve"> emissions. It is clear that the government will have the biggest role. Investments should be increased in sustainable energy fonts; carbon tax increases to deter emission-related activities; health benefits should be implemented by recommendations and initiatives to reduce the country's CO</w:t>
      </w:r>
      <w:r w:rsidRPr="001F20E9">
        <w:rPr>
          <w:sz w:val="20"/>
          <w:szCs w:val="20"/>
          <w:vertAlign w:val="subscript"/>
        </w:rPr>
        <w:t>2</w:t>
      </w:r>
      <w:r w:rsidRPr="001F20E9">
        <w:rPr>
          <w:sz w:val="20"/>
          <w:szCs w:val="20"/>
        </w:rPr>
        <w:t xml:space="preserve"> emissions; and common people's s awareness program</w:t>
      </w:r>
      <w:r w:rsidR="00143617">
        <w:rPr>
          <w:sz w:val="20"/>
          <w:szCs w:val="20"/>
        </w:rPr>
        <w:t>s to promote healthy practices.</w:t>
      </w:r>
    </w:p>
    <w:p w:rsidR="00F951C2" w:rsidRDefault="00F951C2" w:rsidP="001F20E9">
      <w:pPr>
        <w:suppressAutoHyphens w:val="0"/>
        <w:snapToGrid w:val="0"/>
        <w:jc w:val="both"/>
        <w:rPr>
          <w:b/>
          <w:sz w:val="20"/>
          <w:szCs w:val="20"/>
          <w:lang w:eastAsia="zh-CN"/>
        </w:rPr>
      </w:pPr>
    </w:p>
    <w:p w:rsidR="00596E8D" w:rsidRPr="001F20E9" w:rsidRDefault="00C67F37" w:rsidP="001F20E9">
      <w:pPr>
        <w:suppressAutoHyphens w:val="0"/>
        <w:snapToGrid w:val="0"/>
        <w:jc w:val="both"/>
        <w:rPr>
          <w:b/>
          <w:sz w:val="20"/>
          <w:szCs w:val="20"/>
        </w:rPr>
      </w:pPr>
      <w:r w:rsidRPr="001F20E9">
        <w:rPr>
          <w:b/>
          <w:sz w:val="20"/>
          <w:szCs w:val="20"/>
        </w:rPr>
        <w:t>R</w:t>
      </w:r>
      <w:r w:rsidR="00596E8D" w:rsidRPr="001F20E9">
        <w:rPr>
          <w:b/>
          <w:sz w:val="20"/>
          <w:szCs w:val="20"/>
        </w:rPr>
        <w:t>eferences</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Amiri, B. Ventelou. Granger causality between total expenditure on health and gdp in OECD: evidence from the Toda-Yamamoto approach, Economics Letters, Vol.116, 541-544, 2012.</w:t>
      </w:r>
    </w:p>
    <w:p w:rsidR="00F951C2" w:rsidRDefault="0011048E" w:rsidP="00F951C2">
      <w:pPr>
        <w:numPr>
          <w:ilvl w:val="0"/>
          <w:numId w:val="5"/>
        </w:numPr>
        <w:suppressAutoHyphens w:val="0"/>
        <w:snapToGrid w:val="0"/>
        <w:ind w:left="425" w:hanging="425"/>
        <w:jc w:val="both"/>
        <w:rPr>
          <w:sz w:val="20"/>
          <w:szCs w:val="20"/>
        </w:rPr>
      </w:pPr>
      <w:r w:rsidRPr="001F20E9">
        <w:rPr>
          <w:sz w:val="20"/>
          <w:szCs w:val="20"/>
        </w:rPr>
        <w:lastRenderedPageBreak/>
        <w:t>Apergis N, Gupta R, Lau CKM, Mukherjee Z (2018a) US state-level carbon dioxide emissions: does it affect health care expenditure? Renew Sust Energ Rev 91:521–53</w:t>
      </w:r>
      <w:r w:rsidR="00F951C2" w:rsidRPr="001F20E9">
        <w:rPr>
          <w:sz w:val="20"/>
          <w:szCs w:val="20"/>
        </w:rPr>
        <w:t>0</w:t>
      </w:r>
      <w:r w:rsidR="00F951C2">
        <w:rPr>
          <w:sz w:val="20"/>
          <w:szCs w:val="20"/>
        </w:rPr>
        <w:t>.</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 xml:space="preserve">Baltagi, B.H., Moscone, F., 2010. Health care expenditure and income in the OECD reconsidered: Evidence from panel data. Economic Modelling 27 (4), 804-811.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Bedir, S. (2016). Healthcare expenditure and economic growth in developing countries. Advances in Economics and Business, 4(2), 76-86. doi:10.13189/aeb.2016.040202</w:t>
      </w:r>
      <w:r w:rsidR="00C67F37" w:rsidRPr="001F20E9">
        <w:rPr>
          <w:sz w:val="20"/>
          <w:szCs w:val="20"/>
        </w:rPr>
        <w:t xml:space="preserve">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Blj</w:t>
      </w:r>
      <w:r w:rsidR="00F951C2" w:rsidRPr="001F20E9">
        <w:rPr>
          <w:sz w:val="20"/>
          <w:szCs w:val="20"/>
        </w:rPr>
        <w:t>l</w:t>
      </w:r>
      <w:r w:rsidR="00F951C2">
        <w:rPr>
          <w:sz w:val="20"/>
          <w:szCs w:val="20"/>
        </w:rPr>
        <w:t xml:space="preserve"> </w:t>
      </w:r>
      <w:r w:rsidR="00F951C2" w:rsidRPr="001F20E9">
        <w:rPr>
          <w:sz w:val="20"/>
          <w:szCs w:val="20"/>
        </w:rPr>
        <w:t>T</w:t>
      </w:r>
      <w:r w:rsidRPr="001F20E9">
        <w:rPr>
          <w:sz w:val="20"/>
          <w:szCs w:val="20"/>
        </w:rPr>
        <w:t xml:space="preserve">, B. O. R. A. (2007). Rolling back malaria and the WTO Doha Development Agenda. Trade and Health: Seeking Common Ground, 130. </w:t>
      </w:r>
    </w:p>
    <w:p w:rsidR="00F951C2" w:rsidRDefault="0011048E" w:rsidP="00F951C2">
      <w:pPr>
        <w:numPr>
          <w:ilvl w:val="0"/>
          <w:numId w:val="5"/>
        </w:numPr>
        <w:suppressAutoHyphens w:val="0"/>
        <w:snapToGrid w:val="0"/>
        <w:ind w:left="425" w:hanging="425"/>
        <w:jc w:val="both"/>
        <w:rPr>
          <w:sz w:val="20"/>
          <w:szCs w:val="20"/>
        </w:rPr>
      </w:pPr>
      <w:r w:rsidRPr="001F20E9">
        <w:rPr>
          <w:sz w:val="20"/>
          <w:szCs w:val="20"/>
        </w:rPr>
        <w:t>Chaabouni S, Saidi K (2017a) The dynamic links between carbon dioxide (CO2) emissions, health spending, and GDP growth: a case study for 51 countries. Environ Res 158:137–14</w:t>
      </w:r>
      <w:r w:rsidR="00F951C2" w:rsidRPr="001F20E9">
        <w:rPr>
          <w:sz w:val="20"/>
          <w:szCs w:val="20"/>
        </w:rPr>
        <w:t>4</w:t>
      </w:r>
      <w:r w:rsidR="00F951C2">
        <w:rPr>
          <w:sz w:val="20"/>
          <w:szCs w:val="20"/>
        </w:rPr>
        <w:t>.</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Chen, Y.; Wang, Z.; Zhong, Z. CO2 emissions, economic growth, renewable and non-renewable energy production, and foreign trade in China. Renew. Energy, 2019, 131, 208–216.</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 xml:space="preserve">Deaton, A. (2004). Health in an age of Globalization. Center for Health and Wellbeing, Princeton University.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 xml:space="preserve">E. Erdil, I. H. Yetkiner. A panel data approach for income-health causality, The Economics of Health Reforms (Eds. Yfantopoulos, J. N.), ISBN: 960-88672-0-7, Chapter 38, 701-724, 2009.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Z. M. Elmi, S. Sadeghi. Health care expenditures and economic growth in developing countries: panel co-integration and causality, Middle-East Journal of Scientific Research, Vol.12 (1), 88-91, 2012.</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Erçelik, G. (2018). The relationship between health expenditure and economic growth in Turkey from 1980 to 2015. Journal of Politics Economy and Management, 1(1), 1-8.</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Hassan, M. S.,</w:t>
      </w:r>
      <w:r w:rsidR="00C67F37" w:rsidRPr="001F20E9">
        <w:rPr>
          <w:sz w:val="20"/>
          <w:szCs w:val="20"/>
        </w:rPr>
        <w:t xml:space="preserve"> &amp; </w:t>
      </w:r>
      <w:r w:rsidRPr="001F20E9">
        <w:rPr>
          <w:sz w:val="20"/>
          <w:szCs w:val="20"/>
        </w:rPr>
        <w:t xml:space="preserve">Kalim, R. (2012). The triangular causality among education, health, and economic growth: A time series analysis of Pakistan. World Applied Sciences Journal, 18(2), 196–207. doi: 10.5829/idosi.wasj.2012.18.02.3332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Hitiris, T. (1997). Health care expenditure and integration in the countries of the European Union, Applied Economics, vol.29, pp, 1-6.</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Khoshnevis Yazdi, S.,</w:t>
      </w:r>
      <w:r w:rsidR="00C67F37" w:rsidRPr="001F20E9">
        <w:rPr>
          <w:sz w:val="20"/>
          <w:szCs w:val="20"/>
        </w:rPr>
        <w:t xml:space="preserve"> &amp; </w:t>
      </w:r>
      <w:r w:rsidRPr="001F20E9">
        <w:rPr>
          <w:sz w:val="20"/>
          <w:szCs w:val="20"/>
        </w:rPr>
        <w:t xml:space="preserve">Khanalizadeh, B. (2017). Air pollution, economic growth, and health care expenditure. Economic research-Ekonomska istraživanja, 30(1), 1181-1190.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Khan</w:t>
      </w:r>
      <w:r w:rsidR="00F951C2" w:rsidRPr="001F20E9">
        <w:rPr>
          <w:sz w:val="20"/>
          <w:szCs w:val="20"/>
        </w:rPr>
        <w:t>,</w:t>
      </w:r>
      <w:r w:rsidR="00F951C2">
        <w:rPr>
          <w:sz w:val="20"/>
          <w:szCs w:val="20"/>
        </w:rPr>
        <w:t xml:space="preserve"> </w:t>
      </w:r>
      <w:r w:rsidR="00F951C2" w:rsidRPr="001F20E9">
        <w:rPr>
          <w:sz w:val="20"/>
          <w:szCs w:val="20"/>
        </w:rPr>
        <w:t>H.</w:t>
      </w:r>
      <w:r w:rsidR="00F951C2">
        <w:rPr>
          <w:sz w:val="20"/>
          <w:szCs w:val="20"/>
        </w:rPr>
        <w:t xml:space="preserve"> </w:t>
      </w:r>
      <w:r w:rsidR="00F951C2" w:rsidRPr="001F20E9">
        <w:rPr>
          <w:sz w:val="20"/>
          <w:szCs w:val="20"/>
        </w:rPr>
        <w:t>N</w:t>
      </w:r>
      <w:r w:rsidRPr="001F20E9">
        <w:rPr>
          <w:sz w:val="20"/>
          <w:szCs w:val="20"/>
        </w:rPr>
        <w:t>., Khan</w:t>
      </w:r>
      <w:r w:rsidR="00F951C2" w:rsidRPr="001F20E9">
        <w:rPr>
          <w:sz w:val="20"/>
          <w:szCs w:val="20"/>
        </w:rPr>
        <w:t>,</w:t>
      </w:r>
      <w:r w:rsidR="00F951C2">
        <w:rPr>
          <w:sz w:val="20"/>
          <w:szCs w:val="20"/>
        </w:rPr>
        <w:t xml:space="preserve"> </w:t>
      </w:r>
      <w:r w:rsidR="00F951C2" w:rsidRPr="001F20E9">
        <w:rPr>
          <w:sz w:val="20"/>
          <w:szCs w:val="20"/>
        </w:rPr>
        <w:t>M.</w:t>
      </w:r>
      <w:r w:rsidR="00F951C2">
        <w:rPr>
          <w:sz w:val="20"/>
          <w:szCs w:val="20"/>
        </w:rPr>
        <w:t xml:space="preserve"> </w:t>
      </w:r>
      <w:r w:rsidR="00F951C2" w:rsidRPr="001F20E9">
        <w:rPr>
          <w:sz w:val="20"/>
          <w:szCs w:val="20"/>
        </w:rPr>
        <w:t>A</w:t>
      </w:r>
      <w:r w:rsidRPr="001F20E9">
        <w:rPr>
          <w:sz w:val="20"/>
          <w:szCs w:val="20"/>
        </w:rPr>
        <w:t>., Razli</w:t>
      </w:r>
      <w:r w:rsidR="00F951C2" w:rsidRPr="001F20E9">
        <w:rPr>
          <w:sz w:val="20"/>
          <w:szCs w:val="20"/>
        </w:rPr>
        <w:t>,</w:t>
      </w:r>
      <w:r w:rsidR="00F951C2">
        <w:rPr>
          <w:sz w:val="20"/>
          <w:szCs w:val="20"/>
        </w:rPr>
        <w:t xml:space="preserve"> </w:t>
      </w:r>
      <w:r w:rsidR="00F951C2" w:rsidRPr="001F20E9">
        <w:rPr>
          <w:sz w:val="20"/>
          <w:szCs w:val="20"/>
        </w:rPr>
        <w:t>R.</w:t>
      </w:r>
      <w:r w:rsidR="00F951C2">
        <w:rPr>
          <w:sz w:val="20"/>
          <w:szCs w:val="20"/>
        </w:rPr>
        <w:t xml:space="preserve"> </w:t>
      </w:r>
      <w:r w:rsidR="00F951C2" w:rsidRPr="001F20E9">
        <w:rPr>
          <w:sz w:val="20"/>
          <w:szCs w:val="20"/>
        </w:rPr>
        <w:t>B</w:t>
      </w:r>
      <w:r w:rsidRPr="001F20E9">
        <w:rPr>
          <w:sz w:val="20"/>
          <w:szCs w:val="20"/>
        </w:rPr>
        <w:t>., Sahfie</w:t>
      </w:r>
      <w:r w:rsidR="00F951C2" w:rsidRPr="001F20E9">
        <w:rPr>
          <w:sz w:val="20"/>
          <w:szCs w:val="20"/>
        </w:rPr>
        <w:t>,</w:t>
      </w:r>
      <w:r w:rsidR="00F951C2">
        <w:rPr>
          <w:sz w:val="20"/>
          <w:szCs w:val="20"/>
        </w:rPr>
        <w:t xml:space="preserve"> </w:t>
      </w:r>
      <w:r w:rsidR="00F951C2" w:rsidRPr="001F20E9">
        <w:rPr>
          <w:sz w:val="20"/>
          <w:szCs w:val="20"/>
        </w:rPr>
        <w:t>A.</w:t>
      </w:r>
      <w:r w:rsidR="00F951C2">
        <w:rPr>
          <w:sz w:val="20"/>
          <w:szCs w:val="20"/>
        </w:rPr>
        <w:t xml:space="preserve"> </w:t>
      </w:r>
      <w:r w:rsidR="00F951C2" w:rsidRPr="001F20E9">
        <w:rPr>
          <w:sz w:val="20"/>
          <w:szCs w:val="20"/>
        </w:rPr>
        <w:t>B</w:t>
      </w:r>
      <w:r w:rsidRPr="001F20E9">
        <w:rPr>
          <w:sz w:val="20"/>
          <w:szCs w:val="20"/>
        </w:rPr>
        <w:t>., Shehzada</w:t>
      </w:r>
      <w:r w:rsidR="00F951C2" w:rsidRPr="001F20E9">
        <w:rPr>
          <w:sz w:val="20"/>
          <w:szCs w:val="20"/>
        </w:rPr>
        <w:t>,</w:t>
      </w:r>
      <w:r w:rsidR="00F951C2">
        <w:rPr>
          <w:sz w:val="20"/>
          <w:szCs w:val="20"/>
        </w:rPr>
        <w:t xml:space="preserve"> </w:t>
      </w:r>
      <w:r w:rsidR="00F951C2" w:rsidRPr="001F20E9">
        <w:rPr>
          <w:sz w:val="20"/>
          <w:szCs w:val="20"/>
        </w:rPr>
        <w:t>G</w:t>
      </w:r>
      <w:r w:rsidRPr="001F20E9">
        <w:rPr>
          <w:sz w:val="20"/>
          <w:szCs w:val="20"/>
        </w:rPr>
        <w:t>., Krebs</w:t>
      </w:r>
      <w:r w:rsidR="00F951C2" w:rsidRPr="001F20E9">
        <w:rPr>
          <w:sz w:val="20"/>
          <w:szCs w:val="20"/>
        </w:rPr>
        <w:t>,</w:t>
      </w:r>
      <w:r w:rsidR="00F951C2">
        <w:rPr>
          <w:sz w:val="20"/>
          <w:szCs w:val="20"/>
        </w:rPr>
        <w:t xml:space="preserve"> </w:t>
      </w:r>
      <w:r w:rsidR="00F951C2" w:rsidRPr="001F20E9">
        <w:rPr>
          <w:sz w:val="20"/>
          <w:szCs w:val="20"/>
        </w:rPr>
        <w:t>K.</w:t>
      </w:r>
      <w:r w:rsidR="00F951C2">
        <w:rPr>
          <w:sz w:val="20"/>
          <w:szCs w:val="20"/>
        </w:rPr>
        <w:t xml:space="preserve"> </w:t>
      </w:r>
      <w:r w:rsidR="00F951C2" w:rsidRPr="001F20E9">
        <w:rPr>
          <w:sz w:val="20"/>
          <w:szCs w:val="20"/>
        </w:rPr>
        <w:t>L</w:t>
      </w:r>
      <w:r w:rsidRPr="001F20E9">
        <w:rPr>
          <w:sz w:val="20"/>
          <w:szCs w:val="20"/>
        </w:rPr>
        <w:t>., Sarvghad</w:t>
      </w:r>
      <w:r w:rsidR="00F951C2" w:rsidRPr="001F20E9">
        <w:rPr>
          <w:sz w:val="20"/>
          <w:szCs w:val="20"/>
        </w:rPr>
        <w:t>,</w:t>
      </w:r>
      <w:r w:rsidR="00F951C2">
        <w:rPr>
          <w:sz w:val="20"/>
          <w:szCs w:val="20"/>
        </w:rPr>
        <w:t xml:space="preserve"> </w:t>
      </w:r>
      <w:r w:rsidR="00F951C2" w:rsidRPr="001F20E9">
        <w:rPr>
          <w:sz w:val="20"/>
          <w:szCs w:val="20"/>
        </w:rPr>
        <w:t>N</w:t>
      </w:r>
      <w:r w:rsidRPr="001F20E9">
        <w:rPr>
          <w:sz w:val="20"/>
          <w:szCs w:val="20"/>
        </w:rPr>
        <w:t xml:space="preserve">. (2016). Health Care Expenditure and Economic </w:t>
      </w:r>
      <w:r w:rsidRPr="001F20E9">
        <w:rPr>
          <w:sz w:val="20"/>
          <w:szCs w:val="20"/>
        </w:rPr>
        <w:lastRenderedPageBreak/>
        <w:t>Growth in SAARC Countries (1995–2012): A Panel Causality Analysis, Applied Research Quality Life, vol.11, pp, 639-661.</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Lobstein, T. (2010). Tackling childhood obesity in an era of trade liberalisation. Trade, food, diet, and health: Perspectives and policy options, 195-218.</w:t>
      </w:r>
    </w:p>
    <w:p w:rsidR="00F951C2" w:rsidRDefault="0011048E" w:rsidP="00F951C2">
      <w:pPr>
        <w:numPr>
          <w:ilvl w:val="0"/>
          <w:numId w:val="5"/>
        </w:numPr>
        <w:suppressAutoHyphens w:val="0"/>
        <w:snapToGrid w:val="0"/>
        <w:ind w:left="425" w:hanging="425"/>
        <w:jc w:val="both"/>
        <w:rPr>
          <w:sz w:val="20"/>
          <w:szCs w:val="20"/>
        </w:rPr>
      </w:pPr>
      <w:r w:rsidRPr="001F20E9">
        <w:rPr>
          <w:sz w:val="20"/>
          <w:szCs w:val="20"/>
        </w:rPr>
        <w:t>Lu Z-N, Chen H, Hao Y, Wang J, Song X, Mok TM (2017) The dynamic relationship between environmental pollution, economic development, and public health: evidence from China. J Clean Prod 166: 134–14</w:t>
      </w:r>
      <w:r w:rsidR="00F951C2" w:rsidRPr="001F20E9">
        <w:rPr>
          <w:sz w:val="20"/>
          <w:szCs w:val="20"/>
        </w:rPr>
        <w:t>7</w:t>
      </w:r>
      <w:r w:rsidR="00F951C2">
        <w:rPr>
          <w:sz w:val="20"/>
          <w:szCs w:val="20"/>
        </w:rPr>
        <w:t>.</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Maryam, A., and Hassan, M. S. (2013). Human Capital: Is it Beneficial for Trade Openness in Pakistan? Middle-East Journal of Scientific Research, 17(7), 965–975.</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D. Mayer. The long-term impact of health on economic growth in Latin America, World Development, Vol. 29, No. 6, 1025-1033, 2001.</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Novignon, J., Atakorah, Y. B.</w:t>
      </w:r>
      <w:r w:rsidR="00C67F37" w:rsidRPr="001F20E9">
        <w:rPr>
          <w:sz w:val="20"/>
          <w:szCs w:val="20"/>
        </w:rPr>
        <w:t xml:space="preserve"> &amp; </w:t>
      </w:r>
      <w:r w:rsidRPr="001F20E9">
        <w:rPr>
          <w:sz w:val="20"/>
          <w:szCs w:val="20"/>
        </w:rPr>
        <w:t xml:space="preserve">Djossou, G. N. (2018). How Does the Health Sector Benefit from Trade Openness? Evidence from Sub‐Saharan Africa. African Development Review, 30(2), 135-148.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Ostro, B. D.,</w:t>
      </w:r>
      <w:r w:rsidR="00C67F37" w:rsidRPr="001F20E9">
        <w:rPr>
          <w:sz w:val="20"/>
          <w:szCs w:val="20"/>
        </w:rPr>
        <w:t xml:space="preserve"> &amp; </w:t>
      </w:r>
      <w:r w:rsidRPr="001F20E9">
        <w:rPr>
          <w:sz w:val="20"/>
          <w:szCs w:val="20"/>
        </w:rPr>
        <w:t>Rothschild, S. (1989). Air pollution and acute respiratory morbidity: an observational study of multiple pollutants. Environmental Research, 50(2), 238-247.</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Owen, A. L., and Wu, S. (2002). Is Trade Good for your Health? Review of International Economics, 15(4), 660-682.</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Pachanee, C.,</w:t>
      </w:r>
      <w:r w:rsidR="00C67F37" w:rsidRPr="001F20E9">
        <w:rPr>
          <w:sz w:val="20"/>
          <w:szCs w:val="20"/>
        </w:rPr>
        <w:t xml:space="preserve"> &amp; </w:t>
      </w:r>
      <w:r w:rsidRPr="001F20E9">
        <w:rPr>
          <w:sz w:val="20"/>
          <w:szCs w:val="20"/>
        </w:rPr>
        <w:t xml:space="preserve">Wibulpolprasert, S. U. W. I. T. (2007). Trade-in health services in the ASEAN context. In Trade and health: seeking common ground (pp. 151-166). McGill University Press, Montreal, Canada.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 xml:space="preserve">Razmi, M. J. (2012). Reviewing the effect of Trade Openness on Human Development. Interdisciplinary Journal of Contemporary Research in Business, 4(6), 970–978. </w:t>
      </w:r>
    </w:p>
    <w:p w:rsidR="00F951C2" w:rsidRDefault="0011048E" w:rsidP="00F951C2">
      <w:pPr>
        <w:numPr>
          <w:ilvl w:val="0"/>
          <w:numId w:val="5"/>
        </w:numPr>
        <w:suppressAutoHyphens w:val="0"/>
        <w:snapToGrid w:val="0"/>
        <w:ind w:left="425" w:hanging="425"/>
        <w:jc w:val="both"/>
        <w:rPr>
          <w:sz w:val="20"/>
          <w:szCs w:val="20"/>
        </w:rPr>
      </w:pPr>
      <w:r w:rsidRPr="001F20E9">
        <w:rPr>
          <w:sz w:val="20"/>
          <w:szCs w:val="20"/>
        </w:rPr>
        <w:t>Saida Z, Kais S (2018) Environmental pollution, health expenditure, and economic growth and in the sub-Saharan Africa countries: panel ARDL approach. Sustainable Cities So</w:t>
      </w:r>
      <w:r w:rsidR="00F951C2" w:rsidRPr="001F20E9">
        <w:rPr>
          <w:sz w:val="20"/>
          <w:szCs w:val="20"/>
        </w:rPr>
        <w:t>c</w:t>
      </w:r>
      <w:r w:rsidR="00F951C2">
        <w:rPr>
          <w:sz w:val="20"/>
          <w:szCs w:val="20"/>
        </w:rPr>
        <w:t>.</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Schwartz, J.; Dockery, D</w:t>
      </w:r>
      <w:r w:rsidR="00F951C2" w:rsidRPr="001F20E9">
        <w:rPr>
          <w:sz w:val="20"/>
          <w:szCs w:val="20"/>
        </w:rPr>
        <w:t>.</w:t>
      </w:r>
      <w:r w:rsidR="00F951C2">
        <w:rPr>
          <w:sz w:val="20"/>
          <w:szCs w:val="20"/>
        </w:rPr>
        <w:t xml:space="preserve"> </w:t>
      </w:r>
      <w:r w:rsidR="00F951C2" w:rsidRPr="001F20E9">
        <w:rPr>
          <w:sz w:val="20"/>
          <w:szCs w:val="20"/>
        </w:rPr>
        <w:t>W</w:t>
      </w:r>
      <w:r w:rsidRPr="001F20E9">
        <w:rPr>
          <w:sz w:val="20"/>
          <w:szCs w:val="20"/>
        </w:rPr>
        <w:t>. Increased Mortality in Philadelphia Associated with Daily Air Pollution Concentrations. Am. Rev. Respir. Dis. 1992, 145, 600–604.</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Smith, R., Blouin, C., Mirza, Z., Drager, N., Beyer, P.,</w:t>
      </w:r>
      <w:r w:rsidR="00C67F37" w:rsidRPr="001F20E9">
        <w:rPr>
          <w:sz w:val="20"/>
          <w:szCs w:val="20"/>
        </w:rPr>
        <w:t xml:space="preserve"> &amp; </w:t>
      </w:r>
      <w:r w:rsidRPr="001F20E9">
        <w:rPr>
          <w:sz w:val="20"/>
          <w:szCs w:val="20"/>
        </w:rPr>
        <w:t xml:space="preserve">World Health Organization. (2015). Trade and health: building a national strategy. World Health Organization.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Smith, R. D., Chanda, R.,</w:t>
      </w:r>
      <w:r w:rsidR="00C67F37" w:rsidRPr="001F20E9">
        <w:rPr>
          <w:sz w:val="20"/>
          <w:szCs w:val="20"/>
        </w:rPr>
        <w:t xml:space="preserve"> &amp; </w:t>
      </w:r>
      <w:r w:rsidRPr="001F20E9">
        <w:rPr>
          <w:sz w:val="20"/>
          <w:szCs w:val="20"/>
        </w:rPr>
        <w:t xml:space="preserve">Tangcharoensathien, V. (2009). Trade-in health-related services. The Lancet, 373(9663), 593-601.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lastRenderedPageBreak/>
        <w:t>K. M. Wang. Health care expenditure and economic growth: quantile panel-type analysis, Economic Modelling, Vol. 28, 1536-1549, 2011.</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Vollmer, S., Harttgen, K., Subramanyam, M. A., Finlay, J., Klasen, S.,</w:t>
      </w:r>
      <w:r w:rsidR="00C67F37" w:rsidRPr="001F20E9">
        <w:rPr>
          <w:sz w:val="20"/>
          <w:szCs w:val="20"/>
        </w:rPr>
        <w:t xml:space="preserve"> &amp; </w:t>
      </w:r>
      <w:r w:rsidRPr="001F20E9">
        <w:rPr>
          <w:sz w:val="20"/>
          <w:szCs w:val="20"/>
        </w:rPr>
        <w:t xml:space="preserve">Subramanian, S. V. (2014). Association between economic growth and early childhood undernutrition: evidence from 121 Demographic and Health Surveys from 36 low-income and middle-income countries. The lancet global health, 2(4), e225-e234.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 xml:space="preserve">WHO. (2013). World health statistics. Geneva, World Health Organisation. </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lastRenderedPageBreak/>
        <w:t>Yaqoob, T., Bibi, R.,</w:t>
      </w:r>
      <w:r w:rsidR="00C67F37" w:rsidRPr="001F20E9">
        <w:rPr>
          <w:sz w:val="20"/>
          <w:szCs w:val="20"/>
        </w:rPr>
        <w:t xml:space="preserve"> &amp; </w:t>
      </w:r>
      <w:r w:rsidRPr="001F20E9">
        <w:rPr>
          <w:sz w:val="20"/>
          <w:szCs w:val="20"/>
        </w:rPr>
        <w:t>Siddiqui, J. S. (2018). Effects of economic and population factors on health expenditures: a special case of Pakistan. Pakistan Journal of Engineering, Technology</w:t>
      </w:r>
      <w:r w:rsidR="00C67F37" w:rsidRPr="001F20E9">
        <w:rPr>
          <w:sz w:val="20"/>
          <w:szCs w:val="20"/>
        </w:rPr>
        <w:t xml:space="preserve"> &amp; </w:t>
      </w:r>
      <w:r w:rsidRPr="001F20E9">
        <w:rPr>
          <w:sz w:val="20"/>
          <w:szCs w:val="20"/>
        </w:rPr>
        <w:t>Science, 6(2).</w:t>
      </w:r>
    </w:p>
    <w:p w:rsidR="001F20E9" w:rsidRPr="001F20E9" w:rsidRDefault="0011048E" w:rsidP="00F951C2">
      <w:pPr>
        <w:numPr>
          <w:ilvl w:val="0"/>
          <w:numId w:val="5"/>
        </w:numPr>
        <w:suppressAutoHyphens w:val="0"/>
        <w:snapToGrid w:val="0"/>
        <w:ind w:left="425" w:hanging="425"/>
        <w:jc w:val="both"/>
        <w:rPr>
          <w:sz w:val="20"/>
          <w:szCs w:val="20"/>
        </w:rPr>
      </w:pPr>
      <w:r w:rsidRPr="001F20E9">
        <w:rPr>
          <w:sz w:val="20"/>
          <w:szCs w:val="20"/>
        </w:rPr>
        <w:t xml:space="preserve">Yazdi SK, Zahra T, Nikos M (2014) Public healthcare expenditure and environmental quality in Iran, Recent Advances in Applied Economics. Available from: </w:t>
      </w:r>
      <w:hyperlink r:id="rId17" w:history="1">
        <w:r w:rsidRPr="001F20E9">
          <w:rPr>
            <w:rStyle w:val="Hyperlink"/>
            <w:sz w:val="20"/>
            <w:szCs w:val="20"/>
          </w:rPr>
          <w:t>http://www.wseas.us/e-library/</w:t>
        </w:r>
      </w:hyperlink>
      <w:r w:rsidR="00C67F37" w:rsidRPr="001F20E9">
        <w:rPr>
          <w:sz w:val="20"/>
          <w:szCs w:val="20"/>
        </w:rPr>
        <w:t xml:space="preserve"> </w:t>
      </w:r>
      <w:r w:rsidRPr="001F20E9">
        <w:rPr>
          <w:sz w:val="20"/>
          <w:szCs w:val="20"/>
        </w:rPr>
        <w:t>conferences/2014/Lisbon/AEBD/AEBD-17.pdf. [Last retrieved on 2018 Jan 12]</w:t>
      </w:r>
      <w:r w:rsidR="00C67F37" w:rsidRPr="001F20E9">
        <w:rPr>
          <w:sz w:val="20"/>
          <w:szCs w:val="20"/>
        </w:rPr>
        <w:t xml:space="preserve"> </w:t>
      </w:r>
    </w:p>
    <w:p w:rsidR="001F20E9" w:rsidRPr="001F20E9" w:rsidRDefault="001F20E9" w:rsidP="00F951C2">
      <w:pPr>
        <w:suppressAutoHyphens w:val="0"/>
        <w:snapToGrid w:val="0"/>
        <w:ind w:left="425" w:hanging="425"/>
        <w:jc w:val="both"/>
        <w:rPr>
          <w:sz w:val="20"/>
          <w:szCs w:val="20"/>
        </w:rPr>
        <w:sectPr w:rsidR="001F20E9" w:rsidRPr="001F20E9" w:rsidSect="001F20E9">
          <w:footnotePr>
            <w:pos w:val="beneathText"/>
          </w:footnotePr>
          <w:type w:val="continuous"/>
          <w:pgSz w:w="12240" w:h="15840" w:code="1"/>
          <w:pgMar w:top="1440" w:right="1440" w:bottom="1440" w:left="1440" w:header="720" w:footer="720" w:gutter="0"/>
          <w:cols w:num="2" w:space="600"/>
          <w:docGrid w:linePitch="360"/>
        </w:sectPr>
      </w:pPr>
    </w:p>
    <w:p w:rsidR="00C67F37" w:rsidRPr="001F20E9" w:rsidRDefault="00C67F37" w:rsidP="00F951C2">
      <w:pPr>
        <w:suppressAutoHyphens w:val="0"/>
        <w:snapToGrid w:val="0"/>
        <w:ind w:left="425" w:hanging="425"/>
        <w:jc w:val="both"/>
        <w:rPr>
          <w:sz w:val="20"/>
          <w:szCs w:val="20"/>
          <w:lang w:eastAsia="zh-CN"/>
        </w:rPr>
      </w:pPr>
    </w:p>
    <w:p w:rsidR="001F20E9" w:rsidRPr="001F20E9" w:rsidRDefault="001F20E9" w:rsidP="00F951C2">
      <w:pPr>
        <w:suppressAutoHyphens w:val="0"/>
        <w:snapToGrid w:val="0"/>
        <w:ind w:left="425" w:hanging="425"/>
        <w:jc w:val="both"/>
        <w:rPr>
          <w:sz w:val="20"/>
          <w:szCs w:val="20"/>
          <w:lang w:eastAsia="zh-CN"/>
        </w:rPr>
      </w:pPr>
    </w:p>
    <w:p w:rsidR="001F20E9" w:rsidRPr="001F20E9" w:rsidRDefault="001F20E9" w:rsidP="001F20E9">
      <w:pPr>
        <w:suppressAutoHyphens w:val="0"/>
        <w:snapToGrid w:val="0"/>
        <w:ind w:left="425" w:hanging="425"/>
        <w:jc w:val="both"/>
        <w:rPr>
          <w:sz w:val="20"/>
          <w:szCs w:val="20"/>
          <w:lang w:eastAsia="zh-CN"/>
        </w:rPr>
      </w:pPr>
    </w:p>
    <w:p w:rsidR="00471E57" w:rsidRPr="001F20E9" w:rsidRDefault="00C67F37" w:rsidP="001F20E9">
      <w:pPr>
        <w:suppressAutoHyphens w:val="0"/>
        <w:snapToGrid w:val="0"/>
        <w:ind w:left="425" w:hanging="425"/>
        <w:jc w:val="both"/>
        <w:rPr>
          <w:sz w:val="20"/>
          <w:szCs w:val="20"/>
        </w:rPr>
      </w:pPr>
      <w:r w:rsidRPr="001F20E9">
        <w:rPr>
          <w:sz w:val="20"/>
          <w:szCs w:val="20"/>
        </w:rPr>
        <w:t>1/14/2020</w:t>
      </w:r>
    </w:p>
    <w:sectPr w:rsidR="00471E57" w:rsidRPr="001F20E9" w:rsidSect="00C67F3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000" w:rsidRDefault="00AD3000">
      <w:r>
        <w:separator/>
      </w:r>
    </w:p>
  </w:endnote>
  <w:endnote w:type="continuationSeparator" w:id="0">
    <w:p w:rsidR="00AD3000" w:rsidRDefault="00AD3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0E" w:rsidRDefault="0076220B" w:rsidP="00B3167C">
    <w:pPr>
      <w:pStyle w:val="Footer"/>
      <w:framePr w:wrap="around" w:vAnchor="text" w:hAnchor="margin" w:xAlign="center" w:y="1"/>
      <w:rPr>
        <w:rStyle w:val="PageNumber"/>
      </w:rPr>
    </w:pPr>
    <w:r>
      <w:rPr>
        <w:rStyle w:val="PageNumber"/>
      </w:rPr>
      <w:fldChar w:fldCharType="begin"/>
    </w:r>
    <w:r w:rsidR="0031460E">
      <w:rPr>
        <w:rStyle w:val="PageNumber"/>
      </w:rPr>
      <w:instrText xml:space="preserve">PAGE  </w:instrText>
    </w:r>
    <w:r>
      <w:rPr>
        <w:rStyle w:val="PageNumber"/>
      </w:rPr>
      <w:fldChar w:fldCharType="end"/>
    </w:r>
  </w:p>
  <w:p w:rsidR="0031460E" w:rsidRDefault="003146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E9" w:rsidRPr="003C34C7" w:rsidRDefault="0076220B" w:rsidP="003C34C7">
    <w:pPr>
      <w:jc w:val="center"/>
      <w:rPr>
        <w:sz w:val="20"/>
      </w:rPr>
    </w:pPr>
    <w:r w:rsidRPr="003C34C7">
      <w:rPr>
        <w:sz w:val="20"/>
      </w:rPr>
      <w:fldChar w:fldCharType="begin"/>
    </w:r>
    <w:r w:rsidR="003C34C7" w:rsidRPr="003C34C7">
      <w:rPr>
        <w:sz w:val="20"/>
      </w:rPr>
      <w:instrText xml:space="preserve"> page </w:instrText>
    </w:r>
    <w:r w:rsidRPr="003C34C7">
      <w:rPr>
        <w:sz w:val="20"/>
      </w:rPr>
      <w:fldChar w:fldCharType="separate"/>
    </w:r>
    <w:r w:rsidR="00143617">
      <w:rPr>
        <w:noProof/>
        <w:sz w:val="20"/>
      </w:rPr>
      <w:t>100</w:t>
    </w:r>
    <w:r w:rsidRPr="003C34C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000" w:rsidRDefault="00AD3000">
      <w:r>
        <w:separator/>
      </w:r>
    </w:p>
  </w:footnote>
  <w:footnote w:type="continuationSeparator" w:id="0">
    <w:p w:rsidR="00AD3000" w:rsidRDefault="00AD3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C7" w:rsidRPr="00085F90" w:rsidRDefault="00085F90" w:rsidP="00085F90">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90" w:rsidRPr="003C34C7" w:rsidRDefault="00085F90" w:rsidP="003C34C7">
    <w:pPr>
      <w:pBdr>
        <w:bottom w:val="thinThickMediumGap" w:sz="12" w:space="1" w:color="auto"/>
      </w:pBdr>
      <w:tabs>
        <w:tab w:val="left" w:pos="851"/>
        <w:tab w:val="right" w:pos="8364"/>
      </w:tabs>
      <w:adjustRightInd w:val="0"/>
      <w:snapToGrid w:val="0"/>
      <w:jc w:val="both"/>
      <w:rPr>
        <w:iCs/>
        <w:sz w:val="20"/>
        <w:szCs w:val="20"/>
      </w:rPr>
    </w:pPr>
    <w:r w:rsidRPr="003C34C7">
      <w:rPr>
        <w:rFonts w:hint="eastAsia"/>
        <w:sz w:val="20"/>
        <w:szCs w:val="20"/>
      </w:rPr>
      <w:tab/>
    </w:r>
    <w:r w:rsidRPr="003C34C7">
      <w:rPr>
        <w:sz w:val="20"/>
        <w:szCs w:val="20"/>
      </w:rPr>
      <w:t>New York Science Journal 20</w:t>
    </w:r>
    <w:r w:rsidRPr="003C34C7">
      <w:rPr>
        <w:rFonts w:hint="eastAsia"/>
        <w:sz w:val="20"/>
        <w:szCs w:val="20"/>
      </w:rPr>
      <w:t>20</w:t>
    </w:r>
    <w:r w:rsidRPr="003C34C7">
      <w:rPr>
        <w:sz w:val="20"/>
        <w:szCs w:val="20"/>
      </w:rPr>
      <w:t>;</w:t>
    </w:r>
    <w:r w:rsidRPr="003C34C7">
      <w:rPr>
        <w:rFonts w:hint="eastAsia"/>
        <w:sz w:val="20"/>
        <w:szCs w:val="20"/>
      </w:rPr>
      <w:t>13</w:t>
    </w:r>
    <w:r w:rsidRPr="003C34C7">
      <w:rPr>
        <w:sz w:val="20"/>
        <w:szCs w:val="20"/>
      </w:rPr>
      <w:t>(</w:t>
    </w:r>
    <w:r w:rsidRPr="003C34C7">
      <w:rPr>
        <w:rFonts w:hint="eastAsia"/>
        <w:sz w:val="20"/>
        <w:szCs w:val="20"/>
      </w:rPr>
      <w:t>1</w:t>
    </w:r>
    <w:r w:rsidRPr="003C34C7">
      <w:rPr>
        <w:sz w:val="20"/>
        <w:szCs w:val="20"/>
      </w:rPr>
      <w:t>)</w:t>
    </w:r>
    <w:r w:rsidRPr="003C34C7">
      <w:rPr>
        <w:iCs/>
        <w:sz w:val="20"/>
        <w:szCs w:val="20"/>
      </w:rPr>
      <w:t xml:space="preserve"> </w:t>
    </w:r>
    <w:r w:rsidRPr="003C34C7">
      <w:rPr>
        <w:rFonts w:hint="eastAsia"/>
        <w:iCs/>
        <w:sz w:val="20"/>
        <w:szCs w:val="20"/>
      </w:rPr>
      <w:tab/>
    </w:r>
    <w:r w:rsidRPr="003C34C7">
      <w:rPr>
        <w:iCs/>
        <w:sz w:val="20"/>
        <w:szCs w:val="20"/>
      </w:rPr>
      <w:t xml:space="preserve">  </w:t>
    </w:r>
    <w:hyperlink r:id="rId1" w:history="1">
      <w:r w:rsidRPr="003C34C7">
        <w:rPr>
          <w:rStyle w:val="Hyperlink"/>
          <w:sz w:val="20"/>
          <w:szCs w:val="20"/>
        </w:rPr>
        <w:t>http://www.sciencepub.net/newyork</w:t>
      </w:r>
    </w:hyperlink>
    <w:r w:rsidRPr="003C34C7">
      <w:rPr>
        <w:rFonts w:hint="eastAsia"/>
        <w:sz w:val="20"/>
      </w:rPr>
      <w:t xml:space="preserve">   </w:t>
    </w:r>
    <w:r w:rsidRPr="003C34C7">
      <w:rPr>
        <w:rFonts w:hint="eastAsia"/>
        <w:b/>
        <w:i/>
        <w:color w:val="FF0000"/>
        <w:sz w:val="20"/>
        <w:szCs w:val="20"/>
        <w:bdr w:val="single" w:sz="4" w:space="0" w:color="FF0000"/>
      </w:rPr>
      <w:t>NYJ</w:t>
    </w:r>
  </w:p>
  <w:p w:rsidR="00085F90" w:rsidRPr="003C34C7" w:rsidRDefault="00085F90" w:rsidP="003C34C7">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C6C4551"/>
    <w:multiLevelType w:val="hybridMultilevel"/>
    <w:tmpl w:val="F058FB62"/>
    <w:lvl w:ilvl="0" w:tplc="0409000F">
      <w:start w:val="1"/>
      <w:numFmt w:val="decimal"/>
      <w:lvlText w:val="%1."/>
      <w:lvlJc w:val="left"/>
      <w:pPr>
        <w:ind w:left="720" w:hanging="360"/>
      </w:pPr>
    </w:lvl>
    <w:lvl w:ilvl="1" w:tplc="725473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450E85"/>
    <w:multiLevelType w:val="hybridMultilevel"/>
    <w:tmpl w:val="AD2A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D43407"/>
    <w:multiLevelType w:val="hybridMultilevel"/>
    <w:tmpl w:val="7E086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3656"/>
    <w:rsid w:val="00005C8E"/>
    <w:rsid w:val="00006093"/>
    <w:rsid w:val="000075A2"/>
    <w:rsid w:val="00012408"/>
    <w:rsid w:val="000477F5"/>
    <w:rsid w:val="0006091F"/>
    <w:rsid w:val="00080CE9"/>
    <w:rsid w:val="000827B7"/>
    <w:rsid w:val="000844D7"/>
    <w:rsid w:val="00085F90"/>
    <w:rsid w:val="00086790"/>
    <w:rsid w:val="00090A06"/>
    <w:rsid w:val="000A0250"/>
    <w:rsid w:val="000A131A"/>
    <w:rsid w:val="000A3F90"/>
    <w:rsid w:val="0011048E"/>
    <w:rsid w:val="00143617"/>
    <w:rsid w:val="001817C7"/>
    <w:rsid w:val="00183764"/>
    <w:rsid w:val="0019221F"/>
    <w:rsid w:val="001964D0"/>
    <w:rsid w:val="001A0CD7"/>
    <w:rsid w:val="001B41B8"/>
    <w:rsid w:val="001B650D"/>
    <w:rsid w:val="001C3D42"/>
    <w:rsid w:val="001E0146"/>
    <w:rsid w:val="001F20E9"/>
    <w:rsid w:val="00205E97"/>
    <w:rsid w:val="00245C21"/>
    <w:rsid w:val="002721F1"/>
    <w:rsid w:val="00282FA1"/>
    <w:rsid w:val="0028395D"/>
    <w:rsid w:val="00293579"/>
    <w:rsid w:val="002B5613"/>
    <w:rsid w:val="002D3558"/>
    <w:rsid w:val="002D589A"/>
    <w:rsid w:val="002F20CD"/>
    <w:rsid w:val="002F49EF"/>
    <w:rsid w:val="00301F95"/>
    <w:rsid w:val="0031460E"/>
    <w:rsid w:val="00314F95"/>
    <w:rsid w:val="00322FAB"/>
    <w:rsid w:val="003246A8"/>
    <w:rsid w:val="00345581"/>
    <w:rsid w:val="0034702D"/>
    <w:rsid w:val="0035001E"/>
    <w:rsid w:val="00363EB1"/>
    <w:rsid w:val="003679A0"/>
    <w:rsid w:val="003908A4"/>
    <w:rsid w:val="00394B65"/>
    <w:rsid w:val="003A785E"/>
    <w:rsid w:val="003B55FF"/>
    <w:rsid w:val="003B651F"/>
    <w:rsid w:val="003C0116"/>
    <w:rsid w:val="003C34C7"/>
    <w:rsid w:val="003C4C28"/>
    <w:rsid w:val="0043645D"/>
    <w:rsid w:val="00454A59"/>
    <w:rsid w:val="00456753"/>
    <w:rsid w:val="00460430"/>
    <w:rsid w:val="00471E57"/>
    <w:rsid w:val="004776A9"/>
    <w:rsid w:val="00480715"/>
    <w:rsid w:val="0049143E"/>
    <w:rsid w:val="004B7093"/>
    <w:rsid w:val="004C7E2A"/>
    <w:rsid w:val="004D01D3"/>
    <w:rsid w:val="004D0467"/>
    <w:rsid w:val="004F23A3"/>
    <w:rsid w:val="004F4AFB"/>
    <w:rsid w:val="00510A12"/>
    <w:rsid w:val="00520D1A"/>
    <w:rsid w:val="0052512B"/>
    <w:rsid w:val="00553F9B"/>
    <w:rsid w:val="005660A1"/>
    <w:rsid w:val="00593132"/>
    <w:rsid w:val="00596E8D"/>
    <w:rsid w:val="005A21B0"/>
    <w:rsid w:val="005A5E42"/>
    <w:rsid w:val="005C2F35"/>
    <w:rsid w:val="005D1DA6"/>
    <w:rsid w:val="005F5E04"/>
    <w:rsid w:val="00601EC7"/>
    <w:rsid w:val="0065209A"/>
    <w:rsid w:val="00657995"/>
    <w:rsid w:val="006B5399"/>
    <w:rsid w:val="006D5C2E"/>
    <w:rsid w:val="006E6ACB"/>
    <w:rsid w:val="006E7156"/>
    <w:rsid w:val="006F1706"/>
    <w:rsid w:val="00744442"/>
    <w:rsid w:val="0076220B"/>
    <w:rsid w:val="007725E7"/>
    <w:rsid w:val="007757D8"/>
    <w:rsid w:val="00776658"/>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35CF7"/>
    <w:rsid w:val="0094140D"/>
    <w:rsid w:val="009459B3"/>
    <w:rsid w:val="00952EB8"/>
    <w:rsid w:val="00987FF3"/>
    <w:rsid w:val="00997A8E"/>
    <w:rsid w:val="009A3681"/>
    <w:rsid w:val="00A1557F"/>
    <w:rsid w:val="00A25754"/>
    <w:rsid w:val="00A3476D"/>
    <w:rsid w:val="00AD3000"/>
    <w:rsid w:val="00B3167C"/>
    <w:rsid w:val="00B36B45"/>
    <w:rsid w:val="00B60543"/>
    <w:rsid w:val="00B60E8D"/>
    <w:rsid w:val="00B80C0E"/>
    <w:rsid w:val="00B918AE"/>
    <w:rsid w:val="00B94E19"/>
    <w:rsid w:val="00BA4DAA"/>
    <w:rsid w:val="00BD2A8D"/>
    <w:rsid w:val="00BD4FCC"/>
    <w:rsid w:val="00BF58BA"/>
    <w:rsid w:val="00BF6579"/>
    <w:rsid w:val="00C0761F"/>
    <w:rsid w:val="00C101C9"/>
    <w:rsid w:val="00C44596"/>
    <w:rsid w:val="00C60D61"/>
    <w:rsid w:val="00C67F37"/>
    <w:rsid w:val="00C92003"/>
    <w:rsid w:val="00CC4387"/>
    <w:rsid w:val="00CC7C6D"/>
    <w:rsid w:val="00CE7B2F"/>
    <w:rsid w:val="00CF24FB"/>
    <w:rsid w:val="00CF6616"/>
    <w:rsid w:val="00D04C27"/>
    <w:rsid w:val="00D13147"/>
    <w:rsid w:val="00D26F2E"/>
    <w:rsid w:val="00D3777A"/>
    <w:rsid w:val="00D56002"/>
    <w:rsid w:val="00D778C9"/>
    <w:rsid w:val="00DF6507"/>
    <w:rsid w:val="00DF7353"/>
    <w:rsid w:val="00E015B9"/>
    <w:rsid w:val="00E13E2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73499"/>
    <w:rsid w:val="00F83A62"/>
    <w:rsid w:val="00F951C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styleId="TableGrid">
    <w:name w:val="Table Grid"/>
    <w:basedOn w:val="TableNormal"/>
    <w:uiPriority w:val="39"/>
    <w:rsid w:val="00776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6E8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67F37"/>
    <w:rPr>
      <w:sz w:val="18"/>
      <w:szCs w:val="18"/>
    </w:rPr>
  </w:style>
  <w:style w:type="character" w:customStyle="1" w:styleId="BalloonTextChar">
    <w:name w:val="Balloon Text Char"/>
    <w:basedOn w:val="DefaultParagraphFont"/>
    <w:link w:val="BalloonText"/>
    <w:uiPriority w:val="99"/>
    <w:semiHidden/>
    <w:rsid w:val="00C67F37"/>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seas.us/e-library/" TargetMode="Externa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x.doi.org/10.7537/marsnys130120.13"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FEB0-20F1-4F26-9F4E-8FECEE8A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4769</Words>
  <Characters>27186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31892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2020-01-16T09:16:00Z</dcterms:created>
  <dcterms:modified xsi:type="dcterms:W3CDTF">2020-01-17T05:42:00Z</dcterms:modified>
</cp:coreProperties>
</file>