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D4" w:rsidRPr="00924D60" w:rsidRDefault="00640CA6" w:rsidP="00306F41">
      <w:pPr>
        <w:bidi w:val="0"/>
        <w:snapToGrid w:val="0"/>
        <w:spacing w:after="0" w:line="240" w:lineRule="auto"/>
        <w:jc w:val="center"/>
        <w:rPr>
          <w:rFonts w:ascii="Times New Roman" w:eastAsia="Times New Roman" w:hAnsi="Times New Roman" w:cs="Times New Roman"/>
          <w:b/>
          <w:bCs/>
          <w:sz w:val="20"/>
          <w:szCs w:val="20"/>
        </w:rPr>
      </w:pPr>
      <w:r w:rsidRPr="00924D60">
        <w:rPr>
          <w:rFonts w:ascii="Times New Roman" w:eastAsia="Times New Roman" w:hAnsi="Times New Roman" w:cs="Times New Roman"/>
          <w:b/>
          <w:bCs/>
          <w:sz w:val="20"/>
          <w:szCs w:val="20"/>
        </w:rPr>
        <w:t>Role of Trace Elements in</w:t>
      </w:r>
      <w:r w:rsidR="00AB1CF5" w:rsidRPr="00924D60">
        <w:rPr>
          <w:rFonts w:ascii="Times New Roman" w:eastAsia="Times New Roman" w:hAnsi="Times New Roman" w:cs="Times New Roman"/>
          <w:b/>
          <w:bCs/>
          <w:sz w:val="20"/>
          <w:szCs w:val="20"/>
        </w:rPr>
        <w:t xml:space="preserve"> </w:t>
      </w:r>
      <w:r w:rsidRPr="00924D60">
        <w:rPr>
          <w:rFonts w:ascii="Times New Roman" w:eastAsia="Times New Roman" w:hAnsi="Times New Roman" w:cs="Times New Roman"/>
          <w:b/>
          <w:bCs/>
          <w:sz w:val="20"/>
          <w:szCs w:val="20"/>
        </w:rPr>
        <w:t>a sample of Egyptian Children with Febrile Seizures</w:t>
      </w:r>
    </w:p>
    <w:p w:rsidR="007739D4" w:rsidRPr="00924D60" w:rsidRDefault="007739D4" w:rsidP="00306F41">
      <w:pPr>
        <w:bidi w:val="0"/>
        <w:snapToGrid w:val="0"/>
        <w:spacing w:after="0" w:line="240" w:lineRule="auto"/>
        <w:jc w:val="center"/>
        <w:rPr>
          <w:rFonts w:ascii="Times New Roman" w:eastAsia="Times New Roman" w:hAnsi="Times New Roman" w:cs="Times New Roman"/>
          <w:b/>
          <w:bCs/>
          <w:sz w:val="20"/>
          <w:szCs w:val="20"/>
        </w:rPr>
      </w:pPr>
    </w:p>
    <w:p w:rsidR="007739D4" w:rsidRPr="00924D60" w:rsidRDefault="000D6D56" w:rsidP="00306F41">
      <w:pPr>
        <w:bidi w:val="0"/>
        <w:snapToGrid w:val="0"/>
        <w:spacing w:after="0" w:line="240" w:lineRule="auto"/>
        <w:jc w:val="center"/>
        <w:rPr>
          <w:rFonts w:ascii="Times New Roman" w:hAnsi="Times New Roman" w:cs="Times New Roman"/>
          <w:sz w:val="20"/>
          <w:szCs w:val="20"/>
          <w:vertAlign w:val="superscript"/>
          <w:lang w:eastAsia="zh-CN"/>
        </w:rPr>
      </w:pPr>
      <w:r w:rsidRPr="00924D60">
        <w:rPr>
          <w:rFonts w:ascii="Times New Roman" w:hAnsi="Times New Roman" w:cs="Times New Roman"/>
          <w:sz w:val="20"/>
          <w:szCs w:val="20"/>
        </w:rPr>
        <w:t>Hussein M.H</w:t>
      </w:r>
      <w:r w:rsidRPr="00924D60">
        <w:rPr>
          <w:rFonts w:ascii="Times New Roman" w:hAnsi="Times New Roman" w:cs="Times New Roman"/>
          <w:sz w:val="20"/>
          <w:szCs w:val="20"/>
          <w:vertAlign w:val="superscript"/>
        </w:rPr>
        <w:t>1</w:t>
      </w:r>
      <w:r w:rsidRPr="00924D60">
        <w:rPr>
          <w:rFonts w:ascii="Times New Roman" w:hAnsi="Times New Roman" w:cs="Times New Roman"/>
          <w:sz w:val="20"/>
          <w:szCs w:val="20"/>
        </w:rPr>
        <w:t>, El-Gendy A.A</w:t>
      </w:r>
      <w:r w:rsidRPr="00924D60">
        <w:rPr>
          <w:rFonts w:ascii="Times New Roman" w:hAnsi="Times New Roman" w:cs="Times New Roman"/>
          <w:sz w:val="20"/>
          <w:szCs w:val="20"/>
          <w:vertAlign w:val="superscript"/>
        </w:rPr>
        <w:t>2</w:t>
      </w:r>
      <w:r w:rsidRPr="00924D60">
        <w:rPr>
          <w:rFonts w:ascii="Times New Roman" w:hAnsi="Times New Roman" w:cs="Times New Roman"/>
          <w:sz w:val="20"/>
          <w:szCs w:val="20"/>
        </w:rPr>
        <w:t>, Ibrahim A.F</w:t>
      </w:r>
      <w:r w:rsidRPr="00924D60">
        <w:rPr>
          <w:rFonts w:ascii="Times New Roman" w:hAnsi="Times New Roman" w:cs="Times New Roman"/>
          <w:sz w:val="20"/>
          <w:szCs w:val="20"/>
          <w:vertAlign w:val="superscript"/>
        </w:rPr>
        <w:t>1</w:t>
      </w:r>
      <w:r w:rsidRPr="00924D60">
        <w:rPr>
          <w:rFonts w:ascii="Times New Roman" w:hAnsi="Times New Roman" w:cs="Times New Roman"/>
          <w:sz w:val="20"/>
          <w:szCs w:val="20"/>
        </w:rPr>
        <w:t>, Elbadry M.A</w:t>
      </w:r>
      <w:r w:rsidRPr="00924D60">
        <w:rPr>
          <w:rFonts w:ascii="Times New Roman" w:hAnsi="Times New Roman" w:cs="Times New Roman"/>
          <w:sz w:val="20"/>
          <w:szCs w:val="20"/>
          <w:vertAlign w:val="superscript"/>
        </w:rPr>
        <w:t>1</w:t>
      </w:r>
    </w:p>
    <w:p w:rsidR="007739D4" w:rsidRPr="00924D60" w:rsidRDefault="007739D4" w:rsidP="00306F41">
      <w:pPr>
        <w:bidi w:val="0"/>
        <w:snapToGrid w:val="0"/>
        <w:spacing w:after="0" w:line="240" w:lineRule="auto"/>
        <w:jc w:val="center"/>
        <w:rPr>
          <w:rFonts w:ascii="Times New Roman" w:hAnsi="Times New Roman" w:cs="Times New Roman"/>
          <w:sz w:val="20"/>
          <w:szCs w:val="20"/>
          <w:vertAlign w:val="superscript"/>
          <w:lang w:eastAsia="zh-CN"/>
        </w:rPr>
      </w:pPr>
    </w:p>
    <w:p w:rsidR="00BA06CD" w:rsidRPr="00924D60" w:rsidRDefault="00B07147" w:rsidP="00306F41">
      <w:pPr>
        <w:bidi w:val="0"/>
        <w:snapToGrid w:val="0"/>
        <w:spacing w:after="0" w:line="240" w:lineRule="auto"/>
        <w:jc w:val="center"/>
        <w:rPr>
          <w:rFonts w:ascii="Times New Roman" w:hAnsi="Times New Roman" w:cs="Times New Roman"/>
          <w:sz w:val="20"/>
          <w:szCs w:val="20"/>
          <w:lang w:bidi="ar-EG"/>
        </w:rPr>
      </w:pPr>
      <w:r w:rsidRPr="00924D60">
        <w:rPr>
          <w:rFonts w:ascii="Times New Roman" w:hAnsi="Times New Roman" w:cs="Times New Roman"/>
          <w:sz w:val="20"/>
          <w:szCs w:val="20"/>
          <w:vertAlign w:val="superscript"/>
          <w:lang w:bidi="ar-EG"/>
        </w:rPr>
        <w:t>1</w:t>
      </w:r>
      <w:r w:rsidR="00640CA6" w:rsidRPr="00924D60">
        <w:rPr>
          <w:rFonts w:ascii="Times New Roman" w:hAnsi="Times New Roman" w:cs="Times New Roman"/>
          <w:sz w:val="20"/>
          <w:szCs w:val="20"/>
          <w:lang w:bidi="ar-EG"/>
        </w:rPr>
        <w:t xml:space="preserve"> Neurology Department</w:t>
      </w:r>
      <w:r w:rsidRPr="00924D60">
        <w:rPr>
          <w:rFonts w:ascii="Times New Roman" w:hAnsi="Times New Roman" w:cs="Times New Roman"/>
          <w:sz w:val="20"/>
          <w:szCs w:val="20"/>
          <w:lang w:bidi="ar-EG"/>
        </w:rPr>
        <w:t>,</w:t>
      </w:r>
      <w:r w:rsidR="00AC7B9D" w:rsidRPr="00924D60">
        <w:rPr>
          <w:rFonts w:ascii="Times New Roman" w:hAnsi="Times New Roman" w:cs="Times New Roman"/>
          <w:sz w:val="20"/>
          <w:szCs w:val="20"/>
          <w:lang w:bidi="ar-EG"/>
        </w:rPr>
        <w:t xml:space="preserve"> </w:t>
      </w:r>
      <w:r w:rsidR="00640CA6" w:rsidRPr="00924D60">
        <w:rPr>
          <w:rFonts w:ascii="Times New Roman" w:hAnsi="Times New Roman" w:cs="Times New Roman"/>
          <w:sz w:val="20"/>
          <w:szCs w:val="20"/>
          <w:lang w:bidi="ar-EG"/>
        </w:rPr>
        <w:t>Faculty of Medicine- Al-Azhar University</w:t>
      </w:r>
      <w:r w:rsidR="00057023" w:rsidRPr="00924D60">
        <w:rPr>
          <w:rFonts w:ascii="Times New Roman" w:hAnsi="Times New Roman" w:cs="Times New Roman"/>
          <w:sz w:val="20"/>
          <w:szCs w:val="20"/>
          <w:lang w:bidi="ar-EG"/>
        </w:rPr>
        <w:t xml:space="preserve">- </w:t>
      </w:r>
      <w:r w:rsidR="000D6D56" w:rsidRPr="00924D60">
        <w:rPr>
          <w:rFonts w:ascii="Times New Roman" w:hAnsi="Times New Roman" w:cs="Times New Roman"/>
          <w:sz w:val="20"/>
          <w:szCs w:val="20"/>
          <w:lang w:bidi="ar-EG"/>
        </w:rPr>
        <w:t>Cairo</w:t>
      </w:r>
      <w:r w:rsidR="00BA06CD" w:rsidRPr="00924D60">
        <w:rPr>
          <w:rFonts w:ascii="Times New Roman" w:hAnsi="Times New Roman" w:cs="Times New Roman"/>
          <w:sz w:val="20"/>
          <w:szCs w:val="20"/>
          <w:lang w:bidi="ar-EG"/>
        </w:rPr>
        <w:t xml:space="preserve"> Egypt</w:t>
      </w:r>
    </w:p>
    <w:p w:rsidR="00640CA6" w:rsidRPr="00924D60" w:rsidRDefault="00BA06CD" w:rsidP="00306F41">
      <w:pPr>
        <w:bidi w:val="0"/>
        <w:snapToGrid w:val="0"/>
        <w:spacing w:after="0" w:line="240" w:lineRule="auto"/>
        <w:jc w:val="center"/>
        <w:rPr>
          <w:rFonts w:ascii="Times New Roman" w:hAnsi="Times New Roman" w:cs="Times New Roman"/>
          <w:sz w:val="20"/>
          <w:szCs w:val="20"/>
          <w:lang w:bidi="ar-EG"/>
        </w:rPr>
      </w:pPr>
      <w:r w:rsidRPr="00924D60">
        <w:rPr>
          <w:rFonts w:ascii="Times New Roman" w:hAnsi="Times New Roman" w:cs="Times New Roman"/>
          <w:sz w:val="20"/>
          <w:szCs w:val="20"/>
          <w:vertAlign w:val="superscript"/>
          <w:lang w:bidi="ar-EG"/>
        </w:rPr>
        <w:t>2</w:t>
      </w:r>
      <w:r w:rsidR="00640CA6" w:rsidRPr="00924D60">
        <w:rPr>
          <w:rFonts w:ascii="Times New Roman" w:hAnsi="Times New Roman" w:cs="Times New Roman"/>
          <w:sz w:val="20"/>
          <w:szCs w:val="20"/>
          <w:lang w:bidi="ar-EG"/>
        </w:rPr>
        <w:t>Clinical Pathology</w:t>
      </w:r>
      <w:r w:rsidR="00B07147" w:rsidRPr="00924D60">
        <w:rPr>
          <w:rFonts w:ascii="Times New Roman" w:hAnsi="Times New Roman" w:cs="Times New Roman"/>
          <w:sz w:val="20"/>
          <w:szCs w:val="20"/>
          <w:lang w:bidi="ar-EG"/>
        </w:rPr>
        <w:t xml:space="preserve"> Department</w:t>
      </w:r>
      <w:r w:rsidRPr="00924D60">
        <w:rPr>
          <w:rFonts w:ascii="Times New Roman" w:hAnsi="Times New Roman" w:cs="Times New Roman"/>
          <w:sz w:val="20"/>
          <w:szCs w:val="20"/>
          <w:lang w:bidi="ar-EG"/>
        </w:rPr>
        <w:t xml:space="preserve">, </w:t>
      </w:r>
      <w:r w:rsidR="00640CA6" w:rsidRPr="00924D60">
        <w:rPr>
          <w:rFonts w:ascii="Times New Roman" w:hAnsi="Times New Roman" w:cs="Times New Roman"/>
          <w:sz w:val="20"/>
          <w:szCs w:val="20"/>
          <w:lang w:bidi="ar-EG"/>
        </w:rPr>
        <w:t>Faculty of Medicine- Al-Azhar University</w:t>
      </w:r>
      <w:r w:rsidR="00057023" w:rsidRPr="00924D60">
        <w:rPr>
          <w:rFonts w:ascii="Times New Roman" w:hAnsi="Times New Roman" w:cs="Times New Roman"/>
          <w:sz w:val="20"/>
          <w:szCs w:val="20"/>
          <w:lang w:bidi="ar-EG"/>
        </w:rPr>
        <w:t>- Cairo Egypt</w:t>
      </w:r>
    </w:p>
    <w:p w:rsidR="007739D4" w:rsidRPr="00924D60" w:rsidRDefault="00C50C8A" w:rsidP="00306F41">
      <w:pPr>
        <w:bidi w:val="0"/>
        <w:snapToGrid w:val="0"/>
        <w:spacing w:after="0" w:line="240" w:lineRule="auto"/>
        <w:jc w:val="center"/>
        <w:rPr>
          <w:rFonts w:ascii="Times New Roman" w:hAnsi="Times New Roman" w:cs="Times New Roman"/>
          <w:sz w:val="20"/>
          <w:szCs w:val="20"/>
          <w:lang w:bidi="ar-EG"/>
        </w:rPr>
      </w:pPr>
      <w:hyperlink r:id="rId8" w:history="1">
        <w:bookmarkStart w:id="0" w:name="_GoBack"/>
        <w:bookmarkEnd w:id="0"/>
        <w:r w:rsidR="00BD53DF" w:rsidRPr="00924D60">
          <w:rPr>
            <w:rStyle w:val="Hyperlink"/>
            <w:rFonts w:ascii="Times New Roman" w:hAnsi="Times New Roman" w:cs="Times New Roman"/>
            <w:sz w:val="20"/>
            <w:szCs w:val="20"/>
            <w:lang w:bidi="ar-EG"/>
          </w:rPr>
          <w:t>mo_ah_moelbadry88@yahoo.com</w:t>
        </w:r>
      </w:hyperlink>
      <w:r w:rsidR="00BD53DF" w:rsidRPr="00924D60">
        <w:rPr>
          <w:rFonts w:ascii="Times New Roman" w:hAnsi="Times New Roman" w:cs="Times New Roman"/>
          <w:sz w:val="20"/>
          <w:szCs w:val="20"/>
          <w:lang w:bidi="ar-EG"/>
        </w:rPr>
        <w:t xml:space="preserve"> </w:t>
      </w:r>
    </w:p>
    <w:p w:rsidR="007739D4" w:rsidRPr="00924D60" w:rsidRDefault="007739D4" w:rsidP="00306F41">
      <w:pPr>
        <w:bidi w:val="0"/>
        <w:snapToGrid w:val="0"/>
        <w:spacing w:after="0" w:line="240" w:lineRule="auto"/>
        <w:jc w:val="center"/>
        <w:rPr>
          <w:rFonts w:ascii="Times New Roman" w:hAnsi="Times New Roman" w:cs="Times New Roman"/>
          <w:sz w:val="20"/>
          <w:szCs w:val="20"/>
          <w:lang w:bidi="ar-EG"/>
        </w:rPr>
      </w:pPr>
    </w:p>
    <w:p w:rsidR="00BA06CD" w:rsidRPr="00924D60" w:rsidRDefault="00AC7B9D"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 xml:space="preserve">Abstract: </w:t>
      </w:r>
      <w:r w:rsidR="00BA06CD" w:rsidRPr="00924D60">
        <w:rPr>
          <w:rFonts w:ascii="Times New Roman" w:hAnsi="Times New Roman" w:cs="Times New Roman"/>
          <w:b/>
          <w:bCs/>
          <w:sz w:val="20"/>
          <w:szCs w:val="20"/>
        </w:rPr>
        <w:t>Background:</w:t>
      </w:r>
      <w:r w:rsidR="00BA06CD" w:rsidRPr="00924D60">
        <w:rPr>
          <w:rFonts w:ascii="Times New Roman" w:hAnsi="Times New Roman" w:cs="Times New Roman"/>
          <w:sz w:val="20"/>
          <w:szCs w:val="20"/>
        </w:rPr>
        <w:t xml:space="preserve"> Febrile seizures is a common neurological problem at childhood. About 30-40 % of children with first episode of febrile seizures will experience recurrences. A number of trace elements are said to play a role in febrile.</w:t>
      </w:r>
      <w:r w:rsidRPr="00924D60">
        <w:rPr>
          <w:rFonts w:ascii="Times New Roman" w:hAnsi="Times New Roman" w:cs="Times New Roman"/>
          <w:b/>
          <w:bCs/>
          <w:sz w:val="20"/>
          <w:szCs w:val="20"/>
        </w:rPr>
        <w:t xml:space="preserve"> </w:t>
      </w:r>
      <w:r w:rsidR="00BA06CD" w:rsidRPr="00924D60">
        <w:rPr>
          <w:rFonts w:ascii="Times New Roman" w:hAnsi="Times New Roman" w:cs="Times New Roman"/>
          <w:b/>
          <w:bCs/>
          <w:sz w:val="20"/>
          <w:szCs w:val="20"/>
        </w:rPr>
        <w:t xml:space="preserve">Objective: </w:t>
      </w:r>
      <w:r w:rsidR="00BA06CD" w:rsidRPr="00924D60">
        <w:rPr>
          <w:rFonts w:ascii="Times New Roman" w:hAnsi="Times New Roman" w:cs="Times New Roman"/>
          <w:sz w:val="20"/>
          <w:szCs w:val="20"/>
        </w:rPr>
        <w:t>This study aimed to investigate the association between levels of</w:t>
      </w:r>
      <w:r w:rsidR="00B07147" w:rsidRPr="00924D60">
        <w:rPr>
          <w:rFonts w:ascii="Times New Roman" w:hAnsi="Times New Roman" w:cs="Times New Roman"/>
          <w:sz w:val="20"/>
          <w:szCs w:val="20"/>
        </w:rPr>
        <w:t xml:space="preserve"> some</w:t>
      </w:r>
      <w:r w:rsidR="00BA06CD" w:rsidRPr="00924D60">
        <w:rPr>
          <w:rFonts w:ascii="Times New Roman" w:hAnsi="Times New Roman" w:cs="Times New Roman"/>
          <w:sz w:val="20"/>
          <w:szCs w:val="20"/>
        </w:rPr>
        <w:t xml:space="preserve"> trace elemen</w:t>
      </w:r>
      <w:r w:rsidR="00B07147" w:rsidRPr="00924D60">
        <w:rPr>
          <w:rFonts w:ascii="Times New Roman" w:hAnsi="Times New Roman" w:cs="Times New Roman"/>
          <w:sz w:val="20"/>
          <w:szCs w:val="20"/>
        </w:rPr>
        <w:t xml:space="preserve">ts </w:t>
      </w:r>
      <w:r w:rsidR="00BA06CD" w:rsidRPr="00924D60">
        <w:rPr>
          <w:rFonts w:ascii="Times New Roman" w:hAnsi="Times New Roman" w:cs="Times New Roman"/>
          <w:sz w:val="20"/>
          <w:szCs w:val="20"/>
        </w:rPr>
        <w:t>and children with febrile seizures.</w:t>
      </w:r>
      <w:r w:rsidR="00F64DDD" w:rsidRPr="00924D60">
        <w:rPr>
          <w:rFonts w:ascii="Times New Roman" w:hAnsi="Times New Roman" w:cs="Times New Roman" w:hint="eastAsia"/>
          <w:sz w:val="20"/>
          <w:szCs w:val="20"/>
          <w:lang w:eastAsia="zh-CN"/>
        </w:rPr>
        <w:t xml:space="preserve"> </w:t>
      </w:r>
      <w:r w:rsidR="00BA06CD" w:rsidRPr="00924D60">
        <w:rPr>
          <w:rFonts w:ascii="Times New Roman" w:hAnsi="Times New Roman" w:cs="Times New Roman"/>
          <w:b/>
          <w:bCs/>
          <w:sz w:val="20"/>
          <w:szCs w:val="20"/>
        </w:rPr>
        <w:t xml:space="preserve">Methods: </w:t>
      </w:r>
      <w:r w:rsidR="00BA06CD" w:rsidRPr="00924D60">
        <w:rPr>
          <w:rFonts w:ascii="Times New Roman" w:hAnsi="Times New Roman" w:cs="Times New Roman"/>
          <w:sz w:val="20"/>
          <w:szCs w:val="20"/>
        </w:rPr>
        <w:t xml:space="preserve">This case control study was conducted in the neurology department of Al-Azhar university hospitals, Cairo, Egypt for one year. A total of 56 child were included those were divided into </w:t>
      </w:r>
      <w:r w:rsidR="00B07147" w:rsidRPr="00924D60">
        <w:rPr>
          <w:rFonts w:ascii="Times New Roman" w:hAnsi="Times New Roman" w:cs="Times New Roman"/>
          <w:sz w:val="20"/>
          <w:szCs w:val="20"/>
        </w:rPr>
        <w:t>3</w:t>
      </w:r>
      <w:r w:rsidR="00BA06CD" w:rsidRPr="00924D60">
        <w:rPr>
          <w:rFonts w:ascii="Times New Roman" w:hAnsi="Times New Roman" w:cs="Times New Roman"/>
          <w:sz w:val="20"/>
          <w:szCs w:val="20"/>
        </w:rPr>
        <w:t xml:space="preserve"> groups after fulfilling our inclusion and exclusion criteria. </w:t>
      </w:r>
      <w:r w:rsidR="00B07147" w:rsidRPr="00924D60">
        <w:rPr>
          <w:rFonts w:ascii="Times New Roman" w:hAnsi="Times New Roman" w:cs="Times New Roman"/>
          <w:sz w:val="20"/>
          <w:szCs w:val="20"/>
        </w:rPr>
        <w:t>18</w:t>
      </w:r>
      <w:r w:rsidR="00BA06CD" w:rsidRPr="00924D60">
        <w:rPr>
          <w:rFonts w:ascii="Times New Roman" w:hAnsi="Times New Roman" w:cs="Times New Roman"/>
          <w:sz w:val="20"/>
          <w:szCs w:val="20"/>
        </w:rPr>
        <w:t xml:space="preserve"> child with febrile seizure</w:t>
      </w:r>
      <w:r w:rsidR="00CC3C1E" w:rsidRPr="00924D60">
        <w:rPr>
          <w:rFonts w:ascii="Times New Roman" w:hAnsi="Times New Roman" w:cs="Times New Roman"/>
          <w:sz w:val="20"/>
          <w:szCs w:val="20"/>
        </w:rPr>
        <w:t xml:space="preserve"> (I)</w:t>
      </w:r>
      <w:r w:rsidR="00BA06CD" w:rsidRPr="00924D60">
        <w:rPr>
          <w:rFonts w:ascii="Times New Roman" w:hAnsi="Times New Roman" w:cs="Times New Roman"/>
          <w:sz w:val="20"/>
          <w:szCs w:val="20"/>
        </w:rPr>
        <w:t xml:space="preserve">, </w:t>
      </w:r>
      <w:r w:rsidR="00B07147" w:rsidRPr="00924D60">
        <w:rPr>
          <w:rFonts w:ascii="Times New Roman" w:hAnsi="Times New Roman" w:cs="Times New Roman"/>
          <w:sz w:val="20"/>
          <w:szCs w:val="20"/>
        </w:rPr>
        <w:t>18</w:t>
      </w:r>
      <w:r w:rsidR="00BA06CD" w:rsidRPr="00924D60">
        <w:rPr>
          <w:rFonts w:ascii="Times New Roman" w:hAnsi="Times New Roman" w:cs="Times New Roman"/>
          <w:sz w:val="20"/>
          <w:szCs w:val="20"/>
        </w:rPr>
        <w:t xml:space="preserve"> child with generalized epileptic seizures </w:t>
      </w:r>
      <w:r w:rsidR="00CC3C1E" w:rsidRPr="00924D60">
        <w:rPr>
          <w:rFonts w:ascii="Times New Roman" w:hAnsi="Times New Roman" w:cs="Times New Roman"/>
          <w:sz w:val="20"/>
          <w:szCs w:val="20"/>
        </w:rPr>
        <w:t>(II</w:t>
      </w:r>
      <w:r w:rsidR="00014A5E" w:rsidRPr="00924D60">
        <w:rPr>
          <w:rFonts w:ascii="Times New Roman" w:hAnsi="Times New Roman" w:cs="Times New Roman"/>
          <w:sz w:val="20"/>
          <w:szCs w:val="20"/>
        </w:rPr>
        <w:t>) a</w:t>
      </w:r>
      <w:r w:rsidR="00BA06CD" w:rsidRPr="00924D60">
        <w:rPr>
          <w:rFonts w:ascii="Times New Roman" w:hAnsi="Times New Roman" w:cs="Times New Roman"/>
          <w:sz w:val="20"/>
          <w:szCs w:val="20"/>
        </w:rPr>
        <w:t xml:space="preserve">nd </w:t>
      </w:r>
      <w:r w:rsidR="00B07147" w:rsidRPr="00924D60">
        <w:rPr>
          <w:rFonts w:ascii="Times New Roman" w:hAnsi="Times New Roman" w:cs="Times New Roman"/>
          <w:sz w:val="20"/>
          <w:szCs w:val="20"/>
        </w:rPr>
        <w:t>18</w:t>
      </w:r>
      <w:r w:rsidR="00BA06CD" w:rsidRPr="00924D60">
        <w:rPr>
          <w:rFonts w:ascii="Times New Roman" w:hAnsi="Times New Roman" w:cs="Times New Roman"/>
          <w:sz w:val="20"/>
          <w:szCs w:val="20"/>
        </w:rPr>
        <w:t xml:space="preserve"> child with febrile illness without seizur</w:t>
      </w:r>
      <w:r w:rsidR="00CC3C1E" w:rsidRPr="00924D60">
        <w:rPr>
          <w:rFonts w:ascii="Times New Roman" w:hAnsi="Times New Roman" w:cs="Times New Roman"/>
          <w:sz w:val="20"/>
          <w:szCs w:val="20"/>
        </w:rPr>
        <w:t xml:space="preserve">es (III) as a control group. </w:t>
      </w:r>
      <w:r w:rsidR="00B07147" w:rsidRPr="00924D60">
        <w:rPr>
          <w:rFonts w:ascii="Times New Roman" w:hAnsi="Times New Roman" w:cs="Times New Roman"/>
          <w:sz w:val="20"/>
          <w:szCs w:val="20"/>
        </w:rPr>
        <w:t>S</w:t>
      </w:r>
      <w:r w:rsidR="00BA06CD" w:rsidRPr="00924D60">
        <w:rPr>
          <w:rFonts w:ascii="Times New Roman" w:hAnsi="Times New Roman" w:cs="Times New Roman"/>
          <w:sz w:val="20"/>
          <w:szCs w:val="20"/>
        </w:rPr>
        <w:t>erum Zn, Cu and Mg levels were measured. For statistical analysis, SPSS 20 p</w:t>
      </w:r>
      <w:r w:rsidR="00CC3C1E" w:rsidRPr="00924D60">
        <w:rPr>
          <w:rFonts w:ascii="Times New Roman" w:hAnsi="Times New Roman" w:cs="Times New Roman"/>
          <w:sz w:val="20"/>
          <w:szCs w:val="20"/>
        </w:rPr>
        <w:t>rogram was used.</w:t>
      </w:r>
      <w:r w:rsidR="00F64DDD" w:rsidRPr="00924D60">
        <w:rPr>
          <w:rFonts w:ascii="Times New Roman" w:hAnsi="Times New Roman" w:cs="Times New Roman" w:hint="eastAsia"/>
          <w:sz w:val="20"/>
          <w:szCs w:val="20"/>
          <w:lang w:eastAsia="zh-CN"/>
        </w:rPr>
        <w:t xml:space="preserve"> </w:t>
      </w:r>
      <w:r w:rsidR="00BA06CD" w:rsidRPr="00924D60">
        <w:rPr>
          <w:rFonts w:ascii="Times New Roman" w:hAnsi="Times New Roman" w:cs="Times New Roman"/>
          <w:b/>
          <w:bCs/>
          <w:sz w:val="20"/>
          <w:szCs w:val="20"/>
        </w:rPr>
        <w:t xml:space="preserve">Results: </w:t>
      </w:r>
      <w:r w:rsidR="00BA06CD" w:rsidRPr="00924D60">
        <w:rPr>
          <w:rFonts w:ascii="Times New Roman" w:hAnsi="Times New Roman" w:cs="Times New Roman"/>
          <w:sz w:val="20"/>
          <w:szCs w:val="20"/>
        </w:rPr>
        <w:t>There was significant difference between group I and group II regarding positive family history of siblings with same medical condition.</w:t>
      </w:r>
      <w:r w:rsidR="00F64DDD" w:rsidRPr="00924D60">
        <w:rPr>
          <w:rFonts w:ascii="Times New Roman" w:hAnsi="Times New Roman" w:cs="Times New Roman" w:hint="eastAsia"/>
          <w:sz w:val="20"/>
          <w:szCs w:val="20"/>
          <w:lang w:eastAsia="zh-CN"/>
        </w:rPr>
        <w:t xml:space="preserve"> </w:t>
      </w:r>
      <w:r w:rsidR="00BA06CD" w:rsidRPr="00924D60">
        <w:rPr>
          <w:rFonts w:ascii="Times New Roman" w:hAnsi="Times New Roman" w:cs="Times New Roman"/>
          <w:sz w:val="20"/>
          <w:szCs w:val="20"/>
        </w:rPr>
        <w:t xml:space="preserve">There is no significant differences noted in serum zinc, copper and magnesium levels between each gender. Group I had </w:t>
      </w:r>
      <w:r w:rsidR="00BA06CD" w:rsidRPr="00924D60">
        <w:rPr>
          <w:rFonts w:ascii="Times New Roman" w:hAnsi="Times New Roman" w:cs="Times New Roman"/>
          <w:b/>
          <w:bCs/>
          <w:sz w:val="20"/>
          <w:szCs w:val="20"/>
        </w:rPr>
        <w:t>lower</w:t>
      </w:r>
      <w:r w:rsidR="00BA06CD" w:rsidRPr="00924D60">
        <w:rPr>
          <w:rFonts w:ascii="Times New Roman" w:hAnsi="Times New Roman" w:cs="Times New Roman"/>
          <w:sz w:val="20"/>
          <w:szCs w:val="20"/>
        </w:rPr>
        <w:t xml:space="preserve"> levels of zinc than group II with a </w:t>
      </w:r>
      <w:r w:rsidR="00BA06CD" w:rsidRPr="00924D60">
        <w:rPr>
          <w:rFonts w:ascii="Times New Roman" w:hAnsi="Times New Roman" w:cs="Times New Roman"/>
          <w:b/>
          <w:bCs/>
          <w:sz w:val="20"/>
          <w:szCs w:val="20"/>
        </w:rPr>
        <w:t>significant</w:t>
      </w:r>
      <w:r w:rsidR="00BA06CD" w:rsidRPr="00924D60">
        <w:rPr>
          <w:rFonts w:ascii="Times New Roman" w:hAnsi="Times New Roman" w:cs="Times New Roman"/>
          <w:sz w:val="20"/>
          <w:szCs w:val="20"/>
        </w:rPr>
        <w:t xml:space="preserve"> difference. While there were no significant differences in copper and magnesium levels between these two groups. Group I had </w:t>
      </w:r>
      <w:r w:rsidR="00BA06CD" w:rsidRPr="00924D60">
        <w:rPr>
          <w:rFonts w:ascii="Times New Roman" w:hAnsi="Times New Roman" w:cs="Times New Roman"/>
          <w:b/>
          <w:bCs/>
          <w:sz w:val="20"/>
          <w:szCs w:val="20"/>
        </w:rPr>
        <w:t>lower</w:t>
      </w:r>
      <w:r w:rsidR="00BA06CD" w:rsidRPr="00924D60">
        <w:rPr>
          <w:rFonts w:ascii="Times New Roman" w:hAnsi="Times New Roman" w:cs="Times New Roman"/>
          <w:sz w:val="20"/>
          <w:szCs w:val="20"/>
        </w:rPr>
        <w:t xml:space="preserve"> levels of zinc and </w:t>
      </w:r>
      <w:r w:rsidR="00BA06CD" w:rsidRPr="00924D60">
        <w:rPr>
          <w:rFonts w:ascii="Times New Roman" w:hAnsi="Times New Roman" w:cs="Times New Roman"/>
          <w:b/>
          <w:bCs/>
          <w:sz w:val="20"/>
          <w:szCs w:val="20"/>
        </w:rPr>
        <w:t>higher</w:t>
      </w:r>
      <w:r w:rsidR="00BA06CD" w:rsidRPr="00924D60">
        <w:rPr>
          <w:rFonts w:ascii="Times New Roman" w:hAnsi="Times New Roman" w:cs="Times New Roman"/>
          <w:sz w:val="20"/>
          <w:szCs w:val="20"/>
        </w:rPr>
        <w:t xml:space="preserve"> levels of magnesium than group III with a </w:t>
      </w:r>
      <w:r w:rsidR="00BA06CD" w:rsidRPr="00924D60">
        <w:rPr>
          <w:rFonts w:ascii="Times New Roman" w:hAnsi="Times New Roman" w:cs="Times New Roman"/>
          <w:b/>
          <w:bCs/>
          <w:sz w:val="20"/>
          <w:szCs w:val="20"/>
        </w:rPr>
        <w:t>significant</w:t>
      </w:r>
      <w:r w:rsidR="00BA06CD" w:rsidRPr="00924D60">
        <w:rPr>
          <w:rFonts w:ascii="Times New Roman" w:hAnsi="Times New Roman" w:cs="Times New Roman"/>
          <w:sz w:val="20"/>
          <w:szCs w:val="20"/>
        </w:rPr>
        <w:t xml:space="preserve"> difference. While there was no significant difference in copper level between groups I and III. Group II had </w:t>
      </w:r>
      <w:r w:rsidR="00BA06CD" w:rsidRPr="00924D60">
        <w:rPr>
          <w:rFonts w:ascii="Times New Roman" w:hAnsi="Times New Roman" w:cs="Times New Roman"/>
          <w:b/>
          <w:bCs/>
          <w:sz w:val="20"/>
          <w:szCs w:val="20"/>
        </w:rPr>
        <w:t>higher</w:t>
      </w:r>
      <w:r w:rsidR="00BA06CD" w:rsidRPr="00924D60">
        <w:rPr>
          <w:rFonts w:ascii="Times New Roman" w:hAnsi="Times New Roman" w:cs="Times New Roman"/>
          <w:sz w:val="20"/>
          <w:szCs w:val="20"/>
        </w:rPr>
        <w:t xml:space="preserve"> levels of magnesium than group III with a </w:t>
      </w:r>
      <w:r w:rsidR="00BA06CD" w:rsidRPr="00924D60">
        <w:rPr>
          <w:rFonts w:ascii="Times New Roman" w:hAnsi="Times New Roman" w:cs="Times New Roman"/>
          <w:b/>
          <w:bCs/>
          <w:sz w:val="20"/>
          <w:szCs w:val="20"/>
        </w:rPr>
        <w:t>significant</w:t>
      </w:r>
      <w:r w:rsidR="00BA06CD" w:rsidRPr="00924D60">
        <w:rPr>
          <w:rFonts w:ascii="Times New Roman" w:hAnsi="Times New Roman" w:cs="Times New Roman"/>
          <w:sz w:val="20"/>
          <w:szCs w:val="20"/>
        </w:rPr>
        <w:t xml:space="preserve"> difference. While there was no significant difference in zinc and copper levels between group II and group III.</w:t>
      </w:r>
      <w:r w:rsidR="00F64DDD" w:rsidRPr="00924D60">
        <w:rPr>
          <w:rFonts w:ascii="Times New Roman" w:hAnsi="Times New Roman" w:cs="Times New Roman" w:hint="eastAsia"/>
          <w:sz w:val="20"/>
          <w:szCs w:val="20"/>
          <w:lang w:eastAsia="zh-CN"/>
        </w:rPr>
        <w:t xml:space="preserve"> </w:t>
      </w:r>
      <w:r w:rsidR="00BA06CD" w:rsidRPr="00924D60">
        <w:rPr>
          <w:rFonts w:ascii="Times New Roman" w:hAnsi="Times New Roman" w:cs="Times New Roman"/>
          <w:b/>
          <w:bCs/>
          <w:sz w:val="20"/>
          <w:szCs w:val="20"/>
        </w:rPr>
        <w:t xml:space="preserve">Conclusion: </w:t>
      </w:r>
      <w:r w:rsidR="00BA06CD" w:rsidRPr="00924D60">
        <w:rPr>
          <w:rFonts w:ascii="Times New Roman" w:hAnsi="Times New Roman" w:cs="Times New Roman"/>
          <w:sz w:val="20"/>
          <w:szCs w:val="20"/>
        </w:rPr>
        <w:t xml:space="preserve">It appears that the presence of hypozincemia in presence of other risk factors may enhance the occurrence of febrile seizures explaining a possible correlation between low serum zinc levels and febrile seizures. </w:t>
      </w:r>
      <w:r w:rsidR="00BA06CD" w:rsidRPr="00924D60">
        <w:rPr>
          <w:rFonts w:ascii="Times New Roman" w:hAnsi="Times New Roman" w:cs="Times New Roman"/>
          <w:b/>
          <w:bCs/>
          <w:sz w:val="20"/>
          <w:szCs w:val="20"/>
        </w:rPr>
        <w:t xml:space="preserve">Recommendation: </w:t>
      </w:r>
      <w:r w:rsidR="00BA06CD" w:rsidRPr="00924D60">
        <w:rPr>
          <w:rFonts w:ascii="Times New Roman" w:hAnsi="Times New Roman" w:cs="Times New Roman"/>
          <w:sz w:val="20"/>
          <w:szCs w:val="20"/>
        </w:rPr>
        <w:t>Measuring serum zinc should be recommended for all children with febrile seizures. The possibility of prophylactic zinc supplementation in reducing the risk of febrile seizures in children with febrile seizures and even for normal children who are at high risk of developing febrile seizures.</w:t>
      </w:r>
    </w:p>
    <w:p w:rsidR="00306F41" w:rsidRPr="00924D60" w:rsidRDefault="00306F41" w:rsidP="00306F41">
      <w:pPr>
        <w:bidi w:val="0"/>
        <w:snapToGrid w:val="0"/>
        <w:spacing w:after="0" w:line="240" w:lineRule="auto"/>
        <w:jc w:val="both"/>
        <w:rPr>
          <w:rFonts w:ascii="Times New Roman" w:eastAsia="Times New Roman" w:hAnsi="Times New Roman" w:cs="Times New Roman"/>
          <w:b/>
          <w:bCs/>
          <w:sz w:val="20"/>
          <w:szCs w:val="20"/>
        </w:rPr>
      </w:pPr>
      <w:r w:rsidRPr="00924D60">
        <w:rPr>
          <w:rFonts w:ascii="Times New Roman" w:hAnsi="Times New Roman" w:cs="Times New Roman"/>
          <w:bCs/>
          <w:sz w:val="20"/>
          <w:szCs w:val="20"/>
        </w:rPr>
        <w:t>[</w:t>
      </w:r>
      <w:r w:rsidRPr="00924D60">
        <w:rPr>
          <w:rFonts w:ascii="Times New Roman" w:hAnsi="Times New Roman" w:cs="Times New Roman"/>
          <w:sz w:val="20"/>
          <w:szCs w:val="20"/>
        </w:rPr>
        <w:t>Hussein M.H, El-Gendy A.A, Ibrahim A.F, Elbadry M.</w:t>
      </w:r>
      <w:r w:rsidRPr="00924D60">
        <w:rPr>
          <w:rFonts w:ascii="Times New Roman" w:hAnsi="Times New Roman" w:cs="Times New Roman" w:hint="eastAsia"/>
          <w:b/>
          <w:bCs/>
          <w:sz w:val="20"/>
          <w:szCs w:val="20"/>
          <w:lang w:bidi="fa-IR"/>
        </w:rPr>
        <w:t xml:space="preserve"> </w:t>
      </w:r>
      <w:r w:rsidRPr="00924D60">
        <w:rPr>
          <w:rFonts w:ascii="Times New Roman" w:eastAsia="Times New Roman" w:hAnsi="Times New Roman" w:cs="Times New Roman"/>
          <w:b/>
          <w:bCs/>
          <w:sz w:val="20"/>
          <w:szCs w:val="20"/>
        </w:rPr>
        <w:t>Role of Trace Elements in a sample of Egyptian Children with Febrile Seizures</w:t>
      </w:r>
      <w:r w:rsidRPr="00924D60">
        <w:rPr>
          <w:rFonts w:ascii="Times New Roman" w:eastAsia="Times New Roman" w:hAnsi="Times New Roman" w:cs="Times New Roman"/>
          <w:b/>
          <w:bCs/>
          <w:sz w:val="20"/>
          <w:szCs w:val="20"/>
          <w:lang w:bidi="fa-IR"/>
        </w:rPr>
        <w:t>.</w:t>
      </w:r>
      <w:r w:rsidRPr="00924D60">
        <w:rPr>
          <w:rFonts w:ascii="Times New Roman" w:hAnsi="Times New Roman" w:cs="Times New Roman"/>
          <w:bCs/>
          <w:i/>
          <w:sz w:val="20"/>
          <w:szCs w:val="20"/>
        </w:rPr>
        <w:t xml:space="preserve"> N Y Sci J</w:t>
      </w:r>
      <w:r w:rsidRPr="00924D60">
        <w:rPr>
          <w:rFonts w:ascii="Times New Roman" w:hAnsi="Times New Roman" w:cs="Times New Roman"/>
          <w:bCs/>
          <w:sz w:val="20"/>
          <w:szCs w:val="20"/>
        </w:rPr>
        <w:t xml:space="preserve"> </w:t>
      </w:r>
      <w:r w:rsidRPr="00924D60">
        <w:rPr>
          <w:rFonts w:ascii="Times New Roman" w:hAnsi="Times New Roman" w:cs="Times New Roman"/>
          <w:sz w:val="20"/>
          <w:szCs w:val="20"/>
        </w:rPr>
        <w:t>201</w:t>
      </w:r>
      <w:r w:rsidRPr="00924D60">
        <w:rPr>
          <w:rFonts w:ascii="Times New Roman" w:hAnsi="Times New Roman" w:cs="Times New Roman" w:hint="eastAsia"/>
          <w:sz w:val="20"/>
          <w:szCs w:val="20"/>
        </w:rPr>
        <w:t>9</w:t>
      </w:r>
      <w:r w:rsidRPr="00924D60">
        <w:rPr>
          <w:rFonts w:ascii="Times New Roman" w:hAnsi="Times New Roman" w:cs="Times New Roman"/>
          <w:sz w:val="20"/>
          <w:szCs w:val="20"/>
        </w:rPr>
        <w:t>;</w:t>
      </w:r>
      <w:r w:rsidRPr="00924D60">
        <w:rPr>
          <w:rFonts w:ascii="Times New Roman" w:hAnsi="Times New Roman" w:cs="Times New Roman" w:hint="eastAsia"/>
          <w:sz w:val="20"/>
          <w:szCs w:val="20"/>
        </w:rPr>
        <w:t>12</w:t>
      </w:r>
      <w:r w:rsidRPr="00924D60">
        <w:rPr>
          <w:rFonts w:ascii="Times New Roman" w:hAnsi="Times New Roman" w:cs="Times New Roman"/>
          <w:sz w:val="20"/>
          <w:szCs w:val="20"/>
        </w:rPr>
        <w:t>(</w:t>
      </w:r>
      <w:r w:rsidRPr="00924D60">
        <w:rPr>
          <w:rFonts w:ascii="Times New Roman" w:hAnsi="Times New Roman" w:cs="Times New Roman" w:hint="eastAsia"/>
          <w:sz w:val="20"/>
          <w:szCs w:val="20"/>
        </w:rPr>
        <w:t>8</w:t>
      </w:r>
      <w:r w:rsidRPr="00924D60">
        <w:rPr>
          <w:rFonts w:ascii="Times New Roman" w:hAnsi="Times New Roman" w:cs="Times New Roman"/>
          <w:sz w:val="20"/>
          <w:szCs w:val="20"/>
        </w:rPr>
        <w:t>):</w:t>
      </w:r>
      <w:r w:rsidR="00394A95" w:rsidRPr="00924D60">
        <w:rPr>
          <w:rFonts w:ascii="Times New Roman" w:hAnsi="Times New Roman" w:cs="Times New Roman"/>
          <w:noProof/>
          <w:color w:val="000000"/>
          <w:sz w:val="20"/>
          <w:szCs w:val="20"/>
        </w:rPr>
        <w:t>1-6</w:t>
      </w:r>
      <w:r w:rsidRPr="00924D60">
        <w:rPr>
          <w:rFonts w:ascii="Times New Roman" w:hAnsi="Times New Roman" w:cs="Times New Roman"/>
          <w:sz w:val="20"/>
          <w:szCs w:val="20"/>
        </w:rPr>
        <w:t xml:space="preserve">]. </w:t>
      </w:r>
      <w:r w:rsidRPr="00924D60">
        <w:rPr>
          <w:rFonts w:ascii="Times New Roman" w:hAnsi="Times New Roman" w:cs="Times New Roman"/>
          <w:iCs/>
          <w:color w:val="000000"/>
          <w:sz w:val="20"/>
          <w:szCs w:val="20"/>
        </w:rPr>
        <w:t>ISSN 1554-0200 (print); ISSN 2375-723X (online)</w:t>
      </w:r>
      <w:r w:rsidRPr="00924D60">
        <w:rPr>
          <w:rFonts w:ascii="Times New Roman" w:hAnsi="Times New Roman" w:cs="Times New Roman"/>
          <w:sz w:val="20"/>
          <w:szCs w:val="20"/>
        </w:rPr>
        <w:t xml:space="preserve">. </w:t>
      </w:r>
      <w:hyperlink r:id="rId9" w:history="1">
        <w:r w:rsidRPr="00924D60">
          <w:rPr>
            <w:rStyle w:val="Hyperlink"/>
            <w:rFonts w:ascii="Times New Roman" w:hAnsi="Times New Roman" w:cs="Times New Roman"/>
            <w:color w:val="0000FF"/>
            <w:sz w:val="20"/>
            <w:szCs w:val="20"/>
          </w:rPr>
          <w:t>http://www.sciencepub.net/newyork</w:t>
        </w:r>
      </w:hyperlink>
      <w:r w:rsidRPr="00924D60">
        <w:rPr>
          <w:rFonts w:ascii="Times New Roman" w:hAnsi="Times New Roman" w:cs="Times New Roman"/>
          <w:sz w:val="20"/>
          <w:szCs w:val="20"/>
        </w:rPr>
        <w:t xml:space="preserve">. </w:t>
      </w:r>
      <w:r w:rsidRPr="00924D60">
        <w:rPr>
          <w:rFonts w:ascii="Times New Roman" w:hAnsi="Times New Roman" w:cs="Times New Roman" w:hint="eastAsia"/>
          <w:sz w:val="20"/>
          <w:szCs w:val="20"/>
          <w:lang w:eastAsia="zh-CN"/>
        </w:rPr>
        <w:t>1</w:t>
      </w:r>
      <w:r w:rsidRPr="00924D60">
        <w:rPr>
          <w:rFonts w:ascii="Times New Roman" w:hAnsi="Times New Roman" w:cs="Times New Roman" w:hint="eastAsia"/>
          <w:sz w:val="20"/>
          <w:szCs w:val="20"/>
        </w:rPr>
        <w:t xml:space="preserve">. </w:t>
      </w:r>
      <w:r w:rsidRPr="00924D60">
        <w:rPr>
          <w:rFonts w:ascii="Times New Roman" w:hAnsi="Times New Roman" w:cs="Times New Roman"/>
          <w:color w:val="000000"/>
          <w:sz w:val="20"/>
          <w:szCs w:val="20"/>
          <w:shd w:val="clear" w:color="auto" w:fill="FFFFFF"/>
        </w:rPr>
        <w:t>doi:</w:t>
      </w:r>
      <w:hyperlink r:id="rId10" w:history="1">
        <w:r w:rsidRPr="00924D60">
          <w:rPr>
            <w:rStyle w:val="Hyperlink"/>
            <w:rFonts w:ascii="Times New Roman" w:hAnsi="Times New Roman" w:cs="Times New Roman"/>
            <w:color w:val="0000FF"/>
            <w:sz w:val="20"/>
            <w:szCs w:val="20"/>
            <w:shd w:val="clear" w:color="auto" w:fill="FFFFFF"/>
          </w:rPr>
          <w:t>10.7537/mars</w:t>
        </w:r>
        <w:r w:rsidRPr="00924D60">
          <w:rPr>
            <w:rStyle w:val="Hyperlink"/>
            <w:rFonts w:ascii="Times New Roman" w:hAnsi="Times New Roman" w:cs="Times New Roman" w:hint="eastAsia"/>
            <w:color w:val="0000FF"/>
            <w:sz w:val="20"/>
            <w:szCs w:val="20"/>
            <w:shd w:val="clear" w:color="auto" w:fill="FFFFFF"/>
          </w:rPr>
          <w:t>nys120819.</w:t>
        </w:r>
        <w:r w:rsidRPr="00924D60">
          <w:rPr>
            <w:rStyle w:val="Hyperlink"/>
            <w:rFonts w:ascii="Times New Roman" w:hAnsi="Times New Roman" w:cs="Times New Roman"/>
            <w:color w:val="0000FF"/>
            <w:sz w:val="20"/>
            <w:szCs w:val="20"/>
            <w:shd w:val="clear" w:color="auto" w:fill="FFFFFF"/>
          </w:rPr>
          <w:t>0</w:t>
        </w:r>
        <w:r w:rsidRPr="00924D60">
          <w:rPr>
            <w:rStyle w:val="Hyperlink"/>
            <w:rFonts w:ascii="Times New Roman" w:hAnsi="Times New Roman" w:cs="Times New Roman" w:hint="eastAsia"/>
            <w:color w:val="0000FF"/>
            <w:sz w:val="20"/>
            <w:szCs w:val="20"/>
            <w:shd w:val="clear" w:color="auto" w:fill="FFFFFF"/>
            <w:lang w:eastAsia="zh-CN"/>
          </w:rPr>
          <w:t>1</w:t>
        </w:r>
      </w:hyperlink>
      <w:r w:rsidRPr="00924D60">
        <w:rPr>
          <w:rFonts w:ascii="Times New Roman" w:hAnsi="Times New Roman" w:cs="Times New Roman"/>
          <w:color w:val="000000"/>
          <w:sz w:val="20"/>
          <w:szCs w:val="20"/>
          <w:shd w:val="clear" w:color="auto" w:fill="FFFFFF"/>
        </w:rPr>
        <w:t>.</w:t>
      </w:r>
    </w:p>
    <w:p w:rsidR="00073206" w:rsidRPr="00924D60" w:rsidRDefault="00073206" w:rsidP="00306F41">
      <w:pPr>
        <w:bidi w:val="0"/>
        <w:snapToGrid w:val="0"/>
        <w:spacing w:after="0" w:line="240" w:lineRule="auto"/>
        <w:jc w:val="both"/>
        <w:rPr>
          <w:rFonts w:ascii="Times New Roman" w:hAnsi="Times New Roman" w:cs="Times New Roman"/>
          <w:sz w:val="20"/>
          <w:szCs w:val="20"/>
          <w:lang w:eastAsia="zh-CN"/>
        </w:rPr>
      </w:pPr>
    </w:p>
    <w:p w:rsidR="00073206" w:rsidRPr="00924D60" w:rsidRDefault="00073206"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hint="eastAsia"/>
          <w:b/>
          <w:sz w:val="20"/>
          <w:szCs w:val="20"/>
          <w:lang w:eastAsia="zh-CN"/>
        </w:rPr>
        <w:t xml:space="preserve">Keywords: </w:t>
      </w:r>
      <w:r w:rsidRPr="00924D60">
        <w:rPr>
          <w:rFonts w:ascii="Times New Roman" w:eastAsia="Times New Roman" w:hAnsi="Times New Roman" w:cs="Times New Roman"/>
          <w:bCs/>
          <w:sz w:val="20"/>
          <w:szCs w:val="20"/>
        </w:rPr>
        <w:t>Role</w:t>
      </w:r>
      <w:r w:rsidRPr="00924D60">
        <w:rPr>
          <w:rFonts w:ascii="Times New Roman" w:hAnsi="Times New Roman" w:cs="Times New Roman" w:hint="eastAsia"/>
          <w:bCs/>
          <w:sz w:val="20"/>
          <w:szCs w:val="20"/>
          <w:lang w:eastAsia="zh-CN"/>
        </w:rPr>
        <w:t>;</w:t>
      </w:r>
      <w:r w:rsidRPr="00924D60">
        <w:rPr>
          <w:rFonts w:ascii="Times New Roman" w:eastAsia="Times New Roman" w:hAnsi="Times New Roman" w:cs="Times New Roman"/>
          <w:bCs/>
          <w:sz w:val="20"/>
          <w:szCs w:val="20"/>
        </w:rPr>
        <w:t xml:space="preserve"> Trace</w:t>
      </w:r>
      <w:r w:rsidRPr="00924D60">
        <w:rPr>
          <w:rFonts w:ascii="Times New Roman" w:hAnsi="Times New Roman" w:cs="Times New Roman" w:hint="eastAsia"/>
          <w:bCs/>
          <w:sz w:val="20"/>
          <w:szCs w:val="20"/>
          <w:lang w:eastAsia="zh-CN"/>
        </w:rPr>
        <w:t xml:space="preserve">; </w:t>
      </w:r>
      <w:r w:rsidRPr="00924D60">
        <w:rPr>
          <w:rFonts w:ascii="Times New Roman" w:eastAsia="Times New Roman" w:hAnsi="Times New Roman" w:cs="Times New Roman"/>
          <w:bCs/>
          <w:sz w:val="20"/>
          <w:szCs w:val="20"/>
        </w:rPr>
        <w:t>Element</w:t>
      </w:r>
      <w:r w:rsidRPr="00924D60">
        <w:rPr>
          <w:rFonts w:ascii="Times New Roman" w:hAnsi="Times New Roman" w:cs="Times New Roman" w:hint="eastAsia"/>
          <w:bCs/>
          <w:sz w:val="20"/>
          <w:szCs w:val="20"/>
          <w:lang w:eastAsia="zh-CN"/>
        </w:rPr>
        <w:t>;</w:t>
      </w:r>
      <w:r w:rsidRPr="00924D60">
        <w:rPr>
          <w:rFonts w:ascii="Times New Roman" w:eastAsia="Times New Roman" w:hAnsi="Times New Roman" w:cs="Times New Roman"/>
          <w:bCs/>
          <w:sz w:val="20"/>
          <w:szCs w:val="20"/>
        </w:rPr>
        <w:t xml:space="preserve"> sample</w:t>
      </w:r>
      <w:r w:rsidRPr="00924D60">
        <w:rPr>
          <w:rFonts w:ascii="Times New Roman" w:hAnsi="Times New Roman" w:cs="Times New Roman" w:hint="eastAsia"/>
          <w:bCs/>
          <w:sz w:val="20"/>
          <w:szCs w:val="20"/>
          <w:lang w:eastAsia="zh-CN"/>
        </w:rPr>
        <w:t xml:space="preserve">; </w:t>
      </w:r>
      <w:r w:rsidRPr="00924D60">
        <w:rPr>
          <w:rFonts w:ascii="Times New Roman" w:eastAsia="Times New Roman" w:hAnsi="Times New Roman" w:cs="Times New Roman"/>
          <w:bCs/>
          <w:sz w:val="20"/>
          <w:szCs w:val="20"/>
        </w:rPr>
        <w:t>Egyptian</w:t>
      </w:r>
      <w:r w:rsidRPr="00924D60">
        <w:rPr>
          <w:rFonts w:ascii="Times New Roman" w:hAnsi="Times New Roman" w:cs="Times New Roman" w:hint="eastAsia"/>
          <w:bCs/>
          <w:sz w:val="20"/>
          <w:szCs w:val="20"/>
          <w:lang w:eastAsia="zh-CN"/>
        </w:rPr>
        <w:t>;</w:t>
      </w:r>
      <w:r w:rsidRPr="00924D60">
        <w:rPr>
          <w:rFonts w:ascii="Times New Roman" w:eastAsia="Times New Roman" w:hAnsi="Times New Roman" w:cs="Times New Roman"/>
          <w:bCs/>
          <w:sz w:val="20"/>
          <w:szCs w:val="20"/>
        </w:rPr>
        <w:t xml:space="preserve"> Children</w:t>
      </w:r>
      <w:r w:rsidRPr="00924D60">
        <w:rPr>
          <w:rFonts w:ascii="Times New Roman" w:hAnsi="Times New Roman" w:cs="Times New Roman" w:hint="eastAsia"/>
          <w:bCs/>
          <w:sz w:val="20"/>
          <w:szCs w:val="20"/>
          <w:lang w:eastAsia="zh-CN"/>
        </w:rPr>
        <w:t>;</w:t>
      </w:r>
      <w:r w:rsidRPr="00924D60">
        <w:rPr>
          <w:rFonts w:ascii="Times New Roman" w:eastAsia="Times New Roman" w:hAnsi="Times New Roman" w:cs="Times New Roman"/>
          <w:bCs/>
          <w:sz w:val="20"/>
          <w:szCs w:val="20"/>
        </w:rPr>
        <w:t xml:space="preserve"> Febrile</w:t>
      </w:r>
      <w:r w:rsidRPr="00924D60">
        <w:rPr>
          <w:rFonts w:ascii="Times New Roman" w:hAnsi="Times New Roman" w:cs="Times New Roman" w:hint="eastAsia"/>
          <w:bCs/>
          <w:sz w:val="20"/>
          <w:szCs w:val="20"/>
          <w:lang w:eastAsia="zh-CN"/>
        </w:rPr>
        <w:t>;</w:t>
      </w:r>
      <w:r w:rsidRPr="00924D60">
        <w:rPr>
          <w:rFonts w:ascii="Times New Roman" w:eastAsia="Times New Roman" w:hAnsi="Times New Roman" w:cs="Times New Roman"/>
          <w:bCs/>
          <w:sz w:val="20"/>
          <w:szCs w:val="20"/>
        </w:rPr>
        <w:t xml:space="preserve"> Seizure</w:t>
      </w:r>
    </w:p>
    <w:p w:rsidR="00AC7B9D" w:rsidRPr="00924D60" w:rsidRDefault="00AC7B9D" w:rsidP="00306F41">
      <w:pPr>
        <w:bidi w:val="0"/>
        <w:snapToGrid w:val="0"/>
        <w:spacing w:after="0" w:line="240" w:lineRule="auto"/>
        <w:jc w:val="both"/>
        <w:rPr>
          <w:rFonts w:ascii="Times New Roman" w:hAnsi="Times New Roman" w:cs="Times New Roman"/>
          <w:b/>
          <w:bCs/>
          <w:sz w:val="20"/>
          <w:szCs w:val="20"/>
        </w:rPr>
      </w:pPr>
    </w:p>
    <w:p w:rsidR="00306F41" w:rsidRPr="00924D60" w:rsidRDefault="00306F41" w:rsidP="00306F41">
      <w:pPr>
        <w:bidi w:val="0"/>
        <w:snapToGrid w:val="0"/>
        <w:spacing w:after="0" w:line="240" w:lineRule="auto"/>
        <w:jc w:val="both"/>
        <w:rPr>
          <w:rFonts w:ascii="Times New Roman" w:hAnsi="Times New Roman" w:cs="Times New Roman"/>
          <w:b/>
          <w:bCs/>
          <w:sz w:val="20"/>
          <w:szCs w:val="20"/>
        </w:rPr>
        <w:sectPr w:rsidR="00306F41" w:rsidRPr="00924D60" w:rsidSect="007739D4">
          <w:headerReference w:type="default" r:id="rId11"/>
          <w:footerReference w:type="default" r:id="rId12"/>
          <w:type w:val="continuous"/>
          <w:pgSz w:w="12240" w:h="15840" w:code="9"/>
          <w:pgMar w:top="1440" w:right="1440" w:bottom="1440" w:left="1440" w:header="720" w:footer="720" w:gutter="0"/>
          <w:cols w:space="720"/>
          <w:docGrid w:linePitch="360"/>
        </w:sectPr>
      </w:pPr>
    </w:p>
    <w:p w:rsidR="004E7EBC" w:rsidRPr="00924D60" w:rsidRDefault="00AC7B9D"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lastRenderedPageBreak/>
        <w:t xml:space="preserve">1. </w:t>
      </w:r>
      <w:r w:rsidR="004E7EBC" w:rsidRPr="00924D60">
        <w:rPr>
          <w:rFonts w:ascii="Times New Roman" w:hAnsi="Times New Roman" w:cs="Times New Roman"/>
          <w:b/>
          <w:bCs/>
          <w:sz w:val="20"/>
          <w:szCs w:val="20"/>
        </w:rPr>
        <w:t>Introduction</w:t>
      </w:r>
    </w:p>
    <w:p w:rsidR="007739D4" w:rsidRPr="00924D60" w:rsidRDefault="004E7EBC"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 xml:space="preserve">Febrile seizures is a common neurological problem at childhood accounting for 30% of all seizures among children </w:t>
      </w:r>
      <w:r w:rsidR="00FD453B" w:rsidRPr="00924D60">
        <w:rPr>
          <w:rFonts w:ascii="Times New Roman" w:hAnsi="Times New Roman" w:cs="Times New Roman"/>
          <w:b/>
          <w:bCs/>
          <w:sz w:val="20"/>
          <w:szCs w:val="20"/>
          <w:vertAlign w:val="superscript"/>
        </w:rPr>
        <w:t>(1)</w:t>
      </w:r>
      <w:r w:rsidRPr="00924D60">
        <w:rPr>
          <w:rFonts w:ascii="Times New Roman" w:hAnsi="Times New Roman" w:cs="Times New Roman"/>
          <w:b/>
          <w:bCs/>
          <w:sz w:val="20"/>
          <w:szCs w:val="20"/>
        </w:rPr>
        <w:t xml:space="preserve">. </w:t>
      </w:r>
      <w:r w:rsidRPr="00924D60">
        <w:rPr>
          <w:rFonts w:ascii="Times New Roman" w:hAnsi="Times New Roman" w:cs="Times New Roman"/>
          <w:sz w:val="20"/>
          <w:szCs w:val="20"/>
        </w:rPr>
        <w:t>Although described by the ancient Greeks, it was not until the past century that febrile seizures were recognized as a distinct syndrome separate from epilepsy. Febrile seizures has been defined by the American Academy of Pediatrics (AAP) as a seizure occurring in febrile children between the ages of 6 and 60 months who do not have an intracranial infection, metabolic disturbance, or history of a</w:t>
      </w:r>
      <w:r w:rsidR="00924D60" w:rsidRPr="00924D60">
        <w:rPr>
          <w:rFonts w:ascii="Times New Roman" w:hAnsi="Times New Roman" w:cs="Times New Roman" w:hint="eastAsia"/>
          <w:sz w:val="20"/>
          <w:szCs w:val="20"/>
          <w:lang w:eastAsia="zh-CN"/>
        </w:rPr>
        <w:t xml:space="preserve"> </w:t>
      </w:r>
      <w:r w:rsidRPr="00924D60">
        <w:rPr>
          <w:rFonts w:ascii="Times New Roman" w:hAnsi="Times New Roman" w:cs="Times New Roman"/>
          <w:sz w:val="20"/>
          <w:szCs w:val="20"/>
        </w:rPr>
        <w:t>febrile seizur</w:t>
      </w:r>
      <w:r w:rsidR="007739D4" w:rsidRPr="00924D60">
        <w:rPr>
          <w:rFonts w:ascii="Times New Roman" w:hAnsi="Times New Roman" w:cs="Times New Roman"/>
          <w:sz w:val="20"/>
          <w:szCs w:val="20"/>
        </w:rPr>
        <w:t xml:space="preserve">e </w:t>
      </w:r>
      <w:r w:rsidR="007739D4" w:rsidRPr="00924D60">
        <w:rPr>
          <w:rFonts w:ascii="Times New Roman" w:hAnsi="Times New Roman" w:cs="Times New Roman"/>
          <w:b/>
          <w:bCs/>
          <w:sz w:val="20"/>
          <w:szCs w:val="20"/>
          <w:vertAlign w:val="superscript"/>
        </w:rPr>
        <w:t>(</w:t>
      </w:r>
      <w:r w:rsidR="00FD453B" w:rsidRPr="00924D60">
        <w:rPr>
          <w:rFonts w:ascii="Times New Roman" w:hAnsi="Times New Roman" w:cs="Times New Roman"/>
          <w:b/>
          <w:bCs/>
          <w:sz w:val="20"/>
          <w:szCs w:val="20"/>
          <w:vertAlign w:val="superscript"/>
        </w:rPr>
        <w:t>2)</w:t>
      </w:r>
      <w:r w:rsidRPr="00924D60">
        <w:rPr>
          <w:rFonts w:ascii="Times New Roman" w:hAnsi="Times New Roman" w:cs="Times New Roman"/>
          <w:b/>
          <w:bCs/>
          <w:sz w:val="20"/>
          <w:szCs w:val="20"/>
        </w:rPr>
        <w:t>.</w:t>
      </w:r>
    </w:p>
    <w:p w:rsidR="00FD453B" w:rsidRPr="00924D60" w:rsidRDefault="007739D4"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A</w:t>
      </w:r>
      <w:r w:rsidR="004E7EBC" w:rsidRPr="00924D60">
        <w:rPr>
          <w:rFonts w:ascii="Times New Roman" w:hAnsi="Times New Roman" w:cs="Times New Roman"/>
          <w:sz w:val="20"/>
          <w:szCs w:val="20"/>
        </w:rPr>
        <w:t>bout 30-40 % of children with first episode of febrile seizures will experience recurrences, hence febrile seizure is an important illness to understand and preven</w:t>
      </w:r>
      <w:r w:rsidRPr="00924D60">
        <w:rPr>
          <w:rFonts w:ascii="Times New Roman" w:hAnsi="Times New Roman" w:cs="Times New Roman"/>
          <w:sz w:val="20"/>
          <w:szCs w:val="20"/>
        </w:rPr>
        <w:t xml:space="preserve">t </w:t>
      </w:r>
      <w:r w:rsidRPr="00924D60">
        <w:rPr>
          <w:rFonts w:ascii="Times New Roman" w:hAnsi="Times New Roman" w:cs="Times New Roman"/>
          <w:b/>
          <w:bCs/>
          <w:color w:val="1A1A1A"/>
          <w:sz w:val="20"/>
          <w:szCs w:val="20"/>
          <w:vertAlign w:val="superscript"/>
        </w:rPr>
        <w:t>(</w:t>
      </w:r>
      <w:r w:rsidR="008D5DAC" w:rsidRPr="00924D60">
        <w:rPr>
          <w:rFonts w:ascii="Times New Roman" w:hAnsi="Times New Roman" w:cs="Times New Roman"/>
          <w:b/>
          <w:bCs/>
          <w:color w:val="1A1A1A"/>
          <w:sz w:val="20"/>
          <w:szCs w:val="20"/>
          <w:vertAlign w:val="superscript"/>
        </w:rPr>
        <w:t>3)</w:t>
      </w:r>
      <w:r w:rsidR="004E7EBC" w:rsidRPr="00924D60">
        <w:rPr>
          <w:rFonts w:ascii="Times New Roman" w:hAnsi="Times New Roman" w:cs="Times New Roman"/>
          <w:b/>
          <w:bCs/>
          <w:color w:val="1A1A1A"/>
          <w:sz w:val="20"/>
          <w:szCs w:val="20"/>
        </w:rPr>
        <w:t xml:space="preserve">. </w:t>
      </w:r>
      <w:r w:rsidR="004E7EBC" w:rsidRPr="00924D60">
        <w:rPr>
          <w:rFonts w:ascii="Times New Roman" w:hAnsi="Times New Roman" w:cs="Times New Roman"/>
          <w:sz w:val="20"/>
          <w:szCs w:val="20"/>
        </w:rPr>
        <w:t>Febrile seizures occur in young children at a time in their development when the seizure threshold is low. This is a time when young children are susceptible to frequent childhood infections such as upper respiratory infection, otitis media, viral syndrome, and they respond with comparably higher temperature</w:t>
      </w:r>
      <w:r w:rsidRPr="00924D60">
        <w:rPr>
          <w:rFonts w:ascii="Times New Roman" w:hAnsi="Times New Roman" w:cs="Times New Roman"/>
          <w:sz w:val="20"/>
          <w:szCs w:val="20"/>
        </w:rPr>
        <w:t xml:space="preserve">s </w:t>
      </w:r>
      <w:r w:rsidRPr="00924D60">
        <w:rPr>
          <w:rFonts w:ascii="Times New Roman" w:hAnsi="Times New Roman" w:cs="Times New Roman"/>
          <w:b/>
          <w:bCs/>
          <w:sz w:val="20"/>
          <w:szCs w:val="20"/>
          <w:vertAlign w:val="superscript"/>
        </w:rPr>
        <w:t>(</w:t>
      </w:r>
      <w:r w:rsidR="008D5DAC" w:rsidRPr="00924D60">
        <w:rPr>
          <w:rFonts w:ascii="Times New Roman" w:hAnsi="Times New Roman" w:cs="Times New Roman"/>
          <w:b/>
          <w:bCs/>
          <w:sz w:val="20"/>
          <w:szCs w:val="20"/>
          <w:vertAlign w:val="superscript"/>
        </w:rPr>
        <w:t>4)</w:t>
      </w:r>
      <w:r w:rsidR="004E7EBC" w:rsidRPr="00924D60">
        <w:rPr>
          <w:rFonts w:ascii="Times New Roman" w:hAnsi="Times New Roman" w:cs="Times New Roman"/>
          <w:b/>
          <w:bCs/>
          <w:sz w:val="20"/>
          <w:szCs w:val="20"/>
        </w:rPr>
        <w:t xml:space="preserve">. </w:t>
      </w:r>
    </w:p>
    <w:p w:rsidR="00FD453B" w:rsidRPr="00924D60" w:rsidRDefault="004E7EBC"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lastRenderedPageBreak/>
        <w:t>A number of trace elements are said to play a role in febrile seizures by their co-enzyme activity or ability to influence ion channels and receptors. Studies have shown that iron, zinc, selenium, copper and magnesium play significant role in febrile seizure. Zinc acts as a cofactor of glutamic acid decarboxylase, an enzyme which maintains the production of GABA in central nervous system and decreased level of zinc has been observed in febrile seizure</w:t>
      </w:r>
      <w:r w:rsidR="007739D4" w:rsidRPr="00924D60">
        <w:rPr>
          <w:rFonts w:ascii="Times New Roman" w:hAnsi="Times New Roman" w:cs="Times New Roman"/>
          <w:sz w:val="20"/>
          <w:szCs w:val="20"/>
        </w:rPr>
        <w:t xml:space="preserve">s </w:t>
      </w:r>
      <w:r w:rsidR="007739D4" w:rsidRPr="00924D60">
        <w:rPr>
          <w:rFonts w:ascii="Times New Roman" w:hAnsi="Times New Roman" w:cs="Times New Roman"/>
          <w:b/>
          <w:bCs/>
          <w:sz w:val="20"/>
          <w:szCs w:val="20"/>
          <w:vertAlign w:val="superscript"/>
        </w:rPr>
        <w:t>(</w:t>
      </w:r>
      <w:r w:rsidR="008D5DAC" w:rsidRPr="00924D60">
        <w:rPr>
          <w:rFonts w:ascii="Times New Roman" w:hAnsi="Times New Roman" w:cs="Times New Roman"/>
          <w:b/>
          <w:bCs/>
          <w:sz w:val="20"/>
          <w:szCs w:val="20"/>
          <w:vertAlign w:val="superscript"/>
        </w:rPr>
        <w:t>5)</w:t>
      </w:r>
      <w:r w:rsidRPr="00924D60">
        <w:rPr>
          <w:rFonts w:ascii="Times New Roman" w:hAnsi="Times New Roman" w:cs="Times New Roman"/>
          <w:sz w:val="20"/>
          <w:szCs w:val="20"/>
        </w:rPr>
        <w:t xml:space="preserve">. </w:t>
      </w:r>
    </w:p>
    <w:p w:rsidR="00FD453B" w:rsidRPr="00924D60" w:rsidRDefault="004E7EBC"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Magnesium is involved in neuronal function and it inhibits the facilitatory effects of calcium on synaptic transmission and also exerts a voltage dependent blockage of Nmethyl-D-aspartate (NMDA) receptor channel. It is suggested to use supplementary zinc and magnesium as preventive measure for febrile convulsion in childre</w:t>
      </w:r>
      <w:r w:rsidR="007739D4" w:rsidRPr="00924D60">
        <w:rPr>
          <w:rFonts w:ascii="Times New Roman" w:hAnsi="Times New Roman" w:cs="Times New Roman"/>
          <w:sz w:val="20"/>
          <w:szCs w:val="20"/>
        </w:rPr>
        <w:t xml:space="preserve">n </w:t>
      </w:r>
      <w:r w:rsidR="007739D4" w:rsidRPr="00924D60">
        <w:rPr>
          <w:rFonts w:ascii="Times New Roman" w:hAnsi="Times New Roman" w:cs="Times New Roman"/>
          <w:b/>
          <w:bCs/>
          <w:sz w:val="20"/>
          <w:szCs w:val="20"/>
          <w:vertAlign w:val="superscript"/>
        </w:rPr>
        <w:t>(</w:t>
      </w:r>
      <w:r w:rsidR="008D5DAC" w:rsidRPr="00924D60">
        <w:rPr>
          <w:rFonts w:ascii="Times New Roman" w:hAnsi="Times New Roman" w:cs="Times New Roman"/>
          <w:b/>
          <w:bCs/>
          <w:sz w:val="20"/>
          <w:szCs w:val="20"/>
          <w:vertAlign w:val="superscript"/>
        </w:rPr>
        <w:t>6)</w:t>
      </w:r>
      <w:r w:rsidRPr="00924D60">
        <w:rPr>
          <w:rFonts w:ascii="Times New Roman" w:hAnsi="Times New Roman" w:cs="Times New Roman"/>
          <w:b/>
          <w:bCs/>
          <w:sz w:val="20"/>
          <w:szCs w:val="20"/>
        </w:rPr>
        <w:t>.</w:t>
      </w:r>
    </w:p>
    <w:p w:rsidR="004E7EBC" w:rsidRPr="00924D60" w:rsidRDefault="004E7EBC" w:rsidP="00306F41">
      <w:pPr>
        <w:bidi w:val="0"/>
        <w:snapToGrid w:val="0"/>
        <w:spacing w:after="0" w:line="240" w:lineRule="auto"/>
        <w:ind w:firstLine="425"/>
        <w:jc w:val="both"/>
        <w:rPr>
          <w:rFonts w:ascii="Times New Roman" w:hAnsi="Times New Roman" w:cs="Times New Roman"/>
          <w:b/>
          <w:bCs/>
          <w:sz w:val="20"/>
          <w:szCs w:val="20"/>
        </w:rPr>
      </w:pPr>
      <w:r w:rsidRPr="00924D60">
        <w:rPr>
          <w:rFonts w:ascii="Times New Roman" w:hAnsi="Times New Roman" w:cs="Times New Roman"/>
          <w:sz w:val="20"/>
          <w:szCs w:val="20"/>
        </w:rPr>
        <w:t xml:space="preserve">Copper inhibits Mg++-adenosine triphosphatase (ATPase) and Na+-K+-ATPase enzymes and disturbs the sodium and potassium homeostasis which results in the genesis of epileptiform discharges </w:t>
      </w:r>
      <w:r w:rsidR="008D5DAC" w:rsidRPr="00924D60">
        <w:rPr>
          <w:rFonts w:ascii="Times New Roman" w:hAnsi="Times New Roman" w:cs="Times New Roman"/>
          <w:b/>
          <w:bCs/>
          <w:sz w:val="20"/>
          <w:szCs w:val="20"/>
          <w:vertAlign w:val="superscript"/>
        </w:rPr>
        <w:t>(7)</w:t>
      </w:r>
      <w:r w:rsidRPr="00924D60">
        <w:rPr>
          <w:rFonts w:ascii="Times New Roman" w:hAnsi="Times New Roman" w:cs="Times New Roman"/>
          <w:b/>
          <w:bCs/>
          <w:sz w:val="20"/>
          <w:szCs w:val="20"/>
        </w:rPr>
        <w:t>.</w:t>
      </w:r>
    </w:p>
    <w:p w:rsidR="003A2174" w:rsidRPr="00924D60" w:rsidRDefault="003A2174" w:rsidP="00306F41">
      <w:pPr>
        <w:bidi w:val="0"/>
        <w:snapToGrid w:val="0"/>
        <w:spacing w:after="0" w:line="240" w:lineRule="auto"/>
        <w:ind w:firstLine="425"/>
        <w:jc w:val="both"/>
        <w:rPr>
          <w:rFonts w:ascii="Times New Roman" w:hAnsi="Times New Roman" w:cs="Times New Roman"/>
          <w:b/>
          <w:bCs/>
          <w:sz w:val="20"/>
          <w:szCs w:val="20"/>
        </w:rPr>
      </w:pPr>
      <w:r w:rsidRPr="00924D60">
        <w:rPr>
          <w:rFonts w:ascii="Times New Roman" w:hAnsi="Times New Roman" w:cs="Times New Roman"/>
          <w:sz w:val="20"/>
          <w:szCs w:val="20"/>
        </w:rPr>
        <w:t>This study was conducted</w:t>
      </w:r>
      <w:r w:rsidR="00924D60" w:rsidRPr="00924D60">
        <w:rPr>
          <w:rFonts w:ascii="Times New Roman" w:hAnsi="Times New Roman" w:cs="Times New Roman" w:hint="eastAsia"/>
          <w:sz w:val="20"/>
          <w:szCs w:val="20"/>
          <w:lang w:eastAsia="zh-CN"/>
        </w:rPr>
        <w:t xml:space="preserve"> </w:t>
      </w:r>
      <w:r w:rsidRPr="00924D60">
        <w:rPr>
          <w:rFonts w:ascii="Times New Roman" w:hAnsi="Times New Roman" w:cs="Times New Roman"/>
          <w:sz w:val="20"/>
          <w:szCs w:val="20"/>
        </w:rPr>
        <w:t xml:space="preserve">to investigate plasma levels of trace elements (zinc, copper and magnesium), </w:t>
      </w:r>
      <w:r w:rsidRPr="00924D60">
        <w:rPr>
          <w:rFonts w:ascii="Times New Roman" w:hAnsi="Times New Roman" w:cs="Times New Roman"/>
          <w:sz w:val="20"/>
          <w:szCs w:val="20"/>
        </w:rPr>
        <w:lastRenderedPageBreak/>
        <w:t>among children with febrile seizures to evaluate the relationship between these elements and seizure occurrence.</w:t>
      </w:r>
    </w:p>
    <w:p w:rsidR="00AC7B9D" w:rsidRPr="00924D60" w:rsidRDefault="00AC7B9D" w:rsidP="00306F41">
      <w:pPr>
        <w:bidi w:val="0"/>
        <w:snapToGrid w:val="0"/>
        <w:spacing w:after="0" w:line="240" w:lineRule="auto"/>
        <w:jc w:val="both"/>
        <w:rPr>
          <w:rFonts w:ascii="Times New Roman" w:hAnsi="Times New Roman" w:cs="Times New Roman"/>
          <w:b/>
          <w:bCs/>
          <w:sz w:val="20"/>
          <w:szCs w:val="20"/>
        </w:rPr>
      </w:pPr>
    </w:p>
    <w:p w:rsidR="00B66BD8" w:rsidRPr="00924D60" w:rsidRDefault="00AC7B9D"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 xml:space="preserve">2. </w:t>
      </w:r>
      <w:r w:rsidR="00B66BD8" w:rsidRPr="00924D60">
        <w:rPr>
          <w:rFonts w:ascii="Times New Roman" w:hAnsi="Times New Roman" w:cs="Times New Roman"/>
          <w:b/>
          <w:bCs/>
          <w:sz w:val="20"/>
          <w:szCs w:val="20"/>
        </w:rPr>
        <w:t>Patients and Methods</w:t>
      </w:r>
    </w:p>
    <w:p w:rsidR="00B66BD8" w:rsidRPr="00924D60" w:rsidRDefault="00B66BD8"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 xml:space="preserve">This prospective case control study was conducted in the pediatric neurology unit of the neurology department of Al-Azhar university hospitals, Cairo, Egypt for one year period from April 2018 to </w:t>
      </w:r>
      <w:r w:rsidR="00F13983" w:rsidRPr="00924D60">
        <w:rPr>
          <w:rFonts w:ascii="Times New Roman" w:hAnsi="Times New Roman" w:cs="Times New Roman"/>
          <w:sz w:val="20"/>
          <w:szCs w:val="20"/>
        </w:rPr>
        <w:t>March2019. A total of 56 child were included</w:t>
      </w:r>
      <w:r w:rsidR="007739D4" w:rsidRPr="00924D60">
        <w:rPr>
          <w:rFonts w:ascii="Times New Roman" w:hAnsi="Times New Roman" w:cs="Times New Roman"/>
          <w:sz w:val="20"/>
          <w:szCs w:val="20"/>
        </w:rPr>
        <w:t xml:space="preserve"> </w:t>
      </w:r>
      <w:r w:rsidR="00F13983" w:rsidRPr="00924D60">
        <w:rPr>
          <w:rFonts w:ascii="Times New Roman" w:hAnsi="Times New Roman" w:cs="Times New Roman"/>
          <w:sz w:val="20"/>
          <w:szCs w:val="20"/>
        </w:rPr>
        <w:t xml:space="preserve">those were divided into three groups. </w:t>
      </w:r>
      <w:r w:rsidR="003F3A43" w:rsidRPr="00924D60">
        <w:rPr>
          <w:rFonts w:ascii="Times New Roman" w:hAnsi="Times New Roman" w:cs="Times New Roman"/>
          <w:sz w:val="20"/>
          <w:szCs w:val="20"/>
        </w:rPr>
        <w:t>Eighteen</w:t>
      </w:r>
      <w:r w:rsidR="00F13983" w:rsidRPr="00924D60">
        <w:rPr>
          <w:rFonts w:ascii="Times New Roman" w:hAnsi="Times New Roman" w:cs="Times New Roman"/>
          <w:sz w:val="20"/>
          <w:szCs w:val="20"/>
        </w:rPr>
        <w:t xml:space="preserve"> child with febrile seizure, </w:t>
      </w:r>
      <w:r w:rsidR="003F3A43" w:rsidRPr="00924D60">
        <w:rPr>
          <w:rFonts w:ascii="Times New Roman" w:hAnsi="Times New Roman" w:cs="Times New Roman"/>
          <w:sz w:val="20"/>
          <w:szCs w:val="20"/>
        </w:rPr>
        <w:t xml:space="preserve">eighteen </w:t>
      </w:r>
      <w:r w:rsidR="00F13983" w:rsidRPr="00924D60">
        <w:rPr>
          <w:rFonts w:ascii="Times New Roman" w:hAnsi="Times New Roman" w:cs="Times New Roman"/>
          <w:sz w:val="20"/>
          <w:szCs w:val="20"/>
        </w:rPr>
        <w:t xml:space="preserve">child with generalized epileptic seizures and </w:t>
      </w:r>
      <w:r w:rsidR="003F3A43" w:rsidRPr="00924D60">
        <w:rPr>
          <w:rFonts w:ascii="Times New Roman" w:hAnsi="Times New Roman" w:cs="Times New Roman"/>
          <w:sz w:val="20"/>
          <w:szCs w:val="20"/>
        </w:rPr>
        <w:t xml:space="preserve">eighteen </w:t>
      </w:r>
      <w:r w:rsidR="00F13983" w:rsidRPr="00924D60">
        <w:rPr>
          <w:rFonts w:ascii="Times New Roman" w:hAnsi="Times New Roman" w:cs="Times New Roman"/>
          <w:sz w:val="20"/>
          <w:szCs w:val="20"/>
        </w:rPr>
        <w:t>child with febrile illness without seizures as a control group.</w:t>
      </w:r>
      <w:r w:rsidR="003F3A43" w:rsidRPr="00924D60">
        <w:rPr>
          <w:rFonts w:ascii="Times New Roman" w:hAnsi="Times New Roman" w:cs="Times New Roman"/>
          <w:sz w:val="20"/>
          <w:szCs w:val="20"/>
        </w:rPr>
        <w:t xml:space="preserve"> Informed consent was obtained from the parents or guardians. Patients were subjected to thorough history and complete clinical examination. EEG was done to all patients. </w:t>
      </w:r>
    </w:p>
    <w:p w:rsidR="003A2A2F" w:rsidRPr="00924D60" w:rsidRDefault="003F3A43"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Inclusion criteria</w:t>
      </w:r>
    </w:p>
    <w:p w:rsidR="003F3A43" w:rsidRPr="00924D60" w:rsidRDefault="003F3A43" w:rsidP="00306F41">
      <w:pPr>
        <w:pStyle w:val="ListParagraph"/>
        <w:numPr>
          <w:ilvl w:val="0"/>
          <w:numId w:val="3"/>
        </w:numPr>
        <w:bidi w:val="0"/>
        <w:snapToGrid w:val="0"/>
        <w:spacing w:after="0" w:line="240" w:lineRule="auto"/>
        <w:ind w:left="0" w:firstLine="425"/>
        <w:jc w:val="both"/>
        <w:rPr>
          <w:rFonts w:ascii="Times New Roman" w:hAnsi="Times New Roman" w:cs="Times New Roman"/>
          <w:b/>
          <w:bCs/>
          <w:i/>
          <w:iCs/>
          <w:sz w:val="20"/>
          <w:szCs w:val="20"/>
        </w:rPr>
      </w:pPr>
      <w:r w:rsidRPr="00924D60">
        <w:rPr>
          <w:rFonts w:ascii="Times New Roman" w:hAnsi="Times New Roman" w:cs="Times New Roman"/>
          <w:sz w:val="20"/>
          <w:szCs w:val="20"/>
        </w:rPr>
        <w:t>Children aged between 6 months and 5 years.</w:t>
      </w:r>
    </w:p>
    <w:p w:rsidR="003F3A43" w:rsidRPr="00924D60" w:rsidRDefault="003F3A43" w:rsidP="00306F41">
      <w:pPr>
        <w:pStyle w:val="BodyText2"/>
        <w:numPr>
          <w:ilvl w:val="0"/>
          <w:numId w:val="3"/>
        </w:numPr>
        <w:bidi w:val="0"/>
        <w:snapToGrid w:val="0"/>
        <w:spacing w:after="0" w:line="240" w:lineRule="auto"/>
        <w:ind w:left="0" w:firstLine="425"/>
        <w:jc w:val="both"/>
        <w:rPr>
          <w:rFonts w:ascii="Times New Roman" w:hAnsi="Times New Roman" w:cs="Times New Roman"/>
          <w:sz w:val="20"/>
          <w:szCs w:val="20"/>
        </w:rPr>
      </w:pPr>
      <w:r w:rsidRPr="00924D60">
        <w:rPr>
          <w:rFonts w:ascii="Times New Roman" w:hAnsi="Times New Roman" w:cs="Times New Roman"/>
          <w:sz w:val="20"/>
          <w:szCs w:val="20"/>
        </w:rPr>
        <w:t>Normal development children till the time of the study.</w:t>
      </w:r>
    </w:p>
    <w:p w:rsidR="003F3A43" w:rsidRPr="00924D60" w:rsidRDefault="003F3A43" w:rsidP="00306F41">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924D60">
        <w:rPr>
          <w:rFonts w:ascii="Times New Roman" w:hAnsi="Times New Roman" w:cs="Times New Roman"/>
          <w:sz w:val="20"/>
          <w:szCs w:val="20"/>
        </w:rPr>
        <w:t>Fever at least 38°C for febrile groups.</w:t>
      </w:r>
    </w:p>
    <w:p w:rsidR="003F3A43" w:rsidRPr="00924D60" w:rsidRDefault="003F3A43" w:rsidP="00306F41">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924D60">
        <w:rPr>
          <w:rFonts w:ascii="Times New Roman" w:hAnsi="Times New Roman" w:cs="Times New Roman"/>
          <w:sz w:val="20"/>
          <w:szCs w:val="20"/>
        </w:rPr>
        <w:t>Neurologically healthy children before Onset of symptoms for febrile groups</w:t>
      </w:r>
      <w:r w:rsidR="003A2A2F" w:rsidRPr="00924D60">
        <w:rPr>
          <w:rFonts w:ascii="Times New Roman" w:hAnsi="Times New Roman" w:cs="Times New Roman"/>
          <w:sz w:val="20"/>
          <w:szCs w:val="20"/>
        </w:rPr>
        <w:t>.</w:t>
      </w:r>
    </w:p>
    <w:p w:rsidR="003F3A43" w:rsidRPr="00924D60" w:rsidRDefault="003A2A2F" w:rsidP="00306F41">
      <w:pPr>
        <w:pStyle w:val="NormalWeb"/>
        <w:numPr>
          <w:ilvl w:val="0"/>
          <w:numId w:val="3"/>
        </w:numPr>
        <w:tabs>
          <w:tab w:val="left" w:pos="1350"/>
          <w:tab w:val="left" w:pos="2070"/>
        </w:tabs>
        <w:snapToGrid w:val="0"/>
        <w:spacing w:before="0" w:beforeAutospacing="0" w:after="0" w:afterAutospacing="0"/>
        <w:ind w:left="0" w:firstLine="425"/>
        <w:jc w:val="both"/>
        <w:rPr>
          <w:sz w:val="20"/>
          <w:szCs w:val="20"/>
        </w:rPr>
      </w:pPr>
      <w:r w:rsidRPr="00924D60">
        <w:rPr>
          <w:rFonts w:eastAsiaTheme="minorEastAsia"/>
          <w:sz w:val="20"/>
          <w:szCs w:val="20"/>
        </w:rPr>
        <w:t>Suffered from generalized seizures according to International league against epilepsy (ILAE) classification 2017</w:t>
      </w:r>
      <w:r w:rsidR="008D5DAC" w:rsidRPr="00924D60">
        <w:rPr>
          <w:b/>
          <w:bCs/>
          <w:sz w:val="20"/>
          <w:szCs w:val="20"/>
          <w:vertAlign w:val="superscript"/>
        </w:rPr>
        <w:t>(8)</w:t>
      </w:r>
      <w:r w:rsidR="003F3A43" w:rsidRPr="00924D60">
        <w:rPr>
          <w:sz w:val="20"/>
          <w:szCs w:val="20"/>
        </w:rPr>
        <w:t xml:space="preserve"> for epileptic group</w:t>
      </w:r>
      <w:r w:rsidRPr="00924D60">
        <w:rPr>
          <w:sz w:val="20"/>
          <w:szCs w:val="20"/>
        </w:rPr>
        <w:t>.</w:t>
      </w:r>
    </w:p>
    <w:p w:rsidR="003A2A2F" w:rsidRPr="00924D60" w:rsidRDefault="003A2A2F"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Exclusion criteria</w:t>
      </w:r>
    </w:p>
    <w:p w:rsidR="003A2A2F" w:rsidRPr="00924D60" w:rsidRDefault="003A2A2F" w:rsidP="00306F41">
      <w:pPr>
        <w:pStyle w:val="NormalWeb"/>
        <w:numPr>
          <w:ilvl w:val="0"/>
          <w:numId w:val="2"/>
        </w:numPr>
        <w:snapToGrid w:val="0"/>
        <w:spacing w:before="0" w:beforeAutospacing="0" w:after="0" w:afterAutospacing="0"/>
        <w:ind w:left="0" w:firstLine="425"/>
        <w:jc w:val="both"/>
        <w:rPr>
          <w:rFonts w:eastAsiaTheme="minorEastAsia"/>
          <w:sz w:val="20"/>
          <w:szCs w:val="20"/>
        </w:rPr>
      </w:pPr>
      <w:r w:rsidRPr="00924D60">
        <w:rPr>
          <w:rFonts w:eastAsiaTheme="minorEastAsia"/>
          <w:sz w:val="20"/>
          <w:szCs w:val="20"/>
        </w:rPr>
        <w:lastRenderedPageBreak/>
        <w:t>Children with chronic disease (heart, lung, liver or kidney).</w:t>
      </w:r>
    </w:p>
    <w:p w:rsidR="003A2A2F" w:rsidRPr="00924D60" w:rsidRDefault="003A2A2F" w:rsidP="00306F41">
      <w:pPr>
        <w:pStyle w:val="NormalWeb"/>
        <w:numPr>
          <w:ilvl w:val="0"/>
          <w:numId w:val="2"/>
        </w:numPr>
        <w:snapToGrid w:val="0"/>
        <w:spacing w:before="0" w:beforeAutospacing="0" w:after="0" w:afterAutospacing="0"/>
        <w:ind w:left="0" w:firstLine="425"/>
        <w:jc w:val="both"/>
        <w:rPr>
          <w:rFonts w:eastAsiaTheme="minorEastAsia"/>
          <w:sz w:val="20"/>
          <w:szCs w:val="20"/>
        </w:rPr>
      </w:pPr>
      <w:r w:rsidRPr="00924D60">
        <w:rPr>
          <w:rFonts w:eastAsiaTheme="minorEastAsia"/>
          <w:sz w:val="20"/>
          <w:szCs w:val="20"/>
        </w:rPr>
        <w:t>Progressive brain disease.</w:t>
      </w:r>
    </w:p>
    <w:p w:rsidR="003A2A2F" w:rsidRPr="00924D60" w:rsidRDefault="003A2A2F" w:rsidP="00306F41">
      <w:pPr>
        <w:pStyle w:val="NormalWeb"/>
        <w:numPr>
          <w:ilvl w:val="0"/>
          <w:numId w:val="2"/>
        </w:numPr>
        <w:snapToGrid w:val="0"/>
        <w:spacing w:before="0" w:beforeAutospacing="0" w:after="0" w:afterAutospacing="0"/>
        <w:ind w:left="0" w:firstLine="425"/>
        <w:jc w:val="both"/>
        <w:rPr>
          <w:rFonts w:eastAsiaTheme="minorEastAsia"/>
          <w:sz w:val="20"/>
          <w:szCs w:val="20"/>
        </w:rPr>
      </w:pPr>
      <w:r w:rsidRPr="00924D60">
        <w:rPr>
          <w:rFonts w:eastAsiaTheme="minorEastAsia"/>
          <w:sz w:val="20"/>
          <w:szCs w:val="20"/>
        </w:rPr>
        <w:t>Complex febrile seizures.</w:t>
      </w:r>
    </w:p>
    <w:p w:rsidR="003A2A2F" w:rsidRPr="00924D60" w:rsidRDefault="003A2A2F" w:rsidP="00306F41">
      <w:pPr>
        <w:pStyle w:val="NormalWeb"/>
        <w:numPr>
          <w:ilvl w:val="0"/>
          <w:numId w:val="2"/>
        </w:numPr>
        <w:snapToGrid w:val="0"/>
        <w:spacing w:before="0" w:beforeAutospacing="0" w:after="0" w:afterAutospacing="0"/>
        <w:ind w:left="0" w:firstLine="425"/>
        <w:jc w:val="both"/>
        <w:rPr>
          <w:rFonts w:eastAsiaTheme="minorEastAsia"/>
          <w:sz w:val="20"/>
          <w:szCs w:val="20"/>
        </w:rPr>
      </w:pPr>
      <w:r w:rsidRPr="00924D60">
        <w:rPr>
          <w:rFonts w:eastAsiaTheme="minorEastAsia"/>
          <w:sz w:val="20"/>
          <w:szCs w:val="20"/>
        </w:rPr>
        <w:t>Children with malnutrition and situations that lead to decrease study metals levels in serum including hemolysis, dehydration, vomiting, diarrheal diseases and pneumonia.</w:t>
      </w:r>
    </w:p>
    <w:p w:rsidR="003A2A2F" w:rsidRPr="00924D60" w:rsidRDefault="003A2A2F" w:rsidP="00306F41">
      <w:pPr>
        <w:pStyle w:val="BodyText2"/>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Blood samples were taken following a 30-min supine rest, 10 ml blood was withdrawn through a disposable syringe. All samples were centrifuged immediately. The serum was preserved in an Ependorff tubes at -20° for measurement of serum levels of Zn, Cu and Mg with colorimetric method. The normal range serum Zn was 50-120 μg/dl. While the normal range of serum Cu was 80-150 μg/dl and the normal range of Mg was 1.8-2.6 mg/dl</w:t>
      </w:r>
      <w:r w:rsidR="00014A5E" w:rsidRPr="00924D60">
        <w:rPr>
          <w:rFonts w:ascii="Times New Roman" w:hAnsi="Times New Roman" w:cs="Times New Roman"/>
          <w:sz w:val="20"/>
          <w:szCs w:val="20"/>
        </w:rPr>
        <w:t>. D</w:t>
      </w:r>
      <w:r w:rsidR="00672ECA" w:rsidRPr="00924D60">
        <w:rPr>
          <w:rFonts w:ascii="Times New Roman" w:hAnsi="Times New Roman" w:cs="Times New Roman"/>
          <w:sz w:val="20"/>
          <w:szCs w:val="20"/>
        </w:rPr>
        <w:t>ata was analyzed using SPSS version 20.0</w:t>
      </w:r>
      <w:r w:rsidR="00263B8E" w:rsidRPr="00924D60">
        <w:rPr>
          <w:rFonts w:ascii="Times New Roman" w:hAnsi="Times New Roman" w:cs="Times New Roman"/>
          <w:sz w:val="20"/>
          <w:szCs w:val="20"/>
        </w:rPr>
        <w:t>. The difference in mean among the groups was assessed by ANOVA and t-test was used to analyze inter group difference. A p- value less than</w:t>
      </w:r>
      <w:r w:rsidR="003A2174" w:rsidRPr="00924D60">
        <w:rPr>
          <w:rFonts w:ascii="Times New Roman" w:hAnsi="Times New Roman" w:cs="Times New Roman"/>
          <w:sz w:val="20"/>
          <w:szCs w:val="20"/>
        </w:rPr>
        <w:t xml:space="preserve"> or equal</w:t>
      </w:r>
      <w:r w:rsidR="00263B8E" w:rsidRPr="00924D60">
        <w:rPr>
          <w:rFonts w:ascii="Times New Roman" w:hAnsi="Times New Roman" w:cs="Times New Roman"/>
          <w:sz w:val="20"/>
          <w:szCs w:val="20"/>
        </w:rPr>
        <w:t xml:space="preserve"> 0.05 was taken as statistically significant.</w:t>
      </w:r>
    </w:p>
    <w:p w:rsidR="00E432E0" w:rsidRPr="00924D60" w:rsidRDefault="003332B7" w:rsidP="00306F41">
      <w:pPr>
        <w:tabs>
          <w:tab w:val="left" w:pos="360"/>
        </w:tabs>
        <w:bidi w:val="0"/>
        <w:snapToGrid w:val="0"/>
        <w:spacing w:after="0" w:line="240" w:lineRule="auto"/>
        <w:ind w:firstLine="425"/>
        <w:jc w:val="both"/>
        <w:rPr>
          <w:rFonts w:ascii="Times New Roman" w:hAnsi="Times New Roman" w:cs="Times New Roman"/>
          <w:color w:val="0D0D0D" w:themeColor="text1" w:themeTint="F2"/>
          <w:sz w:val="20"/>
          <w:szCs w:val="20"/>
        </w:rPr>
      </w:pPr>
      <w:r w:rsidRPr="00924D60">
        <w:rPr>
          <w:rFonts w:ascii="Times New Roman" w:hAnsi="Times New Roman" w:cs="Times New Roman"/>
          <w:color w:val="0D0D0D" w:themeColor="text1" w:themeTint="F2"/>
          <w:sz w:val="20"/>
          <w:szCs w:val="20"/>
        </w:rPr>
        <w:t>The study was approved by the ethics committee of the faculty of medicine Al-Azhar University.</w:t>
      </w:r>
    </w:p>
    <w:p w:rsidR="00E432E0" w:rsidRPr="00924D60" w:rsidRDefault="00E432E0" w:rsidP="00306F41">
      <w:pPr>
        <w:tabs>
          <w:tab w:val="left" w:pos="360"/>
        </w:tabs>
        <w:bidi w:val="0"/>
        <w:snapToGrid w:val="0"/>
        <w:spacing w:after="0" w:line="240" w:lineRule="auto"/>
        <w:ind w:firstLine="425"/>
        <w:jc w:val="both"/>
        <w:rPr>
          <w:rFonts w:ascii="Times New Roman" w:hAnsi="Times New Roman" w:cs="Times New Roman"/>
          <w:color w:val="0D0D0D" w:themeColor="text1" w:themeTint="F2"/>
          <w:sz w:val="20"/>
          <w:szCs w:val="20"/>
        </w:rPr>
      </w:pPr>
    </w:p>
    <w:p w:rsidR="00AC7B9D" w:rsidRPr="00924D60" w:rsidRDefault="00AC7B9D" w:rsidP="00306F41">
      <w:pPr>
        <w:pStyle w:val="BodyText2"/>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3. Results</w:t>
      </w:r>
    </w:p>
    <w:p w:rsidR="00AC7B9D" w:rsidRPr="00924D60" w:rsidRDefault="00AC7B9D" w:rsidP="00306F41">
      <w:pPr>
        <w:pStyle w:val="BodyText2"/>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56 child were included in the study. The mean age of group I and group III was 28.8 and 28 months, respectively while it was 48 months in group II children.</w:t>
      </w:r>
    </w:p>
    <w:p w:rsidR="00306F41" w:rsidRPr="00924D60" w:rsidRDefault="00306F41" w:rsidP="00306F41">
      <w:pPr>
        <w:pStyle w:val="NormalWeb"/>
        <w:snapToGrid w:val="0"/>
        <w:spacing w:before="0" w:beforeAutospacing="0" w:after="0" w:afterAutospacing="0"/>
        <w:jc w:val="center"/>
        <w:rPr>
          <w:b/>
          <w:bCs/>
          <w:sz w:val="20"/>
          <w:szCs w:val="20"/>
        </w:rPr>
        <w:sectPr w:rsidR="00306F41" w:rsidRPr="00924D60" w:rsidSect="00306F41">
          <w:type w:val="continuous"/>
          <w:pgSz w:w="12240" w:h="15840" w:code="9"/>
          <w:pgMar w:top="1440" w:right="1440" w:bottom="1440" w:left="1440" w:header="720" w:footer="720" w:gutter="0"/>
          <w:cols w:num="2" w:space="550"/>
          <w:docGrid w:linePitch="360"/>
        </w:sectPr>
      </w:pPr>
    </w:p>
    <w:p w:rsidR="00AC7B9D" w:rsidRPr="00924D60" w:rsidRDefault="00AC7B9D" w:rsidP="00306F41">
      <w:pPr>
        <w:pStyle w:val="NormalWeb"/>
        <w:snapToGrid w:val="0"/>
        <w:spacing w:before="0" w:beforeAutospacing="0" w:after="0" w:afterAutospacing="0"/>
        <w:jc w:val="center"/>
        <w:rPr>
          <w:b/>
          <w:bCs/>
          <w:sz w:val="20"/>
          <w:szCs w:val="20"/>
        </w:rPr>
      </w:pPr>
    </w:p>
    <w:p w:rsidR="009F351B" w:rsidRPr="00924D60" w:rsidRDefault="009F351B" w:rsidP="00306F41">
      <w:pPr>
        <w:pStyle w:val="NormalWeb"/>
        <w:snapToGrid w:val="0"/>
        <w:spacing w:before="0" w:beforeAutospacing="0" w:after="0" w:afterAutospacing="0"/>
        <w:jc w:val="center"/>
        <w:rPr>
          <w:rFonts w:eastAsiaTheme="minorEastAsia"/>
          <w:i/>
          <w:iCs/>
          <w:sz w:val="20"/>
          <w:szCs w:val="20"/>
        </w:rPr>
      </w:pPr>
      <w:r w:rsidRPr="00924D60">
        <w:rPr>
          <w:b/>
          <w:bCs/>
          <w:sz w:val="20"/>
          <w:szCs w:val="20"/>
        </w:rPr>
        <w:t>Table (1)</w:t>
      </w:r>
      <w:r w:rsidRPr="00924D60">
        <w:rPr>
          <w:sz w:val="20"/>
          <w:szCs w:val="20"/>
        </w:rPr>
        <w:t xml:space="preserve">: </w:t>
      </w:r>
      <w:r w:rsidRPr="00924D60">
        <w:rPr>
          <w:rFonts w:eastAsiaTheme="minorEastAsia"/>
          <w:i/>
          <w:iCs/>
          <w:sz w:val="20"/>
          <w:szCs w:val="20"/>
        </w:rPr>
        <w:t>Age in different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913"/>
        <w:gridCol w:w="654"/>
        <w:gridCol w:w="180"/>
        <w:gridCol w:w="180"/>
        <w:gridCol w:w="654"/>
        <w:gridCol w:w="1315"/>
        <w:gridCol w:w="443"/>
        <w:gridCol w:w="659"/>
        <w:gridCol w:w="657"/>
        <w:gridCol w:w="1315"/>
        <w:gridCol w:w="1504"/>
      </w:tblGrid>
      <w:tr w:rsidR="009F351B" w:rsidRPr="00924D60" w:rsidTr="007739D4">
        <w:trPr>
          <w:jc w:val="center"/>
        </w:trPr>
        <w:tc>
          <w:tcPr>
            <w:tcW w:w="1009" w:type="pct"/>
            <w:vMerge w:val="restart"/>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Groups</w:t>
            </w:r>
          </w:p>
        </w:tc>
        <w:tc>
          <w:tcPr>
            <w:tcW w:w="2503" w:type="pct"/>
            <w:gridSpan w:val="8"/>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Age in months</w:t>
            </w:r>
          </w:p>
        </w:tc>
        <w:tc>
          <w:tcPr>
            <w:tcW w:w="1488" w:type="pct"/>
            <w:gridSpan w:val="2"/>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ANOVA</w:t>
            </w:r>
          </w:p>
        </w:tc>
      </w:tr>
      <w:tr w:rsidR="007739D4" w:rsidRPr="00924D60" w:rsidTr="007739D4">
        <w:trPr>
          <w:jc w:val="center"/>
        </w:trPr>
        <w:tc>
          <w:tcPr>
            <w:tcW w:w="1009" w:type="pct"/>
            <w:vMerge/>
            <w:shd w:val="clear" w:color="auto" w:fill="D9D9D9" w:themeFill="background1" w:themeFillShade="D9"/>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p>
        </w:tc>
        <w:tc>
          <w:tcPr>
            <w:tcW w:w="880" w:type="pct"/>
            <w:gridSpan w:val="4"/>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694" w:type="pct"/>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w:t>
            </w:r>
          </w:p>
        </w:tc>
        <w:tc>
          <w:tcPr>
            <w:tcW w:w="234" w:type="pct"/>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w:t>
            </w:r>
          </w:p>
        </w:tc>
        <w:tc>
          <w:tcPr>
            <w:tcW w:w="694" w:type="pct"/>
            <w:gridSpan w:val="2"/>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SD</w:t>
            </w:r>
          </w:p>
        </w:tc>
        <w:tc>
          <w:tcPr>
            <w:tcW w:w="694" w:type="pct"/>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F</w:t>
            </w:r>
          </w:p>
        </w:tc>
        <w:tc>
          <w:tcPr>
            <w:tcW w:w="794" w:type="pct"/>
            <w:shd w:val="clear" w:color="auto" w:fill="D9D9D9" w:themeFill="background1" w:themeFillShade="D9"/>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P-value</w:t>
            </w:r>
          </w:p>
        </w:tc>
      </w:tr>
      <w:tr w:rsidR="007739D4" w:rsidRPr="00924D60" w:rsidTr="007739D4">
        <w:trPr>
          <w:jc w:val="center"/>
        </w:trPr>
        <w:tc>
          <w:tcPr>
            <w:tcW w:w="1009"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8</w:t>
            </w:r>
          </w:p>
        </w:tc>
        <w:tc>
          <w:tcPr>
            <w:tcW w:w="190"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54</w:t>
            </w:r>
          </w:p>
        </w:tc>
        <w:tc>
          <w:tcPr>
            <w:tcW w:w="69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28.833</w:t>
            </w:r>
          </w:p>
        </w:tc>
        <w:tc>
          <w:tcPr>
            <w:tcW w:w="23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694"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14.284</w:t>
            </w:r>
          </w:p>
        </w:tc>
        <w:tc>
          <w:tcPr>
            <w:tcW w:w="694" w:type="pct"/>
            <w:vMerge w:val="restar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12.276</w:t>
            </w:r>
          </w:p>
        </w:tc>
        <w:tc>
          <w:tcPr>
            <w:tcW w:w="794" w:type="pct"/>
            <w:vMerge w:val="restar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0.001*</w:t>
            </w:r>
          </w:p>
        </w:tc>
      </w:tr>
      <w:tr w:rsidR="007739D4" w:rsidRPr="00924D60" w:rsidTr="007739D4">
        <w:trPr>
          <w:jc w:val="center"/>
        </w:trPr>
        <w:tc>
          <w:tcPr>
            <w:tcW w:w="1009"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14</w:t>
            </w:r>
          </w:p>
        </w:tc>
        <w:tc>
          <w:tcPr>
            <w:tcW w:w="190"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60</w:t>
            </w:r>
          </w:p>
        </w:tc>
        <w:tc>
          <w:tcPr>
            <w:tcW w:w="69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48.000</w:t>
            </w:r>
          </w:p>
        </w:tc>
        <w:tc>
          <w:tcPr>
            <w:tcW w:w="23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694"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13.758</w:t>
            </w:r>
          </w:p>
        </w:tc>
        <w:tc>
          <w:tcPr>
            <w:tcW w:w="694" w:type="pct"/>
            <w:vMerge/>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p>
        </w:tc>
        <w:tc>
          <w:tcPr>
            <w:tcW w:w="794" w:type="pct"/>
            <w:vMerge/>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p>
        </w:tc>
      </w:tr>
      <w:tr w:rsidR="007739D4" w:rsidRPr="00924D60" w:rsidTr="007739D4">
        <w:trPr>
          <w:jc w:val="center"/>
        </w:trPr>
        <w:tc>
          <w:tcPr>
            <w:tcW w:w="1009"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III</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9</w:t>
            </w:r>
          </w:p>
        </w:tc>
        <w:tc>
          <w:tcPr>
            <w:tcW w:w="190"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345"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56</w:t>
            </w:r>
          </w:p>
        </w:tc>
        <w:tc>
          <w:tcPr>
            <w:tcW w:w="69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28.056</w:t>
            </w:r>
          </w:p>
        </w:tc>
        <w:tc>
          <w:tcPr>
            <w:tcW w:w="234" w:type="pct"/>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694" w:type="pct"/>
            <w:gridSpan w:val="2"/>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12.964</w:t>
            </w:r>
          </w:p>
        </w:tc>
        <w:tc>
          <w:tcPr>
            <w:tcW w:w="694" w:type="pct"/>
            <w:vMerge/>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p>
        </w:tc>
        <w:tc>
          <w:tcPr>
            <w:tcW w:w="794" w:type="pct"/>
            <w:vMerge/>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p>
        </w:tc>
      </w:tr>
      <w:tr w:rsidR="009F351B" w:rsidRPr="00924D60" w:rsidTr="007739D4">
        <w:trPr>
          <w:jc w:val="center"/>
        </w:trPr>
        <w:tc>
          <w:tcPr>
            <w:tcW w:w="5000" w:type="pct"/>
            <w:gridSpan w:val="11"/>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sz w:val="20"/>
                <w:szCs w:val="20"/>
              </w:rPr>
            </w:pPr>
            <w:r w:rsidRPr="00924D60">
              <w:rPr>
                <w:rFonts w:ascii="Times New Roman" w:hAnsi="Times New Roman" w:cs="Times New Roman"/>
                <w:b/>
                <w:sz w:val="20"/>
                <w:szCs w:val="20"/>
              </w:rPr>
              <w:t>Tukey's test</w:t>
            </w:r>
          </w:p>
        </w:tc>
      </w:tr>
      <w:tr w:rsidR="009F351B" w:rsidRPr="00924D60" w:rsidTr="007739D4">
        <w:trPr>
          <w:jc w:val="center"/>
        </w:trPr>
        <w:tc>
          <w:tcPr>
            <w:tcW w:w="1449" w:type="pct"/>
            <w:gridSpan w:val="3"/>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I</w:t>
            </w:r>
            <w:r w:rsidR="007739D4" w:rsidRPr="00924D60">
              <w:rPr>
                <w:rFonts w:ascii="Times New Roman" w:hAnsi="Times New Roman" w:cs="Times New Roman"/>
                <w:b/>
                <w:bCs/>
                <w:sz w:val="20"/>
                <w:szCs w:val="20"/>
              </w:rPr>
              <w:t xml:space="preserve"> &amp; </w:t>
            </w:r>
            <w:r w:rsidRPr="00924D60">
              <w:rPr>
                <w:rFonts w:ascii="Times New Roman" w:hAnsi="Times New Roman" w:cs="Times New Roman"/>
                <w:b/>
                <w:bCs/>
                <w:sz w:val="20"/>
                <w:szCs w:val="20"/>
              </w:rPr>
              <w:t>II</w:t>
            </w:r>
          </w:p>
        </w:tc>
        <w:tc>
          <w:tcPr>
            <w:tcW w:w="1716" w:type="pct"/>
            <w:gridSpan w:val="5"/>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I</w:t>
            </w:r>
            <w:r w:rsidR="007739D4" w:rsidRPr="00924D60">
              <w:rPr>
                <w:rFonts w:ascii="Times New Roman" w:hAnsi="Times New Roman" w:cs="Times New Roman"/>
                <w:b/>
                <w:bCs/>
                <w:sz w:val="20"/>
                <w:szCs w:val="20"/>
              </w:rPr>
              <w:t xml:space="preserve"> &amp; </w:t>
            </w:r>
            <w:r w:rsidRPr="00924D60">
              <w:rPr>
                <w:rFonts w:ascii="Times New Roman" w:hAnsi="Times New Roman" w:cs="Times New Roman"/>
                <w:b/>
                <w:bCs/>
                <w:sz w:val="20"/>
                <w:szCs w:val="20"/>
              </w:rPr>
              <w:t>III</w:t>
            </w:r>
            <w:r w:rsidR="007739D4" w:rsidRPr="00924D60">
              <w:rPr>
                <w:rFonts w:ascii="Times New Roman" w:hAnsi="Times New Roman" w:cs="Times New Roman"/>
                <w:b/>
                <w:bCs/>
                <w:sz w:val="20"/>
                <w:szCs w:val="20"/>
              </w:rPr>
              <w:t xml:space="preserve"> </w:t>
            </w:r>
          </w:p>
        </w:tc>
        <w:tc>
          <w:tcPr>
            <w:tcW w:w="1835" w:type="pct"/>
            <w:gridSpan w:val="3"/>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II</w:t>
            </w:r>
            <w:r w:rsidR="007739D4" w:rsidRPr="00924D60">
              <w:rPr>
                <w:rFonts w:ascii="Times New Roman" w:hAnsi="Times New Roman" w:cs="Times New Roman"/>
                <w:b/>
                <w:bCs/>
                <w:sz w:val="20"/>
                <w:szCs w:val="20"/>
              </w:rPr>
              <w:t xml:space="preserve"> &amp; </w:t>
            </w:r>
            <w:r w:rsidRPr="00924D60">
              <w:rPr>
                <w:rFonts w:ascii="Times New Roman" w:hAnsi="Times New Roman" w:cs="Times New Roman"/>
                <w:b/>
                <w:bCs/>
                <w:sz w:val="20"/>
                <w:szCs w:val="20"/>
              </w:rPr>
              <w:t>III</w:t>
            </w:r>
          </w:p>
        </w:tc>
      </w:tr>
      <w:tr w:rsidR="009F351B" w:rsidRPr="00924D60" w:rsidTr="007739D4">
        <w:trPr>
          <w:jc w:val="center"/>
        </w:trPr>
        <w:tc>
          <w:tcPr>
            <w:tcW w:w="1449" w:type="pct"/>
            <w:gridSpan w:val="3"/>
            <w:shd w:val="clear" w:color="auto" w:fill="auto"/>
            <w:noWrap/>
            <w:vAlign w:val="center"/>
          </w:tcPr>
          <w:p w:rsidR="009F351B" w:rsidRPr="00924D60" w:rsidRDefault="009F351B"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hAnsi="Times New Roman" w:cs="Times New Roman"/>
                <w:sz w:val="20"/>
                <w:szCs w:val="20"/>
              </w:rPr>
              <w:t>&lt;0.001*</w:t>
            </w:r>
          </w:p>
        </w:tc>
        <w:tc>
          <w:tcPr>
            <w:tcW w:w="1716" w:type="pct"/>
            <w:gridSpan w:val="5"/>
            <w:shd w:val="clear" w:color="auto" w:fill="auto"/>
            <w:noWrap/>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0.984</w:t>
            </w:r>
          </w:p>
        </w:tc>
        <w:tc>
          <w:tcPr>
            <w:tcW w:w="1835" w:type="pct"/>
            <w:gridSpan w:val="3"/>
            <w:shd w:val="clear" w:color="auto" w:fill="auto"/>
            <w:vAlign w:val="center"/>
          </w:tcPr>
          <w:p w:rsidR="009F351B" w:rsidRPr="00924D60" w:rsidRDefault="009F351B"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&lt;0.001*</w:t>
            </w:r>
          </w:p>
        </w:tc>
      </w:tr>
    </w:tbl>
    <w:p w:rsidR="00AC7B9D" w:rsidRPr="00924D60" w:rsidRDefault="00AC7B9D" w:rsidP="00306F41">
      <w:pPr>
        <w:pStyle w:val="NormalWeb"/>
        <w:snapToGrid w:val="0"/>
        <w:spacing w:before="0" w:beforeAutospacing="0" w:after="0" w:afterAutospacing="0"/>
        <w:ind w:firstLine="425"/>
        <w:jc w:val="both"/>
        <w:rPr>
          <w:rFonts w:eastAsiaTheme="minorEastAsia"/>
          <w:sz w:val="20"/>
          <w:szCs w:val="20"/>
        </w:rPr>
      </w:pPr>
    </w:p>
    <w:p w:rsidR="009F351B" w:rsidRPr="00924D60" w:rsidRDefault="009F351B" w:rsidP="00306F41">
      <w:pPr>
        <w:pStyle w:val="NormalWeb"/>
        <w:snapToGrid w:val="0"/>
        <w:spacing w:before="0" w:beforeAutospacing="0" w:after="0" w:afterAutospacing="0"/>
        <w:ind w:firstLine="425"/>
        <w:jc w:val="both"/>
        <w:rPr>
          <w:rFonts w:eastAsiaTheme="minorEastAsia"/>
          <w:sz w:val="20"/>
          <w:szCs w:val="20"/>
        </w:rPr>
      </w:pPr>
      <w:r w:rsidRPr="00924D60">
        <w:rPr>
          <w:rFonts w:eastAsiaTheme="minorEastAsia"/>
          <w:sz w:val="20"/>
          <w:szCs w:val="20"/>
        </w:rPr>
        <w:t>Male/female distribution was equal in all groups as 44.4 % males and 55.6 % females in each group.</w:t>
      </w:r>
    </w:p>
    <w:p w:rsidR="00AC7B9D" w:rsidRPr="00924D60" w:rsidRDefault="00AC7B9D" w:rsidP="00306F41">
      <w:pPr>
        <w:pStyle w:val="NormalWeb"/>
        <w:snapToGrid w:val="0"/>
        <w:spacing w:before="0" w:beforeAutospacing="0" w:after="0" w:afterAutospacing="0"/>
        <w:jc w:val="center"/>
        <w:rPr>
          <w:b/>
          <w:bCs/>
          <w:sz w:val="20"/>
          <w:szCs w:val="20"/>
        </w:rPr>
      </w:pPr>
    </w:p>
    <w:p w:rsidR="009F351B" w:rsidRPr="00924D60" w:rsidRDefault="009F351B" w:rsidP="00306F41">
      <w:pPr>
        <w:pStyle w:val="NormalWeb"/>
        <w:snapToGrid w:val="0"/>
        <w:spacing w:before="0" w:beforeAutospacing="0" w:after="0" w:afterAutospacing="0"/>
        <w:jc w:val="center"/>
        <w:rPr>
          <w:i/>
          <w:iCs/>
          <w:sz w:val="20"/>
          <w:szCs w:val="20"/>
        </w:rPr>
      </w:pPr>
      <w:r w:rsidRPr="00924D60">
        <w:rPr>
          <w:b/>
          <w:bCs/>
          <w:sz w:val="20"/>
          <w:szCs w:val="20"/>
        </w:rPr>
        <w:t>Table (2)</w:t>
      </w:r>
      <w:r w:rsidRPr="00924D60">
        <w:rPr>
          <w:sz w:val="20"/>
          <w:szCs w:val="20"/>
        </w:rPr>
        <w:t xml:space="preserve">: </w:t>
      </w:r>
      <w:r w:rsidRPr="00924D60">
        <w:rPr>
          <w:i/>
          <w:iCs/>
          <w:sz w:val="20"/>
          <w:szCs w:val="20"/>
        </w:rPr>
        <w:t>Gender distribution in different groups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486"/>
        <w:gridCol w:w="616"/>
        <w:gridCol w:w="1302"/>
        <w:gridCol w:w="640"/>
        <w:gridCol w:w="1359"/>
        <w:gridCol w:w="692"/>
        <w:gridCol w:w="1461"/>
        <w:gridCol w:w="616"/>
        <w:gridCol w:w="1302"/>
      </w:tblGrid>
      <w:tr w:rsidR="009F351B" w:rsidRPr="00924D60" w:rsidTr="007739D4">
        <w:trPr>
          <w:jc w:val="center"/>
        </w:trPr>
        <w:tc>
          <w:tcPr>
            <w:tcW w:w="785" w:type="pct"/>
            <w:vMerge w:val="restar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Gender</w:t>
            </w:r>
          </w:p>
        </w:tc>
        <w:tc>
          <w:tcPr>
            <w:tcW w:w="4215" w:type="pct"/>
            <w:gridSpan w:val="8"/>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Groups</w:t>
            </w:r>
          </w:p>
        </w:tc>
      </w:tr>
      <w:tr w:rsidR="009F351B" w:rsidRPr="00924D60" w:rsidTr="007739D4">
        <w:trPr>
          <w:jc w:val="center"/>
        </w:trPr>
        <w:tc>
          <w:tcPr>
            <w:tcW w:w="785" w:type="pct"/>
            <w:vMerge/>
            <w:shd w:val="clear" w:color="auto" w:fill="D9D9D9" w:themeFill="background1" w:themeFillShade="D9"/>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p>
        </w:tc>
        <w:tc>
          <w:tcPr>
            <w:tcW w:w="1012" w:type="pct"/>
            <w:gridSpan w:val="2"/>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w:t>
            </w:r>
          </w:p>
        </w:tc>
        <w:tc>
          <w:tcPr>
            <w:tcW w:w="1055" w:type="pct"/>
            <w:gridSpan w:val="2"/>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w:t>
            </w:r>
          </w:p>
        </w:tc>
        <w:tc>
          <w:tcPr>
            <w:tcW w:w="1136" w:type="pct"/>
            <w:gridSpan w:val="2"/>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(III)</w:t>
            </w:r>
          </w:p>
        </w:tc>
        <w:tc>
          <w:tcPr>
            <w:tcW w:w="1012" w:type="pct"/>
            <w:gridSpan w:val="2"/>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Total</w:t>
            </w:r>
          </w:p>
        </w:tc>
      </w:tr>
      <w:tr w:rsidR="007739D4" w:rsidRPr="00924D60" w:rsidTr="007739D4">
        <w:trPr>
          <w:jc w:val="center"/>
        </w:trPr>
        <w:tc>
          <w:tcPr>
            <w:tcW w:w="785" w:type="pct"/>
            <w:vMerge/>
            <w:shd w:val="clear" w:color="auto" w:fill="D9D9D9" w:themeFill="background1" w:themeFillShade="D9"/>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p>
        </w:tc>
        <w:tc>
          <w:tcPr>
            <w:tcW w:w="325"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N</w:t>
            </w:r>
          </w:p>
        </w:tc>
        <w:tc>
          <w:tcPr>
            <w:tcW w:w="687"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w:t>
            </w:r>
          </w:p>
        </w:tc>
        <w:tc>
          <w:tcPr>
            <w:tcW w:w="338"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N</w:t>
            </w:r>
          </w:p>
        </w:tc>
        <w:tc>
          <w:tcPr>
            <w:tcW w:w="717"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w:t>
            </w:r>
          </w:p>
        </w:tc>
        <w:tc>
          <w:tcPr>
            <w:tcW w:w="365"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N</w:t>
            </w:r>
          </w:p>
        </w:tc>
        <w:tc>
          <w:tcPr>
            <w:tcW w:w="771"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w:t>
            </w:r>
          </w:p>
        </w:tc>
        <w:tc>
          <w:tcPr>
            <w:tcW w:w="325"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N</w:t>
            </w:r>
          </w:p>
        </w:tc>
        <w:tc>
          <w:tcPr>
            <w:tcW w:w="687" w:type="pct"/>
            <w:shd w:val="clear" w:color="auto" w:fill="D9D9D9" w:themeFill="background1" w:themeFillShade="D9"/>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w:t>
            </w:r>
          </w:p>
        </w:tc>
      </w:tr>
      <w:tr w:rsidR="007739D4" w:rsidRPr="00924D60" w:rsidTr="007739D4">
        <w:trPr>
          <w:jc w:val="center"/>
        </w:trPr>
        <w:tc>
          <w:tcPr>
            <w:tcW w:w="78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Male</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8</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44.44</w:t>
            </w:r>
          </w:p>
        </w:tc>
        <w:tc>
          <w:tcPr>
            <w:tcW w:w="338"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8</w:t>
            </w:r>
          </w:p>
        </w:tc>
        <w:tc>
          <w:tcPr>
            <w:tcW w:w="71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44.44</w:t>
            </w:r>
          </w:p>
        </w:tc>
        <w:tc>
          <w:tcPr>
            <w:tcW w:w="36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8</w:t>
            </w:r>
          </w:p>
        </w:tc>
        <w:tc>
          <w:tcPr>
            <w:tcW w:w="771"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44.44</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24</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44.44</w:t>
            </w:r>
          </w:p>
        </w:tc>
      </w:tr>
      <w:tr w:rsidR="007739D4" w:rsidRPr="00924D60" w:rsidTr="007739D4">
        <w:trPr>
          <w:jc w:val="center"/>
        </w:trPr>
        <w:tc>
          <w:tcPr>
            <w:tcW w:w="78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Female</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55.56</w:t>
            </w:r>
          </w:p>
        </w:tc>
        <w:tc>
          <w:tcPr>
            <w:tcW w:w="338"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w:t>
            </w:r>
          </w:p>
        </w:tc>
        <w:tc>
          <w:tcPr>
            <w:tcW w:w="71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55.56</w:t>
            </w:r>
          </w:p>
        </w:tc>
        <w:tc>
          <w:tcPr>
            <w:tcW w:w="36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w:t>
            </w:r>
          </w:p>
        </w:tc>
        <w:tc>
          <w:tcPr>
            <w:tcW w:w="771"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55.56</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30</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55.56</w:t>
            </w:r>
          </w:p>
        </w:tc>
      </w:tr>
      <w:tr w:rsidR="007739D4" w:rsidRPr="00924D60" w:rsidTr="007739D4">
        <w:trPr>
          <w:jc w:val="center"/>
        </w:trPr>
        <w:tc>
          <w:tcPr>
            <w:tcW w:w="78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Total</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18</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100.00</w:t>
            </w:r>
          </w:p>
        </w:tc>
        <w:tc>
          <w:tcPr>
            <w:tcW w:w="338"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18</w:t>
            </w:r>
          </w:p>
        </w:tc>
        <w:tc>
          <w:tcPr>
            <w:tcW w:w="71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100.00</w:t>
            </w:r>
          </w:p>
        </w:tc>
        <w:tc>
          <w:tcPr>
            <w:tcW w:w="36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18</w:t>
            </w:r>
          </w:p>
        </w:tc>
        <w:tc>
          <w:tcPr>
            <w:tcW w:w="771"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100.00</w:t>
            </w:r>
          </w:p>
        </w:tc>
        <w:tc>
          <w:tcPr>
            <w:tcW w:w="325"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54</w:t>
            </w:r>
          </w:p>
        </w:tc>
        <w:tc>
          <w:tcPr>
            <w:tcW w:w="687" w:type="pct"/>
            <w:shd w:val="clear" w:color="auto" w:fill="auto"/>
            <w:noWrap/>
            <w:vAlign w:val="center"/>
            <w:hideMark/>
          </w:tcPr>
          <w:p w:rsidR="009F351B" w:rsidRPr="00924D60" w:rsidRDefault="009F351B"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100.00</w:t>
            </w:r>
          </w:p>
        </w:tc>
      </w:tr>
    </w:tbl>
    <w:p w:rsidR="00AC7B9D" w:rsidRPr="00924D60" w:rsidRDefault="00AC7B9D" w:rsidP="00306F4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306F41" w:rsidRPr="00924D60" w:rsidRDefault="009F351B" w:rsidP="00306F4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There was significant difference between group I and group II regarding positive family history of</w:t>
      </w:r>
      <w:r w:rsidR="00513C71" w:rsidRPr="00924D60">
        <w:rPr>
          <w:rFonts w:ascii="Times New Roman" w:hAnsi="Times New Roman" w:cs="Times New Roman"/>
          <w:sz w:val="20"/>
          <w:szCs w:val="20"/>
        </w:rPr>
        <w:t xml:space="preserve"> siblings with</w:t>
      </w:r>
      <w:r w:rsidRPr="00924D60">
        <w:rPr>
          <w:rFonts w:ascii="Times New Roman" w:hAnsi="Times New Roman" w:cs="Times New Roman"/>
          <w:sz w:val="20"/>
          <w:szCs w:val="20"/>
        </w:rPr>
        <w:t xml:space="preserve"> same medical condition</w:t>
      </w:r>
      <w:r w:rsidR="00513C71" w:rsidRPr="00924D60">
        <w:rPr>
          <w:rFonts w:ascii="Times New Roman" w:hAnsi="Times New Roman" w:cs="Times New Roman"/>
          <w:sz w:val="20"/>
          <w:szCs w:val="20"/>
        </w:rPr>
        <w:t>.</w:t>
      </w:r>
    </w:p>
    <w:p w:rsidR="00924D60" w:rsidRPr="00924D60" w:rsidRDefault="00924D60" w:rsidP="00306F41">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rPr>
      </w:pPr>
    </w:p>
    <w:p w:rsidR="00924D60" w:rsidRPr="00924D60" w:rsidRDefault="00924D60" w:rsidP="00924D60">
      <w:pPr>
        <w:autoSpaceDE w:val="0"/>
        <w:autoSpaceDN w:val="0"/>
        <w:bidi w:val="0"/>
        <w:adjustRightInd w:val="0"/>
        <w:snapToGrid w:val="0"/>
        <w:spacing w:after="0" w:line="240" w:lineRule="auto"/>
        <w:jc w:val="center"/>
        <w:rPr>
          <w:rFonts w:ascii="Times New Roman" w:hAnsi="Times New Roman" w:cs="Times New Roman" w:hint="eastAsia"/>
          <w:b/>
          <w:bCs/>
          <w:sz w:val="20"/>
          <w:szCs w:val="20"/>
          <w:lang w:eastAsia="zh-CN"/>
        </w:rPr>
      </w:pPr>
    </w:p>
    <w:p w:rsidR="00513C71" w:rsidRPr="00924D60" w:rsidRDefault="00513C71" w:rsidP="00924D60">
      <w:pPr>
        <w:autoSpaceDE w:val="0"/>
        <w:autoSpaceDN w:val="0"/>
        <w:bidi w:val="0"/>
        <w:adjustRightInd w:val="0"/>
        <w:snapToGrid w:val="0"/>
        <w:spacing w:after="0" w:line="240" w:lineRule="auto"/>
        <w:jc w:val="center"/>
        <w:rPr>
          <w:rFonts w:ascii="Times New Roman" w:hAnsi="Times New Roman" w:cs="Times New Roman"/>
          <w:i/>
          <w:iCs/>
          <w:sz w:val="20"/>
          <w:szCs w:val="20"/>
        </w:rPr>
      </w:pPr>
      <w:r w:rsidRPr="00924D60">
        <w:rPr>
          <w:rFonts w:ascii="Times New Roman" w:hAnsi="Times New Roman" w:cs="Times New Roman"/>
          <w:b/>
          <w:bCs/>
          <w:sz w:val="20"/>
          <w:szCs w:val="20"/>
        </w:rPr>
        <w:t>Table (3)</w:t>
      </w:r>
      <w:r w:rsidRPr="00924D60">
        <w:rPr>
          <w:rFonts w:ascii="Times New Roman" w:hAnsi="Times New Roman" w:cs="Times New Roman"/>
          <w:sz w:val="20"/>
          <w:szCs w:val="20"/>
        </w:rPr>
        <w:t>:</w:t>
      </w:r>
      <w:r w:rsidRPr="00924D60">
        <w:rPr>
          <w:rFonts w:ascii="Times New Roman" w:hAnsi="Times New Roman" w:cs="Times New Roman"/>
          <w:i/>
          <w:iCs/>
          <w:sz w:val="20"/>
          <w:szCs w:val="20"/>
        </w:rPr>
        <w:t xml:space="preserve"> Family history of siblings with same medical condition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5115"/>
        <w:gridCol w:w="460"/>
        <w:gridCol w:w="972"/>
        <w:gridCol w:w="479"/>
        <w:gridCol w:w="1016"/>
        <w:gridCol w:w="460"/>
        <w:gridCol w:w="972"/>
      </w:tblGrid>
      <w:tr w:rsidR="00513C71" w:rsidRPr="00924D60" w:rsidTr="007739D4">
        <w:trPr>
          <w:jc w:val="center"/>
        </w:trPr>
        <w:tc>
          <w:tcPr>
            <w:tcW w:w="2699" w:type="pct"/>
            <w:vMerge w:val="restar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Family History Same medical condition</w:t>
            </w:r>
          </w:p>
        </w:tc>
        <w:tc>
          <w:tcPr>
            <w:tcW w:w="2301" w:type="pct"/>
            <w:gridSpan w:val="6"/>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Groups</w:t>
            </w:r>
          </w:p>
        </w:tc>
      </w:tr>
      <w:tr w:rsidR="00513C71" w:rsidRPr="00924D60" w:rsidTr="007739D4">
        <w:trPr>
          <w:jc w:val="center"/>
        </w:trPr>
        <w:tc>
          <w:tcPr>
            <w:tcW w:w="2699" w:type="pct"/>
            <w:vMerge/>
            <w:shd w:val="clear" w:color="auto" w:fill="D9D9D9" w:themeFill="background1" w:themeFillShade="D9"/>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p>
        </w:tc>
        <w:tc>
          <w:tcPr>
            <w:tcW w:w="756" w:type="pct"/>
            <w:gridSpan w:val="2"/>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Group (I)</w:t>
            </w:r>
          </w:p>
        </w:tc>
        <w:tc>
          <w:tcPr>
            <w:tcW w:w="788" w:type="pct"/>
            <w:gridSpan w:val="2"/>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Group (II)</w:t>
            </w:r>
          </w:p>
        </w:tc>
        <w:tc>
          <w:tcPr>
            <w:tcW w:w="756" w:type="pct"/>
            <w:gridSpan w:val="2"/>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Total</w:t>
            </w:r>
          </w:p>
        </w:tc>
      </w:tr>
      <w:tr w:rsidR="007739D4" w:rsidRPr="00924D60" w:rsidTr="007739D4">
        <w:trPr>
          <w:jc w:val="center"/>
        </w:trPr>
        <w:tc>
          <w:tcPr>
            <w:tcW w:w="2699" w:type="pct"/>
            <w:vMerge/>
            <w:shd w:val="clear" w:color="auto" w:fill="D9D9D9" w:themeFill="background1" w:themeFillShade="D9"/>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p>
        </w:tc>
        <w:tc>
          <w:tcPr>
            <w:tcW w:w="243"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N</w:t>
            </w:r>
          </w:p>
        </w:tc>
        <w:tc>
          <w:tcPr>
            <w:tcW w:w="513"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w:t>
            </w:r>
          </w:p>
        </w:tc>
        <w:tc>
          <w:tcPr>
            <w:tcW w:w="253"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N</w:t>
            </w:r>
          </w:p>
        </w:tc>
        <w:tc>
          <w:tcPr>
            <w:tcW w:w="536"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w:t>
            </w:r>
          </w:p>
        </w:tc>
        <w:tc>
          <w:tcPr>
            <w:tcW w:w="243" w:type="pct"/>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N</w:t>
            </w:r>
          </w:p>
        </w:tc>
        <w:tc>
          <w:tcPr>
            <w:tcW w:w="513" w:type="pct"/>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w:t>
            </w:r>
          </w:p>
        </w:tc>
      </w:tr>
      <w:tr w:rsidR="007739D4" w:rsidRPr="00924D60" w:rsidTr="007739D4">
        <w:trPr>
          <w:jc w:val="center"/>
        </w:trPr>
        <w:tc>
          <w:tcPr>
            <w:tcW w:w="2699"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No</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8</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44.44</w:t>
            </w:r>
          </w:p>
        </w:tc>
        <w:tc>
          <w:tcPr>
            <w:tcW w:w="25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17</w:t>
            </w:r>
          </w:p>
        </w:tc>
        <w:tc>
          <w:tcPr>
            <w:tcW w:w="536"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94.44</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25</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69.44</w:t>
            </w:r>
          </w:p>
        </w:tc>
      </w:tr>
      <w:tr w:rsidR="007739D4" w:rsidRPr="00924D60" w:rsidTr="007739D4">
        <w:trPr>
          <w:jc w:val="center"/>
        </w:trPr>
        <w:tc>
          <w:tcPr>
            <w:tcW w:w="2699"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Present</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10</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55.56</w:t>
            </w:r>
          </w:p>
        </w:tc>
        <w:tc>
          <w:tcPr>
            <w:tcW w:w="25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w:t>
            </w:r>
          </w:p>
        </w:tc>
        <w:tc>
          <w:tcPr>
            <w:tcW w:w="536"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5.56</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11</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30.56</w:t>
            </w:r>
          </w:p>
        </w:tc>
      </w:tr>
      <w:tr w:rsidR="007739D4" w:rsidRPr="00924D60" w:rsidTr="007739D4">
        <w:trPr>
          <w:jc w:val="center"/>
        </w:trPr>
        <w:tc>
          <w:tcPr>
            <w:tcW w:w="2699"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Total</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18</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100.00</w:t>
            </w:r>
          </w:p>
        </w:tc>
        <w:tc>
          <w:tcPr>
            <w:tcW w:w="25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18</w:t>
            </w:r>
          </w:p>
        </w:tc>
        <w:tc>
          <w:tcPr>
            <w:tcW w:w="536"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100.00</w:t>
            </w:r>
          </w:p>
        </w:tc>
        <w:tc>
          <w:tcPr>
            <w:tcW w:w="24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36</w:t>
            </w:r>
          </w:p>
        </w:tc>
        <w:tc>
          <w:tcPr>
            <w:tcW w:w="513" w:type="pc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100.00</w:t>
            </w:r>
          </w:p>
        </w:tc>
      </w:tr>
    </w:tbl>
    <w:p w:rsidR="007739D4" w:rsidRPr="00924D60" w:rsidRDefault="007739D4" w:rsidP="00306F4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513C71" w:rsidRPr="00924D60" w:rsidRDefault="00513C71" w:rsidP="00306F4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There is no significant differences noted in serum zinc, copper and magnesium levels between each gender.</w:t>
      </w:r>
    </w:p>
    <w:p w:rsidR="00AC7B9D" w:rsidRPr="00924D60" w:rsidRDefault="00AC7B9D" w:rsidP="00306F41">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bidi="ar-EG"/>
        </w:rPr>
      </w:pPr>
    </w:p>
    <w:p w:rsidR="00513C71" w:rsidRPr="00924D60" w:rsidRDefault="00513C71" w:rsidP="00306F41">
      <w:pPr>
        <w:autoSpaceDE w:val="0"/>
        <w:autoSpaceDN w:val="0"/>
        <w:bidi w:val="0"/>
        <w:adjustRightInd w:val="0"/>
        <w:snapToGrid w:val="0"/>
        <w:spacing w:after="0" w:line="240" w:lineRule="auto"/>
        <w:jc w:val="center"/>
        <w:rPr>
          <w:rFonts w:ascii="Times New Roman" w:hAnsi="Times New Roman" w:cs="Times New Roman"/>
          <w:i/>
          <w:iCs/>
          <w:sz w:val="20"/>
          <w:szCs w:val="20"/>
        </w:rPr>
      </w:pPr>
      <w:r w:rsidRPr="00924D60">
        <w:rPr>
          <w:rFonts w:ascii="Times New Roman" w:hAnsi="Times New Roman" w:cs="Times New Roman"/>
          <w:b/>
          <w:bCs/>
          <w:sz w:val="20"/>
          <w:szCs w:val="20"/>
          <w:lang w:bidi="ar-EG"/>
        </w:rPr>
        <w:t>Table (4)</w:t>
      </w:r>
      <w:r w:rsidRPr="00924D60">
        <w:rPr>
          <w:rFonts w:ascii="Times New Roman" w:hAnsi="Times New Roman" w:cs="Times New Roman"/>
          <w:b/>
          <w:bCs/>
          <w:i/>
          <w:iCs/>
          <w:sz w:val="20"/>
          <w:szCs w:val="20"/>
        </w:rPr>
        <w:t>:</w:t>
      </w:r>
      <w:r w:rsidRPr="00924D60">
        <w:rPr>
          <w:rFonts w:ascii="Times New Roman" w:hAnsi="Times New Roman" w:cs="Times New Roman"/>
          <w:i/>
          <w:iCs/>
          <w:sz w:val="20"/>
          <w:szCs w:val="20"/>
        </w:rPr>
        <w:t xml:space="preserve"> Mean levels of zinc, copper and magnesium for each gender</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881"/>
        <w:gridCol w:w="1121"/>
        <w:gridCol w:w="379"/>
        <w:gridCol w:w="1122"/>
        <w:gridCol w:w="1122"/>
        <w:gridCol w:w="379"/>
        <w:gridCol w:w="1122"/>
        <w:gridCol w:w="1067"/>
        <w:gridCol w:w="1281"/>
      </w:tblGrid>
      <w:tr w:rsidR="00513C71" w:rsidRPr="00924D60" w:rsidTr="007739D4">
        <w:trPr>
          <w:jc w:val="center"/>
        </w:trPr>
        <w:tc>
          <w:tcPr>
            <w:tcW w:w="993" w:type="pct"/>
            <w:vMerge w:val="restar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Variable</w:t>
            </w:r>
          </w:p>
        </w:tc>
        <w:tc>
          <w:tcPr>
            <w:tcW w:w="2767" w:type="pct"/>
            <w:gridSpan w:val="6"/>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Gender</w:t>
            </w:r>
          </w:p>
        </w:tc>
        <w:tc>
          <w:tcPr>
            <w:tcW w:w="1239" w:type="pct"/>
            <w:gridSpan w:val="2"/>
            <w:vMerge w:val="restar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T-Test</w:t>
            </w:r>
          </w:p>
        </w:tc>
      </w:tr>
      <w:tr w:rsidR="00513C71" w:rsidRPr="00924D60" w:rsidTr="007739D4">
        <w:trPr>
          <w:jc w:val="center"/>
        </w:trPr>
        <w:tc>
          <w:tcPr>
            <w:tcW w:w="993" w:type="pct"/>
            <w:vMerge/>
            <w:shd w:val="clear" w:color="auto" w:fill="D9D9D9" w:themeFill="background1" w:themeFillShade="D9"/>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p>
        </w:tc>
        <w:tc>
          <w:tcPr>
            <w:tcW w:w="1384" w:type="pct"/>
            <w:gridSpan w:val="3"/>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Male</w:t>
            </w:r>
          </w:p>
        </w:tc>
        <w:tc>
          <w:tcPr>
            <w:tcW w:w="1384" w:type="pct"/>
            <w:gridSpan w:val="3"/>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Female</w:t>
            </w:r>
          </w:p>
        </w:tc>
        <w:tc>
          <w:tcPr>
            <w:tcW w:w="1239" w:type="pct"/>
            <w:gridSpan w:val="2"/>
            <w:vMerge/>
            <w:shd w:val="clear" w:color="auto" w:fill="D9D9D9" w:themeFill="background1" w:themeFillShade="D9"/>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p>
        </w:tc>
      </w:tr>
      <w:tr w:rsidR="007739D4" w:rsidRPr="00924D60" w:rsidTr="007739D4">
        <w:trPr>
          <w:jc w:val="center"/>
        </w:trPr>
        <w:tc>
          <w:tcPr>
            <w:tcW w:w="993" w:type="pct"/>
            <w:vMerge/>
            <w:shd w:val="clear" w:color="auto" w:fill="D9D9D9" w:themeFill="background1" w:themeFillShade="D9"/>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p>
        </w:tc>
        <w:tc>
          <w:tcPr>
            <w:tcW w:w="592"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Mean</w:t>
            </w:r>
          </w:p>
        </w:tc>
        <w:tc>
          <w:tcPr>
            <w:tcW w:w="200"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w:t>
            </w:r>
          </w:p>
        </w:tc>
        <w:tc>
          <w:tcPr>
            <w:tcW w:w="592"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SD</w:t>
            </w:r>
          </w:p>
        </w:tc>
        <w:tc>
          <w:tcPr>
            <w:tcW w:w="592"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Mean</w:t>
            </w:r>
          </w:p>
        </w:tc>
        <w:tc>
          <w:tcPr>
            <w:tcW w:w="200"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w:t>
            </w:r>
          </w:p>
        </w:tc>
        <w:tc>
          <w:tcPr>
            <w:tcW w:w="592"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SD</w:t>
            </w:r>
          </w:p>
        </w:tc>
        <w:tc>
          <w:tcPr>
            <w:tcW w:w="563"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t</w:t>
            </w:r>
          </w:p>
        </w:tc>
        <w:tc>
          <w:tcPr>
            <w:tcW w:w="677" w:type="pct"/>
            <w:shd w:val="clear" w:color="auto" w:fill="D9D9D9" w:themeFill="background1" w:themeFillShade="D9"/>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P-value</w:t>
            </w:r>
          </w:p>
        </w:tc>
      </w:tr>
      <w:tr w:rsidR="007739D4" w:rsidRPr="00924D60" w:rsidTr="007739D4">
        <w:trPr>
          <w:jc w:val="center"/>
        </w:trPr>
        <w:tc>
          <w:tcPr>
            <w:tcW w:w="99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Zinc</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61.000</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22.085</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64.467</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26.812</w:t>
            </w:r>
          </w:p>
        </w:tc>
        <w:tc>
          <w:tcPr>
            <w:tcW w:w="56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-0.510</w:t>
            </w:r>
          </w:p>
        </w:tc>
        <w:tc>
          <w:tcPr>
            <w:tcW w:w="677"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0.612</w:t>
            </w:r>
          </w:p>
        </w:tc>
      </w:tr>
      <w:tr w:rsidR="007739D4" w:rsidRPr="00924D60" w:rsidTr="007739D4">
        <w:trPr>
          <w:jc w:val="center"/>
        </w:trPr>
        <w:tc>
          <w:tcPr>
            <w:tcW w:w="99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Copper</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93.542</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22.108</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97.867</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16.811</w:t>
            </w:r>
          </w:p>
        </w:tc>
        <w:tc>
          <w:tcPr>
            <w:tcW w:w="56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-0.817</w:t>
            </w:r>
          </w:p>
        </w:tc>
        <w:tc>
          <w:tcPr>
            <w:tcW w:w="677"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0.418</w:t>
            </w:r>
          </w:p>
        </w:tc>
      </w:tr>
      <w:tr w:rsidR="007739D4" w:rsidRPr="00924D60" w:rsidTr="007739D4">
        <w:trPr>
          <w:jc w:val="center"/>
        </w:trPr>
        <w:tc>
          <w:tcPr>
            <w:tcW w:w="99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b/>
                <w:bCs/>
                <w:color w:val="000000"/>
                <w:sz w:val="20"/>
                <w:szCs w:val="20"/>
              </w:rPr>
            </w:pPr>
            <w:r w:rsidRPr="00924D60">
              <w:rPr>
                <w:rFonts w:ascii="Times New Roman" w:eastAsia="Times New Roman" w:hAnsi="Times New Roman" w:cs="Times New Roman"/>
                <w:b/>
                <w:bCs/>
                <w:color w:val="000000"/>
                <w:sz w:val="20"/>
                <w:szCs w:val="20"/>
              </w:rPr>
              <w:t>Magnesium</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2.448</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0.137</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2.506</w:t>
            </w:r>
          </w:p>
        </w:tc>
        <w:tc>
          <w:tcPr>
            <w:tcW w:w="200"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w:t>
            </w:r>
          </w:p>
        </w:tc>
        <w:tc>
          <w:tcPr>
            <w:tcW w:w="592"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0.156</w:t>
            </w:r>
          </w:p>
        </w:tc>
        <w:tc>
          <w:tcPr>
            <w:tcW w:w="563"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-1.424</w:t>
            </w:r>
          </w:p>
        </w:tc>
        <w:tc>
          <w:tcPr>
            <w:tcW w:w="677" w:type="pct"/>
            <w:shd w:val="clear" w:color="auto" w:fill="auto"/>
            <w:noWrap/>
            <w:vAlign w:val="center"/>
            <w:hideMark/>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0.160</w:t>
            </w:r>
          </w:p>
        </w:tc>
      </w:tr>
    </w:tbl>
    <w:p w:rsidR="00AC7B9D" w:rsidRPr="00924D60" w:rsidRDefault="00AC7B9D" w:rsidP="00306F41">
      <w:pPr>
        <w:bidi w:val="0"/>
        <w:snapToGrid w:val="0"/>
        <w:spacing w:after="0" w:line="240" w:lineRule="auto"/>
        <w:ind w:firstLine="425"/>
        <w:jc w:val="both"/>
        <w:rPr>
          <w:rFonts w:ascii="Times New Roman" w:hAnsi="Times New Roman" w:cs="Times New Roman"/>
          <w:sz w:val="20"/>
          <w:szCs w:val="20"/>
        </w:rPr>
      </w:pPr>
    </w:p>
    <w:p w:rsidR="00513C71" w:rsidRPr="00924D60" w:rsidRDefault="00513C71"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 xml:space="preserve">Group I had </w:t>
      </w:r>
      <w:r w:rsidRPr="00924D60">
        <w:rPr>
          <w:rFonts w:ascii="Times New Roman" w:hAnsi="Times New Roman" w:cs="Times New Roman"/>
          <w:b/>
          <w:bCs/>
          <w:sz w:val="20"/>
          <w:szCs w:val="20"/>
        </w:rPr>
        <w:t>lower</w:t>
      </w:r>
      <w:r w:rsidRPr="00924D60">
        <w:rPr>
          <w:rFonts w:ascii="Times New Roman" w:hAnsi="Times New Roman" w:cs="Times New Roman"/>
          <w:sz w:val="20"/>
          <w:szCs w:val="20"/>
        </w:rPr>
        <w:t xml:space="preserve"> levels of zinc than group II with a </w:t>
      </w:r>
      <w:r w:rsidRPr="00924D60">
        <w:rPr>
          <w:rFonts w:ascii="Times New Roman" w:hAnsi="Times New Roman" w:cs="Times New Roman"/>
          <w:b/>
          <w:bCs/>
          <w:sz w:val="20"/>
          <w:szCs w:val="20"/>
        </w:rPr>
        <w:t>significant</w:t>
      </w:r>
      <w:r w:rsidRPr="00924D60">
        <w:rPr>
          <w:rFonts w:ascii="Times New Roman" w:hAnsi="Times New Roman" w:cs="Times New Roman"/>
          <w:sz w:val="20"/>
          <w:szCs w:val="20"/>
        </w:rPr>
        <w:t xml:space="preserve"> difference. While there were no significant differences in copper and magnesium levels between these two groups.</w:t>
      </w:r>
    </w:p>
    <w:p w:rsidR="00AC7B9D" w:rsidRPr="00924D60" w:rsidRDefault="00AC7B9D" w:rsidP="00306F41">
      <w:pPr>
        <w:bidi w:val="0"/>
        <w:snapToGrid w:val="0"/>
        <w:spacing w:after="0" w:line="240" w:lineRule="auto"/>
        <w:jc w:val="center"/>
        <w:rPr>
          <w:rFonts w:ascii="Times New Roman" w:hAnsi="Times New Roman" w:cs="Times New Roman"/>
          <w:b/>
          <w:bCs/>
          <w:sz w:val="20"/>
          <w:szCs w:val="20"/>
        </w:rPr>
      </w:pPr>
    </w:p>
    <w:p w:rsidR="00513C71" w:rsidRPr="00924D60" w:rsidRDefault="00513C71" w:rsidP="00306F41">
      <w:pPr>
        <w:bidi w:val="0"/>
        <w:snapToGrid w:val="0"/>
        <w:spacing w:after="0" w:line="240" w:lineRule="auto"/>
        <w:jc w:val="center"/>
        <w:rPr>
          <w:rFonts w:ascii="Times New Roman" w:hAnsi="Times New Roman" w:cs="Times New Roman"/>
          <w:i/>
          <w:iCs/>
          <w:sz w:val="20"/>
          <w:szCs w:val="20"/>
        </w:rPr>
      </w:pPr>
      <w:r w:rsidRPr="00924D60">
        <w:rPr>
          <w:rFonts w:ascii="Times New Roman" w:hAnsi="Times New Roman" w:cs="Times New Roman"/>
          <w:b/>
          <w:bCs/>
          <w:sz w:val="20"/>
          <w:szCs w:val="20"/>
        </w:rPr>
        <w:t>Table (</w:t>
      </w:r>
      <w:r w:rsidR="00057023" w:rsidRPr="00924D60">
        <w:rPr>
          <w:rFonts w:ascii="Times New Roman" w:hAnsi="Times New Roman" w:cs="Times New Roman"/>
          <w:b/>
          <w:bCs/>
          <w:sz w:val="20"/>
          <w:szCs w:val="20"/>
        </w:rPr>
        <w:t>5</w:t>
      </w:r>
      <w:r w:rsidRPr="00924D60">
        <w:rPr>
          <w:rFonts w:ascii="Times New Roman" w:hAnsi="Times New Roman" w:cs="Times New Roman"/>
          <w:b/>
          <w:bCs/>
          <w:sz w:val="20"/>
          <w:szCs w:val="20"/>
        </w:rPr>
        <w:t xml:space="preserve">): </w:t>
      </w:r>
      <w:r w:rsidRPr="00924D60">
        <w:rPr>
          <w:rFonts w:ascii="Times New Roman" w:hAnsi="Times New Roman" w:cs="Times New Roman"/>
          <w:i/>
          <w:iCs/>
          <w:sz w:val="20"/>
          <w:szCs w:val="20"/>
        </w:rPr>
        <w:t>Mean levels of Serum Zinc, copper and magnesium in group I and group II</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681"/>
        <w:gridCol w:w="1463"/>
        <w:gridCol w:w="851"/>
        <w:gridCol w:w="337"/>
        <w:gridCol w:w="853"/>
        <w:gridCol w:w="851"/>
        <w:gridCol w:w="337"/>
        <w:gridCol w:w="1004"/>
        <w:gridCol w:w="953"/>
        <w:gridCol w:w="1144"/>
      </w:tblGrid>
      <w:tr w:rsidR="00513C71" w:rsidRPr="00924D60" w:rsidTr="007739D4">
        <w:trPr>
          <w:jc w:val="center"/>
        </w:trPr>
        <w:tc>
          <w:tcPr>
            <w:tcW w:w="1659" w:type="pct"/>
            <w:gridSpan w:val="2"/>
            <w:vMerge w:val="restart"/>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Variable </w:t>
            </w:r>
          </w:p>
        </w:tc>
        <w:tc>
          <w:tcPr>
            <w:tcW w:w="2234" w:type="pct"/>
            <w:gridSpan w:val="6"/>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Groups</w:t>
            </w:r>
          </w:p>
        </w:tc>
        <w:tc>
          <w:tcPr>
            <w:tcW w:w="1107" w:type="pct"/>
            <w:gridSpan w:val="2"/>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T-test</w:t>
            </w:r>
          </w:p>
        </w:tc>
      </w:tr>
      <w:tr w:rsidR="00513C71" w:rsidRPr="00924D60" w:rsidTr="007739D4">
        <w:trPr>
          <w:jc w:val="center"/>
        </w:trPr>
        <w:tc>
          <w:tcPr>
            <w:tcW w:w="1659" w:type="pct"/>
            <w:gridSpan w:val="2"/>
            <w:vMerge/>
            <w:shd w:val="clear" w:color="auto" w:fill="D9D9D9" w:themeFill="background1" w:themeFillShade="D9"/>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p>
        </w:tc>
        <w:tc>
          <w:tcPr>
            <w:tcW w:w="1077" w:type="pct"/>
            <w:gridSpan w:val="3"/>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w:t>
            </w:r>
          </w:p>
        </w:tc>
        <w:tc>
          <w:tcPr>
            <w:tcW w:w="1157" w:type="pct"/>
            <w:gridSpan w:val="3"/>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w:t>
            </w:r>
          </w:p>
        </w:tc>
        <w:tc>
          <w:tcPr>
            <w:tcW w:w="503" w:type="pct"/>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w:t>
            </w:r>
          </w:p>
        </w:tc>
        <w:tc>
          <w:tcPr>
            <w:tcW w:w="605" w:type="pct"/>
            <w:shd w:val="clear" w:color="auto" w:fill="D9D9D9" w:themeFill="background1" w:themeFillShade="D9"/>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P-value</w:t>
            </w:r>
          </w:p>
        </w:tc>
      </w:tr>
      <w:tr w:rsidR="007739D4" w:rsidRPr="00924D60" w:rsidTr="007739D4">
        <w:trPr>
          <w:jc w:val="center"/>
        </w:trPr>
        <w:tc>
          <w:tcPr>
            <w:tcW w:w="887"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Zinc</w:t>
            </w: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101</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33</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102</w:t>
            </w:r>
          </w:p>
        </w:tc>
        <w:tc>
          <w:tcPr>
            <w:tcW w:w="503"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-2.104</w:t>
            </w:r>
          </w:p>
        </w:tc>
        <w:tc>
          <w:tcPr>
            <w:tcW w:w="605"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0.043*</w:t>
            </w:r>
          </w:p>
        </w:tc>
      </w:tr>
      <w:tr w:rsidR="007739D4" w:rsidRPr="00924D60" w:rsidTr="007739D4">
        <w:trPr>
          <w:jc w:val="center"/>
        </w:trPr>
        <w:tc>
          <w:tcPr>
            <w:tcW w:w="887" w:type="pct"/>
            <w:vMerge/>
            <w:shd w:val="clear" w:color="auto" w:fill="auto"/>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49.00</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22.55</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63.72</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19.299</w:t>
            </w:r>
          </w:p>
        </w:tc>
        <w:tc>
          <w:tcPr>
            <w:tcW w:w="503" w:type="pct"/>
            <w:vMerge/>
            <w:shd w:val="clear" w:color="auto" w:fill="auto"/>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605" w:type="pct"/>
            <w:vMerge/>
            <w:shd w:val="clear" w:color="auto" w:fill="auto"/>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87"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Copper</w:t>
            </w: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55</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130</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59</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115</w:t>
            </w:r>
          </w:p>
        </w:tc>
        <w:tc>
          <w:tcPr>
            <w:tcW w:w="503"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0.807</w:t>
            </w:r>
          </w:p>
        </w:tc>
        <w:tc>
          <w:tcPr>
            <w:tcW w:w="605"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0.425</w:t>
            </w:r>
          </w:p>
        </w:tc>
      </w:tr>
      <w:tr w:rsidR="007739D4" w:rsidRPr="00924D60" w:rsidTr="007739D4">
        <w:trPr>
          <w:jc w:val="center"/>
        </w:trPr>
        <w:tc>
          <w:tcPr>
            <w:tcW w:w="887" w:type="pct"/>
            <w:vMerge/>
            <w:shd w:val="clear" w:color="auto" w:fill="auto"/>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95.16</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21.09</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90.38</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13.63</w:t>
            </w:r>
          </w:p>
        </w:tc>
        <w:tc>
          <w:tcPr>
            <w:tcW w:w="503" w:type="pct"/>
            <w:vMerge/>
            <w:shd w:val="clear" w:color="auto" w:fill="auto"/>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605" w:type="pct"/>
            <w:vMerge/>
            <w:shd w:val="clear" w:color="auto" w:fill="auto"/>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87"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Magnesium</w:t>
            </w: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2.06</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2.35</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2.65</w:t>
            </w:r>
          </w:p>
        </w:tc>
        <w:tc>
          <w:tcPr>
            <w:tcW w:w="503"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0.973</w:t>
            </w:r>
          </w:p>
        </w:tc>
        <w:tc>
          <w:tcPr>
            <w:tcW w:w="605" w:type="pct"/>
            <w:vMerge w:val="restart"/>
            <w:shd w:val="clear" w:color="auto" w:fill="auto"/>
            <w:noWrap/>
            <w:vAlign w:val="center"/>
          </w:tcPr>
          <w:p w:rsidR="00513C71" w:rsidRPr="00924D60" w:rsidRDefault="00513C7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0.337</w:t>
            </w:r>
          </w:p>
        </w:tc>
      </w:tr>
      <w:tr w:rsidR="007739D4" w:rsidRPr="00924D60" w:rsidTr="007739D4">
        <w:trPr>
          <w:jc w:val="center"/>
        </w:trPr>
        <w:tc>
          <w:tcPr>
            <w:tcW w:w="887" w:type="pct"/>
            <w:vMerge/>
            <w:shd w:val="clear" w:color="auto" w:fill="auto"/>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p>
        </w:tc>
        <w:tc>
          <w:tcPr>
            <w:tcW w:w="772"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2.550</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0.173</w:t>
            </w:r>
          </w:p>
        </w:tc>
        <w:tc>
          <w:tcPr>
            <w:tcW w:w="44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2.505</w:t>
            </w:r>
          </w:p>
        </w:tc>
        <w:tc>
          <w:tcPr>
            <w:tcW w:w="178"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529" w:type="pct"/>
            <w:shd w:val="clear" w:color="auto" w:fill="auto"/>
            <w:noWrap/>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0.093</w:t>
            </w:r>
          </w:p>
        </w:tc>
        <w:tc>
          <w:tcPr>
            <w:tcW w:w="503" w:type="pct"/>
            <w:vMerge/>
            <w:shd w:val="clear" w:color="auto" w:fill="auto"/>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p>
        </w:tc>
        <w:tc>
          <w:tcPr>
            <w:tcW w:w="605" w:type="pct"/>
            <w:vMerge/>
            <w:shd w:val="clear" w:color="auto" w:fill="auto"/>
            <w:vAlign w:val="center"/>
          </w:tcPr>
          <w:p w:rsidR="00513C71" w:rsidRPr="00924D60" w:rsidRDefault="00513C71" w:rsidP="00306F41">
            <w:pPr>
              <w:bidi w:val="0"/>
              <w:snapToGrid w:val="0"/>
              <w:spacing w:after="0" w:line="240" w:lineRule="auto"/>
              <w:jc w:val="both"/>
              <w:rPr>
                <w:rFonts w:ascii="Times New Roman" w:hAnsi="Times New Roman" w:cs="Times New Roman"/>
                <w:sz w:val="20"/>
                <w:szCs w:val="20"/>
              </w:rPr>
            </w:pPr>
          </w:p>
        </w:tc>
      </w:tr>
    </w:tbl>
    <w:p w:rsidR="00AC7B9D" w:rsidRPr="00924D60" w:rsidRDefault="00AC7B9D" w:rsidP="00306F41">
      <w:pPr>
        <w:bidi w:val="0"/>
        <w:snapToGrid w:val="0"/>
        <w:spacing w:after="0" w:line="240" w:lineRule="auto"/>
        <w:ind w:firstLine="425"/>
        <w:jc w:val="both"/>
        <w:rPr>
          <w:rFonts w:ascii="Times New Roman" w:hAnsi="Times New Roman" w:cs="Times New Roman"/>
          <w:sz w:val="20"/>
          <w:szCs w:val="20"/>
        </w:rPr>
      </w:pPr>
    </w:p>
    <w:p w:rsidR="00C36DD1" w:rsidRPr="00924D60" w:rsidRDefault="00C36DD1"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 xml:space="preserve">Group I had </w:t>
      </w:r>
      <w:r w:rsidRPr="00924D60">
        <w:rPr>
          <w:rFonts w:ascii="Times New Roman" w:hAnsi="Times New Roman" w:cs="Times New Roman"/>
          <w:b/>
          <w:bCs/>
          <w:sz w:val="20"/>
          <w:szCs w:val="20"/>
        </w:rPr>
        <w:t>lower</w:t>
      </w:r>
      <w:r w:rsidRPr="00924D60">
        <w:rPr>
          <w:rFonts w:ascii="Times New Roman" w:hAnsi="Times New Roman" w:cs="Times New Roman"/>
          <w:sz w:val="20"/>
          <w:szCs w:val="20"/>
        </w:rPr>
        <w:t xml:space="preserve"> levels of zinc and </w:t>
      </w:r>
      <w:r w:rsidRPr="00924D60">
        <w:rPr>
          <w:rFonts w:ascii="Times New Roman" w:hAnsi="Times New Roman" w:cs="Times New Roman"/>
          <w:b/>
          <w:bCs/>
          <w:sz w:val="20"/>
          <w:szCs w:val="20"/>
        </w:rPr>
        <w:t>higher</w:t>
      </w:r>
      <w:r w:rsidRPr="00924D60">
        <w:rPr>
          <w:rFonts w:ascii="Times New Roman" w:hAnsi="Times New Roman" w:cs="Times New Roman"/>
          <w:sz w:val="20"/>
          <w:szCs w:val="20"/>
        </w:rPr>
        <w:t xml:space="preserve"> levels of magnesium than group III with a </w:t>
      </w:r>
      <w:r w:rsidRPr="00924D60">
        <w:rPr>
          <w:rFonts w:ascii="Times New Roman" w:hAnsi="Times New Roman" w:cs="Times New Roman"/>
          <w:b/>
          <w:bCs/>
          <w:sz w:val="20"/>
          <w:szCs w:val="20"/>
        </w:rPr>
        <w:t>significant</w:t>
      </w:r>
      <w:r w:rsidRPr="00924D60">
        <w:rPr>
          <w:rFonts w:ascii="Times New Roman" w:hAnsi="Times New Roman" w:cs="Times New Roman"/>
          <w:sz w:val="20"/>
          <w:szCs w:val="20"/>
        </w:rPr>
        <w:t xml:space="preserve"> difference. While there was no significant difference in copper level between groups I and III.</w:t>
      </w:r>
    </w:p>
    <w:p w:rsidR="00AC7B9D" w:rsidRPr="00924D60" w:rsidRDefault="00AC7B9D" w:rsidP="00306F41">
      <w:pPr>
        <w:bidi w:val="0"/>
        <w:snapToGrid w:val="0"/>
        <w:spacing w:after="0" w:line="240" w:lineRule="auto"/>
        <w:jc w:val="center"/>
        <w:rPr>
          <w:rFonts w:ascii="Times New Roman" w:hAnsi="Times New Roman" w:cs="Times New Roman"/>
          <w:b/>
          <w:bCs/>
          <w:sz w:val="20"/>
          <w:szCs w:val="20"/>
        </w:rPr>
      </w:pPr>
    </w:p>
    <w:p w:rsidR="00C36DD1" w:rsidRPr="00924D60" w:rsidRDefault="00C36DD1" w:rsidP="00306F41">
      <w:pPr>
        <w:bidi w:val="0"/>
        <w:snapToGrid w:val="0"/>
        <w:spacing w:after="0" w:line="240" w:lineRule="auto"/>
        <w:jc w:val="center"/>
        <w:rPr>
          <w:rFonts w:ascii="Times New Roman" w:hAnsi="Times New Roman" w:cs="Times New Roman"/>
          <w:i/>
          <w:iCs/>
          <w:sz w:val="20"/>
          <w:szCs w:val="20"/>
        </w:rPr>
      </w:pPr>
      <w:r w:rsidRPr="00924D60">
        <w:rPr>
          <w:rFonts w:ascii="Times New Roman" w:hAnsi="Times New Roman" w:cs="Times New Roman"/>
          <w:b/>
          <w:bCs/>
          <w:sz w:val="20"/>
          <w:szCs w:val="20"/>
        </w:rPr>
        <w:t>Table (</w:t>
      </w:r>
      <w:r w:rsidR="00057023" w:rsidRPr="00924D60">
        <w:rPr>
          <w:rFonts w:ascii="Times New Roman" w:hAnsi="Times New Roman" w:cs="Times New Roman"/>
          <w:b/>
          <w:bCs/>
          <w:sz w:val="20"/>
          <w:szCs w:val="20"/>
        </w:rPr>
        <w:t>6</w:t>
      </w:r>
      <w:r w:rsidRPr="00924D60">
        <w:rPr>
          <w:rFonts w:ascii="Times New Roman" w:hAnsi="Times New Roman" w:cs="Times New Roman"/>
          <w:b/>
          <w:bCs/>
          <w:sz w:val="20"/>
          <w:szCs w:val="20"/>
        </w:rPr>
        <w:t xml:space="preserve">): </w:t>
      </w:r>
      <w:r w:rsidRPr="00924D60">
        <w:rPr>
          <w:rFonts w:ascii="Times New Roman" w:hAnsi="Times New Roman" w:cs="Times New Roman"/>
          <w:i/>
          <w:iCs/>
          <w:sz w:val="20"/>
          <w:szCs w:val="20"/>
        </w:rPr>
        <w:t>Mean levels of Serum Zinc, copper and magnesium in group I and group III</w:t>
      </w: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57" w:type="dxa"/>
          <w:right w:w="57" w:type="dxa"/>
        </w:tblCellMar>
        <w:tblLook w:val="0000"/>
      </w:tblPr>
      <w:tblGrid>
        <w:gridCol w:w="1580"/>
        <w:gridCol w:w="1376"/>
        <w:gridCol w:w="942"/>
        <w:gridCol w:w="318"/>
        <w:gridCol w:w="942"/>
        <w:gridCol w:w="1084"/>
        <w:gridCol w:w="318"/>
        <w:gridCol w:w="942"/>
        <w:gridCol w:w="896"/>
        <w:gridCol w:w="1076"/>
      </w:tblGrid>
      <w:tr w:rsidR="00C36DD1" w:rsidRPr="00924D60" w:rsidTr="007739D4">
        <w:trPr>
          <w:jc w:val="center"/>
        </w:trPr>
        <w:tc>
          <w:tcPr>
            <w:tcW w:w="1560" w:type="pct"/>
            <w:gridSpan w:val="2"/>
            <w:vMerge w:val="restar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p w:rsidR="00C36DD1" w:rsidRPr="00924D60" w:rsidRDefault="00C36DD1" w:rsidP="00014A5E">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Variable </w:t>
            </w:r>
          </w:p>
        </w:tc>
        <w:tc>
          <w:tcPr>
            <w:tcW w:w="2399" w:type="pct"/>
            <w:gridSpan w:val="6"/>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Groups</w:t>
            </w:r>
          </w:p>
        </w:tc>
        <w:tc>
          <w:tcPr>
            <w:tcW w:w="1041" w:type="pct"/>
            <w:gridSpan w:val="2"/>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T-test</w:t>
            </w:r>
          </w:p>
        </w:tc>
      </w:tr>
      <w:tr w:rsidR="00C36DD1" w:rsidRPr="00924D60" w:rsidTr="007739D4">
        <w:trPr>
          <w:jc w:val="center"/>
        </w:trPr>
        <w:tc>
          <w:tcPr>
            <w:tcW w:w="1560" w:type="pct"/>
            <w:gridSpan w:val="2"/>
            <w:vMerge/>
            <w:shd w:val="clear" w:color="auto" w:fill="D9D9D9" w:themeFill="background1" w:themeFillShade="D9"/>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1162" w:type="pct"/>
            <w:gridSpan w:val="3"/>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w:t>
            </w:r>
          </w:p>
        </w:tc>
        <w:tc>
          <w:tcPr>
            <w:tcW w:w="1237" w:type="pct"/>
            <w:gridSpan w:val="3"/>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III</w:t>
            </w:r>
          </w:p>
        </w:tc>
        <w:tc>
          <w:tcPr>
            <w:tcW w:w="473" w:type="pc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w:t>
            </w:r>
          </w:p>
        </w:tc>
        <w:tc>
          <w:tcPr>
            <w:tcW w:w="568" w:type="pc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P-value</w:t>
            </w: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Zinc</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101</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30</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134</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-3.408</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0.002*</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49.000</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22.552</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76.056</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25.021</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Copper</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130</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63</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140</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-1.008</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0.321</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95.167</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21.097</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102.278</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21.246</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Magnesium</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2.06</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2.8</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2.57</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3.274</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0.002*</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2.550</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0.173</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2.385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0.126</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p>
        </w:tc>
      </w:tr>
    </w:tbl>
    <w:p w:rsidR="00014A5E" w:rsidRPr="00924D60" w:rsidRDefault="00014A5E" w:rsidP="00306F41">
      <w:pPr>
        <w:bidi w:val="0"/>
        <w:snapToGrid w:val="0"/>
        <w:spacing w:after="0" w:line="240" w:lineRule="auto"/>
        <w:ind w:firstLine="425"/>
        <w:jc w:val="both"/>
        <w:rPr>
          <w:rFonts w:ascii="Times New Roman" w:hAnsi="Times New Roman" w:cs="Times New Roman"/>
          <w:sz w:val="20"/>
          <w:szCs w:val="20"/>
          <w:lang w:eastAsia="zh-CN"/>
        </w:rPr>
      </w:pPr>
    </w:p>
    <w:p w:rsidR="00057023" w:rsidRPr="00924D60" w:rsidRDefault="00C36DD1" w:rsidP="00014A5E">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 xml:space="preserve">Group II had </w:t>
      </w:r>
      <w:r w:rsidRPr="00924D60">
        <w:rPr>
          <w:rFonts w:ascii="Times New Roman" w:hAnsi="Times New Roman" w:cs="Times New Roman"/>
          <w:b/>
          <w:bCs/>
          <w:sz w:val="20"/>
          <w:szCs w:val="20"/>
        </w:rPr>
        <w:t>higher</w:t>
      </w:r>
      <w:r w:rsidRPr="00924D60">
        <w:rPr>
          <w:rFonts w:ascii="Times New Roman" w:hAnsi="Times New Roman" w:cs="Times New Roman"/>
          <w:sz w:val="20"/>
          <w:szCs w:val="20"/>
        </w:rPr>
        <w:t xml:space="preserve"> levels of magnesium than group III with a </w:t>
      </w:r>
      <w:r w:rsidRPr="00924D60">
        <w:rPr>
          <w:rFonts w:ascii="Times New Roman" w:hAnsi="Times New Roman" w:cs="Times New Roman"/>
          <w:b/>
          <w:bCs/>
          <w:sz w:val="20"/>
          <w:szCs w:val="20"/>
        </w:rPr>
        <w:t>significant</w:t>
      </w:r>
      <w:r w:rsidRPr="00924D60">
        <w:rPr>
          <w:rFonts w:ascii="Times New Roman" w:hAnsi="Times New Roman" w:cs="Times New Roman"/>
          <w:sz w:val="20"/>
          <w:szCs w:val="20"/>
        </w:rPr>
        <w:t xml:space="preserve"> difference. While there was no significant difference in zinc and copper levels between group II and group III.</w:t>
      </w:r>
    </w:p>
    <w:p w:rsidR="00AC7B9D" w:rsidRPr="00924D60" w:rsidRDefault="00AC7B9D" w:rsidP="00306F41">
      <w:pPr>
        <w:bidi w:val="0"/>
        <w:snapToGrid w:val="0"/>
        <w:spacing w:after="0" w:line="240" w:lineRule="auto"/>
        <w:jc w:val="center"/>
        <w:rPr>
          <w:rFonts w:ascii="Times New Roman" w:hAnsi="Times New Roman" w:cs="Times New Roman"/>
          <w:b/>
          <w:bCs/>
          <w:sz w:val="20"/>
          <w:szCs w:val="20"/>
          <w:lang w:bidi="ar-EG"/>
        </w:rPr>
      </w:pPr>
    </w:p>
    <w:p w:rsidR="00C36DD1" w:rsidRPr="00924D60" w:rsidRDefault="00C36DD1" w:rsidP="00306F41">
      <w:pPr>
        <w:bidi w:val="0"/>
        <w:snapToGrid w:val="0"/>
        <w:spacing w:after="0" w:line="240" w:lineRule="auto"/>
        <w:jc w:val="center"/>
        <w:rPr>
          <w:rFonts w:ascii="Times New Roman" w:hAnsi="Times New Roman" w:cs="Times New Roman"/>
          <w:i/>
          <w:iCs/>
          <w:sz w:val="20"/>
          <w:szCs w:val="20"/>
        </w:rPr>
      </w:pPr>
      <w:r w:rsidRPr="00924D60">
        <w:rPr>
          <w:rFonts w:ascii="Times New Roman" w:hAnsi="Times New Roman" w:cs="Times New Roman"/>
          <w:b/>
          <w:bCs/>
          <w:sz w:val="20"/>
          <w:szCs w:val="20"/>
          <w:lang w:bidi="ar-EG"/>
        </w:rPr>
        <w:t>Table (</w:t>
      </w:r>
      <w:r w:rsidR="00057023" w:rsidRPr="00924D60">
        <w:rPr>
          <w:rFonts w:ascii="Times New Roman" w:hAnsi="Times New Roman" w:cs="Times New Roman"/>
          <w:b/>
          <w:bCs/>
          <w:sz w:val="20"/>
          <w:szCs w:val="20"/>
          <w:lang w:bidi="ar-EG"/>
        </w:rPr>
        <w:t>7</w:t>
      </w:r>
      <w:r w:rsidRPr="00924D60">
        <w:rPr>
          <w:rFonts w:ascii="Times New Roman" w:hAnsi="Times New Roman" w:cs="Times New Roman"/>
          <w:b/>
          <w:bCs/>
          <w:sz w:val="20"/>
          <w:szCs w:val="20"/>
          <w:lang w:bidi="ar-EG"/>
        </w:rPr>
        <w:t>)</w:t>
      </w:r>
      <w:r w:rsidRPr="00924D60">
        <w:rPr>
          <w:rFonts w:ascii="Times New Roman" w:hAnsi="Times New Roman" w:cs="Times New Roman"/>
          <w:sz w:val="20"/>
          <w:szCs w:val="20"/>
          <w:lang w:bidi="ar-EG"/>
        </w:rPr>
        <w:t xml:space="preserve">: </w:t>
      </w:r>
      <w:r w:rsidRPr="00924D60">
        <w:rPr>
          <w:rFonts w:ascii="Times New Roman" w:hAnsi="Times New Roman" w:cs="Times New Roman"/>
          <w:i/>
          <w:iCs/>
          <w:sz w:val="20"/>
          <w:szCs w:val="20"/>
        </w:rPr>
        <w:t>Mean levels of Serum Zinc, copper and magnesium in group II and group III</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580"/>
        <w:gridCol w:w="1376"/>
        <w:gridCol w:w="942"/>
        <w:gridCol w:w="318"/>
        <w:gridCol w:w="942"/>
        <w:gridCol w:w="1084"/>
        <w:gridCol w:w="318"/>
        <w:gridCol w:w="942"/>
        <w:gridCol w:w="896"/>
        <w:gridCol w:w="1076"/>
      </w:tblGrid>
      <w:tr w:rsidR="00C36DD1" w:rsidRPr="00924D60" w:rsidTr="007739D4">
        <w:trPr>
          <w:jc w:val="center"/>
        </w:trPr>
        <w:tc>
          <w:tcPr>
            <w:tcW w:w="1560" w:type="pct"/>
            <w:gridSpan w:val="2"/>
            <w:vMerge w:val="restar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p w:rsidR="00C36DD1" w:rsidRPr="00924D60" w:rsidRDefault="00C36DD1" w:rsidP="00014A5E">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Variable</w:t>
            </w:r>
          </w:p>
        </w:tc>
        <w:tc>
          <w:tcPr>
            <w:tcW w:w="2399" w:type="pct"/>
            <w:gridSpan w:val="6"/>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Groups</w:t>
            </w:r>
          </w:p>
        </w:tc>
        <w:tc>
          <w:tcPr>
            <w:tcW w:w="1041" w:type="pct"/>
            <w:gridSpan w:val="2"/>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T-test</w:t>
            </w:r>
          </w:p>
        </w:tc>
      </w:tr>
      <w:tr w:rsidR="00C36DD1" w:rsidRPr="00924D60" w:rsidTr="007739D4">
        <w:trPr>
          <w:jc w:val="center"/>
        </w:trPr>
        <w:tc>
          <w:tcPr>
            <w:tcW w:w="1560" w:type="pct"/>
            <w:gridSpan w:val="2"/>
            <w:vMerge/>
            <w:shd w:val="clear" w:color="auto" w:fill="D9D9D9" w:themeFill="background1" w:themeFillShade="D9"/>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1162" w:type="pct"/>
            <w:gridSpan w:val="3"/>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w:t>
            </w:r>
          </w:p>
        </w:tc>
        <w:tc>
          <w:tcPr>
            <w:tcW w:w="1237" w:type="pct"/>
            <w:gridSpan w:val="3"/>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Group III</w:t>
            </w:r>
          </w:p>
        </w:tc>
        <w:tc>
          <w:tcPr>
            <w:tcW w:w="473" w:type="pc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t</w:t>
            </w:r>
          </w:p>
        </w:tc>
        <w:tc>
          <w:tcPr>
            <w:tcW w:w="568" w:type="pct"/>
            <w:shd w:val="clear" w:color="auto" w:fill="D9D9D9" w:themeFill="background1" w:themeFillShade="D9"/>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P-value</w:t>
            </w: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Zinc</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33</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102</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30</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134</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-1.656</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0.107</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63.722</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19.299</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76.056</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25.021</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Copper</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59</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115</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63</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140</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-1.998</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0.054</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90.389</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13.630</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102.278</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21.246</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p>
        </w:tc>
      </w:tr>
      <w:tr w:rsidR="007739D4" w:rsidRPr="00924D60" w:rsidTr="007739D4">
        <w:trPr>
          <w:jc w:val="center"/>
        </w:trPr>
        <w:tc>
          <w:tcPr>
            <w:tcW w:w="834"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Magnesium</w:t>
            </w: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Range</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2.35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2.65</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2.15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2.57</w:t>
            </w:r>
          </w:p>
        </w:tc>
        <w:tc>
          <w:tcPr>
            <w:tcW w:w="473"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3.259</w:t>
            </w:r>
          </w:p>
        </w:tc>
        <w:tc>
          <w:tcPr>
            <w:tcW w:w="568" w:type="pct"/>
            <w:vMerge w:val="restart"/>
            <w:shd w:val="clear" w:color="auto" w:fill="auto"/>
            <w:noWrap/>
            <w:vAlign w:val="center"/>
          </w:tcPr>
          <w:p w:rsidR="00C36DD1" w:rsidRPr="00924D60" w:rsidRDefault="00C36DD1" w:rsidP="00306F41">
            <w:pPr>
              <w:bidi w:val="0"/>
              <w:snapToGrid w:val="0"/>
              <w:spacing w:after="0" w:line="240" w:lineRule="auto"/>
              <w:jc w:val="both"/>
              <w:rPr>
                <w:rFonts w:ascii="Times New Roman" w:eastAsia="Times New Roman" w:hAnsi="Times New Roman" w:cs="Times New Roman"/>
                <w:color w:val="000000"/>
                <w:sz w:val="20"/>
                <w:szCs w:val="20"/>
              </w:rPr>
            </w:pPr>
            <w:r w:rsidRPr="00924D60">
              <w:rPr>
                <w:rFonts w:ascii="Times New Roman" w:eastAsia="Times New Roman" w:hAnsi="Times New Roman" w:cs="Times New Roman"/>
                <w:color w:val="000000"/>
                <w:sz w:val="20"/>
                <w:szCs w:val="20"/>
              </w:rPr>
              <w:t>0.003*</w:t>
            </w:r>
          </w:p>
        </w:tc>
      </w:tr>
      <w:tr w:rsidR="007739D4" w:rsidRPr="00924D60" w:rsidTr="007739D4">
        <w:trPr>
          <w:jc w:val="center"/>
        </w:trPr>
        <w:tc>
          <w:tcPr>
            <w:tcW w:w="834"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p>
        </w:tc>
        <w:tc>
          <w:tcPr>
            <w:tcW w:w="726"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Mean±SD</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2.505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0.093</w:t>
            </w:r>
          </w:p>
        </w:tc>
        <w:tc>
          <w:tcPr>
            <w:tcW w:w="572"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2.385</w:t>
            </w:r>
          </w:p>
        </w:tc>
        <w:tc>
          <w:tcPr>
            <w:tcW w:w="168"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w:t>
            </w:r>
          </w:p>
        </w:tc>
        <w:tc>
          <w:tcPr>
            <w:tcW w:w="497" w:type="pct"/>
            <w:shd w:val="clear" w:color="auto" w:fill="auto"/>
            <w:noWrap/>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r w:rsidRPr="00924D60">
              <w:rPr>
                <w:rFonts w:ascii="Times New Roman" w:hAnsi="Times New Roman" w:cs="Times New Roman"/>
                <w:sz w:val="20"/>
                <w:szCs w:val="20"/>
              </w:rPr>
              <w:t>0.126</w:t>
            </w:r>
          </w:p>
        </w:tc>
        <w:tc>
          <w:tcPr>
            <w:tcW w:w="473"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p>
        </w:tc>
        <w:tc>
          <w:tcPr>
            <w:tcW w:w="568" w:type="pct"/>
            <w:vMerge/>
            <w:shd w:val="clear" w:color="auto" w:fill="auto"/>
            <w:vAlign w:val="center"/>
          </w:tcPr>
          <w:p w:rsidR="00C36DD1" w:rsidRPr="00924D60" w:rsidRDefault="00C36DD1" w:rsidP="00306F41">
            <w:pPr>
              <w:bidi w:val="0"/>
              <w:snapToGrid w:val="0"/>
              <w:spacing w:after="0" w:line="240" w:lineRule="auto"/>
              <w:jc w:val="both"/>
              <w:rPr>
                <w:rFonts w:ascii="Times New Roman" w:hAnsi="Times New Roman" w:cs="Times New Roman"/>
                <w:sz w:val="20"/>
                <w:szCs w:val="20"/>
              </w:rPr>
            </w:pPr>
          </w:p>
        </w:tc>
      </w:tr>
    </w:tbl>
    <w:p w:rsidR="00AC7B9D" w:rsidRPr="00924D60" w:rsidRDefault="00AC7B9D" w:rsidP="00306F41">
      <w:pPr>
        <w:bidi w:val="0"/>
        <w:snapToGrid w:val="0"/>
        <w:spacing w:after="0" w:line="240" w:lineRule="auto"/>
        <w:jc w:val="both"/>
        <w:rPr>
          <w:rFonts w:ascii="Times New Roman" w:hAnsi="Times New Roman" w:cs="Times New Roman"/>
          <w:b/>
          <w:bCs/>
          <w:sz w:val="20"/>
          <w:szCs w:val="20"/>
        </w:rPr>
      </w:pPr>
    </w:p>
    <w:p w:rsidR="00306F41" w:rsidRPr="00924D60" w:rsidRDefault="00306F41" w:rsidP="00306F41">
      <w:pPr>
        <w:bidi w:val="0"/>
        <w:snapToGrid w:val="0"/>
        <w:spacing w:after="0" w:line="240" w:lineRule="auto"/>
        <w:jc w:val="both"/>
        <w:rPr>
          <w:rFonts w:ascii="Times New Roman" w:hAnsi="Times New Roman" w:cs="Times New Roman"/>
          <w:b/>
          <w:bCs/>
          <w:sz w:val="20"/>
          <w:szCs w:val="20"/>
        </w:rPr>
        <w:sectPr w:rsidR="00306F41" w:rsidRPr="00924D60" w:rsidSect="007739D4">
          <w:type w:val="continuous"/>
          <w:pgSz w:w="12240" w:h="15840" w:code="9"/>
          <w:pgMar w:top="1440" w:right="1440" w:bottom="1440" w:left="1440" w:header="720" w:footer="720" w:gutter="0"/>
          <w:cols w:space="720"/>
          <w:docGrid w:linePitch="360"/>
        </w:sectPr>
      </w:pPr>
    </w:p>
    <w:p w:rsidR="002F1675" w:rsidRPr="00924D60" w:rsidRDefault="00AC7B9D" w:rsidP="00306F41">
      <w:pPr>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lastRenderedPageBreak/>
        <w:t xml:space="preserve">4. </w:t>
      </w:r>
      <w:r w:rsidR="00057023" w:rsidRPr="00924D60">
        <w:rPr>
          <w:rFonts w:ascii="Times New Roman" w:hAnsi="Times New Roman" w:cs="Times New Roman"/>
          <w:b/>
          <w:bCs/>
          <w:sz w:val="20"/>
          <w:szCs w:val="20"/>
        </w:rPr>
        <w:t>D</w:t>
      </w:r>
      <w:r w:rsidR="002F1675" w:rsidRPr="00924D60">
        <w:rPr>
          <w:rFonts w:ascii="Times New Roman" w:hAnsi="Times New Roman" w:cs="Times New Roman"/>
          <w:b/>
          <w:bCs/>
          <w:sz w:val="20"/>
          <w:szCs w:val="20"/>
        </w:rPr>
        <w:t>iscussion</w:t>
      </w:r>
    </w:p>
    <w:p w:rsidR="00FD453B" w:rsidRPr="00924D60" w:rsidRDefault="002F1675"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sz w:val="20"/>
          <w:szCs w:val="20"/>
        </w:rPr>
        <w:t>Febrile seizures is a common neurological problem at childhood accounting for 30% of all seizures among childre</w:t>
      </w:r>
      <w:r w:rsidR="007739D4" w:rsidRPr="00924D60">
        <w:rPr>
          <w:rFonts w:ascii="Times New Roman" w:hAnsi="Times New Roman" w:cs="Times New Roman"/>
          <w:sz w:val="20"/>
          <w:szCs w:val="20"/>
        </w:rPr>
        <w:t xml:space="preserve">n </w:t>
      </w:r>
      <w:r w:rsidR="007739D4" w:rsidRPr="00924D60">
        <w:rPr>
          <w:rFonts w:ascii="Times New Roman" w:hAnsi="Times New Roman" w:cs="Times New Roman"/>
          <w:b/>
          <w:bCs/>
          <w:sz w:val="20"/>
          <w:szCs w:val="20"/>
          <w:vertAlign w:val="superscript"/>
        </w:rPr>
        <w:t>(</w:t>
      </w:r>
      <w:r w:rsidR="00FD453B" w:rsidRPr="00924D60">
        <w:rPr>
          <w:rFonts w:ascii="Times New Roman" w:hAnsi="Times New Roman" w:cs="Times New Roman"/>
          <w:b/>
          <w:bCs/>
          <w:sz w:val="20"/>
          <w:szCs w:val="20"/>
          <w:vertAlign w:val="superscript"/>
        </w:rPr>
        <w:t>1)</w:t>
      </w:r>
      <w:r w:rsidRPr="00924D60">
        <w:rPr>
          <w:rFonts w:ascii="Times New Roman" w:hAnsi="Times New Roman" w:cs="Times New Roman"/>
          <w:b/>
          <w:bCs/>
          <w:sz w:val="20"/>
          <w:szCs w:val="20"/>
        </w:rPr>
        <w:t>.</w:t>
      </w:r>
      <w:r w:rsidRPr="00924D60">
        <w:rPr>
          <w:rFonts w:ascii="Times New Roman" w:hAnsi="Times New Roman" w:cs="Times New Roman"/>
          <w:color w:val="000000"/>
          <w:sz w:val="20"/>
          <w:szCs w:val="20"/>
        </w:rPr>
        <w:t xml:space="preserve"> A number of trace elements are said to play a role in febrile seizures by their co-enzyme activity or ability to influence ion channels and receptors. Studies have shown that iron, zinc, selenium, copper and magnesium play significant role in febrile seizur</w:t>
      </w:r>
      <w:r w:rsidR="007739D4" w:rsidRPr="00924D60">
        <w:rPr>
          <w:rFonts w:ascii="Times New Roman" w:hAnsi="Times New Roman" w:cs="Times New Roman"/>
          <w:color w:val="000000"/>
          <w:sz w:val="20"/>
          <w:szCs w:val="20"/>
        </w:rPr>
        <w:t xml:space="preserve">e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9)</w:t>
      </w:r>
      <w:r w:rsidRPr="00924D60">
        <w:rPr>
          <w:rFonts w:ascii="Times New Roman" w:hAnsi="Times New Roman" w:cs="Times New Roman"/>
          <w:b/>
          <w:bCs/>
          <w:color w:val="000000"/>
          <w:sz w:val="20"/>
          <w:szCs w:val="20"/>
        </w:rPr>
        <w:t xml:space="preserve">. </w:t>
      </w:r>
    </w:p>
    <w:p w:rsidR="00FD453B" w:rsidRPr="00924D60" w:rsidRDefault="002F1675"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The mean age of febrile seizure children and febrile children has a significant difference with the epileptic children but this could be attributed to the epilepsy type of these children and its age distributio</w:t>
      </w:r>
      <w:r w:rsidR="007739D4" w:rsidRPr="00924D60">
        <w:rPr>
          <w:rFonts w:ascii="Times New Roman" w:hAnsi="Times New Roman" w:cs="Times New Roman"/>
          <w:color w:val="000000"/>
          <w:sz w:val="20"/>
          <w:szCs w:val="20"/>
        </w:rPr>
        <w:t xml:space="preserve">n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10)</w:t>
      </w:r>
      <w:r w:rsidRPr="00924D60">
        <w:rPr>
          <w:rFonts w:ascii="Times New Roman" w:hAnsi="Times New Roman" w:cs="Times New Roman"/>
          <w:b/>
          <w:bCs/>
          <w:color w:val="000000"/>
          <w:sz w:val="20"/>
          <w:szCs w:val="20"/>
        </w:rPr>
        <w:t xml:space="preserve">. </w:t>
      </w:r>
    </w:p>
    <w:p w:rsidR="00FD453B" w:rsidRPr="00924D60" w:rsidRDefault="002F1675"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Family history of the same condition was present in 55% of children with febrile seizures in this study. This is more than that in the epileptic group which was only 6%.</w:t>
      </w:r>
      <w:r w:rsidR="00EB0684" w:rsidRPr="00924D60">
        <w:rPr>
          <w:rFonts w:ascii="Times New Roman" w:hAnsi="Times New Roman" w:cs="Times New Roman"/>
          <w:color w:val="000000"/>
          <w:sz w:val="20"/>
          <w:szCs w:val="20"/>
        </w:rPr>
        <w:t xml:space="preserve"> This is also more when compared other studies like </w:t>
      </w:r>
      <w:r w:rsidR="003E3076" w:rsidRPr="00924D60">
        <w:rPr>
          <w:rFonts w:ascii="Times New Roman" w:hAnsi="Times New Roman" w:cs="Times New Roman"/>
          <w:color w:val="000000"/>
          <w:sz w:val="20"/>
          <w:szCs w:val="20"/>
        </w:rPr>
        <w:t>Lakshmi S</w:t>
      </w:r>
      <w:r w:rsidR="00EB0684" w:rsidRPr="00924D60">
        <w:rPr>
          <w:rFonts w:ascii="Times New Roman" w:hAnsi="Times New Roman" w:cs="Times New Roman"/>
          <w:color w:val="000000"/>
          <w:sz w:val="20"/>
          <w:szCs w:val="20"/>
        </w:rPr>
        <w:t xml:space="preserve">, in which family history of febrile seizures was about 10% </w:t>
      </w:r>
      <w:r w:rsidR="008D5DAC" w:rsidRPr="00924D60">
        <w:rPr>
          <w:rFonts w:ascii="Times New Roman" w:hAnsi="Times New Roman" w:cs="Times New Roman"/>
          <w:b/>
          <w:bCs/>
          <w:color w:val="000000"/>
          <w:sz w:val="20"/>
          <w:szCs w:val="20"/>
          <w:vertAlign w:val="superscript"/>
        </w:rPr>
        <w:t>(11)</w:t>
      </w:r>
      <w:r w:rsidR="00EB0684"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Farwell et al reported 29% positive family history in his stud</w:t>
      </w:r>
      <w:r w:rsidR="007739D4" w:rsidRPr="00924D60">
        <w:rPr>
          <w:rFonts w:ascii="Times New Roman" w:hAnsi="Times New Roman" w:cs="Times New Roman"/>
          <w:color w:val="000000"/>
          <w:sz w:val="20"/>
          <w:szCs w:val="20"/>
        </w:rPr>
        <w:t xml:space="preserve">y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12)</w:t>
      </w:r>
      <w:r w:rsidRPr="00924D60">
        <w:rPr>
          <w:rFonts w:ascii="Times New Roman" w:hAnsi="Times New Roman" w:cs="Times New Roman"/>
          <w:b/>
          <w:bCs/>
          <w:color w:val="000000"/>
          <w:sz w:val="20"/>
          <w:szCs w:val="20"/>
        </w:rPr>
        <w:t>.</w:t>
      </w:r>
      <w:r w:rsidRPr="00924D60">
        <w:rPr>
          <w:rFonts w:ascii="Times New Roman" w:hAnsi="Times New Roman" w:cs="Times New Roman"/>
          <w:color w:val="000000"/>
          <w:sz w:val="20"/>
          <w:szCs w:val="20"/>
        </w:rPr>
        <w:t xml:space="preserve"> Baek SJ et al reported 14% positive family history in his stud</w:t>
      </w:r>
      <w:r w:rsidR="007739D4" w:rsidRPr="00924D60">
        <w:rPr>
          <w:rFonts w:ascii="Times New Roman" w:hAnsi="Times New Roman" w:cs="Times New Roman"/>
          <w:color w:val="000000"/>
          <w:sz w:val="20"/>
          <w:szCs w:val="20"/>
        </w:rPr>
        <w:t xml:space="preserve">y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13)</w:t>
      </w:r>
      <w:r w:rsidRPr="00924D60">
        <w:rPr>
          <w:rFonts w:ascii="Times New Roman" w:hAnsi="Times New Roman" w:cs="Times New Roman"/>
          <w:b/>
          <w:bCs/>
          <w:color w:val="000000"/>
          <w:sz w:val="20"/>
          <w:szCs w:val="20"/>
        </w:rPr>
        <w:t>.</w:t>
      </w:r>
      <w:r w:rsidRPr="00924D60">
        <w:rPr>
          <w:rFonts w:ascii="Times New Roman" w:hAnsi="Times New Roman" w:cs="Times New Roman"/>
          <w:color w:val="000000"/>
          <w:sz w:val="20"/>
          <w:szCs w:val="20"/>
        </w:rPr>
        <w:t xml:space="preserve"> Kumari, Margaretha and Kafadar reported 44%, 48%, 26% of positive family history respectivel</w:t>
      </w:r>
      <w:r w:rsidR="007739D4" w:rsidRPr="00924D60">
        <w:rPr>
          <w:rFonts w:ascii="Times New Roman" w:hAnsi="Times New Roman" w:cs="Times New Roman"/>
          <w:color w:val="000000"/>
          <w:sz w:val="20"/>
          <w:szCs w:val="20"/>
        </w:rPr>
        <w:t xml:space="preserve">y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14, 15, 16)</w:t>
      </w:r>
      <w:r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 xml:space="preserve">However family history of febrile seizure in this study is less when compared to some studies like this of Iman Abd El Rehim Mohamed Aly and her colleagues in which family history of febrile seizures was about 87% </w:t>
      </w:r>
      <w:r w:rsidR="008D5DAC" w:rsidRPr="00924D60">
        <w:rPr>
          <w:rFonts w:ascii="Times New Roman" w:hAnsi="Times New Roman" w:cs="Times New Roman"/>
          <w:b/>
          <w:bCs/>
          <w:color w:val="000000"/>
          <w:sz w:val="20"/>
          <w:szCs w:val="20"/>
          <w:vertAlign w:val="superscript"/>
        </w:rPr>
        <w:t>(17)</w:t>
      </w:r>
      <w:r w:rsidRPr="00924D60">
        <w:rPr>
          <w:rFonts w:ascii="Times New Roman" w:hAnsi="Times New Roman" w:cs="Times New Roman"/>
          <w:b/>
          <w:bCs/>
          <w:color w:val="000000"/>
          <w:sz w:val="20"/>
          <w:szCs w:val="20"/>
        </w:rPr>
        <w:t xml:space="preserve">. </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b/>
          <w:bCs/>
          <w:color w:val="000000"/>
          <w:sz w:val="20"/>
          <w:szCs w:val="20"/>
        </w:rPr>
      </w:pPr>
      <w:r w:rsidRPr="00924D60">
        <w:rPr>
          <w:rFonts w:ascii="Times New Roman" w:hAnsi="Times New Roman" w:cs="Times New Roman"/>
          <w:color w:val="000000"/>
          <w:sz w:val="20"/>
          <w:szCs w:val="20"/>
        </w:rPr>
        <w:t>All these studies revealed that occurrence of febrile seizure in children with positive family history (which account for the rule of family history in febrile seizures). Serum zinc, copper and magnesium levels did not show any significant difference between genders. All the previous studies have shown similar findings in this aspec</w:t>
      </w:r>
      <w:r w:rsidR="007739D4" w:rsidRPr="00924D60">
        <w:rPr>
          <w:rFonts w:ascii="Times New Roman" w:hAnsi="Times New Roman" w:cs="Times New Roman"/>
          <w:color w:val="000000"/>
          <w:sz w:val="20"/>
          <w:szCs w:val="20"/>
        </w:rPr>
        <w:t xml:space="preserve">t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11, 13, 18, 19, 20, 21, 22)</w:t>
      </w:r>
      <w:r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Serum zinc levels in children with febrile seizures was found to be significantly lower than that of the epileptic children. Jun-Hwa Lee, M.D. and Jeong Hyun Kim, M.D. compared serum zinc lev</w:t>
      </w:r>
      <w:r w:rsidRPr="00924D60">
        <w:rPr>
          <w:rFonts w:ascii="Times New Roman" w:hAnsi="Times New Roman" w:cs="Times New Roman"/>
          <w:color w:val="000000"/>
          <w:sz w:val="20"/>
          <w:szCs w:val="20"/>
        </w:rPr>
        <w:softHyphen/>
        <w:t>els in patients with febrile and afebrile convulsions; they concluded that compared to patients with afebrile convulsions, patients with febrile convul</w:t>
      </w:r>
      <w:r w:rsidRPr="00924D60">
        <w:rPr>
          <w:rFonts w:ascii="Times New Roman" w:hAnsi="Times New Roman" w:cs="Times New Roman"/>
          <w:color w:val="000000"/>
          <w:sz w:val="20"/>
          <w:szCs w:val="20"/>
        </w:rPr>
        <w:softHyphen/>
        <w:t>sions had lower serum zinc level</w:t>
      </w:r>
      <w:r w:rsidR="007739D4" w:rsidRPr="00924D60">
        <w:rPr>
          <w:rFonts w:ascii="Times New Roman" w:hAnsi="Times New Roman" w:cs="Times New Roman"/>
          <w:color w:val="000000"/>
          <w:sz w:val="20"/>
          <w:szCs w:val="20"/>
        </w:rPr>
        <w:t xml:space="preserve">s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23)</w:t>
      </w:r>
      <w:r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 xml:space="preserve">Gündüz Z et al. study and </w:t>
      </w:r>
      <w:hyperlink r:id="rId13" w:history="1">
        <w:r w:rsidRPr="00924D60">
          <w:rPr>
            <w:rFonts w:ascii="Times New Roman" w:hAnsi="Times New Roman" w:cs="Times New Roman"/>
            <w:color w:val="000000"/>
            <w:sz w:val="20"/>
            <w:szCs w:val="20"/>
          </w:rPr>
          <w:t xml:space="preserve"> Saghazadeh</w:t>
        </w:r>
      </w:hyperlink>
      <w:r w:rsidRPr="00924D60">
        <w:rPr>
          <w:rFonts w:ascii="Times New Roman" w:hAnsi="Times New Roman" w:cs="Times New Roman"/>
          <w:color w:val="000000"/>
          <w:sz w:val="20"/>
          <w:szCs w:val="20"/>
        </w:rPr>
        <w:t xml:space="preserve"> et al on their meta-analysis also reported the same resul</w:t>
      </w:r>
      <w:r w:rsidR="007739D4" w:rsidRPr="00924D60">
        <w:rPr>
          <w:rFonts w:ascii="Times New Roman" w:hAnsi="Times New Roman" w:cs="Times New Roman"/>
          <w:color w:val="000000"/>
          <w:sz w:val="20"/>
          <w:szCs w:val="20"/>
        </w:rPr>
        <w:t xml:space="preserve">t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24</w:t>
      </w:r>
      <w:r w:rsidR="00BB10AD" w:rsidRPr="00924D60">
        <w:rPr>
          <w:rFonts w:ascii="Times New Roman" w:hAnsi="Times New Roman" w:cs="Times New Roman"/>
          <w:b/>
          <w:bCs/>
          <w:color w:val="000000"/>
          <w:sz w:val="20"/>
          <w:szCs w:val="20"/>
          <w:vertAlign w:val="superscript"/>
        </w:rPr>
        <w:t>, 25</w:t>
      </w:r>
      <w:r w:rsidRPr="00924D60">
        <w:rPr>
          <w:rFonts w:ascii="Times New Roman" w:hAnsi="Times New Roman" w:cs="Times New Roman"/>
          <w:b/>
          <w:bCs/>
          <w:color w:val="000000"/>
          <w:sz w:val="20"/>
          <w:szCs w:val="20"/>
          <w:vertAlign w:val="superscript"/>
        </w:rPr>
        <w:t>)</w:t>
      </w:r>
      <w:r w:rsidRPr="00924D60">
        <w:rPr>
          <w:rFonts w:ascii="Times New Roman" w:hAnsi="Times New Roman" w:cs="Times New Roman"/>
          <w:b/>
          <w:bCs/>
          <w:color w:val="000000"/>
          <w:sz w:val="20"/>
          <w:szCs w:val="20"/>
        </w:rPr>
        <w:t xml:space="preserve">. </w:t>
      </w:r>
      <w:r w:rsidRPr="00924D60">
        <w:rPr>
          <w:rFonts w:ascii="Times New Roman" w:hAnsi="Times New Roman" w:cs="Times New Roman"/>
          <w:color w:val="000000"/>
          <w:sz w:val="20"/>
          <w:szCs w:val="20"/>
        </w:rPr>
        <w:t xml:space="preserve">Serum magnesium and copper levels in children with febrile seizures was found to have no significant </w:t>
      </w:r>
      <w:r w:rsidRPr="00924D60">
        <w:rPr>
          <w:rFonts w:ascii="Times New Roman" w:hAnsi="Times New Roman" w:cs="Times New Roman"/>
          <w:color w:val="000000"/>
          <w:sz w:val="20"/>
          <w:szCs w:val="20"/>
        </w:rPr>
        <w:lastRenderedPageBreak/>
        <w:t xml:space="preserve">difference with those of epileptic children. </w:t>
      </w:r>
      <w:hyperlink r:id="rId14" w:history="1">
        <w:r w:rsidRPr="00924D60">
          <w:rPr>
            <w:rFonts w:ascii="Times New Roman" w:hAnsi="Times New Roman" w:cs="Times New Roman"/>
            <w:color w:val="000000"/>
            <w:sz w:val="20"/>
            <w:szCs w:val="20"/>
          </w:rPr>
          <w:t>Amene Saghazadeh</w:t>
        </w:r>
      </w:hyperlink>
      <w:r w:rsidRPr="00924D60">
        <w:rPr>
          <w:rFonts w:ascii="Times New Roman" w:hAnsi="Times New Roman" w:cs="Times New Roman"/>
          <w:color w:val="000000"/>
          <w:sz w:val="20"/>
          <w:szCs w:val="20"/>
        </w:rPr>
        <w:t xml:space="preserve"> and co-workers concluded on their meta-analysis that no changes in copper or magnesium concentrations were linked to epilepsy in comparison to febrile seizure</w:t>
      </w:r>
      <w:r w:rsidR="007739D4" w:rsidRPr="00924D60">
        <w:rPr>
          <w:rFonts w:ascii="Times New Roman" w:hAnsi="Times New Roman" w:cs="Times New Roman"/>
          <w:color w:val="000000"/>
          <w:sz w:val="20"/>
          <w:szCs w:val="20"/>
        </w:rPr>
        <w:t xml:space="preserve">s </w:t>
      </w:r>
      <w:r w:rsidR="007739D4" w:rsidRPr="00924D60">
        <w:rPr>
          <w:rFonts w:ascii="Times New Roman" w:hAnsi="Times New Roman" w:cs="Times New Roman"/>
          <w:b/>
          <w:bCs/>
          <w:color w:val="000000"/>
          <w:sz w:val="20"/>
          <w:szCs w:val="20"/>
          <w:vertAlign w:val="superscript"/>
        </w:rPr>
        <w:t>(</w:t>
      </w:r>
      <w:r w:rsidR="00BB10AD" w:rsidRPr="00924D60">
        <w:rPr>
          <w:rFonts w:ascii="Times New Roman" w:hAnsi="Times New Roman" w:cs="Times New Roman"/>
          <w:b/>
          <w:bCs/>
          <w:sz w:val="20"/>
          <w:szCs w:val="20"/>
          <w:vertAlign w:val="superscript"/>
        </w:rPr>
        <w:t>25</w:t>
      </w:r>
      <w:r w:rsidRPr="00924D60">
        <w:rPr>
          <w:rFonts w:ascii="Times New Roman" w:hAnsi="Times New Roman" w:cs="Times New Roman"/>
          <w:b/>
          <w:bCs/>
          <w:color w:val="000000"/>
          <w:sz w:val="20"/>
          <w:szCs w:val="20"/>
          <w:vertAlign w:val="superscript"/>
        </w:rPr>
        <w:t>)</w:t>
      </w:r>
      <w:r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 xml:space="preserve">However </w:t>
      </w:r>
      <w:r w:rsidR="00BF7AB2" w:rsidRPr="00924D60">
        <w:rPr>
          <w:rFonts w:ascii="Times New Roman" w:hAnsi="Times New Roman" w:cs="Times New Roman"/>
          <w:color w:val="000000"/>
          <w:sz w:val="20"/>
          <w:szCs w:val="20"/>
        </w:rPr>
        <w:t xml:space="preserve">Bharathi S and Chiranjeevi K </w:t>
      </w:r>
      <w:r w:rsidRPr="00924D60">
        <w:rPr>
          <w:rFonts w:ascii="Times New Roman" w:hAnsi="Times New Roman" w:cs="Times New Roman"/>
          <w:color w:val="000000"/>
          <w:sz w:val="20"/>
          <w:szCs w:val="20"/>
        </w:rPr>
        <w:t xml:space="preserve">found that there is statistically significant association with hypomagnesaemia and ‘Typical Febrile convulsions’ No such association was found with epileptic convulsions </w:t>
      </w:r>
      <w:r w:rsidRPr="00924D60">
        <w:rPr>
          <w:rFonts w:ascii="Times New Roman" w:hAnsi="Times New Roman" w:cs="Times New Roman"/>
          <w:b/>
          <w:bCs/>
          <w:color w:val="000000"/>
          <w:sz w:val="20"/>
          <w:szCs w:val="20"/>
          <w:vertAlign w:val="superscript"/>
        </w:rPr>
        <w:t>(</w:t>
      </w:r>
      <w:r w:rsidR="00BB10AD" w:rsidRPr="00924D60">
        <w:rPr>
          <w:rFonts w:ascii="Times New Roman" w:hAnsi="Times New Roman" w:cs="Times New Roman"/>
          <w:b/>
          <w:bCs/>
          <w:color w:val="000000"/>
          <w:sz w:val="20"/>
          <w:szCs w:val="20"/>
          <w:vertAlign w:val="superscript"/>
        </w:rPr>
        <w:t>26</w:t>
      </w:r>
      <w:r w:rsidRPr="00924D60">
        <w:rPr>
          <w:rFonts w:ascii="Times New Roman" w:hAnsi="Times New Roman" w:cs="Times New Roman"/>
          <w:b/>
          <w:bCs/>
          <w:color w:val="000000"/>
          <w:sz w:val="20"/>
          <w:szCs w:val="20"/>
          <w:vertAlign w:val="superscript"/>
        </w:rPr>
        <w:t>)</w:t>
      </w:r>
      <w:r w:rsidRPr="00924D60">
        <w:rPr>
          <w:rFonts w:ascii="Times New Roman" w:hAnsi="Times New Roman" w:cs="Times New Roman"/>
          <w:b/>
          <w:bCs/>
          <w:color w:val="000000"/>
          <w:sz w:val="20"/>
          <w:szCs w:val="20"/>
        </w:rPr>
        <w:t xml:space="preserve">. </w:t>
      </w:r>
    </w:p>
    <w:p w:rsidR="00924D60" w:rsidRDefault="00EB0684" w:rsidP="00306F41">
      <w:pPr>
        <w:pStyle w:val="BodyText"/>
        <w:bidi w:val="0"/>
        <w:snapToGrid w:val="0"/>
        <w:spacing w:after="0" w:line="240" w:lineRule="auto"/>
        <w:ind w:firstLine="425"/>
        <w:jc w:val="both"/>
        <w:rPr>
          <w:rFonts w:ascii="Times New Roman" w:hAnsi="Times New Roman" w:cs="Times New Roman" w:hint="eastAsia"/>
          <w:color w:val="000000"/>
          <w:sz w:val="20"/>
          <w:szCs w:val="20"/>
          <w:lang w:eastAsia="zh-CN"/>
        </w:rPr>
      </w:pPr>
      <w:r w:rsidRPr="00924D60">
        <w:rPr>
          <w:rFonts w:ascii="Times New Roman" w:hAnsi="Times New Roman" w:cs="Times New Roman"/>
          <w:color w:val="000000"/>
          <w:sz w:val="20"/>
          <w:szCs w:val="20"/>
        </w:rPr>
        <w:t xml:space="preserve">Serum zinc levels in children with febrile seizures was found to be significantly lower than that of the febrile children without seizures “which considered as control group”. These results were matching the results of many studies done before. Najmus Saqib and Mahvish Qazi reported in their study that there is a relation between serum zinc and simple febrile seizures. Serum zinc level was significantly lower in children with simple febrile seizures in comparison with febrile children without seizure </w:t>
      </w:r>
      <w:r w:rsidRPr="00924D60">
        <w:rPr>
          <w:rFonts w:ascii="Times New Roman" w:hAnsi="Times New Roman" w:cs="Times New Roman"/>
          <w:b/>
          <w:bCs/>
          <w:color w:val="000000"/>
          <w:sz w:val="20"/>
          <w:szCs w:val="20"/>
          <w:vertAlign w:val="superscript"/>
        </w:rPr>
        <w:t>(</w:t>
      </w:r>
      <w:r w:rsidR="00BB10AD" w:rsidRPr="00924D60">
        <w:rPr>
          <w:rFonts w:ascii="Times New Roman" w:hAnsi="Times New Roman" w:cs="Times New Roman"/>
          <w:b/>
          <w:bCs/>
          <w:color w:val="000000"/>
          <w:sz w:val="20"/>
          <w:szCs w:val="20"/>
          <w:vertAlign w:val="superscript"/>
        </w:rPr>
        <w:t>27</w:t>
      </w:r>
      <w:r w:rsidRPr="00924D60">
        <w:rPr>
          <w:rFonts w:ascii="Times New Roman" w:hAnsi="Times New Roman" w:cs="Times New Roman"/>
          <w:b/>
          <w:bCs/>
          <w:color w:val="000000"/>
          <w:sz w:val="20"/>
          <w:szCs w:val="20"/>
          <w:vertAlign w:val="superscript"/>
        </w:rPr>
        <w:t>)</w:t>
      </w:r>
      <w:r w:rsidRPr="00924D60">
        <w:rPr>
          <w:rFonts w:ascii="Times New Roman" w:hAnsi="Times New Roman" w:cs="Times New Roman"/>
          <w:b/>
          <w:bCs/>
          <w:color w:val="000000"/>
          <w:sz w:val="20"/>
          <w:szCs w:val="20"/>
        </w:rPr>
        <w:t>.</w:t>
      </w:r>
      <w:r w:rsidRPr="00924D60">
        <w:rPr>
          <w:rFonts w:ascii="Times New Roman" w:hAnsi="Times New Roman" w:cs="Times New Roman"/>
          <w:color w:val="000000"/>
          <w:sz w:val="20"/>
          <w:szCs w:val="20"/>
        </w:rPr>
        <w:t xml:space="preserve"> </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Also Sreenivasa B et al</w:t>
      </w:r>
      <w:r w:rsidR="007739D4" w:rsidRPr="00924D60">
        <w:rPr>
          <w:rFonts w:ascii="Times New Roman" w:hAnsi="Times New Roman" w:cs="Times New Roman"/>
          <w:color w:val="000000"/>
          <w:sz w:val="20"/>
          <w:szCs w:val="20"/>
        </w:rPr>
        <w:t>,</w:t>
      </w:r>
      <w:r w:rsidRPr="00924D60">
        <w:rPr>
          <w:rFonts w:ascii="Times New Roman" w:hAnsi="Times New Roman" w:cs="Times New Roman"/>
          <w:color w:val="000000"/>
          <w:sz w:val="20"/>
          <w:szCs w:val="20"/>
        </w:rPr>
        <w:t xml:space="preserve"> Karthikeyan P et al</w:t>
      </w:r>
      <w:r w:rsidR="007739D4" w:rsidRPr="00924D60">
        <w:rPr>
          <w:rFonts w:ascii="Times New Roman" w:hAnsi="Times New Roman" w:cs="Times New Roman"/>
          <w:color w:val="000000"/>
          <w:sz w:val="20"/>
          <w:szCs w:val="20"/>
        </w:rPr>
        <w:t>,</w:t>
      </w:r>
      <w:r w:rsidRPr="00924D60">
        <w:rPr>
          <w:rFonts w:ascii="Times New Roman" w:hAnsi="Times New Roman" w:cs="Times New Roman"/>
          <w:color w:val="000000"/>
          <w:sz w:val="20"/>
          <w:szCs w:val="20"/>
        </w:rPr>
        <w:t xml:space="preserve"> Khajeh A et al</w:t>
      </w:r>
      <w:r w:rsidR="007739D4" w:rsidRPr="00924D60">
        <w:rPr>
          <w:rFonts w:ascii="Times New Roman" w:hAnsi="Times New Roman" w:cs="Times New Roman"/>
          <w:color w:val="000000"/>
          <w:sz w:val="20"/>
          <w:szCs w:val="20"/>
        </w:rPr>
        <w:t>,</w:t>
      </w:r>
      <w:r w:rsidRPr="00924D60">
        <w:rPr>
          <w:rFonts w:ascii="Times New Roman" w:hAnsi="Times New Roman" w:cs="Times New Roman"/>
          <w:color w:val="000000"/>
          <w:sz w:val="20"/>
          <w:szCs w:val="20"/>
        </w:rPr>
        <w:t xml:space="preserve"> Sampathkumar P and Kannan KS.</w:t>
      </w:r>
      <w:r w:rsidR="007739D4" w:rsidRPr="00924D60">
        <w:rPr>
          <w:rFonts w:ascii="Times New Roman" w:hAnsi="Times New Roman" w:cs="Times New Roman"/>
          <w:color w:val="000000"/>
          <w:sz w:val="20"/>
          <w:szCs w:val="20"/>
        </w:rPr>
        <w:t>,</w:t>
      </w:r>
      <w:r w:rsidRPr="00924D60">
        <w:rPr>
          <w:rFonts w:ascii="Times New Roman" w:hAnsi="Times New Roman" w:cs="Times New Roman"/>
          <w:color w:val="000000"/>
          <w:sz w:val="20"/>
          <w:szCs w:val="20"/>
        </w:rPr>
        <w:t xml:space="preserve"> Salehiomran MR et al and Gattoo I et al Reported the same results </w:t>
      </w:r>
      <w:r w:rsidR="00BB10AD" w:rsidRPr="00924D60">
        <w:rPr>
          <w:rFonts w:ascii="Times New Roman" w:hAnsi="Times New Roman" w:cs="Times New Roman"/>
          <w:b/>
          <w:bCs/>
          <w:color w:val="000000"/>
          <w:sz w:val="20"/>
          <w:szCs w:val="20"/>
          <w:vertAlign w:val="superscript"/>
        </w:rPr>
        <w:t xml:space="preserve">(27, </w:t>
      </w:r>
      <w:r w:rsidR="008D5DAC" w:rsidRPr="00924D60">
        <w:rPr>
          <w:rFonts w:ascii="Times New Roman" w:hAnsi="Times New Roman" w:cs="Times New Roman"/>
          <w:b/>
          <w:bCs/>
          <w:color w:val="000000"/>
          <w:sz w:val="20"/>
          <w:szCs w:val="20"/>
          <w:vertAlign w:val="superscript"/>
        </w:rPr>
        <w:t>5</w:t>
      </w:r>
      <w:r w:rsidR="00BB10AD" w:rsidRPr="00924D60">
        <w:rPr>
          <w:rFonts w:ascii="Times New Roman" w:hAnsi="Times New Roman" w:cs="Times New Roman"/>
          <w:b/>
          <w:bCs/>
          <w:color w:val="000000"/>
          <w:sz w:val="20"/>
          <w:szCs w:val="20"/>
          <w:vertAlign w:val="superscript"/>
        </w:rPr>
        <w:t>, 28, 29, 30, 31)</w:t>
      </w:r>
      <w:r w:rsidRPr="00924D60">
        <w:rPr>
          <w:rFonts w:ascii="Times New Roman" w:hAnsi="Times New Roman" w:cs="Times New Roman"/>
          <w:b/>
          <w:bCs/>
          <w:color w:val="000000"/>
          <w:sz w:val="20"/>
          <w:szCs w:val="20"/>
        </w:rPr>
        <w:t xml:space="preserve">. </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 xml:space="preserve">There was no significant difference in serum copper levels between children with febrile seizures and those with only febrile illness. Sawsan Issa Habeeb reported in her study that the mean serum copper level don’t show significant difference between patients with febrile seizure and those with febrile illness alone </w:t>
      </w:r>
      <w:r w:rsidR="008D5DAC" w:rsidRPr="00924D60">
        <w:rPr>
          <w:rFonts w:ascii="Times New Roman" w:hAnsi="Times New Roman" w:cs="Times New Roman"/>
          <w:b/>
          <w:bCs/>
          <w:color w:val="000000"/>
          <w:sz w:val="20"/>
          <w:szCs w:val="20"/>
          <w:vertAlign w:val="superscript"/>
        </w:rPr>
        <w:t>(18)</w:t>
      </w:r>
      <w:r w:rsidRPr="00924D60">
        <w:rPr>
          <w:rFonts w:ascii="Times New Roman" w:hAnsi="Times New Roman" w:cs="Times New Roman"/>
          <w:b/>
          <w:bCs/>
          <w:color w:val="000000"/>
          <w:sz w:val="20"/>
          <w:szCs w:val="20"/>
        </w:rPr>
        <w:t>.</w:t>
      </w:r>
    </w:p>
    <w:p w:rsidR="00FD453B" w:rsidRPr="00924D60" w:rsidRDefault="00EB0684"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Similar result was concluded by Mahyar et al. And Amiri et al</w:t>
      </w:r>
      <w:r w:rsidR="007739D4" w:rsidRPr="00924D60">
        <w:rPr>
          <w:rFonts w:ascii="Times New Roman" w:hAnsi="Times New Roman" w:cs="Times New Roman"/>
          <w:color w:val="000000"/>
          <w:sz w:val="20"/>
          <w:szCs w:val="20"/>
        </w:rPr>
        <w:t xml:space="preserve">. </w:t>
      </w:r>
      <w:r w:rsidR="007739D4" w:rsidRPr="00924D60">
        <w:rPr>
          <w:rFonts w:ascii="Times New Roman" w:hAnsi="Times New Roman" w:cs="Times New Roman"/>
          <w:b/>
          <w:bCs/>
          <w:color w:val="000000"/>
          <w:sz w:val="20"/>
          <w:szCs w:val="20"/>
          <w:vertAlign w:val="superscript"/>
        </w:rPr>
        <w:t>(</w:t>
      </w:r>
      <w:r w:rsidR="00BB10AD" w:rsidRPr="00924D60">
        <w:rPr>
          <w:rFonts w:ascii="Times New Roman" w:hAnsi="Times New Roman" w:cs="Times New Roman"/>
          <w:b/>
          <w:bCs/>
          <w:color w:val="000000"/>
          <w:sz w:val="20"/>
          <w:szCs w:val="20"/>
          <w:vertAlign w:val="superscript"/>
        </w:rPr>
        <w:t xml:space="preserve">33, </w:t>
      </w:r>
      <w:r w:rsidR="008D5DAC" w:rsidRPr="00924D60">
        <w:rPr>
          <w:rFonts w:ascii="Times New Roman" w:hAnsi="Times New Roman" w:cs="Times New Roman"/>
          <w:b/>
          <w:bCs/>
          <w:color w:val="000000"/>
          <w:sz w:val="20"/>
          <w:szCs w:val="20"/>
          <w:vertAlign w:val="superscript"/>
        </w:rPr>
        <w:t>22)</w:t>
      </w:r>
      <w:r w:rsidR="00924D60">
        <w:rPr>
          <w:rFonts w:ascii="Times New Roman" w:hAnsi="Times New Roman" w:cs="Times New Roman" w:hint="eastAsia"/>
          <w:b/>
          <w:bCs/>
          <w:color w:val="000000"/>
          <w:sz w:val="20"/>
          <w:szCs w:val="20"/>
          <w:vertAlign w:val="superscript"/>
          <w:lang w:eastAsia="zh-CN"/>
        </w:rPr>
        <w:t xml:space="preserve"> </w:t>
      </w:r>
      <w:r w:rsidRPr="00924D60">
        <w:rPr>
          <w:rFonts w:ascii="Times New Roman" w:hAnsi="Times New Roman" w:cs="Times New Roman"/>
          <w:color w:val="000000"/>
          <w:sz w:val="20"/>
          <w:szCs w:val="20"/>
        </w:rPr>
        <w:t>Shokrzadeh M and his co-workers observed that meaningful higher serum Copper level in febrile seizure children when compared to children with febrile illness alon</w:t>
      </w:r>
      <w:r w:rsidR="007739D4" w:rsidRPr="00924D60">
        <w:rPr>
          <w:rFonts w:ascii="Times New Roman" w:hAnsi="Times New Roman" w:cs="Times New Roman"/>
          <w:color w:val="000000"/>
          <w:sz w:val="20"/>
          <w:szCs w:val="20"/>
        </w:rPr>
        <w:t xml:space="preserve">e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19)</w:t>
      </w:r>
      <w:r w:rsidRPr="00924D60">
        <w:rPr>
          <w:rFonts w:ascii="Times New Roman" w:hAnsi="Times New Roman" w:cs="Times New Roman"/>
          <w:b/>
          <w:bCs/>
          <w:color w:val="000000"/>
          <w:sz w:val="20"/>
          <w:szCs w:val="20"/>
        </w:rPr>
        <w:t>.</w:t>
      </w:r>
    </w:p>
    <w:p w:rsidR="00FD453B" w:rsidRPr="00924D60" w:rsidRDefault="002104AE" w:rsidP="00306F41">
      <w:pPr>
        <w:pStyle w:val="BodyText"/>
        <w:bidi w:val="0"/>
        <w:snapToGrid w:val="0"/>
        <w:spacing w:after="0" w:line="240" w:lineRule="auto"/>
        <w:ind w:firstLine="425"/>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Serum</w:t>
      </w:r>
      <w:r w:rsidR="00EB0684" w:rsidRPr="00924D60">
        <w:rPr>
          <w:rFonts w:ascii="Times New Roman" w:hAnsi="Times New Roman" w:cs="Times New Roman"/>
          <w:color w:val="000000"/>
          <w:sz w:val="20"/>
          <w:szCs w:val="20"/>
        </w:rPr>
        <w:t xml:space="preserve"> magnesium levels in children with febrile seizures was found to be significantly higher than that of the children with only febrile illness. However other studies like Baek SJ et al and Namakin K et al found that hypomagnesaemia was more common in patients with febrile seizure than in those with febrile illness alone </w:t>
      </w:r>
      <w:r w:rsidR="008D5DAC" w:rsidRPr="00924D60">
        <w:rPr>
          <w:rFonts w:ascii="Times New Roman" w:hAnsi="Times New Roman" w:cs="Times New Roman"/>
          <w:b/>
          <w:bCs/>
          <w:color w:val="000000"/>
          <w:sz w:val="20"/>
          <w:szCs w:val="20"/>
          <w:vertAlign w:val="superscript"/>
        </w:rPr>
        <w:t>(13</w:t>
      </w:r>
      <w:r w:rsidR="00BB10AD" w:rsidRPr="00924D60">
        <w:rPr>
          <w:rFonts w:ascii="Times New Roman" w:hAnsi="Times New Roman" w:cs="Times New Roman"/>
          <w:b/>
          <w:bCs/>
          <w:color w:val="000000"/>
          <w:sz w:val="20"/>
          <w:szCs w:val="20"/>
          <w:vertAlign w:val="superscript"/>
        </w:rPr>
        <w:t xml:space="preserve">, </w:t>
      </w:r>
      <w:r w:rsidR="008D5DAC" w:rsidRPr="00924D60">
        <w:rPr>
          <w:rFonts w:ascii="Times New Roman" w:hAnsi="Times New Roman" w:cs="Times New Roman"/>
          <w:b/>
          <w:bCs/>
          <w:color w:val="000000"/>
          <w:sz w:val="20"/>
          <w:szCs w:val="20"/>
          <w:vertAlign w:val="superscript"/>
        </w:rPr>
        <w:t>20)</w:t>
      </w:r>
      <w:r w:rsidR="00EB0684" w:rsidRPr="00924D60">
        <w:rPr>
          <w:rFonts w:ascii="Times New Roman" w:hAnsi="Times New Roman" w:cs="Times New Roman"/>
          <w:b/>
          <w:bCs/>
          <w:color w:val="000000"/>
          <w:sz w:val="20"/>
          <w:szCs w:val="20"/>
        </w:rPr>
        <w:t>.</w:t>
      </w:r>
    </w:p>
    <w:p w:rsidR="00EB0684" w:rsidRPr="00924D60" w:rsidRDefault="00EB0684" w:rsidP="00306F41">
      <w:pPr>
        <w:pStyle w:val="BodyText"/>
        <w:bidi w:val="0"/>
        <w:snapToGrid w:val="0"/>
        <w:spacing w:after="0" w:line="240" w:lineRule="auto"/>
        <w:ind w:firstLine="425"/>
        <w:jc w:val="both"/>
        <w:rPr>
          <w:rFonts w:ascii="Times New Roman" w:hAnsi="Times New Roman" w:cs="Times New Roman"/>
          <w:b/>
          <w:bCs/>
          <w:color w:val="000000"/>
          <w:sz w:val="20"/>
          <w:szCs w:val="20"/>
        </w:rPr>
      </w:pPr>
      <w:r w:rsidRPr="00924D60">
        <w:rPr>
          <w:rFonts w:ascii="Times New Roman" w:hAnsi="Times New Roman" w:cs="Times New Roman"/>
          <w:color w:val="000000"/>
          <w:sz w:val="20"/>
          <w:szCs w:val="20"/>
        </w:rPr>
        <w:t>On the other hand studies like Lakshmi S et al, Khosroshahi N et al and Sepideh Amouian with his colleagues reveals that there is no association between levels of serum magnesium and febrile seizures when compared to febrile illness onl</w:t>
      </w:r>
      <w:r w:rsidR="007739D4" w:rsidRPr="00924D60">
        <w:rPr>
          <w:rFonts w:ascii="Times New Roman" w:hAnsi="Times New Roman" w:cs="Times New Roman"/>
          <w:color w:val="000000"/>
          <w:sz w:val="20"/>
          <w:szCs w:val="20"/>
        </w:rPr>
        <w:t xml:space="preserve">y </w:t>
      </w:r>
      <w:r w:rsidR="007739D4" w:rsidRPr="00924D60">
        <w:rPr>
          <w:rFonts w:ascii="Times New Roman" w:hAnsi="Times New Roman" w:cs="Times New Roman"/>
          <w:b/>
          <w:bCs/>
          <w:color w:val="000000"/>
          <w:sz w:val="20"/>
          <w:szCs w:val="20"/>
          <w:vertAlign w:val="superscript"/>
        </w:rPr>
        <w:t>(</w:t>
      </w:r>
      <w:r w:rsidR="008D5DAC" w:rsidRPr="00924D60">
        <w:rPr>
          <w:rFonts w:ascii="Times New Roman" w:hAnsi="Times New Roman" w:cs="Times New Roman"/>
          <w:b/>
          <w:bCs/>
          <w:color w:val="000000"/>
          <w:sz w:val="20"/>
          <w:szCs w:val="20"/>
          <w:vertAlign w:val="superscript"/>
        </w:rPr>
        <w:t>11</w:t>
      </w:r>
      <w:r w:rsidR="00BB10AD" w:rsidRPr="00924D60">
        <w:rPr>
          <w:rFonts w:ascii="Times New Roman" w:hAnsi="Times New Roman" w:cs="Times New Roman"/>
          <w:b/>
          <w:bCs/>
          <w:color w:val="000000"/>
          <w:sz w:val="20"/>
          <w:szCs w:val="20"/>
          <w:vertAlign w:val="superscript"/>
        </w:rPr>
        <w:t xml:space="preserve">, 34, </w:t>
      </w:r>
      <w:r w:rsidR="008D5DAC" w:rsidRPr="00924D60">
        <w:rPr>
          <w:rFonts w:ascii="Times New Roman" w:hAnsi="Times New Roman" w:cs="Times New Roman"/>
          <w:b/>
          <w:bCs/>
          <w:color w:val="000000"/>
          <w:sz w:val="20"/>
          <w:szCs w:val="20"/>
          <w:vertAlign w:val="superscript"/>
        </w:rPr>
        <w:t>21)</w:t>
      </w:r>
      <w:r w:rsidRPr="00924D60">
        <w:rPr>
          <w:rFonts w:ascii="Times New Roman" w:hAnsi="Times New Roman" w:cs="Times New Roman"/>
          <w:b/>
          <w:bCs/>
          <w:color w:val="000000"/>
          <w:sz w:val="20"/>
          <w:szCs w:val="20"/>
        </w:rPr>
        <w:t>.</w:t>
      </w:r>
    </w:p>
    <w:p w:rsidR="00AC7B9D" w:rsidRPr="00924D60" w:rsidRDefault="00AC7B9D" w:rsidP="00306F41">
      <w:pPr>
        <w:pStyle w:val="BodyText"/>
        <w:bidi w:val="0"/>
        <w:snapToGrid w:val="0"/>
        <w:spacing w:after="0" w:line="240" w:lineRule="auto"/>
        <w:jc w:val="both"/>
        <w:rPr>
          <w:rFonts w:ascii="Times New Roman" w:hAnsi="Times New Roman" w:cs="Times New Roman"/>
          <w:b/>
          <w:bCs/>
          <w:color w:val="000000"/>
          <w:sz w:val="20"/>
          <w:szCs w:val="20"/>
        </w:rPr>
      </w:pPr>
    </w:p>
    <w:p w:rsidR="002104AE" w:rsidRPr="00924D60" w:rsidRDefault="002104AE" w:rsidP="00306F41">
      <w:pPr>
        <w:pStyle w:val="BodyText"/>
        <w:bidi w:val="0"/>
        <w:snapToGrid w:val="0"/>
        <w:spacing w:after="0" w:line="240" w:lineRule="auto"/>
        <w:jc w:val="both"/>
        <w:rPr>
          <w:rFonts w:ascii="Times New Roman" w:hAnsi="Times New Roman" w:cs="Times New Roman"/>
          <w:b/>
          <w:bCs/>
          <w:color w:val="000000"/>
          <w:sz w:val="20"/>
          <w:szCs w:val="20"/>
        </w:rPr>
      </w:pPr>
      <w:r w:rsidRPr="00924D60">
        <w:rPr>
          <w:rFonts w:ascii="Times New Roman" w:hAnsi="Times New Roman" w:cs="Times New Roman"/>
          <w:b/>
          <w:bCs/>
          <w:color w:val="000000"/>
          <w:sz w:val="20"/>
          <w:szCs w:val="20"/>
        </w:rPr>
        <w:t>Conclusion</w:t>
      </w:r>
    </w:p>
    <w:p w:rsidR="00057023" w:rsidRPr="00924D60" w:rsidRDefault="002104AE" w:rsidP="00306F41">
      <w:pPr>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Low serum zinc level in the group of patients with febrile seizures compared with the two other groups which indicate the existence of a relationship between the serum zinc level and development of febrile</w:t>
      </w:r>
      <w:r w:rsidR="00ED2EAC" w:rsidRPr="00924D60">
        <w:rPr>
          <w:rFonts w:ascii="Times New Roman" w:hAnsi="Times New Roman" w:cs="Times New Roman"/>
          <w:sz w:val="20"/>
          <w:szCs w:val="20"/>
        </w:rPr>
        <w:t xml:space="preserve"> seizures</w:t>
      </w:r>
      <w:r w:rsidRPr="00924D60">
        <w:rPr>
          <w:rFonts w:ascii="Times New Roman" w:hAnsi="Times New Roman" w:cs="Times New Roman"/>
          <w:sz w:val="20"/>
          <w:szCs w:val="20"/>
        </w:rPr>
        <w:t xml:space="preserve">. There is no significant association between copper and magnesium levels and febrile seizures or epilepsy. </w:t>
      </w:r>
      <w:r w:rsidR="004F7F8F" w:rsidRPr="00924D60">
        <w:rPr>
          <w:rFonts w:ascii="Times New Roman" w:hAnsi="Times New Roman" w:cs="Times New Roman"/>
          <w:sz w:val="20"/>
          <w:szCs w:val="20"/>
        </w:rPr>
        <w:t>There was higher magnesium levels in epileptic and febrile seizures groups compared with the febrile illness only group. It</w:t>
      </w:r>
      <w:r w:rsidRPr="00924D60">
        <w:rPr>
          <w:rFonts w:ascii="Times New Roman" w:hAnsi="Times New Roman" w:cs="Times New Roman"/>
          <w:sz w:val="20"/>
          <w:szCs w:val="20"/>
        </w:rPr>
        <w:t xml:space="preserve"> appears that the presence of hypozincemia in presence of other risk factors may enhance the occurrence of febrile seizures explaining a possible correlation between low serum zinc levels and febrile seizures</w:t>
      </w:r>
      <w:r w:rsidR="00ED2EAC" w:rsidRPr="00924D60">
        <w:rPr>
          <w:rFonts w:ascii="Times New Roman" w:hAnsi="Times New Roman" w:cs="Times New Roman"/>
          <w:sz w:val="20"/>
          <w:szCs w:val="20"/>
        </w:rPr>
        <w:t>.</w:t>
      </w:r>
    </w:p>
    <w:p w:rsidR="00AC7B9D" w:rsidRPr="00924D60" w:rsidRDefault="00AC7B9D" w:rsidP="00306F41">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ED2EAC" w:rsidRPr="00924D60" w:rsidRDefault="00ED2EAC" w:rsidP="00306F4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Recommendations</w:t>
      </w:r>
    </w:p>
    <w:p w:rsidR="00ED2EAC" w:rsidRPr="00924D60" w:rsidRDefault="00ED2EAC" w:rsidP="00306F41">
      <w:pPr>
        <w:pStyle w:val="BodyText"/>
        <w:bidi w:val="0"/>
        <w:snapToGrid w:val="0"/>
        <w:spacing w:after="0" w:line="240" w:lineRule="auto"/>
        <w:ind w:firstLine="425"/>
        <w:jc w:val="both"/>
        <w:rPr>
          <w:rFonts w:ascii="Times New Roman" w:hAnsi="Times New Roman" w:cs="Times New Roman"/>
          <w:sz w:val="20"/>
          <w:szCs w:val="20"/>
        </w:rPr>
      </w:pPr>
      <w:r w:rsidRPr="00924D60">
        <w:rPr>
          <w:rFonts w:ascii="Times New Roman" w:hAnsi="Times New Roman" w:cs="Times New Roman"/>
          <w:sz w:val="20"/>
          <w:szCs w:val="20"/>
        </w:rPr>
        <w:t>Measuring serum zinc should be recommended for all children with febrile seizures. The possibility of prophylactic zinc supplementation in reducing the risk of febrile seizures in children with febrile seizures and even for normal children who are at high risk of developing febrile seizures.</w:t>
      </w:r>
      <w:r w:rsidR="004F7F8F" w:rsidRPr="00924D60">
        <w:rPr>
          <w:rFonts w:ascii="Times New Roman" w:hAnsi="Times New Roman" w:cs="Times New Roman"/>
          <w:sz w:val="20"/>
          <w:szCs w:val="20"/>
        </w:rPr>
        <w:t xml:space="preserve"> Further progressive clinical trials and additional work should be done to discover the relationship between magnesium and seizures and also zinc, copper and magnesium with epilepsy.</w:t>
      </w:r>
      <w:r w:rsidRPr="00924D60">
        <w:rPr>
          <w:rFonts w:ascii="Times New Roman" w:hAnsi="Times New Roman" w:cs="Times New Roman"/>
          <w:sz w:val="20"/>
          <w:szCs w:val="20"/>
        </w:rPr>
        <w:t xml:space="preserve"> Future research should be directed towards the therapeutic trial of zinc supplementation and formulate the zinc treatment regimen including its dose and duration.</w:t>
      </w:r>
    </w:p>
    <w:p w:rsidR="00AC7B9D" w:rsidRPr="00924D60" w:rsidRDefault="00AC7B9D" w:rsidP="00306F41">
      <w:pPr>
        <w:pStyle w:val="BodyText"/>
        <w:bidi w:val="0"/>
        <w:snapToGrid w:val="0"/>
        <w:spacing w:after="0" w:line="240" w:lineRule="auto"/>
        <w:jc w:val="both"/>
        <w:rPr>
          <w:rFonts w:ascii="Times New Roman" w:hAnsi="Times New Roman" w:cs="Times New Roman"/>
          <w:b/>
          <w:bCs/>
          <w:sz w:val="20"/>
          <w:szCs w:val="20"/>
        </w:rPr>
      </w:pPr>
    </w:p>
    <w:p w:rsidR="00ED2EAC" w:rsidRPr="00924D60" w:rsidRDefault="00ED2EAC" w:rsidP="00306F41">
      <w:pPr>
        <w:pStyle w:val="BodyText"/>
        <w:bidi w:val="0"/>
        <w:snapToGrid w:val="0"/>
        <w:spacing w:after="0" w:line="240" w:lineRule="auto"/>
        <w:jc w:val="both"/>
        <w:rPr>
          <w:rFonts w:ascii="Times New Roman" w:hAnsi="Times New Roman" w:cs="Times New Roman"/>
          <w:b/>
          <w:bCs/>
          <w:sz w:val="20"/>
          <w:szCs w:val="20"/>
        </w:rPr>
      </w:pPr>
      <w:r w:rsidRPr="00924D60">
        <w:rPr>
          <w:rFonts w:ascii="Times New Roman" w:hAnsi="Times New Roman" w:cs="Times New Roman"/>
          <w:b/>
          <w:bCs/>
          <w:sz w:val="20"/>
          <w:szCs w:val="20"/>
        </w:rPr>
        <w:t>References</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Martindale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JL,</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Goldstein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JN,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Pallin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DJ.</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Emergency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department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epidemiology.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Emerg</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Med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Clin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North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29:15–27.</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Natsume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J,</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Hamano</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Iyoda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K,</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et</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New</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guidelines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for</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management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Japan.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Brain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Dev.</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39(1):2-9.</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Leung</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014A5E" w:rsidRPr="00924D60">
        <w:rPr>
          <w:rFonts w:ascii="Times New Roman" w:hAnsi="Times New Roman" w:cs="Times New Roman"/>
          <w:bCs/>
          <w:sz w:val="20"/>
          <w:szCs w:val="20"/>
        </w:rPr>
        <w:t>, R</w:t>
      </w:r>
      <w:r w:rsidRPr="00924D60">
        <w:rPr>
          <w:rFonts w:ascii="Times New Roman" w:hAnsi="Times New Roman" w:cs="Times New Roman"/>
          <w:bCs/>
          <w:sz w:val="20"/>
          <w:szCs w:val="20"/>
        </w:rPr>
        <w:t>obson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L</w:t>
      </w:r>
      <w:r w:rsidR="00014A5E" w:rsidRPr="00924D60">
        <w:rPr>
          <w:rFonts w:ascii="Times New Roman" w:hAnsi="Times New Roman" w:cs="Times New Roman"/>
          <w:bCs/>
          <w:sz w:val="20"/>
          <w:szCs w:val="20"/>
        </w:rPr>
        <w:t>, F</w:t>
      </w:r>
      <w:r w:rsidRPr="00924D60">
        <w:rPr>
          <w:rFonts w:ascii="Times New Roman" w:hAnsi="Times New Roman" w:cs="Times New Roman"/>
          <w:bCs/>
          <w:sz w:val="20"/>
          <w:szCs w:val="20"/>
        </w:rPr>
        <w:t>ebrile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seizures</w:t>
      </w:r>
      <w:r w:rsidR="00014A5E" w:rsidRPr="00924D60">
        <w:rPr>
          <w:rFonts w:ascii="Times New Roman" w:hAnsi="Times New Roman" w:cs="Times New Roman"/>
          <w:bCs/>
          <w:sz w:val="20"/>
          <w:szCs w:val="20"/>
        </w:rPr>
        <w:t xml:space="preserve">. </w:t>
      </w:r>
      <w:r w:rsidR="00014A5E" w:rsidRPr="00924D60">
        <w:rPr>
          <w:rFonts w:ascii="Times New Roman" w:hAnsi="Times New Roman" w:cs="Times New Roman"/>
          <w:sz w:val="20"/>
          <w:szCs w:val="20"/>
        </w:rPr>
        <w:t>J</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pediatric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health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care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2016:2(4):250-5.</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Dutton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SBB,</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Dutt</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K,</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Papale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LA,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Helmers</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Goldin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AL,</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Escayg</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Early-life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worsen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adult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phenotypes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Scn1a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mutants.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Exp</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Neurol.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293:159-171.</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Karthikeyan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Prasanna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Sathyamoorthy</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Reddy</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Sekar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simple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Contemp</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Pediatric.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2015;</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2:424-7.</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Talebian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Vakili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Z,</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Talar</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Kazemi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SM</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and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Mousavi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Assessment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the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relation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between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serum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Zinc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Magnesium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levels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children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convulsion.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Iranian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Journal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Pathology.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2009;</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4</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(4):157-160.</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Mishra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OP,</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Singhala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Upadhyayb</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RS,</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Parasada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R</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and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Atria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Cerebrospinal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fluid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Zinc,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Magnesium,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Copper</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lastRenderedPageBreak/>
        <w:t>Gammaaminobutyric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acid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levels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Journal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Pediatric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Neurology.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2007;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5:3944.</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Chang</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RS,</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Leung</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CYW,</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Ho</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CCA,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Yung</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Classifications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epilepsies,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where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brief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historical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review</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update.</w:t>
      </w:r>
      <w:r w:rsidR="007739D4" w:rsidRPr="00924D60">
        <w:rPr>
          <w:rFonts w:ascii="Times New Roman" w:hAnsi="Times New Roman" w:cs="Times New Roman"/>
          <w:sz w:val="20"/>
          <w:szCs w:val="20"/>
        </w:rPr>
        <w:t xml:space="preserve"> </w:t>
      </w:r>
      <w:r w:rsidRPr="00924D60">
        <w:rPr>
          <w:rFonts w:ascii="Times New Roman" w:hAnsi="Times New Roman" w:cs="Times New Roman"/>
          <w:i/>
          <w:iCs/>
          <w:sz w:val="20"/>
          <w:szCs w:val="20"/>
        </w:rPr>
        <w:t>J</w:t>
      </w:r>
      <w:r w:rsidR="007739D4" w:rsidRPr="00924D60">
        <w:rPr>
          <w:rFonts w:ascii="Times New Roman" w:hAnsi="Times New Roman" w:cs="Times New Roman"/>
          <w:i/>
          <w:iCs/>
          <w:sz w:val="20"/>
          <w:szCs w:val="20"/>
        </w:rPr>
        <w:t xml:space="preserve"> </w:t>
      </w:r>
      <w:r w:rsidRPr="00924D60">
        <w:rPr>
          <w:rFonts w:ascii="Times New Roman" w:hAnsi="Times New Roman" w:cs="Times New Roman"/>
          <w:i/>
          <w:iCs/>
          <w:sz w:val="20"/>
          <w:szCs w:val="20"/>
        </w:rPr>
        <w:t>Formos</w:t>
      </w:r>
      <w:r w:rsidR="007739D4" w:rsidRPr="00924D60">
        <w:rPr>
          <w:rFonts w:ascii="Times New Roman" w:hAnsi="Times New Roman" w:cs="Times New Roman"/>
          <w:i/>
          <w:iCs/>
          <w:sz w:val="20"/>
          <w:szCs w:val="20"/>
        </w:rPr>
        <w:t xml:space="preserve"> </w:t>
      </w:r>
      <w:r w:rsidRPr="00924D60">
        <w:rPr>
          <w:rFonts w:ascii="Times New Roman" w:hAnsi="Times New Roman" w:cs="Times New Roman"/>
          <w:i/>
          <w:iCs/>
          <w:sz w:val="20"/>
          <w:szCs w:val="20"/>
        </w:rPr>
        <w:t>Med</w:t>
      </w:r>
      <w:r w:rsidR="007739D4" w:rsidRPr="00924D60">
        <w:rPr>
          <w:rFonts w:ascii="Times New Roman" w:hAnsi="Times New Roman" w:cs="Times New Roman"/>
          <w:i/>
          <w:iCs/>
          <w:sz w:val="20"/>
          <w:szCs w:val="20"/>
        </w:rPr>
        <w:t xml:space="preserve"> </w:t>
      </w:r>
      <w:r w:rsidRPr="00924D60">
        <w:rPr>
          <w:rFonts w:ascii="Times New Roman" w:hAnsi="Times New Roman" w:cs="Times New Roman"/>
          <w:i/>
          <w:iCs/>
          <w:sz w:val="20"/>
          <w:szCs w:val="20"/>
        </w:rPr>
        <w:t>Assoc</w:t>
      </w:r>
      <w:r w:rsidRPr="00924D60">
        <w:rPr>
          <w:rFonts w:ascii="Times New Roman" w:hAnsi="Times New Roman" w:cs="Times New Roman"/>
          <w:sz w:val="20"/>
          <w:szCs w:val="20"/>
        </w:rPr>
        <w: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116(10):736-741.</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Squitti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R.</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Metal</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dysfunction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and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Alzheimer’s</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disease.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Neurobiol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Aging.</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39:S7.</w:t>
      </w:r>
    </w:p>
    <w:p w:rsidR="00BF7AB2" w:rsidRPr="00924D60" w:rsidRDefault="00BF7AB2" w:rsidP="00306F41">
      <w:pPr>
        <w:pStyle w:val="NormalWeb"/>
        <w:numPr>
          <w:ilvl w:val="0"/>
          <w:numId w:val="6"/>
        </w:numPr>
        <w:snapToGrid w:val="0"/>
        <w:spacing w:before="0" w:beforeAutospacing="0" w:after="0" w:afterAutospacing="0"/>
        <w:ind w:left="425" w:hanging="425"/>
        <w:jc w:val="both"/>
        <w:rPr>
          <w:sz w:val="20"/>
          <w:szCs w:val="20"/>
          <w:lang w:bidi="ar-EG"/>
        </w:rPr>
      </w:pPr>
      <w:r w:rsidRPr="00924D60">
        <w:rPr>
          <w:bCs/>
          <w:sz w:val="20"/>
          <w:szCs w:val="20"/>
        </w:rPr>
        <w:t>Panayiotopoulos</w:t>
      </w:r>
      <w:r w:rsidR="007739D4" w:rsidRPr="00924D60">
        <w:rPr>
          <w:bCs/>
          <w:sz w:val="20"/>
          <w:szCs w:val="20"/>
        </w:rPr>
        <w:t xml:space="preserve"> </w:t>
      </w:r>
      <w:r w:rsidRPr="00924D60">
        <w:rPr>
          <w:bCs/>
          <w:sz w:val="20"/>
          <w:szCs w:val="20"/>
        </w:rPr>
        <w:t>CP.</w:t>
      </w:r>
      <w:r w:rsidR="007739D4" w:rsidRPr="00924D60">
        <w:rPr>
          <w:bCs/>
          <w:sz w:val="20"/>
          <w:szCs w:val="20"/>
        </w:rPr>
        <w:t xml:space="preserve"> </w:t>
      </w:r>
      <w:r w:rsidRPr="00924D60">
        <w:rPr>
          <w:rStyle w:val="Emphasis"/>
          <w:sz w:val="20"/>
          <w:szCs w:val="20"/>
        </w:rPr>
        <w:t>A</w:t>
      </w:r>
      <w:r w:rsidR="007739D4" w:rsidRPr="00924D60">
        <w:rPr>
          <w:rStyle w:val="Emphasis"/>
          <w:sz w:val="20"/>
          <w:szCs w:val="20"/>
        </w:rPr>
        <w:t xml:space="preserve"> </w:t>
      </w:r>
      <w:r w:rsidRPr="00924D60">
        <w:rPr>
          <w:rStyle w:val="Emphasis"/>
          <w:sz w:val="20"/>
          <w:szCs w:val="20"/>
        </w:rPr>
        <w:t>clinical</w:t>
      </w:r>
      <w:r w:rsidR="007739D4" w:rsidRPr="00924D60">
        <w:rPr>
          <w:rStyle w:val="Emphasis"/>
          <w:sz w:val="20"/>
          <w:szCs w:val="20"/>
        </w:rPr>
        <w:t xml:space="preserve"> </w:t>
      </w:r>
      <w:r w:rsidRPr="00924D60">
        <w:rPr>
          <w:rStyle w:val="Emphasis"/>
          <w:sz w:val="20"/>
          <w:szCs w:val="20"/>
        </w:rPr>
        <w:t>guide</w:t>
      </w:r>
      <w:r w:rsidR="007739D4" w:rsidRPr="00924D60">
        <w:rPr>
          <w:rStyle w:val="Emphasis"/>
          <w:sz w:val="20"/>
          <w:szCs w:val="20"/>
        </w:rPr>
        <w:t xml:space="preserve"> </w:t>
      </w:r>
      <w:r w:rsidRPr="00924D60">
        <w:rPr>
          <w:rStyle w:val="Emphasis"/>
          <w:sz w:val="20"/>
          <w:szCs w:val="20"/>
        </w:rPr>
        <w:t>to</w:t>
      </w:r>
      <w:r w:rsidR="007739D4" w:rsidRPr="00924D60">
        <w:rPr>
          <w:rStyle w:val="Emphasis"/>
          <w:sz w:val="20"/>
          <w:szCs w:val="20"/>
        </w:rPr>
        <w:t xml:space="preserve"> </w:t>
      </w:r>
      <w:r w:rsidRPr="00924D60">
        <w:rPr>
          <w:rStyle w:val="Emphasis"/>
          <w:sz w:val="20"/>
          <w:szCs w:val="20"/>
        </w:rPr>
        <w:t>epileptic</w:t>
      </w:r>
      <w:r w:rsidR="007739D4" w:rsidRPr="00924D60">
        <w:rPr>
          <w:rStyle w:val="Emphasis"/>
          <w:sz w:val="20"/>
          <w:szCs w:val="20"/>
        </w:rPr>
        <w:t xml:space="preserve"> </w:t>
      </w:r>
      <w:r w:rsidRPr="00924D60">
        <w:rPr>
          <w:rStyle w:val="Emphasis"/>
          <w:sz w:val="20"/>
          <w:szCs w:val="20"/>
        </w:rPr>
        <w:t>syndromes</w:t>
      </w:r>
      <w:r w:rsidR="007739D4" w:rsidRPr="00924D60">
        <w:rPr>
          <w:rStyle w:val="Emphasis"/>
          <w:sz w:val="20"/>
          <w:szCs w:val="20"/>
        </w:rPr>
        <w:t xml:space="preserve"> </w:t>
      </w:r>
      <w:r w:rsidRPr="00924D60">
        <w:rPr>
          <w:rStyle w:val="Emphasis"/>
          <w:sz w:val="20"/>
          <w:szCs w:val="20"/>
        </w:rPr>
        <w:t>and</w:t>
      </w:r>
      <w:r w:rsidR="007739D4" w:rsidRPr="00924D60">
        <w:rPr>
          <w:rStyle w:val="Emphasis"/>
          <w:sz w:val="20"/>
          <w:szCs w:val="20"/>
        </w:rPr>
        <w:t xml:space="preserve"> </w:t>
      </w:r>
      <w:r w:rsidRPr="00924D60">
        <w:rPr>
          <w:rStyle w:val="Emphasis"/>
          <w:sz w:val="20"/>
          <w:szCs w:val="20"/>
        </w:rPr>
        <w:t>their</w:t>
      </w:r>
      <w:r w:rsidR="007739D4" w:rsidRPr="00924D60">
        <w:rPr>
          <w:rStyle w:val="Emphasis"/>
          <w:sz w:val="20"/>
          <w:szCs w:val="20"/>
        </w:rPr>
        <w:t xml:space="preserve"> </w:t>
      </w:r>
      <w:r w:rsidRPr="00924D60">
        <w:rPr>
          <w:rStyle w:val="Emphasis"/>
          <w:sz w:val="20"/>
          <w:szCs w:val="20"/>
        </w:rPr>
        <w:t>treatment</w:t>
      </w:r>
      <w:r w:rsidRPr="00924D60">
        <w:rPr>
          <w:i/>
          <w:iCs/>
          <w:sz w:val="20"/>
          <w:szCs w:val="20"/>
        </w:rPr>
        <w:t>.</w:t>
      </w:r>
      <w:r w:rsidR="007739D4" w:rsidRPr="00924D60">
        <w:rPr>
          <w:sz w:val="20"/>
          <w:szCs w:val="20"/>
        </w:rPr>
        <w:t xml:space="preserve"> </w:t>
      </w:r>
      <w:r w:rsidRPr="00924D60">
        <w:rPr>
          <w:sz w:val="20"/>
          <w:szCs w:val="20"/>
        </w:rPr>
        <w:t>Second</w:t>
      </w:r>
      <w:r w:rsidR="007739D4" w:rsidRPr="00924D60">
        <w:rPr>
          <w:sz w:val="20"/>
          <w:szCs w:val="20"/>
        </w:rPr>
        <w:t xml:space="preserve"> </w:t>
      </w:r>
      <w:r w:rsidRPr="00924D60">
        <w:rPr>
          <w:sz w:val="20"/>
          <w:szCs w:val="20"/>
        </w:rPr>
        <w:t>edition.</w:t>
      </w:r>
      <w:r w:rsidR="007739D4" w:rsidRPr="00924D60">
        <w:rPr>
          <w:sz w:val="20"/>
          <w:szCs w:val="20"/>
        </w:rPr>
        <w:t xml:space="preserve"> </w:t>
      </w:r>
      <w:r w:rsidRPr="00924D60">
        <w:rPr>
          <w:sz w:val="20"/>
          <w:szCs w:val="20"/>
        </w:rPr>
        <w:t>London:</w:t>
      </w:r>
      <w:r w:rsidR="00924D60">
        <w:rPr>
          <w:rFonts w:eastAsiaTheme="minorEastAsia" w:hint="eastAsia"/>
          <w:sz w:val="20"/>
          <w:szCs w:val="20"/>
          <w:lang w:eastAsia="zh-CN"/>
        </w:rPr>
        <w:t xml:space="preserve"> </w:t>
      </w:r>
      <w:r w:rsidRPr="00924D60">
        <w:rPr>
          <w:sz w:val="20"/>
          <w:szCs w:val="20"/>
        </w:rPr>
        <w:t>Springer;</w:t>
      </w:r>
      <w:r w:rsidR="007739D4" w:rsidRPr="00924D60">
        <w:rPr>
          <w:sz w:val="20"/>
          <w:szCs w:val="20"/>
        </w:rPr>
        <w:t xml:space="preserve"> </w:t>
      </w:r>
      <w:r w:rsidRPr="00924D60">
        <w:rPr>
          <w:sz w:val="20"/>
          <w:szCs w:val="20"/>
        </w:rPr>
        <w:t>2007.</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Lakshmi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Ravichandran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T,</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Narayana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w:t>
      </w:r>
      <w:r w:rsidR="007739D4" w:rsidRPr="00924D60">
        <w:rPr>
          <w:rFonts w:ascii="Times New Roman" w:hAnsi="Times New Roman" w:cs="Times New Roman"/>
          <w:bCs/>
          <w:color w:val="000000"/>
          <w:sz w:val="20"/>
          <w:szCs w:val="20"/>
        </w:rPr>
        <w:t xml:space="preserve"> &amp; </w:t>
      </w:r>
      <w:r w:rsidRPr="00924D60">
        <w:rPr>
          <w:rFonts w:ascii="Times New Roman" w:hAnsi="Times New Roman" w:cs="Times New Roman"/>
          <w:bCs/>
          <w:color w:val="000000"/>
          <w:sz w:val="20"/>
          <w:szCs w:val="20"/>
        </w:rPr>
        <w:t>Selvaraju</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Role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magnesium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from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paediatric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referral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centre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south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India.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2018.</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Farwell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JR,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Blackwell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Sulzbacker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Adelman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First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Characteristics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the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the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the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Illness</w:t>
      </w:r>
      <w:r w:rsidR="00014A5E" w:rsidRPr="00924D60">
        <w:rPr>
          <w:rFonts w:ascii="Times New Roman" w:hAnsi="Times New Roman" w:cs="Times New Roman"/>
          <w:color w:val="000000"/>
          <w:sz w:val="20"/>
          <w:szCs w:val="20"/>
        </w:rPr>
        <w:t>. C</w:t>
      </w:r>
      <w:r w:rsidRPr="00924D60">
        <w:rPr>
          <w:rFonts w:ascii="Times New Roman" w:hAnsi="Times New Roman" w:cs="Times New Roman"/>
          <w:color w:val="000000"/>
          <w:sz w:val="20"/>
          <w:szCs w:val="20"/>
        </w:rPr>
        <w:t>lin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Paediatr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Phila,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1994.</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33(5):</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263</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-267.</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color w:val="000000"/>
          <w:sz w:val="20"/>
          <w:szCs w:val="20"/>
        </w:rPr>
        <w:t>Baek</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SJ,</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Byeon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JH,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Eun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Eun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Kim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Risk</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low</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ionized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magnesium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BMC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2018;</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18(1):4-9.</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Kumari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Nair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MK,</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Nair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Kailas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Geetha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deficiency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risk</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factor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for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simple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Indian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pediatrics.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2012;</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49(1):17-9.</w:t>
      </w:r>
      <w:r w:rsidR="007739D4" w:rsidRPr="00924D60">
        <w:rPr>
          <w:rFonts w:ascii="Times New Roman" w:hAnsi="Times New Roman" w:cs="Times New Roman"/>
          <w:color w:val="000000"/>
          <w:sz w:val="20"/>
          <w:szCs w:val="20"/>
        </w:rPr>
        <w:t xml:space="preserve"> </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Margaretha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Masloman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Correlation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between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simple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Indones.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2010;</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50(6):326-30.</w:t>
      </w:r>
      <w:r w:rsidR="007739D4" w:rsidRPr="00924D60">
        <w:rPr>
          <w:rFonts w:ascii="Times New Roman" w:hAnsi="Times New Roman" w:cs="Times New Roman"/>
          <w:color w:val="000000"/>
          <w:sz w:val="20"/>
          <w:szCs w:val="20"/>
        </w:rPr>
        <w:t xml:space="preserve"> </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Kafadar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Akini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AB,</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Pekun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F,</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Ada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The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Role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Etiology.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1nf.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2012;</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6:90-3.</w:t>
      </w:r>
      <w:r w:rsidR="007739D4" w:rsidRPr="00924D60">
        <w:rPr>
          <w:rFonts w:ascii="Times New Roman" w:hAnsi="Times New Roman" w:cs="Times New Roman"/>
          <w:color w:val="000000"/>
          <w:sz w:val="20"/>
          <w:szCs w:val="20"/>
        </w:rPr>
        <w:t xml:space="preserve"> </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Aly,</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Mohamed,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H.,</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Soliman,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w:t>
      </w:r>
      <w:r w:rsidR="007739D4" w:rsidRPr="00924D60">
        <w:rPr>
          <w:rFonts w:ascii="Times New Roman" w:hAnsi="Times New Roman" w:cs="Times New Roman"/>
          <w:bCs/>
          <w:sz w:val="20"/>
          <w:szCs w:val="20"/>
        </w:rPr>
        <w:t xml:space="preserve"> &amp; </w:t>
      </w:r>
      <w:r w:rsidRPr="00924D60">
        <w:rPr>
          <w:rFonts w:ascii="Times New Roman" w:hAnsi="Times New Roman" w:cs="Times New Roman"/>
          <w:bCs/>
          <w:sz w:val="20"/>
          <w:szCs w:val="20"/>
        </w:rPr>
        <w:t>Mohamed,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Iron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profile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parameters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serum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zinc</w:t>
      </w:r>
      <w:r w:rsidR="007739D4" w:rsidRPr="00924D60">
        <w:rPr>
          <w:rFonts w:ascii="Times New Roman" w:hAnsi="Times New Roman" w:cs="Times New Roman"/>
          <w:sz w:val="20"/>
          <w:szCs w:val="20"/>
        </w:rPr>
        <w:t xml:space="preserve"> &amp; </w:t>
      </w:r>
      <w:r w:rsidRPr="00924D60">
        <w:rPr>
          <w:rFonts w:ascii="Times New Roman" w:hAnsi="Times New Roman" w:cs="Times New Roman"/>
          <w:sz w:val="20"/>
          <w:szCs w:val="20"/>
        </w:rPr>
        <w:t>copper</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levels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children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convulsions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Banha.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American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Science.2014</w:t>
      </w:r>
      <w:r w:rsidRPr="00924D60">
        <w:rPr>
          <w:rFonts w:ascii="Times New Roman" w:hAnsi="Times New Roman" w:cs="Times New Roman"/>
          <w:color w:val="000000"/>
          <w:sz w:val="20"/>
          <w:szCs w:val="20"/>
        </w:rPr>
        <w: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sz w:val="20"/>
          <w:szCs w:val="20"/>
        </w:rPr>
        <w:t>10(7),</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1.</w:t>
      </w:r>
    </w:p>
    <w:p w:rsidR="00014A5E"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color w:val="000000"/>
          <w:sz w:val="20"/>
          <w:szCs w:val="20"/>
        </w:rPr>
        <w:t>Habeeb</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Sawsan.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Copper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Pr="00924D60">
        <w:rPr>
          <w:rFonts w:ascii="Times New Roman" w:hAnsi="Times New Roman" w:cs="Times New Roman"/>
          <w:sz w:val="20"/>
          <w:szCs w:val="20"/>
        </w:rPr>
        <w:t>.201</w:t>
      </w:r>
      <w:r w:rsidR="00014A5E" w:rsidRPr="00924D60">
        <w:rPr>
          <w:rFonts w:ascii="Times New Roman" w:hAnsi="Times New Roman" w:cs="Times New Roman"/>
          <w:sz w:val="20"/>
          <w:szCs w:val="20"/>
        </w:rPr>
        <w:t>8.</w:t>
      </w:r>
    </w:p>
    <w:p w:rsidR="00014A5E"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Shokrzadeh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Abbaskhaniyan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Rafati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Mashhadiakabr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Arab</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copper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mazums-pbr.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2016;</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(3):19-2</w:t>
      </w:r>
      <w:r w:rsidR="00014A5E" w:rsidRPr="00924D60">
        <w:rPr>
          <w:rFonts w:ascii="Times New Roman" w:hAnsi="Times New Roman" w:cs="Times New Roman"/>
          <w:color w:val="000000"/>
          <w:sz w:val="20"/>
          <w:szCs w:val="20"/>
        </w:rPr>
        <w:t>4.</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Namakin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Zaradast</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014A5E" w:rsidRPr="00924D60">
        <w:rPr>
          <w:rFonts w:ascii="Times New Roman" w:hAnsi="Times New Roman" w:cs="Times New Roman"/>
          <w:bCs/>
          <w:color w:val="000000"/>
          <w:sz w:val="20"/>
          <w:szCs w:val="20"/>
        </w:rPr>
        <w:t>, S</w:t>
      </w:r>
      <w:r w:rsidRPr="00924D60">
        <w:rPr>
          <w:rFonts w:ascii="Times New Roman" w:hAnsi="Times New Roman" w:cs="Times New Roman"/>
          <w:bCs/>
          <w:color w:val="000000"/>
          <w:sz w:val="20"/>
          <w:szCs w:val="20"/>
        </w:rPr>
        <w:t>harifzadeh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Bidar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T</w:t>
      </w:r>
      <w:r w:rsidR="00014A5E" w:rsidRPr="00924D60">
        <w:rPr>
          <w:rFonts w:ascii="Times New Roman" w:hAnsi="Times New Roman" w:cs="Times New Roman"/>
          <w:bCs/>
          <w:color w:val="000000"/>
          <w:sz w:val="20"/>
          <w:szCs w:val="20"/>
        </w:rPr>
        <w:t>, Z</w:t>
      </w:r>
      <w:r w:rsidRPr="00924D60">
        <w:rPr>
          <w:rFonts w:ascii="Times New Roman" w:hAnsi="Times New Roman" w:cs="Times New Roman"/>
          <w:bCs/>
          <w:color w:val="000000"/>
          <w:sz w:val="20"/>
          <w:szCs w:val="20"/>
        </w:rPr>
        <w:t>argarian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Trace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Elements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Neural,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2016.</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10(3):</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57-60.</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Amouian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Mohammadian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Behnampour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Tizrou</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Trace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elements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compared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to</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admitted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to</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academic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hospital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Clin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Diagn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2013;</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7(10):2231–2233.</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Amiri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Farzin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Moassesi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ME,</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Sajadi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Trace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Element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Biol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Trace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Elem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2010;</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lastRenderedPageBreak/>
        <w:t>135(1):38-44.</w:t>
      </w:r>
    </w:p>
    <w:p w:rsidR="00014A5E"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Lee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BH,</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Inui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D,</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Suh</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GY,</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et</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Association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body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temperature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antipyretic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treatments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mortality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critically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ill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patients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without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sepsis: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multi-centered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prospective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observational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study.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Crit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Care.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2012;</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16(1):R3</w:t>
      </w:r>
      <w:r w:rsidR="00014A5E" w:rsidRPr="00924D60">
        <w:rPr>
          <w:rFonts w:ascii="Times New Roman" w:hAnsi="Times New Roman" w:cs="Times New Roman"/>
          <w:sz w:val="20"/>
          <w:szCs w:val="20"/>
        </w:rPr>
        <w:t>3.</w:t>
      </w:r>
    </w:p>
    <w:p w:rsidR="00014A5E"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Gündüz</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Z,</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Yavuz</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Koparal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Kumanda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Saraymen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cerebrospinal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fluid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Acta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Paediatr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Jpn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1996;</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38:237-4</w:t>
      </w:r>
      <w:r w:rsidR="00014A5E" w:rsidRPr="00924D60">
        <w:rPr>
          <w:rFonts w:ascii="Times New Roman" w:hAnsi="Times New Roman" w:cs="Times New Roman"/>
          <w:color w:val="000000"/>
          <w:sz w:val="20"/>
          <w:szCs w:val="20"/>
        </w:rPr>
        <w:t>1.</w:t>
      </w:r>
    </w:p>
    <w:p w:rsidR="00BF7AB2" w:rsidRPr="00924D60" w:rsidRDefault="00BF7AB2" w:rsidP="00306F41">
      <w:pPr>
        <w:widowControl w:val="0"/>
        <w:numPr>
          <w:ilvl w:val="0"/>
          <w:numId w:val="6"/>
        </w:numPr>
        <w:bidi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sz w:val="20"/>
          <w:szCs w:val="20"/>
        </w:rPr>
        <w:t>Saghazadeh</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Mahmoudi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Meysamie</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A,</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Gharedaghi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M,</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Zamponi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GW,</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Rezaei</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Possible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role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trace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elements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epilepsy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meta-analysis.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Nutr</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Rev.</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2015;</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73(11):760-779.</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24D60">
        <w:rPr>
          <w:rFonts w:ascii="Times New Roman" w:hAnsi="Times New Roman" w:cs="Times New Roman"/>
          <w:bCs/>
          <w:color w:val="000000"/>
          <w:sz w:val="20"/>
          <w:szCs w:val="20"/>
        </w:rPr>
        <w:t>Bharathi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and</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Chiranjeevi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magnesium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correlation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aged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6</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months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to</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5</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years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age.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IAIM,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2016;</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3(11):</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61-68.</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Saqib</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Qazi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Association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between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simple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hospital-based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Sci.</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2018;</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6:31169.</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Sreenivasa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Sunil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Kumar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Manjunatha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Role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Contemp</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Pediatric.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2015;</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2:137-40.</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Khajeh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Miri-Aliabad</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Fayyazi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Safdari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Z,</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lastRenderedPageBreak/>
        <w:t>Keikha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Askari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Zahedan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Sci.</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2015.</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sz w:val="20"/>
          <w:szCs w:val="20"/>
        </w:rPr>
        <w:t>Sampathkumar</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P,</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Kannan</w:t>
      </w:r>
      <w:r w:rsidR="007739D4" w:rsidRPr="00924D60">
        <w:rPr>
          <w:rFonts w:ascii="Times New Roman" w:hAnsi="Times New Roman" w:cs="Times New Roman"/>
          <w:bCs/>
          <w:sz w:val="20"/>
          <w:szCs w:val="20"/>
        </w:rPr>
        <w:t xml:space="preserve"> </w:t>
      </w:r>
      <w:r w:rsidRPr="00924D60">
        <w:rPr>
          <w:rFonts w:ascii="Times New Roman" w:hAnsi="Times New Roman" w:cs="Times New Roman"/>
          <w:bCs/>
          <w:sz w:val="20"/>
          <w:szCs w:val="20"/>
        </w:rPr>
        <w:t>KS.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comparative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study</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of</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serum</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zinc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levels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children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febrile</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and</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children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fever</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without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seizures</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an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urban</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referral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hospital.</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Int</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J</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Contemp</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Pediatric.</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2018;</w:t>
      </w:r>
      <w:r w:rsidR="007739D4" w:rsidRPr="00924D60">
        <w:rPr>
          <w:rFonts w:ascii="Times New Roman" w:hAnsi="Times New Roman" w:cs="Times New Roman"/>
          <w:sz w:val="20"/>
          <w:szCs w:val="20"/>
        </w:rPr>
        <w:t xml:space="preserve"> </w:t>
      </w:r>
      <w:r w:rsidRPr="00924D60">
        <w:rPr>
          <w:rFonts w:ascii="Times New Roman" w:hAnsi="Times New Roman" w:cs="Times New Roman"/>
          <w:sz w:val="20"/>
          <w:szCs w:val="20"/>
        </w:rPr>
        <w:t>5:977-982.</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Salehiomran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Mahzari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Status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Neurol.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2013;</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7(4):20-23.</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Gattoo</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Harish</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Quyoom</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Hussain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Correlation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Zinc</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Simple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Hospital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based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Prospective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International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Journal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Pediatrics.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2015;</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3(2.2),</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509-515.</w:t>
      </w:r>
    </w:p>
    <w:p w:rsidR="00BF7AB2"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Mahyar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Ayazi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P,</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Dalirani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R,</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Bakhtiyani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Case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Control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Study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the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association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between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copper</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Seizure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Children.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Iranian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9</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Journal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Child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Neurology</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2012;</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6(1):</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23-28.</w:t>
      </w:r>
    </w:p>
    <w:p w:rsidR="00BF3308" w:rsidRPr="00924D60" w:rsidRDefault="00BF7AB2" w:rsidP="00306F41">
      <w:pPr>
        <w:widowControl w:val="0"/>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924D60">
        <w:rPr>
          <w:rFonts w:ascii="Times New Roman" w:hAnsi="Times New Roman" w:cs="Times New Roman"/>
          <w:bCs/>
          <w:color w:val="000000"/>
          <w:sz w:val="20"/>
          <w:szCs w:val="20"/>
        </w:rPr>
        <w:t>Khosroshahi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Ghadirian</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L,</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Kamrani</w:t>
      </w:r>
      <w:r w:rsidR="007739D4" w:rsidRPr="00924D60">
        <w:rPr>
          <w:rFonts w:ascii="Times New Roman" w:hAnsi="Times New Roman" w:cs="Times New Roman"/>
          <w:bCs/>
          <w:color w:val="000000"/>
          <w:sz w:val="20"/>
          <w:szCs w:val="20"/>
        </w:rPr>
        <w:t xml:space="preserve"> </w:t>
      </w:r>
      <w:r w:rsidRPr="00924D60">
        <w:rPr>
          <w:rFonts w:ascii="Times New Roman" w:hAnsi="Times New Roman" w:cs="Times New Roman"/>
          <w:bCs/>
          <w:color w:val="000000"/>
          <w:sz w:val="20"/>
          <w:szCs w:val="20"/>
        </w:rPr>
        <w:t>K.</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Evaluation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Magnesium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Levels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Serum</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and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Cerebrospinal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Fluid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of</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Patients</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with</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Febrile</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Convulsion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Hospitalized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Bahrami</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Hospital</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Tehran.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Acta</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Med</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Iran.</w:t>
      </w:r>
      <w:r w:rsidR="007739D4" w:rsidRPr="00924D60">
        <w:rPr>
          <w:rFonts w:ascii="Times New Roman" w:hAnsi="Times New Roman" w:cs="Times New Roman"/>
          <w:color w:val="000000"/>
          <w:sz w:val="20"/>
          <w:szCs w:val="20"/>
        </w:rPr>
        <w:t xml:space="preserve"> </w:t>
      </w:r>
      <w:r w:rsidRPr="00924D60">
        <w:rPr>
          <w:rFonts w:ascii="Times New Roman" w:hAnsi="Times New Roman" w:cs="Times New Roman"/>
          <w:color w:val="000000"/>
          <w:sz w:val="20"/>
          <w:szCs w:val="20"/>
        </w:rPr>
        <w:t>2011</w:t>
      </w:r>
      <w:r w:rsidRPr="00924D60">
        <w:rPr>
          <w:rFonts w:ascii="Times New Roman" w:hAnsi="Times New Roman" w:cs="Times New Roman"/>
          <w:sz w:val="20"/>
          <w:szCs w:val="20"/>
        </w:rPr>
        <w:t>;</w:t>
      </w:r>
      <w:r w:rsidR="007739D4" w:rsidRPr="00924D60">
        <w:rPr>
          <w:rFonts w:ascii="Times New Roman" w:hAnsi="Times New Roman" w:cs="Times New Roman"/>
          <w:sz w:val="20"/>
          <w:szCs w:val="20"/>
        </w:rPr>
        <w:t xml:space="preserve"> </w:t>
      </w:r>
      <w:r w:rsidRPr="00924D60">
        <w:rPr>
          <w:rFonts w:ascii="Times New Roman" w:hAnsi="Times New Roman" w:cs="Times New Roman"/>
          <w:color w:val="000000"/>
          <w:sz w:val="20"/>
          <w:szCs w:val="20"/>
        </w:rPr>
        <w:t>53(12):778-781.</w:t>
      </w:r>
    </w:p>
    <w:p w:rsidR="00306F41" w:rsidRPr="00924D60" w:rsidRDefault="00306F41" w:rsidP="00306F41">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sectPr w:rsidR="00306F41" w:rsidRPr="00924D60" w:rsidSect="00306F41">
          <w:type w:val="continuous"/>
          <w:pgSz w:w="12240" w:h="15840" w:code="9"/>
          <w:pgMar w:top="1440" w:right="1440" w:bottom="1440" w:left="1440" w:header="720" w:footer="720" w:gutter="0"/>
          <w:cols w:num="2" w:space="550"/>
          <w:docGrid w:linePitch="360"/>
        </w:sectPr>
      </w:pPr>
    </w:p>
    <w:p w:rsidR="007739D4" w:rsidRPr="00924D60" w:rsidRDefault="007739D4" w:rsidP="00306F41">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306F41" w:rsidRPr="00924D60" w:rsidRDefault="00306F41" w:rsidP="00306F41">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306F41" w:rsidRPr="00924D60" w:rsidRDefault="00306F41" w:rsidP="00306F41">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AC7B9D" w:rsidRPr="00924D60" w:rsidRDefault="007739D4" w:rsidP="00306F41">
      <w:pPr>
        <w:widowControl w:val="0"/>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924D60">
        <w:rPr>
          <w:rFonts w:ascii="Times New Roman" w:hAnsi="Times New Roman" w:cs="Times New Roman"/>
          <w:color w:val="000000"/>
          <w:sz w:val="20"/>
          <w:szCs w:val="20"/>
        </w:rPr>
        <w:t>7/22/2019</w:t>
      </w:r>
    </w:p>
    <w:sectPr w:rsidR="00AC7B9D" w:rsidRPr="00924D60" w:rsidSect="007739D4">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873" w:rsidRDefault="00F17873" w:rsidP="00513C71">
      <w:pPr>
        <w:spacing w:after="0" w:line="240" w:lineRule="auto"/>
      </w:pPr>
      <w:r>
        <w:separator/>
      </w:r>
    </w:p>
  </w:endnote>
  <w:endnote w:type="continuationSeparator" w:id="0">
    <w:p w:rsidR="00F17873" w:rsidRDefault="00F17873" w:rsidP="00513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41" w:rsidRPr="00E36EE8" w:rsidRDefault="00C50C8A" w:rsidP="00E36EE8">
    <w:pPr>
      <w:bidi w:val="0"/>
      <w:spacing w:after="0" w:line="240" w:lineRule="auto"/>
      <w:jc w:val="center"/>
      <w:rPr>
        <w:rFonts w:ascii="Times New Roman" w:hAnsi="Times New Roman" w:cs="Times New Roman"/>
        <w:sz w:val="20"/>
      </w:rPr>
    </w:pPr>
    <w:r w:rsidRPr="00E36EE8">
      <w:rPr>
        <w:rFonts w:ascii="Times New Roman" w:hAnsi="Times New Roman" w:cs="Times New Roman"/>
        <w:sz w:val="20"/>
      </w:rPr>
      <w:fldChar w:fldCharType="begin"/>
    </w:r>
    <w:r w:rsidR="00E36EE8" w:rsidRPr="00E36EE8">
      <w:rPr>
        <w:rFonts w:ascii="Times New Roman" w:hAnsi="Times New Roman" w:cs="Times New Roman"/>
        <w:sz w:val="20"/>
      </w:rPr>
      <w:instrText xml:space="preserve"> page </w:instrText>
    </w:r>
    <w:r w:rsidRPr="00E36EE8">
      <w:rPr>
        <w:rFonts w:ascii="Times New Roman" w:hAnsi="Times New Roman" w:cs="Times New Roman"/>
        <w:sz w:val="20"/>
      </w:rPr>
      <w:fldChar w:fldCharType="separate"/>
    </w:r>
    <w:r w:rsidR="00924D60">
      <w:rPr>
        <w:rFonts w:ascii="Times New Roman" w:hAnsi="Times New Roman" w:cs="Times New Roman"/>
        <w:noProof/>
        <w:sz w:val="20"/>
      </w:rPr>
      <w:t>4</w:t>
    </w:r>
    <w:r w:rsidRPr="00E36EE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873" w:rsidRDefault="00F17873" w:rsidP="00513C71">
      <w:pPr>
        <w:spacing w:after="0" w:line="240" w:lineRule="auto"/>
      </w:pPr>
      <w:r>
        <w:separator/>
      </w:r>
    </w:p>
  </w:footnote>
  <w:footnote w:type="continuationSeparator" w:id="0">
    <w:p w:rsidR="00F17873" w:rsidRDefault="00F17873" w:rsidP="00513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E8" w:rsidRPr="00E36EE8" w:rsidRDefault="00E36EE8" w:rsidP="00E36EE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36EE8">
      <w:rPr>
        <w:rFonts w:ascii="Times New Roman" w:hAnsi="Times New Roman" w:cs="Times New Roman" w:hint="eastAsia"/>
        <w:sz w:val="20"/>
        <w:szCs w:val="20"/>
      </w:rPr>
      <w:tab/>
    </w:r>
    <w:r w:rsidRPr="00E36EE8">
      <w:rPr>
        <w:rFonts w:ascii="Times New Roman" w:hAnsi="Times New Roman" w:cs="Times New Roman"/>
        <w:sz w:val="20"/>
        <w:szCs w:val="20"/>
      </w:rPr>
      <w:t>New York Science Journal 201</w:t>
    </w:r>
    <w:r w:rsidRPr="00E36EE8">
      <w:rPr>
        <w:rFonts w:ascii="Times New Roman" w:hAnsi="Times New Roman" w:cs="Times New Roman" w:hint="eastAsia"/>
        <w:sz w:val="20"/>
        <w:szCs w:val="20"/>
      </w:rPr>
      <w:t>9</w:t>
    </w:r>
    <w:r w:rsidRPr="00E36EE8">
      <w:rPr>
        <w:rFonts w:ascii="Times New Roman" w:hAnsi="Times New Roman" w:cs="Times New Roman"/>
        <w:sz w:val="20"/>
        <w:szCs w:val="20"/>
      </w:rPr>
      <w:t>;</w:t>
    </w:r>
    <w:r w:rsidRPr="00E36EE8">
      <w:rPr>
        <w:rFonts w:ascii="Times New Roman" w:hAnsi="Times New Roman" w:cs="Times New Roman" w:hint="eastAsia"/>
        <w:sz w:val="20"/>
        <w:szCs w:val="20"/>
      </w:rPr>
      <w:t>12</w:t>
    </w:r>
    <w:r w:rsidRPr="00E36EE8">
      <w:rPr>
        <w:rFonts w:ascii="Times New Roman" w:hAnsi="Times New Roman" w:cs="Times New Roman"/>
        <w:sz w:val="20"/>
        <w:szCs w:val="20"/>
      </w:rPr>
      <w:t>(</w:t>
    </w:r>
    <w:r w:rsidRPr="00E36EE8">
      <w:rPr>
        <w:rFonts w:ascii="Times New Roman" w:hAnsi="Times New Roman" w:cs="Times New Roman" w:hint="eastAsia"/>
        <w:sz w:val="20"/>
        <w:szCs w:val="20"/>
      </w:rPr>
      <w:t>8</w:t>
    </w:r>
    <w:r w:rsidRPr="00E36EE8">
      <w:rPr>
        <w:rFonts w:ascii="Times New Roman" w:hAnsi="Times New Roman" w:cs="Times New Roman"/>
        <w:sz w:val="20"/>
        <w:szCs w:val="20"/>
      </w:rPr>
      <w:t>)</w:t>
    </w:r>
    <w:r w:rsidRPr="00E36EE8">
      <w:rPr>
        <w:rFonts w:ascii="Times New Roman" w:hAnsi="Times New Roman" w:cs="Times New Roman"/>
        <w:iCs/>
        <w:sz w:val="20"/>
        <w:szCs w:val="20"/>
      </w:rPr>
      <w:t xml:space="preserve"> </w:t>
    </w:r>
    <w:r w:rsidRPr="00E36EE8">
      <w:rPr>
        <w:rFonts w:ascii="Times New Roman" w:hAnsi="Times New Roman" w:cs="Times New Roman" w:hint="eastAsia"/>
        <w:iCs/>
        <w:sz w:val="20"/>
        <w:szCs w:val="20"/>
      </w:rPr>
      <w:tab/>
    </w:r>
    <w:r w:rsidRPr="00E36EE8">
      <w:rPr>
        <w:rFonts w:ascii="Times New Roman" w:hAnsi="Times New Roman" w:cs="Times New Roman"/>
        <w:iCs/>
        <w:sz w:val="20"/>
        <w:szCs w:val="20"/>
      </w:rPr>
      <w:t xml:space="preserve">  </w:t>
    </w:r>
    <w:hyperlink r:id="rId1" w:history="1">
      <w:r w:rsidRPr="00E36EE8">
        <w:rPr>
          <w:rStyle w:val="Hyperlink"/>
          <w:rFonts w:ascii="Times New Roman" w:hAnsi="Times New Roman" w:cs="Times New Roman"/>
          <w:color w:val="0000FF"/>
          <w:sz w:val="20"/>
          <w:szCs w:val="20"/>
        </w:rPr>
        <w:t>http://www.sciencepub.net/newyork</w:t>
      </w:r>
    </w:hyperlink>
    <w:r w:rsidRPr="00E36EE8">
      <w:rPr>
        <w:rFonts w:ascii="Times New Roman" w:hAnsi="Times New Roman" w:cs="Times New Roman" w:hint="eastAsia"/>
        <w:sz w:val="20"/>
      </w:rPr>
      <w:t xml:space="preserve">   </w:t>
    </w:r>
    <w:r w:rsidRPr="00E36EE8">
      <w:rPr>
        <w:rFonts w:ascii="Times New Roman" w:hAnsi="Times New Roman" w:cs="Times New Roman" w:hint="eastAsia"/>
        <w:b/>
        <w:i/>
        <w:color w:val="FF0000"/>
        <w:sz w:val="20"/>
        <w:szCs w:val="20"/>
        <w:bdr w:val="single" w:sz="4" w:space="0" w:color="FF0000"/>
      </w:rPr>
      <w:t>NYJ</w:t>
    </w:r>
  </w:p>
  <w:p w:rsidR="00E36EE8" w:rsidRPr="00E36EE8" w:rsidRDefault="00E36EE8" w:rsidP="00E36EE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14FB"/>
    <w:multiLevelType w:val="hybridMultilevel"/>
    <w:tmpl w:val="E1A885C4"/>
    <w:lvl w:ilvl="0" w:tplc="231C3DC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90D79"/>
    <w:multiLevelType w:val="hybridMultilevel"/>
    <w:tmpl w:val="9EA6F7B4"/>
    <w:lvl w:ilvl="0" w:tplc="6A442882">
      <w:start w:val="1"/>
      <w:numFmt w:val="decimal"/>
      <w:lvlText w:val="%1."/>
      <w:lvlJc w:val="left"/>
      <w:pPr>
        <w:ind w:left="720" w:hanging="360"/>
      </w:pPr>
      <w:rPr>
        <w:rFont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91A9E"/>
    <w:multiLevelType w:val="hybridMultilevel"/>
    <w:tmpl w:val="C09A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A197E"/>
    <w:multiLevelType w:val="hybridMultilevel"/>
    <w:tmpl w:val="B02A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001A9"/>
    <w:multiLevelType w:val="hybridMultilevel"/>
    <w:tmpl w:val="54049C6A"/>
    <w:lvl w:ilvl="0" w:tplc="0136E3A8">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740535FA"/>
    <w:multiLevelType w:val="hybridMultilevel"/>
    <w:tmpl w:val="D0C82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A55DAE"/>
    <w:rsid w:val="00014A5E"/>
    <w:rsid w:val="00057023"/>
    <w:rsid w:val="00073206"/>
    <w:rsid w:val="000D6D56"/>
    <w:rsid w:val="00100A82"/>
    <w:rsid w:val="001955E5"/>
    <w:rsid w:val="001C0B19"/>
    <w:rsid w:val="001D329F"/>
    <w:rsid w:val="002104AE"/>
    <w:rsid w:val="00263B8E"/>
    <w:rsid w:val="002E0AAA"/>
    <w:rsid w:val="002F1675"/>
    <w:rsid w:val="00306F41"/>
    <w:rsid w:val="00316313"/>
    <w:rsid w:val="003332B7"/>
    <w:rsid w:val="003755B2"/>
    <w:rsid w:val="00394A95"/>
    <w:rsid w:val="003A2174"/>
    <w:rsid w:val="003A2A2F"/>
    <w:rsid w:val="003E3076"/>
    <w:rsid w:val="003F3A43"/>
    <w:rsid w:val="00404E55"/>
    <w:rsid w:val="004E7EBC"/>
    <w:rsid w:val="004F7F8F"/>
    <w:rsid w:val="00513C71"/>
    <w:rsid w:val="0053766E"/>
    <w:rsid w:val="00583836"/>
    <w:rsid w:val="005E78AD"/>
    <w:rsid w:val="00640CA6"/>
    <w:rsid w:val="00672ECA"/>
    <w:rsid w:val="006D2AA5"/>
    <w:rsid w:val="0070196C"/>
    <w:rsid w:val="00747D08"/>
    <w:rsid w:val="007739D4"/>
    <w:rsid w:val="007964D6"/>
    <w:rsid w:val="008326AA"/>
    <w:rsid w:val="008B446B"/>
    <w:rsid w:val="008D5DAC"/>
    <w:rsid w:val="008E429F"/>
    <w:rsid w:val="008F601D"/>
    <w:rsid w:val="009074AD"/>
    <w:rsid w:val="00915329"/>
    <w:rsid w:val="00924D60"/>
    <w:rsid w:val="00974178"/>
    <w:rsid w:val="009838BB"/>
    <w:rsid w:val="009C6C05"/>
    <w:rsid w:val="009E138F"/>
    <w:rsid w:val="009F2AAA"/>
    <w:rsid w:val="009F351B"/>
    <w:rsid w:val="00A55DAE"/>
    <w:rsid w:val="00A807D5"/>
    <w:rsid w:val="00AB1CF5"/>
    <w:rsid w:val="00AC7B9D"/>
    <w:rsid w:val="00AD71C5"/>
    <w:rsid w:val="00B04720"/>
    <w:rsid w:val="00B07147"/>
    <w:rsid w:val="00B66BD8"/>
    <w:rsid w:val="00BA06CD"/>
    <w:rsid w:val="00BB10AD"/>
    <w:rsid w:val="00BB3A8D"/>
    <w:rsid w:val="00BD53DF"/>
    <w:rsid w:val="00BD6292"/>
    <w:rsid w:val="00BF3308"/>
    <w:rsid w:val="00BF7AB2"/>
    <w:rsid w:val="00C36DD1"/>
    <w:rsid w:val="00C50C8A"/>
    <w:rsid w:val="00CC3C1E"/>
    <w:rsid w:val="00D429BA"/>
    <w:rsid w:val="00E24AC3"/>
    <w:rsid w:val="00E36EE8"/>
    <w:rsid w:val="00E432E0"/>
    <w:rsid w:val="00E92BA4"/>
    <w:rsid w:val="00EB0684"/>
    <w:rsid w:val="00EB614D"/>
    <w:rsid w:val="00ED2EAC"/>
    <w:rsid w:val="00F13983"/>
    <w:rsid w:val="00F17873"/>
    <w:rsid w:val="00F64DDD"/>
    <w:rsid w:val="00F952E3"/>
    <w:rsid w:val="00FD4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B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9B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3F3A43"/>
    <w:pPr>
      <w:spacing w:after="120" w:line="480" w:lineRule="auto"/>
    </w:pPr>
  </w:style>
  <w:style w:type="character" w:customStyle="1" w:styleId="BodyText2Char">
    <w:name w:val="Body Text 2 Char"/>
    <w:basedOn w:val="DefaultParagraphFont"/>
    <w:link w:val="BodyText2"/>
    <w:uiPriority w:val="99"/>
    <w:rsid w:val="003F3A43"/>
    <w:rPr>
      <w:rFonts w:eastAsiaTheme="minorEastAsia"/>
    </w:rPr>
  </w:style>
  <w:style w:type="paragraph" w:styleId="NormalWeb">
    <w:name w:val="Normal (Web)"/>
    <w:basedOn w:val="Normal"/>
    <w:rsid w:val="003A2A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2A2F"/>
    <w:pPr>
      <w:ind w:left="720"/>
      <w:contextualSpacing/>
    </w:pPr>
  </w:style>
  <w:style w:type="paragraph" w:styleId="Header">
    <w:name w:val="header"/>
    <w:basedOn w:val="Normal"/>
    <w:link w:val="HeaderChar"/>
    <w:uiPriority w:val="99"/>
    <w:unhideWhenUsed/>
    <w:rsid w:val="00513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71"/>
    <w:rPr>
      <w:rFonts w:eastAsiaTheme="minorEastAsia"/>
    </w:rPr>
  </w:style>
  <w:style w:type="paragraph" w:styleId="Footer">
    <w:name w:val="footer"/>
    <w:basedOn w:val="Normal"/>
    <w:link w:val="FooterChar"/>
    <w:uiPriority w:val="99"/>
    <w:unhideWhenUsed/>
    <w:rsid w:val="00513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71"/>
    <w:rPr>
      <w:rFonts w:eastAsiaTheme="minorEastAsia"/>
    </w:rPr>
  </w:style>
  <w:style w:type="paragraph" w:styleId="BodyText">
    <w:name w:val="Body Text"/>
    <w:basedOn w:val="Normal"/>
    <w:link w:val="BodyTextChar"/>
    <w:uiPriority w:val="99"/>
    <w:semiHidden/>
    <w:unhideWhenUsed/>
    <w:rsid w:val="00EB0684"/>
    <w:pPr>
      <w:spacing w:after="120"/>
    </w:pPr>
  </w:style>
  <w:style w:type="character" w:customStyle="1" w:styleId="BodyTextChar">
    <w:name w:val="Body Text Char"/>
    <w:basedOn w:val="DefaultParagraphFont"/>
    <w:link w:val="BodyText"/>
    <w:uiPriority w:val="99"/>
    <w:semiHidden/>
    <w:rsid w:val="00EB0684"/>
    <w:rPr>
      <w:rFonts w:eastAsiaTheme="minorEastAsia"/>
    </w:rPr>
  </w:style>
  <w:style w:type="character" w:styleId="Emphasis">
    <w:name w:val="Emphasis"/>
    <w:uiPriority w:val="20"/>
    <w:qFormat/>
    <w:rsid w:val="00BF7AB2"/>
    <w:rPr>
      <w:i/>
      <w:iCs/>
    </w:rPr>
  </w:style>
  <w:style w:type="character" w:styleId="Hyperlink">
    <w:name w:val="Hyperlink"/>
    <w:basedOn w:val="DefaultParagraphFont"/>
    <w:uiPriority w:val="99"/>
    <w:unhideWhenUsed/>
    <w:rsid w:val="00BD53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BC"/>
    <w:pPr>
      <w:bidi/>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9B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3F3A43"/>
    <w:pPr>
      <w:spacing w:after="120" w:line="480" w:lineRule="auto"/>
    </w:pPr>
  </w:style>
  <w:style w:type="character" w:customStyle="1" w:styleId="BodyText2Char">
    <w:name w:val="Body Text 2 Char"/>
    <w:basedOn w:val="DefaultParagraphFont"/>
    <w:link w:val="BodyText2"/>
    <w:uiPriority w:val="99"/>
    <w:rsid w:val="003F3A43"/>
    <w:rPr>
      <w:rFonts w:eastAsiaTheme="minorEastAsia"/>
    </w:rPr>
  </w:style>
  <w:style w:type="paragraph" w:styleId="NormalWeb">
    <w:name w:val="Normal (Web)"/>
    <w:basedOn w:val="Normal"/>
    <w:rsid w:val="003A2A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2A2F"/>
    <w:pPr>
      <w:ind w:left="720"/>
      <w:contextualSpacing/>
    </w:pPr>
  </w:style>
  <w:style w:type="paragraph" w:styleId="Header">
    <w:name w:val="header"/>
    <w:basedOn w:val="Normal"/>
    <w:link w:val="HeaderChar"/>
    <w:uiPriority w:val="99"/>
    <w:unhideWhenUsed/>
    <w:rsid w:val="00513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71"/>
    <w:rPr>
      <w:rFonts w:eastAsiaTheme="minorEastAsia"/>
    </w:rPr>
  </w:style>
  <w:style w:type="paragraph" w:styleId="Footer">
    <w:name w:val="footer"/>
    <w:basedOn w:val="Normal"/>
    <w:link w:val="FooterChar"/>
    <w:uiPriority w:val="99"/>
    <w:unhideWhenUsed/>
    <w:rsid w:val="00513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71"/>
    <w:rPr>
      <w:rFonts w:eastAsiaTheme="minorEastAsia"/>
    </w:rPr>
  </w:style>
  <w:style w:type="paragraph" w:styleId="BodyText">
    <w:name w:val="Body Text"/>
    <w:basedOn w:val="Normal"/>
    <w:link w:val="BodyTextChar"/>
    <w:uiPriority w:val="99"/>
    <w:semiHidden/>
    <w:unhideWhenUsed/>
    <w:rsid w:val="00EB0684"/>
    <w:pPr>
      <w:spacing w:after="120"/>
    </w:pPr>
  </w:style>
  <w:style w:type="character" w:customStyle="1" w:styleId="BodyTextChar">
    <w:name w:val="Body Text Char"/>
    <w:basedOn w:val="DefaultParagraphFont"/>
    <w:link w:val="BodyText"/>
    <w:uiPriority w:val="99"/>
    <w:semiHidden/>
    <w:rsid w:val="00EB0684"/>
    <w:rPr>
      <w:rFonts w:eastAsiaTheme="minorEastAsia"/>
    </w:rPr>
  </w:style>
  <w:style w:type="character" w:styleId="Emphasis">
    <w:name w:val="Emphasis"/>
    <w:uiPriority w:val="20"/>
    <w:qFormat/>
    <w:rsid w:val="00BF7AB2"/>
    <w:rPr>
      <w:i/>
      <w:iCs/>
    </w:rPr>
  </w:style>
  <w:style w:type="character" w:styleId="Hyperlink">
    <w:name w:val="Hyperlink"/>
    <w:basedOn w:val="DefaultParagraphFont"/>
    <w:uiPriority w:val="99"/>
    <w:unhideWhenUsed/>
    <w:rsid w:val="00BD53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181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_ah_moelbadry88@yahoo.com" TargetMode="External"/><Relationship Id="rId13" Type="http://schemas.openxmlformats.org/officeDocument/2006/relationships/hyperlink" Target="https://www.researchgate.net/profile/Amene_Saghazadeh"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819.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researchgate.net/profile/Amene_Saghazade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3221-ED23-4FBB-917F-C236ABE3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Administrator</cp:lastModifiedBy>
  <cp:revision>3</cp:revision>
  <dcterms:created xsi:type="dcterms:W3CDTF">2019-07-24T13:57:00Z</dcterms:created>
  <dcterms:modified xsi:type="dcterms:W3CDTF">2019-07-25T02:25:00Z</dcterms:modified>
</cp:coreProperties>
</file>