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1C" w:rsidRPr="00E90ABD" w:rsidRDefault="00D8252B" w:rsidP="00F06E05">
      <w:pPr>
        <w:snapToGrid w:val="0"/>
        <w:jc w:val="center"/>
        <w:rPr>
          <w:b/>
          <w:bCs/>
          <w:sz w:val="20"/>
          <w:szCs w:val="20"/>
        </w:rPr>
      </w:pPr>
      <w:r w:rsidRPr="00E90ABD">
        <w:rPr>
          <w:b/>
          <w:bCs/>
          <w:sz w:val="20"/>
          <w:szCs w:val="20"/>
        </w:rPr>
        <w:t>Percutaneous Lateral Pinning of Type Three Supracondylar Humeral Fracture in Children</w:t>
      </w:r>
    </w:p>
    <w:p w:rsidR="0065081C" w:rsidRPr="00E90ABD" w:rsidRDefault="0065081C" w:rsidP="00F06E05">
      <w:pPr>
        <w:snapToGrid w:val="0"/>
        <w:jc w:val="center"/>
        <w:rPr>
          <w:b/>
          <w:bCs/>
          <w:sz w:val="20"/>
          <w:szCs w:val="20"/>
        </w:rPr>
      </w:pPr>
    </w:p>
    <w:p w:rsidR="0065081C" w:rsidRPr="00E90ABD" w:rsidRDefault="00D8252B" w:rsidP="00F06E05">
      <w:pPr>
        <w:snapToGrid w:val="0"/>
        <w:jc w:val="center"/>
        <w:rPr>
          <w:sz w:val="20"/>
          <w:szCs w:val="20"/>
        </w:rPr>
      </w:pPr>
      <w:r w:rsidRPr="00E90ABD">
        <w:rPr>
          <w:sz w:val="20"/>
          <w:szCs w:val="20"/>
        </w:rPr>
        <w:t>Prof. Dr. Omar Abd-Elrahman Ahmed, Dr. Hassan Fathy El-Behairy</w:t>
      </w:r>
      <w:bookmarkStart w:id="0" w:name="_Toc508467367"/>
      <w:r w:rsidR="00017C45" w:rsidRPr="00E90ABD">
        <w:rPr>
          <w:sz w:val="20"/>
          <w:szCs w:val="20"/>
        </w:rPr>
        <w:t xml:space="preserve"> </w:t>
      </w:r>
      <w:r w:rsidR="0001245B" w:rsidRPr="00E90ABD">
        <w:rPr>
          <w:sz w:val="20"/>
          <w:szCs w:val="20"/>
        </w:rPr>
        <w:t>and</w:t>
      </w:r>
      <w:r w:rsidR="00A93DB5" w:rsidRPr="00E90ABD">
        <w:rPr>
          <w:sz w:val="20"/>
          <w:szCs w:val="20"/>
        </w:rPr>
        <w:t xml:space="preserve"> </w:t>
      </w:r>
      <w:bookmarkEnd w:id="0"/>
      <w:r w:rsidRPr="00E90ABD">
        <w:rPr>
          <w:sz w:val="20"/>
          <w:szCs w:val="20"/>
        </w:rPr>
        <w:t>Ahmed Mohamed Ahmed Abd-Elkader</w:t>
      </w:r>
    </w:p>
    <w:p w:rsidR="0065081C" w:rsidRPr="00E90ABD" w:rsidRDefault="0065081C" w:rsidP="00F06E05">
      <w:pPr>
        <w:snapToGrid w:val="0"/>
        <w:jc w:val="center"/>
        <w:rPr>
          <w:sz w:val="20"/>
          <w:szCs w:val="20"/>
        </w:rPr>
      </w:pPr>
    </w:p>
    <w:p w:rsidR="00A93DB5" w:rsidRPr="00E90ABD" w:rsidRDefault="00D8252B" w:rsidP="00F06E05">
      <w:pPr>
        <w:autoSpaceDE w:val="0"/>
        <w:autoSpaceDN w:val="0"/>
        <w:adjustRightInd w:val="0"/>
        <w:snapToGrid w:val="0"/>
        <w:jc w:val="center"/>
        <w:rPr>
          <w:sz w:val="20"/>
          <w:szCs w:val="20"/>
        </w:rPr>
      </w:pPr>
      <w:r w:rsidRPr="00E90ABD">
        <w:rPr>
          <w:sz w:val="20"/>
          <w:szCs w:val="20"/>
        </w:rPr>
        <w:t xml:space="preserve">Orthopedic Surgery </w:t>
      </w:r>
      <w:r w:rsidR="00A93DB5" w:rsidRPr="00E90ABD">
        <w:rPr>
          <w:sz w:val="20"/>
          <w:szCs w:val="20"/>
        </w:rPr>
        <w:t xml:space="preserve">Department, Faculty of Medicine, </w:t>
      </w:r>
      <w:r w:rsidRPr="00E90ABD">
        <w:rPr>
          <w:sz w:val="20"/>
          <w:szCs w:val="20"/>
        </w:rPr>
        <w:t>Al Azhar University</w:t>
      </w:r>
      <w:r w:rsidR="0001245B" w:rsidRPr="00E90ABD">
        <w:rPr>
          <w:sz w:val="20"/>
          <w:szCs w:val="20"/>
        </w:rPr>
        <w:t>, Cairo, Egypt</w:t>
      </w:r>
    </w:p>
    <w:p w:rsidR="0065081C" w:rsidRPr="00E90ABD" w:rsidRDefault="00A93DB5" w:rsidP="00F06E05">
      <w:pPr>
        <w:autoSpaceDE w:val="0"/>
        <w:autoSpaceDN w:val="0"/>
        <w:adjustRightInd w:val="0"/>
        <w:snapToGrid w:val="0"/>
        <w:jc w:val="center"/>
        <w:rPr>
          <w:sz w:val="20"/>
          <w:szCs w:val="20"/>
        </w:rPr>
      </w:pPr>
      <w:r w:rsidRPr="00E90ABD">
        <w:rPr>
          <w:sz w:val="20"/>
          <w:szCs w:val="20"/>
        </w:rPr>
        <w:t>E-mail:</w:t>
      </w:r>
      <w:r w:rsidR="00CE5CB1" w:rsidRPr="00E90ABD">
        <w:rPr>
          <w:b/>
          <w:bCs/>
          <w:sz w:val="20"/>
          <w:szCs w:val="20"/>
        </w:rPr>
        <w:t xml:space="preserve"> </w:t>
      </w:r>
      <w:hyperlink r:id="rId7" w:history="1">
        <w:r w:rsidR="0001245B" w:rsidRPr="00E90ABD">
          <w:rPr>
            <w:rStyle w:val="Hyperlink"/>
            <w:sz w:val="20"/>
            <w:szCs w:val="20"/>
            <w:u w:val="none"/>
          </w:rPr>
          <w:t>drahmad570@gmail.com</w:t>
        </w:r>
      </w:hyperlink>
      <w:r w:rsidR="0001245B" w:rsidRPr="00E90ABD">
        <w:rPr>
          <w:sz w:val="20"/>
          <w:szCs w:val="20"/>
        </w:rPr>
        <w:t xml:space="preserve"> </w:t>
      </w:r>
    </w:p>
    <w:p w:rsidR="0065081C" w:rsidRPr="00E90ABD" w:rsidRDefault="0065081C" w:rsidP="00F06E05">
      <w:pPr>
        <w:autoSpaceDE w:val="0"/>
        <w:autoSpaceDN w:val="0"/>
        <w:adjustRightInd w:val="0"/>
        <w:snapToGrid w:val="0"/>
        <w:jc w:val="center"/>
        <w:rPr>
          <w:sz w:val="20"/>
          <w:szCs w:val="20"/>
        </w:rPr>
      </w:pPr>
    </w:p>
    <w:p w:rsidR="00071A10" w:rsidRPr="00E90ABD" w:rsidRDefault="0001245B" w:rsidP="00F06E05">
      <w:pPr>
        <w:snapToGrid w:val="0"/>
        <w:jc w:val="both"/>
        <w:rPr>
          <w:sz w:val="20"/>
          <w:szCs w:val="20"/>
        </w:rPr>
      </w:pPr>
      <w:r w:rsidRPr="00E90ABD">
        <w:rPr>
          <w:b/>
          <w:bCs/>
          <w:sz w:val="20"/>
          <w:szCs w:val="20"/>
        </w:rPr>
        <w:t xml:space="preserve">Abstract: </w:t>
      </w:r>
      <w:r w:rsidR="00DE2A34" w:rsidRPr="00E90ABD">
        <w:rPr>
          <w:b/>
          <w:bCs/>
          <w:sz w:val="20"/>
          <w:szCs w:val="20"/>
        </w:rPr>
        <w:t>Background</w:t>
      </w:r>
      <w:r w:rsidR="008F3FE0" w:rsidRPr="00E90ABD">
        <w:rPr>
          <w:b/>
          <w:bCs/>
          <w:sz w:val="20"/>
          <w:szCs w:val="20"/>
        </w:rPr>
        <w:t xml:space="preserve">: </w:t>
      </w:r>
      <w:r w:rsidR="00CE5CB1" w:rsidRPr="00E90ABD">
        <w:rPr>
          <w:sz w:val="20"/>
          <w:szCs w:val="20"/>
        </w:rPr>
        <w:t>Supracondylar fractures of the humerus are the most common fracture of the elbow in children. The majority of these fractures (96–98 %) are extension-type fractures.</w:t>
      </w:r>
      <w:r w:rsidRPr="00E90ABD">
        <w:rPr>
          <w:b/>
          <w:bCs/>
          <w:sz w:val="20"/>
          <w:szCs w:val="20"/>
        </w:rPr>
        <w:t xml:space="preserve"> </w:t>
      </w:r>
      <w:r w:rsidR="0004133B" w:rsidRPr="00E90ABD">
        <w:rPr>
          <w:b/>
          <w:bCs/>
          <w:sz w:val="20"/>
          <w:szCs w:val="20"/>
        </w:rPr>
        <w:t>Aim of the Work</w:t>
      </w:r>
      <w:r w:rsidR="008F3FE0" w:rsidRPr="00E90ABD">
        <w:rPr>
          <w:b/>
          <w:bCs/>
          <w:sz w:val="20"/>
          <w:szCs w:val="20"/>
        </w:rPr>
        <w:t>:</w:t>
      </w:r>
      <w:r w:rsidR="008F3FE0" w:rsidRPr="00E90ABD">
        <w:rPr>
          <w:sz w:val="20"/>
          <w:szCs w:val="20"/>
        </w:rPr>
        <w:t xml:space="preserve"> </w:t>
      </w:r>
      <w:r w:rsidR="00CE5CB1" w:rsidRPr="00E90ABD">
        <w:rPr>
          <w:sz w:val="20"/>
          <w:szCs w:val="20"/>
        </w:rPr>
        <w:t>The study was targeting at the evaluation of radiographic and functional outcome after closed reduction and lateral percutaneous pinning fixation for fractures of the supra condylar humerus by three k-wires in children.</w:t>
      </w:r>
      <w:bookmarkStart w:id="1" w:name="_Toc508467354"/>
      <w:r w:rsidRPr="00E90ABD">
        <w:rPr>
          <w:b/>
          <w:bCs/>
          <w:sz w:val="20"/>
          <w:szCs w:val="20"/>
        </w:rPr>
        <w:t xml:space="preserve"> </w:t>
      </w:r>
      <w:r w:rsidR="00A1662E" w:rsidRPr="00E90ABD">
        <w:rPr>
          <w:b/>
          <w:bCs/>
          <w:sz w:val="20"/>
          <w:szCs w:val="20"/>
        </w:rPr>
        <w:t>Patients and Methods</w:t>
      </w:r>
      <w:bookmarkEnd w:id="1"/>
      <w:r w:rsidR="008F3FE0" w:rsidRPr="00E90ABD">
        <w:rPr>
          <w:b/>
          <w:bCs/>
          <w:sz w:val="20"/>
          <w:szCs w:val="20"/>
        </w:rPr>
        <w:t>:</w:t>
      </w:r>
      <w:r w:rsidR="00DB5102" w:rsidRPr="00E90ABD">
        <w:rPr>
          <w:b/>
          <w:bCs/>
          <w:sz w:val="20"/>
          <w:szCs w:val="20"/>
        </w:rPr>
        <w:t xml:space="preserve"> </w:t>
      </w:r>
      <w:r w:rsidR="00CE5CB1" w:rsidRPr="00E90ABD">
        <w:rPr>
          <w:sz w:val="20"/>
          <w:szCs w:val="20"/>
        </w:rPr>
        <w:t>This prospective randomized-controlled trial included 20 children with Gartland type III supracondylar humeral fractures. They were all treated by closed reduction and lateral percutaneous pinning in Mabret Misr El-Kadema orthopedic department from March 2018 to October 2018.</w:t>
      </w:r>
      <w:r w:rsidRPr="00E90ABD">
        <w:rPr>
          <w:b/>
          <w:bCs/>
          <w:sz w:val="20"/>
          <w:szCs w:val="20"/>
        </w:rPr>
        <w:t xml:space="preserve"> </w:t>
      </w:r>
      <w:r w:rsidR="00071A10" w:rsidRPr="00E90ABD">
        <w:rPr>
          <w:b/>
          <w:bCs/>
          <w:sz w:val="20"/>
          <w:szCs w:val="20"/>
        </w:rPr>
        <w:t>Results:</w:t>
      </w:r>
      <w:r w:rsidR="00071A10" w:rsidRPr="00E90ABD">
        <w:rPr>
          <w:sz w:val="20"/>
          <w:szCs w:val="20"/>
        </w:rPr>
        <w:t xml:space="preserve"> </w:t>
      </w:r>
      <w:r w:rsidR="0047206C" w:rsidRPr="00E90ABD">
        <w:rPr>
          <w:sz w:val="20"/>
          <w:szCs w:val="20"/>
        </w:rPr>
        <w:t>In our prospective randomized controlled study, lateral fixation of supracondylar fracture of humerus type three by three k-wires is effective in obtaining stability with good alignment and range of motion at all cases in our study.</w:t>
      </w:r>
      <w:r w:rsidRPr="00E90ABD">
        <w:rPr>
          <w:b/>
          <w:bCs/>
          <w:sz w:val="20"/>
          <w:szCs w:val="20"/>
        </w:rPr>
        <w:t xml:space="preserve"> </w:t>
      </w:r>
      <w:r w:rsidR="00071A10" w:rsidRPr="00E90ABD">
        <w:rPr>
          <w:b/>
          <w:bCs/>
          <w:sz w:val="20"/>
          <w:szCs w:val="20"/>
        </w:rPr>
        <w:t xml:space="preserve">Conclusion: </w:t>
      </w:r>
      <w:r w:rsidR="0047206C" w:rsidRPr="00E90ABD">
        <w:rPr>
          <w:sz w:val="20"/>
          <w:szCs w:val="20"/>
        </w:rPr>
        <w:t>Lateral fixation of supracondylar fracture of humerus type three by three k-wires can avoid ulnar nerve injury and obtain the fracture stability.</w:t>
      </w:r>
    </w:p>
    <w:p w:rsidR="00F06E05" w:rsidRPr="00E90ABD" w:rsidRDefault="0001245B" w:rsidP="00F06E05">
      <w:pPr>
        <w:snapToGrid w:val="0"/>
        <w:jc w:val="both"/>
        <w:rPr>
          <w:sz w:val="20"/>
          <w:szCs w:val="20"/>
        </w:rPr>
      </w:pPr>
      <w:r w:rsidRPr="00E90ABD">
        <w:rPr>
          <w:sz w:val="20"/>
          <w:szCs w:val="20"/>
        </w:rPr>
        <w:t>[Omar Abd-Elrahman Ahmed, Hassan Fathy El-Behairy and Ahmed Mohamed Ahmed Abd-Elkader</w:t>
      </w:r>
      <w:r w:rsidR="00F06E05" w:rsidRPr="00E90ABD">
        <w:rPr>
          <w:sz w:val="20"/>
          <w:szCs w:val="20"/>
        </w:rPr>
        <w:t>.</w:t>
      </w:r>
      <w:r w:rsidR="00F06E05" w:rsidRPr="00E90ABD">
        <w:rPr>
          <w:rFonts w:eastAsiaTheme="minorEastAsia" w:hint="eastAsia"/>
          <w:b/>
          <w:bCs/>
          <w:sz w:val="20"/>
          <w:szCs w:val="20"/>
          <w:lang w:bidi="fa-IR"/>
        </w:rPr>
        <w:t xml:space="preserve"> </w:t>
      </w:r>
      <w:r w:rsidR="00F06E05" w:rsidRPr="00E90ABD">
        <w:rPr>
          <w:b/>
          <w:bCs/>
          <w:sz w:val="20"/>
          <w:szCs w:val="20"/>
        </w:rPr>
        <w:t>Percutaneous Lateral Pinning of Type Three Supracondylar Humeral Fracture in Children</w:t>
      </w:r>
      <w:r w:rsidR="00F06E05" w:rsidRPr="00E90ABD">
        <w:rPr>
          <w:rFonts w:eastAsia="Times New Roman"/>
          <w:b/>
          <w:bCs/>
          <w:sz w:val="20"/>
          <w:szCs w:val="20"/>
          <w:lang w:bidi="fa-IR"/>
        </w:rPr>
        <w:t>.</w:t>
      </w:r>
      <w:r w:rsidR="00F06E05" w:rsidRPr="00E90ABD">
        <w:rPr>
          <w:bCs/>
          <w:i/>
          <w:sz w:val="20"/>
          <w:szCs w:val="20"/>
        </w:rPr>
        <w:t xml:space="preserve"> N Y Sci J</w:t>
      </w:r>
      <w:r w:rsidR="00F06E05" w:rsidRPr="00E90ABD">
        <w:rPr>
          <w:bCs/>
          <w:sz w:val="20"/>
          <w:szCs w:val="20"/>
        </w:rPr>
        <w:t xml:space="preserve"> </w:t>
      </w:r>
      <w:r w:rsidR="00F06E05" w:rsidRPr="00E90ABD">
        <w:rPr>
          <w:sz w:val="20"/>
          <w:szCs w:val="20"/>
        </w:rPr>
        <w:t>201</w:t>
      </w:r>
      <w:r w:rsidR="00F06E05" w:rsidRPr="00E90ABD">
        <w:rPr>
          <w:rFonts w:hint="eastAsia"/>
          <w:sz w:val="20"/>
          <w:szCs w:val="20"/>
        </w:rPr>
        <w:t>9</w:t>
      </w:r>
      <w:r w:rsidR="00F06E05" w:rsidRPr="00E90ABD">
        <w:rPr>
          <w:sz w:val="20"/>
          <w:szCs w:val="20"/>
        </w:rPr>
        <w:t>;</w:t>
      </w:r>
      <w:r w:rsidR="00F06E05" w:rsidRPr="00E90ABD">
        <w:rPr>
          <w:rFonts w:hint="eastAsia"/>
          <w:sz w:val="20"/>
          <w:szCs w:val="20"/>
        </w:rPr>
        <w:t>12</w:t>
      </w:r>
      <w:r w:rsidR="00F06E05" w:rsidRPr="00E90ABD">
        <w:rPr>
          <w:sz w:val="20"/>
          <w:szCs w:val="20"/>
        </w:rPr>
        <w:t>(</w:t>
      </w:r>
      <w:r w:rsidR="00F06E05" w:rsidRPr="00E90ABD">
        <w:rPr>
          <w:rFonts w:hint="eastAsia"/>
          <w:sz w:val="20"/>
          <w:szCs w:val="20"/>
        </w:rPr>
        <w:t>7</w:t>
      </w:r>
      <w:r w:rsidR="00F06E05" w:rsidRPr="00E90ABD">
        <w:rPr>
          <w:sz w:val="20"/>
          <w:szCs w:val="20"/>
        </w:rPr>
        <w:t>):</w:t>
      </w:r>
      <w:r w:rsidR="000D57F4" w:rsidRPr="00E90ABD">
        <w:rPr>
          <w:noProof/>
          <w:color w:val="000000"/>
          <w:sz w:val="20"/>
          <w:szCs w:val="20"/>
        </w:rPr>
        <w:t>78-8</w:t>
      </w:r>
      <w:r w:rsidR="003F4398">
        <w:rPr>
          <w:rFonts w:hint="eastAsia"/>
          <w:noProof/>
          <w:color w:val="000000"/>
          <w:sz w:val="20"/>
          <w:szCs w:val="20"/>
          <w:lang w:eastAsia="zh-CN"/>
        </w:rPr>
        <w:t>5</w:t>
      </w:r>
      <w:r w:rsidR="00F06E05" w:rsidRPr="00E90ABD">
        <w:rPr>
          <w:sz w:val="20"/>
          <w:szCs w:val="20"/>
        </w:rPr>
        <w:t xml:space="preserve">]. </w:t>
      </w:r>
      <w:r w:rsidR="00F06E05" w:rsidRPr="00E90ABD">
        <w:rPr>
          <w:iCs/>
          <w:color w:val="000000"/>
          <w:sz w:val="20"/>
          <w:szCs w:val="20"/>
        </w:rPr>
        <w:t>ISSN 1554-0200 (print); ISSN 2375-723X (online)</w:t>
      </w:r>
      <w:r w:rsidR="00F06E05" w:rsidRPr="00E90ABD">
        <w:rPr>
          <w:sz w:val="20"/>
          <w:szCs w:val="20"/>
        </w:rPr>
        <w:t xml:space="preserve">. </w:t>
      </w:r>
      <w:hyperlink r:id="rId8" w:history="1">
        <w:r w:rsidR="00F06E05" w:rsidRPr="00E90ABD">
          <w:rPr>
            <w:rStyle w:val="Hyperlink"/>
            <w:sz w:val="20"/>
            <w:szCs w:val="20"/>
          </w:rPr>
          <w:t>http://www.sciencepub.net/newyork</w:t>
        </w:r>
      </w:hyperlink>
      <w:r w:rsidR="00F06E05" w:rsidRPr="00E90ABD">
        <w:rPr>
          <w:sz w:val="20"/>
          <w:szCs w:val="20"/>
        </w:rPr>
        <w:t xml:space="preserve">. </w:t>
      </w:r>
      <w:r w:rsidR="00F06E05" w:rsidRPr="00E90ABD">
        <w:rPr>
          <w:rFonts w:hint="eastAsia"/>
          <w:sz w:val="20"/>
          <w:szCs w:val="20"/>
          <w:lang w:eastAsia="zh-CN"/>
        </w:rPr>
        <w:t>11</w:t>
      </w:r>
      <w:r w:rsidR="00F06E05" w:rsidRPr="00E90ABD">
        <w:rPr>
          <w:rFonts w:hint="eastAsia"/>
          <w:sz w:val="20"/>
          <w:szCs w:val="20"/>
        </w:rPr>
        <w:t xml:space="preserve">. </w:t>
      </w:r>
      <w:r w:rsidR="00F06E05" w:rsidRPr="00E90ABD">
        <w:rPr>
          <w:color w:val="000000"/>
          <w:sz w:val="20"/>
          <w:szCs w:val="20"/>
          <w:shd w:val="clear" w:color="auto" w:fill="FFFFFF"/>
        </w:rPr>
        <w:t>doi:</w:t>
      </w:r>
      <w:hyperlink r:id="rId9" w:history="1">
        <w:r w:rsidR="00F06E05" w:rsidRPr="00E90ABD">
          <w:rPr>
            <w:rStyle w:val="Hyperlink"/>
            <w:sz w:val="20"/>
            <w:szCs w:val="20"/>
            <w:shd w:val="clear" w:color="auto" w:fill="FFFFFF"/>
          </w:rPr>
          <w:t>10.7537/mars</w:t>
        </w:r>
        <w:r w:rsidR="00F06E05" w:rsidRPr="00E90ABD">
          <w:rPr>
            <w:rStyle w:val="Hyperlink"/>
            <w:rFonts w:hint="eastAsia"/>
            <w:sz w:val="20"/>
            <w:szCs w:val="20"/>
            <w:shd w:val="clear" w:color="auto" w:fill="FFFFFF"/>
          </w:rPr>
          <w:t>nys120719.</w:t>
        </w:r>
        <w:r w:rsidR="00F06E05" w:rsidRPr="00E90ABD">
          <w:rPr>
            <w:rStyle w:val="Hyperlink"/>
            <w:rFonts w:hint="eastAsia"/>
            <w:sz w:val="20"/>
            <w:szCs w:val="20"/>
            <w:shd w:val="clear" w:color="auto" w:fill="FFFFFF"/>
            <w:lang w:eastAsia="zh-CN"/>
          </w:rPr>
          <w:t>11</w:t>
        </w:r>
      </w:hyperlink>
      <w:r w:rsidR="00F06E05" w:rsidRPr="00E90ABD">
        <w:rPr>
          <w:color w:val="000000"/>
          <w:sz w:val="20"/>
          <w:szCs w:val="20"/>
          <w:shd w:val="clear" w:color="auto" w:fill="FFFFFF"/>
        </w:rPr>
        <w:t>.</w:t>
      </w:r>
    </w:p>
    <w:p w:rsidR="00666A01" w:rsidRPr="00E90ABD" w:rsidRDefault="00666A01" w:rsidP="00F06E05">
      <w:pPr>
        <w:snapToGrid w:val="0"/>
        <w:jc w:val="both"/>
        <w:rPr>
          <w:b/>
          <w:bCs/>
          <w:sz w:val="20"/>
          <w:szCs w:val="20"/>
        </w:rPr>
      </w:pPr>
    </w:p>
    <w:p w:rsidR="007B3237" w:rsidRPr="00E90ABD" w:rsidRDefault="008F3FE0" w:rsidP="00F06E05">
      <w:pPr>
        <w:snapToGrid w:val="0"/>
        <w:jc w:val="both"/>
        <w:rPr>
          <w:sz w:val="20"/>
          <w:szCs w:val="20"/>
        </w:rPr>
      </w:pPr>
      <w:r w:rsidRPr="00E90ABD">
        <w:rPr>
          <w:b/>
          <w:bCs/>
          <w:sz w:val="20"/>
          <w:szCs w:val="20"/>
        </w:rPr>
        <w:t xml:space="preserve">Keywords: </w:t>
      </w:r>
      <w:r w:rsidR="0047206C" w:rsidRPr="00E90ABD">
        <w:rPr>
          <w:sz w:val="20"/>
          <w:szCs w:val="20"/>
        </w:rPr>
        <w:t>Percutaneous Lateral Pinning - Type Three Supracondylar Humeral Fracture</w:t>
      </w:r>
    </w:p>
    <w:p w:rsidR="0001245B" w:rsidRDefault="0001245B" w:rsidP="00F06E05">
      <w:pPr>
        <w:snapToGrid w:val="0"/>
        <w:jc w:val="both"/>
        <w:rPr>
          <w:rFonts w:hint="eastAsia"/>
          <w:b/>
          <w:bCs/>
          <w:sz w:val="20"/>
          <w:szCs w:val="20"/>
          <w:lang w:eastAsia="zh-CN"/>
        </w:rPr>
      </w:pPr>
    </w:p>
    <w:p w:rsidR="00E90ABD" w:rsidRPr="00E90ABD" w:rsidRDefault="00E90ABD" w:rsidP="00F06E05">
      <w:pPr>
        <w:snapToGrid w:val="0"/>
        <w:jc w:val="both"/>
        <w:rPr>
          <w:rFonts w:hint="eastAsia"/>
          <w:b/>
          <w:bCs/>
          <w:sz w:val="20"/>
          <w:szCs w:val="20"/>
          <w:lang w:eastAsia="zh-CN"/>
        </w:rPr>
      </w:pPr>
    </w:p>
    <w:p w:rsidR="00F06E05" w:rsidRPr="00E90ABD" w:rsidRDefault="00F06E05" w:rsidP="00F06E05">
      <w:pPr>
        <w:snapToGrid w:val="0"/>
        <w:jc w:val="both"/>
        <w:rPr>
          <w:b/>
          <w:bCs/>
          <w:sz w:val="20"/>
          <w:szCs w:val="20"/>
        </w:rPr>
        <w:sectPr w:rsidR="00F06E05" w:rsidRPr="00E90ABD" w:rsidSect="000D57F4">
          <w:headerReference w:type="default" r:id="rId10"/>
          <w:footerReference w:type="even" r:id="rId11"/>
          <w:footerReference w:type="default" r:id="rId12"/>
          <w:type w:val="continuous"/>
          <w:pgSz w:w="12240" w:h="15840" w:code="9"/>
          <w:pgMar w:top="1440" w:right="1440" w:bottom="1440" w:left="1440" w:header="720" w:footer="720" w:gutter="0"/>
          <w:pgNumType w:start="78"/>
          <w:cols w:space="720"/>
          <w:docGrid w:linePitch="360"/>
        </w:sectPr>
      </w:pPr>
    </w:p>
    <w:p w:rsidR="007B3237" w:rsidRPr="00E90ABD" w:rsidRDefault="0001245B" w:rsidP="00F06E05">
      <w:pPr>
        <w:snapToGrid w:val="0"/>
        <w:jc w:val="both"/>
        <w:rPr>
          <w:b/>
          <w:bCs/>
          <w:sz w:val="20"/>
          <w:szCs w:val="20"/>
        </w:rPr>
      </w:pPr>
      <w:r w:rsidRPr="00E90ABD">
        <w:rPr>
          <w:b/>
          <w:bCs/>
          <w:sz w:val="20"/>
          <w:szCs w:val="20"/>
        </w:rPr>
        <w:lastRenderedPageBreak/>
        <w:t>1. Introduction</w:t>
      </w:r>
    </w:p>
    <w:p w:rsidR="00CE5CB1" w:rsidRPr="00E90ABD" w:rsidRDefault="00CE5CB1" w:rsidP="00F06E05">
      <w:pPr>
        <w:snapToGrid w:val="0"/>
        <w:ind w:firstLine="425"/>
        <w:jc w:val="both"/>
        <w:rPr>
          <w:sz w:val="20"/>
          <w:szCs w:val="20"/>
        </w:rPr>
      </w:pPr>
      <w:r w:rsidRPr="00E90ABD">
        <w:rPr>
          <w:sz w:val="20"/>
          <w:szCs w:val="20"/>
        </w:rPr>
        <w:t xml:space="preserve">Supracondylar fractures of the humerus are the most common fracture of the elbow in children. The majority of these fractures (96–98 %) are extension-type fractures </w:t>
      </w:r>
      <w:r w:rsidRPr="00E90ABD">
        <w:rPr>
          <w:sz w:val="20"/>
          <w:szCs w:val="20"/>
          <w:vertAlign w:val="superscript"/>
        </w:rPr>
        <w:t>(1–4)</w:t>
      </w:r>
      <w:r w:rsidRPr="00E90ABD">
        <w:rPr>
          <w:sz w:val="20"/>
          <w:szCs w:val="20"/>
        </w:rPr>
        <w:t xml:space="preserve">. Gartland originally described a classification for extension-type supracondylar humerus fractures, dividing them into three types: type I is non-displaced, type II is displaced with an intact posterior cortex, and type III is displaced without cortical contact </w:t>
      </w:r>
      <w:r w:rsidRPr="00E90ABD">
        <w:rPr>
          <w:sz w:val="20"/>
          <w:szCs w:val="20"/>
          <w:vertAlign w:val="superscript"/>
        </w:rPr>
        <w:t>(2, 5)</w:t>
      </w:r>
      <w:r w:rsidRPr="00E90ABD">
        <w:rPr>
          <w:sz w:val="20"/>
          <w:szCs w:val="20"/>
        </w:rPr>
        <w:t xml:space="preserve">. The current preferred treatment for Gartland type III fractures consists of attempted closed reduction and percutaneous pinning </w:t>
      </w:r>
      <w:r w:rsidRPr="00E90ABD">
        <w:rPr>
          <w:sz w:val="20"/>
          <w:szCs w:val="20"/>
          <w:vertAlign w:val="superscript"/>
        </w:rPr>
        <w:t>(3, 6–8)</w:t>
      </w:r>
      <w:r w:rsidRPr="00E90ABD">
        <w:rPr>
          <w:sz w:val="20"/>
          <w:szCs w:val="20"/>
        </w:rPr>
        <w:t>.</w:t>
      </w:r>
    </w:p>
    <w:p w:rsidR="00CE5CB1" w:rsidRPr="00E90ABD" w:rsidRDefault="00CE5CB1" w:rsidP="00F06E05">
      <w:pPr>
        <w:snapToGrid w:val="0"/>
        <w:ind w:firstLine="425"/>
        <w:jc w:val="both"/>
        <w:rPr>
          <w:sz w:val="20"/>
          <w:szCs w:val="20"/>
        </w:rPr>
      </w:pPr>
      <w:r w:rsidRPr="00E90ABD">
        <w:rPr>
          <w:sz w:val="20"/>
          <w:szCs w:val="20"/>
        </w:rPr>
        <w:t xml:space="preserve">The focus of many recent research studies on the treatment of these fractures has been pin configuration. Biomechanical testing has demonstrated a theoretical advantage of both medial and lateral cross pinning; however, these initial findings have not translated into clinical results </w:t>
      </w:r>
      <w:r w:rsidRPr="00E90ABD">
        <w:rPr>
          <w:sz w:val="20"/>
          <w:szCs w:val="20"/>
          <w:vertAlign w:val="superscript"/>
        </w:rPr>
        <w:t>(9–11)</w:t>
      </w:r>
      <w:r w:rsidRPr="00E90ABD">
        <w:rPr>
          <w:sz w:val="20"/>
          <w:szCs w:val="20"/>
        </w:rPr>
        <w:t xml:space="preserve">. The concern for iatrogenic ulnar nerve injury during the placement of a medial pin discourages this configuration. Slobogean et al. pointed out that there is a greater risk of iatrogenic ulnar nerve injury with crossed pinning versus lateral pinning in children with supracondylar fracture </w:t>
      </w:r>
      <w:r w:rsidRPr="00E90ABD">
        <w:rPr>
          <w:sz w:val="20"/>
          <w:szCs w:val="20"/>
          <w:vertAlign w:val="superscript"/>
        </w:rPr>
        <w:t>(12)</w:t>
      </w:r>
      <w:r w:rsidRPr="00E90ABD">
        <w:rPr>
          <w:sz w:val="20"/>
          <w:szCs w:val="20"/>
        </w:rPr>
        <w:t>.</w:t>
      </w:r>
    </w:p>
    <w:p w:rsidR="0065081C" w:rsidRPr="00E90ABD" w:rsidRDefault="00CE5CB1" w:rsidP="00F06E05">
      <w:pPr>
        <w:snapToGrid w:val="0"/>
        <w:ind w:firstLine="425"/>
        <w:jc w:val="both"/>
        <w:rPr>
          <w:sz w:val="20"/>
          <w:szCs w:val="20"/>
        </w:rPr>
      </w:pPr>
      <w:r w:rsidRPr="00E90ABD">
        <w:rPr>
          <w:sz w:val="20"/>
          <w:szCs w:val="20"/>
        </w:rPr>
        <w:t xml:space="preserve">Until the late 1990s, it was believed that displaced pediatric supracondylar humerus fractures required emergent surgical intervention or skeletal traction. The theoretical advantage proposed that this would lead to a decrease in perioperative complications, including iatrogenic nerve injury, </w:t>
      </w:r>
      <w:r w:rsidRPr="00E90ABD">
        <w:rPr>
          <w:sz w:val="20"/>
          <w:szCs w:val="20"/>
        </w:rPr>
        <w:lastRenderedPageBreak/>
        <w:t xml:space="preserve">compartment syndrome, and conversion to an open reduction </w:t>
      </w:r>
      <w:r w:rsidRPr="00E90ABD">
        <w:rPr>
          <w:sz w:val="20"/>
          <w:szCs w:val="20"/>
          <w:vertAlign w:val="superscript"/>
        </w:rPr>
        <w:t>(6, 8, 13, 14)</w:t>
      </w:r>
      <w:r w:rsidRPr="00E90ABD">
        <w:rPr>
          <w:sz w:val="20"/>
          <w:szCs w:val="20"/>
        </w:rPr>
        <w:t xml:space="preserve">. In recent years, many adult trauma hospitals have decreased night-time on-call orthopedic surgery without affecting patient outcomes by allowing dedicated trauma operative time during the day </w:t>
      </w:r>
      <w:r w:rsidRPr="00E90ABD">
        <w:rPr>
          <w:sz w:val="20"/>
          <w:szCs w:val="20"/>
          <w:vertAlign w:val="superscript"/>
        </w:rPr>
        <w:t>(15, 16)</w:t>
      </w:r>
      <w:r w:rsidRPr="00E90ABD">
        <w:rPr>
          <w:sz w:val="20"/>
          <w:szCs w:val="20"/>
        </w:rPr>
        <w:t xml:space="preserve">. </w:t>
      </w:r>
    </w:p>
    <w:p w:rsidR="00CE5CB1" w:rsidRPr="00E90ABD" w:rsidRDefault="0065081C" w:rsidP="00F06E05">
      <w:pPr>
        <w:snapToGrid w:val="0"/>
        <w:ind w:firstLine="425"/>
        <w:jc w:val="both"/>
        <w:rPr>
          <w:sz w:val="20"/>
          <w:szCs w:val="20"/>
        </w:rPr>
      </w:pPr>
      <w:r w:rsidRPr="00E90ABD">
        <w:rPr>
          <w:sz w:val="20"/>
          <w:szCs w:val="20"/>
        </w:rPr>
        <w:t>I</w:t>
      </w:r>
      <w:r w:rsidR="00CE5CB1" w:rsidRPr="00E90ABD">
        <w:rPr>
          <w:sz w:val="20"/>
          <w:szCs w:val="20"/>
        </w:rPr>
        <w:t xml:space="preserve">n </w:t>
      </w:r>
      <w:r w:rsidR="00CE5CB1" w:rsidRPr="00E90ABD">
        <w:rPr>
          <w:b/>
          <w:bCs/>
          <w:sz w:val="20"/>
          <w:szCs w:val="20"/>
        </w:rPr>
        <w:t>1999, Iyengar et al.</w:t>
      </w:r>
      <w:r w:rsidR="00CE5CB1" w:rsidRPr="00E90ABD">
        <w:rPr>
          <w:sz w:val="20"/>
          <w:szCs w:val="20"/>
        </w:rPr>
        <w:t xml:space="preserve"> published a retrospective review comparing early versus delayed (greater than 8 h following fracture) treatment of 58 patients with type III fractures and showed no difference in terms of clinical results or perioperative complications, including conversion to open reduction </w:t>
      </w:r>
      <w:r w:rsidR="00CE5CB1" w:rsidRPr="00E90ABD">
        <w:rPr>
          <w:sz w:val="20"/>
          <w:szCs w:val="20"/>
          <w:vertAlign w:val="superscript"/>
        </w:rPr>
        <w:t>(8)</w:t>
      </w:r>
      <w:r w:rsidR="00CE5CB1" w:rsidRPr="00E90ABD">
        <w:rPr>
          <w:sz w:val="20"/>
          <w:szCs w:val="20"/>
        </w:rPr>
        <w:t xml:space="preserve">. Multiple studies followed showing similar results </w:t>
      </w:r>
      <w:r w:rsidR="00CE5CB1" w:rsidRPr="00E90ABD">
        <w:rPr>
          <w:sz w:val="20"/>
          <w:szCs w:val="20"/>
          <w:vertAlign w:val="superscript"/>
        </w:rPr>
        <w:t>(6, 14, 17)</w:t>
      </w:r>
      <w:r w:rsidR="00CE5CB1" w:rsidRPr="00E90ABD">
        <w:rPr>
          <w:sz w:val="20"/>
          <w:szCs w:val="20"/>
        </w:rPr>
        <w:t xml:space="preserve">. Conversely, studies by </w:t>
      </w:r>
      <w:r w:rsidR="00CE5CB1" w:rsidRPr="00E90ABD">
        <w:rPr>
          <w:b/>
          <w:bCs/>
          <w:sz w:val="20"/>
          <w:szCs w:val="20"/>
        </w:rPr>
        <w:t>Walmsley et al. and Yildirim et al.</w:t>
      </w:r>
      <w:r w:rsidR="00CE5CB1" w:rsidRPr="00E90ABD">
        <w:rPr>
          <w:sz w:val="20"/>
          <w:szCs w:val="20"/>
        </w:rPr>
        <w:t xml:space="preserve"> showed that delayed intervention resulted in an increase in open reduction but no other perioperative complications </w:t>
      </w:r>
      <w:r w:rsidR="00CE5CB1" w:rsidRPr="00E90ABD">
        <w:rPr>
          <w:sz w:val="20"/>
          <w:szCs w:val="20"/>
          <w:vertAlign w:val="superscript"/>
        </w:rPr>
        <w:t>(7, 13)</w:t>
      </w:r>
      <w:r w:rsidR="00CE5CB1" w:rsidRPr="00E90ABD">
        <w:rPr>
          <w:sz w:val="20"/>
          <w:szCs w:val="20"/>
        </w:rPr>
        <w:t>. With regards to operative delay leading to open reduction, there is literature supporting both arguments, resulting in a lack of conclusive agreement.</w:t>
      </w:r>
    </w:p>
    <w:p w:rsidR="002F603A" w:rsidRPr="00E90ABD" w:rsidRDefault="00CE5CB1" w:rsidP="00F06E05">
      <w:pPr>
        <w:snapToGrid w:val="0"/>
        <w:ind w:firstLine="425"/>
        <w:jc w:val="both"/>
        <w:rPr>
          <w:sz w:val="20"/>
          <w:szCs w:val="20"/>
        </w:rPr>
      </w:pPr>
      <w:r w:rsidRPr="00E90ABD">
        <w:rPr>
          <w:sz w:val="20"/>
          <w:szCs w:val="20"/>
        </w:rPr>
        <w:t>Supracondylar fractures represent 55% to 75% of all elbow fractures. Male to female ratio is 3:2. Most occur in patients 5 to 8 years of ag</w:t>
      </w:r>
      <w:r w:rsidR="0065081C" w:rsidRPr="00E90ABD">
        <w:rPr>
          <w:sz w:val="20"/>
          <w:szCs w:val="20"/>
        </w:rPr>
        <w:t xml:space="preserve">e </w:t>
      </w:r>
      <w:r w:rsidR="0065081C" w:rsidRPr="00E90ABD">
        <w:rPr>
          <w:sz w:val="20"/>
          <w:szCs w:val="20"/>
          <w:vertAlign w:val="superscript"/>
        </w:rPr>
        <w:t>(</w:t>
      </w:r>
      <w:r w:rsidRPr="00E90ABD">
        <w:rPr>
          <w:sz w:val="20"/>
          <w:szCs w:val="20"/>
          <w:vertAlign w:val="superscript"/>
        </w:rPr>
        <w:t>18)</w:t>
      </w:r>
      <w:r w:rsidRPr="00E90ABD">
        <w:rPr>
          <w:sz w:val="20"/>
          <w:szCs w:val="20"/>
        </w:rPr>
        <w:t>.</w:t>
      </w:r>
    </w:p>
    <w:p w:rsidR="0004133B" w:rsidRPr="00E90ABD" w:rsidRDefault="0001245B" w:rsidP="00F06E05">
      <w:pPr>
        <w:snapToGrid w:val="0"/>
        <w:jc w:val="both"/>
        <w:rPr>
          <w:b/>
          <w:bCs/>
          <w:sz w:val="20"/>
          <w:szCs w:val="20"/>
        </w:rPr>
      </w:pPr>
      <w:r w:rsidRPr="00E90ABD">
        <w:rPr>
          <w:b/>
          <w:bCs/>
          <w:sz w:val="20"/>
          <w:szCs w:val="20"/>
        </w:rPr>
        <w:t>Aim of the work</w:t>
      </w:r>
    </w:p>
    <w:p w:rsidR="002F603A" w:rsidRPr="00E90ABD" w:rsidRDefault="00CE5CB1" w:rsidP="00F06E05">
      <w:pPr>
        <w:snapToGrid w:val="0"/>
        <w:ind w:firstLine="425"/>
        <w:jc w:val="both"/>
        <w:rPr>
          <w:bCs/>
          <w:sz w:val="20"/>
          <w:szCs w:val="20"/>
        </w:rPr>
      </w:pPr>
      <w:r w:rsidRPr="00E90ABD">
        <w:rPr>
          <w:bCs/>
          <w:sz w:val="20"/>
          <w:szCs w:val="20"/>
        </w:rPr>
        <w:t>The study was targeting at the evaluation of radiographic and functional outcome after closed reduction and lateral percutaneous pinning fixation for fractures of the supra condylar humerus by three k-wires in children.</w:t>
      </w:r>
    </w:p>
    <w:p w:rsidR="007B3237" w:rsidRPr="00E90ABD" w:rsidRDefault="0001245B" w:rsidP="00F06E05">
      <w:pPr>
        <w:snapToGrid w:val="0"/>
        <w:jc w:val="both"/>
        <w:rPr>
          <w:b/>
          <w:bCs/>
          <w:sz w:val="20"/>
          <w:szCs w:val="20"/>
        </w:rPr>
      </w:pPr>
      <w:r w:rsidRPr="00E90ABD">
        <w:rPr>
          <w:b/>
          <w:bCs/>
          <w:sz w:val="20"/>
          <w:szCs w:val="20"/>
        </w:rPr>
        <w:t>Patients and Methods</w:t>
      </w:r>
    </w:p>
    <w:p w:rsidR="00CE5CB1" w:rsidRPr="00E90ABD" w:rsidRDefault="006533AC" w:rsidP="00F06E05">
      <w:pPr>
        <w:autoSpaceDE w:val="0"/>
        <w:autoSpaceDN w:val="0"/>
        <w:adjustRightInd w:val="0"/>
        <w:snapToGrid w:val="0"/>
        <w:ind w:firstLine="425"/>
        <w:jc w:val="both"/>
        <w:rPr>
          <w:bCs/>
          <w:sz w:val="20"/>
          <w:szCs w:val="20"/>
        </w:rPr>
      </w:pPr>
      <w:r w:rsidRPr="00E90ABD">
        <w:rPr>
          <w:bCs/>
          <w:sz w:val="20"/>
          <w:szCs w:val="20"/>
        </w:rPr>
        <w:lastRenderedPageBreak/>
        <w:t>T</w:t>
      </w:r>
      <w:r w:rsidR="00CE5CB1" w:rsidRPr="00E90ABD">
        <w:rPr>
          <w:bCs/>
          <w:sz w:val="20"/>
          <w:szCs w:val="20"/>
        </w:rPr>
        <w:t>his prospective randomized-controlled trial included 20 children with Gartland type III supracondylar humeral fractures. They were all treated by closed reduction and lateral percutaneous pinning in Mabret Misr El-Kadema orthopedic department from March 2018 to October 2018.</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Children with fractures were usually first seen in the emergency section. They were examined, the vascular and neurological statuses were assessed and x-rays of the elbow were done.</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Displaced supracondylar fractures requiring a reduction should be initially splinted with the elbow in a comfortable position of approximately 20 to 40 degrees of flexion, while avoiding tight bandaging or splinting. Excessive flexion or extension may compromise the limb’s vascularity and increase compartment pressure. The elbow and hand should then be gently elevated above the heart. A careful examination of the neurologic and vascular status is vital in all patients with a supracondylar fracture as well as an assessment of the potential for compartment syndrome. The remainder of the limb should be assessed for other injuries and radiographs should include any area which is tender, swollen, or lacks motion.</w:t>
      </w:r>
      <w:r w:rsidRPr="00E90ABD">
        <w:rPr>
          <w:bCs/>
          <w:sz w:val="20"/>
          <w:szCs w:val="20"/>
          <w:vertAlign w:val="superscript"/>
        </w:rPr>
        <w:t xml:space="preserve"> (</w:t>
      </w:r>
      <w:r w:rsidR="00096944" w:rsidRPr="00E90ABD">
        <w:rPr>
          <w:bCs/>
          <w:sz w:val="20"/>
          <w:szCs w:val="20"/>
          <w:vertAlign w:val="superscript"/>
        </w:rPr>
        <w:t>19</w:t>
      </w:r>
      <w:r w:rsidRPr="00E90ABD">
        <w:rPr>
          <w:bCs/>
          <w:sz w:val="20"/>
          <w:szCs w:val="20"/>
          <w:vertAlign w:val="superscript"/>
        </w:rPr>
        <w:t>)</w:t>
      </w:r>
    </w:p>
    <w:p w:rsidR="00CE5CB1" w:rsidRPr="00E90ABD" w:rsidRDefault="00CE5CB1" w:rsidP="00F06E05">
      <w:pPr>
        <w:autoSpaceDE w:val="0"/>
        <w:autoSpaceDN w:val="0"/>
        <w:adjustRightInd w:val="0"/>
        <w:snapToGrid w:val="0"/>
        <w:jc w:val="both"/>
        <w:rPr>
          <w:bCs/>
          <w:sz w:val="20"/>
          <w:szCs w:val="20"/>
        </w:rPr>
      </w:pPr>
      <w:r w:rsidRPr="00E90ABD">
        <w:rPr>
          <w:b/>
          <w:bCs/>
          <w:sz w:val="20"/>
          <w:szCs w:val="20"/>
        </w:rPr>
        <w:t>The inclusion criteria:</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Patients scheduled for closed reduction and lateral fixation of supracondylar fractures of the humerus by three k-wires under general anaesthesia.</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Type III Supracondylar fractures of the humerus</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Patients below 15 years.</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Consent was necessary to participate in the study.</w:t>
      </w:r>
    </w:p>
    <w:p w:rsidR="00CE5CB1" w:rsidRPr="00E90ABD" w:rsidRDefault="00CE5CB1" w:rsidP="00F06E05">
      <w:pPr>
        <w:autoSpaceDE w:val="0"/>
        <w:autoSpaceDN w:val="0"/>
        <w:adjustRightInd w:val="0"/>
        <w:snapToGrid w:val="0"/>
        <w:jc w:val="both"/>
        <w:rPr>
          <w:bCs/>
          <w:sz w:val="20"/>
          <w:szCs w:val="20"/>
        </w:rPr>
      </w:pPr>
      <w:r w:rsidRPr="00E90ABD">
        <w:rPr>
          <w:b/>
          <w:bCs/>
          <w:sz w:val="20"/>
          <w:szCs w:val="20"/>
        </w:rPr>
        <w:t xml:space="preserve">The exclusion criteria: </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Open fractures.</w:t>
      </w:r>
    </w:p>
    <w:p w:rsidR="00F06E05"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Gartland type I or type I</w:t>
      </w:r>
      <w:r w:rsidR="00F06E05" w:rsidRPr="00E90ABD">
        <w:rPr>
          <w:bCs/>
          <w:sz w:val="20"/>
          <w:szCs w:val="20"/>
        </w:rPr>
        <w:t>I.</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Fractures with vascular injury.</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Fractures with compartmental syndrome.</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Fractures with pre-operative ulnar nerve injury.</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Refusal to provide an informed consent.</w:t>
      </w:r>
    </w:p>
    <w:p w:rsidR="00CE5CB1" w:rsidRPr="00E90ABD" w:rsidRDefault="00CE5CB1" w:rsidP="00F06E05">
      <w:pPr>
        <w:autoSpaceDE w:val="0"/>
        <w:autoSpaceDN w:val="0"/>
        <w:adjustRightInd w:val="0"/>
        <w:snapToGrid w:val="0"/>
        <w:ind w:firstLine="425"/>
        <w:jc w:val="both"/>
        <w:rPr>
          <w:bCs/>
          <w:sz w:val="20"/>
          <w:szCs w:val="20"/>
          <w:lang w:bidi="ar-EG"/>
        </w:rPr>
      </w:pPr>
      <w:r w:rsidRPr="00E90ABD">
        <w:rPr>
          <w:bCs/>
          <w:sz w:val="20"/>
          <w:szCs w:val="20"/>
        </w:rPr>
        <w:t xml:space="preserve">The mean age at presentation was about 7years (range: 2–12 years). </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There were 6 girls and 14 boys.</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The left elbow was involved in 9 patients and the right in 11 patients. </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mode of trauma was fall to the ground in 9 patients, fall downstairs in 8 patients and fall from height in 3 patients.</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There were associated fractures in three patients; One of them had a fracture of the ipsilateral distal radius and was managed by closed reduction and percutaneous pinning in the same sitting, The second patient had a greenstick fracture of the proximal phalynx of the contralateral thumb and was managed </w:t>
      </w:r>
      <w:r w:rsidRPr="00E90ABD">
        <w:rPr>
          <w:bCs/>
          <w:sz w:val="20"/>
          <w:szCs w:val="20"/>
        </w:rPr>
        <w:lastRenderedPageBreak/>
        <w:t xml:space="preserve">by thumb spica, the third patient had both bones of forarm fractures and were fixed by k-wires in the same sitting. </w:t>
      </w:r>
    </w:p>
    <w:p w:rsidR="00CE5CB1" w:rsidRPr="00E90ABD" w:rsidRDefault="00CE5CB1" w:rsidP="00F06E05">
      <w:pPr>
        <w:autoSpaceDE w:val="0"/>
        <w:autoSpaceDN w:val="0"/>
        <w:adjustRightInd w:val="0"/>
        <w:snapToGrid w:val="0"/>
        <w:jc w:val="both"/>
        <w:rPr>
          <w:b/>
          <w:sz w:val="20"/>
          <w:szCs w:val="20"/>
        </w:rPr>
      </w:pPr>
      <w:r w:rsidRPr="00E90ABD">
        <w:rPr>
          <w:b/>
          <w:sz w:val="20"/>
          <w:szCs w:val="20"/>
        </w:rPr>
        <w:t xml:space="preserve">Surgical Technique: </w:t>
      </w:r>
    </w:p>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Positioning</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patient is positioned supine on the operating room table. The fractured elbow is placed on a radiolucent armboard after generally anesthetizing the patient. The arm should be far enough onto the armboard to allow for complete visualization of the elbow and distal humerus. In smaller children, the child’s shoulder and head may need to rest on the armboard as well. The wide end of a fluoroscopy unit is sometimes used as a table. The fluoroscopy monitor is placed opposite to the surgeon for ease of viewing.</w:t>
      </w:r>
      <w:r w:rsidRPr="00E90ABD">
        <w:rPr>
          <w:bCs/>
          <w:sz w:val="20"/>
          <w:szCs w:val="20"/>
          <w:vertAlign w:val="superscript"/>
        </w:rPr>
        <w:t xml:space="preserve"> (</w:t>
      </w:r>
      <w:r w:rsidR="00096944" w:rsidRPr="00E90ABD">
        <w:rPr>
          <w:bCs/>
          <w:sz w:val="20"/>
          <w:szCs w:val="20"/>
          <w:vertAlign w:val="superscript"/>
        </w:rPr>
        <w:t>20</w:t>
      </w:r>
      <w:r w:rsidRPr="00E90ABD">
        <w:rPr>
          <w:bCs/>
          <w:sz w:val="20"/>
          <w:szCs w:val="20"/>
          <w:vertAlign w:val="superscript"/>
        </w:rPr>
        <w:t>)</w:t>
      </w:r>
    </w:p>
    <w:p w:rsidR="00CE5CB1" w:rsidRPr="00E90ABD" w:rsidRDefault="006533AC" w:rsidP="00F06E05">
      <w:pPr>
        <w:autoSpaceDE w:val="0"/>
        <w:autoSpaceDN w:val="0"/>
        <w:adjustRightInd w:val="0"/>
        <w:snapToGrid w:val="0"/>
        <w:jc w:val="both"/>
        <w:rPr>
          <w:b/>
          <w:sz w:val="20"/>
          <w:szCs w:val="20"/>
        </w:rPr>
      </w:pPr>
      <w:r w:rsidRPr="00E90ABD">
        <w:rPr>
          <w:b/>
          <w:sz w:val="20"/>
          <w:szCs w:val="20"/>
        </w:rPr>
        <w:t>Closed Reduction</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Traction is applied with the elbow in 20 to 30 degrees of flexion to prevent tethering of the neurovascular structures over the anteriorly displaced proximal fragment. For severely displaced fractures, where the proximal fragment is entrapped in the brachialis muscle, the “milking maneuver” is performed. </w:t>
      </w:r>
      <w:r w:rsidRPr="00E90ABD">
        <w:rPr>
          <w:bCs/>
          <w:sz w:val="20"/>
          <w:szCs w:val="20"/>
          <w:vertAlign w:val="superscript"/>
        </w:rPr>
        <w:t>(</w:t>
      </w:r>
      <w:r w:rsidR="00096944" w:rsidRPr="00E90ABD">
        <w:rPr>
          <w:bCs/>
          <w:sz w:val="20"/>
          <w:szCs w:val="20"/>
          <w:vertAlign w:val="superscript"/>
        </w:rPr>
        <w:t>20</w:t>
      </w:r>
      <w:r w:rsidRPr="00E90ABD">
        <w:rPr>
          <w:bCs/>
          <w:sz w:val="20"/>
          <w:szCs w:val="20"/>
          <w:vertAlign w:val="superscript"/>
        </w:rPr>
        <w:t>)</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soft tissue overlying the fracture is manipulated in a proximal to distal direction. Once length is restored, the medial and lateral columns are realigned on the AP image. Varus and valgus angular alignment is restored. Medial and lateral translation is also corrected. For the majority of fractures (ie, extension type), the flexion reduction maneuver is performed next. The elbow is gradually flexed while applying anterior pressure on the olecranon (and distal condyles of the humerus) with the thumbs.</w:t>
      </w:r>
      <w:r w:rsidRPr="00E90ABD">
        <w:rPr>
          <w:bCs/>
          <w:sz w:val="20"/>
          <w:szCs w:val="20"/>
          <w:vertAlign w:val="superscript"/>
        </w:rPr>
        <w:t xml:space="preserve"> (</w:t>
      </w:r>
      <w:r w:rsidR="00096944" w:rsidRPr="00E90ABD">
        <w:rPr>
          <w:bCs/>
          <w:sz w:val="20"/>
          <w:szCs w:val="20"/>
          <w:vertAlign w:val="superscript"/>
        </w:rPr>
        <w:t>20</w:t>
      </w:r>
      <w:r w:rsidRPr="00E90ABD">
        <w:rPr>
          <w:bCs/>
          <w:sz w:val="20"/>
          <w:szCs w:val="20"/>
          <w:vertAlign w:val="superscript"/>
        </w:rPr>
        <w:t>)</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The elbow is held in hyperflexion as the reduction is assessed by fluoroscopy. Reduction is adequate if the following criteria are fulfilled: The anterior humeral line crosses the capitellum. The Baumann angle is 10 degrees or comparable to the contralateral side. Oblique views show intact medial and lateral columns. The forearm is held in pronation for posteromedial fractures. The forearm is held in supination for posterolateral fractures. For unstable fractures, the fluoroscopy machine instead of the arm is rotated to obtain lateral views of the elbow. </w:t>
      </w:r>
      <w:r w:rsidRPr="00E90ABD">
        <w:rPr>
          <w:bCs/>
          <w:sz w:val="20"/>
          <w:szCs w:val="20"/>
          <w:vertAlign w:val="superscript"/>
        </w:rPr>
        <w:t>(</w:t>
      </w:r>
      <w:r w:rsidR="00096944" w:rsidRPr="00E90ABD">
        <w:rPr>
          <w:bCs/>
          <w:sz w:val="20"/>
          <w:szCs w:val="20"/>
          <w:vertAlign w:val="superscript"/>
        </w:rPr>
        <w:t>20</w:t>
      </w:r>
      <w:r w:rsidRPr="00E90ABD">
        <w:rPr>
          <w:bCs/>
          <w:sz w:val="20"/>
          <w:szCs w:val="20"/>
          <w:vertAlign w:val="superscript"/>
        </w:rPr>
        <w:t>)</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Once satisfactory reduction is obtained, K-wires can be inserted percutaneously for fracture stabilization.</w:t>
      </w:r>
      <w:r w:rsidR="0047206C" w:rsidRPr="00E90ABD">
        <w:rPr>
          <w:bCs/>
          <w:sz w:val="20"/>
          <w:szCs w:val="20"/>
        </w:rPr>
        <w:t xml:space="preserve"> </w:t>
      </w:r>
      <w:r w:rsidRPr="00E90ABD">
        <w:rPr>
          <w:bCs/>
          <w:sz w:val="20"/>
          <w:szCs w:val="20"/>
        </w:rPr>
        <w:t xml:space="preserve">0.062-inch smooth K-wires are commonly used. Smaller or larger sizes may be used depending on the size of the child. The goals of the lateral-entry pin technique are to maximally separate the pins at the fracture site and to engage both the medial and lateral columns. The pins can be divergent or parallel. Sufficient bone must be engaged in the proximal and distal fragments. Pins may cross the olecranon fossa. As a general rule, two pins are </w:t>
      </w:r>
      <w:r w:rsidRPr="00E90ABD">
        <w:rPr>
          <w:bCs/>
          <w:sz w:val="20"/>
          <w:szCs w:val="20"/>
        </w:rPr>
        <w:lastRenderedPageBreak/>
        <w:t>adequate for type II fractures; three pins are recommended for type III fractures.</w:t>
      </w:r>
      <w:r w:rsidRPr="00E90ABD">
        <w:rPr>
          <w:bCs/>
          <w:sz w:val="20"/>
          <w:szCs w:val="20"/>
          <w:vertAlign w:val="superscript"/>
        </w:rPr>
        <w:t xml:space="preserve"> (</w:t>
      </w:r>
      <w:r w:rsidR="00096944" w:rsidRPr="00E90ABD">
        <w:rPr>
          <w:bCs/>
          <w:sz w:val="20"/>
          <w:szCs w:val="20"/>
          <w:vertAlign w:val="superscript"/>
        </w:rPr>
        <w:t>20</w:t>
      </w:r>
      <w:r w:rsidRPr="00E90ABD">
        <w:rPr>
          <w:bCs/>
          <w:sz w:val="20"/>
          <w:szCs w:val="20"/>
          <w:vertAlign w:val="superscript"/>
        </w:rPr>
        <w:t>)</w:t>
      </w:r>
      <w:r w:rsidRPr="00E90ABD">
        <w:rPr>
          <w:bCs/>
          <w:sz w:val="20"/>
          <w:szCs w:val="20"/>
        </w:rPr>
        <w:t>.</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K-wire is positioned against the lateral condyle without piercing the skin. The starting point is assessed under AP fluoroscopic guidance. The K-wire is held freehand to allow maximum control. Once a satisfactory starting point and trajectory are confirmed, the K-wire is pushed through the skin and into the cartilage.</w:t>
      </w:r>
      <w:r w:rsidRPr="00E90ABD">
        <w:rPr>
          <w:bCs/>
          <w:sz w:val="20"/>
          <w:szCs w:val="20"/>
          <w:vertAlign w:val="superscript"/>
        </w:rPr>
        <w:t xml:space="preserve"> (</w:t>
      </w:r>
      <w:r w:rsidR="00096944" w:rsidRPr="00E90ABD">
        <w:rPr>
          <w:bCs/>
          <w:sz w:val="20"/>
          <w:szCs w:val="20"/>
          <w:vertAlign w:val="superscript"/>
        </w:rPr>
        <w:t>20</w:t>
      </w:r>
      <w:r w:rsidRPr="00E90ABD">
        <w:rPr>
          <w:bCs/>
          <w:sz w:val="20"/>
          <w:szCs w:val="20"/>
          <w:vertAlign w:val="superscript"/>
        </w:rPr>
        <w:t>)</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The cartilage of the distal lateral condyle functions as a pincushion. The starting point and trajectory are assessed by AP and lateral fluoroscopic guidance. When satisfactory starting point and trajectory are confirmed, the pin is advanced with a drill until at least two cortices are engaged. At this point, the reduction is again assessed. The reduction must appear satisfactory on AP, lateral, and two </w:t>
      </w:r>
      <w:r w:rsidRPr="00E90ABD">
        <w:rPr>
          <w:bCs/>
          <w:sz w:val="20"/>
          <w:szCs w:val="20"/>
        </w:rPr>
        <w:lastRenderedPageBreak/>
        <w:t>oblique views. The elbow is rotated to allow for oblique views of the medial and lateral columns.</w:t>
      </w:r>
      <w:r w:rsidR="0047206C" w:rsidRPr="00E90ABD">
        <w:rPr>
          <w:bCs/>
          <w:sz w:val="20"/>
          <w:szCs w:val="20"/>
        </w:rPr>
        <w:t xml:space="preserve"> </w:t>
      </w:r>
      <w:r w:rsidRPr="00E90ABD">
        <w:rPr>
          <w:bCs/>
          <w:sz w:val="20"/>
          <w:szCs w:val="20"/>
        </w:rPr>
        <w:t>Additional pins are inserted. The elbow is stressed under live fluoroscopy in both the AP and lateral planes. Once satisfactory reduction and stability are confirmed, the vascular status is again assessed. Upon completion, the pins can be bent and cut approximately 1 to 2 cm off the skin.</w:t>
      </w:r>
      <w:r w:rsidRPr="00E90ABD">
        <w:rPr>
          <w:bCs/>
          <w:sz w:val="20"/>
          <w:szCs w:val="20"/>
          <w:vertAlign w:val="superscript"/>
        </w:rPr>
        <w:t xml:space="preserve"> (</w:t>
      </w:r>
      <w:r w:rsidR="00096944" w:rsidRPr="00E90ABD">
        <w:rPr>
          <w:bCs/>
          <w:sz w:val="20"/>
          <w:szCs w:val="20"/>
          <w:vertAlign w:val="superscript"/>
        </w:rPr>
        <w:t>20</w:t>
      </w:r>
      <w:r w:rsidRPr="00E90ABD">
        <w:rPr>
          <w:bCs/>
          <w:sz w:val="20"/>
          <w:szCs w:val="20"/>
          <w:vertAlign w:val="superscript"/>
        </w:rPr>
        <w:t>)</w:t>
      </w:r>
    </w:p>
    <w:p w:rsidR="00CE5CB1" w:rsidRPr="00E90ABD" w:rsidRDefault="006533AC" w:rsidP="00F06E05">
      <w:pPr>
        <w:autoSpaceDE w:val="0"/>
        <w:autoSpaceDN w:val="0"/>
        <w:adjustRightInd w:val="0"/>
        <w:snapToGrid w:val="0"/>
        <w:jc w:val="both"/>
        <w:rPr>
          <w:b/>
          <w:sz w:val="20"/>
          <w:szCs w:val="20"/>
        </w:rPr>
      </w:pPr>
      <w:r w:rsidRPr="00E90ABD">
        <w:rPr>
          <w:b/>
          <w:sz w:val="20"/>
          <w:szCs w:val="20"/>
        </w:rPr>
        <w:t>Postoperative Care</w:t>
      </w:r>
    </w:p>
    <w:p w:rsidR="00CE5CB1" w:rsidRPr="00E90ABD" w:rsidRDefault="00CE5CB1" w:rsidP="00F06E05">
      <w:pPr>
        <w:autoSpaceDE w:val="0"/>
        <w:autoSpaceDN w:val="0"/>
        <w:adjustRightInd w:val="0"/>
        <w:snapToGrid w:val="0"/>
        <w:ind w:firstLine="425"/>
        <w:jc w:val="both"/>
        <w:rPr>
          <w:bCs/>
          <w:sz w:val="20"/>
          <w:szCs w:val="20"/>
          <w:vertAlign w:val="superscript"/>
        </w:rPr>
      </w:pPr>
      <w:r w:rsidRPr="00E90ABD">
        <w:rPr>
          <w:bCs/>
          <w:sz w:val="20"/>
          <w:szCs w:val="20"/>
        </w:rPr>
        <w:t>The arm is immobilized, preferably in a cast (sometimes a splint), with the elbow in 45 to 60 degrees of flexion. Flexing the elbow to 90 degrees, as is used for most other casting, will increase the risk of compartment syndrome because the fracture reduction is stabilized by the pins, not the cast. Sterile foam may be directly applied to the skin before cast application to allow for postoperative swelling.</w:t>
      </w:r>
      <w:r w:rsidRPr="00E90ABD">
        <w:rPr>
          <w:bCs/>
          <w:sz w:val="20"/>
          <w:szCs w:val="20"/>
          <w:vertAlign w:val="superscript"/>
        </w:rPr>
        <w:t xml:space="preserve"> (</w:t>
      </w:r>
      <w:r w:rsidR="00096944" w:rsidRPr="00E90ABD">
        <w:rPr>
          <w:bCs/>
          <w:sz w:val="20"/>
          <w:szCs w:val="20"/>
          <w:vertAlign w:val="superscript"/>
        </w:rPr>
        <w:t>20</w:t>
      </w:r>
      <w:r w:rsidRPr="00E90ABD">
        <w:rPr>
          <w:bCs/>
          <w:sz w:val="20"/>
          <w:szCs w:val="20"/>
          <w:vertAlign w:val="superscript"/>
        </w:rPr>
        <w:t>)</w:t>
      </w:r>
    </w:p>
    <w:p w:rsidR="00F06E05" w:rsidRPr="00E90ABD" w:rsidRDefault="00F06E05" w:rsidP="00F06E05">
      <w:pPr>
        <w:autoSpaceDE w:val="0"/>
        <w:autoSpaceDN w:val="0"/>
        <w:adjustRightInd w:val="0"/>
        <w:snapToGrid w:val="0"/>
        <w:jc w:val="center"/>
        <w:rPr>
          <w:b/>
          <w:bCs/>
          <w:sz w:val="20"/>
          <w:szCs w:val="20"/>
        </w:rPr>
        <w:sectPr w:rsidR="00F06E05" w:rsidRPr="00E90ABD" w:rsidSect="00F06E05">
          <w:type w:val="continuous"/>
          <w:pgSz w:w="12240" w:h="15840" w:code="9"/>
          <w:pgMar w:top="1440" w:right="1440" w:bottom="1440" w:left="1440" w:header="720" w:footer="720" w:gutter="0"/>
          <w:cols w:num="2" w:space="600"/>
          <w:docGrid w:linePitch="360"/>
        </w:sectPr>
      </w:pPr>
      <w:bookmarkStart w:id="2" w:name="_Toc7393060"/>
    </w:p>
    <w:p w:rsidR="0001245B" w:rsidRPr="00E90ABD" w:rsidRDefault="0001245B" w:rsidP="00F06E05">
      <w:pPr>
        <w:autoSpaceDE w:val="0"/>
        <w:autoSpaceDN w:val="0"/>
        <w:adjustRightInd w:val="0"/>
        <w:snapToGrid w:val="0"/>
        <w:jc w:val="center"/>
        <w:rPr>
          <w:b/>
          <w:bCs/>
          <w:sz w:val="20"/>
          <w:szCs w:val="20"/>
        </w:rPr>
      </w:pPr>
    </w:p>
    <w:p w:rsidR="00CE5CB1" w:rsidRPr="00E90ABD" w:rsidRDefault="00CE5CB1" w:rsidP="00F06E05">
      <w:pPr>
        <w:autoSpaceDE w:val="0"/>
        <w:autoSpaceDN w:val="0"/>
        <w:adjustRightInd w:val="0"/>
        <w:snapToGrid w:val="0"/>
        <w:jc w:val="center"/>
        <w:rPr>
          <w:bCs/>
          <w:sz w:val="20"/>
          <w:szCs w:val="20"/>
        </w:rPr>
      </w:pPr>
      <w:r w:rsidRPr="00E90ABD">
        <w:rPr>
          <w:b/>
          <w:bCs/>
          <w:sz w:val="20"/>
          <w:szCs w:val="20"/>
        </w:rPr>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1</w:t>
      </w:r>
      <w:r w:rsidR="00926F4F" w:rsidRPr="00E90ABD">
        <w:rPr>
          <w:bCs/>
          <w:sz w:val="20"/>
          <w:szCs w:val="20"/>
        </w:rPr>
        <w:fldChar w:fldCharType="end"/>
      </w:r>
      <w:r w:rsidRPr="00E90ABD">
        <w:rPr>
          <w:b/>
          <w:bCs/>
          <w:sz w:val="20"/>
          <w:szCs w:val="20"/>
        </w:rPr>
        <w:t xml:space="preserve">): </w:t>
      </w:r>
      <w:r w:rsidRPr="00E90ABD">
        <w:rPr>
          <w:bCs/>
          <w:sz w:val="20"/>
          <w:szCs w:val="20"/>
        </w:rPr>
        <w:t>Duration of various stages of treatment</w:t>
      </w:r>
      <w:bookmarkEnd w:id="2"/>
      <w:r w:rsidRPr="00E90ABD">
        <w:rPr>
          <w:bCs/>
          <w:sz w:val="20"/>
          <w:szCs w:val="20"/>
        </w:rPr>
        <w:t xml:space="preserve"> </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4A0"/>
      </w:tblPr>
      <w:tblGrid>
        <w:gridCol w:w="4674"/>
        <w:gridCol w:w="1808"/>
        <w:gridCol w:w="1868"/>
        <w:gridCol w:w="1124"/>
      </w:tblGrid>
      <w:tr w:rsidR="00CE5CB1" w:rsidRPr="00E90ABD" w:rsidTr="0065081C">
        <w:trPr>
          <w:jc w:val="center"/>
        </w:trPr>
        <w:tc>
          <w:tcPr>
            <w:tcW w:w="2467"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Duration</w:t>
            </w:r>
          </w:p>
        </w:tc>
        <w:tc>
          <w:tcPr>
            <w:tcW w:w="954"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Minimum</w:t>
            </w:r>
          </w:p>
        </w:tc>
        <w:tc>
          <w:tcPr>
            <w:tcW w:w="986"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Maximum</w:t>
            </w:r>
          </w:p>
        </w:tc>
        <w:tc>
          <w:tcPr>
            <w:tcW w:w="593"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Mean</w:t>
            </w:r>
          </w:p>
        </w:tc>
      </w:tr>
      <w:tr w:rsidR="00CE5CB1" w:rsidRPr="00E90ABD" w:rsidTr="0065081C">
        <w:trPr>
          <w:jc w:val="center"/>
        </w:trPr>
        <w:tc>
          <w:tcPr>
            <w:tcW w:w="2467"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Injury to Admissio</w:t>
            </w:r>
            <w:r w:rsidR="0065081C" w:rsidRPr="00E90ABD">
              <w:rPr>
                <w:b/>
                <w:bCs/>
                <w:sz w:val="20"/>
                <w:szCs w:val="20"/>
              </w:rPr>
              <w:t>n (</w:t>
            </w:r>
            <w:r w:rsidRPr="00E90ABD">
              <w:rPr>
                <w:b/>
                <w:bCs/>
                <w:sz w:val="20"/>
                <w:szCs w:val="20"/>
              </w:rPr>
              <w:t>hours)</w:t>
            </w:r>
          </w:p>
        </w:tc>
        <w:tc>
          <w:tcPr>
            <w:tcW w:w="954"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 xml:space="preserve"> 2</w:t>
            </w:r>
          </w:p>
        </w:tc>
        <w:tc>
          <w:tcPr>
            <w:tcW w:w="986"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 xml:space="preserve"> 72</w:t>
            </w:r>
          </w:p>
        </w:tc>
        <w:tc>
          <w:tcPr>
            <w:tcW w:w="593"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12.75</w:t>
            </w:r>
          </w:p>
        </w:tc>
      </w:tr>
      <w:tr w:rsidR="00CE5CB1" w:rsidRPr="00E90ABD" w:rsidTr="0065081C">
        <w:trPr>
          <w:jc w:val="center"/>
        </w:trPr>
        <w:tc>
          <w:tcPr>
            <w:tcW w:w="2467"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Injury to Surger</w:t>
            </w:r>
            <w:r w:rsidR="0065081C" w:rsidRPr="00E90ABD">
              <w:rPr>
                <w:b/>
                <w:bCs/>
                <w:sz w:val="20"/>
                <w:szCs w:val="20"/>
              </w:rPr>
              <w:t>y (</w:t>
            </w:r>
            <w:r w:rsidRPr="00E90ABD">
              <w:rPr>
                <w:b/>
                <w:bCs/>
                <w:sz w:val="20"/>
                <w:szCs w:val="20"/>
              </w:rPr>
              <w:t>hours)</w:t>
            </w:r>
          </w:p>
        </w:tc>
        <w:tc>
          <w:tcPr>
            <w:tcW w:w="954"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 xml:space="preserve"> 8</w:t>
            </w:r>
          </w:p>
        </w:tc>
        <w:tc>
          <w:tcPr>
            <w:tcW w:w="986"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 xml:space="preserve"> 80</w:t>
            </w:r>
          </w:p>
        </w:tc>
        <w:tc>
          <w:tcPr>
            <w:tcW w:w="593"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20.37</w:t>
            </w:r>
          </w:p>
        </w:tc>
      </w:tr>
      <w:tr w:rsidR="00CE5CB1" w:rsidRPr="00E90ABD" w:rsidTr="0065081C">
        <w:trPr>
          <w:jc w:val="center"/>
        </w:trPr>
        <w:tc>
          <w:tcPr>
            <w:tcW w:w="2467"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Hospitalizatio</w:t>
            </w:r>
            <w:r w:rsidR="0065081C" w:rsidRPr="00E90ABD">
              <w:rPr>
                <w:b/>
                <w:bCs/>
                <w:sz w:val="20"/>
                <w:szCs w:val="20"/>
              </w:rPr>
              <w:t>n (</w:t>
            </w:r>
            <w:r w:rsidRPr="00E90ABD">
              <w:rPr>
                <w:b/>
                <w:bCs/>
                <w:sz w:val="20"/>
                <w:szCs w:val="20"/>
              </w:rPr>
              <w:t>days)</w:t>
            </w:r>
          </w:p>
        </w:tc>
        <w:tc>
          <w:tcPr>
            <w:tcW w:w="954"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 xml:space="preserve"> 1</w:t>
            </w:r>
          </w:p>
        </w:tc>
        <w:tc>
          <w:tcPr>
            <w:tcW w:w="986"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 xml:space="preserve"> 3</w:t>
            </w:r>
          </w:p>
        </w:tc>
        <w:tc>
          <w:tcPr>
            <w:tcW w:w="593"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1.13</w:t>
            </w:r>
          </w:p>
        </w:tc>
      </w:tr>
    </w:tbl>
    <w:p w:rsidR="00E90ABD" w:rsidRPr="00E90ABD" w:rsidRDefault="00E90ABD" w:rsidP="00F06E05">
      <w:pPr>
        <w:autoSpaceDE w:val="0"/>
        <w:autoSpaceDN w:val="0"/>
        <w:adjustRightInd w:val="0"/>
        <w:snapToGrid w:val="0"/>
        <w:jc w:val="both"/>
        <w:rPr>
          <w:rFonts w:hint="eastAsia"/>
          <w:b/>
          <w:sz w:val="20"/>
          <w:szCs w:val="20"/>
          <w:lang w:eastAsia="zh-CN"/>
        </w:rPr>
      </w:pPr>
    </w:p>
    <w:p w:rsidR="00F06E05" w:rsidRPr="00E90ABD" w:rsidRDefault="00F06E05" w:rsidP="00F06E05">
      <w:pPr>
        <w:autoSpaceDE w:val="0"/>
        <w:autoSpaceDN w:val="0"/>
        <w:adjustRightInd w:val="0"/>
        <w:snapToGrid w:val="0"/>
        <w:jc w:val="both"/>
        <w:rPr>
          <w:b/>
          <w:sz w:val="20"/>
          <w:szCs w:val="20"/>
        </w:rPr>
        <w:sectPr w:rsidR="00F06E05" w:rsidRPr="00E90ABD" w:rsidSect="0065081C">
          <w:type w:val="continuous"/>
          <w:pgSz w:w="12240" w:h="15840" w:code="9"/>
          <w:pgMar w:top="1440" w:right="1440" w:bottom="1440" w:left="1440" w:header="720" w:footer="720" w:gutter="0"/>
          <w:cols w:space="720"/>
          <w:docGrid w:linePitch="360"/>
        </w:sectPr>
      </w:pPr>
    </w:p>
    <w:p w:rsidR="00E90ABD" w:rsidRPr="00E90ABD" w:rsidRDefault="00E90ABD" w:rsidP="00E90ABD">
      <w:pPr>
        <w:autoSpaceDE w:val="0"/>
        <w:autoSpaceDN w:val="0"/>
        <w:adjustRightInd w:val="0"/>
        <w:snapToGrid w:val="0"/>
        <w:jc w:val="center"/>
        <w:rPr>
          <w:bCs/>
          <w:sz w:val="20"/>
          <w:szCs w:val="20"/>
        </w:rPr>
      </w:pPr>
      <w:r w:rsidRPr="00E90ABD">
        <w:rPr>
          <w:b/>
          <w:bCs/>
          <w:sz w:val="20"/>
          <w:szCs w:val="20"/>
        </w:rPr>
        <w:lastRenderedPageBreak/>
        <w:t>Table (</w:t>
      </w:r>
      <w:r w:rsidRPr="00E90ABD">
        <w:rPr>
          <w:b/>
          <w:bCs/>
          <w:sz w:val="20"/>
          <w:szCs w:val="20"/>
        </w:rPr>
        <w:fldChar w:fldCharType="begin"/>
      </w:r>
      <w:r w:rsidRPr="00E90ABD">
        <w:rPr>
          <w:b/>
          <w:bCs/>
          <w:sz w:val="20"/>
          <w:szCs w:val="20"/>
        </w:rPr>
        <w:instrText xml:space="preserve"> SEQ Table \* ARABIC </w:instrText>
      </w:r>
      <w:r w:rsidRPr="00E90ABD">
        <w:rPr>
          <w:b/>
          <w:bCs/>
          <w:sz w:val="20"/>
          <w:szCs w:val="20"/>
        </w:rPr>
        <w:fldChar w:fldCharType="separate"/>
      </w:r>
      <w:r w:rsidRPr="00E90ABD">
        <w:rPr>
          <w:b/>
          <w:bCs/>
          <w:noProof/>
          <w:sz w:val="20"/>
          <w:szCs w:val="20"/>
        </w:rPr>
        <w:t>2</w:t>
      </w:r>
      <w:r w:rsidRPr="00E90ABD">
        <w:rPr>
          <w:bCs/>
          <w:sz w:val="20"/>
          <w:szCs w:val="20"/>
        </w:rPr>
        <w:fldChar w:fldCharType="end"/>
      </w:r>
      <w:r w:rsidRPr="00E90ABD">
        <w:rPr>
          <w:b/>
          <w:bCs/>
          <w:sz w:val="20"/>
          <w:szCs w:val="20"/>
        </w:rPr>
        <w:t>):</w:t>
      </w:r>
      <w:r w:rsidRPr="00E90ABD">
        <w:rPr>
          <w:bCs/>
          <w:sz w:val="20"/>
          <w:szCs w:val="20"/>
        </w:rPr>
        <w:t xml:space="preserve"> Duration from injury to surgery</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4A0"/>
      </w:tblPr>
      <w:tblGrid>
        <w:gridCol w:w="2532"/>
        <w:gridCol w:w="1962"/>
      </w:tblGrid>
      <w:tr w:rsidR="00E90ABD" w:rsidRPr="00E90ABD" w:rsidTr="00B013B2">
        <w:trPr>
          <w:jc w:val="center"/>
        </w:trPr>
        <w:tc>
          <w:tcPr>
            <w:tcW w:w="2817" w:type="pct"/>
            <w:shd w:val="clear" w:color="auto" w:fill="auto"/>
            <w:vAlign w:val="center"/>
          </w:tcPr>
          <w:p w:rsidR="00E90ABD" w:rsidRPr="00E90ABD" w:rsidRDefault="00E90ABD" w:rsidP="00B013B2">
            <w:pPr>
              <w:autoSpaceDE w:val="0"/>
              <w:autoSpaceDN w:val="0"/>
              <w:adjustRightInd w:val="0"/>
              <w:snapToGrid w:val="0"/>
              <w:jc w:val="both"/>
              <w:rPr>
                <w:b/>
                <w:bCs/>
                <w:sz w:val="20"/>
                <w:szCs w:val="20"/>
              </w:rPr>
            </w:pPr>
            <w:r w:rsidRPr="00E90ABD">
              <w:rPr>
                <w:b/>
                <w:bCs/>
                <w:sz w:val="20"/>
                <w:szCs w:val="20"/>
              </w:rPr>
              <w:t>Injury to Surgery (hours)</w:t>
            </w:r>
          </w:p>
        </w:tc>
        <w:tc>
          <w:tcPr>
            <w:tcW w:w="2183" w:type="pct"/>
            <w:shd w:val="clear" w:color="auto" w:fill="auto"/>
            <w:vAlign w:val="center"/>
          </w:tcPr>
          <w:p w:rsidR="00E90ABD" w:rsidRPr="00E90ABD" w:rsidRDefault="00E90ABD" w:rsidP="00B013B2">
            <w:pPr>
              <w:autoSpaceDE w:val="0"/>
              <w:autoSpaceDN w:val="0"/>
              <w:adjustRightInd w:val="0"/>
              <w:snapToGrid w:val="0"/>
              <w:jc w:val="both"/>
              <w:rPr>
                <w:b/>
                <w:bCs/>
                <w:sz w:val="20"/>
                <w:szCs w:val="20"/>
              </w:rPr>
            </w:pPr>
            <w:r w:rsidRPr="00E90ABD">
              <w:rPr>
                <w:b/>
                <w:bCs/>
                <w:sz w:val="20"/>
                <w:szCs w:val="20"/>
              </w:rPr>
              <w:t>Number of Patients</w:t>
            </w:r>
          </w:p>
        </w:tc>
      </w:tr>
      <w:tr w:rsidR="00E90ABD" w:rsidRPr="00E90ABD" w:rsidTr="00B013B2">
        <w:trPr>
          <w:jc w:val="center"/>
        </w:trPr>
        <w:tc>
          <w:tcPr>
            <w:tcW w:w="2817" w:type="pct"/>
            <w:shd w:val="clear" w:color="auto" w:fill="auto"/>
            <w:vAlign w:val="center"/>
          </w:tcPr>
          <w:p w:rsidR="00E90ABD" w:rsidRPr="00E90ABD" w:rsidRDefault="00E90ABD" w:rsidP="00B013B2">
            <w:pPr>
              <w:autoSpaceDE w:val="0"/>
              <w:autoSpaceDN w:val="0"/>
              <w:adjustRightInd w:val="0"/>
              <w:snapToGrid w:val="0"/>
              <w:jc w:val="both"/>
              <w:rPr>
                <w:bCs/>
                <w:sz w:val="20"/>
                <w:szCs w:val="20"/>
              </w:rPr>
            </w:pPr>
            <w:r w:rsidRPr="00E90ABD">
              <w:rPr>
                <w:bCs/>
                <w:sz w:val="20"/>
                <w:szCs w:val="20"/>
              </w:rPr>
              <w:t>8-23.9</w:t>
            </w:r>
          </w:p>
          <w:p w:rsidR="00E90ABD" w:rsidRPr="00E90ABD" w:rsidRDefault="00E90ABD" w:rsidP="00B013B2">
            <w:pPr>
              <w:autoSpaceDE w:val="0"/>
              <w:autoSpaceDN w:val="0"/>
              <w:adjustRightInd w:val="0"/>
              <w:snapToGrid w:val="0"/>
              <w:jc w:val="both"/>
              <w:rPr>
                <w:bCs/>
                <w:sz w:val="20"/>
                <w:szCs w:val="20"/>
              </w:rPr>
            </w:pPr>
            <w:r w:rsidRPr="00E90ABD">
              <w:rPr>
                <w:bCs/>
                <w:sz w:val="20"/>
                <w:szCs w:val="20"/>
              </w:rPr>
              <w:t>24-47.9</w:t>
            </w:r>
          </w:p>
          <w:p w:rsidR="00E90ABD" w:rsidRPr="00E90ABD" w:rsidRDefault="00E90ABD" w:rsidP="00B013B2">
            <w:pPr>
              <w:autoSpaceDE w:val="0"/>
              <w:autoSpaceDN w:val="0"/>
              <w:adjustRightInd w:val="0"/>
              <w:snapToGrid w:val="0"/>
              <w:jc w:val="both"/>
              <w:rPr>
                <w:bCs/>
                <w:sz w:val="20"/>
                <w:szCs w:val="20"/>
              </w:rPr>
            </w:pPr>
            <w:r w:rsidRPr="00E90ABD">
              <w:rPr>
                <w:bCs/>
                <w:sz w:val="20"/>
                <w:szCs w:val="20"/>
              </w:rPr>
              <w:t>48-71.9</w:t>
            </w:r>
          </w:p>
          <w:p w:rsidR="00E90ABD" w:rsidRPr="00E90ABD" w:rsidRDefault="00E90ABD" w:rsidP="00B013B2">
            <w:pPr>
              <w:autoSpaceDE w:val="0"/>
              <w:autoSpaceDN w:val="0"/>
              <w:adjustRightInd w:val="0"/>
              <w:snapToGrid w:val="0"/>
              <w:jc w:val="both"/>
              <w:rPr>
                <w:b/>
                <w:bCs/>
                <w:sz w:val="20"/>
                <w:szCs w:val="20"/>
              </w:rPr>
            </w:pPr>
            <w:r w:rsidRPr="00E90ABD">
              <w:rPr>
                <w:bCs/>
                <w:sz w:val="20"/>
                <w:szCs w:val="20"/>
              </w:rPr>
              <w:t>&gt;72</w:t>
            </w:r>
          </w:p>
        </w:tc>
        <w:tc>
          <w:tcPr>
            <w:tcW w:w="2183" w:type="pct"/>
            <w:shd w:val="clear" w:color="auto" w:fill="auto"/>
            <w:vAlign w:val="center"/>
          </w:tcPr>
          <w:p w:rsidR="00E90ABD" w:rsidRPr="00E90ABD" w:rsidRDefault="00E90ABD" w:rsidP="00B013B2">
            <w:pPr>
              <w:autoSpaceDE w:val="0"/>
              <w:autoSpaceDN w:val="0"/>
              <w:adjustRightInd w:val="0"/>
              <w:snapToGrid w:val="0"/>
              <w:jc w:val="both"/>
              <w:rPr>
                <w:bCs/>
                <w:sz w:val="20"/>
                <w:szCs w:val="20"/>
              </w:rPr>
            </w:pPr>
            <w:r w:rsidRPr="00E90ABD">
              <w:rPr>
                <w:bCs/>
                <w:sz w:val="20"/>
                <w:szCs w:val="20"/>
              </w:rPr>
              <w:t>9</w:t>
            </w:r>
          </w:p>
          <w:p w:rsidR="00E90ABD" w:rsidRPr="00E90ABD" w:rsidRDefault="00E90ABD" w:rsidP="00B013B2">
            <w:pPr>
              <w:autoSpaceDE w:val="0"/>
              <w:autoSpaceDN w:val="0"/>
              <w:adjustRightInd w:val="0"/>
              <w:snapToGrid w:val="0"/>
              <w:jc w:val="both"/>
              <w:rPr>
                <w:bCs/>
                <w:sz w:val="20"/>
                <w:szCs w:val="20"/>
              </w:rPr>
            </w:pPr>
            <w:r w:rsidRPr="00E90ABD">
              <w:rPr>
                <w:bCs/>
                <w:sz w:val="20"/>
                <w:szCs w:val="20"/>
              </w:rPr>
              <w:t>5</w:t>
            </w:r>
          </w:p>
          <w:p w:rsidR="00E90ABD" w:rsidRPr="00E90ABD" w:rsidRDefault="00E90ABD" w:rsidP="00B013B2">
            <w:pPr>
              <w:autoSpaceDE w:val="0"/>
              <w:autoSpaceDN w:val="0"/>
              <w:adjustRightInd w:val="0"/>
              <w:snapToGrid w:val="0"/>
              <w:jc w:val="both"/>
              <w:rPr>
                <w:bCs/>
                <w:sz w:val="20"/>
                <w:szCs w:val="20"/>
              </w:rPr>
            </w:pPr>
            <w:r w:rsidRPr="00E90ABD">
              <w:rPr>
                <w:bCs/>
                <w:sz w:val="20"/>
                <w:szCs w:val="20"/>
              </w:rPr>
              <w:t>4</w:t>
            </w:r>
          </w:p>
          <w:p w:rsidR="00E90ABD" w:rsidRPr="00E90ABD" w:rsidRDefault="00E90ABD" w:rsidP="00B013B2">
            <w:pPr>
              <w:autoSpaceDE w:val="0"/>
              <w:autoSpaceDN w:val="0"/>
              <w:adjustRightInd w:val="0"/>
              <w:snapToGrid w:val="0"/>
              <w:jc w:val="both"/>
              <w:rPr>
                <w:b/>
                <w:bCs/>
                <w:sz w:val="20"/>
                <w:szCs w:val="20"/>
              </w:rPr>
            </w:pPr>
            <w:r w:rsidRPr="00E90ABD">
              <w:rPr>
                <w:bCs/>
                <w:sz w:val="20"/>
                <w:szCs w:val="20"/>
              </w:rPr>
              <w:t>2</w:t>
            </w:r>
          </w:p>
        </w:tc>
      </w:tr>
    </w:tbl>
    <w:p w:rsidR="00E90ABD" w:rsidRDefault="00E90ABD" w:rsidP="00E90ABD">
      <w:pPr>
        <w:autoSpaceDE w:val="0"/>
        <w:autoSpaceDN w:val="0"/>
        <w:adjustRightInd w:val="0"/>
        <w:snapToGrid w:val="0"/>
        <w:jc w:val="both"/>
        <w:rPr>
          <w:rFonts w:hint="eastAsia"/>
          <w:b/>
          <w:sz w:val="20"/>
          <w:szCs w:val="20"/>
          <w:lang w:eastAsia="zh-CN"/>
        </w:rPr>
      </w:pPr>
    </w:p>
    <w:p w:rsidR="00CE5CB1" w:rsidRPr="00E90ABD" w:rsidRDefault="00CE5CB1" w:rsidP="00F06E05">
      <w:pPr>
        <w:autoSpaceDE w:val="0"/>
        <w:autoSpaceDN w:val="0"/>
        <w:adjustRightInd w:val="0"/>
        <w:snapToGrid w:val="0"/>
        <w:jc w:val="both"/>
        <w:rPr>
          <w:b/>
          <w:sz w:val="20"/>
          <w:szCs w:val="20"/>
        </w:rPr>
      </w:pPr>
      <w:r w:rsidRPr="00E90ABD">
        <w:rPr>
          <w:b/>
          <w:sz w:val="20"/>
          <w:szCs w:val="20"/>
        </w:rPr>
        <w:t xml:space="preserve">Follow up: </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child was seen 1 week after surgery in the outpatient clinic. X-ray was obtained in both anteroposterior and lateral planes.</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If it was acceptable, the child was seen again three weeks postoperatively. The cast (or slab) was removed, the elbow was inspected for pin tract infection and another elbow x-ray was obtained to see the degree of bone healing.</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child was seen again six weeks postoperatively. Elbow x-ray was obtained and the k-wires were removed.</w:t>
      </w:r>
      <w:r w:rsidRPr="00E90ABD">
        <w:rPr>
          <w:bCs/>
          <w:sz w:val="20"/>
          <w:szCs w:val="20"/>
          <w:vertAlign w:val="superscript"/>
        </w:rPr>
        <w:t xml:space="preserve"> (</w:t>
      </w:r>
      <w:r w:rsidR="00096944" w:rsidRPr="00E90ABD">
        <w:rPr>
          <w:bCs/>
          <w:sz w:val="20"/>
          <w:szCs w:val="20"/>
          <w:vertAlign w:val="superscript"/>
        </w:rPr>
        <w:t>20</w:t>
      </w:r>
      <w:r w:rsidRPr="00E90ABD">
        <w:rPr>
          <w:bCs/>
          <w:sz w:val="20"/>
          <w:szCs w:val="20"/>
          <w:vertAlign w:val="superscript"/>
        </w:rPr>
        <w:t>)</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Follow-up continued until full range of motion was regained.</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Some children had prolonged follow-up because of a postoperative complication. </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Cases with complications would undergo a different follow-up protocol depending on the nature of the complication.</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The average follow-up period was 4.1 (4–6) months. </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The clinical and radiological assessments were reviewed at the final visit. </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lastRenderedPageBreak/>
        <w:t>Clinical assessment included pain, range of motion, stability and daily function according to Mayo Elbow Performance Index.</w:t>
      </w:r>
      <w:r w:rsidRPr="00E90ABD">
        <w:rPr>
          <w:bCs/>
          <w:sz w:val="20"/>
          <w:szCs w:val="20"/>
          <w:vertAlign w:val="superscript"/>
        </w:rPr>
        <w:t xml:space="preserve"> (</w:t>
      </w:r>
      <w:r w:rsidR="00096944" w:rsidRPr="00E90ABD">
        <w:rPr>
          <w:bCs/>
          <w:sz w:val="20"/>
          <w:szCs w:val="20"/>
          <w:vertAlign w:val="superscript"/>
        </w:rPr>
        <w:t>21</w:t>
      </w:r>
      <w:r w:rsidRPr="00E90ABD">
        <w:rPr>
          <w:bCs/>
          <w:sz w:val="20"/>
          <w:szCs w:val="20"/>
          <w:vertAlign w:val="superscript"/>
        </w:rPr>
        <w:t>)</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Mayo Elbow Performance score (MEPS) or Mayo Elbow Performance Index</w:t>
      </w:r>
      <w:r w:rsidR="00E90ABD">
        <w:rPr>
          <w:rFonts w:hint="eastAsia"/>
          <w:bCs/>
          <w:sz w:val="20"/>
          <w:szCs w:val="20"/>
          <w:lang w:eastAsia="zh-CN"/>
        </w:rPr>
        <w:t xml:space="preserve"> </w:t>
      </w:r>
      <w:r w:rsidRPr="00E90ABD">
        <w:rPr>
          <w:bCs/>
          <w:sz w:val="20"/>
          <w:szCs w:val="20"/>
        </w:rPr>
        <w:t>(MEPI) is an instrument used to test the limitations, caused by pathology, of the elbow during activities of daily living (ADL). This specific test uses 4 subscales:</w:t>
      </w:r>
    </w:p>
    <w:p w:rsidR="00CE5CB1" w:rsidRPr="00E90ABD" w:rsidRDefault="00CE5CB1" w:rsidP="00F06E05">
      <w:pPr>
        <w:numPr>
          <w:ilvl w:val="0"/>
          <w:numId w:val="14"/>
        </w:numPr>
        <w:autoSpaceDE w:val="0"/>
        <w:autoSpaceDN w:val="0"/>
        <w:adjustRightInd w:val="0"/>
        <w:snapToGrid w:val="0"/>
        <w:ind w:left="0" w:firstLine="425"/>
        <w:jc w:val="both"/>
        <w:rPr>
          <w:bCs/>
          <w:sz w:val="20"/>
          <w:szCs w:val="20"/>
        </w:rPr>
      </w:pPr>
      <w:r w:rsidRPr="00E90ABD">
        <w:rPr>
          <w:bCs/>
          <w:sz w:val="20"/>
          <w:szCs w:val="20"/>
        </w:rPr>
        <w:t>Pain</w:t>
      </w:r>
    </w:p>
    <w:p w:rsidR="00CE5CB1" w:rsidRPr="00E90ABD" w:rsidRDefault="00CE5CB1" w:rsidP="00F06E05">
      <w:pPr>
        <w:numPr>
          <w:ilvl w:val="0"/>
          <w:numId w:val="14"/>
        </w:numPr>
        <w:autoSpaceDE w:val="0"/>
        <w:autoSpaceDN w:val="0"/>
        <w:adjustRightInd w:val="0"/>
        <w:snapToGrid w:val="0"/>
        <w:ind w:left="0" w:firstLine="425"/>
        <w:jc w:val="both"/>
        <w:rPr>
          <w:bCs/>
          <w:sz w:val="20"/>
          <w:szCs w:val="20"/>
        </w:rPr>
      </w:pPr>
      <w:r w:rsidRPr="00E90ABD">
        <w:rPr>
          <w:bCs/>
          <w:sz w:val="20"/>
          <w:szCs w:val="20"/>
        </w:rPr>
        <w:t xml:space="preserve">Range of Motion </w:t>
      </w:r>
    </w:p>
    <w:p w:rsidR="00CE5CB1" w:rsidRPr="00E90ABD" w:rsidRDefault="00CE5CB1" w:rsidP="00F06E05">
      <w:pPr>
        <w:numPr>
          <w:ilvl w:val="0"/>
          <w:numId w:val="14"/>
        </w:numPr>
        <w:autoSpaceDE w:val="0"/>
        <w:autoSpaceDN w:val="0"/>
        <w:adjustRightInd w:val="0"/>
        <w:snapToGrid w:val="0"/>
        <w:ind w:left="0" w:firstLine="425"/>
        <w:jc w:val="both"/>
        <w:rPr>
          <w:bCs/>
          <w:sz w:val="20"/>
          <w:szCs w:val="20"/>
        </w:rPr>
      </w:pPr>
      <w:r w:rsidRPr="00E90ABD">
        <w:rPr>
          <w:bCs/>
          <w:sz w:val="20"/>
          <w:szCs w:val="20"/>
        </w:rPr>
        <w:t>Stability</w:t>
      </w:r>
    </w:p>
    <w:p w:rsidR="00CE5CB1" w:rsidRPr="00E90ABD" w:rsidRDefault="00CE5CB1" w:rsidP="00F06E05">
      <w:pPr>
        <w:numPr>
          <w:ilvl w:val="0"/>
          <w:numId w:val="14"/>
        </w:numPr>
        <w:autoSpaceDE w:val="0"/>
        <w:autoSpaceDN w:val="0"/>
        <w:adjustRightInd w:val="0"/>
        <w:snapToGrid w:val="0"/>
        <w:ind w:left="0" w:firstLine="425"/>
        <w:jc w:val="both"/>
        <w:rPr>
          <w:bCs/>
          <w:sz w:val="20"/>
          <w:szCs w:val="20"/>
        </w:rPr>
      </w:pPr>
      <w:r w:rsidRPr="00E90ABD">
        <w:rPr>
          <w:bCs/>
          <w:sz w:val="20"/>
          <w:szCs w:val="20"/>
        </w:rPr>
        <w:t xml:space="preserve">Daily Function. </w:t>
      </w:r>
      <w:r w:rsidRPr="00E90ABD">
        <w:rPr>
          <w:bCs/>
          <w:sz w:val="20"/>
          <w:szCs w:val="20"/>
          <w:vertAlign w:val="superscript"/>
        </w:rPr>
        <w:t>(</w:t>
      </w:r>
      <w:r w:rsidR="00096944" w:rsidRPr="00E90ABD">
        <w:rPr>
          <w:bCs/>
          <w:sz w:val="20"/>
          <w:szCs w:val="20"/>
          <w:vertAlign w:val="superscript"/>
        </w:rPr>
        <w:t>21</w:t>
      </w:r>
      <w:r w:rsidRPr="00E90ABD">
        <w:rPr>
          <w:bCs/>
          <w:sz w:val="20"/>
          <w:szCs w:val="20"/>
          <w:vertAlign w:val="superscript"/>
        </w:rPr>
        <w:t>)</w:t>
      </w:r>
    </w:p>
    <w:p w:rsidR="00E90ABD" w:rsidRDefault="00E90ABD" w:rsidP="00F06E05">
      <w:pPr>
        <w:autoSpaceDE w:val="0"/>
        <w:autoSpaceDN w:val="0"/>
        <w:adjustRightInd w:val="0"/>
        <w:snapToGrid w:val="0"/>
        <w:jc w:val="both"/>
        <w:rPr>
          <w:rFonts w:hint="eastAsia"/>
          <w:b/>
          <w:sz w:val="20"/>
          <w:szCs w:val="20"/>
          <w:lang w:eastAsia="zh-CN"/>
        </w:rPr>
      </w:pPr>
    </w:p>
    <w:p w:rsidR="00CE5CB1" w:rsidRPr="00E90ABD" w:rsidRDefault="00CE5CB1" w:rsidP="00F06E05">
      <w:pPr>
        <w:autoSpaceDE w:val="0"/>
        <w:autoSpaceDN w:val="0"/>
        <w:adjustRightInd w:val="0"/>
        <w:snapToGrid w:val="0"/>
        <w:jc w:val="both"/>
        <w:rPr>
          <w:b/>
          <w:sz w:val="20"/>
          <w:szCs w:val="20"/>
        </w:rPr>
      </w:pPr>
      <w:r w:rsidRPr="00E90ABD">
        <w:rPr>
          <w:b/>
          <w:sz w:val="20"/>
          <w:szCs w:val="20"/>
        </w:rPr>
        <w:t>Technique</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MEPS is a 4 part test where clinical information is rated based on a 100 points scale.</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&lt;60 - poor</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60-74 – fair</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75-89 - good</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90-100 – excellent</w:t>
      </w:r>
      <w:r w:rsidR="0065081C" w:rsidRPr="00E90ABD">
        <w:rPr>
          <w:bCs/>
          <w:sz w:val="20"/>
          <w:szCs w:val="20"/>
        </w:rPr>
        <w:t xml:space="preserve">. </w:t>
      </w:r>
      <w:r w:rsidR="0065081C" w:rsidRPr="00E90ABD">
        <w:rPr>
          <w:bCs/>
          <w:sz w:val="20"/>
          <w:szCs w:val="20"/>
          <w:vertAlign w:val="superscript"/>
        </w:rPr>
        <w:t>(</w:t>
      </w:r>
      <w:r w:rsidR="00096944" w:rsidRPr="00E90ABD">
        <w:rPr>
          <w:bCs/>
          <w:sz w:val="20"/>
          <w:szCs w:val="20"/>
          <w:vertAlign w:val="superscript"/>
        </w:rPr>
        <w:t>21</w:t>
      </w:r>
      <w:r w:rsidRPr="00E90ABD">
        <w:rPr>
          <w:bCs/>
          <w:sz w:val="20"/>
          <w:szCs w:val="20"/>
          <w:vertAlign w:val="superscript"/>
        </w:rPr>
        <w:t>)</w:t>
      </w:r>
    </w:p>
    <w:p w:rsidR="00CE5CB1" w:rsidRPr="00E90ABD" w:rsidRDefault="00CE5CB1" w:rsidP="00F06E05">
      <w:pPr>
        <w:autoSpaceDE w:val="0"/>
        <w:autoSpaceDN w:val="0"/>
        <w:adjustRightInd w:val="0"/>
        <w:snapToGrid w:val="0"/>
        <w:jc w:val="both"/>
        <w:rPr>
          <w:b/>
          <w:sz w:val="20"/>
          <w:szCs w:val="20"/>
        </w:rPr>
      </w:pPr>
      <w:r w:rsidRPr="00E90ABD">
        <w:rPr>
          <w:b/>
          <w:sz w:val="20"/>
          <w:szCs w:val="20"/>
        </w:rPr>
        <w:t>Part 1: Pain</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doctor asks the patient how severe the pain is and in how frequent the pain appears.</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45 points are for patients who do not have pain,</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30 points are given to patients who have mild pain,</w:t>
      </w:r>
    </w:p>
    <w:p w:rsidR="00CE5CB1" w:rsidRPr="00E90ABD" w:rsidRDefault="006533AC"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 xml:space="preserve">Moderate </w:t>
      </w:r>
      <w:r w:rsidR="00CE5CB1" w:rsidRPr="00E90ABD">
        <w:rPr>
          <w:bCs/>
          <w:sz w:val="20"/>
          <w:szCs w:val="20"/>
        </w:rPr>
        <w:t>pain results in 15 points,</w:t>
      </w:r>
    </w:p>
    <w:p w:rsidR="00CE5CB1" w:rsidRPr="00E90ABD" w:rsidRDefault="006533AC"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 xml:space="preserve">Patients </w:t>
      </w:r>
      <w:r w:rsidR="00CE5CB1" w:rsidRPr="00E90ABD">
        <w:rPr>
          <w:bCs/>
          <w:sz w:val="20"/>
          <w:szCs w:val="20"/>
        </w:rPr>
        <w:t>with severe pain get 0 points.</w:t>
      </w:r>
      <w:r w:rsidR="00CE5CB1" w:rsidRPr="00E90ABD">
        <w:rPr>
          <w:bCs/>
          <w:sz w:val="20"/>
          <w:szCs w:val="20"/>
          <w:vertAlign w:val="superscript"/>
        </w:rPr>
        <w:t xml:space="preserve"> (</w:t>
      </w:r>
      <w:r w:rsidR="00096944" w:rsidRPr="00E90ABD">
        <w:rPr>
          <w:bCs/>
          <w:sz w:val="20"/>
          <w:szCs w:val="20"/>
          <w:vertAlign w:val="superscript"/>
        </w:rPr>
        <w:t>21</w:t>
      </w:r>
      <w:r w:rsidR="00CE5CB1" w:rsidRPr="00E90ABD">
        <w:rPr>
          <w:bCs/>
          <w:sz w:val="20"/>
          <w:szCs w:val="20"/>
          <w:vertAlign w:val="superscript"/>
        </w:rPr>
        <w:t>)</w:t>
      </w:r>
    </w:p>
    <w:p w:rsidR="00CE5CB1" w:rsidRPr="00E90ABD" w:rsidRDefault="00CE5CB1" w:rsidP="00F06E05">
      <w:pPr>
        <w:autoSpaceDE w:val="0"/>
        <w:autoSpaceDN w:val="0"/>
        <w:adjustRightInd w:val="0"/>
        <w:snapToGrid w:val="0"/>
        <w:jc w:val="both"/>
        <w:rPr>
          <w:b/>
          <w:sz w:val="20"/>
          <w:szCs w:val="20"/>
        </w:rPr>
      </w:pPr>
      <w:r w:rsidRPr="00E90ABD">
        <w:rPr>
          <w:b/>
          <w:sz w:val="20"/>
          <w:szCs w:val="20"/>
        </w:rPr>
        <w:t>Part 2: Range of motion</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lastRenderedPageBreak/>
        <w:t>The patient starts with his elbow fully extended and then tries to flex the elbow.</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20 points are given when the arm reaches more than</w:t>
      </w:r>
      <w:r w:rsidR="0047206C" w:rsidRPr="00E90ABD">
        <w:rPr>
          <w:bCs/>
          <w:sz w:val="20"/>
          <w:szCs w:val="20"/>
        </w:rPr>
        <w:t xml:space="preserve"> </w:t>
      </w:r>
      <w:r w:rsidR="00F06E05" w:rsidRPr="00E90ABD">
        <w:rPr>
          <w:bCs/>
          <w:sz w:val="20"/>
          <w:szCs w:val="20"/>
        </w:rPr>
        <w:t>100° flexion</w:t>
      </w:r>
      <w:r w:rsidR="00F06E05" w:rsidRPr="00E90ABD">
        <w:rPr>
          <w:rFonts w:hint="eastAsia"/>
          <w:bCs/>
          <w:sz w:val="20"/>
          <w:szCs w:val="20"/>
          <w:lang w:eastAsia="zh-CN"/>
        </w:rPr>
        <w:t>.</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15 points If the angle is between 100°-50°</w:t>
      </w:r>
      <w:r w:rsidR="00F06E05" w:rsidRPr="00E90ABD">
        <w:rPr>
          <w:rFonts w:hint="eastAsia"/>
          <w:bCs/>
          <w:sz w:val="20"/>
          <w:szCs w:val="20"/>
          <w:lang w:eastAsia="zh-CN"/>
        </w:rPr>
        <w:t>.</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5 Points when the elbow bends 50° or less.</w:t>
      </w:r>
      <w:r w:rsidRPr="00E90ABD">
        <w:rPr>
          <w:bCs/>
          <w:sz w:val="20"/>
          <w:szCs w:val="20"/>
          <w:vertAlign w:val="superscript"/>
        </w:rPr>
        <w:t xml:space="preserve"> (</w:t>
      </w:r>
      <w:r w:rsidR="00096944" w:rsidRPr="00E90ABD">
        <w:rPr>
          <w:bCs/>
          <w:sz w:val="20"/>
          <w:szCs w:val="20"/>
          <w:vertAlign w:val="superscript"/>
        </w:rPr>
        <w:t>21</w:t>
      </w:r>
      <w:r w:rsidRPr="00E90ABD">
        <w:rPr>
          <w:bCs/>
          <w:sz w:val="20"/>
          <w:szCs w:val="20"/>
          <w:vertAlign w:val="superscript"/>
        </w:rPr>
        <w:t>)</w:t>
      </w:r>
    </w:p>
    <w:p w:rsidR="00E90ABD" w:rsidRDefault="00E90ABD" w:rsidP="00F06E05">
      <w:pPr>
        <w:autoSpaceDE w:val="0"/>
        <w:autoSpaceDN w:val="0"/>
        <w:adjustRightInd w:val="0"/>
        <w:snapToGrid w:val="0"/>
        <w:jc w:val="both"/>
        <w:rPr>
          <w:rFonts w:hint="eastAsia"/>
          <w:b/>
          <w:sz w:val="20"/>
          <w:szCs w:val="20"/>
          <w:lang w:eastAsia="zh-CN"/>
        </w:rPr>
      </w:pPr>
    </w:p>
    <w:p w:rsidR="00CE5CB1" w:rsidRPr="00E90ABD" w:rsidRDefault="00CE5CB1" w:rsidP="00F06E05">
      <w:pPr>
        <w:autoSpaceDE w:val="0"/>
        <w:autoSpaceDN w:val="0"/>
        <w:adjustRightInd w:val="0"/>
        <w:snapToGrid w:val="0"/>
        <w:jc w:val="both"/>
        <w:rPr>
          <w:b/>
          <w:sz w:val="20"/>
          <w:szCs w:val="20"/>
        </w:rPr>
      </w:pPr>
      <w:r w:rsidRPr="00E90ABD">
        <w:rPr>
          <w:b/>
          <w:sz w:val="20"/>
          <w:szCs w:val="20"/>
        </w:rPr>
        <w:t>Part 3: Stability</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When the elbow is considered stable 10 points are given.</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A mildly unstable elbow results in 5 points.</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An unstable elbow does not receive points (0).</w:t>
      </w:r>
      <w:r w:rsidRPr="00E90ABD">
        <w:rPr>
          <w:bCs/>
          <w:sz w:val="20"/>
          <w:szCs w:val="20"/>
          <w:vertAlign w:val="superscript"/>
        </w:rPr>
        <w:t xml:space="preserve"> (</w:t>
      </w:r>
      <w:r w:rsidR="00096944" w:rsidRPr="00E90ABD">
        <w:rPr>
          <w:bCs/>
          <w:sz w:val="20"/>
          <w:szCs w:val="20"/>
          <w:vertAlign w:val="superscript"/>
        </w:rPr>
        <w:t>21</w:t>
      </w:r>
      <w:r w:rsidRPr="00E90ABD">
        <w:rPr>
          <w:bCs/>
          <w:sz w:val="20"/>
          <w:szCs w:val="20"/>
          <w:vertAlign w:val="superscript"/>
        </w:rPr>
        <w:t>)</w:t>
      </w:r>
    </w:p>
    <w:p w:rsidR="00CE5CB1" w:rsidRPr="00E90ABD" w:rsidRDefault="00CE5CB1" w:rsidP="00F06E05">
      <w:pPr>
        <w:autoSpaceDE w:val="0"/>
        <w:autoSpaceDN w:val="0"/>
        <w:adjustRightInd w:val="0"/>
        <w:snapToGrid w:val="0"/>
        <w:jc w:val="both"/>
        <w:rPr>
          <w:b/>
          <w:sz w:val="20"/>
          <w:szCs w:val="20"/>
        </w:rPr>
      </w:pPr>
      <w:r w:rsidRPr="00E90ABD">
        <w:rPr>
          <w:b/>
          <w:sz w:val="20"/>
          <w:szCs w:val="20"/>
        </w:rPr>
        <w:t>Part 4: ADL</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Based on 5 ADL’s who are each given 5 points an image is sketched how well the patient is able to participate in the daily life. The activities are:</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Combing your hair</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Performing personal hygiene</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Eating</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Putting on shirt and shoes.</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results are graded with a maximum of 100 points and categorised into 4 groups:</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91- 100: excellent</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90 – 81: good</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80 – 71: fair</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&lt;70: poor</w:t>
      </w:r>
      <w:r w:rsidR="0065081C" w:rsidRPr="00E90ABD">
        <w:rPr>
          <w:bCs/>
          <w:sz w:val="20"/>
          <w:szCs w:val="20"/>
        </w:rPr>
        <w:t xml:space="preserve">. </w:t>
      </w:r>
      <w:r w:rsidR="0065081C" w:rsidRPr="00E90ABD">
        <w:rPr>
          <w:bCs/>
          <w:sz w:val="20"/>
          <w:szCs w:val="20"/>
          <w:vertAlign w:val="superscript"/>
        </w:rPr>
        <w:t>(</w:t>
      </w:r>
      <w:r w:rsidR="00096944" w:rsidRPr="00E90ABD">
        <w:rPr>
          <w:bCs/>
          <w:sz w:val="20"/>
          <w:szCs w:val="20"/>
          <w:vertAlign w:val="superscript"/>
        </w:rPr>
        <w:t>21</w:t>
      </w:r>
      <w:r w:rsidRPr="00E90ABD">
        <w:rPr>
          <w:bCs/>
          <w:sz w:val="20"/>
          <w:szCs w:val="20"/>
          <w:vertAlign w:val="superscript"/>
        </w:rPr>
        <w:t>)</w:t>
      </w:r>
    </w:p>
    <w:p w:rsidR="00E90ABD" w:rsidRDefault="00E90ABD" w:rsidP="00F06E05">
      <w:pPr>
        <w:autoSpaceDE w:val="0"/>
        <w:autoSpaceDN w:val="0"/>
        <w:adjustRightInd w:val="0"/>
        <w:snapToGrid w:val="0"/>
        <w:jc w:val="both"/>
        <w:rPr>
          <w:rFonts w:hint="eastAsia"/>
          <w:b/>
          <w:sz w:val="20"/>
          <w:szCs w:val="20"/>
          <w:lang w:eastAsia="zh-CN"/>
        </w:rPr>
      </w:pPr>
    </w:p>
    <w:p w:rsidR="00CE5CB1" w:rsidRPr="00E90ABD" w:rsidRDefault="00CE5CB1" w:rsidP="00F06E05">
      <w:pPr>
        <w:autoSpaceDE w:val="0"/>
        <w:autoSpaceDN w:val="0"/>
        <w:adjustRightInd w:val="0"/>
        <w:snapToGrid w:val="0"/>
        <w:jc w:val="both"/>
        <w:rPr>
          <w:b/>
          <w:sz w:val="20"/>
          <w:szCs w:val="20"/>
        </w:rPr>
      </w:pPr>
      <w:r w:rsidRPr="00E90ABD">
        <w:rPr>
          <w:b/>
          <w:sz w:val="20"/>
          <w:szCs w:val="20"/>
        </w:rPr>
        <w:t>Statistical Analysis</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Data were collected, revised, coded and entered to the Statistical Package for Social Science (IBM SPSS) version 23. </w:t>
      </w:r>
      <w:r w:rsidR="006533AC" w:rsidRPr="00E90ABD">
        <w:rPr>
          <w:bCs/>
          <w:sz w:val="20"/>
          <w:szCs w:val="20"/>
        </w:rPr>
        <w:t xml:space="preserve">Qualitative </w:t>
      </w:r>
      <w:r w:rsidRPr="00E90ABD">
        <w:rPr>
          <w:bCs/>
          <w:sz w:val="20"/>
          <w:szCs w:val="20"/>
        </w:rPr>
        <w:t xml:space="preserve">variables were presented as number and percentages. </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The comparison between groups regarding qualitative data was done by using </w:t>
      </w:r>
      <w:r w:rsidRPr="00E90ABD">
        <w:rPr>
          <w:b/>
          <w:bCs/>
          <w:sz w:val="20"/>
          <w:szCs w:val="20"/>
        </w:rPr>
        <w:t>Chi-square test</w:t>
      </w:r>
      <w:r w:rsidRPr="00E90ABD">
        <w:rPr>
          <w:bCs/>
          <w:sz w:val="20"/>
          <w:szCs w:val="20"/>
        </w:rPr>
        <w:t>.</w:t>
      </w:r>
      <w:r w:rsidRPr="00E90ABD">
        <w:rPr>
          <w:b/>
          <w:bCs/>
          <w:sz w:val="20"/>
          <w:szCs w:val="20"/>
        </w:rPr>
        <w:t xml:space="preserve"> </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The confidence interval was set to 95% and the margin of error accepted was set to 5%. So, the p-value was considered significant as the following: </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P-value &gt; 0.05: Non significant (NS)</w:t>
      </w:r>
    </w:p>
    <w:p w:rsidR="00CE5CB1"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P-value &lt; 0.05: Significant (S)</w:t>
      </w:r>
    </w:p>
    <w:p w:rsidR="002F603A" w:rsidRPr="00E90ABD" w:rsidRDefault="00CE5CB1" w:rsidP="00F06E05">
      <w:pPr>
        <w:numPr>
          <w:ilvl w:val="2"/>
          <w:numId w:val="12"/>
        </w:numPr>
        <w:tabs>
          <w:tab w:val="clear" w:pos="2160"/>
          <w:tab w:val="num" w:pos="-1080"/>
        </w:tabs>
        <w:autoSpaceDE w:val="0"/>
        <w:autoSpaceDN w:val="0"/>
        <w:adjustRightInd w:val="0"/>
        <w:snapToGrid w:val="0"/>
        <w:ind w:left="0" w:firstLine="425"/>
        <w:jc w:val="both"/>
        <w:rPr>
          <w:bCs/>
          <w:sz w:val="20"/>
          <w:szCs w:val="20"/>
        </w:rPr>
      </w:pPr>
      <w:r w:rsidRPr="00E90ABD">
        <w:rPr>
          <w:bCs/>
          <w:sz w:val="20"/>
          <w:szCs w:val="20"/>
        </w:rPr>
        <w:t>P-value &lt; 0.01: Highly significant (H)</w:t>
      </w:r>
    </w:p>
    <w:p w:rsidR="00F06E05" w:rsidRPr="00E90ABD" w:rsidRDefault="00F06E05" w:rsidP="00F06E05">
      <w:pPr>
        <w:snapToGrid w:val="0"/>
        <w:jc w:val="both"/>
        <w:rPr>
          <w:b/>
          <w:bCs/>
          <w:sz w:val="20"/>
          <w:szCs w:val="20"/>
          <w:lang w:eastAsia="zh-CN"/>
        </w:rPr>
      </w:pPr>
    </w:p>
    <w:p w:rsidR="00071A10" w:rsidRPr="00E90ABD" w:rsidRDefault="00F06E05" w:rsidP="00F06E05">
      <w:pPr>
        <w:snapToGrid w:val="0"/>
        <w:jc w:val="both"/>
        <w:rPr>
          <w:b/>
          <w:bCs/>
          <w:sz w:val="20"/>
          <w:szCs w:val="20"/>
        </w:rPr>
      </w:pPr>
      <w:r w:rsidRPr="00E90ABD">
        <w:rPr>
          <w:b/>
          <w:bCs/>
          <w:sz w:val="20"/>
          <w:szCs w:val="20"/>
        </w:rPr>
        <w:t>Results</w:t>
      </w:r>
    </w:p>
    <w:p w:rsidR="00CE5CB1" w:rsidRPr="00E90ABD" w:rsidRDefault="006533AC" w:rsidP="00F06E05">
      <w:pPr>
        <w:autoSpaceDE w:val="0"/>
        <w:autoSpaceDN w:val="0"/>
        <w:adjustRightInd w:val="0"/>
        <w:snapToGrid w:val="0"/>
        <w:ind w:firstLine="425"/>
        <w:jc w:val="both"/>
        <w:rPr>
          <w:bCs/>
          <w:sz w:val="20"/>
          <w:szCs w:val="20"/>
        </w:rPr>
      </w:pPr>
      <w:r w:rsidRPr="00E90ABD">
        <w:rPr>
          <w:bCs/>
          <w:sz w:val="20"/>
          <w:szCs w:val="20"/>
        </w:rPr>
        <w:t>T</w:t>
      </w:r>
      <w:r w:rsidR="00CE5CB1" w:rsidRPr="00E90ABD">
        <w:rPr>
          <w:bCs/>
          <w:sz w:val="20"/>
          <w:szCs w:val="20"/>
        </w:rPr>
        <w:t xml:space="preserve">wenty children were treated for displaced supracondylar fracture of the humerus during the study period. The mean age was 7 years (range: 2–12 years). </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 xml:space="preserve">The duration from injury to admission to the hospital ranged from 2 to 72 hours, with a mean of 12.75 hours (Table </w:t>
      </w:r>
      <w:r w:rsidR="00CA6761" w:rsidRPr="00E90ABD">
        <w:rPr>
          <w:bCs/>
          <w:sz w:val="20"/>
          <w:szCs w:val="20"/>
        </w:rPr>
        <w:t>3</w:t>
      </w:r>
      <w:r w:rsidRPr="00E90ABD">
        <w:rPr>
          <w:bCs/>
          <w:sz w:val="20"/>
          <w:szCs w:val="20"/>
        </w:rPr>
        <w:t>).</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We followed up all the patients for postoperative stability, range of motions and pin tract infection.</w:t>
      </w:r>
    </w:p>
    <w:p w:rsidR="00F06E05" w:rsidRPr="00E90ABD" w:rsidRDefault="00CE5CB1" w:rsidP="00F06E05">
      <w:pPr>
        <w:autoSpaceDE w:val="0"/>
        <w:autoSpaceDN w:val="0"/>
        <w:adjustRightInd w:val="0"/>
        <w:snapToGrid w:val="0"/>
        <w:ind w:firstLine="425"/>
        <w:jc w:val="both"/>
        <w:rPr>
          <w:bCs/>
          <w:sz w:val="20"/>
          <w:szCs w:val="20"/>
        </w:rPr>
      </w:pPr>
      <w:r w:rsidRPr="00E90ABD">
        <w:rPr>
          <w:bCs/>
          <w:sz w:val="20"/>
          <w:szCs w:val="20"/>
        </w:rPr>
        <w:t>Concerning stability, the lateral method by three k-wires was stable in all patients.</w:t>
      </w:r>
    </w:p>
    <w:p w:rsidR="00E90ABD" w:rsidRPr="00E90ABD" w:rsidRDefault="00E90ABD" w:rsidP="00F06E05">
      <w:pPr>
        <w:autoSpaceDE w:val="0"/>
        <w:autoSpaceDN w:val="0"/>
        <w:adjustRightInd w:val="0"/>
        <w:snapToGrid w:val="0"/>
        <w:jc w:val="center"/>
        <w:rPr>
          <w:rFonts w:hint="eastAsia"/>
          <w:b/>
          <w:bCs/>
          <w:sz w:val="20"/>
          <w:szCs w:val="20"/>
          <w:lang w:eastAsia="zh-CN"/>
        </w:rPr>
      </w:pPr>
      <w:bookmarkStart w:id="3" w:name="_Toc7393062"/>
    </w:p>
    <w:p w:rsidR="00CE5CB1" w:rsidRPr="00E90ABD" w:rsidRDefault="00CE5CB1" w:rsidP="00F06E05">
      <w:pPr>
        <w:autoSpaceDE w:val="0"/>
        <w:autoSpaceDN w:val="0"/>
        <w:adjustRightInd w:val="0"/>
        <w:snapToGrid w:val="0"/>
        <w:jc w:val="center"/>
        <w:rPr>
          <w:b/>
          <w:bCs/>
          <w:sz w:val="20"/>
          <w:szCs w:val="20"/>
        </w:rPr>
      </w:pPr>
      <w:r w:rsidRPr="00E90ABD">
        <w:rPr>
          <w:b/>
          <w:bCs/>
          <w:sz w:val="20"/>
          <w:szCs w:val="20"/>
        </w:rPr>
        <w:lastRenderedPageBreak/>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3</w:t>
      </w:r>
      <w:r w:rsidR="00926F4F" w:rsidRPr="00E90ABD">
        <w:rPr>
          <w:bCs/>
          <w:sz w:val="20"/>
          <w:szCs w:val="20"/>
        </w:rPr>
        <w:fldChar w:fldCharType="end"/>
      </w:r>
      <w:r w:rsidRPr="00E90ABD">
        <w:rPr>
          <w:b/>
          <w:bCs/>
          <w:sz w:val="20"/>
          <w:szCs w:val="20"/>
        </w:rPr>
        <w:t xml:space="preserve">): </w:t>
      </w:r>
      <w:r w:rsidRPr="00E90ABD">
        <w:rPr>
          <w:bCs/>
          <w:sz w:val="20"/>
          <w:szCs w:val="20"/>
        </w:rPr>
        <w:t>Postoperative Stability</w:t>
      </w:r>
      <w:bookmarkEnd w:id="3"/>
      <w:r w:rsidRPr="00E90ABD">
        <w:rPr>
          <w:b/>
          <w:bCs/>
          <w:sz w:val="20"/>
          <w:szCs w:val="20"/>
        </w:rPr>
        <w:t xml:space="preserve"> </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4A0"/>
      </w:tblPr>
      <w:tblGrid>
        <w:gridCol w:w="2417"/>
        <w:gridCol w:w="2077"/>
      </w:tblGrid>
      <w:tr w:rsidR="00CE5CB1" w:rsidRPr="00E90ABD" w:rsidTr="0065081C">
        <w:trPr>
          <w:jc w:val="center"/>
        </w:trPr>
        <w:tc>
          <w:tcPr>
            <w:tcW w:w="2689"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Stability</w:t>
            </w:r>
          </w:p>
        </w:tc>
        <w:tc>
          <w:tcPr>
            <w:tcW w:w="2311"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Lateral</w:t>
            </w:r>
          </w:p>
        </w:tc>
      </w:tr>
      <w:tr w:rsidR="00CE5CB1" w:rsidRPr="00E90ABD" w:rsidTr="0065081C">
        <w:trPr>
          <w:jc w:val="center"/>
        </w:trPr>
        <w:tc>
          <w:tcPr>
            <w:tcW w:w="2689"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Stable</w:t>
            </w:r>
          </w:p>
        </w:tc>
        <w:tc>
          <w:tcPr>
            <w:tcW w:w="2311"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20</w:t>
            </w:r>
          </w:p>
        </w:tc>
      </w:tr>
      <w:tr w:rsidR="00CE5CB1" w:rsidRPr="00E90ABD" w:rsidTr="0065081C">
        <w:trPr>
          <w:jc w:val="center"/>
        </w:trPr>
        <w:tc>
          <w:tcPr>
            <w:tcW w:w="2689"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Unstable</w:t>
            </w:r>
          </w:p>
        </w:tc>
        <w:tc>
          <w:tcPr>
            <w:tcW w:w="2311"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0</w:t>
            </w:r>
          </w:p>
        </w:tc>
      </w:tr>
      <w:tr w:rsidR="00CE5CB1" w:rsidRPr="00E90ABD" w:rsidTr="0065081C">
        <w:trPr>
          <w:jc w:val="center"/>
        </w:trPr>
        <w:tc>
          <w:tcPr>
            <w:tcW w:w="2689"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Total</w:t>
            </w:r>
          </w:p>
        </w:tc>
        <w:tc>
          <w:tcPr>
            <w:tcW w:w="2311"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20</w:t>
            </w:r>
          </w:p>
        </w:tc>
      </w:tr>
    </w:tbl>
    <w:p w:rsidR="0065081C" w:rsidRPr="00E90ABD" w:rsidRDefault="0065081C" w:rsidP="00F06E05">
      <w:pPr>
        <w:autoSpaceDE w:val="0"/>
        <w:autoSpaceDN w:val="0"/>
        <w:adjustRightInd w:val="0"/>
        <w:snapToGrid w:val="0"/>
        <w:ind w:firstLine="425"/>
        <w:jc w:val="both"/>
        <w:rPr>
          <w:bCs/>
          <w:sz w:val="20"/>
          <w:szCs w:val="20"/>
          <w:lang w:eastAsia="zh-CN"/>
        </w:rPr>
      </w:pP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The range of motions was restored in 2 months after removal of the wires except five children who required an extended period of intensive physiotherapy because of persistent elbow stiffness.</w:t>
      </w: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All regained full range of motion after physiotherapy.</w:t>
      </w:r>
    </w:p>
    <w:p w:rsidR="0001245B" w:rsidRPr="00E90ABD" w:rsidRDefault="0001245B" w:rsidP="00F06E05">
      <w:pPr>
        <w:autoSpaceDE w:val="0"/>
        <w:autoSpaceDN w:val="0"/>
        <w:adjustRightInd w:val="0"/>
        <w:snapToGrid w:val="0"/>
        <w:jc w:val="center"/>
        <w:rPr>
          <w:b/>
          <w:bCs/>
          <w:sz w:val="20"/>
          <w:szCs w:val="20"/>
        </w:rPr>
      </w:pPr>
    </w:p>
    <w:p w:rsidR="00CE5CB1" w:rsidRPr="00E90ABD" w:rsidRDefault="00CE5CB1" w:rsidP="00F06E05">
      <w:pPr>
        <w:autoSpaceDE w:val="0"/>
        <w:autoSpaceDN w:val="0"/>
        <w:adjustRightInd w:val="0"/>
        <w:snapToGrid w:val="0"/>
        <w:jc w:val="center"/>
        <w:rPr>
          <w:bCs/>
          <w:sz w:val="20"/>
          <w:szCs w:val="20"/>
        </w:rPr>
      </w:pPr>
      <w:r w:rsidRPr="00E90ABD">
        <w:rPr>
          <w:b/>
          <w:bCs/>
          <w:sz w:val="20"/>
          <w:szCs w:val="20"/>
        </w:rPr>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4</w:t>
      </w:r>
      <w:r w:rsidR="00926F4F" w:rsidRPr="00E90ABD">
        <w:rPr>
          <w:bCs/>
          <w:sz w:val="20"/>
          <w:szCs w:val="20"/>
        </w:rPr>
        <w:fldChar w:fldCharType="end"/>
      </w:r>
      <w:r w:rsidRPr="00E90ABD">
        <w:rPr>
          <w:b/>
          <w:bCs/>
          <w:sz w:val="20"/>
          <w:szCs w:val="20"/>
        </w:rPr>
        <w:t xml:space="preserve">): </w:t>
      </w:r>
      <w:r w:rsidRPr="00E90ABD">
        <w:rPr>
          <w:bCs/>
          <w:sz w:val="20"/>
          <w:szCs w:val="20"/>
        </w:rPr>
        <w:t>Postoperative Range of Motion (ROM)</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4A0"/>
      </w:tblPr>
      <w:tblGrid>
        <w:gridCol w:w="3294"/>
        <w:gridCol w:w="1200"/>
      </w:tblGrid>
      <w:tr w:rsidR="00CE5CB1" w:rsidRPr="00E90ABD" w:rsidTr="0065081C">
        <w:trPr>
          <w:jc w:val="center"/>
        </w:trPr>
        <w:tc>
          <w:tcPr>
            <w:tcW w:w="3665"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ROM</w:t>
            </w:r>
          </w:p>
        </w:tc>
        <w:tc>
          <w:tcPr>
            <w:tcW w:w="1335"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Lateral</w:t>
            </w:r>
          </w:p>
        </w:tc>
      </w:tr>
      <w:tr w:rsidR="00CE5CB1" w:rsidRPr="00E90ABD" w:rsidTr="0065081C">
        <w:trPr>
          <w:jc w:val="center"/>
        </w:trPr>
        <w:tc>
          <w:tcPr>
            <w:tcW w:w="3665"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Full Range</w:t>
            </w:r>
          </w:p>
        </w:tc>
        <w:tc>
          <w:tcPr>
            <w:tcW w:w="1335"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15</w:t>
            </w:r>
          </w:p>
        </w:tc>
      </w:tr>
      <w:tr w:rsidR="00CE5CB1" w:rsidRPr="00E90ABD" w:rsidTr="0065081C">
        <w:trPr>
          <w:jc w:val="center"/>
        </w:trPr>
        <w:tc>
          <w:tcPr>
            <w:tcW w:w="3665"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Postoperative Stiffness</w:t>
            </w:r>
          </w:p>
        </w:tc>
        <w:tc>
          <w:tcPr>
            <w:tcW w:w="1335"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5</w:t>
            </w:r>
          </w:p>
        </w:tc>
      </w:tr>
      <w:tr w:rsidR="00CE5CB1" w:rsidRPr="00E90ABD" w:rsidTr="0065081C">
        <w:trPr>
          <w:jc w:val="center"/>
        </w:trPr>
        <w:tc>
          <w:tcPr>
            <w:tcW w:w="3665"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Total</w:t>
            </w:r>
          </w:p>
        </w:tc>
        <w:tc>
          <w:tcPr>
            <w:tcW w:w="1335"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20</w:t>
            </w:r>
          </w:p>
        </w:tc>
      </w:tr>
    </w:tbl>
    <w:p w:rsidR="0065081C" w:rsidRPr="00E90ABD" w:rsidRDefault="0065081C" w:rsidP="00F06E05">
      <w:pPr>
        <w:autoSpaceDE w:val="0"/>
        <w:autoSpaceDN w:val="0"/>
        <w:adjustRightInd w:val="0"/>
        <w:snapToGrid w:val="0"/>
        <w:ind w:firstLine="425"/>
        <w:jc w:val="both"/>
        <w:rPr>
          <w:bCs/>
          <w:sz w:val="20"/>
          <w:szCs w:val="20"/>
          <w:lang w:eastAsia="zh-CN"/>
        </w:rPr>
      </w:pPr>
    </w:p>
    <w:p w:rsidR="00CE5CB1" w:rsidRPr="00E90ABD" w:rsidRDefault="00CE5CB1" w:rsidP="00F06E05">
      <w:pPr>
        <w:autoSpaceDE w:val="0"/>
        <w:autoSpaceDN w:val="0"/>
        <w:adjustRightInd w:val="0"/>
        <w:snapToGrid w:val="0"/>
        <w:ind w:firstLine="425"/>
        <w:jc w:val="both"/>
        <w:rPr>
          <w:bCs/>
          <w:sz w:val="20"/>
          <w:szCs w:val="20"/>
        </w:rPr>
      </w:pPr>
      <w:r w:rsidRPr="00E90ABD">
        <w:rPr>
          <w:bCs/>
          <w:sz w:val="20"/>
          <w:szCs w:val="20"/>
        </w:rPr>
        <w:t>Pin tract infection was noticed in two patients on the third week, all were resolved by dressing.</w:t>
      </w:r>
    </w:p>
    <w:p w:rsidR="0001245B" w:rsidRPr="00E90ABD" w:rsidRDefault="0001245B" w:rsidP="00F06E05">
      <w:pPr>
        <w:autoSpaceDE w:val="0"/>
        <w:autoSpaceDN w:val="0"/>
        <w:adjustRightInd w:val="0"/>
        <w:snapToGrid w:val="0"/>
        <w:jc w:val="center"/>
        <w:rPr>
          <w:b/>
          <w:bCs/>
          <w:sz w:val="20"/>
          <w:szCs w:val="20"/>
        </w:rPr>
      </w:pPr>
      <w:bookmarkStart w:id="4" w:name="_Toc7393064"/>
    </w:p>
    <w:p w:rsidR="00CE5CB1" w:rsidRPr="00E90ABD" w:rsidRDefault="00CE5CB1" w:rsidP="00F06E05">
      <w:pPr>
        <w:autoSpaceDE w:val="0"/>
        <w:autoSpaceDN w:val="0"/>
        <w:adjustRightInd w:val="0"/>
        <w:snapToGrid w:val="0"/>
        <w:jc w:val="center"/>
        <w:rPr>
          <w:bCs/>
          <w:sz w:val="20"/>
          <w:szCs w:val="20"/>
        </w:rPr>
      </w:pPr>
      <w:r w:rsidRPr="00E90ABD">
        <w:rPr>
          <w:b/>
          <w:bCs/>
          <w:sz w:val="20"/>
          <w:szCs w:val="20"/>
        </w:rPr>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5</w:t>
      </w:r>
      <w:r w:rsidR="00926F4F" w:rsidRPr="00E90ABD">
        <w:rPr>
          <w:bCs/>
          <w:sz w:val="20"/>
          <w:szCs w:val="20"/>
        </w:rPr>
        <w:fldChar w:fldCharType="end"/>
      </w:r>
      <w:r w:rsidRPr="00E90ABD">
        <w:rPr>
          <w:b/>
          <w:bCs/>
          <w:sz w:val="20"/>
          <w:szCs w:val="20"/>
        </w:rPr>
        <w:t xml:space="preserve">): </w:t>
      </w:r>
      <w:r w:rsidRPr="00E90ABD">
        <w:rPr>
          <w:bCs/>
          <w:sz w:val="20"/>
          <w:szCs w:val="20"/>
        </w:rPr>
        <w:t>Pin Tract Infection (PTI)</w:t>
      </w:r>
      <w:bookmarkEnd w:id="4"/>
      <w:r w:rsidRPr="00E90ABD">
        <w:rPr>
          <w:bCs/>
          <w:sz w:val="20"/>
          <w:szCs w:val="20"/>
        </w:rPr>
        <w:t xml:space="preserve"> </w:t>
      </w:r>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4A0"/>
      </w:tblPr>
      <w:tblGrid>
        <w:gridCol w:w="2238"/>
        <w:gridCol w:w="2256"/>
      </w:tblGrid>
      <w:tr w:rsidR="00CE5CB1" w:rsidRPr="00E90ABD" w:rsidTr="0065081C">
        <w:trPr>
          <w:jc w:val="center"/>
        </w:trPr>
        <w:tc>
          <w:tcPr>
            <w:tcW w:w="2490"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p>
        </w:tc>
        <w:tc>
          <w:tcPr>
            <w:tcW w:w="2510"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Lateral</w:t>
            </w:r>
          </w:p>
        </w:tc>
      </w:tr>
      <w:tr w:rsidR="00CE5CB1" w:rsidRPr="00E90ABD" w:rsidTr="0065081C">
        <w:trPr>
          <w:jc w:val="center"/>
        </w:trPr>
        <w:tc>
          <w:tcPr>
            <w:tcW w:w="2490"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PTI</w:t>
            </w:r>
          </w:p>
        </w:tc>
        <w:tc>
          <w:tcPr>
            <w:tcW w:w="2510"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2</w:t>
            </w:r>
          </w:p>
        </w:tc>
      </w:tr>
      <w:tr w:rsidR="00CE5CB1" w:rsidRPr="00E90ABD" w:rsidTr="0065081C">
        <w:trPr>
          <w:jc w:val="center"/>
        </w:trPr>
        <w:tc>
          <w:tcPr>
            <w:tcW w:w="2490"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No PTI</w:t>
            </w:r>
          </w:p>
        </w:tc>
        <w:tc>
          <w:tcPr>
            <w:tcW w:w="2510"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18</w:t>
            </w:r>
          </w:p>
        </w:tc>
      </w:tr>
      <w:tr w:rsidR="00CE5CB1" w:rsidRPr="00E90ABD" w:rsidTr="0065081C">
        <w:trPr>
          <w:jc w:val="center"/>
        </w:trPr>
        <w:tc>
          <w:tcPr>
            <w:tcW w:w="2490"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Total</w:t>
            </w:r>
          </w:p>
        </w:tc>
        <w:tc>
          <w:tcPr>
            <w:tcW w:w="2510" w:type="pct"/>
            <w:shd w:val="clear" w:color="auto" w:fill="auto"/>
            <w:vAlign w:val="center"/>
          </w:tcPr>
          <w:p w:rsidR="00CE5CB1" w:rsidRPr="00E90ABD" w:rsidRDefault="00CE5CB1" w:rsidP="00F06E05">
            <w:pPr>
              <w:autoSpaceDE w:val="0"/>
              <w:autoSpaceDN w:val="0"/>
              <w:adjustRightInd w:val="0"/>
              <w:snapToGrid w:val="0"/>
              <w:jc w:val="both"/>
              <w:rPr>
                <w:bCs/>
                <w:sz w:val="20"/>
                <w:szCs w:val="20"/>
              </w:rPr>
            </w:pPr>
            <w:r w:rsidRPr="00E90ABD">
              <w:rPr>
                <w:bCs/>
                <w:sz w:val="20"/>
                <w:szCs w:val="20"/>
              </w:rPr>
              <w:t>20</w:t>
            </w:r>
          </w:p>
        </w:tc>
      </w:tr>
    </w:tbl>
    <w:p w:rsidR="0001245B" w:rsidRPr="00E90ABD" w:rsidRDefault="0001245B" w:rsidP="00F06E05">
      <w:pPr>
        <w:autoSpaceDE w:val="0"/>
        <w:autoSpaceDN w:val="0"/>
        <w:adjustRightInd w:val="0"/>
        <w:snapToGrid w:val="0"/>
        <w:jc w:val="center"/>
        <w:rPr>
          <w:b/>
          <w:bCs/>
          <w:sz w:val="20"/>
          <w:szCs w:val="20"/>
        </w:rPr>
      </w:pPr>
      <w:bookmarkStart w:id="5" w:name="_Toc7393065"/>
    </w:p>
    <w:p w:rsidR="00CE5CB1" w:rsidRPr="00E90ABD" w:rsidRDefault="00CE5CB1" w:rsidP="00F06E05">
      <w:pPr>
        <w:autoSpaceDE w:val="0"/>
        <w:autoSpaceDN w:val="0"/>
        <w:adjustRightInd w:val="0"/>
        <w:snapToGrid w:val="0"/>
        <w:jc w:val="center"/>
        <w:rPr>
          <w:bCs/>
          <w:sz w:val="20"/>
          <w:szCs w:val="20"/>
          <w:lang w:bidi="ar-EG"/>
        </w:rPr>
      </w:pPr>
      <w:r w:rsidRPr="00E90ABD">
        <w:rPr>
          <w:b/>
          <w:bCs/>
          <w:sz w:val="20"/>
          <w:szCs w:val="20"/>
        </w:rPr>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6</w:t>
      </w:r>
      <w:r w:rsidR="00926F4F" w:rsidRPr="00E90ABD">
        <w:rPr>
          <w:bCs/>
          <w:sz w:val="20"/>
          <w:szCs w:val="20"/>
        </w:rPr>
        <w:fldChar w:fldCharType="end"/>
      </w:r>
      <w:r w:rsidRPr="00E90ABD">
        <w:rPr>
          <w:b/>
          <w:bCs/>
          <w:sz w:val="20"/>
          <w:szCs w:val="20"/>
        </w:rPr>
        <w:t xml:space="preserve">): </w:t>
      </w:r>
      <w:r w:rsidRPr="00E90ABD">
        <w:rPr>
          <w:bCs/>
          <w:sz w:val="20"/>
          <w:szCs w:val="20"/>
        </w:rPr>
        <w:t>Postoperative Complications</w:t>
      </w:r>
      <w:bookmarkEnd w:id="5"/>
    </w:p>
    <w:tbl>
      <w:tblPr>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7" w:type="dxa"/>
          <w:right w:w="57" w:type="dxa"/>
        </w:tblCellMar>
        <w:tblLook w:val="04A0"/>
      </w:tblPr>
      <w:tblGrid>
        <w:gridCol w:w="1160"/>
        <w:gridCol w:w="1550"/>
        <w:gridCol w:w="1119"/>
        <w:gridCol w:w="665"/>
      </w:tblGrid>
      <w:tr w:rsidR="00CE5CB1" w:rsidRPr="00E90ABD" w:rsidTr="0065081C">
        <w:trPr>
          <w:jc w:val="center"/>
        </w:trPr>
        <w:tc>
          <w:tcPr>
            <w:tcW w:w="1291"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Method</w:t>
            </w:r>
          </w:p>
        </w:tc>
        <w:tc>
          <w:tcPr>
            <w:tcW w:w="1724"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 xml:space="preserve"> Instability </w:t>
            </w:r>
          </w:p>
        </w:tc>
        <w:tc>
          <w:tcPr>
            <w:tcW w:w="1245"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 xml:space="preserve">↓ ROM </w:t>
            </w:r>
          </w:p>
        </w:tc>
        <w:tc>
          <w:tcPr>
            <w:tcW w:w="740"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PTI</w:t>
            </w:r>
          </w:p>
        </w:tc>
      </w:tr>
      <w:tr w:rsidR="00CE5CB1" w:rsidRPr="00E90ABD" w:rsidTr="0065081C">
        <w:trPr>
          <w:jc w:val="center"/>
        </w:trPr>
        <w:tc>
          <w:tcPr>
            <w:tcW w:w="1291"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 xml:space="preserve">Lateral </w:t>
            </w:r>
          </w:p>
        </w:tc>
        <w:tc>
          <w:tcPr>
            <w:tcW w:w="1724"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 xml:space="preserve"> 0</w:t>
            </w:r>
          </w:p>
        </w:tc>
        <w:tc>
          <w:tcPr>
            <w:tcW w:w="1245"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 xml:space="preserve">5 </w:t>
            </w:r>
          </w:p>
        </w:tc>
        <w:tc>
          <w:tcPr>
            <w:tcW w:w="740" w:type="pct"/>
            <w:shd w:val="clear" w:color="auto" w:fill="auto"/>
            <w:vAlign w:val="center"/>
          </w:tcPr>
          <w:p w:rsidR="00CE5CB1" w:rsidRPr="00E90ABD" w:rsidRDefault="00CE5CB1" w:rsidP="00F06E05">
            <w:pPr>
              <w:autoSpaceDE w:val="0"/>
              <w:autoSpaceDN w:val="0"/>
              <w:adjustRightInd w:val="0"/>
              <w:snapToGrid w:val="0"/>
              <w:jc w:val="both"/>
              <w:rPr>
                <w:b/>
                <w:bCs/>
                <w:sz w:val="20"/>
                <w:szCs w:val="20"/>
              </w:rPr>
            </w:pPr>
            <w:r w:rsidRPr="00E90ABD">
              <w:rPr>
                <w:b/>
                <w:bCs/>
                <w:sz w:val="20"/>
                <w:szCs w:val="20"/>
              </w:rPr>
              <w:t xml:space="preserve"> 2 </w:t>
            </w:r>
          </w:p>
        </w:tc>
      </w:tr>
    </w:tbl>
    <w:p w:rsidR="0001245B" w:rsidRPr="00E90ABD" w:rsidRDefault="0001245B" w:rsidP="00F06E05">
      <w:pPr>
        <w:snapToGrid w:val="0"/>
        <w:jc w:val="both"/>
        <w:rPr>
          <w:b/>
          <w:bCs/>
          <w:sz w:val="20"/>
          <w:szCs w:val="20"/>
        </w:rPr>
      </w:pPr>
    </w:p>
    <w:p w:rsidR="007B3237" w:rsidRPr="00E90ABD" w:rsidRDefault="0001245B" w:rsidP="00F06E05">
      <w:pPr>
        <w:snapToGrid w:val="0"/>
        <w:jc w:val="both"/>
        <w:rPr>
          <w:b/>
          <w:bCs/>
          <w:sz w:val="20"/>
          <w:szCs w:val="20"/>
        </w:rPr>
      </w:pPr>
      <w:r w:rsidRPr="00E90ABD">
        <w:rPr>
          <w:b/>
          <w:bCs/>
          <w:sz w:val="20"/>
          <w:szCs w:val="20"/>
        </w:rPr>
        <w:t>4. Discussion</w:t>
      </w:r>
    </w:p>
    <w:p w:rsidR="00CE5CB1" w:rsidRPr="00E90ABD" w:rsidRDefault="006533AC" w:rsidP="00F06E05">
      <w:pPr>
        <w:snapToGrid w:val="0"/>
        <w:ind w:firstLine="425"/>
        <w:jc w:val="both"/>
        <w:rPr>
          <w:bCs/>
          <w:sz w:val="20"/>
          <w:szCs w:val="20"/>
          <w:vertAlign w:val="superscript"/>
        </w:rPr>
      </w:pPr>
      <w:r w:rsidRPr="00E90ABD">
        <w:rPr>
          <w:bCs/>
          <w:sz w:val="20"/>
          <w:szCs w:val="20"/>
        </w:rPr>
        <w:t xml:space="preserve">A </w:t>
      </w:r>
      <w:r w:rsidR="00CE5CB1" w:rsidRPr="00E90ABD">
        <w:rPr>
          <w:bCs/>
          <w:sz w:val="20"/>
          <w:szCs w:val="20"/>
        </w:rPr>
        <w:t>supracondylar fracture of the humerus is the most common fracture of the elbow in children. Unfortunately, it can also be one of the most difficult fractures to treat. While some authors have relied on a child’s remodeling capability to compensate for inadequate reduction, most authors agree that accurate reduction with minimum joint and soft tissue trauma is required to achieve the best possible functional result.</w:t>
      </w:r>
      <w:r w:rsidR="00CE5CB1" w:rsidRPr="00E90ABD">
        <w:rPr>
          <w:bCs/>
          <w:sz w:val="20"/>
          <w:szCs w:val="20"/>
          <w:vertAlign w:val="superscript"/>
        </w:rPr>
        <w:t xml:space="preserve"> (</w:t>
      </w:r>
      <w:r w:rsidR="00096944" w:rsidRPr="00E90ABD">
        <w:rPr>
          <w:bCs/>
          <w:sz w:val="20"/>
          <w:szCs w:val="20"/>
          <w:vertAlign w:val="superscript"/>
        </w:rPr>
        <w:t>22</w:t>
      </w:r>
      <w:r w:rsidR="00CE5CB1" w:rsidRPr="00E90ABD">
        <w:rPr>
          <w:bCs/>
          <w:sz w:val="20"/>
          <w:szCs w:val="20"/>
          <w:vertAlign w:val="superscript"/>
        </w:rPr>
        <w:t xml:space="preserve">, </w:t>
      </w:r>
      <w:r w:rsidR="00096944" w:rsidRPr="00E90ABD">
        <w:rPr>
          <w:bCs/>
          <w:sz w:val="20"/>
          <w:szCs w:val="20"/>
          <w:vertAlign w:val="superscript"/>
        </w:rPr>
        <w:t>23</w:t>
      </w:r>
      <w:r w:rsidR="00CE5CB1" w:rsidRPr="00E90ABD">
        <w:rPr>
          <w:bCs/>
          <w:sz w:val="20"/>
          <w:szCs w:val="20"/>
          <w:vertAlign w:val="superscript"/>
        </w:rPr>
        <w:t>)</w:t>
      </w:r>
    </w:p>
    <w:p w:rsidR="00CE5CB1" w:rsidRPr="00E90ABD" w:rsidRDefault="00CE5CB1" w:rsidP="00F06E05">
      <w:pPr>
        <w:snapToGrid w:val="0"/>
        <w:ind w:firstLine="425"/>
        <w:jc w:val="both"/>
        <w:rPr>
          <w:bCs/>
          <w:sz w:val="20"/>
          <w:szCs w:val="20"/>
        </w:rPr>
      </w:pPr>
      <w:r w:rsidRPr="00E90ABD">
        <w:rPr>
          <w:bCs/>
          <w:sz w:val="20"/>
          <w:szCs w:val="20"/>
        </w:rPr>
        <w:t>The pin fixation technique is always controversial. It involves the use of two lateral pins which are placed in a parallel pattern but by addition of one another k-wire to be three k-wires, the fracture will be more stable.</w:t>
      </w:r>
    </w:p>
    <w:p w:rsidR="00CE5CB1" w:rsidRPr="00E90ABD" w:rsidRDefault="00CE5CB1" w:rsidP="00F06E05">
      <w:pPr>
        <w:snapToGrid w:val="0"/>
        <w:ind w:firstLine="425"/>
        <w:jc w:val="both"/>
        <w:rPr>
          <w:bCs/>
          <w:sz w:val="20"/>
          <w:szCs w:val="20"/>
        </w:rPr>
      </w:pPr>
      <w:r w:rsidRPr="00E90ABD">
        <w:rPr>
          <w:bCs/>
          <w:sz w:val="20"/>
          <w:szCs w:val="20"/>
        </w:rPr>
        <w:t>In our prospective randomized controlled trial, from a total number of 20 cases. The mode of injury was fall to the ground in 9 patients, fall downstairs in 8 patients and fall from height in 3 patients.</w:t>
      </w:r>
    </w:p>
    <w:p w:rsidR="00CE5CB1" w:rsidRPr="00E90ABD" w:rsidRDefault="00CE5CB1" w:rsidP="00F06E05">
      <w:pPr>
        <w:snapToGrid w:val="0"/>
        <w:ind w:firstLine="425"/>
        <w:jc w:val="both"/>
        <w:rPr>
          <w:bCs/>
          <w:sz w:val="20"/>
          <w:szCs w:val="20"/>
        </w:rPr>
      </w:pPr>
      <w:r w:rsidRPr="00E90ABD">
        <w:rPr>
          <w:bCs/>
          <w:sz w:val="20"/>
          <w:szCs w:val="20"/>
        </w:rPr>
        <w:t>We will compare our results to other series using the same treatment as well as other methods of treatment available in the literature.</w:t>
      </w:r>
    </w:p>
    <w:p w:rsidR="00CE5CB1" w:rsidRPr="00E90ABD" w:rsidRDefault="00CE5CB1" w:rsidP="00F06E05">
      <w:pPr>
        <w:snapToGrid w:val="0"/>
        <w:jc w:val="both"/>
        <w:rPr>
          <w:b/>
          <w:bCs/>
          <w:sz w:val="20"/>
          <w:szCs w:val="20"/>
        </w:rPr>
      </w:pPr>
      <w:r w:rsidRPr="00E90ABD">
        <w:rPr>
          <w:b/>
          <w:bCs/>
          <w:sz w:val="20"/>
          <w:szCs w:val="20"/>
        </w:rPr>
        <w:lastRenderedPageBreak/>
        <w:t xml:space="preserve">Stability: </w:t>
      </w:r>
    </w:p>
    <w:p w:rsidR="00CE5CB1" w:rsidRPr="00E90ABD" w:rsidRDefault="00CE5CB1" w:rsidP="00F06E05">
      <w:pPr>
        <w:snapToGrid w:val="0"/>
        <w:ind w:firstLine="425"/>
        <w:jc w:val="both"/>
        <w:rPr>
          <w:bCs/>
          <w:sz w:val="20"/>
          <w:szCs w:val="20"/>
        </w:rPr>
      </w:pPr>
      <w:r w:rsidRPr="00E90ABD">
        <w:rPr>
          <w:b/>
          <w:bCs/>
          <w:sz w:val="20"/>
          <w:szCs w:val="20"/>
        </w:rPr>
        <w:t xml:space="preserve">Devkota et al. </w:t>
      </w:r>
      <w:r w:rsidRPr="00E90ABD">
        <w:rPr>
          <w:b/>
          <w:bCs/>
          <w:sz w:val="20"/>
          <w:szCs w:val="20"/>
          <w:vertAlign w:val="superscript"/>
        </w:rPr>
        <w:t>(</w:t>
      </w:r>
      <w:r w:rsidR="00096944" w:rsidRPr="00E90ABD">
        <w:rPr>
          <w:b/>
          <w:bCs/>
          <w:sz w:val="20"/>
          <w:szCs w:val="20"/>
          <w:vertAlign w:val="superscript"/>
        </w:rPr>
        <w:t>24</w:t>
      </w:r>
      <w:r w:rsidRPr="00E90ABD">
        <w:rPr>
          <w:b/>
          <w:bCs/>
          <w:sz w:val="20"/>
          <w:szCs w:val="20"/>
          <w:vertAlign w:val="superscript"/>
        </w:rPr>
        <w:t>)</w:t>
      </w:r>
      <w:r w:rsidRPr="00E90ABD">
        <w:rPr>
          <w:bCs/>
          <w:sz w:val="20"/>
          <w:szCs w:val="20"/>
        </w:rPr>
        <w:t xml:space="preserve"> reviewed 102 supracondylar fractures treated by pinning, of which 79 were treated with crossed pinning and 23 were treated with lateral pinning. Loss of reduction was seen in two patients (1.96%) of the lateral pinning group which was not significant and did not require re-reduction or re-pinning.</w:t>
      </w:r>
    </w:p>
    <w:p w:rsidR="00CE5CB1" w:rsidRPr="00E90ABD" w:rsidRDefault="00CE5CB1" w:rsidP="00F06E05">
      <w:pPr>
        <w:snapToGrid w:val="0"/>
        <w:ind w:firstLine="425"/>
        <w:jc w:val="both"/>
        <w:rPr>
          <w:bCs/>
          <w:sz w:val="20"/>
          <w:szCs w:val="20"/>
        </w:rPr>
      </w:pPr>
      <w:r w:rsidRPr="00E90ABD">
        <w:rPr>
          <w:b/>
          <w:bCs/>
          <w:sz w:val="20"/>
          <w:szCs w:val="20"/>
        </w:rPr>
        <w:t xml:space="preserve">Chakraborty </w:t>
      </w:r>
      <w:r w:rsidRPr="00E90ABD">
        <w:rPr>
          <w:b/>
          <w:bCs/>
          <w:sz w:val="20"/>
          <w:szCs w:val="20"/>
          <w:vertAlign w:val="superscript"/>
        </w:rPr>
        <w:t>(</w:t>
      </w:r>
      <w:r w:rsidR="00096944" w:rsidRPr="00E90ABD">
        <w:rPr>
          <w:b/>
          <w:bCs/>
          <w:sz w:val="20"/>
          <w:szCs w:val="20"/>
          <w:vertAlign w:val="superscript"/>
        </w:rPr>
        <w:t>25</w:t>
      </w:r>
      <w:r w:rsidRPr="00E90ABD">
        <w:rPr>
          <w:b/>
          <w:bCs/>
          <w:sz w:val="20"/>
          <w:szCs w:val="20"/>
          <w:vertAlign w:val="superscript"/>
        </w:rPr>
        <w:t>)</w:t>
      </w:r>
      <w:r w:rsidRPr="00E90ABD">
        <w:rPr>
          <w:bCs/>
          <w:sz w:val="20"/>
          <w:szCs w:val="20"/>
        </w:rPr>
        <w:t xml:space="preserve"> reviewed in his prospective study 92 patients, 56 were treated by crossed pinning and 36 were treated by lateral pinning. Instability of the fracture was seen in 16 patients, ten of them were from the lateral pin configuration group and the remaining six patients were from the crossed pin configuration group. He considered the crossed pinning was recommended in the Gartland’s type III fractures because it was more stable. In case of severe swelling, a medial incision to see the entry point of </w:t>
      </w:r>
      <w:r w:rsidRPr="00E90ABD">
        <w:rPr>
          <w:bCs/>
          <w:sz w:val="20"/>
          <w:szCs w:val="20"/>
        </w:rPr>
        <w:lastRenderedPageBreak/>
        <w:t>the medial pin was required to prevent the iatrogenic ulnar nerve injury. Two lateral pin fixations was suitable only for the type II fractures, where the rotational stability was better because of the intact bone and the periosteum posteriorly.</w:t>
      </w:r>
    </w:p>
    <w:p w:rsidR="00CE5CB1" w:rsidRPr="00E90ABD" w:rsidRDefault="00CE5CB1" w:rsidP="00F06E05">
      <w:pPr>
        <w:snapToGrid w:val="0"/>
        <w:ind w:firstLine="425"/>
        <w:jc w:val="both"/>
        <w:rPr>
          <w:bCs/>
          <w:sz w:val="20"/>
          <w:szCs w:val="20"/>
        </w:rPr>
      </w:pPr>
      <w:r w:rsidRPr="00E90ABD">
        <w:rPr>
          <w:b/>
          <w:bCs/>
          <w:sz w:val="20"/>
          <w:szCs w:val="20"/>
        </w:rPr>
        <w:t xml:space="preserve">Zamzam et al. </w:t>
      </w:r>
      <w:r w:rsidRPr="00E90ABD">
        <w:rPr>
          <w:b/>
          <w:bCs/>
          <w:sz w:val="20"/>
          <w:szCs w:val="20"/>
          <w:vertAlign w:val="superscript"/>
        </w:rPr>
        <w:t>(</w:t>
      </w:r>
      <w:r w:rsidR="00096944" w:rsidRPr="00E90ABD">
        <w:rPr>
          <w:b/>
          <w:bCs/>
          <w:sz w:val="20"/>
          <w:szCs w:val="20"/>
          <w:vertAlign w:val="superscript"/>
        </w:rPr>
        <w:t>26</w:t>
      </w:r>
      <w:r w:rsidRPr="00E90ABD">
        <w:rPr>
          <w:b/>
          <w:bCs/>
          <w:sz w:val="20"/>
          <w:szCs w:val="20"/>
          <w:vertAlign w:val="superscript"/>
        </w:rPr>
        <w:t>)</w:t>
      </w:r>
      <w:r w:rsidRPr="00E90ABD">
        <w:rPr>
          <w:bCs/>
          <w:sz w:val="20"/>
          <w:szCs w:val="20"/>
        </w:rPr>
        <w:t xml:space="preserve"> reviewed 108 supracondylar fractures treated by pinning, 71 were treated with crossed pinning and 37 were treated with lateral pinning. Significant instability due to inadequate fixation, and early loss of reduction of different degrees and indifferent planes, were observed in postoperative radiographs of nine children who underwent fixation by two lateral pins (eight had type III fractures and one had a type II fracture).</w:t>
      </w:r>
    </w:p>
    <w:p w:rsidR="00CE5CB1" w:rsidRPr="00E90ABD" w:rsidRDefault="00CE5CB1" w:rsidP="00F06E05">
      <w:pPr>
        <w:snapToGrid w:val="0"/>
        <w:ind w:firstLine="425"/>
        <w:jc w:val="both"/>
        <w:rPr>
          <w:bCs/>
          <w:sz w:val="20"/>
          <w:szCs w:val="20"/>
        </w:rPr>
      </w:pPr>
      <w:r w:rsidRPr="00E90ABD">
        <w:rPr>
          <w:b/>
          <w:bCs/>
          <w:sz w:val="20"/>
          <w:szCs w:val="20"/>
        </w:rPr>
        <w:t xml:space="preserve">In our study, </w:t>
      </w:r>
      <w:r w:rsidRPr="00E90ABD">
        <w:rPr>
          <w:bCs/>
          <w:sz w:val="20"/>
          <w:szCs w:val="20"/>
        </w:rPr>
        <w:t>Postoperative instability of the fracture didn’t occur in any case from the 20 cases of the lateral pin configuration group; Rotation and posterior displacement didn’t occur in any case.</w:t>
      </w:r>
    </w:p>
    <w:p w:rsidR="00F06E05" w:rsidRPr="00E90ABD" w:rsidRDefault="00F06E05" w:rsidP="00F06E05">
      <w:pPr>
        <w:snapToGrid w:val="0"/>
        <w:jc w:val="both"/>
        <w:rPr>
          <w:b/>
          <w:bCs/>
          <w:sz w:val="20"/>
          <w:szCs w:val="20"/>
        </w:rPr>
        <w:sectPr w:rsidR="00F06E05" w:rsidRPr="00E90ABD" w:rsidSect="00F06E05">
          <w:type w:val="continuous"/>
          <w:pgSz w:w="12240" w:h="15840" w:code="9"/>
          <w:pgMar w:top="1440" w:right="1440" w:bottom="1440" w:left="1440" w:header="720" w:footer="720" w:gutter="0"/>
          <w:cols w:num="2" w:space="600"/>
          <w:docGrid w:linePitch="360"/>
        </w:sectPr>
      </w:pPr>
      <w:bookmarkStart w:id="6" w:name="_Toc7393066"/>
    </w:p>
    <w:p w:rsidR="0001245B" w:rsidRPr="00E90ABD" w:rsidRDefault="0001245B" w:rsidP="00F06E05">
      <w:pPr>
        <w:snapToGrid w:val="0"/>
        <w:jc w:val="both"/>
        <w:rPr>
          <w:b/>
          <w:bCs/>
          <w:sz w:val="20"/>
          <w:szCs w:val="20"/>
        </w:rPr>
      </w:pPr>
    </w:p>
    <w:p w:rsidR="00CE5CB1" w:rsidRPr="00E90ABD" w:rsidRDefault="00CE5CB1" w:rsidP="00F06E05">
      <w:pPr>
        <w:snapToGrid w:val="0"/>
        <w:jc w:val="center"/>
        <w:rPr>
          <w:bCs/>
          <w:sz w:val="20"/>
          <w:szCs w:val="20"/>
        </w:rPr>
      </w:pPr>
      <w:r w:rsidRPr="00E90ABD">
        <w:rPr>
          <w:b/>
          <w:bCs/>
          <w:sz w:val="20"/>
          <w:szCs w:val="20"/>
        </w:rPr>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7</w:t>
      </w:r>
      <w:r w:rsidR="00926F4F" w:rsidRPr="00E90ABD">
        <w:rPr>
          <w:bCs/>
          <w:sz w:val="20"/>
          <w:szCs w:val="20"/>
        </w:rPr>
        <w:fldChar w:fldCharType="end"/>
      </w:r>
      <w:r w:rsidRPr="00E90ABD">
        <w:rPr>
          <w:b/>
          <w:bCs/>
          <w:sz w:val="20"/>
          <w:szCs w:val="20"/>
        </w:rPr>
        <w:t>):</w:t>
      </w:r>
      <w:r w:rsidRPr="00E90ABD">
        <w:rPr>
          <w:bCs/>
          <w:sz w:val="20"/>
          <w:szCs w:val="20"/>
        </w:rPr>
        <w:t xml:space="preserve"> A Comparison of instability between the published studies and our study</w:t>
      </w:r>
      <w:bookmarkEnd w:id="6"/>
      <w:r w:rsidRPr="00E90ABD">
        <w:rPr>
          <w:bCs/>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3329"/>
        <w:gridCol w:w="2259"/>
        <w:gridCol w:w="1470"/>
        <w:gridCol w:w="2416"/>
      </w:tblGrid>
      <w:tr w:rsidR="00CE5CB1" w:rsidRPr="00E90ABD" w:rsidTr="0065081C">
        <w:trPr>
          <w:jc w:val="center"/>
        </w:trPr>
        <w:tc>
          <w:tcPr>
            <w:tcW w:w="1757" w:type="pct"/>
            <w:vMerge w:val="restart"/>
            <w:noWrap/>
            <w:vAlign w:val="center"/>
          </w:tcPr>
          <w:p w:rsidR="00CE5CB1" w:rsidRPr="00E90ABD" w:rsidRDefault="00CE5CB1" w:rsidP="00F06E05">
            <w:pPr>
              <w:snapToGrid w:val="0"/>
              <w:jc w:val="both"/>
              <w:rPr>
                <w:b/>
                <w:bCs/>
                <w:sz w:val="20"/>
                <w:szCs w:val="20"/>
              </w:rPr>
            </w:pPr>
            <w:r w:rsidRPr="00E90ABD">
              <w:rPr>
                <w:b/>
                <w:bCs/>
                <w:sz w:val="20"/>
                <w:szCs w:val="20"/>
              </w:rPr>
              <w:t>Authors</w:t>
            </w:r>
          </w:p>
        </w:tc>
        <w:tc>
          <w:tcPr>
            <w:tcW w:w="3243" w:type="pct"/>
            <w:gridSpan w:val="3"/>
            <w:noWrap/>
            <w:vAlign w:val="center"/>
          </w:tcPr>
          <w:p w:rsidR="00CE5CB1" w:rsidRPr="00E90ABD" w:rsidRDefault="00CE5CB1" w:rsidP="00F06E05">
            <w:pPr>
              <w:snapToGrid w:val="0"/>
              <w:jc w:val="both"/>
              <w:rPr>
                <w:b/>
                <w:bCs/>
                <w:sz w:val="20"/>
                <w:szCs w:val="20"/>
              </w:rPr>
            </w:pPr>
            <w:r w:rsidRPr="00E90ABD">
              <w:rPr>
                <w:b/>
                <w:bCs/>
                <w:sz w:val="20"/>
                <w:szCs w:val="20"/>
              </w:rPr>
              <w:t>Lateral</w:t>
            </w:r>
          </w:p>
        </w:tc>
      </w:tr>
      <w:tr w:rsidR="00CE5CB1" w:rsidRPr="00E90ABD" w:rsidTr="0065081C">
        <w:trPr>
          <w:jc w:val="center"/>
        </w:trPr>
        <w:tc>
          <w:tcPr>
            <w:tcW w:w="1757" w:type="pct"/>
            <w:vMerge/>
            <w:vAlign w:val="center"/>
          </w:tcPr>
          <w:p w:rsidR="00CE5CB1" w:rsidRPr="00E90ABD" w:rsidRDefault="00CE5CB1" w:rsidP="00F06E05">
            <w:pPr>
              <w:snapToGrid w:val="0"/>
              <w:jc w:val="both"/>
              <w:rPr>
                <w:b/>
                <w:bCs/>
                <w:sz w:val="20"/>
                <w:szCs w:val="20"/>
              </w:rPr>
            </w:pPr>
          </w:p>
        </w:tc>
        <w:tc>
          <w:tcPr>
            <w:tcW w:w="1192" w:type="pct"/>
            <w:noWrap/>
            <w:vAlign w:val="center"/>
          </w:tcPr>
          <w:p w:rsidR="00CE5CB1" w:rsidRPr="00E90ABD" w:rsidRDefault="00CE5CB1" w:rsidP="00F06E05">
            <w:pPr>
              <w:snapToGrid w:val="0"/>
              <w:jc w:val="both"/>
              <w:rPr>
                <w:b/>
                <w:bCs/>
                <w:sz w:val="20"/>
                <w:szCs w:val="20"/>
              </w:rPr>
            </w:pPr>
            <w:r w:rsidRPr="00E90ABD">
              <w:rPr>
                <w:b/>
                <w:bCs/>
                <w:sz w:val="20"/>
                <w:szCs w:val="20"/>
              </w:rPr>
              <w:t>Number</w:t>
            </w:r>
            <w:r w:rsidR="006533AC" w:rsidRPr="00E90ABD">
              <w:rPr>
                <w:b/>
                <w:bCs/>
                <w:sz w:val="20"/>
                <w:szCs w:val="20"/>
              </w:rPr>
              <w:t xml:space="preserve"> </w:t>
            </w:r>
            <w:r w:rsidRPr="00E90ABD">
              <w:rPr>
                <w:b/>
                <w:bCs/>
                <w:sz w:val="20"/>
                <w:szCs w:val="20"/>
              </w:rPr>
              <w:t>of cases</w:t>
            </w:r>
          </w:p>
        </w:tc>
        <w:tc>
          <w:tcPr>
            <w:tcW w:w="776" w:type="pct"/>
            <w:noWrap/>
            <w:vAlign w:val="center"/>
          </w:tcPr>
          <w:p w:rsidR="00CE5CB1" w:rsidRPr="00E90ABD" w:rsidRDefault="00CE5CB1" w:rsidP="00F06E05">
            <w:pPr>
              <w:snapToGrid w:val="0"/>
              <w:jc w:val="both"/>
              <w:rPr>
                <w:b/>
                <w:bCs/>
                <w:sz w:val="20"/>
                <w:szCs w:val="20"/>
              </w:rPr>
            </w:pPr>
            <w:r w:rsidRPr="00E90ABD">
              <w:rPr>
                <w:b/>
                <w:bCs/>
                <w:sz w:val="20"/>
                <w:szCs w:val="20"/>
              </w:rPr>
              <w:t>Instability</w:t>
            </w:r>
          </w:p>
        </w:tc>
        <w:tc>
          <w:tcPr>
            <w:tcW w:w="1275" w:type="pct"/>
            <w:noWrap/>
            <w:vAlign w:val="center"/>
          </w:tcPr>
          <w:p w:rsidR="0065081C" w:rsidRPr="00E90ABD" w:rsidRDefault="00CE5CB1" w:rsidP="00F06E05">
            <w:pPr>
              <w:snapToGrid w:val="0"/>
              <w:jc w:val="both"/>
              <w:rPr>
                <w:b/>
                <w:bCs/>
                <w:sz w:val="20"/>
                <w:szCs w:val="20"/>
              </w:rPr>
            </w:pPr>
            <w:r w:rsidRPr="00E90ABD">
              <w:rPr>
                <w:b/>
                <w:bCs/>
                <w:sz w:val="20"/>
                <w:szCs w:val="20"/>
              </w:rPr>
              <w:t xml:space="preserve">Lateral </w:t>
            </w:r>
          </w:p>
          <w:p w:rsidR="00CE5CB1" w:rsidRPr="00E90ABD" w:rsidRDefault="00CE5CB1" w:rsidP="00F06E05">
            <w:pPr>
              <w:snapToGrid w:val="0"/>
              <w:jc w:val="both"/>
              <w:rPr>
                <w:b/>
                <w:bCs/>
                <w:sz w:val="20"/>
                <w:szCs w:val="20"/>
              </w:rPr>
            </w:pPr>
            <w:r w:rsidRPr="00E90ABD">
              <w:rPr>
                <w:b/>
                <w:bCs/>
                <w:sz w:val="20"/>
                <w:szCs w:val="20"/>
              </w:rPr>
              <w:t>Instability Perc%</w:t>
            </w:r>
          </w:p>
        </w:tc>
      </w:tr>
      <w:tr w:rsidR="00CE5CB1" w:rsidRPr="00E90ABD" w:rsidTr="0065081C">
        <w:trPr>
          <w:jc w:val="center"/>
        </w:trPr>
        <w:tc>
          <w:tcPr>
            <w:tcW w:w="1757" w:type="pct"/>
            <w:noWrap/>
            <w:vAlign w:val="center"/>
          </w:tcPr>
          <w:p w:rsidR="00CE5CB1" w:rsidRPr="00E90ABD" w:rsidRDefault="00CE5CB1" w:rsidP="00F06E05">
            <w:pPr>
              <w:snapToGrid w:val="0"/>
              <w:jc w:val="both"/>
              <w:rPr>
                <w:b/>
                <w:bCs/>
                <w:sz w:val="20"/>
                <w:szCs w:val="20"/>
              </w:rPr>
            </w:pPr>
            <w:r w:rsidRPr="00E90ABD">
              <w:rPr>
                <w:b/>
                <w:bCs/>
                <w:sz w:val="20"/>
                <w:szCs w:val="20"/>
              </w:rPr>
              <w:t>Devkota et al (102 cases)</w:t>
            </w:r>
          </w:p>
        </w:tc>
        <w:tc>
          <w:tcPr>
            <w:tcW w:w="1192" w:type="pct"/>
            <w:noWrap/>
            <w:vAlign w:val="center"/>
          </w:tcPr>
          <w:p w:rsidR="00CE5CB1" w:rsidRPr="00E90ABD" w:rsidRDefault="00CE5CB1" w:rsidP="00F06E05">
            <w:pPr>
              <w:snapToGrid w:val="0"/>
              <w:jc w:val="both"/>
              <w:rPr>
                <w:bCs/>
                <w:sz w:val="20"/>
                <w:szCs w:val="20"/>
              </w:rPr>
            </w:pPr>
            <w:r w:rsidRPr="00E90ABD">
              <w:rPr>
                <w:bCs/>
                <w:sz w:val="20"/>
                <w:szCs w:val="20"/>
              </w:rPr>
              <w:t>23</w:t>
            </w:r>
          </w:p>
        </w:tc>
        <w:tc>
          <w:tcPr>
            <w:tcW w:w="776" w:type="pct"/>
            <w:noWrap/>
            <w:vAlign w:val="center"/>
          </w:tcPr>
          <w:p w:rsidR="00CE5CB1" w:rsidRPr="00E90ABD" w:rsidRDefault="00CE5CB1" w:rsidP="00F06E05">
            <w:pPr>
              <w:snapToGrid w:val="0"/>
              <w:jc w:val="both"/>
              <w:rPr>
                <w:bCs/>
                <w:sz w:val="20"/>
                <w:szCs w:val="20"/>
              </w:rPr>
            </w:pPr>
            <w:r w:rsidRPr="00E90ABD">
              <w:rPr>
                <w:bCs/>
                <w:sz w:val="20"/>
                <w:szCs w:val="20"/>
              </w:rPr>
              <w:t>2</w:t>
            </w:r>
          </w:p>
        </w:tc>
        <w:tc>
          <w:tcPr>
            <w:tcW w:w="1275" w:type="pct"/>
            <w:noWrap/>
            <w:vAlign w:val="center"/>
          </w:tcPr>
          <w:p w:rsidR="00CE5CB1" w:rsidRPr="00E90ABD" w:rsidRDefault="00CE5CB1" w:rsidP="00F06E05">
            <w:pPr>
              <w:snapToGrid w:val="0"/>
              <w:jc w:val="both"/>
              <w:rPr>
                <w:bCs/>
                <w:sz w:val="20"/>
                <w:szCs w:val="20"/>
              </w:rPr>
            </w:pPr>
            <w:r w:rsidRPr="00E90ABD">
              <w:rPr>
                <w:bCs/>
                <w:sz w:val="20"/>
                <w:szCs w:val="20"/>
              </w:rPr>
              <w:t>8.70%</w:t>
            </w:r>
          </w:p>
        </w:tc>
      </w:tr>
      <w:tr w:rsidR="00CE5CB1" w:rsidRPr="00E90ABD" w:rsidTr="0065081C">
        <w:trPr>
          <w:jc w:val="center"/>
        </w:trPr>
        <w:tc>
          <w:tcPr>
            <w:tcW w:w="1757" w:type="pct"/>
            <w:noWrap/>
            <w:vAlign w:val="center"/>
          </w:tcPr>
          <w:p w:rsidR="00CE5CB1" w:rsidRPr="00E90ABD" w:rsidRDefault="00CE5CB1" w:rsidP="00F06E05">
            <w:pPr>
              <w:snapToGrid w:val="0"/>
              <w:jc w:val="both"/>
              <w:rPr>
                <w:b/>
                <w:bCs/>
                <w:sz w:val="20"/>
                <w:szCs w:val="20"/>
              </w:rPr>
            </w:pPr>
            <w:r w:rsidRPr="00E90ABD">
              <w:rPr>
                <w:b/>
                <w:bCs/>
                <w:sz w:val="20"/>
                <w:szCs w:val="20"/>
              </w:rPr>
              <w:t>Chakraborty (92 cases)</w:t>
            </w:r>
          </w:p>
        </w:tc>
        <w:tc>
          <w:tcPr>
            <w:tcW w:w="1192" w:type="pct"/>
            <w:noWrap/>
            <w:vAlign w:val="center"/>
          </w:tcPr>
          <w:p w:rsidR="00CE5CB1" w:rsidRPr="00E90ABD" w:rsidRDefault="00CE5CB1" w:rsidP="00F06E05">
            <w:pPr>
              <w:snapToGrid w:val="0"/>
              <w:jc w:val="both"/>
              <w:rPr>
                <w:bCs/>
                <w:sz w:val="20"/>
                <w:szCs w:val="20"/>
              </w:rPr>
            </w:pPr>
            <w:r w:rsidRPr="00E90ABD">
              <w:rPr>
                <w:bCs/>
                <w:sz w:val="20"/>
                <w:szCs w:val="20"/>
              </w:rPr>
              <w:t>36</w:t>
            </w:r>
          </w:p>
        </w:tc>
        <w:tc>
          <w:tcPr>
            <w:tcW w:w="776" w:type="pct"/>
            <w:noWrap/>
            <w:vAlign w:val="center"/>
          </w:tcPr>
          <w:p w:rsidR="00CE5CB1" w:rsidRPr="00E90ABD" w:rsidRDefault="00CE5CB1" w:rsidP="00F06E05">
            <w:pPr>
              <w:snapToGrid w:val="0"/>
              <w:jc w:val="both"/>
              <w:rPr>
                <w:bCs/>
                <w:sz w:val="20"/>
                <w:szCs w:val="20"/>
              </w:rPr>
            </w:pPr>
            <w:r w:rsidRPr="00E90ABD">
              <w:rPr>
                <w:bCs/>
                <w:sz w:val="20"/>
                <w:szCs w:val="20"/>
              </w:rPr>
              <w:t>10</w:t>
            </w:r>
          </w:p>
        </w:tc>
        <w:tc>
          <w:tcPr>
            <w:tcW w:w="1275" w:type="pct"/>
            <w:noWrap/>
            <w:vAlign w:val="center"/>
          </w:tcPr>
          <w:p w:rsidR="00CE5CB1" w:rsidRPr="00E90ABD" w:rsidRDefault="00CE5CB1" w:rsidP="00F06E05">
            <w:pPr>
              <w:snapToGrid w:val="0"/>
              <w:jc w:val="both"/>
              <w:rPr>
                <w:bCs/>
                <w:sz w:val="20"/>
                <w:szCs w:val="20"/>
              </w:rPr>
            </w:pPr>
            <w:r w:rsidRPr="00E90ABD">
              <w:rPr>
                <w:bCs/>
                <w:sz w:val="20"/>
                <w:szCs w:val="20"/>
              </w:rPr>
              <w:t>27.78%</w:t>
            </w:r>
          </w:p>
        </w:tc>
      </w:tr>
      <w:tr w:rsidR="00CE5CB1" w:rsidRPr="00E90ABD" w:rsidTr="0065081C">
        <w:trPr>
          <w:jc w:val="center"/>
        </w:trPr>
        <w:tc>
          <w:tcPr>
            <w:tcW w:w="1757" w:type="pct"/>
            <w:noWrap/>
            <w:vAlign w:val="center"/>
          </w:tcPr>
          <w:p w:rsidR="00CE5CB1" w:rsidRPr="00E90ABD" w:rsidRDefault="00CE5CB1" w:rsidP="00F06E05">
            <w:pPr>
              <w:snapToGrid w:val="0"/>
              <w:jc w:val="both"/>
              <w:rPr>
                <w:b/>
                <w:bCs/>
                <w:sz w:val="20"/>
                <w:szCs w:val="20"/>
              </w:rPr>
            </w:pPr>
            <w:r w:rsidRPr="00E90ABD">
              <w:rPr>
                <w:b/>
                <w:bCs/>
                <w:sz w:val="20"/>
                <w:szCs w:val="20"/>
              </w:rPr>
              <w:t>Zamzam et al (108 cases)</w:t>
            </w:r>
          </w:p>
        </w:tc>
        <w:tc>
          <w:tcPr>
            <w:tcW w:w="1192" w:type="pct"/>
            <w:noWrap/>
            <w:vAlign w:val="center"/>
          </w:tcPr>
          <w:p w:rsidR="00CE5CB1" w:rsidRPr="00E90ABD" w:rsidRDefault="00CE5CB1" w:rsidP="00F06E05">
            <w:pPr>
              <w:snapToGrid w:val="0"/>
              <w:jc w:val="both"/>
              <w:rPr>
                <w:bCs/>
                <w:sz w:val="20"/>
                <w:szCs w:val="20"/>
              </w:rPr>
            </w:pPr>
            <w:r w:rsidRPr="00E90ABD">
              <w:rPr>
                <w:bCs/>
                <w:sz w:val="20"/>
                <w:szCs w:val="20"/>
              </w:rPr>
              <w:t>37</w:t>
            </w:r>
          </w:p>
        </w:tc>
        <w:tc>
          <w:tcPr>
            <w:tcW w:w="776" w:type="pct"/>
            <w:noWrap/>
            <w:vAlign w:val="center"/>
          </w:tcPr>
          <w:p w:rsidR="00CE5CB1" w:rsidRPr="00E90ABD" w:rsidRDefault="00CE5CB1" w:rsidP="00F06E05">
            <w:pPr>
              <w:snapToGrid w:val="0"/>
              <w:jc w:val="both"/>
              <w:rPr>
                <w:bCs/>
                <w:sz w:val="20"/>
                <w:szCs w:val="20"/>
              </w:rPr>
            </w:pPr>
            <w:r w:rsidRPr="00E90ABD">
              <w:rPr>
                <w:bCs/>
                <w:sz w:val="20"/>
                <w:szCs w:val="20"/>
              </w:rPr>
              <w:t>9</w:t>
            </w:r>
          </w:p>
        </w:tc>
        <w:tc>
          <w:tcPr>
            <w:tcW w:w="1275" w:type="pct"/>
            <w:noWrap/>
            <w:vAlign w:val="center"/>
          </w:tcPr>
          <w:p w:rsidR="00CE5CB1" w:rsidRPr="00E90ABD" w:rsidRDefault="00CE5CB1" w:rsidP="00F06E05">
            <w:pPr>
              <w:snapToGrid w:val="0"/>
              <w:jc w:val="both"/>
              <w:rPr>
                <w:bCs/>
                <w:sz w:val="20"/>
                <w:szCs w:val="20"/>
              </w:rPr>
            </w:pPr>
            <w:r w:rsidRPr="00E90ABD">
              <w:rPr>
                <w:bCs/>
                <w:sz w:val="20"/>
                <w:szCs w:val="20"/>
              </w:rPr>
              <w:t>24.32%</w:t>
            </w:r>
          </w:p>
        </w:tc>
      </w:tr>
      <w:tr w:rsidR="00CE5CB1" w:rsidRPr="00E90ABD" w:rsidTr="0065081C">
        <w:trPr>
          <w:jc w:val="center"/>
        </w:trPr>
        <w:tc>
          <w:tcPr>
            <w:tcW w:w="1757" w:type="pct"/>
            <w:noWrap/>
            <w:vAlign w:val="center"/>
          </w:tcPr>
          <w:p w:rsidR="00CE5CB1" w:rsidRPr="00E90ABD" w:rsidRDefault="00CE5CB1" w:rsidP="00F06E05">
            <w:pPr>
              <w:snapToGrid w:val="0"/>
              <w:jc w:val="both"/>
              <w:rPr>
                <w:b/>
                <w:bCs/>
                <w:sz w:val="20"/>
                <w:szCs w:val="20"/>
              </w:rPr>
            </w:pPr>
            <w:r w:rsidRPr="00E90ABD">
              <w:rPr>
                <w:b/>
                <w:bCs/>
                <w:sz w:val="20"/>
                <w:szCs w:val="20"/>
              </w:rPr>
              <w:t>Our Study (20 cases)</w:t>
            </w:r>
          </w:p>
        </w:tc>
        <w:tc>
          <w:tcPr>
            <w:tcW w:w="1192" w:type="pct"/>
            <w:noWrap/>
            <w:vAlign w:val="center"/>
          </w:tcPr>
          <w:p w:rsidR="00CE5CB1" w:rsidRPr="00E90ABD" w:rsidRDefault="00CE5CB1" w:rsidP="00F06E05">
            <w:pPr>
              <w:snapToGrid w:val="0"/>
              <w:jc w:val="both"/>
              <w:rPr>
                <w:bCs/>
                <w:sz w:val="20"/>
                <w:szCs w:val="20"/>
              </w:rPr>
            </w:pPr>
            <w:r w:rsidRPr="00E90ABD">
              <w:rPr>
                <w:bCs/>
                <w:sz w:val="20"/>
                <w:szCs w:val="20"/>
              </w:rPr>
              <w:t>20</w:t>
            </w:r>
          </w:p>
        </w:tc>
        <w:tc>
          <w:tcPr>
            <w:tcW w:w="776" w:type="pct"/>
            <w:noWrap/>
            <w:vAlign w:val="center"/>
          </w:tcPr>
          <w:p w:rsidR="00CE5CB1" w:rsidRPr="00E90ABD" w:rsidRDefault="00CE5CB1" w:rsidP="00F06E05">
            <w:pPr>
              <w:snapToGrid w:val="0"/>
              <w:jc w:val="both"/>
              <w:rPr>
                <w:bCs/>
                <w:sz w:val="20"/>
                <w:szCs w:val="20"/>
              </w:rPr>
            </w:pPr>
            <w:r w:rsidRPr="00E90ABD">
              <w:rPr>
                <w:bCs/>
                <w:sz w:val="20"/>
                <w:szCs w:val="20"/>
              </w:rPr>
              <w:t>0</w:t>
            </w:r>
          </w:p>
        </w:tc>
        <w:tc>
          <w:tcPr>
            <w:tcW w:w="1275" w:type="pct"/>
            <w:noWrap/>
            <w:vAlign w:val="center"/>
          </w:tcPr>
          <w:p w:rsidR="00CE5CB1" w:rsidRPr="00E90ABD" w:rsidRDefault="00CE5CB1" w:rsidP="00F06E05">
            <w:pPr>
              <w:snapToGrid w:val="0"/>
              <w:jc w:val="both"/>
              <w:rPr>
                <w:bCs/>
                <w:sz w:val="20"/>
                <w:szCs w:val="20"/>
              </w:rPr>
            </w:pPr>
            <w:r w:rsidRPr="00E90ABD">
              <w:rPr>
                <w:bCs/>
                <w:sz w:val="20"/>
                <w:szCs w:val="20"/>
              </w:rPr>
              <w:t>0.00%</w:t>
            </w:r>
          </w:p>
        </w:tc>
      </w:tr>
    </w:tbl>
    <w:p w:rsidR="00E90ABD" w:rsidRPr="00E90ABD" w:rsidRDefault="00E90ABD" w:rsidP="00F06E05">
      <w:pPr>
        <w:snapToGrid w:val="0"/>
        <w:jc w:val="both"/>
        <w:rPr>
          <w:rFonts w:hint="eastAsia"/>
          <w:b/>
          <w:bCs/>
          <w:sz w:val="20"/>
          <w:szCs w:val="20"/>
          <w:lang w:eastAsia="zh-CN"/>
        </w:rPr>
      </w:pPr>
    </w:p>
    <w:p w:rsidR="00F06E05" w:rsidRPr="00E90ABD" w:rsidRDefault="00F06E05" w:rsidP="00F06E05">
      <w:pPr>
        <w:snapToGrid w:val="0"/>
        <w:jc w:val="both"/>
        <w:rPr>
          <w:b/>
          <w:bCs/>
          <w:sz w:val="20"/>
          <w:szCs w:val="20"/>
        </w:rPr>
        <w:sectPr w:rsidR="00F06E05" w:rsidRPr="00E90ABD" w:rsidSect="0065081C">
          <w:type w:val="continuous"/>
          <w:pgSz w:w="12240" w:h="15840" w:code="9"/>
          <w:pgMar w:top="1440" w:right="1440" w:bottom="1440" w:left="1440" w:header="720" w:footer="720" w:gutter="0"/>
          <w:cols w:space="720"/>
          <w:docGrid w:linePitch="360"/>
        </w:sectPr>
      </w:pPr>
    </w:p>
    <w:p w:rsidR="00CE5CB1" w:rsidRPr="00E90ABD" w:rsidRDefault="00CE5CB1" w:rsidP="00F06E05">
      <w:pPr>
        <w:snapToGrid w:val="0"/>
        <w:jc w:val="both"/>
        <w:rPr>
          <w:b/>
          <w:bCs/>
          <w:sz w:val="20"/>
          <w:szCs w:val="20"/>
        </w:rPr>
      </w:pPr>
      <w:r w:rsidRPr="00E90ABD">
        <w:rPr>
          <w:b/>
          <w:bCs/>
          <w:sz w:val="20"/>
          <w:szCs w:val="20"/>
        </w:rPr>
        <w:lastRenderedPageBreak/>
        <w:t xml:space="preserve">Ulnar Nerve Injury: </w:t>
      </w:r>
    </w:p>
    <w:p w:rsidR="00CE5CB1" w:rsidRPr="00E90ABD" w:rsidRDefault="00CE5CB1" w:rsidP="00F06E05">
      <w:pPr>
        <w:snapToGrid w:val="0"/>
        <w:jc w:val="both"/>
        <w:rPr>
          <w:b/>
          <w:bCs/>
          <w:sz w:val="20"/>
          <w:szCs w:val="20"/>
        </w:rPr>
      </w:pPr>
      <w:r w:rsidRPr="00E90ABD">
        <w:rPr>
          <w:b/>
          <w:bCs/>
          <w:sz w:val="20"/>
          <w:szCs w:val="20"/>
        </w:rPr>
        <w:t xml:space="preserve">Devkota et al. </w:t>
      </w:r>
      <w:r w:rsidRPr="00E90ABD">
        <w:rPr>
          <w:b/>
          <w:bCs/>
          <w:sz w:val="20"/>
          <w:szCs w:val="20"/>
          <w:vertAlign w:val="superscript"/>
        </w:rPr>
        <w:t>(</w:t>
      </w:r>
      <w:r w:rsidR="00096944" w:rsidRPr="00E90ABD">
        <w:rPr>
          <w:b/>
          <w:bCs/>
          <w:sz w:val="20"/>
          <w:szCs w:val="20"/>
          <w:vertAlign w:val="superscript"/>
        </w:rPr>
        <w:t>24</w:t>
      </w:r>
      <w:r w:rsidRPr="00E90ABD">
        <w:rPr>
          <w:b/>
          <w:bCs/>
          <w:sz w:val="20"/>
          <w:szCs w:val="20"/>
          <w:vertAlign w:val="superscript"/>
        </w:rPr>
        <w:t>)</w:t>
      </w:r>
      <w:r w:rsidRPr="00E90ABD">
        <w:rPr>
          <w:b/>
          <w:bCs/>
          <w:sz w:val="20"/>
          <w:szCs w:val="20"/>
        </w:rPr>
        <w:t xml:space="preserve">: </w:t>
      </w:r>
    </w:p>
    <w:p w:rsidR="00CE5CB1" w:rsidRPr="00E90ABD" w:rsidRDefault="00CE5CB1" w:rsidP="00F06E05">
      <w:pPr>
        <w:snapToGrid w:val="0"/>
        <w:ind w:firstLine="425"/>
        <w:jc w:val="both"/>
        <w:rPr>
          <w:bCs/>
          <w:sz w:val="20"/>
          <w:szCs w:val="20"/>
        </w:rPr>
      </w:pPr>
      <w:r w:rsidRPr="00E90ABD">
        <w:rPr>
          <w:bCs/>
          <w:sz w:val="20"/>
          <w:szCs w:val="20"/>
        </w:rPr>
        <w:t>Seven patients of the 79 patients in the crossed pinning group (6.86%) got ulnar nerve injury.</w:t>
      </w:r>
    </w:p>
    <w:p w:rsidR="00CE5CB1" w:rsidRPr="00E90ABD" w:rsidRDefault="00CE5CB1" w:rsidP="00F06E05">
      <w:pPr>
        <w:snapToGrid w:val="0"/>
        <w:ind w:firstLine="425"/>
        <w:jc w:val="both"/>
        <w:rPr>
          <w:bCs/>
          <w:sz w:val="20"/>
          <w:szCs w:val="20"/>
        </w:rPr>
      </w:pPr>
      <w:r w:rsidRPr="00E90ABD">
        <w:rPr>
          <w:bCs/>
          <w:sz w:val="20"/>
          <w:szCs w:val="20"/>
        </w:rPr>
        <w:t>While no ulnar nerve injury occurred to all the 23 patients of the lateral pinning group.</w:t>
      </w:r>
    </w:p>
    <w:p w:rsidR="00CE5CB1" w:rsidRPr="00E90ABD" w:rsidRDefault="00CE5CB1" w:rsidP="00F06E05">
      <w:pPr>
        <w:snapToGrid w:val="0"/>
        <w:ind w:firstLine="425"/>
        <w:jc w:val="both"/>
        <w:rPr>
          <w:bCs/>
          <w:sz w:val="20"/>
          <w:szCs w:val="20"/>
        </w:rPr>
      </w:pPr>
      <w:r w:rsidRPr="00E90ABD">
        <w:rPr>
          <w:bCs/>
          <w:sz w:val="20"/>
          <w:szCs w:val="20"/>
        </w:rPr>
        <w:t>He concluded that there was a risk of injuring the ulnar nerve in crossed pinning and that could be avoided by pinning only two lateral pins.</w:t>
      </w:r>
    </w:p>
    <w:p w:rsidR="00CE5CB1" w:rsidRPr="00E90ABD" w:rsidRDefault="00CE5CB1" w:rsidP="00F06E05">
      <w:pPr>
        <w:snapToGrid w:val="0"/>
        <w:jc w:val="both"/>
        <w:rPr>
          <w:b/>
          <w:bCs/>
          <w:sz w:val="20"/>
          <w:szCs w:val="20"/>
        </w:rPr>
      </w:pPr>
      <w:r w:rsidRPr="00E90ABD">
        <w:rPr>
          <w:b/>
          <w:bCs/>
          <w:sz w:val="20"/>
          <w:szCs w:val="20"/>
        </w:rPr>
        <w:t xml:space="preserve">Chakraborty </w:t>
      </w:r>
      <w:r w:rsidRPr="00E90ABD">
        <w:rPr>
          <w:b/>
          <w:bCs/>
          <w:sz w:val="20"/>
          <w:szCs w:val="20"/>
          <w:vertAlign w:val="superscript"/>
        </w:rPr>
        <w:t>(</w:t>
      </w:r>
      <w:r w:rsidR="00096944" w:rsidRPr="00E90ABD">
        <w:rPr>
          <w:b/>
          <w:bCs/>
          <w:sz w:val="20"/>
          <w:szCs w:val="20"/>
          <w:vertAlign w:val="superscript"/>
        </w:rPr>
        <w:t>25</w:t>
      </w:r>
      <w:r w:rsidRPr="00E90ABD">
        <w:rPr>
          <w:b/>
          <w:bCs/>
          <w:sz w:val="20"/>
          <w:szCs w:val="20"/>
          <w:vertAlign w:val="superscript"/>
        </w:rPr>
        <w:t>)</w:t>
      </w:r>
      <w:r w:rsidRPr="00E90ABD">
        <w:rPr>
          <w:b/>
          <w:bCs/>
          <w:sz w:val="20"/>
          <w:szCs w:val="20"/>
        </w:rPr>
        <w:t xml:space="preserve">: </w:t>
      </w:r>
    </w:p>
    <w:p w:rsidR="00CE5CB1" w:rsidRPr="00E90ABD" w:rsidRDefault="00CE5CB1" w:rsidP="00F06E05">
      <w:pPr>
        <w:snapToGrid w:val="0"/>
        <w:ind w:firstLine="425"/>
        <w:jc w:val="both"/>
        <w:rPr>
          <w:bCs/>
          <w:sz w:val="20"/>
          <w:szCs w:val="20"/>
        </w:rPr>
      </w:pPr>
      <w:r w:rsidRPr="00E90ABD">
        <w:rPr>
          <w:bCs/>
          <w:sz w:val="20"/>
          <w:szCs w:val="20"/>
        </w:rPr>
        <w:t>Four patients of the 56 patients in the crossed pinning group (7.14%) got ulnar nerve injury.</w:t>
      </w:r>
    </w:p>
    <w:p w:rsidR="00CE5CB1" w:rsidRPr="00E90ABD" w:rsidRDefault="00CE5CB1" w:rsidP="00F06E05">
      <w:pPr>
        <w:snapToGrid w:val="0"/>
        <w:ind w:firstLine="425"/>
        <w:jc w:val="both"/>
        <w:rPr>
          <w:bCs/>
          <w:sz w:val="20"/>
          <w:szCs w:val="20"/>
        </w:rPr>
      </w:pPr>
      <w:r w:rsidRPr="00E90ABD">
        <w:rPr>
          <w:bCs/>
          <w:sz w:val="20"/>
          <w:szCs w:val="20"/>
        </w:rPr>
        <w:t>While no ulnar nerve injury occurred to all the 36 patients of the lateral pinning group.</w:t>
      </w:r>
    </w:p>
    <w:p w:rsidR="00CE5CB1" w:rsidRPr="00E90ABD" w:rsidRDefault="00CE5CB1" w:rsidP="00F06E05">
      <w:pPr>
        <w:snapToGrid w:val="0"/>
        <w:ind w:firstLine="425"/>
        <w:jc w:val="both"/>
        <w:rPr>
          <w:bCs/>
          <w:sz w:val="20"/>
          <w:szCs w:val="20"/>
        </w:rPr>
      </w:pPr>
      <w:r w:rsidRPr="00E90ABD">
        <w:rPr>
          <w:bCs/>
          <w:sz w:val="20"/>
          <w:szCs w:val="20"/>
        </w:rPr>
        <w:t xml:space="preserve">He concluded that there was a risk of ulnar nerve injury in crossed pinning and that could be avoided if </w:t>
      </w:r>
      <w:r w:rsidRPr="00E90ABD">
        <w:rPr>
          <w:bCs/>
          <w:sz w:val="20"/>
          <w:szCs w:val="20"/>
        </w:rPr>
        <w:lastRenderedPageBreak/>
        <w:t>adequate care was taken by proper medial pin fixation. 10% of the cases of ulnar nerve irritability resolved spontaneously</w:t>
      </w:r>
      <w:r w:rsidR="00F06E05" w:rsidRPr="00E90ABD">
        <w:rPr>
          <w:bCs/>
          <w:sz w:val="20"/>
          <w:szCs w:val="20"/>
        </w:rPr>
        <w:t>. I</w:t>
      </w:r>
      <w:r w:rsidRPr="00E90ABD">
        <w:rPr>
          <w:bCs/>
          <w:sz w:val="20"/>
          <w:szCs w:val="20"/>
        </w:rPr>
        <w:t>n case of severe swelling, a medial incision to see the entry point of the medial pin was required to prevent the iatrogenic ulnar nerve injury.</w:t>
      </w:r>
    </w:p>
    <w:p w:rsidR="00CE5CB1" w:rsidRPr="00E90ABD" w:rsidRDefault="00CE5CB1" w:rsidP="00F06E05">
      <w:pPr>
        <w:snapToGrid w:val="0"/>
        <w:jc w:val="both"/>
        <w:rPr>
          <w:b/>
          <w:bCs/>
          <w:sz w:val="20"/>
          <w:szCs w:val="20"/>
        </w:rPr>
      </w:pPr>
      <w:r w:rsidRPr="00E90ABD">
        <w:rPr>
          <w:b/>
          <w:bCs/>
          <w:sz w:val="20"/>
          <w:szCs w:val="20"/>
        </w:rPr>
        <w:t xml:space="preserve">Zamzam et al. </w:t>
      </w:r>
      <w:r w:rsidRPr="00E90ABD">
        <w:rPr>
          <w:b/>
          <w:bCs/>
          <w:sz w:val="20"/>
          <w:szCs w:val="20"/>
          <w:vertAlign w:val="superscript"/>
        </w:rPr>
        <w:t>(</w:t>
      </w:r>
      <w:r w:rsidR="00096944" w:rsidRPr="00E90ABD">
        <w:rPr>
          <w:b/>
          <w:bCs/>
          <w:sz w:val="20"/>
          <w:szCs w:val="20"/>
          <w:vertAlign w:val="superscript"/>
        </w:rPr>
        <w:t>26</w:t>
      </w:r>
      <w:r w:rsidRPr="00E90ABD">
        <w:rPr>
          <w:b/>
          <w:bCs/>
          <w:sz w:val="20"/>
          <w:szCs w:val="20"/>
          <w:vertAlign w:val="superscript"/>
        </w:rPr>
        <w:t>)</w:t>
      </w:r>
      <w:r w:rsidRPr="00E90ABD">
        <w:rPr>
          <w:b/>
          <w:bCs/>
          <w:sz w:val="20"/>
          <w:szCs w:val="20"/>
        </w:rPr>
        <w:t xml:space="preserve">: </w:t>
      </w:r>
    </w:p>
    <w:p w:rsidR="00CE5CB1" w:rsidRPr="00E90ABD" w:rsidRDefault="00CE5CB1" w:rsidP="00F06E05">
      <w:pPr>
        <w:snapToGrid w:val="0"/>
        <w:ind w:firstLine="425"/>
        <w:jc w:val="both"/>
        <w:rPr>
          <w:bCs/>
          <w:sz w:val="20"/>
          <w:szCs w:val="20"/>
        </w:rPr>
      </w:pPr>
      <w:r w:rsidRPr="00E90ABD">
        <w:rPr>
          <w:bCs/>
          <w:sz w:val="20"/>
          <w:szCs w:val="20"/>
        </w:rPr>
        <w:t>Two patients of the 71 patients in the crossed pinning group (2.81%) got ulnar nerve injury. They recovered spontaneously during the follow up period.</w:t>
      </w:r>
    </w:p>
    <w:p w:rsidR="00CE5CB1" w:rsidRPr="00E90ABD" w:rsidRDefault="00CE5CB1" w:rsidP="00F06E05">
      <w:pPr>
        <w:snapToGrid w:val="0"/>
        <w:ind w:firstLine="425"/>
        <w:jc w:val="both"/>
        <w:rPr>
          <w:bCs/>
          <w:sz w:val="20"/>
          <w:szCs w:val="20"/>
        </w:rPr>
      </w:pPr>
      <w:r w:rsidRPr="00E90ABD">
        <w:rPr>
          <w:bCs/>
          <w:sz w:val="20"/>
          <w:szCs w:val="20"/>
        </w:rPr>
        <w:t>While no ulnar nerve injury occurred to all the 37 patients of the lateral pinning group.</w:t>
      </w:r>
    </w:p>
    <w:p w:rsidR="00CE5CB1" w:rsidRPr="00E90ABD" w:rsidRDefault="00CE5CB1" w:rsidP="00F06E05">
      <w:pPr>
        <w:snapToGrid w:val="0"/>
        <w:ind w:firstLine="425"/>
        <w:jc w:val="both"/>
        <w:rPr>
          <w:bCs/>
          <w:sz w:val="20"/>
          <w:szCs w:val="20"/>
        </w:rPr>
      </w:pPr>
      <w:r w:rsidRPr="00E90ABD">
        <w:rPr>
          <w:bCs/>
          <w:sz w:val="20"/>
          <w:szCs w:val="20"/>
        </w:rPr>
        <w:t>He concluded that in doubtful cases with a massively swollen elbow, a small incision could save the ulnar nerve from injury.</w:t>
      </w:r>
    </w:p>
    <w:p w:rsidR="00F06E05" w:rsidRPr="00E90ABD" w:rsidRDefault="00F06E05" w:rsidP="00F06E05">
      <w:pPr>
        <w:snapToGrid w:val="0"/>
        <w:jc w:val="center"/>
        <w:rPr>
          <w:b/>
          <w:bCs/>
          <w:sz w:val="20"/>
          <w:szCs w:val="20"/>
        </w:rPr>
        <w:sectPr w:rsidR="00F06E05" w:rsidRPr="00E90ABD" w:rsidSect="00F06E05">
          <w:type w:val="continuous"/>
          <w:pgSz w:w="12240" w:h="15840" w:code="9"/>
          <w:pgMar w:top="1440" w:right="1440" w:bottom="1440" w:left="1440" w:header="720" w:footer="720" w:gutter="0"/>
          <w:cols w:num="2" w:space="600"/>
          <w:docGrid w:linePitch="360"/>
        </w:sectPr>
      </w:pPr>
      <w:bookmarkStart w:id="7" w:name="_Toc7393067"/>
    </w:p>
    <w:p w:rsidR="0001245B" w:rsidRPr="00E90ABD" w:rsidRDefault="0001245B" w:rsidP="00F06E05">
      <w:pPr>
        <w:snapToGrid w:val="0"/>
        <w:jc w:val="center"/>
        <w:rPr>
          <w:b/>
          <w:bCs/>
          <w:sz w:val="20"/>
          <w:szCs w:val="20"/>
        </w:rPr>
      </w:pPr>
    </w:p>
    <w:p w:rsidR="00CE5CB1" w:rsidRPr="00E90ABD" w:rsidRDefault="00CE5CB1" w:rsidP="00F06E05">
      <w:pPr>
        <w:snapToGrid w:val="0"/>
        <w:jc w:val="center"/>
        <w:rPr>
          <w:bCs/>
          <w:sz w:val="20"/>
          <w:szCs w:val="20"/>
        </w:rPr>
      </w:pPr>
      <w:r w:rsidRPr="00E90ABD">
        <w:rPr>
          <w:b/>
          <w:bCs/>
          <w:sz w:val="20"/>
          <w:szCs w:val="20"/>
        </w:rPr>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8</w:t>
      </w:r>
      <w:r w:rsidR="00926F4F" w:rsidRPr="00E90ABD">
        <w:rPr>
          <w:bCs/>
          <w:sz w:val="20"/>
          <w:szCs w:val="20"/>
        </w:rPr>
        <w:fldChar w:fldCharType="end"/>
      </w:r>
      <w:r w:rsidRPr="00E90ABD">
        <w:rPr>
          <w:b/>
          <w:bCs/>
          <w:sz w:val="20"/>
          <w:szCs w:val="20"/>
        </w:rPr>
        <w:t>):</w:t>
      </w:r>
      <w:r w:rsidRPr="00E90ABD">
        <w:rPr>
          <w:bCs/>
          <w:sz w:val="20"/>
          <w:szCs w:val="20"/>
        </w:rPr>
        <w:t xml:space="preserve"> A Comparison of ulnar nerve injury between the published studies</w:t>
      </w:r>
      <w:bookmarkEnd w:id="7"/>
      <w:r w:rsidRPr="00E90ABD">
        <w:rPr>
          <w:bCs/>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2436"/>
        <w:gridCol w:w="876"/>
        <w:gridCol w:w="970"/>
        <w:gridCol w:w="1700"/>
        <w:gridCol w:w="875"/>
        <w:gridCol w:w="970"/>
        <w:gridCol w:w="1647"/>
      </w:tblGrid>
      <w:tr w:rsidR="00CE5CB1" w:rsidRPr="00E90ABD" w:rsidTr="0065081C">
        <w:trPr>
          <w:jc w:val="center"/>
        </w:trPr>
        <w:tc>
          <w:tcPr>
            <w:tcW w:w="1285" w:type="pct"/>
            <w:vMerge w:val="restart"/>
            <w:noWrap/>
            <w:vAlign w:val="center"/>
          </w:tcPr>
          <w:p w:rsidR="00CE5CB1" w:rsidRPr="00E90ABD" w:rsidRDefault="00CE5CB1" w:rsidP="00F06E05">
            <w:pPr>
              <w:snapToGrid w:val="0"/>
              <w:jc w:val="both"/>
              <w:rPr>
                <w:b/>
                <w:bCs/>
                <w:sz w:val="20"/>
                <w:szCs w:val="20"/>
              </w:rPr>
            </w:pPr>
            <w:r w:rsidRPr="00E90ABD">
              <w:rPr>
                <w:b/>
                <w:bCs/>
                <w:sz w:val="20"/>
                <w:szCs w:val="20"/>
              </w:rPr>
              <w:t>Authors</w:t>
            </w:r>
          </w:p>
        </w:tc>
        <w:tc>
          <w:tcPr>
            <w:tcW w:w="1871" w:type="pct"/>
            <w:gridSpan w:val="3"/>
            <w:noWrap/>
            <w:vAlign w:val="center"/>
          </w:tcPr>
          <w:p w:rsidR="00CE5CB1" w:rsidRPr="00E90ABD" w:rsidRDefault="00CE5CB1" w:rsidP="00F06E05">
            <w:pPr>
              <w:snapToGrid w:val="0"/>
              <w:jc w:val="both"/>
              <w:rPr>
                <w:b/>
                <w:bCs/>
                <w:sz w:val="20"/>
                <w:szCs w:val="20"/>
              </w:rPr>
            </w:pPr>
            <w:r w:rsidRPr="00E90ABD">
              <w:rPr>
                <w:b/>
                <w:bCs/>
                <w:sz w:val="20"/>
                <w:szCs w:val="20"/>
              </w:rPr>
              <w:t>Lateral</w:t>
            </w:r>
          </w:p>
        </w:tc>
        <w:tc>
          <w:tcPr>
            <w:tcW w:w="1843" w:type="pct"/>
            <w:gridSpan w:val="3"/>
            <w:noWrap/>
            <w:vAlign w:val="center"/>
          </w:tcPr>
          <w:p w:rsidR="00CE5CB1" w:rsidRPr="00E90ABD" w:rsidRDefault="00CE5CB1" w:rsidP="00F06E05">
            <w:pPr>
              <w:snapToGrid w:val="0"/>
              <w:jc w:val="both"/>
              <w:rPr>
                <w:b/>
                <w:bCs/>
                <w:sz w:val="20"/>
                <w:szCs w:val="20"/>
              </w:rPr>
            </w:pPr>
            <w:r w:rsidRPr="00E90ABD">
              <w:rPr>
                <w:b/>
                <w:bCs/>
                <w:sz w:val="20"/>
                <w:szCs w:val="20"/>
              </w:rPr>
              <w:t>Crossed</w:t>
            </w:r>
          </w:p>
        </w:tc>
      </w:tr>
      <w:tr w:rsidR="00CE5CB1" w:rsidRPr="00E90ABD" w:rsidTr="0065081C">
        <w:trPr>
          <w:jc w:val="center"/>
        </w:trPr>
        <w:tc>
          <w:tcPr>
            <w:tcW w:w="1285" w:type="pct"/>
            <w:vMerge/>
            <w:vAlign w:val="center"/>
          </w:tcPr>
          <w:p w:rsidR="00CE5CB1" w:rsidRPr="00E90ABD" w:rsidRDefault="00CE5CB1" w:rsidP="00F06E05">
            <w:pPr>
              <w:snapToGrid w:val="0"/>
              <w:jc w:val="both"/>
              <w:rPr>
                <w:b/>
                <w:bCs/>
                <w:sz w:val="20"/>
                <w:szCs w:val="20"/>
              </w:rPr>
            </w:pPr>
          </w:p>
        </w:tc>
        <w:tc>
          <w:tcPr>
            <w:tcW w:w="462" w:type="pct"/>
            <w:noWrap/>
            <w:vAlign w:val="center"/>
          </w:tcPr>
          <w:p w:rsidR="0065081C" w:rsidRPr="00E90ABD" w:rsidRDefault="00CE5CB1" w:rsidP="00F06E05">
            <w:pPr>
              <w:snapToGrid w:val="0"/>
              <w:jc w:val="both"/>
              <w:rPr>
                <w:b/>
                <w:bCs/>
                <w:sz w:val="20"/>
                <w:szCs w:val="20"/>
              </w:rPr>
            </w:pPr>
            <w:r w:rsidRPr="00E90ABD">
              <w:rPr>
                <w:b/>
                <w:bCs/>
                <w:sz w:val="20"/>
                <w:szCs w:val="20"/>
              </w:rPr>
              <w:t xml:space="preserve">Number </w:t>
            </w:r>
          </w:p>
          <w:p w:rsidR="00CE5CB1" w:rsidRPr="00E90ABD" w:rsidRDefault="00CE5CB1" w:rsidP="00F06E05">
            <w:pPr>
              <w:snapToGrid w:val="0"/>
              <w:jc w:val="both"/>
              <w:rPr>
                <w:b/>
                <w:bCs/>
                <w:sz w:val="20"/>
                <w:szCs w:val="20"/>
              </w:rPr>
            </w:pPr>
            <w:r w:rsidRPr="00E90ABD">
              <w:rPr>
                <w:b/>
                <w:bCs/>
                <w:sz w:val="20"/>
                <w:szCs w:val="20"/>
              </w:rPr>
              <w:t>of cases</w:t>
            </w:r>
          </w:p>
        </w:tc>
        <w:tc>
          <w:tcPr>
            <w:tcW w:w="512" w:type="pct"/>
            <w:noWrap/>
            <w:vAlign w:val="center"/>
          </w:tcPr>
          <w:p w:rsidR="0065081C" w:rsidRPr="00E90ABD" w:rsidRDefault="00CE5CB1" w:rsidP="00F06E05">
            <w:pPr>
              <w:snapToGrid w:val="0"/>
              <w:jc w:val="both"/>
              <w:rPr>
                <w:b/>
                <w:bCs/>
                <w:sz w:val="20"/>
                <w:szCs w:val="20"/>
              </w:rPr>
            </w:pPr>
            <w:r w:rsidRPr="00E90ABD">
              <w:rPr>
                <w:b/>
                <w:bCs/>
                <w:sz w:val="20"/>
                <w:szCs w:val="20"/>
              </w:rPr>
              <w:t xml:space="preserve">Ulnar </w:t>
            </w:r>
          </w:p>
          <w:p w:rsidR="00CE5CB1" w:rsidRPr="00E90ABD" w:rsidRDefault="00CE5CB1" w:rsidP="00F06E05">
            <w:pPr>
              <w:snapToGrid w:val="0"/>
              <w:jc w:val="both"/>
              <w:rPr>
                <w:b/>
                <w:bCs/>
                <w:sz w:val="20"/>
                <w:szCs w:val="20"/>
              </w:rPr>
            </w:pPr>
            <w:r w:rsidRPr="00E90ABD">
              <w:rPr>
                <w:b/>
                <w:bCs/>
                <w:sz w:val="20"/>
                <w:szCs w:val="20"/>
              </w:rPr>
              <w:t>N. Injury</w:t>
            </w:r>
          </w:p>
        </w:tc>
        <w:tc>
          <w:tcPr>
            <w:tcW w:w="897" w:type="pct"/>
            <w:noWrap/>
            <w:vAlign w:val="center"/>
          </w:tcPr>
          <w:p w:rsidR="0065081C" w:rsidRPr="00E90ABD" w:rsidRDefault="00CE5CB1" w:rsidP="00F06E05">
            <w:pPr>
              <w:snapToGrid w:val="0"/>
              <w:jc w:val="both"/>
              <w:rPr>
                <w:b/>
                <w:bCs/>
                <w:sz w:val="20"/>
                <w:szCs w:val="20"/>
              </w:rPr>
            </w:pPr>
            <w:r w:rsidRPr="00E90ABD">
              <w:rPr>
                <w:b/>
                <w:bCs/>
                <w:sz w:val="20"/>
                <w:szCs w:val="20"/>
              </w:rPr>
              <w:t xml:space="preserve">Lateral Ulnar </w:t>
            </w:r>
          </w:p>
          <w:p w:rsidR="00CE5CB1" w:rsidRPr="00E90ABD" w:rsidRDefault="00CE5CB1" w:rsidP="00F06E05">
            <w:pPr>
              <w:snapToGrid w:val="0"/>
              <w:jc w:val="both"/>
              <w:rPr>
                <w:b/>
                <w:bCs/>
                <w:sz w:val="20"/>
                <w:szCs w:val="20"/>
              </w:rPr>
            </w:pPr>
            <w:r w:rsidRPr="00E90ABD">
              <w:rPr>
                <w:b/>
                <w:bCs/>
                <w:sz w:val="20"/>
                <w:szCs w:val="20"/>
              </w:rPr>
              <w:t>N. Injury. Perc%</w:t>
            </w:r>
          </w:p>
        </w:tc>
        <w:tc>
          <w:tcPr>
            <w:tcW w:w="462" w:type="pct"/>
            <w:noWrap/>
            <w:vAlign w:val="center"/>
          </w:tcPr>
          <w:p w:rsidR="0065081C" w:rsidRPr="00E90ABD" w:rsidRDefault="00CE5CB1" w:rsidP="00F06E05">
            <w:pPr>
              <w:snapToGrid w:val="0"/>
              <w:jc w:val="both"/>
              <w:rPr>
                <w:b/>
                <w:bCs/>
                <w:sz w:val="20"/>
                <w:szCs w:val="20"/>
              </w:rPr>
            </w:pPr>
            <w:r w:rsidRPr="00E90ABD">
              <w:rPr>
                <w:b/>
                <w:bCs/>
                <w:sz w:val="20"/>
                <w:szCs w:val="20"/>
              </w:rPr>
              <w:t xml:space="preserve">Number </w:t>
            </w:r>
          </w:p>
          <w:p w:rsidR="00CE5CB1" w:rsidRPr="00E90ABD" w:rsidRDefault="00CE5CB1" w:rsidP="00F06E05">
            <w:pPr>
              <w:snapToGrid w:val="0"/>
              <w:jc w:val="both"/>
              <w:rPr>
                <w:b/>
                <w:bCs/>
                <w:sz w:val="20"/>
                <w:szCs w:val="20"/>
              </w:rPr>
            </w:pPr>
            <w:r w:rsidRPr="00E90ABD">
              <w:rPr>
                <w:b/>
                <w:bCs/>
                <w:sz w:val="20"/>
                <w:szCs w:val="20"/>
              </w:rPr>
              <w:t>of cases</w:t>
            </w:r>
          </w:p>
        </w:tc>
        <w:tc>
          <w:tcPr>
            <w:tcW w:w="512" w:type="pct"/>
            <w:noWrap/>
            <w:vAlign w:val="center"/>
          </w:tcPr>
          <w:p w:rsidR="0065081C" w:rsidRPr="00E90ABD" w:rsidRDefault="00CE5CB1" w:rsidP="00F06E05">
            <w:pPr>
              <w:snapToGrid w:val="0"/>
              <w:jc w:val="both"/>
              <w:rPr>
                <w:b/>
                <w:bCs/>
                <w:sz w:val="20"/>
                <w:szCs w:val="20"/>
              </w:rPr>
            </w:pPr>
            <w:r w:rsidRPr="00E90ABD">
              <w:rPr>
                <w:b/>
                <w:bCs/>
                <w:sz w:val="20"/>
                <w:szCs w:val="20"/>
              </w:rPr>
              <w:t xml:space="preserve">Ulnar </w:t>
            </w:r>
          </w:p>
          <w:p w:rsidR="00CE5CB1" w:rsidRPr="00E90ABD" w:rsidRDefault="00CE5CB1" w:rsidP="00F06E05">
            <w:pPr>
              <w:snapToGrid w:val="0"/>
              <w:jc w:val="both"/>
              <w:rPr>
                <w:b/>
                <w:bCs/>
                <w:sz w:val="20"/>
                <w:szCs w:val="20"/>
              </w:rPr>
            </w:pPr>
            <w:r w:rsidRPr="00E90ABD">
              <w:rPr>
                <w:b/>
                <w:bCs/>
                <w:sz w:val="20"/>
                <w:szCs w:val="20"/>
              </w:rPr>
              <w:t>N. Injury</w:t>
            </w:r>
          </w:p>
        </w:tc>
        <w:tc>
          <w:tcPr>
            <w:tcW w:w="869" w:type="pct"/>
            <w:noWrap/>
            <w:vAlign w:val="center"/>
          </w:tcPr>
          <w:p w:rsidR="0065081C" w:rsidRPr="00E90ABD" w:rsidRDefault="00CE5CB1" w:rsidP="00F06E05">
            <w:pPr>
              <w:snapToGrid w:val="0"/>
              <w:jc w:val="both"/>
              <w:rPr>
                <w:b/>
                <w:bCs/>
                <w:sz w:val="20"/>
                <w:szCs w:val="20"/>
              </w:rPr>
            </w:pPr>
            <w:r w:rsidRPr="00E90ABD">
              <w:rPr>
                <w:b/>
                <w:bCs/>
                <w:sz w:val="20"/>
                <w:szCs w:val="20"/>
              </w:rPr>
              <w:t xml:space="preserve">Crossed Ulnar </w:t>
            </w:r>
          </w:p>
          <w:p w:rsidR="00CE5CB1" w:rsidRPr="00E90ABD" w:rsidRDefault="00CE5CB1" w:rsidP="00F06E05">
            <w:pPr>
              <w:snapToGrid w:val="0"/>
              <w:jc w:val="both"/>
              <w:rPr>
                <w:b/>
                <w:bCs/>
                <w:sz w:val="20"/>
                <w:szCs w:val="20"/>
              </w:rPr>
            </w:pPr>
            <w:r w:rsidRPr="00E90ABD">
              <w:rPr>
                <w:b/>
                <w:bCs/>
                <w:sz w:val="20"/>
                <w:szCs w:val="20"/>
              </w:rPr>
              <w:t>N. Injury Perc%</w:t>
            </w:r>
          </w:p>
        </w:tc>
      </w:tr>
      <w:tr w:rsidR="00CE5CB1" w:rsidRPr="00E90ABD" w:rsidTr="0065081C">
        <w:trPr>
          <w:jc w:val="center"/>
        </w:trPr>
        <w:tc>
          <w:tcPr>
            <w:tcW w:w="1285" w:type="pct"/>
            <w:noWrap/>
            <w:vAlign w:val="center"/>
          </w:tcPr>
          <w:p w:rsidR="00CE5CB1" w:rsidRPr="00E90ABD" w:rsidRDefault="00CE5CB1" w:rsidP="00F06E05">
            <w:pPr>
              <w:snapToGrid w:val="0"/>
              <w:jc w:val="both"/>
              <w:rPr>
                <w:b/>
                <w:bCs/>
                <w:sz w:val="20"/>
                <w:szCs w:val="20"/>
              </w:rPr>
            </w:pPr>
            <w:r w:rsidRPr="00E90ABD">
              <w:rPr>
                <w:b/>
                <w:bCs/>
                <w:sz w:val="20"/>
                <w:szCs w:val="20"/>
              </w:rPr>
              <w:t>Devkota et al</w:t>
            </w:r>
            <w:r w:rsidR="0054030B" w:rsidRPr="00E90ABD">
              <w:rPr>
                <w:b/>
                <w:bCs/>
                <w:sz w:val="20"/>
                <w:szCs w:val="20"/>
              </w:rPr>
              <w:t xml:space="preserve">. </w:t>
            </w:r>
            <w:r w:rsidRPr="00E90ABD">
              <w:rPr>
                <w:b/>
                <w:bCs/>
                <w:sz w:val="20"/>
                <w:szCs w:val="20"/>
              </w:rPr>
              <w:t>(102 cases)</w:t>
            </w:r>
          </w:p>
        </w:tc>
        <w:tc>
          <w:tcPr>
            <w:tcW w:w="462" w:type="pct"/>
            <w:noWrap/>
            <w:vAlign w:val="center"/>
          </w:tcPr>
          <w:p w:rsidR="00CE5CB1" w:rsidRPr="00E90ABD" w:rsidRDefault="00CE5CB1" w:rsidP="00F06E05">
            <w:pPr>
              <w:snapToGrid w:val="0"/>
              <w:jc w:val="both"/>
              <w:rPr>
                <w:bCs/>
                <w:sz w:val="20"/>
                <w:szCs w:val="20"/>
              </w:rPr>
            </w:pPr>
            <w:r w:rsidRPr="00E90ABD">
              <w:rPr>
                <w:bCs/>
                <w:sz w:val="20"/>
                <w:szCs w:val="20"/>
              </w:rPr>
              <w:t>23</w:t>
            </w:r>
          </w:p>
        </w:tc>
        <w:tc>
          <w:tcPr>
            <w:tcW w:w="512" w:type="pct"/>
            <w:noWrap/>
            <w:vAlign w:val="center"/>
          </w:tcPr>
          <w:p w:rsidR="00CE5CB1" w:rsidRPr="00E90ABD" w:rsidRDefault="00CE5CB1" w:rsidP="00F06E05">
            <w:pPr>
              <w:snapToGrid w:val="0"/>
              <w:jc w:val="both"/>
              <w:rPr>
                <w:bCs/>
                <w:sz w:val="20"/>
                <w:szCs w:val="20"/>
              </w:rPr>
            </w:pPr>
            <w:r w:rsidRPr="00E90ABD">
              <w:rPr>
                <w:bCs/>
                <w:sz w:val="20"/>
                <w:szCs w:val="20"/>
              </w:rPr>
              <w:t>0</w:t>
            </w:r>
          </w:p>
        </w:tc>
        <w:tc>
          <w:tcPr>
            <w:tcW w:w="897" w:type="pct"/>
            <w:noWrap/>
            <w:vAlign w:val="center"/>
          </w:tcPr>
          <w:p w:rsidR="00CE5CB1" w:rsidRPr="00E90ABD" w:rsidRDefault="00CE5CB1" w:rsidP="00F06E05">
            <w:pPr>
              <w:snapToGrid w:val="0"/>
              <w:jc w:val="both"/>
              <w:rPr>
                <w:bCs/>
                <w:sz w:val="20"/>
                <w:szCs w:val="20"/>
              </w:rPr>
            </w:pPr>
            <w:r w:rsidRPr="00E90ABD">
              <w:rPr>
                <w:bCs/>
                <w:sz w:val="20"/>
                <w:szCs w:val="20"/>
              </w:rPr>
              <w:t>0.00%</w:t>
            </w:r>
          </w:p>
        </w:tc>
        <w:tc>
          <w:tcPr>
            <w:tcW w:w="462" w:type="pct"/>
            <w:noWrap/>
            <w:vAlign w:val="center"/>
          </w:tcPr>
          <w:p w:rsidR="00CE5CB1" w:rsidRPr="00E90ABD" w:rsidRDefault="00CE5CB1" w:rsidP="00F06E05">
            <w:pPr>
              <w:snapToGrid w:val="0"/>
              <w:jc w:val="both"/>
              <w:rPr>
                <w:bCs/>
                <w:sz w:val="20"/>
                <w:szCs w:val="20"/>
              </w:rPr>
            </w:pPr>
            <w:r w:rsidRPr="00E90ABD">
              <w:rPr>
                <w:bCs/>
                <w:sz w:val="20"/>
                <w:szCs w:val="20"/>
              </w:rPr>
              <w:t>79</w:t>
            </w:r>
          </w:p>
        </w:tc>
        <w:tc>
          <w:tcPr>
            <w:tcW w:w="512" w:type="pct"/>
            <w:noWrap/>
            <w:vAlign w:val="center"/>
          </w:tcPr>
          <w:p w:rsidR="00CE5CB1" w:rsidRPr="00E90ABD" w:rsidRDefault="00CE5CB1" w:rsidP="00F06E05">
            <w:pPr>
              <w:snapToGrid w:val="0"/>
              <w:jc w:val="both"/>
              <w:rPr>
                <w:bCs/>
                <w:sz w:val="20"/>
                <w:szCs w:val="20"/>
              </w:rPr>
            </w:pPr>
            <w:r w:rsidRPr="00E90ABD">
              <w:rPr>
                <w:bCs/>
                <w:sz w:val="20"/>
                <w:szCs w:val="20"/>
              </w:rPr>
              <w:t>7</w:t>
            </w:r>
          </w:p>
        </w:tc>
        <w:tc>
          <w:tcPr>
            <w:tcW w:w="869" w:type="pct"/>
            <w:noWrap/>
            <w:vAlign w:val="center"/>
          </w:tcPr>
          <w:p w:rsidR="00CE5CB1" w:rsidRPr="00E90ABD" w:rsidRDefault="00CE5CB1" w:rsidP="00F06E05">
            <w:pPr>
              <w:snapToGrid w:val="0"/>
              <w:jc w:val="both"/>
              <w:rPr>
                <w:bCs/>
                <w:sz w:val="20"/>
                <w:szCs w:val="20"/>
              </w:rPr>
            </w:pPr>
            <w:r w:rsidRPr="00E90ABD">
              <w:rPr>
                <w:bCs/>
                <w:sz w:val="20"/>
                <w:szCs w:val="20"/>
              </w:rPr>
              <w:t>8.86%</w:t>
            </w:r>
          </w:p>
        </w:tc>
      </w:tr>
      <w:tr w:rsidR="00CE5CB1" w:rsidRPr="00E90ABD" w:rsidTr="0065081C">
        <w:trPr>
          <w:jc w:val="center"/>
        </w:trPr>
        <w:tc>
          <w:tcPr>
            <w:tcW w:w="1285" w:type="pct"/>
            <w:noWrap/>
            <w:vAlign w:val="center"/>
          </w:tcPr>
          <w:p w:rsidR="00CE5CB1" w:rsidRPr="00E90ABD" w:rsidRDefault="00CE5CB1" w:rsidP="00F06E05">
            <w:pPr>
              <w:snapToGrid w:val="0"/>
              <w:jc w:val="both"/>
              <w:rPr>
                <w:b/>
                <w:bCs/>
                <w:sz w:val="20"/>
                <w:szCs w:val="20"/>
              </w:rPr>
            </w:pPr>
            <w:r w:rsidRPr="00E90ABD">
              <w:rPr>
                <w:b/>
                <w:bCs/>
                <w:sz w:val="20"/>
                <w:szCs w:val="20"/>
              </w:rPr>
              <w:t>Chakraborty (92 cases)</w:t>
            </w:r>
          </w:p>
        </w:tc>
        <w:tc>
          <w:tcPr>
            <w:tcW w:w="462" w:type="pct"/>
            <w:noWrap/>
            <w:vAlign w:val="center"/>
          </w:tcPr>
          <w:p w:rsidR="00CE5CB1" w:rsidRPr="00E90ABD" w:rsidRDefault="00CE5CB1" w:rsidP="00F06E05">
            <w:pPr>
              <w:snapToGrid w:val="0"/>
              <w:jc w:val="both"/>
              <w:rPr>
                <w:bCs/>
                <w:sz w:val="20"/>
                <w:szCs w:val="20"/>
              </w:rPr>
            </w:pPr>
            <w:r w:rsidRPr="00E90ABD">
              <w:rPr>
                <w:bCs/>
                <w:sz w:val="20"/>
                <w:szCs w:val="20"/>
              </w:rPr>
              <w:t>36</w:t>
            </w:r>
          </w:p>
        </w:tc>
        <w:tc>
          <w:tcPr>
            <w:tcW w:w="512" w:type="pct"/>
            <w:noWrap/>
            <w:vAlign w:val="center"/>
          </w:tcPr>
          <w:p w:rsidR="00CE5CB1" w:rsidRPr="00E90ABD" w:rsidRDefault="00CE5CB1" w:rsidP="00F06E05">
            <w:pPr>
              <w:snapToGrid w:val="0"/>
              <w:jc w:val="both"/>
              <w:rPr>
                <w:bCs/>
                <w:sz w:val="20"/>
                <w:szCs w:val="20"/>
              </w:rPr>
            </w:pPr>
            <w:r w:rsidRPr="00E90ABD">
              <w:rPr>
                <w:bCs/>
                <w:sz w:val="20"/>
                <w:szCs w:val="20"/>
              </w:rPr>
              <w:t>0</w:t>
            </w:r>
          </w:p>
        </w:tc>
        <w:tc>
          <w:tcPr>
            <w:tcW w:w="897" w:type="pct"/>
            <w:noWrap/>
            <w:vAlign w:val="center"/>
          </w:tcPr>
          <w:p w:rsidR="00CE5CB1" w:rsidRPr="00E90ABD" w:rsidRDefault="00CE5CB1" w:rsidP="00F06E05">
            <w:pPr>
              <w:snapToGrid w:val="0"/>
              <w:jc w:val="both"/>
              <w:rPr>
                <w:bCs/>
                <w:sz w:val="20"/>
                <w:szCs w:val="20"/>
              </w:rPr>
            </w:pPr>
            <w:r w:rsidRPr="00E90ABD">
              <w:rPr>
                <w:bCs/>
                <w:sz w:val="20"/>
                <w:szCs w:val="20"/>
              </w:rPr>
              <w:t>0.00%</w:t>
            </w:r>
          </w:p>
        </w:tc>
        <w:tc>
          <w:tcPr>
            <w:tcW w:w="462" w:type="pct"/>
            <w:noWrap/>
            <w:vAlign w:val="center"/>
          </w:tcPr>
          <w:p w:rsidR="00CE5CB1" w:rsidRPr="00E90ABD" w:rsidRDefault="00CE5CB1" w:rsidP="00F06E05">
            <w:pPr>
              <w:snapToGrid w:val="0"/>
              <w:jc w:val="both"/>
              <w:rPr>
                <w:bCs/>
                <w:sz w:val="20"/>
                <w:szCs w:val="20"/>
              </w:rPr>
            </w:pPr>
            <w:r w:rsidRPr="00E90ABD">
              <w:rPr>
                <w:bCs/>
                <w:sz w:val="20"/>
                <w:szCs w:val="20"/>
              </w:rPr>
              <w:t>56</w:t>
            </w:r>
          </w:p>
        </w:tc>
        <w:tc>
          <w:tcPr>
            <w:tcW w:w="512" w:type="pct"/>
            <w:noWrap/>
            <w:vAlign w:val="center"/>
          </w:tcPr>
          <w:p w:rsidR="00CE5CB1" w:rsidRPr="00E90ABD" w:rsidRDefault="00CE5CB1" w:rsidP="00F06E05">
            <w:pPr>
              <w:snapToGrid w:val="0"/>
              <w:jc w:val="both"/>
              <w:rPr>
                <w:bCs/>
                <w:sz w:val="20"/>
                <w:szCs w:val="20"/>
              </w:rPr>
            </w:pPr>
            <w:r w:rsidRPr="00E90ABD">
              <w:rPr>
                <w:bCs/>
                <w:sz w:val="20"/>
                <w:szCs w:val="20"/>
              </w:rPr>
              <w:t>4</w:t>
            </w:r>
          </w:p>
        </w:tc>
        <w:tc>
          <w:tcPr>
            <w:tcW w:w="869" w:type="pct"/>
            <w:noWrap/>
            <w:vAlign w:val="center"/>
          </w:tcPr>
          <w:p w:rsidR="00CE5CB1" w:rsidRPr="00E90ABD" w:rsidRDefault="00CE5CB1" w:rsidP="00F06E05">
            <w:pPr>
              <w:snapToGrid w:val="0"/>
              <w:jc w:val="both"/>
              <w:rPr>
                <w:bCs/>
                <w:sz w:val="20"/>
                <w:szCs w:val="20"/>
              </w:rPr>
            </w:pPr>
            <w:r w:rsidRPr="00E90ABD">
              <w:rPr>
                <w:bCs/>
                <w:sz w:val="20"/>
                <w:szCs w:val="20"/>
              </w:rPr>
              <w:t>7.14%</w:t>
            </w:r>
          </w:p>
        </w:tc>
      </w:tr>
      <w:tr w:rsidR="00CE5CB1" w:rsidRPr="00E90ABD" w:rsidTr="0065081C">
        <w:trPr>
          <w:jc w:val="center"/>
        </w:trPr>
        <w:tc>
          <w:tcPr>
            <w:tcW w:w="1285" w:type="pct"/>
            <w:noWrap/>
            <w:vAlign w:val="center"/>
          </w:tcPr>
          <w:p w:rsidR="00CE5CB1" w:rsidRPr="00E90ABD" w:rsidRDefault="00CE5CB1" w:rsidP="00F06E05">
            <w:pPr>
              <w:snapToGrid w:val="0"/>
              <w:jc w:val="both"/>
              <w:rPr>
                <w:b/>
                <w:bCs/>
                <w:sz w:val="20"/>
                <w:szCs w:val="20"/>
              </w:rPr>
            </w:pPr>
            <w:r w:rsidRPr="00E90ABD">
              <w:rPr>
                <w:b/>
                <w:bCs/>
                <w:sz w:val="20"/>
                <w:szCs w:val="20"/>
              </w:rPr>
              <w:t>Zamzam et al</w:t>
            </w:r>
            <w:r w:rsidR="0054030B" w:rsidRPr="00E90ABD">
              <w:rPr>
                <w:b/>
                <w:bCs/>
                <w:sz w:val="20"/>
                <w:szCs w:val="20"/>
              </w:rPr>
              <w:t xml:space="preserve">. </w:t>
            </w:r>
            <w:r w:rsidRPr="00E90ABD">
              <w:rPr>
                <w:b/>
                <w:bCs/>
                <w:sz w:val="20"/>
                <w:szCs w:val="20"/>
              </w:rPr>
              <w:t>(108 cases)</w:t>
            </w:r>
          </w:p>
        </w:tc>
        <w:tc>
          <w:tcPr>
            <w:tcW w:w="462" w:type="pct"/>
            <w:noWrap/>
            <w:vAlign w:val="center"/>
          </w:tcPr>
          <w:p w:rsidR="00CE5CB1" w:rsidRPr="00E90ABD" w:rsidRDefault="00CE5CB1" w:rsidP="00F06E05">
            <w:pPr>
              <w:snapToGrid w:val="0"/>
              <w:jc w:val="both"/>
              <w:rPr>
                <w:bCs/>
                <w:sz w:val="20"/>
                <w:szCs w:val="20"/>
              </w:rPr>
            </w:pPr>
            <w:r w:rsidRPr="00E90ABD">
              <w:rPr>
                <w:bCs/>
                <w:sz w:val="20"/>
                <w:szCs w:val="20"/>
              </w:rPr>
              <w:t>37</w:t>
            </w:r>
          </w:p>
        </w:tc>
        <w:tc>
          <w:tcPr>
            <w:tcW w:w="512" w:type="pct"/>
            <w:noWrap/>
            <w:vAlign w:val="center"/>
          </w:tcPr>
          <w:p w:rsidR="00CE5CB1" w:rsidRPr="00E90ABD" w:rsidRDefault="00CE5CB1" w:rsidP="00F06E05">
            <w:pPr>
              <w:snapToGrid w:val="0"/>
              <w:jc w:val="both"/>
              <w:rPr>
                <w:bCs/>
                <w:sz w:val="20"/>
                <w:szCs w:val="20"/>
              </w:rPr>
            </w:pPr>
            <w:r w:rsidRPr="00E90ABD">
              <w:rPr>
                <w:bCs/>
                <w:sz w:val="20"/>
                <w:szCs w:val="20"/>
              </w:rPr>
              <w:t>0</w:t>
            </w:r>
          </w:p>
        </w:tc>
        <w:tc>
          <w:tcPr>
            <w:tcW w:w="897" w:type="pct"/>
            <w:noWrap/>
            <w:vAlign w:val="center"/>
          </w:tcPr>
          <w:p w:rsidR="00CE5CB1" w:rsidRPr="00E90ABD" w:rsidRDefault="00CE5CB1" w:rsidP="00F06E05">
            <w:pPr>
              <w:snapToGrid w:val="0"/>
              <w:jc w:val="both"/>
              <w:rPr>
                <w:bCs/>
                <w:sz w:val="20"/>
                <w:szCs w:val="20"/>
              </w:rPr>
            </w:pPr>
            <w:r w:rsidRPr="00E90ABD">
              <w:rPr>
                <w:bCs/>
                <w:sz w:val="20"/>
                <w:szCs w:val="20"/>
              </w:rPr>
              <w:t>0.00%</w:t>
            </w:r>
          </w:p>
        </w:tc>
        <w:tc>
          <w:tcPr>
            <w:tcW w:w="462" w:type="pct"/>
            <w:noWrap/>
            <w:vAlign w:val="center"/>
          </w:tcPr>
          <w:p w:rsidR="00CE5CB1" w:rsidRPr="00E90ABD" w:rsidRDefault="00CE5CB1" w:rsidP="00F06E05">
            <w:pPr>
              <w:snapToGrid w:val="0"/>
              <w:jc w:val="both"/>
              <w:rPr>
                <w:bCs/>
                <w:sz w:val="20"/>
                <w:szCs w:val="20"/>
              </w:rPr>
            </w:pPr>
            <w:r w:rsidRPr="00E90ABD">
              <w:rPr>
                <w:bCs/>
                <w:sz w:val="20"/>
                <w:szCs w:val="20"/>
              </w:rPr>
              <w:t>71</w:t>
            </w:r>
          </w:p>
        </w:tc>
        <w:tc>
          <w:tcPr>
            <w:tcW w:w="512" w:type="pct"/>
            <w:noWrap/>
            <w:vAlign w:val="center"/>
          </w:tcPr>
          <w:p w:rsidR="00CE5CB1" w:rsidRPr="00E90ABD" w:rsidRDefault="00CE5CB1" w:rsidP="00F06E05">
            <w:pPr>
              <w:snapToGrid w:val="0"/>
              <w:jc w:val="both"/>
              <w:rPr>
                <w:bCs/>
                <w:sz w:val="20"/>
                <w:szCs w:val="20"/>
              </w:rPr>
            </w:pPr>
            <w:r w:rsidRPr="00E90ABD">
              <w:rPr>
                <w:bCs/>
                <w:sz w:val="20"/>
                <w:szCs w:val="20"/>
              </w:rPr>
              <w:t>2</w:t>
            </w:r>
          </w:p>
        </w:tc>
        <w:tc>
          <w:tcPr>
            <w:tcW w:w="869" w:type="pct"/>
            <w:noWrap/>
            <w:vAlign w:val="center"/>
          </w:tcPr>
          <w:p w:rsidR="00CE5CB1" w:rsidRPr="00E90ABD" w:rsidRDefault="00CE5CB1" w:rsidP="00F06E05">
            <w:pPr>
              <w:snapToGrid w:val="0"/>
              <w:jc w:val="both"/>
              <w:rPr>
                <w:bCs/>
                <w:sz w:val="20"/>
                <w:szCs w:val="20"/>
              </w:rPr>
            </w:pPr>
            <w:r w:rsidRPr="00E90ABD">
              <w:rPr>
                <w:bCs/>
                <w:sz w:val="20"/>
                <w:szCs w:val="20"/>
              </w:rPr>
              <w:t>2.82%</w:t>
            </w:r>
          </w:p>
        </w:tc>
      </w:tr>
      <w:tr w:rsidR="00CE5CB1" w:rsidRPr="00E90ABD" w:rsidTr="0065081C">
        <w:trPr>
          <w:jc w:val="center"/>
        </w:trPr>
        <w:tc>
          <w:tcPr>
            <w:tcW w:w="1285" w:type="pct"/>
            <w:noWrap/>
            <w:vAlign w:val="center"/>
          </w:tcPr>
          <w:p w:rsidR="00CE5CB1" w:rsidRPr="00E90ABD" w:rsidRDefault="00CE5CB1" w:rsidP="00F06E05">
            <w:pPr>
              <w:snapToGrid w:val="0"/>
              <w:jc w:val="both"/>
              <w:rPr>
                <w:b/>
                <w:bCs/>
                <w:sz w:val="20"/>
                <w:szCs w:val="20"/>
              </w:rPr>
            </w:pPr>
            <w:r w:rsidRPr="00E90ABD">
              <w:rPr>
                <w:b/>
                <w:bCs/>
                <w:sz w:val="20"/>
                <w:szCs w:val="20"/>
              </w:rPr>
              <w:t>In our study (20 cases)</w:t>
            </w:r>
          </w:p>
        </w:tc>
        <w:tc>
          <w:tcPr>
            <w:tcW w:w="462" w:type="pct"/>
            <w:noWrap/>
            <w:vAlign w:val="center"/>
          </w:tcPr>
          <w:p w:rsidR="00CE5CB1" w:rsidRPr="00E90ABD" w:rsidRDefault="00CE5CB1" w:rsidP="00F06E05">
            <w:pPr>
              <w:snapToGrid w:val="0"/>
              <w:jc w:val="both"/>
              <w:rPr>
                <w:bCs/>
                <w:sz w:val="20"/>
                <w:szCs w:val="20"/>
              </w:rPr>
            </w:pPr>
            <w:r w:rsidRPr="00E90ABD">
              <w:rPr>
                <w:bCs/>
                <w:sz w:val="20"/>
                <w:szCs w:val="20"/>
              </w:rPr>
              <w:t>20</w:t>
            </w:r>
          </w:p>
        </w:tc>
        <w:tc>
          <w:tcPr>
            <w:tcW w:w="512" w:type="pct"/>
            <w:noWrap/>
            <w:vAlign w:val="center"/>
          </w:tcPr>
          <w:p w:rsidR="00CE5CB1" w:rsidRPr="00E90ABD" w:rsidRDefault="00CE5CB1" w:rsidP="00F06E05">
            <w:pPr>
              <w:snapToGrid w:val="0"/>
              <w:jc w:val="both"/>
              <w:rPr>
                <w:bCs/>
                <w:sz w:val="20"/>
                <w:szCs w:val="20"/>
              </w:rPr>
            </w:pPr>
            <w:r w:rsidRPr="00E90ABD">
              <w:rPr>
                <w:bCs/>
                <w:sz w:val="20"/>
                <w:szCs w:val="20"/>
              </w:rPr>
              <w:t>0</w:t>
            </w:r>
          </w:p>
        </w:tc>
        <w:tc>
          <w:tcPr>
            <w:tcW w:w="897" w:type="pct"/>
            <w:noWrap/>
            <w:vAlign w:val="center"/>
          </w:tcPr>
          <w:p w:rsidR="00CE5CB1" w:rsidRPr="00E90ABD" w:rsidRDefault="00CE5CB1" w:rsidP="00F06E05">
            <w:pPr>
              <w:snapToGrid w:val="0"/>
              <w:jc w:val="both"/>
              <w:rPr>
                <w:bCs/>
                <w:sz w:val="20"/>
                <w:szCs w:val="20"/>
              </w:rPr>
            </w:pPr>
            <w:r w:rsidRPr="00E90ABD">
              <w:rPr>
                <w:bCs/>
                <w:sz w:val="20"/>
                <w:szCs w:val="20"/>
              </w:rPr>
              <w:t>0.00%</w:t>
            </w:r>
          </w:p>
        </w:tc>
        <w:tc>
          <w:tcPr>
            <w:tcW w:w="1843" w:type="pct"/>
            <w:gridSpan w:val="3"/>
            <w:shd w:val="clear" w:color="auto" w:fill="auto"/>
            <w:vAlign w:val="center"/>
          </w:tcPr>
          <w:p w:rsidR="00CE5CB1" w:rsidRPr="00E90ABD" w:rsidRDefault="00CE5CB1" w:rsidP="00F06E05">
            <w:pPr>
              <w:snapToGrid w:val="0"/>
              <w:jc w:val="both"/>
              <w:rPr>
                <w:bCs/>
                <w:sz w:val="20"/>
                <w:szCs w:val="20"/>
              </w:rPr>
            </w:pPr>
          </w:p>
        </w:tc>
      </w:tr>
    </w:tbl>
    <w:p w:rsidR="00E90ABD" w:rsidRDefault="00E90ABD" w:rsidP="00F06E05">
      <w:pPr>
        <w:snapToGrid w:val="0"/>
        <w:jc w:val="both"/>
        <w:rPr>
          <w:rFonts w:hint="eastAsia"/>
          <w:b/>
          <w:bCs/>
          <w:sz w:val="20"/>
          <w:szCs w:val="20"/>
          <w:lang w:eastAsia="zh-CN"/>
        </w:rPr>
      </w:pPr>
    </w:p>
    <w:p w:rsidR="00E90ABD" w:rsidRPr="00E90ABD" w:rsidRDefault="00E90ABD" w:rsidP="00F06E05">
      <w:pPr>
        <w:snapToGrid w:val="0"/>
        <w:jc w:val="both"/>
        <w:rPr>
          <w:rFonts w:hint="eastAsia"/>
          <w:b/>
          <w:bCs/>
          <w:sz w:val="20"/>
          <w:szCs w:val="20"/>
          <w:lang w:eastAsia="zh-CN"/>
        </w:rPr>
      </w:pPr>
    </w:p>
    <w:p w:rsidR="00F06E05" w:rsidRPr="00E90ABD" w:rsidRDefault="00F06E05" w:rsidP="00F06E05">
      <w:pPr>
        <w:snapToGrid w:val="0"/>
        <w:jc w:val="both"/>
        <w:rPr>
          <w:b/>
          <w:bCs/>
          <w:sz w:val="20"/>
          <w:szCs w:val="20"/>
        </w:rPr>
        <w:sectPr w:rsidR="00F06E05" w:rsidRPr="00E90ABD" w:rsidSect="0065081C">
          <w:type w:val="continuous"/>
          <w:pgSz w:w="12240" w:h="15840" w:code="9"/>
          <w:pgMar w:top="1440" w:right="1440" w:bottom="1440" w:left="1440" w:header="720" w:footer="720" w:gutter="0"/>
          <w:cols w:space="720"/>
          <w:docGrid w:linePitch="360"/>
        </w:sectPr>
      </w:pPr>
    </w:p>
    <w:p w:rsidR="00CE5CB1" w:rsidRPr="00E90ABD" w:rsidRDefault="00CE5CB1" w:rsidP="00F06E05">
      <w:pPr>
        <w:snapToGrid w:val="0"/>
        <w:jc w:val="both"/>
        <w:rPr>
          <w:b/>
          <w:bCs/>
          <w:sz w:val="20"/>
          <w:szCs w:val="20"/>
        </w:rPr>
      </w:pPr>
      <w:r w:rsidRPr="00E90ABD">
        <w:rPr>
          <w:b/>
          <w:bCs/>
          <w:sz w:val="20"/>
          <w:szCs w:val="20"/>
        </w:rPr>
        <w:lastRenderedPageBreak/>
        <w:t xml:space="preserve">Postoperative Range of Motion (ROM): </w:t>
      </w:r>
    </w:p>
    <w:p w:rsidR="00CE5CB1" w:rsidRPr="00E90ABD" w:rsidRDefault="00CE5CB1" w:rsidP="00F06E05">
      <w:pPr>
        <w:snapToGrid w:val="0"/>
        <w:jc w:val="both"/>
        <w:rPr>
          <w:b/>
          <w:bCs/>
          <w:sz w:val="20"/>
          <w:szCs w:val="20"/>
        </w:rPr>
      </w:pPr>
      <w:r w:rsidRPr="00E90ABD">
        <w:rPr>
          <w:b/>
          <w:bCs/>
          <w:sz w:val="20"/>
          <w:szCs w:val="20"/>
        </w:rPr>
        <w:t xml:space="preserve">Devkota et al. </w:t>
      </w:r>
      <w:r w:rsidRPr="00E90ABD">
        <w:rPr>
          <w:b/>
          <w:bCs/>
          <w:sz w:val="20"/>
          <w:szCs w:val="20"/>
          <w:vertAlign w:val="superscript"/>
        </w:rPr>
        <w:t>(</w:t>
      </w:r>
      <w:r w:rsidR="00096944" w:rsidRPr="00E90ABD">
        <w:rPr>
          <w:b/>
          <w:bCs/>
          <w:sz w:val="20"/>
          <w:szCs w:val="20"/>
          <w:vertAlign w:val="superscript"/>
        </w:rPr>
        <w:t>24</w:t>
      </w:r>
      <w:r w:rsidRPr="00E90ABD">
        <w:rPr>
          <w:b/>
          <w:bCs/>
          <w:sz w:val="20"/>
          <w:szCs w:val="20"/>
          <w:vertAlign w:val="superscript"/>
        </w:rPr>
        <w:t>)</w:t>
      </w:r>
      <w:r w:rsidRPr="00E90ABD">
        <w:rPr>
          <w:b/>
          <w:bCs/>
          <w:sz w:val="20"/>
          <w:szCs w:val="20"/>
        </w:rPr>
        <w:t xml:space="preserve">: </w:t>
      </w:r>
    </w:p>
    <w:p w:rsidR="00CE5CB1" w:rsidRPr="00E90ABD" w:rsidRDefault="00CE5CB1" w:rsidP="00F06E05">
      <w:pPr>
        <w:snapToGrid w:val="0"/>
        <w:ind w:firstLine="425"/>
        <w:jc w:val="both"/>
        <w:rPr>
          <w:bCs/>
          <w:sz w:val="20"/>
          <w:szCs w:val="20"/>
        </w:rPr>
      </w:pPr>
      <w:r w:rsidRPr="00E90ABD">
        <w:rPr>
          <w:bCs/>
          <w:sz w:val="20"/>
          <w:szCs w:val="20"/>
        </w:rPr>
        <w:t>Three patients of the 79 patients in the crossed pinning group (3.79%) and one patient of the 23 patients in the lateral pinning group (4.34%) got poor range of motion.</w:t>
      </w:r>
    </w:p>
    <w:p w:rsidR="00CE5CB1" w:rsidRPr="00E90ABD" w:rsidRDefault="00CE5CB1" w:rsidP="00F06E05">
      <w:pPr>
        <w:snapToGrid w:val="0"/>
        <w:jc w:val="both"/>
        <w:rPr>
          <w:b/>
          <w:bCs/>
          <w:sz w:val="20"/>
          <w:szCs w:val="20"/>
        </w:rPr>
      </w:pPr>
      <w:r w:rsidRPr="00E90ABD">
        <w:rPr>
          <w:b/>
          <w:bCs/>
          <w:sz w:val="20"/>
          <w:szCs w:val="20"/>
        </w:rPr>
        <w:t xml:space="preserve">Zamzam et al. </w:t>
      </w:r>
      <w:r w:rsidRPr="00E90ABD">
        <w:rPr>
          <w:b/>
          <w:bCs/>
          <w:sz w:val="20"/>
          <w:szCs w:val="20"/>
          <w:vertAlign w:val="superscript"/>
        </w:rPr>
        <w:t>(</w:t>
      </w:r>
      <w:r w:rsidR="00096944" w:rsidRPr="00E90ABD">
        <w:rPr>
          <w:b/>
          <w:bCs/>
          <w:sz w:val="20"/>
          <w:szCs w:val="20"/>
          <w:vertAlign w:val="superscript"/>
        </w:rPr>
        <w:t>26</w:t>
      </w:r>
      <w:r w:rsidRPr="00E90ABD">
        <w:rPr>
          <w:b/>
          <w:bCs/>
          <w:sz w:val="20"/>
          <w:szCs w:val="20"/>
          <w:vertAlign w:val="superscript"/>
        </w:rPr>
        <w:t>)</w:t>
      </w:r>
      <w:r w:rsidRPr="00E90ABD">
        <w:rPr>
          <w:b/>
          <w:bCs/>
          <w:sz w:val="20"/>
          <w:szCs w:val="20"/>
        </w:rPr>
        <w:t xml:space="preserve">: </w:t>
      </w:r>
    </w:p>
    <w:p w:rsidR="00CE5CB1" w:rsidRPr="00E90ABD" w:rsidRDefault="00CE5CB1" w:rsidP="00F06E05">
      <w:pPr>
        <w:snapToGrid w:val="0"/>
        <w:ind w:firstLine="425"/>
        <w:jc w:val="both"/>
        <w:rPr>
          <w:bCs/>
          <w:sz w:val="20"/>
          <w:szCs w:val="20"/>
        </w:rPr>
      </w:pPr>
      <w:r w:rsidRPr="00E90ABD">
        <w:rPr>
          <w:bCs/>
          <w:sz w:val="20"/>
          <w:szCs w:val="20"/>
        </w:rPr>
        <w:t>All regained full range of motion, except for one boy who lost approximately 20</w:t>
      </w:r>
      <w:r w:rsidRPr="00E90ABD">
        <w:rPr>
          <w:bCs/>
          <w:sz w:val="20"/>
          <w:szCs w:val="20"/>
          <w:vertAlign w:val="superscript"/>
        </w:rPr>
        <w:t>o</w:t>
      </w:r>
      <w:r w:rsidRPr="00E90ABD">
        <w:rPr>
          <w:bCs/>
          <w:sz w:val="20"/>
          <w:szCs w:val="20"/>
        </w:rPr>
        <w:t xml:space="preserve"> of elbow flexion and </w:t>
      </w:r>
      <w:r w:rsidRPr="00E90ABD">
        <w:rPr>
          <w:bCs/>
          <w:sz w:val="20"/>
          <w:szCs w:val="20"/>
        </w:rPr>
        <w:lastRenderedPageBreak/>
        <w:t>had an extension lag of &lt;10</w:t>
      </w:r>
      <w:r w:rsidRPr="00E90ABD">
        <w:rPr>
          <w:bCs/>
          <w:sz w:val="20"/>
          <w:szCs w:val="20"/>
          <w:vertAlign w:val="superscript"/>
        </w:rPr>
        <w:t>o</w:t>
      </w:r>
      <w:r w:rsidRPr="00E90ABD">
        <w:rPr>
          <w:bCs/>
          <w:sz w:val="20"/>
          <w:szCs w:val="20"/>
        </w:rPr>
        <w:t>, and one girl who also had an extension lag of &lt;10</w:t>
      </w:r>
      <w:r w:rsidRPr="00E90ABD">
        <w:rPr>
          <w:bCs/>
          <w:sz w:val="20"/>
          <w:szCs w:val="20"/>
          <w:vertAlign w:val="superscript"/>
        </w:rPr>
        <w:t>o</w:t>
      </w:r>
      <w:r w:rsidRPr="00E90ABD">
        <w:rPr>
          <w:bCs/>
          <w:sz w:val="20"/>
          <w:szCs w:val="20"/>
        </w:rPr>
        <w:t>.</w:t>
      </w:r>
    </w:p>
    <w:p w:rsidR="00CE5CB1" w:rsidRPr="00E90ABD" w:rsidRDefault="00CE5CB1" w:rsidP="00F06E05">
      <w:pPr>
        <w:snapToGrid w:val="0"/>
        <w:ind w:firstLine="425"/>
        <w:jc w:val="both"/>
        <w:rPr>
          <w:bCs/>
          <w:sz w:val="20"/>
          <w:szCs w:val="20"/>
        </w:rPr>
      </w:pPr>
      <w:r w:rsidRPr="00E90ABD">
        <w:rPr>
          <w:b/>
          <w:bCs/>
          <w:sz w:val="20"/>
          <w:szCs w:val="20"/>
        </w:rPr>
        <w:t xml:space="preserve">In our study, </w:t>
      </w:r>
      <w:r w:rsidRPr="00E90ABD">
        <w:rPr>
          <w:bCs/>
          <w:sz w:val="20"/>
          <w:szCs w:val="20"/>
        </w:rPr>
        <w:t>the range of motions was restored in 2 months after removal of the wires except five children who required an extended period of intensive physiotherapy because of persistent elbow stiffness with lateral pin configuration.</w:t>
      </w:r>
    </w:p>
    <w:p w:rsidR="00F06E05" w:rsidRPr="00E90ABD" w:rsidRDefault="00F06E05" w:rsidP="00F06E05">
      <w:pPr>
        <w:snapToGrid w:val="0"/>
        <w:jc w:val="center"/>
        <w:rPr>
          <w:b/>
          <w:bCs/>
          <w:sz w:val="20"/>
          <w:szCs w:val="20"/>
        </w:rPr>
        <w:sectPr w:rsidR="00F06E05" w:rsidRPr="00E90ABD" w:rsidSect="00F06E05">
          <w:type w:val="continuous"/>
          <w:pgSz w:w="12240" w:h="15840" w:code="9"/>
          <w:pgMar w:top="1440" w:right="1440" w:bottom="1440" w:left="1440" w:header="720" w:footer="720" w:gutter="0"/>
          <w:cols w:num="2" w:space="600"/>
          <w:docGrid w:linePitch="360"/>
        </w:sectPr>
      </w:pPr>
      <w:bookmarkStart w:id="8" w:name="_Toc7393068"/>
    </w:p>
    <w:p w:rsidR="0001245B" w:rsidRPr="00E90ABD" w:rsidRDefault="0001245B" w:rsidP="00F06E05">
      <w:pPr>
        <w:snapToGrid w:val="0"/>
        <w:jc w:val="center"/>
        <w:rPr>
          <w:b/>
          <w:bCs/>
          <w:sz w:val="20"/>
          <w:szCs w:val="20"/>
        </w:rPr>
      </w:pPr>
    </w:p>
    <w:p w:rsidR="00CE5CB1" w:rsidRPr="00E90ABD" w:rsidRDefault="00CE5CB1" w:rsidP="00F06E05">
      <w:pPr>
        <w:snapToGrid w:val="0"/>
        <w:jc w:val="center"/>
        <w:rPr>
          <w:bCs/>
          <w:sz w:val="20"/>
          <w:szCs w:val="20"/>
        </w:rPr>
      </w:pPr>
      <w:r w:rsidRPr="00E90ABD">
        <w:rPr>
          <w:b/>
          <w:bCs/>
          <w:sz w:val="20"/>
          <w:szCs w:val="20"/>
        </w:rPr>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9</w:t>
      </w:r>
      <w:r w:rsidR="00926F4F" w:rsidRPr="00E90ABD">
        <w:rPr>
          <w:bCs/>
          <w:sz w:val="20"/>
          <w:szCs w:val="20"/>
        </w:rPr>
        <w:fldChar w:fldCharType="end"/>
      </w:r>
      <w:r w:rsidRPr="00E90ABD">
        <w:rPr>
          <w:b/>
          <w:bCs/>
          <w:sz w:val="20"/>
          <w:szCs w:val="20"/>
        </w:rPr>
        <w:t>):</w:t>
      </w:r>
      <w:r w:rsidRPr="00E90ABD">
        <w:rPr>
          <w:bCs/>
          <w:sz w:val="20"/>
          <w:szCs w:val="20"/>
        </w:rPr>
        <w:t xml:space="preserve"> A Comparison of the decreased range of motion between the published studies and our study</w:t>
      </w:r>
      <w:bookmarkEnd w:id="8"/>
      <w:r w:rsidRPr="00E90ABD">
        <w:rPr>
          <w:bCs/>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2534"/>
        <w:gridCol w:w="851"/>
        <w:gridCol w:w="930"/>
        <w:gridCol w:w="1647"/>
        <w:gridCol w:w="851"/>
        <w:gridCol w:w="1016"/>
        <w:gridCol w:w="1645"/>
      </w:tblGrid>
      <w:tr w:rsidR="00CE5CB1" w:rsidRPr="00E90ABD" w:rsidTr="0065081C">
        <w:trPr>
          <w:jc w:val="center"/>
        </w:trPr>
        <w:tc>
          <w:tcPr>
            <w:tcW w:w="1338" w:type="pct"/>
            <w:vMerge w:val="restart"/>
            <w:noWrap/>
            <w:vAlign w:val="center"/>
          </w:tcPr>
          <w:p w:rsidR="00CE5CB1" w:rsidRPr="00E90ABD" w:rsidRDefault="00CE5CB1" w:rsidP="00F06E05">
            <w:pPr>
              <w:snapToGrid w:val="0"/>
              <w:jc w:val="both"/>
              <w:rPr>
                <w:bCs/>
                <w:sz w:val="20"/>
                <w:szCs w:val="20"/>
              </w:rPr>
            </w:pPr>
            <w:r w:rsidRPr="00E90ABD">
              <w:rPr>
                <w:bCs/>
                <w:sz w:val="20"/>
                <w:szCs w:val="20"/>
              </w:rPr>
              <w:t>Authors</w:t>
            </w:r>
          </w:p>
        </w:tc>
        <w:tc>
          <w:tcPr>
            <w:tcW w:w="1808" w:type="pct"/>
            <w:gridSpan w:val="3"/>
            <w:noWrap/>
            <w:vAlign w:val="center"/>
          </w:tcPr>
          <w:p w:rsidR="00CE5CB1" w:rsidRPr="00E90ABD" w:rsidRDefault="00CE5CB1" w:rsidP="00F06E05">
            <w:pPr>
              <w:snapToGrid w:val="0"/>
              <w:jc w:val="both"/>
              <w:rPr>
                <w:bCs/>
                <w:sz w:val="20"/>
                <w:szCs w:val="20"/>
              </w:rPr>
            </w:pPr>
            <w:r w:rsidRPr="00E90ABD">
              <w:rPr>
                <w:bCs/>
                <w:sz w:val="20"/>
                <w:szCs w:val="20"/>
              </w:rPr>
              <w:t>Lateral</w:t>
            </w:r>
          </w:p>
        </w:tc>
        <w:tc>
          <w:tcPr>
            <w:tcW w:w="1854" w:type="pct"/>
            <w:gridSpan w:val="3"/>
            <w:noWrap/>
            <w:vAlign w:val="center"/>
          </w:tcPr>
          <w:p w:rsidR="00CE5CB1" w:rsidRPr="00E90ABD" w:rsidRDefault="00CE5CB1" w:rsidP="00F06E05">
            <w:pPr>
              <w:snapToGrid w:val="0"/>
              <w:jc w:val="both"/>
              <w:rPr>
                <w:bCs/>
                <w:sz w:val="20"/>
                <w:szCs w:val="20"/>
              </w:rPr>
            </w:pPr>
            <w:r w:rsidRPr="00E90ABD">
              <w:rPr>
                <w:bCs/>
                <w:sz w:val="20"/>
                <w:szCs w:val="20"/>
              </w:rPr>
              <w:t>Crossed</w:t>
            </w:r>
          </w:p>
        </w:tc>
      </w:tr>
      <w:tr w:rsidR="00CE5CB1" w:rsidRPr="00E90ABD" w:rsidTr="0065081C">
        <w:trPr>
          <w:jc w:val="center"/>
        </w:trPr>
        <w:tc>
          <w:tcPr>
            <w:tcW w:w="1338" w:type="pct"/>
            <w:vMerge/>
            <w:vAlign w:val="center"/>
          </w:tcPr>
          <w:p w:rsidR="00CE5CB1" w:rsidRPr="00E90ABD" w:rsidRDefault="00CE5CB1" w:rsidP="00F06E05">
            <w:pPr>
              <w:snapToGrid w:val="0"/>
              <w:jc w:val="both"/>
              <w:rPr>
                <w:bCs/>
                <w:sz w:val="20"/>
                <w:szCs w:val="20"/>
              </w:rPr>
            </w:pPr>
          </w:p>
        </w:tc>
        <w:tc>
          <w:tcPr>
            <w:tcW w:w="449" w:type="pct"/>
            <w:noWrap/>
            <w:vAlign w:val="center"/>
          </w:tcPr>
          <w:p w:rsidR="0065081C" w:rsidRPr="00E90ABD" w:rsidRDefault="00CE5CB1" w:rsidP="00F06E05">
            <w:pPr>
              <w:snapToGrid w:val="0"/>
              <w:jc w:val="both"/>
              <w:rPr>
                <w:bCs/>
                <w:sz w:val="20"/>
                <w:szCs w:val="20"/>
              </w:rPr>
            </w:pPr>
            <w:r w:rsidRPr="00E90ABD">
              <w:rPr>
                <w:bCs/>
                <w:sz w:val="20"/>
                <w:szCs w:val="20"/>
              </w:rPr>
              <w:t xml:space="preserve">Number </w:t>
            </w:r>
          </w:p>
          <w:p w:rsidR="00CE5CB1" w:rsidRPr="00E90ABD" w:rsidRDefault="00CE5CB1" w:rsidP="00F06E05">
            <w:pPr>
              <w:snapToGrid w:val="0"/>
              <w:jc w:val="both"/>
              <w:rPr>
                <w:bCs/>
                <w:sz w:val="20"/>
                <w:szCs w:val="20"/>
              </w:rPr>
            </w:pPr>
            <w:r w:rsidRPr="00E90ABD">
              <w:rPr>
                <w:bCs/>
                <w:sz w:val="20"/>
                <w:szCs w:val="20"/>
              </w:rPr>
              <w:t>of cases</w:t>
            </w:r>
          </w:p>
        </w:tc>
        <w:tc>
          <w:tcPr>
            <w:tcW w:w="491" w:type="pct"/>
            <w:noWrap/>
            <w:vAlign w:val="center"/>
          </w:tcPr>
          <w:p w:rsidR="0065081C" w:rsidRPr="00E90ABD" w:rsidRDefault="00CE5CB1" w:rsidP="00F06E05">
            <w:pPr>
              <w:snapToGrid w:val="0"/>
              <w:jc w:val="both"/>
              <w:rPr>
                <w:bCs/>
                <w:sz w:val="20"/>
                <w:szCs w:val="20"/>
              </w:rPr>
            </w:pPr>
            <w:r w:rsidRPr="00E90ABD">
              <w:rPr>
                <w:bCs/>
                <w:sz w:val="20"/>
                <w:szCs w:val="20"/>
              </w:rPr>
              <w:t xml:space="preserve">Range of </w:t>
            </w:r>
          </w:p>
          <w:p w:rsidR="00CE5CB1" w:rsidRPr="00E90ABD" w:rsidRDefault="00CE5CB1" w:rsidP="00F06E05">
            <w:pPr>
              <w:snapToGrid w:val="0"/>
              <w:jc w:val="both"/>
              <w:rPr>
                <w:bCs/>
                <w:sz w:val="20"/>
                <w:szCs w:val="20"/>
              </w:rPr>
            </w:pPr>
            <w:r w:rsidRPr="00E90ABD">
              <w:rPr>
                <w:bCs/>
                <w:sz w:val="20"/>
                <w:szCs w:val="20"/>
              </w:rPr>
              <w:t>Motion</w:t>
            </w:r>
          </w:p>
        </w:tc>
        <w:tc>
          <w:tcPr>
            <w:tcW w:w="869" w:type="pct"/>
            <w:noWrap/>
            <w:vAlign w:val="center"/>
          </w:tcPr>
          <w:p w:rsidR="0065081C" w:rsidRPr="00E90ABD" w:rsidRDefault="00CE5CB1" w:rsidP="00F06E05">
            <w:pPr>
              <w:snapToGrid w:val="0"/>
              <w:jc w:val="both"/>
              <w:rPr>
                <w:bCs/>
                <w:sz w:val="20"/>
                <w:szCs w:val="20"/>
              </w:rPr>
            </w:pPr>
            <w:r w:rsidRPr="00E90ABD">
              <w:rPr>
                <w:bCs/>
                <w:sz w:val="20"/>
                <w:szCs w:val="20"/>
              </w:rPr>
              <w:t xml:space="preserve">Lateral Range </w:t>
            </w:r>
          </w:p>
          <w:p w:rsidR="00CE5CB1" w:rsidRPr="00E90ABD" w:rsidRDefault="00CE5CB1" w:rsidP="00F06E05">
            <w:pPr>
              <w:snapToGrid w:val="0"/>
              <w:jc w:val="both"/>
              <w:rPr>
                <w:bCs/>
                <w:sz w:val="20"/>
                <w:szCs w:val="20"/>
              </w:rPr>
            </w:pPr>
            <w:r w:rsidRPr="00E90ABD">
              <w:rPr>
                <w:bCs/>
                <w:sz w:val="20"/>
                <w:szCs w:val="20"/>
              </w:rPr>
              <w:t>of Motion Perc%</w:t>
            </w:r>
          </w:p>
        </w:tc>
        <w:tc>
          <w:tcPr>
            <w:tcW w:w="449" w:type="pct"/>
            <w:noWrap/>
            <w:vAlign w:val="center"/>
          </w:tcPr>
          <w:p w:rsidR="0065081C" w:rsidRPr="00E90ABD" w:rsidRDefault="00CE5CB1" w:rsidP="00F06E05">
            <w:pPr>
              <w:snapToGrid w:val="0"/>
              <w:jc w:val="both"/>
              <w:rPr>
                <w:bCs/>
                <w:sz w:val="20"/>
                <w:szCs w:val="20"/>
              </w:rPr>
            </w:pPr>
            <w:r w:rsidRPr="00E90ABD">
              <w:rPr>
                <w:bCs/>
                <w:sz w:val="20"/>
                <w:szCs w:val="20"/>
              </w:rPr>
              <w:t xml:space="preserve">Number </w:t>
            </w:r>
          </w:p>
          <w:p w:rsidR="00CE5CB1" w:rsidRPr="00E90ABD" w:rsidRDefault="00CE5CB1" w:rsidP="00F06E05">
            <w:pPr>
              <w:snapToGrid w:val="0"/>
              <w:jc w:val="both"/>
              <w:rPr>
                <w:bCs/>
                <w:sz w:val="20"/>
                <w:szCs w:val="20"/>
              </w:rPr>
            </w:pPr>
            <w:r w:rsidRPr="00E90ABD">
              <w:rPr>
                <w:bCs/>
                <w:sz w:val="20"/>
                <w:szCs w:val="20"/>
              </w:rPr>
              <w:t>of cases</w:t>
            </w:r>
          </w:p>
        </w:tc>
        <w:tc>
          <w:tcPr>
            <w:tcW w:w="536" w:type="pct"/>
            <w:noWrap/>
            <w:vAlign w:val="center"/>
          </w:tcPr>
          <w:p w:rsidR="0065081C" w:rsidRPr="00E90ABD" w:rsidRDefault="00CE5CB1" w:rsidP="00F06E05">
            <w:pPr>
              <w:snapToGrid w:val="0"/>
              <w:jc w:val="both"/>
              <w:rPr>
                <w:bCs/>
                <w:sz w:val="20"/>
                <w:szCs w:val="20"/>
              </w:rPr>
            </w:pPr>
            <w:r w:rsidRPr="00E90ABD">
              <w:rPr>
                <w:bCs/>
                <w:sz w:val="20"/>
                <w:szCs w:val="20"/>
              </w:rPr>
              <w:t xml:space="preserve">Range </w:t>
            </w:r>
          </w:p>
          <w:p w:rsidR="00CE5CB1" w:rsidRPr="00E90ABD" w:rsidRDefault="00CE5CB1" w:rsidP="00F06E05">
            <w:pPr>
              <w:snapToGrid w:val="0"/>
              <w:jc w:val="both"/>
              <w:rPr>
                <w:bCs/>
                <w:sz w:val="20"/>
                <w:szCs w:val="20"/>
              </w:rPr>
            </w:pPr>
            <w:r w:rsidRPr="00E90ABD">
              <w:rPr>
                <w:bCs/>
                <w:sz w:val="20"/>
                <w:szCs w:val="20"/>
              </w:rPr>
              <w:t>of Motion</w:t>
            </w:r>
          </w:p>
        </w:tc>
        <w:tc>
          <w:tcPr>
            <w:tcW w:w="869" w:type="pct"/>
            <w:noWrap/>
            <w:vAlign w:val="center"/>
          </w:tcPr>
          <w:p w:rsidR="0065081C" w:rsidRPr="00E90ABD" w:rsidRDefault="00CE5CB1" w:rsidP="00F06E05">
            <w:pPr>
              <w:snapToGrid w:val="0"/>
              <w:jc w:val="both"/>
              <w:rPr>
                <w:bCs/>
                <w:sz w:val="20"/>
                <w:szCs w:val="20"/>
              </w:rPr>
            </w:pPr>
            <w:r w:rsidRPr="00E90ABD">
              <w:rPr>
                <w:bCs/>
                <w:sz w:val="20"/>
                <w:szCs w:val="20"/>
              </w:rPr>
              <w:t xml:space="preserve">Crossed Range </w:t>
            </w:r>
          </w:p>
          <w:p w:rsidR="00CE5CB1" w:rsidRPr="00E90ABD" w:rsidRDefault="00CE5CB1" w:rsidP="00F06E05">
            <w:pPr>
              <w:snapToGrid w:val="0"/>
              <w:jc w:val="both"/>
              <w:rPr>
                <w:bCs/>
                <w:sz w:val="20"/>
                <w:szCs w:val="20"/>
              </w:rPr>
            </w:pPr>
            <w:r w:rsidRPr="00E90ABD">
              <w:rPr>
                <w:bCs/>
                <w:sz w:val="20"/>
                <w:szCs w:val="20"/>
              </w:rPr>
              <w:t>of Motion Perc%</w:t>
            </w:r>
          </w:p>
        </w:tc>
      </w:tr>
      <w:tr w:rsidR="00CE5CB1" w:rsidRPr="00E90ABD" w:rsidTr="0065081C">
        <w:trPr>
          <w:jc w:val="center"/>
        </w:trPr>
        <w:tc>
          <w:tcPr>
            <w:tcW w:w="1338" w:type="pct"/>
            <w:noWrap/>
            <w:vAlign w:val="center"/>
          </w:tcPr>
          <w:p w:rsidR="00CE5CB1" w:rsidRPr="00E90ABD" w:rsidRDefault="00CE5CB1" w:rsidP="00F06E05">
            <w:pPr>
              <w:snapToGrid w:val="0"/>
              <w:jc w:val="both"/>
              <w:rPr>
                <w:b/>
                <w:bCs/>
                <w:sz w:val="20"/>
                <w:szCs w:val="20"/>
              </w:rPr>
            </w:pPr>
            <w:r w:rsidRPr="00E90ABD">
              <w:rPr>
                <w:b/>
                <w:bCs/>
                <w:sz w:val="20"/>
                <w:szCs w:val="20"/>
              </w:rPr>
              <w:t>Devkota et al</w:t>
            </w:r>
            <w:r w:rsidR="0054030B" w:rsidRPr="00E90ABD">
              <w:rPr>
                <w:b/>
                <w:bCs/>
                <w:sz w:val="20"/>
                <w:szCs w:val="20"/>
              </w:rPr>
              <w:t xml:space="preserve">. </w:t>
            </w:r>
            <w:r w:rsidRPr="00E90ABD">
              <w:rPr>
                <w:b/>
                <w:bCs/>
                <w:sz w:val="20"/>
                <w:szCs w:val="20"/>
              </w:rPr>
              <w:t>(102 cases)</w:t>
            </w:r>
          </w:p>
        </w:tc>
        <w:tc>
          <w:tcPr>
            <w:tcW w:w="449" w:type="pct"/>
            <w:noWrap/>
            <w:vAlign w:val="center"/>
          </w:tcPr>
          <w:p w:rsidR="00CE5CB1" w:rsidRPr="00E90ABD" w:rsidRDefault="00CE5CB1" w:rsidP="00F06E05">
            <w:pPr>
              <w:snapToGrid w:val="0"/>
              <w:jc w:val="both"/>
              <w:rPr>
                <w:bCs/>
                <w:sz w:val="20"/>
                <w:szCs w:val="20"/>
              </w:rPr>
            </w:pPr>
            <w:r w:rsidRPr="00E90ABD">
              <w:rPr>
                <w:bCs/>
                <w:sz w:val="20"/>
                <w:szCs w:val="20"/>
              </w:rPr>
              <w:t>23</w:t>
            </w:r>
          </w:p>
        </w:tc>
        <w:tc>
          <w:tcPr>
            <w:tcW w:w="491" w:type="pct"/>
            <w:noWrap/>
            <w:vAlign w:val="center"/>
          </w:tcPr>
          <w:p w:rsidR="00CE5CB1" w:rsidRPr="00E90ABD" w:rsidRDefault="00CE5CB1" w:rsidP="00F06E05">
            <w:pPr>
              <w:snapToGrid w:val="0"/>
              <w:jc w:val="both"/>
              <w:rPr>
                <w:bCs/>
                <w:sz w:val="20"/>
                <w:szCs w:val="20"/>
              </w:rPr>
            </w:pPr>
            <w:r w:rsidRPr="00E90ABD">
              <w:rPr>
                <w:bCs/>
                <w:sz w:val="20"/>
                <w:szCs w:val="20"/>
              </w:rPr>
              <w:t>1</w:t>
            </w:r>
          </w:p>
        </w:tc>
        <w:tc>
          <w:tcPr>
            <w:tcW w:w="869" w:type="pct"/>
            <w:noWrap/>
            <w:vAlign w:val="center"/>
          </w:tcPr>
          <w:p w:rsidR="00CE5CB1" w:rsidRPr="00E90ABD" w:rsidRDefault="00CE5CB1" w:rsidP="00F06E05">
            <w:pPr>
              <w:snapToGrid w:val="0"/>
              <w:jc w:val="both"/>
              <w:rPr>
                <w:bCs/>
                <w:sz w:val="20"/>
                <w:szCs w:val="20"/>
              </w:rPr>
            </w:pPr>
            <w:r w:rsidRPr="00E90ABD">
              <w:rPr>
                <w:bCs/>
                <w:sz w:val="20"/>
                <w:szCs w:val="20"/>
              </w:rPr>
              <w:t>4.35%</w:t>
            </w:r>
          </w:p>
        </w:tc>
        <w:tc>
          <w:tcPr>
            <w:tcW w:w="449" w:type="pct"/>
            <w:noWrap/>
            <w:vAlign w:val="center"/>
          </w:tcPr>
          <w:p w:rsidR="00CE5CB1" w:rsidRPr="00E90ABD" w:rsidRDefault="00CE5CB1" w:rsidP="00F06E05">
            <w:pPr>
              <w:snapToGrid w:val="0"/>
              <w:jc w:val="both"/>
              <w:rPr>
                <w:bCs/>
                <w:sz w:val="20"/>
                <w:szCs w:val="20"/>
              </w:rPr>
            </w:pPr>
            <w:r w:rsidRPr="00E90ABD">
              <w:rPr>
                <w:bCs/>
                <w:sz w:val="20"/>
                <w:szCs w:val="20"/>
              </w:rPr>
              <w:t>79</w:t>
            </w:r>
          </w:p>
        </w:tc>
        <w:tc>
          <w:tcPr>
            <w:tcW w:w="536" w:type="pct"/>
            <w:noWrap/>
            <w:vAlign w:val="center"/>
          </w:tcPr>
          <w:p w:rsidR="00CE5CB1" w:rsidRPr="00E90ABD" w:rsidRDefault="00CE5CB1" w:rsidP="00F06E05">
            <w:pPr>
              <w:snapToGrid w:val="0"/>
              <w:jc w:val="both"/>
              <w:rPr>
                <w:bCs/>
                <w:sz w:val="20"/>
                <w:szCs w:val="20"/>
              </w:rPr>
            </w:pPr>
            <w:r w:rsidRPr="00E90ABD">
              <w:rPr>
                <w:bCs/>
                <w:sz w:val="20"/>
                <w:szCs w:val="20"/>
              </w:rPr>
              <w:t>3</w:t>
            </w:r>
          </w:p>
        </w:tc>
        <w:tc>
          <w:tcPr>
            <w:tcW w:w="869" w:type="pct"/>
            <w:noWrap/>
            <w:vAlign w:val="center"/>
          </w:tcPr>
          <w:p w:rsidR="00CE5CB1" w:rsidRPr="00E90ABD" w:rsidRDefault="00CE5CB1" w:rsidP="00F06E05">
            <w:pPr>
              <w:snapToGrid w:val="0"/>
              <w:jc w:val="both"/>
              <w:rPr>
                <w:bCs/>
                <w:sz w:val="20"/>
                <w:szCs w:val="20"/>
              </w:rPr>
            </w:pPr>
            <w:r w:rsidRPr="00E90ABD">
              <w:rPr>
                <w:bCs/>
                <w:sz w:val="20"/>
                <w:szCs w:val="20"/>
              </w:rPr>
              <w:t>3.80%</w:t>
            </w:r>
          </w:p>
        </w:tc>
      </w:tr>
      <w:tr w:rsidR="00CE5CB1" w:rsidRPr="00E90ABD" w:rsidTr="0065081C">
        <w:trPr>
          <w:jc w:val="center"/>
        </w:trPr>
        <w:tc>
          <w:tcPr>
            <w:tcW w:w="1338" w:type="pct"/>
            <w:noWrap/>
            <w:vAlign w:val="center"/>
          </w:tcPr>
          <w:p w:rsidR="00CE5CB1" w:rsidRPr="00E90ABD" w:rsidRDefault="00CE5CB1" w:rsidP="00F06E05">
            <w:pPr>
              <w:snapToGrid w:val="0"/>
              <w:jc w:val="both"/>
              <w:rPr>
                <w:b/>
                <w:bCs/>
                <w:sz w:val="20"/>
                <w:szCs w:val="20"/>
              </w:rPr>
            </w:pPr>
            <w:r w:rsidRPr="00E90ABD">
              <w:rPr>
                <w:b/>
                <w:bCs/>
                <w:sz w:val="20"/>
                <w:szCs w:val="20"/>
              </w:rPr>
              <w:t>Zamzam et al</w:t>
            </w:r>
            <w:r w:rsidR="0054030B" w:rsidRPr="00E90ABD">
              <w:rPr>
                <w:b/>
                <w:bCs/>
                <w:sz w:val="20"/>
                <w:szCs w:val="20"/>
              </w:rPr>
              <w:t xml:space="preserve">. </w:t>
            </w:r>
            <w:r w:rsidRPr="00E90ABD">
              <w:rPr>
                <w:b/>
                <w:bCs/>
                <w:sz w:val="20"/>
                <w:szCs w:val="20"/>
              </w:rPr>
              <w:t>(108 cases)</w:t>
            </w:r>
          </w:p>
        </w:tc>
        <w:tc>
          <w:tcPr>
            <w:tcW w:w="449" w:type="pct"/>
            <w:noWrap/>
            <w:vAlign w:val="center"/>
          </w:tcPr>
          <w:p w:rsidR="00CE5CB1" w:rsidRPr="00E90ABD" w:rsidRDefault="00CE5CB1" w:rsidP="00F06E05">
            <w:pPr>
              <w:snapToGrid w:val="0"/>
              <w:jc w:val="both"/>
              <w:rPr>
                <w:bCs/>
                <w:sz w:val="20"/>
                <w:szCs w:val="20"/>
              </w:rPr>
            </w:pPr>
            <w:r w:rsidRPr="00E90ABD">
              <w:rPr>
                <w:bCs/>
                <w:sz w:val="20"/>
                <w:szCs w:val="20"/>
              </w:rPr>
              <w:t>37</w:t>
            </w:r>
          </w:p>
        </w:tc>
        <w:tc>
          <w:tcPr>
            <w:tcW w:w="491" w:type="pct"/>
            <w:noWrap/>
            <w:vAlign w:val="center"/>
          </w:tcPr>
          <w:p w:rsidR="00CE5CB1" w:rsidRPr="00E90ABD" w:rsidRDefault="00CE5CB1" w:rsidP="00F06E05">
            <w:pPr>
              <w:snapToGrid w:val="0"/>
              <w:jc w:val="both"/>
              <w:rPr>
                <w:bCs/>
                <w:sz w:val="20"/>
                <w:szCs w:val="20"/>
              </w:rPr>
            </w:pPr>
            <w:r w:rsidRPr="00E90ABD">
              <w:rPr>
                <w:bCs/>
                <w:sz w:val="20"/>
                <w:szCs w:val="20"/>
              </w:rPr>
              <w:t>0</w:t>
            </w:r>
          </w:p>
        </w:tc>
        <w:tc>
          <w:tcPr>
            <w:tcW w:w="869" w:type="pct"/>
            <w:noWrap/>
            <w:vAlign w:val="center"/>
          </w:tcPr>
          <w:p w:rsidR="00CE5CB1" w:rsidRPr="00E90ABD" w:rsidRDefault="00CE5CB1" w:rsidP="00F06E05">
            <w:pPr>
              <w:snapToGrid w:val="0"/>
              <w:jc w:val="both"/>
              <w:rPr>
                <w:bCs/>
                <w:sz w:val="20"/>
                <w:szCs w:val="20"/>
              </w:rPr>
            </w:pPr>
            <w:r w:rsidRPr="00E90ABD">
              <w:rPr>
                <w:bCs/>
                <w:sz w:val="20"/>
                <w:szCs w:val="20"/>
              </w:rPr>
              <w:t>0.00%</w:t>
            </w:r>
          </w:p>
        </w:tc>
        <w:tc>
          <w:tcPr>
            <w:tcW w:w="449" w:type="pct"/>
            <w:noWrap/>
            <w:vAlign w:val="center"/>
          </w:tcPr>
          <w:p w:rsidR="00CE5CB1" w:rsidRPr="00E90ABD" w:rsidRDefault="00CE5CB1" w:rsidP="00F06E05">
            <w:pPr>
              <w:snapToGrid w:val="0"/>
              <w:jc w:val="both"/>
              <w:rPr>
                <w:bCs/>
                <w:sz w:val="20"/>
                <w:szCs w:val="20"/>
              </w:rPr>
            </w:pPr>
            <w:r w:rsidRPr="00E90ABD">
              <w:rPr>
                <w:bCs/>
                <w:sz w:val="20"/>
                <w:szCs w:val="20"/>
              </w:rPr>
              <w:t>71</w:t>
            </w:r>
          </w:p>
        </w:tc>
        <w:tc>
          <w:tcPr>
            <w:tcW w:w="536" w:type="pct"/>
            <w:noWrap/>
            <w:vAlign w:val="center"/>
          </w:tcPr>
          <w:p w:rsidR="00CE5CB1" w:rsidRPr="00E90ABD" w:rsidRDefault="00CE5CB1" w:rsidP="00F06E05">
            <w:pPr>
              <w:snapToGrid w:val="0"/>
              <w:jc w:val="both"/>
              <w:rPr>
                <w:bCs/>
                <w:sz w:val="20"/>
                <w:szCs w:val="20"/>
              </w:rPr>
            </w:pPr>
            <w:r w:rsidRPr="00E90ABD">
              <w:rPr>
                <w:bCs/>
                <w:sz w:val="20"/>
                <w:szCs w:val="20"/>
              </w:rPr>
              <w:t>2</w:t>
            </w:r>
          </w:p>
        </w:tc>
        <w:tc>
          <w:tcPr>
            <w:tcW w:w="869" w:type="pct"/>
            <w:noWrap/>
            <w:vAlign w:val="center"/>
          </w:tcPr>
          <w:p w:rsidR="00CE5CB1" w:rsidRPr="00E90ABD" w:rsidRDefault="00CE5CB1" w:rsidP="00F06E05">
            <w:pPr>
              <w:snapToGrid w:val="0"/>
              <w:jc w:val="both"/>
              <w:rPr>
                <w:bCs/>
                <w:sz w:val="20"/>
                <w:szCs w:val="20"/>
              </w:rPr>
            </w:pPr>
            <w:r w:rsidRPr="00E90ABD">
              <w:rPr>
                <w:bCs/>
                <w:sz w:val="20"/>
                <w:szCs w:val="20"/>
              </w:rPr>
              <w:t>2.82%</w:t>
            </w:r>
          </w:p>
        </w:tc>
      </w:tr>
      <w:tr w:rsidR="00CE5CB1" w:rsidRPr="00E90ABD" w:rsidTr="0065081C">
        <w:trPr>
          <w:jc w:val="center"/>
        </w:trPr>
        <w:tc>
          <w:tcPr>
            <w:tcW w:w="1338" w:type="pct"/>
            <w:noWrap/>
            <w:vAlign w:val="center"/>
          </w:tcPr>
          <w:p w:rsidR="00CE5CB1" w:rsidRPr="00E90ABD" w:rsidRDefault="00CE5CB1" w:rsidP="00F06E05">
            <w:pPr>
              <w:snapToGrid w:val="0"/>
              <w:jc w:val="both"/>
              <w:rPr>
                <w:b/>
                <w:bCs/>
                <w:sz w:val="20"/>
                <w:szCs w:val="20"/>
              </w:rPr>
            </w:pPr>
            <w:r w:rsidRPr="00E90ABD">
              <w:rPr>
                <w:b/>
                <w:bCs/>
                <w:sz w:val="20"/>
                <w:szCs w:val="20"/>
              </w:rPr>
              <w:t>Our Study</w:t>
            </w:r>
            <w:r w:rsidR="0054030B" w:rsidRPr="00E90ABD">
              <w:rPr>
                <w:b/>
                <w:bCs/>
                <w:sz w:val="20"/>
                <w:szCs w:val="20"/>
              </w:rPr>
              <w:t xml:space="preserve"> </w:t>
            </w:r>
            <w:r w:rsidRPr="00E90ABD">
              <w:rPr>
                <w:b/>
                <w:bCs/>
                <w:sz w:val="20"/>
                <w:szCs w:val="20"/>
              </w:rPr>
              <w:t>(20 cases)</w:t>
            </w:r>
          </w:p>
        </w:tc>
        <w:tc>
          <w:tcPr>
            <w:tcW w:w="449" w:type="pct"/>
            <w:noWrap/>
            <w:vAlign w:val="center"/>
          </w:tcPr>
          <w:p w:rsidR="00CE5CB1" w:rsidRPr="00E90ABD" w:rsidRDefault="00CE5CB1" w:rsidP="00F06E05">
            <w:pPr>
              <w:snapToGrid w:val="0"/>
              <w:jc w:val="both"/>
              <w:rPr>
                <w:bCs/>
                <w:sz w:val="20"/>
                <w:szCs w:val="20"/>
              </w:rPr>
            </w:pPr>
            <w:r w:rsidRPr="00E90ABD">
              <w:rPr>
                <w:bCs/>
                <w:sz w:val="20"/>
                <w:szCs w:val="20"/>
              </w:rPr>
              <w:t>20</w:t>
            </w:r>
          </w:p>
        </w:tc>
        <w:tc>
          <w:tcPr>
            <w:tcW w:w="491" w:type="pct"/>
            <w:noWrap/>
            <w:vAlign w:val="center"/>
          </w:tcPr>
          <w:p w:rsidR="00CE5CB1" w:rsidRPr="00E90ABD" w:rsidRDefault="00CE5CB1" w:rsidP="00F06E05">
            <w:pPr>
              <w:snapToGrid w:val="0"/>
              <w:jc w:val="both"/>
              <w:rPr>
                <w:bCs/>
                <w:sz w:val="20"/>
                <w:szCs w:val="20"/>
              </w:rPr>
            </w:pPr>
            <w:r w:rsidRPr="00E90ABD">
              <w:rPr>
                <w:bCs/>
                <w:sz w:val="20"/>
                <w:szCs w:val="20"/>
              </w:rPr>
              <w:t>5</w:t>
            </w:r>
          </w:p>
        </w:tc>
        <w:tc>
          <w:tcPr>
            <w:tcW w:w="869" w:type="pct"/>
            <w:noWrap/>
            <w:vAlign w:val="center"/>
          </w:tcPr>
          <w:p w:rsidR="00CE5CB1" w:rsidRPr="00E90ABD" w:rsidRDefault="00CE5CB1" w:rsidP="00F06E05">
            <w:pPr>
              <w:snapToGrid w:val="0"/>
              <w:jc w:val="both"/>
              <w:rPr>
                <w:bCs/>
                <w:sz w:val="20"/>
                <w:szCs w:val="20"/>
              </w:rPr>
            </w:pPr>
            <w:r w:rsidRPr="00E90ABD">
              <w:rPr>
                <w:bCs/>
                <w:sz w:val="20"/>
                <w:szCs w:val="20"/>
              </w:rPr>
              <w:t>25%</w:t>
            </w:r>
          </w:p>
        </w:tc>
        <w:tc>
          <w:tcPr>
            <w:tcW w:w="1854" w:type="pct"/>
            <w:gridSpan w:val="3"/>
            <w:shd w:val="clear" w:color="auto" w:fill="auto"/>
            <w:vAlign w:val="center"/>
          </w:tcPr>
          <w:p w:rsidR="00CE5CB1" w:rsidRPr="00E90ABD" w:rsidRDefault="00CE5CB1" w:rsidP="00F06E05">
            <w:pPr>
              <w:snapToGrid w:val="0"/>
              <w:jc w:val="both"/>
              <w:rPr>
                <w:bCs/>
                <w:sz w:val="20"/>
                <w:szCs w:val="20"/>
              </w:rPr>
            </w:pPr>
          </w:p>
        </w:tc>
      </w:tr>
    </w:tbl>
    <w:p w:rsidR="0001245B" w:rsidRPr="00E90ABD" w:rsidRDefault="0001245B" w:rsidP="00F06E05">
      <w:pPr>
        <w:snapToGrid w:val="0"/>
        <w:jc w:val="both"/>
        <w:rPr>
          <w:b/>
          <w:bCs/>
          <w:sz w:val="20"/>
          <w:szCs w:val="20"/>
        </w:rPr>
      </w:pPr>
    </w:p>
    <w:p w:rsidR="00F06E05" w:rsidRPr="00E90ABD" w:rsidRDefault="00F06E05" w:rsidP="00F06E05">
      <w:pPr>
        <w:snapToGrid w:val="0"/>
        <w:jc w:val="both"/>
        <w:rPr>
          <w:b/>
          <w:bCs/>
          <w:sz w:val="20"/>
          <w:szCs w:val="20"/>
        </w:rPr>
        <w:sectPr w:rsidR="00F06E05" w:rsidRPr="00E90ABD" w:rsidSect="0065081C">
          <w:type w:val="continuous"/>
          <w:pgSz w:w="12240" w:h="15840" w:code="9"/>
          <w:pgMar w:top="1440" w:right="1440" w:bottom="1440" w:left="1440" w:header="720" w:footer="720" w:gutter="0"/>
          <w:cols w:space="720"/>
          <w:docGrid w:linePitch="360"/>
        </w:sectPr>
      </w:pPr>
    </w:p>
    <w:p w:rsidR="00CE5CB1" w:rsidRPr="00E90ABD" w:rsidRDefault="00CE5CB1" w:rsidP="00F06E05">
      <w:pPr>
        <w:snapToGrid w:val="0"/>
        <w:jc w:val="both"/>
        <w:rPr>
          <w:b/>
          <w:bCs/>
          <w:sz w:val="20"/>
          <w:szCs w:val="20"/>
        </w:rPr>
      </w:pPr>
      <w:r w:rsidRPr="00E90ABD">
        <w:rPr>
          <w:b/>
          <w:bCs/>
          <w:sz w:val="20"/>
          <w:szCs w:val="20"/>
        </w:rPr>
        <w:lastRenderedPageBreak/>
        <w:t xml:space="preserve">Postoperative Pin Tract Infection (PTI): </w:t>
      </w:r>
    </w:p>
    <w:p w:rsidR="00CE5CB1" w:rsidRPr="00E90ABD" w:rsidRDefault="00CE5CB1" w:rsidP="00F06E05">
      <w:pPr>
        <w:snapToGrid w:val="0"/>
        <w:jc w:val="both"/>
        <w:rPr>
          <w:b/>
          <w:bCs/>
          <w:sz w:val="20"/>
          <w:szCs w:val="20"/>
        </w:rPr>
      </w:pPr>
      <w:r w:rsidRPr="00E90ABD">
        <w:rPr>
          <w:b/>
          <w:bCs/>
          <w:sz w:val="20"/>
          <w:szCs w:val="20"/>
        </w:rPr>
        <w:t xml:space="preserve">Devkota et al. </w:t>
      </w:r>
      <w:r w:rsidRPr="00E90ABD">
        <w:rPr>
          <w:b/>
          <w:bCs/>
          <w:sz w:val="20"/>
          <w:szCs w:val="20"/>
          <w:vertAlign w:val="superscript"/>
        </w:rPr>
        <w:t>(</w:t>
      </w:r>
      <w:r w:rsidR="00096944" w:rsidRPr="00E90ABD">
        <w:rPr>
          <w:b/>
          <w:bCs/>
          <w:sz w:val="20"/>
          <w:szCs w:val="20"/>
          <w:vertAlign w:val="superscript"/>
        </w:rPr>
        <w:t>24</w:t>
      </w:r>
      <w:r w:rsidRPr="00E90ABD">
        <w:rPr>
          <w:b/>
          <w:bCs/>
          <w:sz w:val="20"/>
          <w:szCs w:val="20"/>
          <w:vertAlign w:val="superscript"/>
        </w:rPr>
        <w:t>)</w:t>
      </w:r>
      <w:r w:rsidRPr="00E90ABD">
        <w:rPr>
          <w:b/>
          <w:bCs/>
          <w:sz w:val="20"/>
          <w:szCs w:val="20"/>
        </w:rPr>
        <w:t xml:space="preserve">: </w:t>
      </w:r>
    </w:p>
    <w:p w:rsidR="00CE5CB1" w:rsidRPr="00E90ABD" w:rsidRDefault="00CE5CB1" w:rsidP="00F06E05">
      <w:pPr>
        <w:snapToGrid w:val="0"/>
        <w:ind w:firstLine="425"/>
        <w:jc w:val="both"/>
        <w:rPr>
          <w:bCs/>
          <w:sz w:val="20"/>
          <w:szCs w:val="20"/>
        </w:rPr>
      </w:pPr>
      <w:r w:rsidRPr="00E90ABD">
        <w:rPr>
          <w:bCs/>
          <w:sz w:val="20"/>
          <w:szCs w:val="20"/>
        </w:rPr>
        <w:t>Eight patients from a total of 102 patient</w:t>
      </w:r>
      <w:r w:rsidR="0065081C" w:rsidRPr="00E90ABD">
        <w:rPr>
          <w:bCs/>
          <w:sz w:val="20"/>
          <w:szCs w:val="20"/>
        </w:rPr>
        <w:t>s (</w:t>
      </w:r>
      <w:r w:rsidRPr="00E90ABD">
        <w:rPr>
          <w:bCs/>
          <w:sz w:val="20"/>
          <w:szCs w:val="20"/>
        </w:rPr>
        <w:t>7.84%) got pin tract infection, which was superficial and healed after removing the pins and oral antibiotic administration.</w:t>
      </w:r>
    </w:p>
    <w:p w:rsidR="00CE5CB1" w:rsidRPr="00E90ABD" w:rsidRDefault="00CE5CB1" w:rsidP="00F06E05">
      <w:pPr>
        <w:snapToGrid w:val="0"/>
        <w:jc w:val="both"/>
        <w:rPr>
          <w:b/>
          <w:bCs/>
          <w:sz w:val="20"/>
          <w:szCs w:val="20"/>
        </w:rPr>
      </w:pPr>
      <w:r w:rsidRPr="00E90ABD">
        <w:rPr>
          <w:b/>
          <w:bCs/>
          <w:sz w:val="20"/>
          <w:szCs w:val="20"/>
        </w:rPr>
        <w:t xml:space="preserve">Chakraborty </w:t>
      </w:r>
      <w:r w:rsidRPr="00E90ABD">
        <w:rPr>
          <w:b/>
          <w:bCs/>
          <w:sz w:val="20"/>
          <w:szCs w:val="20"/>
          <w:vertAlign w:val="superscript"/>
        </w:rPr>
        <w:t>(</w:t>
      </w:r>
      <w:r w:rsidR="00096944" w:rsidRPr="00E90ABD">
        <w:rPr>
          <w:b/>
          <w:bCs/>
          <w:sz w:val="20"/>
          <w:szCs w:val="20"/>
          <w:vertAlign w:val="superscript"/>
        </w:rPr>
        <w:t>25</w:t>
      </w:r>
      <w:r w:rsidRPr="00E90ABD">
        <w:rPr>
          <w:b/>
          <w:bCs/>
          <w:sz w:val="20"/>
          <w:szCs w:val="20"/>
          <w:vertAlign w:val="superscript"/>
        </w:rPr>
        <w:t>)</w:t>
      </w:r>
      <w:r w:rsidRPr="00E90ABD">
        <w:rPr>
          <w:b/>
          <w:bCs/>
          <w:sz w:val="20"/>
          <w:szCs w:val="20"/>
        </w:rPr>
        <w:t xml:space="preserve">: </w:t>
      </w:r>
    </w:p>
    <w:p w:rsidR="00CE5CB1" w:rsidRPr="00E90ABD" w:rsidRDefault="00CE5CB1" w:rsidP="00F06E05">
      <w:pPr>
        <w:snapToGrid w:val="0"/>
        <w:ind w:firstLine="425"/>
        <w:jc w:val="both"/>
        <w:rPr>
          <w:bCs/>
          <w:sz w:val="20"/>
          <w:szCs w:val="20"/>
        </w:rPr>
      </w:pPr>
      <w:r w:rsidRPr="00E90ABD">
        <w:rPr>
          <w:bCs/>
          <w:sz w:val="20"/>
          <w:szCs w:val="20"/>
        </w:rPr>
        <w:t xml:space="preserve">There were 12 cases (33.33%) of pin tract infection in lateral pinning and 40 cases (71.42%) in crossed pinning which were resolved with antibiotics. The pin tract infection was superficial, may be </w:t>
      </w:r>
      <w:r w:rsidRPr="00E90ABD">
        <w:rPr>
          <w:bCs/>
          <w:sz w:val="20"/>
          <w:szCs w:val="20"/>
        </w:rPr>
        <w:lastRenderedPageBreak/>
        <w:t>because of poor hygiene and scratching due to postoperative irritability, which was treated adequately with oral antibiotics and it was resolved completely. He considered it was not a problem.</w:t>
      </w:r>
    </w:p>
    <w:p w:rsidR="00CE5CB1" w:rsidRPr="00E90ABD" w:rsidRDefault="00CE5CB1" w:rsidP="00F06E05">
      <w:pPr>
        <w:snapToGrid w:val="0"/>
        <w:jc w:val="both"/>
        <w:rPr>
          <w:b/>
          <w:bCs/>
          <w:sz w:val="20"/>
          <w:szCs w:val="20"/>
        </w:rPr>
      </w:pPr>
      <w:r w:rsidRPr="00E90ABD">
        <w:rPr>
          <w:b/>
          <w:bCs/>
          <w:sz w:val="20"/>
          <w:szCs w:val="20"/>
        </w:rPr>
        <w:t xml:space="preserve">Zamzam et al. </w:t>
      </w:r>
      <w:r w:rsidRPr="00E90ABD">
        <w:rPr>
          <w:b/>
          <w:bCs/>
          <w:sz w:val="20"/>
          <w:szCs w:val="20"/>
          <w:vertAlign w:val="superscript"/>
        </w:rPr>
        <w:t>(</w:t>
      </w:r>
      <w:r w:rsidR="00096944" w:rsidRPr="00E90ABD">
        <w:rPr>
          <w:b/>
          <w:bCs/>
          <w:sz w:val="20"/>
          <w:szCs w:val="20"/>
          <w:vertAlign w:val="superscript"/>
        </w:rPr>
        <w:t>26</w:t>
      </w:r>
      <w:r w:rsidRPr="00E90ABD">
        <w:rPr>
          <w:b/>
          <w:bCs/>
          <w:sz w:val="20"/>
          <w:szCs w:val="20"/>
          <w:vertAlign w:val="superscript"/>
        </w:rPr>
        <w:t>)</w:t>
      </w:r>
      <w:r w:rsidRPr="00E90ABD">
        <w:rPr>
          <w:b/>
          <w:bCs/>
          <w:sz w:val="20"/>
          <w:szCs w:val="20"/>
        </w:rPr>
        <w:t xml:space="preserve">: </w:t>
      </w:r>
    </w:p>
    <w:p w:rsidR="00CE5CB1" w:rsidRPr="00E90ABD" w:rsidRDefault="00CE5CB1" w:rsidP="00F06E05">
      <w:pPr>
        <w:snapToGrid w:val="0"/>
        <w:ind w:firstLine="425"/>
        <w:jc w:val="both"/>
        <w:rPr>
          <w:bCs/>
          <w:sz w:val="20"/>
          <w:szCs w:val="20"/>
        </w:rPr>
      </w:pPr>
      <w:r w:rsidRPr="00E90ABD">
        <w:rPr>
          <w:bCs/>
          <w:sz w:val="20"/>
          <w:szCs w:val="20"/>
        </w:rPr>
        <w:t>Only one child from a total of 108 patients developed a pin-track infection which resolved completely with local wound care.</w:t>
      </w:r>
    </w:p>
    <w:p w:rsidR="00CE5CB1" w:rsidRPr="00E90ABD" w:rsidRDefault="00CE5CB1" w:rsidP="00F06E05">
      <w:pPr>
        <w:snapToGrid w:val="0"/>
        <w:ind w:firstLine="425"/>
        <w:jc w:val="both"/>
        <w:rPr>
          <w:bCs/>
          <w:sz w:val="20"/>
          <w:szCs w:val="20"/>
        </w:rPr>
      </w:pPr>
      <w:r w:rsidRPr="00E90ABD">
        <w:rPr>
          <w:b/>
          <w:bCs/>
          <w:sz w:val="20"/>
          <w:szCs w:val="20"/>
        </w:rPr>
        <w:t xml:space="preserve">In our study, </w:t>
      </w:r>
      <w:r w:rsidRPr="00E90ABD">
        <w:rPr>
          <w:bCs/>
          <w:sz w:val="20"/>
          <w:szCs w:val="20"/>
        </w:rPr>
        <w:t xml:space="preserve">Pin tract infection was noticed in two patients on the third week with lateral pin configuration. All were resolved by dressing. </w:t>
      </w:r>
    </w:p>
    <w:p w:rsidR="00F06E05" w:rsidRPr="00E90ABD" w:rsidRDefault="00F06E05" w:rsidP="00F06E05">
      <w:pPr>
        <w:snapToGrid w:val="0"/>
        <w:jc w:val="center"/>
        <w:rPr>
          <w:b/>
          <w:bCs/>
          <w:sz w:val="20"/>
          <w:szCs w:val="20"/>
        </w:rPr>
        <w:sectPr w:rsidR="00F06E05" w:rsidRPr="00E90ABD" w:rsidSect="00F06E05">
          <w:type w:val="continuous"/>
          <w:pgSz w:w="12240" w:h="15840" w:code="9"/>
          <w:pgMar w:top="1440" w:right="1440" w:bottom="1440" w:left="1440" w:header="720" w:footer="720" w:gutter="0"/>
          <w:cols w:num="2" w:space="600"/>
          <w:docGrid w:linePitch="360"/>
        </w:sectPr>
      </w:pPr>
      <w:bookmarkStart w:id="9" w:name="_Toc7393069"/>
    </w:p>
    <w:p w:rsidR="0001245B" w:rsidRPr="00E90ABD" w:rsidRDefault="0001245B" w:rsidP="00F06E05">
      <w:pPr>
        <w:snapToGrid w:val="0"/>
        <w:jc w:val="center"/>
        <w:rPr>
          <w:b/>
          <w:bCs/>
          <w:sz w:val="20"/>
          <w:szCs w:val="20"/>
        </w:rPr>
      </w:pPr>
    </w:p>
    <w:p w:rsidR="00CE5CB1" w:rsidRPr="00E90ABD" w:rsidRDefault="00CE5CB1" w:rsidP="00F06E05">
      <w:pPr>
        <w:snapToGrid w:val="0"/>
        <w:jc w:val="center"/>
        <w:rPr>
          <w:bCs/>
          <w:sz w:val="20"/>
          <w:szCs w:val="20"/>
        </w:rPr>
      </w:pPr>
      <w:r w:rsidRPr="00E90ABD">
        <w:rPr>
          <w:b/>
          <w:bCs/>
          <w:sz w:val="20"/>
          <w:szCs w:val="20"/>
        </w:rPr>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10</w:t>
      </w:r>
      <w:r w:rsidR="00926F4F" w:rsidRPr="00E90ABD">
        <w:rPr>
          <w:bCs/>
          <w:sz w:val="20"/>
          <w:szCs w:val="20"/>
        </w:rPr>
        <w:fldChar w:fldCharType="end"/>
      </w:r>
      <w:r w:rsidRPr="00E90ABD">
        <w:rPr>
          <w:b/>
          <w:bCs/>
          <w:sz w:val="20"/>
          <w:szCs w:val="20"/>
        </w:rPr>
        <w:t>):</w:t>
      </w:r>
      <w:r w:rsidRPr="00E90ABD">
        <w:rPr>
          <w:bCs/>
          <w:sz w:val="20"/>
          <w:szCs w:val="20"/>
        </w:rPr>
        <w:t xml:space="preserve"> A Comparison of the pin tract infection between the published studies and our study</w:t>
      </w:r>
      <w:bookmarkEnd w:id="9"/>
      <w:r w:rsidRPr="00E90ABD">
        <w:rPr>
          <w:bCs/>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4171"/>
        <w:gridCol w:w="2706"/>
        <w:gridCol w:w="767"/>
        <w:gridCol w:w="1830"/>
      </w:tblGrid>
      <w:tr w:rsidR="00CE5CB1" w:rsidRPr="00E90ABD" w:rsidTr="0065081C">
        <w:trPr>
          <w:jc w:val="center"/>
        </w:trPr>
        <w:tc>
          <w:tcPr>
            <w:tcW w:w="2201" w:type="pct"/>
            <w:vMerge w:val="restart"/>
            <w:noWrap/>
            <w:vAlign w:val="center"/>
          </w:tcPr>
          <w:p w:rsidR="00CE5CB1" w:rsidRPr="00E90ABD" w:rsidRDefault="00CE5CB1" w:rsidP="00F06E05">
            <w:pPr>
              <w:snapToGrid w:val="0"/>
              <w:jc w:val="both"/>
              <w:rPr>
                <w:bCs/>
                <w:sz w:val="20"/>
                <w:szCs w:val="20"/>
              </w:rPr>
            </w:pPr>
            <w:r w:rsidRPr="00E90ABD">
              <w:rPr>
                <w:bCs/>
                <w:sz w:val="20"/>
                <w:szCs w:val="20"/>
              </w:rPr>
              <w:t>Authors</w:t>
            </w:r>
          </w:p>
        </w:tc>
        <w:tc>
          <w:tcPr>
            <w:tcW w:w="2799" w:type="pct"/>
            <w:gridSpan w:val="3"/>
            <w:noWrap/>
            <w:vAlign w:val="center"/>
          </w:tcPr>
          <w:p w:rsidR="00CE5CB1" w:rsidRPr="00E90ABD" w:rsidRDefault="00CE5CB1" w:rsidP="00F06E05">
            <w:pPr>
              <w:snapToGrid w:val="0"/>
              <w:jc w:val="both"/>
              <w:rPr>
                <w:b/>
                <w:bCs/>
                <w:sz w:val="20"/>
                <w:szCs w:val="20"/>
              </w:rPr>
            </w:pPr>
            <w:r w:rsidRPr="00E90ABD">
              <w:rPr>
                <w:b/>
                <w:bCs/>
                <w:sz w:val="20"/>
                <w:szCs w:val="20"/>
              </w:rPr>
              <w:t>Lateral</w:t>
            </w:r>
          </w:p>
        </w:tc>
      </w:tr>
      <w:tr w:rsidR="00CE5CB1" w:rsidRPr="00E90ABD" w:rsidTr="0065081C">
        <w:trPr>
          <w:jc w:val="center"/>
        </w:trPr>
        <w:tc>
          <w:tcPr>
            <w:tcW w:w="2201" w:type="pct"/>
            <w:vMerge/>
            <w:vAlign w:val="center"/>
          </w:tcPr>
          <w:p w:rsidR="00CE5CB1" w:rsidRPr="00E90ABD" w:rsidRDefault="00CE5CB1" w:rsidP="00F06E05">
            <w:pPr>
              <w:snapToGrid w:val="0"/>
              <w:jc w:val="both"/>
              <w:rPr>
                <w:bCs/>
                <w:sz w:val="20"/>
                <w:szCs w:val="20"/>
              </w:rPr>
            </w:pPr>
          </w:p>
        </w:tc>
        <w:tc>
          <w:tcPr>
            <w:tcW w:w="1428" w:type="pct"/>
            <w:noWrap/>
            <w:vAlign w:val="center"/>
          </w:tcPr>
          <w:p w:rsidR="00CE5CB1" w:rsidRPr="00E90ABD" w:rsidRDefault="00CE5CB1" w:rsidP="00F06E05">
            <w:pPr>
              <w:snapToGrid w:val="0"/>
              <w:jc w:val="both"/>
              <w:rPr>
                <w:bCs/>
                <w:sz w:val="20"/>
                <w:szCs w:val="20"/>
              </w:rPr>
            </w:pPr>
            <w:r w:rsidRPr="00E90ABD">
              <w:rPr>
                <w:bCs/>
                <w:sz w:val="20"/>
                <w:szCs w:val="20"/>
              </w:rPr>
              <w:t>Number of cases</w:t>
            </w:r>
          </w:p>
        </w:tc>
        <w:tc>
          <w:tcPr>
            <w:tcW w:w="405" w:type="pct"/>
            <w:noWrap/>
            <w:vAlign w:val="center"/>
          </w:tcPr>
          <w:p w:rsidR="00CE5CB1" w:rsidRPr="00E90ABD" w:rsidRDefault="00CE5CB1" w:rsidP="00F06E05">
            <w:pPr>
              <w:snapToGrid w:val="0"/>
              <w:jc w:val="both"/>
              <w:rPr>
                <w:bCs/>
                <w:sz w:val="20"/>
                <w:szCs w:val="20"/>
              </w:rPr>
            </w:pPr>
            <w:r w:rsidRPr="00E90ABD">
              <w:rPr>
                <w:bCs/>
                <w:sz w:val="20"/>
                <w:szCs w:val="20"/>
              </w:rPr>
              <w:t>PTI</w:t>
            </w:r>
          </w:p>
        </w:tc>
        <w:tc>
          <w:tcPr>
            <w:tcW w:w="966" w:type="pct"/>
            <w:noWrap/>
            <w:vAlign w:val="center"/>
          </w:tcPr>
          <w:p w:rsidR="00CE5CB1" w:rsidRPr="00E90ABD" w:rsidRDefault="00CE5CB1" w:rsidP="00F06E05">
            <w:pPr>
              <w:snapToGrid w:val="0"/>
              <w:jc w:val="both"/>
              <w:rPr>
                <w:bCs/>
                <w:sz w:val="20"/>
                <w:szCs w:val="20"/>
              </w:rPr>
            </w:pPr>
            <w:r w:rsidRPr="00E90ABD">
              <w:rPr>
                <w:bCs/>
                <w:sz w:val="20"/>
                <w:szCs w:val="20"/>
              </w:rPr>
              <w:t>PTI Perc%</w:t>
            </w:r>
          </w:p>
        </w:tc>
      </w:tr>
      <w:tr w:rsidR="00CE5CB1" w:rsidRPr="00E90ABD" w:rsidTr="0065081C">
        <w:trPr>
          <w:jc w:val="center"/>
        </w:trPr>
        <w:tc>
          <w:tcPr>
            <w:tcW w:w="2201" w:type="pct"/>
            <w:noWrap/>
            <w:vAlign w:val="center"/>
          </w:tcPr>
          <w:p w:rsidR="00CE5CB1" w:rsidRPr="00E90ABD" w:rsidRDefault="00CE5CB1" w:rsidP="00F06E05">
            <w:pPr>
              <w:snapToGrid w:val="0"/>
              <w:jc w:val="both"/>
              <w:rPr>
                <w:b/>
                <w:bCs/>
                <w:sz w:val="20"/>
                <w:szCs w:val="20"/>
              </w:rPr>
            </w:pPr>
            <w:r w:rsidRPr="00E90ABD">
              <w:rPr>
                <w:b/>
                <w:bCs/>
                <w:sz w:val="20"/>
                <w:szCs w:val="20"/>
              </w:rPr>
              <w:t>Devkota et al (102 cases)</w:t>
            </w:r>
          </w:p>
        </w:tc>
        <w:tc>
          <w:tcPr>
            <w:tcW w:w="1428" w:type="pct"/>
            <w:noWrap/>
            <w:vAlign w:val="center"/>
          </w:tcPr>
          <w:p w:rsidR="00CE5CB1" w:rsidRPr="00E90ABD" w:rsidRDefault="00CE5CB1" w:rsidP="00F06E05">
            <w:pPr>
              <w:snapToGrid w:val="0"/>
              <w:jc w:val="both"/>
              <w:rPr>
                <w:bCs/>
                <w:sz w:val="20"/>
                <w:szCs w:val="20"/>
              </w:rPr>
            </w:pPr>
            <w:r w:rsidRPr="00E90ABD">
              <w:rPr>
                <w:bCs/>
                <w:sz w:val="20"/>
                <w:szCs w:val="20"/>
              </w:rPr>
              <w:t>102</w:t>
            </w:r>
          </w:p>
        </w:tc>
        <w:tc>
          <w:tcPr>
            <w:tcW w:w="405" w:type="pct"/>
            <w:noWrap/>
            <w:vAlign w:val="center"/>
          </w:tcPr>
          <w:p w:rsidR="00CE5CB1" w:rsidRPr="00E90ABD" w:rsidRDefault="00CE5CB1" w:rsidP="00F06E05">
            <w:pPr>
              <w:snapToGrid w:val="0"/>
              <w:jc w:val="both"/>
              <w:rPr>
                <w:bCs/>
                <w:sz w:val="20"/>
                <w:szCs w:val="20"/>
              </w:rPr>
            </w:pPr>
            <w:r w:rsidRPr="00E90ABD">
              <w:rPr>
                <w:bCs/>
                <w:sz w:val="20"/>
                <w:szCs w:val="20"/>
              </w:rPr>
              <w:t>8</w:t>
            </w:r>
          </w:p>
        </w:tc>
        <w:tc>
          <w:tcPr>
            <w:tcW w:w="966" w:type="pct"/>
            <w:noWrap/>
            <w:vAlign w:val="center"/>
          </w:tcPr>
          <w:p w:rsidR="00CE5CB1" w:rsidRPr="00E90ABD" w:rsidRDefault="00CE5CB1" w:rsidP="00F06E05">
            <w:pPr>
              <w:snapToGrid w:val="0"/>
              <w:jc w:val="both"/>
              <w:rPr>
                <w:bCs/>
                <w:sz w:val="20"/>
                <w:szCs w:val="20"/>
              </w:rPr>
            </w:pPr>
            <w:r w:rsidRPr="00E90ABD">
              <w:rPr>
                <w:bCs/>
                <w:sz w:val="20"/>
                <w:szCs w:val="20"/>
              </w:rPr>
              <w:t>7.84%</w:t>
            </w:r>
          </w:p>
        </w:tc>
      </w:tr>
      <w:tr w:rsidR="00CE5CB1" w:rsidRPr="00E90ABD" w:rsidTr="0065081C">
        <w:trPr>
          <w:jc w:val="center"/>
        </w:trPr>
        <w:tc>
          <w:tcPr>
            <w:tcW w:w="2201" w:type="pct"/>
            <w:noWrap/>
            <w:vAlign w:val="center"/>
          </w:tcPr>
          <w:p w:rsidR="00CE5CB1" w:rsidRPr="00E90ABD" w:rsidRDefault="00CE5CB1" w:rsidP="00F06E05">
            <w:pPr>
              <w:snapToGrid w:val="0"/>
              <w:jc w:val="both"/>
              <w:rPr>
                <w:b/>
                <w:bCs/>
                <w:sz w:val="20"/>
                <w:szCs w:val="20"/>
              </w:rPr>
            </w:pPr>
            <w:r w:rsidRPr="00E90ABD">
              <w:rPr>
                <w:b/>
                <w:bCs/>
                <w:sz w:val="20"/>
                <w:szCs w:val="20"/>
              </w:rPr>
              <w:t>Chakraborty (92 cases)</w:t>
            </w:r>
          </w:p>
        </w:tc>
        <w:tc>
          <w:tcPr>
            <w:tcW w:w="1428" w:type="pct"/>
            <w:noWrap/>
            <w:vAlign w:val="center"/>
          </w:tcPr>
          <w:p w:rsidR="00CE5CB1" w:rsidRPr="00E90ABD" w:rsidRDefault="00CE5CB1" w:rsidP="00F06E05">
            <w:pPr>
              <w:snapToGrid w:val="0"/>
              <w:jc w:val="both"/>
              <w:rPr>
                <w:bCs/>
                <w:sz w:val="20"/>
                <w:szCs w:val="20"/>
              </w:rPr>
            </w:pPr>
            <w:r w:rsidRPr="00E90ABD">
              <w:rPr>
                <w:bCs/>
                <w:sz w:val="20"/>
                <w:szCs w:val="20"/>
              </w:rPr>
              <w:t>92</w:t>
            </w:r>
          </w:p>
        </w:tc>
        <w:tc>
          <w:tcPr>
            <w:tcW w:w="405" w:type="pct"/>
            <w:noWrap/>
            <w:vAlign w:val="center"/>
          </w:tcPr>
          <w:p w:rsidR="00CE5CB1" w:rsidRPr="00E90ABD" w:rsidRDefault="00CE5CB1" w:rsidP="00F06E05">
            <w:pPr>
              <w:snapToGrid w:val="0"/>
              <w:jc w:val="both"/>
              <w:rPr>
                <w:bCs/>
                <w:sz w:val="20"/>
                <w:szCs w:val="20"/>
              </w:rPr>
            </w:pPr>
            <w:r w:rsidRPr="00E90ABD">
              <w:rPr>
                <w:bCs/>
                <w:sz w:val="20"/>
                <w:szCs w:val="20"/>
              </w:rPr>
              <w:t>52</w:t>
            </w:r>
          </w:p>
        </w:tc>
        <w:tc>
          <w:tcPr>
            <w:tcW w:w="966" w:type="pct"/>
            <w:noWrap/>
            <w:vAlign w:val="center"/>
          </w:tcPr>
          <w:p w:rsidR="00CE5CB1" w:rsidRPr="00E90ABD" w:rsidRDefault="00CE5CB1" w:rsidP="00F06E05">
            <w:pPr>
              <w:snapToGrid w:val="0"/>
              <w:jc w:val="both"/>
              <w:rPr>
                <w:bCs/>
                <w:sz w:val="20"/>
                <w:szCs w:val="20"/>
              </w:rPr>
            </w:pPr>
            <w:r w:rsidRPr="00E90ABD">
              <w:rPr>
                <w:bCs/>
                <w:sz w:val="20"/>
                <w:szCs w:val="20"/>
              </w:rPr>
              <w:t>56.52%</w:t>
            </w:r>
          </w:p>
        </w:tc>
      </w:tr>
      <w:tr w:rsidR="00CE5CB1" w:rsidRPr="00E90ABD" w:rsidTr="0065081C">
        <w:trPr>
          <w:jc w:val="center"/>
        </w:trPr>
        <w:tc>
          <w:tcPr>
            <w:tcW w:w="2201" w:type="pct"/>
            <w:noWrap/>
            <w:vAlign w:val="center"/>
          </w:tcPr>
          <w:p w:rsidR="00CE5CB1" w:rsidRPr="00E90ABD" w:rsidRDefault="00CE5CB1" w:rsidP="00F06E05">
            <w:pPr>
              <w:snapToGrid w:val="0"/>
              <w:jc w:val="both"/>
              <w:rPr>
                <w:b/>
                <w:bCs/>
                <w:sz w:val="20"/>
                <w:szCs w:val="20"/>
              </w:rPr>
            </w:pPr>
            <w:r w:rsidRPr="00E90ABD">
              <w:rPr>
                <w:b/>
                <w:bCs/>
                <w:sz w:val="20"/>
                <w:szCs w:val="20"/>
              </w:rPr>
              <w:t>Zamzam et al (108 cases)</w:t>
            </w:r>
          </w:p>
        </w:tc>
        <w:tc>
          <w:tcPr>
            <w:tcW w:w="1428" w:type="pct"/>
            <w:noWrap/>
            <w:vAlign w:val="center"/>
          </w:tcPr>
          <w:p w:rsidR="00CE5CB1" w:rsidRPr="00E90ABD" w:rsidRDefault="00CE5CB1" w:rsidP="00F06E05">
            <w:pPr>
              <w:snapToGrid w:val="0"/>
              <w:jc w:val="both"/>
              <w:rPr>
                <w:bCs/>
                <w:sz w:val="20"/>
                <w:szCs w:val="20"/>
              </w:rPr>
            </w:pPr>
            <w:r w:rsidRPr="00E90ABD">
              <w:rPr>
                <w:bCs/>
                <w:sz w:val="20"/>
                <w:szCs w:val="20"/>
              </w:rPr>
              <w:t>108</w:t>
            </w:r>
          </w:p>
        </w:tc>
        <w:tc>
          <w:tcPr>
            <w:tcW w:w="405" w:type="pct"/>
            <w:noWrap/>
            <w:vAlign w:val="center"/>
          </w:tcPr>
          <w:p w:rsidR="00CE5CB1" w:rsidRPr="00E90ABD" w:rsidRDefault="00CE5CB1" w:rsidP="00F06E05">
            <w:pPr>
              <w:snapToGrid w:val="0"/>
              <w:jc w:val="both"/>
              <w:rPr>
                <w:bCs/>
                <w:sz w:val="20"/>
                <w:szCs w:val="20"/>
              </w:rPr>
            </w:pPr>
            <w:r w:rsidRPr="00E90ABD">
              <w:rPr>
                <w:bCs/>
                <w:sz w:val="20"/>
                <w:szCs w:val="20"/>
              </w:rPr>
              <w:t>1</w:t>
            </w:r>
          </w:p>
        </w:tc>
        <w:tc>
          <w:tcPr>
            <w:tcW w:w="966" w:type="pct"/>
            <w:noWrap/>
            <w:vAlign w:val="center"/>
          </w:tcPr>
          <w:p w:rsidR="00CE5CB1" w:rsidRPr="00E90ABD" w:rsidRDefault="00CE5CB1" w:rsidP="00F06E05">
            <w:pPr>
              <w:snapToGrid w:val="0"/>
              <w:jc w:val="both"/>
              <w:rPr>
                <w:bCs/>
                <w:sz w:val="20"/>
                <w:szCs w:val="20"/>
              </w:rPr>
            </w:pPr>
            <w:r w:rsidRPr="00E90ABD">
              <w:rPr>
                <w:bCs/>
                <w:sz w:val="20"/>
                <w:szCs w:val="20"/>
              </w:rPr>
              <w:t>0.93%</w:t>
            </w:r>
          </w:p>
        </w:tc>
      </w:tr>
      <w:tr w:rsidR="00CE5CB1" w:rsidRPr="00E90ABD" w:rsidTr="0065081C">
        <w:trPr>
          <w:jc w:val="center"/>
        </w:trPr>
        <w:tc>
          <w:tcPr>
            <w:tcW w:w="2201" w:type="pct"/>
            <w:noWrap/>
            <w:vAlign w:val="center"/>
          </w:tcPr>
          <w:p w:rsidR="00CE5CB1" w:rsidRPr="00E90ABD" w:rsidRDefault="00CE5CB1" w:rsidP="00F06E05">
            <w:pPr>
              <w:snapToGrid w:val="0"/>
              <w:jc w:val="both"/>
              <w:rPr>
                <w:b/>
                <w:bCs/>
                <w:sz w:val="20"/>
                <w:szCs w:val="20"/>
              </w:rPr>
            </w:pPr>
            <w:r w:rsidRPr="00E90ABD">
              <w:rPr>
                <w:b/>
                <w:bCs/>
                <w:sz w:val="20"/>
                <w:szCs w:val="20"/>
              </w:rPr>
              <w:t>Our Study (20 cases)</w:t>
            </w:r>
          </w:p>
        </w:tc>
        <w:tc>
          <w:tcPr>
            <w:tcW w:w="1428" w:type="pct"/>
            <w:noWrap/>
            <w:vAlign w:val="center"/>
          </w:tcPr>
          <w:p w:rsidR="00CE5CB1" w:rsidRPr="00E90ABD" w:rsidRDefault="00CE5CB1" w:rsidP="00F06E05">
            <w:pPr>
              <w:snapToGrid w:val="0"/>
              <w:jc w:val="both"/>
              <w:rPr>
                <w:bCs/>
                <w:sz w:val="20"/>
                <w:szCs w:val="20"/>
              </w:rPr>
            </w:pPr>
            <w:r w:rsidRPr="00E90ABD">
              <w:rPr>
                <w:bCs/>
                <w:sz w:val="20"/>
                <w:szCs w:val="20"/>
              </w:rPr>
              <w:t>20</w:t>
            </w:r>
          </w:p>
        </w:tc>
        <w:tc>
          <w:tcPr>
            <w:tcW w:w="405" w:type="pct"/>
            <w:noWrap/>
            <w:vAlign w:val="center"/>
          </w:tcPr>
          <w:p w:rsidR="00CE5CB1" w:rsidRPr="00E90ABD" w:rsidRDefault="00CE5CB1" w:rsidP="00F06E05">
            <w:pPr>
              <w:snapToGrid w:val="0"/>
              <w:jc w:val="both"/>
              <w:rPr>
                <w:bCs/>
                <w:sz w:val="20"/>
                <w:szCs w:val="20"/>
              </w:rPr>
            </w:pPr>
            <w:r w:rsidRPr="00E90ABD">
              <w:rPr>
                <w:bCs/>
                <w:sz w:val="20"/>
                <w:szCs w:val="20"/>
              </w:rPr>
              <w:t>2</w:t>
            </w:r>
          </w:p>
        </w:tc>
        <w:tc>
          <w:tcPr>
            <w:tcW w:w="966" w:type="pct"/>
            <w:noWrap/>
            <w:vAlign w:val="center"/>
          </w:tcPr>
          <w:p w:rsidR="00CE5CB1" w:rsidRPr="00E90ABD" w:rsidRDefault="00CE5CB1" w:rsidP="00F06E05">
            <w:pPr>
              <w:snapToGrid w:val="0"/>
              <w:jc w:val="both"/>
              <w:rPr>
                <w:bCs/>
                <w:sz w:val="20"/>
                <w:szCs w:val="20"/>
              </w:rPr>
            </w:pPr>
            <w:r w:rsidRPr="00E90ABD">
              <w:rPr>
                <w:bCs/>
                <w:sz w:val="20"/>
                <w:szCs w:val="20"/>
              </w:rPr>
              <w:t>10%</w:t>
            </w:r>
          </w:p>
        </w:tc>
      </w:tr>
    </w:tbl>
    <w:p w:rsidR="0001245B" w:rsidRPr="00E90ABD" w:rsidRDefault="0001245B" w:rsidP="00F06E05">
      <w:pPr>
        <w:snapToGrid w:val="0"/>
        <w:jc w:val="center"/>
        <w:rPr>
          <w:b/>
          <w:bCs/>
          <w:sz w:val="20"/>
          <w:szCs w:val="20"/>
        </w:rPr>
      </w:pPr>
      <w:bookmarkStart w:id="10" w:name="_Toc7393070"/>
    </w:p>
    <w:p w:rsidR="00CE5CB1" w:rsidRPr="00E90ABD" w:rsidRDefault="00CE5CB1" w:rsidP="00F06E05">
      <w:pPr>
        <w:snapToGrid w:val="0"/>
        <w:jc w:val="center"/>
        <w:rPr>
          <w:bCs/>
          <w:sz w:val="20"/>
          <w:szCs w:val="20"/>
        </w:rPr>
      </w:pPr>
      <w:r w:rsidRPr="00E90ABD">
        <w:rPr>
          <w:b/>
          <w:bCs/>
          <w:sz w:val="20"/>
          <w:szCs w:val="20"/>
        </w:rPr>
        <w:t>Table (</w:t>
      </w:r>
      <w:r w:rsidR="00926F4F" w:rsidRPr="00E90ABD">
        <w:rPr>
          <w:b/>
          <w:bCs/>
          <w:sz w:val="20"/>
          <w:szCs w:val="20"/>
        </w:rPr>
        <w:fldChar w:fldCharType="begin"/>
      </w:r>
      <w:r w:rsidRPr="00E90ABD">
        <w:rPr>
          <w:b/>
          <w:bCs/>
          <w:sz w:val="20"/>
          <w:szCs w:val="20"/>
        </w:rPr>
        <w:instrText xml:space="preserve"> SEQ Table \* ARABIC </w:instrText>
      </w:r>
      <w:r w:rsidR="00926F4F" w:rsidRPr="00E90ABD">
        <w:rPr>
          <w:b/>
          <w:bCs/>
          <w:sz w:val="20"/>
          <w:szCs w:val="20"/>
        </w:rPr>
        <w:fldChar w:fldCharType="separate"/>
      </w:r>
      <w:r w:rsidR="00A75718" w:rsidRPr="00E90ABD">
        <w:rPr>
          <w:b/>
          <w:bCs/>
          <w:noProof/>
          <w:sz w:val="20"/>
          <w:szCs w:val="20"/>
        </w:rPr>
        <w:t>11</w:t>
      </w:r>
      <w:r w:rsidR="00926F4F" w:rsidRPr="00E90ABD">
        <w:rPr>
          <w:bCs/>
          <w:sz w:val="20"/>
          <w:szCs w:val="20"/>
        </w:rPr>
        <w:fldChar w:fldCharType="end"/>
      </w:r>
      <w:r w:rsidRPr="00E90ABD">
        <w:rPr>
          <w:b/>
          <w:bCs/>
          <w:sz w:val="20"/>
          <w:szCs w:val="20"/>
        </w:rPr>
        <w:t>):</w:t>
      </w:r>
      <w:r w:rsidRPr="00E90ABD">
        <w:rPr>
          <w:bCs/>
          <w:sz w:val="20"/>
          <w:szCs w:val="20"/>
        </w:rPr>
        <w:t xml:space="preserve"> A Comparison of the complications between the published studies and our study</w:t>
      </w:r>
      <w:bookmarkEnd w:id="10"/>
      <w:r w:rsidRPr="00E90ABD">
        <w:rPr>
          <w:bCs/>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0A0"/>
      </w:tblPr>
      <w:tblGrid>
        <w:gridCol w:w="1094"/>
        <w:gridCol w:w="517"/>
        <w:gridCol w:w="855"/>
        <w:gridCol w:w="709"/>
        <w:gridCol w:w="851"/>
        <w:gridCol w:w="851"/>
        <w:gridCol w:w="1180"/>
        <w:gridCol w:w="815"/>
        <w:gridCol w:w="982"/>
        <w:gridCol w:w="815"/>
        <w:gridCol w:w="805"/>
      </w:tblGrid>
      <w:tr w:rsidR="00CE5CB1" w:rsidRPr="00E90ABD" w:rsidTr="00E90ABD">
        <w:trPr>
          <w:jc w:val="center"/>
        </w:trPr>
        <w:tc>
          <w:tcPr>
            <w:tcW w:w="851" w:type="pct"/>
            <w:gridSpan w:val="2"/>
            <w:vMerge w:val="restart"/>
            <w:noWrap/>
            <w:vAlign w:val="center"/>
          </w:tcPr>
          <w:p w:rsidR="00CE5CB1" w:rsidRPr="00E90ABD" w:rsidRDefault="00CE5CB1" w:rsidP="00E90ABD">
            <w:pPr>
              <w:snapToGrid w:val="0"/>
              <w:rPr>
                <w:b/>
                <w:bCs/>
                <w:sz w:val="16"/>
                <w:szCs w:val="16"/>
              </w:rPr>
            </w:pPr>
            <w:r w:rsidRPr="00E90ABD">
              <w:rPr>
                <w:b/>
                <w:bCs/>
                <w:sz w:val="16"/>
                <w:szCs w:val="16"/>
              </w:rPr>
              <w:t>Authors</w:t>
            </w:r>
          </w:p>
        </w:tc>
        <w:tc>
          <w:tcPr>
            <w:tcW w:w="451" w:type="pct"/>
            <w:vMerge w:val="restart"/>
            <w:vAlign w:val="center"/>
          </w:tcPr>
          <w:p w:rsidR="00CE5CB1" w:rsidRPr="00E90ABD" w:rsidRDefault="00CE5CB1" w:rsidP="00E90ABD">
            <w:pPr>
              <w:snapToGrid w:val="0"/>
              <w:rPr>
                <w:b/>
                <w:bCs/>
                <w:sz w:val="16"/>
                <w:szCs w:val="16"/>
              </w:rPr>
            </w:pPr>
            <w:r w:rsidRPr="00E90ABD">
              <w:rPr>
                <w:b/>
                <w:bCs/>
                <w:sz w:val="16"/>
                <w:szCs w:val="16"/>
              </w:rPr>
              <w:t>Total</w:t>
            </w:r>
            <w:r w:rsidR="00F06E05" w:rsidRPr="00E90ABD">
              <w:rPr>
                <w:b/>
                <w:bCs/>
                <w:sz w:val="16"/>
                <w:szCs w:val="16"/>
              </w:rPr>
              <w:t xml:space="preserve"> </w:t>
            </w:r>
            <w:r w:rsidRPr="00E90ABD">
              <w:rPr>
                <w:b/>
                <w:bCs/>
                <w:sz w:val="16"/>
                <w:szCs w:val="16"/>
              </w:rPr>
              <w:t>Number of cases</w:t>
            </w:r>
          </w:p>
        </w:tc>
        <w:tc>
          <w:tcPr>
            <w:tcW w:w="823" w:type="pct"/>
            <w:gridSpan w:val="2"/>
            <w:noWrap/>
            <w:vAlign w:val="center"/>
          </w:tcPr>
          <w:p w:rsidR="00CE5CB1" w:rsidRPr="00E90ABD" w:rsidRDefault="00CE5CB1" w:rsidP="00E90ABD">
            <w:pPr>
              <w:snapToGrid w:val="0"/>
              <w:rPr>
                <w:b/>
                <w:bCs/>
                <w:sz w:val="16"/>
                <w:szCs w:val="16"/>
              </w:rPr>
            </w:pPr>
            <w:r w:rsidRPr="00E90ABD">
              <w:rPr>
                <w:b/>
                <w:bCs/>
                <w:sz w:val="16"/>
                <w:szCs w:val="16"/>
              </w:rPr>
              <w:t>Instability</w:t>
            </w:r>
          </w:p>
        </w:tc>
        <w:tc>
          <w:tcPr>
            <w:tcW w:w="1072" w:type="pct"/>
            <w:gridSpan w:val="2"/>
            <w:noWrap/>
            <w:vAlign w:val="center"/>
          </w:tcPr>
          <w:p w:rsidR="00CE5CB1" w:rsidRPr="00E90ABD" w:rsidRDefault="00CE5CB1" w:rsidP="00E90ABD">
            <w:pPr>
              <w:snapToGrid w:val="0"/>
              <w:rPr>
                <w:b/>
                <w:bCs/>
                <w:sz w:val="16"/>
                <w:szCs w:val="16"/>
              </w:rPr>
            </w:pPr>
            <w:r w:rsidRPr="00E90ABD">
              <w:rPr>
                <w:b/>
                <w:bCs/>
                <w:sz w:val="16"/>
                <w:szCs w:val="16"/>
              </w:rPr>
              <w:t>Ulnar N. Injury</w:t>
            </w:r>
          </w:p>
        </w:tc>
        <w:tc>
          <w:tcPr>
            <w:tcW w:w="948" w:type="pct"/>
            <w:gridSpan w:val="2"/>
            <w:noWrap/>
            <w:vAlign w:val="center"/>
          </w:tcPr>
          <w:p w:rsidR="00CE5CB1" w:rsidRPr="00E90ABD" w:rsidRDefault="00CE5CB1" w:rsidP="00E90ABD">
            <w:pPr>
              <w:snapToGrid w:val="0"/>
              <w:rPr>
                <w:b/>
                <w:bCs/>
                <w:sz w:val="16"/>
                <w:szCs w:val="16"/>
              </w:rPr>
            </w:pPr>
            <w:r w:rsidRPr="00E90ABD">
              <w:rPr>
                <w:b/>
                <w:bCs/>
                <w:sz w:val="16"/>
                <w:szCs w:val="16"/>
              </w:rPr>
              <w:t>↓ROM</w:t>
            </w:r>
          </w:p>
        </w:tc>
        <w:tc>
          <w:tcPr>
            <w:tcW w:w="855" w:type="pct"/>
            <w:gridSpan w:val="2"/>
            <w:noWrap/>
            <w:vAlign w:val="center"/>
          </w:tcPr>
          <w:p w:rsidR="00CE5CB1" w:rsidRPr="00E90ABD" w:rsidRDefault="00CE5CB1" w:rsidP="00E90ABD">
            <w:pPr>
              <w:snapToGrid w:val="0"/>
              <w:rPr>
                <w:b/>
                <w:bCs/>
                <w:sz w:val="16"/>
                <w:szCs w:val="16"/>
              </w:rPr>
            </w:pPr>
            <w:r w:rsidRPr="00E90ABD">
              <w:rPr>
                <w:b/>
                <w:bCs/>
                <w:sz w:val="16"/>
                <w:szCs w:val="16"/>
              </w:rPr>
              <w:t>PTI</w:t>
            </w:r>
          </w:p>
        </w:tc>
      </w:tr>
      <w:tr w:rsidR="00E90ABD" w:rsidRPr="00E90ABD" w:rsidTr="00E90ABD">
        <w:trPr>
          <w:jc w:val="center"/>
        </w:trPr>
        <w:tc>
          <w:tcPr>
            <w:tcW w:w="851" w:type="pct"/>
            <w:gridSpan w:val="2"/>
            <w:vMerge/>
            <w:vAlign w:val="center"/>
          </w:tcPr>
          <w:p w:rsidR="00CE5CB1" w:rsidRPr="00E90ABD" w:rsidRDefault="00CE5CB1" w:rsidP="00E90ABD">
            <w:pPr>
              <w:snapToGrid w:val="0"/>
              <w:rPr>
                <w:bCs/>
                <w:sz w:val="16"/>
                <w:szCs w:val="16"/>
              </w:rPr>
            </w:pPr>
          </w:p>
        </w:tc>
        <w:tc>
          <w:tcPr>
            <w:tcW w:w="451" w:type="pct"/>
            <w:vMerge/>
            <w:vAlign w:val="center"/>
          </w:tcPr>
          <w:p w:rsidR="00CE5CB1" w:rsidRPr="00E90ABD" w:rsidRDefault="00CE5CB1" w:rsidP="00E90ABD">
            <w:pPr>
              <w:snapToGrid w:val="0"/>
              <w:rPr>
                <w:bCs/>
                <w:sz w:val="16"/>
                <w:szCs w:val="16"/>
              </w:rPr>
            </w:pPr>
          </w:p>
        </w:tc>
        <w:tc>
          <w:tcPr>
            <w:tcW w:w="374" w:type="pct"/>
            <w:noWrap/>
            <w:vAlign w:val="center"/>
          </w:tcPr>
          <w:p w:rsidR="00CE5CB1" w:rsidRPr="00E90ABD" w:rsidRDefault="00CE5CB1" w:rsidP="00E90ABD">
            <w:pPr>
              <w:snapToGrid w:val="0"/>
              <w:rPr>
                <w:bCs/>
                <w:sz w:val="16"/>
                <w:szCs w:val="16"/>
              </w:rPr>
            </w:pPr>
            <w:r w:rsidRPr="00E90ABD">
              <w:rPr>
                <w:bCs/>
                <w:sz w:val="16"/>
                <w:szCs w:val="16"/>
              </w:rPr>
              <w:t xml:space="preserve">No. of </w:t>
            </w:r>
            <w:r w:rsidR="00F06E05" w:rsidRPr="00E90ABD">
              <w:rPr>
                <w:bCs/>
                <w:sz w:val="16"/>
                <w:szCs w:val="16"/>
              </w:rPr>
              <w:t xml:space="preserve"> </w:t>
            </w:r>
            <w:r w:rsidRPr="00E90ABD">
              <w:rPr>
                <w:bCs/>
                <w:sz w:val="16"/>
                <w:szCs w:val="16"/>
              </w:rPr>
              <w:t>cases</w:t>
            </w:r>
          </w:p>
        </w:tc>
        <w:tc>
          <w:tcPr>
            <w:tcW w:w="449" w:type="pct"/>
            <w:noWrap/>
            <w:vAlign w:val="center"/>
          </w:tcPr>
          <w:p w:rsidR="00CE5CB1" w:rsidRPr="00E90ABD" w:rsidRDefault="00CE5CB1" w:rsidP="00E90ABD">
            <w:pPr>
              <w:snapToGrid w:val="0"/>
              <w:rPr>
                <w:bCs/>
                <w:sz w:val="16"/>
                <w:szCs w:val="16"/>
              </w:rPr>
            </w:pPr>
            <w:r w:rsidRPr="00E90ABD">
              <w:rPr>
                <w:bCs/>
                <w:sz w:val="16"/>
                <w:szCs w:val="16"/>
              </w:rPr>
              <w:t>Inst. Perc. %</w:t>
            </w:r>
          </w:p>
        </w:tc>
        <w:tc>
          <w:tcPr>
            <w:tcW w:w="449" w:type="pct"/>
            <w:noWrap/>
            <w:vAlign w:val="center"/>
          </w:tcPr>
          <w:p w:rsidR="00CE5CB1" w:rsidRPr="00E90ABD" w:rsidRDefault="00CE5CB1" w:rsidP="00E90ABD">
            <w:pPr>
              <w:snapToGrid w:val="0"/>
              <w:rPr>
                <w:bCs/>
                <w:sz w:val="16"/>
                <w:szCs w:val="16"/>
              </w:rPr>
            </w:pPr>
            <w:r w:rsidRPr="00E90ABD">
              <w:rPr>
                <w:bCs/>
                <w:sz w:val="16"/>
                <w:szCs w:val="16"/>
              </w:rPr>
              <w:t>No. of</w:t>
            </w:r>
            <w:r w:rsidR="00F06E05" w:rsidRPr="00E90ABD">
              <w:rPr>
                <w:bCs/>
                <w:sz w:val="16"/>
                <w:szCs w:val="16"/>
              </w:rPr>
              <w:t xml:space="preserve"> </w:t>
            </w:r>
            <w:r w:rsidR="0065081C" w:rsidRPr="00E90ABD">
              <w:rPr>
                <w:bCs/>
                <w:sz w:val="16"/>
                <w:szCs w:val="16"/>
              </w:rPr>
              <w:t>c</w:t>
            </w:r>
            <w:r w:rsidRPr="00E90ABD">
              <w:rPr>
                <w:bCs/>
                <w:sz w:val="16"/>
                <w:szCs w:val="16"/>
              </w:rPr>
              <w:t>ases</w:t>
            </w:r>
          </w:p>
        </w:tc>
        <w:tc>
          <w:tcPr>
            <w:tcW w:w="623" w:type="pct"/>
            <w:noWrap/>
            <w:vAlign w:val="center"/>
          </w:tcPr>
          <w:p w:rsidR="00CE5CB1" w:rsidRPr="00E90ABD" w:rsidRDefault="00CE5CB1" w:rsidP="00E90ABD">
            <w:pPr>
              <w:snapToGrid w:val="0"/>
              <w:rPr>
                <w:bCs/>
                <w:sz w:val="16"/>
                <w:szCs w:val="16"/>
              </w:rPr>
            </w:pPr>
            <w:r w:rsidRPr="00E90ABD">
              <w:rPr>
                <w:bCs/>
                <w:sz w:val="16"/>
                <w:szCs w:val="16"/>
              </w:rPr>
              <w:t xml:space="preserve">Ulnra N. </w:t>
            </w:r>
            <w:r w:rsidR="00F06E05" w:rsidRPr="00E90ABD">
              <w:rPr>
                <w:bCs/>
                <w:sz w:val="16"/>
                <w:szCs w:val="16"/>
              </w:rPr>
              <w:t xml:space="preserve"> </w:t>
            </w:r>
            <w:r w:rsidRPr="00E90ABD">
              <w:rPr>
                <w:bCs/>
                <w:sz w:val="16"/>
                <w:szCs w:val="16"/>
              </w:rPr>
              <w:t>Injury Perc. %</w:t>
            </w:r>
          </w:p>
        </w:tc>
        <w:tc>
          <w:tcPr>
            <w:tcW w:w="430" w:type="pct"/>
            <w:noWrap/>
            <w:vAlign w:val="center"/>
          </w:tcPr>
          <w:p w:rsidR="00CE5CB1" w:rsidRPr="00E90ABD" w:rsidRDefault="00CE5CB1" w:rsidP="00E90ABD">
            <w:pPr>
              <w:snapToGrid w:val="0"/>
              <w:rPr>
                <w:bCs/>
                <w:sz w:val="16"/>
                <w:szCs w:val="16"/>
              </w:rPr>
            </w:pPr>
            <w:r w:rsidRPr="00E90ABD">
              <w:rPr>
                <w:bCs/>
                <w:sz w:val="16"/>
                <w:szCs w:val="16"/>
              </w:rPr>
              <w:t xml:space="preserve">No. of </w:t>
            </w:r>
            <w:r w:rsidR="00F06E05" w:rsidRPr="00E90ABD">
              <w:rPr>
                <w:bCs/>
                <w:sz w:val="16"/>
                <w:szCs w:val="16"/>
              </w:rPr>
              <w:t xml:space="preserve"> </w:t>
            </w:r>
            <w:r w:rsidRPr="00E90ABD">
              <w:rPr>
                <w:bCs/>
                <w:sz w:val="16"/>
                <w:szCs w:val="16"/>
              </w:rPr>
              <w:t>cases</w:t>
            </w:r>
          </w:p>
        </w:tc>
        <w:tc>
          <w:tcPr>
            <w:tcW w:w="518" w:type="pct"/>
            <w:noWrap/>
            <w:vAlign w:val="center"/>
          </w:tcPr>
          <w:p w:rsidR="00CE5CB1" w:rsidRPr="00E90ABD" w:rsidRDefault="00CE5CB1" w:rsidP="00E90ABD">
            <w:pPr>
              <w:snapToGrid w:val="0"/>
              <w:rPr>
                <w:bCs/>
                <w:sz w:val="16"/>
                <w:szCs w:val="16"/>
              </w:rPr>
            </w:pPr>
            <w:r w:rsidRPr="00E90ABD">
              <w:rPr>
                <w:bCs/>
                <w:sz w:val="16"/>
                <w:szCs w:val="16"/>
              </w:rPr>
              <w:t xml:space="preserve">↓ROM </w:t>
            </w:r>
            <w:r w:rsidR="00F06E05" w:rsidRPr="00E90ABD">
              <w:rPr>
                <w:bCs/>
                <w:sz w:val="16"/>
                <w:szCs w:val="16"/>
              </w:rPr>
              <w:t xml:space="preserve"> </w:t>
            </w:r>
            <w:r w:rsidRPr="00E90ABD">
              <w:rPr>
                <w:bCs/>
                <w:sz w:val="16"/>
                <w:szCs w:val="16"/>
              </w:rPr>
              <w:t>Perc. %</w:t>
            </w:r>
          </w:p>
        </w:tc>
        <w:tc>
          <w:tcPr>
            <w:tcW w:w="430" w:type="pct"/>
            <w:noWrap/>
            <w:vAlign w:val="center"/>
          </w:tcPr>
          <w:p w:rsidR="00CE5CB1" w:rsidRPr="00E90ABD" w:rsidRDefault="00CE5CB1" w:rsidP="00E90ABD">
            <w:pPr>
              <w:snapToGrid w:val="0"/>
              <w:rPr>
                <w:bCs/>
                <w:sz w:val="16"/>
                <w:szCs w:val="16"/>
              </w:rPr>
            </w:pPr>
            <w:r w:rsidRPr="00E90ABD">
              <w:rPr>
                <w:bCs/>
                <w:sz w:val="16"/>
                <w:szCs w:val="16"/>
              </w:rPr>
              <w:t xml:space="preserve">No. of </w:t>
            </w:r>
            <w:r w:rsidR="00F06E05" w:rsidRPr="00E90ABD">
              <w:rPr>
                <w:bCs/>
                <w:sz w:val="16"/>
                <w:szCs w:val="16"/>
              </w:rPr>
              <w:t xml:space="preserve"> </w:t>
            </w:r>
            <w:r w:rsidRPr="00E90ABD">
              <w:rPr>
                <w:bCs/>
                <w:sz w:val="16"/>
                <w:szCs w:val="16"/>
              </w:rPr>
              <w:t>cases</w:t>
            </w:r>
          </w:p>
        </w:tc>
        <w:tc>
          <w:tcPr>
            <w:tcW w:w="425" w:type="pct"/>
            <w:noWrap/>
            <w:vAlign w:val="center"/>
          </w:tcPr>
          <w:p w:rsidR="00CE5CB1" w:rsidRPr="00E90ABD" w:rsidRDefault="00CE5CB1" w:rsidP="00E90ABD">
            <w:pPr>
              <w:snapToGrid w:val="0"/>
              <w:rPr>
                <w:bCs/>
                <w:sz w:val="16"/>
                <w:szCs w:val="16"/>
              </w:rPr>
            </w:pPr>
            <w:r w:rsidRPr="00E90ABD">
              <w:rPr>
                <w:bCs/>
                <w:sz w:val="16"/>
                <w:szCs w:val="16"/>
              </w:rPr>
              <w:t xml:space="preserve">PTI </w:t>
            </w:r>
            <w:r w:rsidR="00F06E05" w:rsidRPr="00E90ABD">
              <w:rPr>
                <w:bCs/>
                <w:sz w:val="16"/>
                <w:szCs w:val="16"/>
              </w:rPr>
              <w:t xml:space="preserve"> </w:t>
            </w:r>
            <w:r w:rsidRPr="00E90ABD">
              <w:rPr>
                <w:bCs/>
                <w:sz w:val="16"/>
                <w:szCs w:val="16"/>
              </w:rPr>
              <w:t>Perc. %</w:t>
            </w:r>
          </w:p>
        </w:tc>
      </w:tr>
      <w:tr w:rsidR="00E90ABD" w:rsidRPr="00E90ABD" w:rsidTr="00E90ABD">
        <w:trPr>
          <w:jc w:val="center"/>
        </w:trPr>
        <w:tc>
          <w:tcPr>
            <w:tcW w:w="851" w:type="pct"/>
            <w:gridSpan w:val="2"/>
            <w:noWrap/>
            <w:vAlign w:val="center"/>
          </w:tcPr>
          <w:p w:rsidR="00CE5CB1" w:rsidRPr="00E90ABD" w:rsidRDefault="00CE5CB1" w:rsidP="00E90ABD">
            <w:pPr>
              <w:snapToGrid w:val="0"/>
              <w:rPr>
                <w:b/>
                <w:bCs/>
                <w:sz w:val="16"/>
                <w:szCs w:val="16"/>
              </w:rPr>
            </w:pPr>
            <w:r w:rsidRPr="00E90ABD">
              <w:rPr>
                <w:b/>
                <w:bCs/>
                <w:sz w:val="16"/>
                <w:szCs w:val="16"/>
              </w:rPr>
              <w:t>Devkota et al</w:t>
            </w:r>
            <w:r w:rsidR="0054030B" w:rsidRPr="00E90ABD">
              <w:rPr>
                <w:b/>
                <w:bCs/>
                <w:sz w:val="16"/>
                <w:szCs w:val="16"/>
              </w:rPr>
              <w:t xml:space="preserve">. </w:t>
            </w:r>
            <w:r w:rsidRPr="00E90ABD">
              <w:rPr>
                <w:b/>
                <w:bCs/>
                <w:sz w:val="16"/>
                <w:szCs w:val="16"/>
              </w:rPr>
              <w:t>(102 cases)</w:t>
            </w:r>
          </w:p>
        </w:tc>
        <w:tc>
          <w:tcPr>
            <w:tcW w:w="451" w:type="pct"/>
            <w:noWrap/>
            <w:vAlign w:val="center"/>
          </w:tcPr>
          <w:p w:rsidR="00CE5CB1" w:rsidRPr="00E90ABD" w:rsidRDefault="00CE5CB1" w:rsidP="00E90ABD">
            <w:pPr>
              <w:snapToGrid w:val="0"/>
              <w:rPr>
                <w:b/>
                <w:bCs/>
                <w:sz w:val="16"/>
                <w:szCs w:val="16"/>
              </w:rPr>
            </w:pPr>
            <w:r w:rsidRPr="00E90ABD">
              <w:rPr>
                <w:b/>
                <w:bCs/>
                <w:sz w:val="16"/>
                <w:szCs w:val="16"/>
              </w:rPr>
              <w:t>102</w:t>
            </w:r>
          </w:p>
        </w:tc>
        <w:tc>
          <w:tcPr>
            <w:tcW w:w="374" w:type="pct"/>
            <w:noWrap/>
            <w:vAlign w:val="center"/>
          </w:tcPr>
          <w:p w:rsidR="00CE5CB1" w:rsidRPr="00E90ABD" w:rsidRDefault="00CE5CB1" w:rsidP="00E90ABD">
            <w:pPr>
              <w:snapToGrid w:val="0"/>
              <w:rPr>
                <w:bCs/>
                <w:sz w:val="16"/>
                <w:szCs w:val="16"/>
              </w:rPr>
            </w:pPr>
            <w:r w:rsidRPr="00E90ABD">
              <w:rPr>
                <w:bCs/>
                <w:sz w:val="16"/>
                <w:szCs w:val="16"/>
              </w:rPr>
              <w:t>2</w:t>
            </w:r>
          </w:p>
        </w:tc>
        <w:tc>
          <w:tcPr>
            <w:tcW w:w="449" w:type="pct"/>
            <w:noWrap/>
            <w:vAlign w:val="center"/>
          </w:tcPr>
          <w:p w:rsidR="00CE5CB1" w:rsidRPr="00E90ABD" w:rsidRDefault="00CE5CB1" w:rsidP="00E90ABD">
            <w:pPr>
              <w:snapToGrid w:val="0"/>
              <w:rPr>
                <w:bCs/>
                <w:sz w:val="16"/>
                <w:szCs w:val="16"/>
              </w:rPr>
            </w:pPr>
            <w:r w:rsidRPr="00E90ABD">
              <w:rPr>
                <w:bCs/>
                <w:sz w:val="16"/>
                <w:szCs w:val="16"/>
              </w:rPr>
              <w:t>1.96%</w:t>
            </w:r>
          </w:p>
        </w:tc>
        <w:tc>
          <w:tcPr>
            <w:tcW w:w="449" w:type="pct"/>
            <w:noWrap/>
            <w:vAlign w:val="center"/>
          </w:tcPr>
          <w:p w:rsidR="00CE5CB1" w:rsidRPr="00E90ABD" w:rsidRDefault="00CE5CB1" w:rsidP="00E90ABD">
            <w:pPr>
              <w:snapToGrid w:val="0"/>
              <w:rPr>
                <w:bCs/>
                <w:sz w:val="16"/>
                <w:szCs w:val="16"/>
              </w:rPr>
            </w:pPr>
            <w:r w:rsidRPr="00E90ABD">
              <w:rPr>
                <w:bCs/>
                <w:sz w:val="16"/>
                <w:szCs w:val="16"/>
              </w:rPr>
              <w:t>7</w:t>
            </w:r>
          </w:p>
        </w:tc>
        <w:tc>
          <w:tcPr>
            <w:tcW w:w="623" w:type="pct"/>
            <w:noWrap/>
            <w:vAlign w:val="center"/>
          </w:tcPr>
          <w:p w:rsidR="00CE5CB1" w:rsidRPr="00E90ABD" w:rsidRDefault="00CE5CB1" w:rsidP="00E90ABD">
            <w:pPr>
              <w:snapToGrid w:val="0"/>
              <w:rPr>
                <w:bCs/>
                <w:sz w:val="16"/>
                <w:szCs w:val="16"/>
              </w:rPr>
            </w:pPr>
            <w:r w:rsidRPr="00E90ABD">
              <w:rPr>
                <w:bCs/>
                <w:sz w:val="16"/>
                <w:szCs w:val="16"/>
              </w:rPr>
              <w:t>6.86%</w:t>
            </w:r>
          </w:p>
        </w:tc>
        <w:tc>
          <w:tcPr>
            <w:tcW w:w="430" w:type="pct"/>
            <w:noWrap/>
            <w:vAlign w:val="center"/>
          </w:tcPr>
          <w:p w:rsidR="00CE5CB1" w:rsidRPr="00E90ABD" w:rsidRDefault="00CE5CB1" w:rsidP="00E90ABD">
            <w:pPr>
              <w:snapToGrid w:val="0"/>
              <w:rPr>
                <w:bCs/>
                <w:sz w:val="16"/>
                <w:szCs w:val="16"/>
              </w:rPr>
            </w:pPr>
            <w:r w:rsidRPr="00E90ABD">
              <w:rPr>
                <w:bCs/>
                <w:sz w:val="16"/>
                <w:szCs w:val="16"/>
              </w:rPr>
              <w:t>4</w:t>
            </w:r>
          </w:p>
        </w:tc>
        <w:tc>
          <w:tcPr>
            <w:tcW w:w="518" w:type="pct"/>
            <w:noWrap/>
            <w:vAlign w:val="center"/>
          </w:tcPr>
          <w:p w:rsidR="00CE5CB1" w:rsidRPr="00E90ABD" w:rsidRDefault="00CE5CB1" w:rsidP="00E90ABD">
            <w:pPr>
              <w:snapToGrid w:val="0"/>
              <w:rPr>
                <w:bCs/>
                <w:sz w:val="16"/>
                <w:szCs w:val="16"/>
              </w:rPr>
            </w:pPr>
            <w:r w:rsidRPr="00E90ABD">
              <w:rPr>
                <w:bCs/>
                <w:sz w:val="16"/>
                <w:szCs w:val="16"/>
              </w:rPr>
              <w:t>3.92%</w:t>
            </w:r>
          </w:p>
        </w:tc>
        <w:tc>
          <w:tcPr>
            <w:tcW w:w="430" w:type="pct"/>
            <w:noWrap/>
            <w:vAlign w:val="center"/>
          </w:tcPr>
          <w:p w:rsidR="00CE5CB1" w:rsidRPr="00E90ABD" w:rsidRDefault="00CE5CB1" w:rsidP="00E90ABD">
            <w:pPr>
              <w:snapToGrid w:val="0"/>
              <w:rPr>
                <w:bCs/>
                <w:sz w:val="16"/>
                <w:szCs w:val="16"/>
              </w:rPr>
            </w:pPr>
            <w:r w:rsidRPr="00E90ABD">
              <w:rPr>
                <w:bCs/>
                <w:sz w:val="16"/>
                <w:szCs w:val="16"/>
              </w:rPr>
              <w:t>8</w:t>
            </w:r>
          </w:p>
        </w:tc>
        <w:tc>
          <w:tcPr>
            <w:tcW w:w="425" w:type="pct"/>
            <w:noWrap/>
            <w:vAlign w:val="center"/>
          </w:tcPr>
          <w:p w:rsidR="00CE5CB1" w:rsidRPr="00E90ABD" w:rsidRDefault="00CE5CB1" w:rsidP="00E90ABD">
            <w:pPr>
              <w:snapToGrid w:val="0"/>
              <w:rPr>
                <w:bCs/>
                <w:sz w:val="16"/>
                <w:szCs w:val="16"/>
              </w:rPr>
            </w:pPr>
            <w:r w:rsidRPr="00E90ABD">
              <w:rPr>
                <w:bCs/>
                <w:sz w:val="16"/>
                <w:szCs w:val="16"/>
              </w:rPr>
              <w:t>7.84%</w:t>
            </w:r>
          </w:p>
        </w:tc>
      </w:tr>
      <w:tr w:rsidR="00E90ABD" w:rsidRPr="00E90ABD" w:rsidTr="00E90ABD">
        <w:trPr>
          <w:jc w:val="center"/>
        </w:trPr>
        <w:tc>
          <w:tcPr>
            <w:tcW w:w="851" w:type="pct"/>
            <w:gridSpan w:val="2"/>
            <w:noWrap/>
            <w:vAlign w:val="center"/>
          </w:tcPr>
          <w:p w:rsidR="00CE5CB1" w:rsidRPr="00E90ABD" w:rsidRDefault="00CE5CB1" w:rsidP="00E90ABD">
            <w:pPr>
              <w:snapToGrid w:val="0"/>
              <w:rPr>
                <w:b/>
                <w:bCs/>
                <w:sz w:val="16"/>
                <w:szCs w:val="16"/>
              </w:rPr>
            </w:pPr>
            <w:r w:rsidRPr="00E90ABD">
              <w:rPr>
                <w:b/>
                <w:bCs/>
                <w:sz w:val="16"/>
                <w:szCs w:val="16"/>
              </w:rPr>
              <w:t>Chakraborty (92 cases)</w:t>
            </w:r>
          </w:p>
        </w:tc>
        <w:tc>
          <w:tcPr>
            <w:tcW w:w="451" w:type="pct"/>
            <w:noWrap/>
            <w:vAlign w:val="center"/>
          </w:tcPr>
          <w:p w:rsidR="00CE5CB1" w:rsidRPr="00E90ABD" w:rsidRDefault="00CE5CB1" w:rsidP="00E90ABD">
            <w:pPr>
              <w:snapToGrid w:val="0"/>
              <w:rPr>
                <w:b/>
                <w:bCs/>
                <w:sz w:val="16"/>
                <w:szCs w:val="16"/>
              </w:rPr>
            </w:pPr>
            <w:r w:rsidRPr="00E90ABD">
              <w:rPr>
                <w:b/>
                <w:bCs/>
                <w:sz w:val="16"/>
                <w:szCs w:val="16"/>
              </w:rPr>
              <w:t>92</w:t>
            </w:r>
          </w:p>
        </w:tc>
        <w:tc>
          <w:tcPr>
            <w:tcW w:w="374" w:type="pct"/>
            <w:noWrap/>
            <w:vAlign w:val="center"/>
          </w:tcPr>
          <w:p w:rsidR="00CE5CB1" w:rsidRPr="00E90ABD" w:rsidRDefault="00CE5CB1" w:rsidP="00E90ABD">
            <w:pPr>
              <w:snapToGrid w:val="0"/>
              <w:rPr>
                <w:bCs/>
                <w:sz w:val="16"/>
                <w:szCs w:val="16"/>
              </w:rPr>
            </w:pPr>
            <w:r w:rsidRPr="00E90ABD">
              <w:rPr>
                <w:bCs/>
                <w:sz w:val="16"/>
                <w:szCs w:val="16"/>
              </w:rPr>
              <w:t>16</w:t>
            </w:r>
          </w:p>
        </w:tc>
        <w:tc>
          <w:tcPr>
            <w:tcW w:w="449" w:type="pct"/>
            <w:noWrap/>
            <w:vAlign w:val="center"/>
          </w:tcPr>
          <w:p w:rsidR="00CE5CB1" w:rsidRPr="00E90ABD" w:rsidRDefault="00CE5CB1" w:rsidP="00E90ABD">
            <w:pPr>
              <w:snapToGrid w:val="0"/>
              <w:rPr>
                <w:bCs/>
                <w:sz w:val="16"/>
                <w:szCs w:val="16"/>
              </w:rPr>
            </w:pPr>
            <w:r w:rsidRPr="00E90ABD">
              <w:rPr>
                <w:bCs/>
                <w:sz w:val="16"/>
                <w:szCs w:val="16"/>
              </w:rPr>
              <w:t>17.39%</w:t>
            </w:r>
          </w:p>
        </w:tc>
        <w:tc>
          <w:tcPr>
            <w:tcW w:w="449" w:type="pct"/>
            <w:noWrap/>
            <w:vAlign w:val="center"/>
          </w:tcPr>
          <w:p w:rsidR="00CE5CB1" w:rsidRPr="00E90ABD" w:rsidRDefault="00CE5CB1" w:rsidP="00E90ABD">
            <w:pPr>
              <w:snapToGrid w:val="0"/>
              <w:rPr>
                <w:bCs/>
                <w:sz w:val="16"/>
                <w:szCs w:val="16"/>
              </w:rPr>
            </w:pPr>
            <w:r w:rsidRPr="00E90ABD">
              <w:rPr>
                <w:bCs/>
                <w:sz w:val="16"/>
                <w:szCs w:val="16"/>
              </w:rPr>
              <w:t>4</w:t>
            </w:r>
          </w:p>
        </w:tc>
        <w:tc>
          <w:tcPr>
            <w:tcW w:w="623" w:type="pct"/>
            <w:noWrap/>
            <w:vAlign w:val="center"/>
          </w:tcPr>
          <w:p w:rsidR="00CE5CB1" w:rsidRPr="00E90ABD" w:rsidRDefault="00CE5CB1" w:rsidP="00E90ABD">
            <w:pPr>
              <w:snapToGrid w:val="0"/>
              <w:rPr>
                <w:bCs/>
                <w:sz w:val="16"/>
                <w:szCs w:val="16"/>
              </w:rPr>
            </w:pPr>
            <w:r w:rsidRPr="00E90ABD">
              <w:rPr>
                <w:bCs/>
                <w:sz w:val="16"/>
                <w:szCs w:val="16"/>
              </w:rPr>
              <w:t>4.35%</w:t>
            </w:r>
          </w:p>
        </w:tc>
        <w:tc>
          <w:tcPr>
            <w:tcW w:w="430" w:type="pct"/>
            <w:noWrap/>
            <w:vAlign w:val="center"/>
          </w:tcPr>
          <w:p w:rsidR="00CE5CB1" w:rsidRPr="00E90ABD" w:rsidRDefault="00CE5CB1" w:rsidP="00E90ABD">
            <w:pPr>
              <w:snapToGrid w:val="0"/>
              <w:rPr>
                <w:bCs/>
                <w:sz w:val="16"/>
                <w:szCs w:val="16"/>
              </w:rPr>
            </w:pPr>
            <w:r w:rsidRPr="00E90ABD">
              <w:rPr>
                <w:bCs/>
                <w:sz w:val="16"/>
                <w:szCs w:val="16"/>
              </w:rPr>
              <w:t xml:space="preserve"> 0</w:t>
            </w:r>
          </w:p>
        </w:tc>
        <w:tc>
          <w:tcPr>
            <w:tcW w:w="518" w:type="pct"/>
            <w:noWrap/>
            <w:vAlign w:val="center"/>
          </w:tcPr>
          <w:p w:rsidR="00CE5CB1" w:rsidRPr="00E90ABD" w:rsidRDefault="00CE5CB1" w:rsidP="00E90ABD">
            <w:pPr>
              <w:snapToGrid w:val="0"/>
              <w:rPr>
                <w:bCs/>
                <w:sz w:val="16"/>
                <w:szCs w:val="16"/>
              </w:rPr>
            </w:pPr>
            <w:r w:rsidRPr="00E90ABD">
              <w:rPr>
                <w:bCs/>
                <w:sz w:val="16"/>
                <w:szCs w:val="16"/>
              </w:rPr>
              <w:t>0.00%</w:t>
            </w:r>
          </w:p>
        </w:tc>
        <w:tc>
          <w:tcPr>
            <w:tcW w:w="430" w:type="pct"/>
            <w:noWrap/>
            <w:vAlign w:val="center"/>
          </w:tcPr>
          <w:p w:rsidR="00CE5CB1" w:rsidRPr="00E90ABD" w:rsidRDefault="00CE5CB1" w:rsidP="00E90ABD">
            <w:pPr>
              <w:snapToGrid w:val="0"/>
              <w:rPr>
                <w:bCs/>
                <w:sz w:val="16"/>
                <w:szCs w:val="16"/>
              </w:rPr>
            </w:pPr>
            <w:r w:rsidRPr="00E90ABD">
              <w:rPr>
                <w:bCs/>
                <w:sz w:val="16"/>
                <w:szCs w:val="16"/>
              </w:rPr>
              <w:t>52</w:t>
            </w:r>
          </w:p>
        </w:tc>
        <w:tc>
          <w:tcPr>
            <w:tcW w:w="425" w:type="pct"/>
            <w:noWrap/>
            <w:vAlign w:val="center"/>
          </w:tcPr>
          <w:p w:rsidR="00CE5CB1" w:rsidRPr="00E90ABD" w:rsidRDefault="00CE5CB1" w:rsidP="00E90ABD">
            <w:pPr>
              <w:snapToGrid w:val="0"/>
              <w:rPr>
                <w:bCs/>
                <w:sz w:val="16"/>
                <w:szCs w:val="16"/>
              </w:rPr>
            </w:pPr>
            <w:r w:rsidRPr="00E90ABD">
              <w:rPr>
                <w:bCs/>
                <w:sz w:val="16"/>
                <w:szCs w:val="16"/>
              </w:rPr>
              <w:t>56.52%</w:t>
            </w:r>
          </w:p>
        </w:tc>
      </w:tr>
      <w:tr w:rsidR="00E90ABD" w:rsidRPr="00E90ABD" w:rsidTr="00E90ABD">
        <w:trPr>
          <w:jc w:val="center"/>
        </w:trPr>
        <w:tc>
          <w:tcPr>
            <w:tcW w:w="851" w:type="pct"/>
            <w:gridSpan w:val="2"/>
            <w:noWrap/>
            <w:vAlign w:val="center"/>
          </w:tcPr>
          <w:p w:rsidR="00CE5CB1" w:rsidRPr="00E90ABD" w:rsidRDefault="00CE5CB1" w:rsidP="00E90ABD">
            <w:pPr>
              <w:snapToGrid w:val="0"/>
              <w:rPr>
                <w:b/>
                <w:bCs/>
                <w:sz w:val="16"/>
                <w:szCs w:val="16"/>
              </w:rPr>
            </w:pPr>
            <w:r w:rsidRPr="00E90ABD">
              <w:rPr>
                <w:b/>
                <w:bCs/>
                <w:sz w:val="16"/>
                <w:szCs w:val="16"/>
              </w:rPr>
              <w:t>Zamzam et al</w:t>
            </w:r>
            <w:r w:rsidR="0054030B" w:rsidRPr="00E90ABD">
              <w:rPr>
                <w:b/>
                <w:bCs/>
                <w:sz w:val="16"/>
                <w:szCs w:val="16"/>
              </w:rPr>
              <w:t xml:space="preserve">. </w:t>
            </w:r>
            <w:r w:rsidRPr="00E90ABD">
              <w:rPr>
                <w:b/>
                <w:bCs/>
                <w:sz w:val="16"/>
                <w:szCs w:val="16"/>
              </w:rPr>
              <w:t>(108 cases)</w:t>
            </w:r>
          </w:p>
        </w:tc>
        <w:tc>
          <w:tcPr>
            <w:tcW w:w="451" w:type="pct"/>
            <w:noWrap/>
            <w:vAlign w:val="center"/>
          </w:tcPr>
          <w:p w:rsidR="00CE5CB1" w:rsidRPr="00E90ABD" w:rsidRDefault="00CE5CB1" w:rsidP="00E90ABD">
            <w:pPr>
              <w:snapToGrid w:val="0"/>
              <w:rPr>
                <w:b/>
                <w:bCs/>
                <w:sz w:val="16"/>
                <w:szCs w:val="16"/>
              </w:rPr>
            </w:pPr>
            <w:r w:rsidRPr="00E90ABD">
              <w:rPr>
                <w:b/>
                <w:bCs/>
                <w:sz w:val="16"/>
                <w:szCs w:val="16"/>
              </w:rPr>
              <w:t>108</w:t>
            </w:r>
          </w:p>
        </w:tc>
        <w:tc>
          <w:tcPr>
            <w:tcW w:w="374" w:type="pct"/>
            <w:noWrap/>
            <w:vAlign w:val="center"/>
          </w:tcPr>
          <w:p w:rsidR="00CE5CB1" w:rsidRPr="00E90ABD" w:rsidRDefault="00CE5CB1" w:rsidP="00E90ABD">
            <w:pPr>
              <w:snapToGrid w:val="0"/>
              <w:rPr>
                <w:bCs/>
                <w:sz w:val="16"/>
                <w:szCs w:val="16"/>
              </w:rPr>
            </w:pPr>
            <w:r w:rsidRPr="00E90ABD">
              <w:rPr>
                <w:bCs/>
                <w:sz w:val="16"/>
                <w:szCs w:val="16"/>
              </w:rPr>
              <w:t>9</w:t>
            </w:r>
          </w:p>
        </w:tc>
        <w:tc>
          <w:tcPr>
            <w:tcW w:w="449" w:type="pct"/>
            <w:noWrap/>
            <w:vAlign w:val="center"/>
          </w:tcPr>
          <w:p w:rsidR="00CE5CB1" w:rsidRPr="00E90ABD" w:rsidRDefault="00CE5CB1" w:rsidP="00E90ABD">
            <w:pPr>
              <w:snapToGrid w:val="0"/>
              <w:rPr>
                <w:bCs/>
                <w:sz w:val="16"/>
                <w:szCs w:val="16"/>
              </w:rPr>
            </w:pPr>
            <w:r w:rsidRPr="00E90ABD">
              <w:rPr>
                <w:bCs/>
                <w:sz w:val="16"/>
                <w:szCs w:val="16"/>
              </w:rPr>
              <w:t>8.33%</w:t>
            </w:r>
          </w:p>
        </w:tc>
        <w:tc>
          <w:tcPr>
            <w:tcW w:w="449" w:type="pct"/>
            <w:noWrap/>
            <w:vAlign w:val="center"/>
          </w:tcPr>
          <w:p w:rsidR="00CE5CB1" w:rsidRPr="00E90ABD" w:rsidRDefault="00CE5CB1" w:rsidP="00E90ABD">
            <w:pPr>
              <w:snapToGrid w:val="0"/>
              <w:rPr>
                <w:bCs/>
                <w:sz w:val="16"/>
                <w:szCs w:val="16"/>
              </w:rPr>
            </w:pPr>
            <w:r w:rsidRPr="00E90ABD">
              <w:rPr>
                <w:bCs/>
                <w:sz w:val="16"/>
                <w:szCs w:val="16"/>
              </w:rPr>
              <w:t>2</w:t>
            </w:r>
          </w:p>
        </w:tc>
        <w:tc>
          <w:tcPr>
            <w:tcW w:w="623" w:type="pct"/>
            <w:noWrap/>
            <w:vAlign w:val="center"/>
          </w:tcPr>
          <w:p w:rsidR="00CE5CB1" w:rsidRPr="00E90ABD" w:rsidRDefault="00CE5CB1" w:rsidP="00E90ABD">
            <w:pPr>
              <w:snapToGrid w:val="0"/>
              <w:rPr>
                <w:bCs/>
                <w:sz w:val="16"/>
                <w:szCs w:val="16"/>
              </w:rPr>
            </w:pPr>
            <w:r w:rsidRPr="00E90ABD">
              <w:rPr>
                <w:bCs/>
                <w:sz w:val="16"/>
                <w:szCs w:val="16"/>
              </w:rPr>
              <w:t>1.85%</w:t>
            </w:r>
          </w:p>
        </w:tc>
        <w:tc>
          <w:tcPr>
            <w:tcW w:w="430" w:type="pct"/>
            <w:noWrap/>
            <w:vAlign w:val="center"/>
          </w:tcPr>
          <w:p w:rsidR="00CE5CB1" w:rsidRPr="00E90ABD" w:rsidRDefault="00CE5CB1" w:rsidP="00E90ABD">
            <w:pPr>
              <w:snapToGrid w:val="0"/>
              <w:rPr>
                <w:bCs/>
                <w:sz w:val="16"/>
                <w:szCs w:val="16"/>
              </w:rPr>
            </w:pPr>
            <w:r w:rsidRPr="00E90ABD">
              <w:rPr>
                <w:bCs/>
                <w:sz w:val="16"/>
                <w:szCs w:val="16"/>
              </w:rPr>
              <w:t>2</w:t>
            </w:r>
          </w:p>
        </w:tc>
        <w:tc>
          <w:tcPr>
            <w:tcW w:w="518" w:type="pct"/>
            <w:noWrap/>
            <w:vAlign w:val="center"/>
          </w:tcPr>
          <w:p w:rsidR="00CE5CB1" w:rsidRPr="00E90ABD" w:rsidRDefault="00CE5CB1" w:rsidP="00E90ABD">
            <w:pPr>
              <w:snapToGrid w:val="0"/>
              <w:rPr>
                <w:bCs/>
                <w:sz w:val="16"/>
                <w:szCs w:val="16"/>
              </w:rPr>
            </w:pPr>
            <w:r w:rsidRPr="00E90ABD">
              <w:rPr>
                <w:bCs/>
                <w:sz w:val="16"/>
                <w:szCs w:val="16"/>
              </w:rPr>
              <w:t>1.85%</w:t>
            </w:r>
          </w:p>
        </w:tc>
        <w:tc>
          <w:tcPr>
            <w:tcW w:w="430" w:type="pct"/>
            <w:noWrap/>
            <w:vAlign w:val="center"/>
          </w:tcPr>
          <w:p w:rsidR="00CE5CB1" w:rsidRPr="00E90ABD" w:rsidRDefault="00CE5CB1" w:rsidP="00E90ABD">
            <w:pPr>
              <w:snapToGrid w:val="0"/>
              <w:rPr>
                <w:bCs/>
                <w:sz w:val="16"/>
                <w:szCs w:val="16"/>
              </w:rPr>
            </w:pPr>
            <w:r w:rsidRPr="00E90ABD">
              <w:rPr>
                <w:bCs/>
                <w:sz w:val="16"/>
                <w:szCs w:val="16"/>
              </w:rPr>
              <w:t>1</w:t>
            </w:r>
          </w:p>
        </w:tc>
        <w:tc>
          <w:tcPr>
            <w:tcW w:w="425" w:type="pct"/>
            <w:noWrap/>
            <w:vAlign w:val="center"/>
          </w:tcPr>
          <w:p w:rsidR="00CE5CB1" w:rsidRPr="00E90ABD" w:rsidRDefault="00CE5CB1" w:rsidP="00E90ABD">
            <w:pPr>
              <w:snapToGrid w:val="0"/>
              <w:rPr>
                <w:bCs/>
                <w:sz w:val="16"/>
                <w:szCs w:val="16"/>
              </w:rPr>
            </w:pPr>
            <w:r w:rsidRPr="00E90ABD">
              <w:rPr>
                <w:bCs/>
                <w:sz w:val="16"/>
                <w:szCs w:val="16"/>
              </w:rPr>
              <w:t>0.93%</w:t>
            </w:r>
          </w:p>
        </w:tc>
      </w:tr>
      <w:tr w:rsidR="00E90ABD" w:rsidRPr="00E90ABD" w:rsidTr="00E90ABD">
        <w:trPr>
          <w:jc w:val="center"/>
        </w:trPr>
        <w:tc>
          <w:tcPr>
            <w:tcW w:w="851" w:type="pct"/>
            <w:gridSpan w:val="2"/>
            <w:noWrap/>
            <w:vAlign w:val="center"/>
          </w:tcPr>
          <w:p w:rsidR="00CE5CB1" w:rsidRPr="00E90ABD" w:rsidRDefault="00CE5CB1" w:rsidP="00E90ABD">
            <w:pPr>
              <w:snapToGrid w:val="0"/>
              <w:rPr>
                <w:b/>
                <w:bCs/>
                <w:sz w:val="16"/>
                <w:szCs w:val="16"/>
              </w:rPr>
            </w:pPr>
            <w:r w:rsidRPr="00E90ABD">
              <w:rPr>
                <w:b/>
                <w:bCs/>
                <w:sz w:val="16"/>
                <w:szCs w:val="16"/>
              </w:rPr>
              <w:t>Our Study</w:t>
            </w:r>
            <w:r w:rsidR="0054030B" w:rsidRPr="00E90ABD">
              <w:rPr>
                <w:b/>
                <w:bCs/>
                <w:sz w:val="16"/>
                <w:szCs w:val="16"/>
              </w:rPr>
              <w:t xml:space="preserve"> </w:t>
            </w:r>
            <w:r w:rsidRPr="00E90ABD">
              <w:rPr>
                <w:b/>
                <w:bCs/>
                <w:sz w:val="16"/>
                <w:szCs w:val="16"/>
              </w:rPr>
              <w:t>(20 cases)</w:t>
            </w:r>
          </w:p>
        </w:tc>
        <w:tc>
          <w:tcPr>
            <w:tcW w:w="451" w:type="pct"/>
            <w:noWrap/>
            <w:vAlign w:val="center"/>
          </w:tcPr>
          <w:p w:rsidR="00CE5CB1" w:rsidRPr="00E90ABD" w:rsidRDefault="00CE5CB1" w:rsidP="00E90ABD">
            <w:pPr>
              <w:snapToGrid w:val="0"/>
              <w:rPr>
                <w:b/>
                <w:bCs/>
                <w:sz w:val="16"/>
                <w:szCs w:val="16"/>
              </w:rPr>
            </w:pPr>
            <w:r w:rsidRPr="00E90ABD">
              <w:rPr>
                <w:b/>
                <w:bCs/>
                <w:sz w:val="16"/>
                <w:szCs w:val="16"/>
              </w:rPr>
              <w:t>20</w:t>
            </w:r>
          </w:p>
        </w:tc>
        <w:tc>
          <w:tcPr>
            <w:tcW w:w="374" w:type="pct"/>
            <w:noWrap/>
            <w:vAlign w:val="center"/>
          </w:tcPr>
          <w:p w:rsidR="00CE5CB1" w:rsidRPr="00E90ABD" w:rsidRDefault="00CE5CB1" w:rsidP="00E90ABD">
            <w:pPr>
              <w:snapToGrid w:val="0"/>
              <w:rPr>
                <w:bCs/>
                <w:sz w:val="16"/>
                <w:szCs w:val="16"/>
              </w:rPr>
            </w:pPr>
            <w:r w:rsidRPr="00E90ABD">
              <w:rPr>
                <w:bCs/>
                <w:sz w:val="16"/>
                <w:szCs w:val="16"/>
              </w:rPr>
              <w:t>0</w:t>
            </w:r>
          </w:p>
        </w:tc>
        <w:tc>
          <w:tcPr>
            <w:tcW w:w="449" w:type="pct"/>
            <w:noWrap/>
            <w:vAlign w:val="center"/>
          </w:tcPr>
          <w:p w:rsidR="00CE5CB1" w:rsidRPr="00E90ABD" w:rsidRDefault="00CE5CB1" w:rsidP="00E90ABD">
            <w:pPr>
              <w:snapToGrid w:val="0"/>
              <w:rPr>
                <w:bCs/>
                <w:sz w:val="16"/>
                <w:szCs w:val="16"/>
              </w:rPr>
            </w:pPr>
            <w:r w:rsidRPr="00E90ABD">
              <w:rPr>
                <w:bCs/>
                <w:sz w:val="16"/>
                <w:szCs w:val="16"/>
              </w:rPr>
              <w:t>0.00%</w:t>
            </w:r>
          </w:p>
        </w:tc>
        <w:tc>
          <w:tcPr>
            <w:tcW w:w="449" w:type="pct"/>
            <w:noWrap/>
            <w:vAlign w:val="center"/>
          </w:tcPr>
          <w:p w:rsidR="00CE5CB1" w:rsidRPr="00E90ABD" w:rsidRDefault="00CE5CB1" w:rsidP="00E90ABD">
            <w:pPr>
              <w:snapToGrid w:val="0"/>
              <w:rPr>
                <w:bCs/>
                <w:sz w:val="16"/>
                <w:szCs w:val="16"/>
              </w:rPr>
            </w:pPr>
            <w:r w:rsidRPr="00E90ABD">
              <w:rPr>
                <w:bCs/>
                <w:sz w:val="16"/>
                <w:szCs w:val="16"/>
              </w:rPr>
              <w:t>0</w:t>
            </w:r>
          </w:p>
        </w:tc>
        <w:tc>
          <w:tcPr>
            <w:tcW w:w="623" w:type="pct"/>
            <w:noWrap/>
            <w:vAlign w:val="center"/>
          </w:tcPr>
          <w:p w:rsidR="00CE5CB1" w:rsidRPr="00E90ABD" w:rsidRDefault="00CE5CB1" w:rsidP="00E90ABD">
            <w:pPr>
              <w:snapToGrid w:val="0"/>
              <w:rPr>
                <w:bCs/>
                <w:sz w:val="16"/>
                <w:szCs w:val="16"/>
              </w:rPr>
            </w:pPr>
            <w:r w:rsidRPr="00E90ABD">
              <w:rPr>
                <w:bCs/>
                <w:sz w:val="16"/>
                <w:szCs w:val="16"/>
              </w:rPr>
              <w:t>0.00%</w:t>
            </w:r>
          </w:p>
        </w:tc>
        <w:tc>
          <w:tcPr>
            <w:tcW w:w="430" w:type="pct"/>
            <w:noWrap/>
            <w:vAlign w:val="center"/>
          </w:tcPr>
          <w:p w:rsidR="00CE5CB1" w:rsidRPr="00E90ABD" w:rsidRDefault="00CE5CB1" w:rsidP="00E90ABD">
            <w:pPr>
              <w:snapToGrid w:val="0"/>
              <w:rPr>
                <w:bCs/>
                <w:sz w:val="16"/>
                <w:szCs w:val="16"/>
              </w:rPr>
            </w:pPr>
            <w:r w:rsidRPr="00E90ABD">
              <w:rPr>
                <w:bCs/>
                <w:sz w:val="16"/>
                <w:szCs w:val="16"/>
              </w:rPr>
              <w:t>5</w:t>
            </w:r>
          </w:p>
        </w:tc>
        <w:tc>
          <w:tcPr>
            <w:tcW w:w="518" w:type="pct"/>
            <w:noWrap/>
            <w:vAlign w:val="center"/>
          </w:tcPr>
          <w:p w:rsidR="00CE5CB1" w:rsidRPr="00E90ABD" w:rsidRDefault="00CE5CB1" w:rsidP="00E90ABD">
            <w:pPr>
              <w:snapToGrid w:val="0"/>
              <w:rPr>
                <w:bCs/>
                <w:sz w:val="16"/>
                <w:szCs w:val="16"/>
              </w:rPr>
            </w:pPr>
            <w:r w:rsidRPr="00E90ABD">
              <w:rPr>
                <w:bCs/>
                <w:sz w:val="16"/>
                <w:szCs w:val="16"/>
              </w:rPr>
              <w:t>25%</w:t>
            </w:r>
          </w:p>
        </w:tc>
        <w:tc>
          <w:tcPr>
            <w:tcW w:w="430" w:type="pct"/>
            <w:noWrap/>
            <w:vAlign w:val="center"/>
          </w:tcPr>
          <w:p w:rsidR="00CE5CB1" w:rsidRPr="00E90ABD" w:rsidRDefault="00CE5CB1" w:rsidP="00E90ABD">
            <w:pPr>
              <w:snapToGrid w:val="0"/>
              <w:rPr>
                <w:bCs/>
                <w:sz w:val="16"/>
                <w:szCs w:val="16"/>
              </w:rPr>
            </w:pPr>
            <w:r w:rsidRPr="00E90ABD">
              <w:rPr>
                <w:bCs/>
                <w:sz w:val="16"/>
                <w:szCs w:val="16"/>
              </w:rPr>
              <w:t>2</w:t>
            </w:r>
          </w:p>
        </w:tc>
        <w:tc>
          <w:tcPr>
            <w:tcW w:w="425" w:type="pct"/>
            <w:noWrap/>
            <w:vAlign w:val="center"/>
          </w:tcPr>
          <w:p w:rsidR="00CE5CB1" w:rsidRPr="00E90ABD" w:rsidRDefault="00CE5CB1" w:rsidP="00E90ABD">
            <w:pPr>
              <w:snapToGrid w:val="0"/>
              <w:rPr>
                <w:bCs/>
                <w:sz w:val="16"/>
                <w:szCs w:val="16"/>
              </w:rPr>
            </w:pPr>
            <w:r w:rsidRPr="00E90ABD">
              <w:rPr>
                <w:bCs/>
                <w:sz w:val="16"/>
                <w:szCs w:val="16"/>
              </w:rPr>
              <w:t>10%</w:t>
            </w:r>
          </w:p>
        </w:tc>
      </w:tr>
      <w:tr w:rsidR="00CE5CB1" w:rsidRPr="00E90ABD" w:rsidTr="00E90ABD">
        <w:trPr>
          <w:jc w:val="center"/>
        </w:trPr>
        <w:tc>
          <w:tcPr>
            <w:tcW w:w="578" w:type="pct"/>
            <w:vMerge w:val="restart"/>
            <w:noWrap/>
            <w:vAlign w:val="center"/>
          </w:tcPr>
          <w:p w:rsidR="00CE5CB1" w:rsidRPr="00E90ABD" w:rsidRDefault="00CE5CB1" w:rsidP="00E90ABD">
            <w:pPr>
              <w:snapToGrid w:val="0"/>
              <w:rPr>
                <w:b/>
                <w:bCs/>
                <w:sz w:val="16"/>
                <w:szCs w:val="16"/>
              </w:rPr>
            </w:pPr>
            <w:r w:rsidRPr="00E90ABD">
              <w:rPr>
                <w:b/>
                <w:bCs/>
                <w:sz w:val="16"/>
                <w:szCs w:val="16"/>
              </w:rPr>
              <w:t>Chi-square</w:t>
            </w:r>
            <w:r w:rsidR="0054030B" w:rsidRPr="00E90ABD">
              <w:rPr>
                <w:b/>
                <w:bCs/>
                <w:sz w:val="16"/>
                <w:szCs w:val="16"/>
              </w:rPr>
              <w:t xml:space="preserve"> </w:t>
            </w:r>
            <w:r w:rsidRPr="00E90ABD">
              <w:rPr>
                <w:b/>
                <w:bCs/>
                <w:sz w:val="16"/>
                <w:szCs w:val="16"/>
              </w:rPr>
              <w:t>test</w:t>
            </w:r>
          </w:p>
        </w:tc>
        <w:tc>
          <w:tcPr>
            <w:tcW w:w="273" w:type="pct"/>
            <w:vAlign w:val="center"/>
          </w:tcPr>
          <w:p w:rsidR="00CE5CB1" w:rsidRPr="00E90ABD" w:rsidRDefault="00CE5CB1" w:rsidP="00E90ABD">
            <w:pPr>
              <w:snapToGrid w:val="0"/>
              <w:rPr>
                <w:b/>
                <w:bCs/>
                <w:sz w:val="16"/>
                <w:szCs w:val="16"/>
              </w:rPr>
            </w:pPr>
            <w:r w:rsidRPr="00E90ABD">
              <w:rPr>
                <w:b/>
                <w:bCs/>
                <w:sz w:val="16"/>
                <w:szCs w:val="16"/>
              </w:rPr>
              <w:t>X</w:t>
            </w:r>
            <w:r w:rsidRPr="00E90ABD">
              <w:rPr>
                <w:b/>
                <w:bCs/>
                <w:sz w:val="16"/>
                <w:szCs w:val="16"/>
                <w:vertAlign w:val="superscript"/>
              </w:rPr>
              <w:t>2</w:t>
            </w:r>
          </w:p>
        </w:tc>
        <w:tc>
          <w:tcPr>
            <w:tcW w:w="4149" w:type="pct"/>
            <w:gridSpan w:val="9"/>
            <w:noWrap/>
            <w:vAlign w:val="center"/>
          </w:tcPr>
          <w:p w:rsidR="00CE5CB1" w:rsidRPr="00E90ABD" w:rsidRDefault="00CE5CB1" w:rsidP="00E90ABD">
            <w:pPr>
              <w:snapToGrid w:val="0"/>
              <w:rPr>
                <w:bCs/>
                <w:sz w:val="16"/>
                <w:szCs w:val="16"/>
              </w:rPr>
            </w:pPr>
            <w:r w:rsidRPr="00E90ABD">
              <w:rPr>
                <w:bCs/>
                <w:sz w:val="16"/>
                <w:szCs w:val="16"/>
              </w:rPr>
              <w:t>73.667</w:t>
            </w:r>
          </w:p>
        </w:tc>
      </w:tr>
      <w:tr w:rsidR="00CE5CB1" w:rsidRPr="00E90ABD" w:rsidTr="00E90ABD">
        <w:trPr>
          <w:jc w:val="center"/>
        </w:trPr>
        <w:tc>
          <w:tcPr>
            <w:tcW w:w="578" w:type="pct"/>
            <w:vMerge/>
            <w:noWrap/>
            <w:vAlign w:val="center"/>
          </w:tcPr>
          <w:p w:rsidR="00CE5CB1" w:rsidRPr="00E90ABD" w:rsidRDefault="00CE5CB1" w:rsidP="00E90ABD">
            <w:pPr>
              <w:snapToGrid w:val="0"/>
              <w:rPr>
                <w:b/>
                <w:bCs/>
                <w:sz w:val="16"/>
                <w:szCs w:val="16"/>
              </w:rPr>
            </w:pPr>
          </w:p>
        </w:tc>
        <w:tc>
          <w:tcPr>
            <w:tcW w:w="273" w:type="pct"/>
            <w:vAlign w:val="center"/>
          </w:tcPr>
          <w:p w:rsidR="00CE5CB1" w:rsidRPr="00E90ABD" w:rsidRDefault="00CE5CB1" w:rsidP="00E90ABD">
            <w:pPr>
              <w:snapToGrid w:val="0"/>
              <w:rPr>
                <w:b/>
                <w:bCs/>
                <w:sz w:val="16"/>
                <w:szCs w:val="16"/>
              </w:rPr>
            </w:pPr>
            <w:r w:rsidRPr="00E90ABD">
              <w:rPr>
                <w:b/>
                <w:bCs/>
                <w:sz w:val="16"/>
                <w:szCs w:val="16"/>
              </w:rPr>
              <w:t>P-value</w:t>
            </w:r>
          </w:p>
        </w:tc>
        <w:tc>
          <w:tcPr>
            <w:tcW w:w="4149" w:type="pct"/>
            <w:gridSpan w:val="9"/>
            <w:noWrap/>
            <w:vAlign w:val="center"/>
          </w:tcPr>
          <w:p w:rsidR="00CE5CB1" w:rsidRPr="00E90ABD" w:rsidRDefault="00CE5CB1" w:rsidP="00E90ABD">
            <w:pPr>
              <w:snapToGrid w:val="0"/>
              <w:rPr>
                <w:bCs/>
                <w:sz w:val="16"/>
                <w:szCs w:val="16"/>
              </w:rPr>
            </w:pPr>
            <w:r w:rsidRPr="00E90ABD">
              <w:rPr>
                <w:bCs/>
                <w:sz w:val="16"/>
                <w:szCs w:val="16"/>
              </w:rPr>
              <w:t>&lt; 0.001 (HS)</w:t>
            </w:r>
          </w:p>
        </w:tc>
      </w:tr>
    </w:tbl>
    <w:p w:rsidR="0001245B" w:rsidRDefault="0001245B" w:rsidP="00F06E05">
      <w:pPr>
        <w:snapToGrid w:val="0"/>
        <w:jc w:val="both"/>
        <w:rPr>
          <w:rFonts w:hint="eastAsia"/>
          <w:b/>
          <w:bCs/>
          <w:sz w:val="20"/>
          <w:szCs w:val="20"/>
          <w:lang w:eastAsia="zh-CN"/>
        </w:rPr>
      </w:pPr>
    </w:p>
    <w:p w:rsidR="00E90ABD" w:rsidRDefault="00E90ABD" w:rsidP="00F06E05">
      <w:pPr>
        <w:snapToGrid w:val="0"/>
        <w:jc w:val="both"/>
        <w:rPr>
          <w:rFonts w:hint="eastAsia"/>
          <w:b/>
          <w:bCs/>
          <w:sz w:val="20"/>
          <w:szCs w:val="20"/>
          <w:lang w:eastAsia="zh-CN"/>
        </w:rPr>
      </w:pPr>
    </w:p>
    <w:p w:rsidR="00E90ABD" w:rsidRDefault="00E90ABD" w:rsidP="00F06E05">
      <w:pPr>
        <w:snapToGrid w:val="0"/>
        <w:jc w:val="both"/>
        <w:rPr>
          <w:rFonts w:hint="eastAsia"/>
          <w:b/>
          <w:bCs/>
          <w:sz w:val="20"/>
          <w:szCs w:val="20"/>
          <w:lang w:eastAsia="zh-CN"/>
        </w:rPr>
      </w:pPr>
    </w:p>
    <w:p w:rsidR="00E90ABD" w:rsidRPr="00E90ABD" w:rsidRDefault="00E90ABD" w:rsidP="00F06E05">
      <w:pPr>
        <w:snapToGrid w:val="0"/>
        <w:jc w:val="both"/>
        <w:rPr>
          <w:rFonts w:hint="eastAsia"/>
          <w:b/>
          <w:bCs/>
          <w:sz w:val="20"/>
          <w:szCs w:val="20"/>
          <w:lang w:eastAsia="zh-CN"/>
        </w:rPr>
      </w:pPr>
    </w:p>
    <w:p w:rsidR="00F06E05" w:rsidRPr="00E90ABD" w:rsidRDefault="00F06E05" w:rsidP="00F06E05">
      <w:pPr>
        <w:snapToGrid w:val="0"/>
        <w:jc w:val="both"/>
        <w:rPr>
          <w:b/>
          <w:bCs/>
          <w:sz w:val="20"/>
          <w:szCs w:val="20"/>
        </w:rPr>
        <w:sectPr w:rsidR="00F06E05" w:rsidRPr="00E90ABD" w:rsidSect="0065081C">
          <w:type w:val="continuous"/>
          <w:pgSz w:w="12240" w:h="15840" w:code="9"/>
          <w:pgMar w:top="1440" w:right="1440" w:bottom="1440" w:left="1440" w:header="720" w:footer="720" w:gutter="0"/>
          <w:cols w:space="720"/>
          <w:docGrid w:linePitch="360"/>
        </w:sectPr>
      </w:pPr>
    </w:p>
    <w:p w:rsidR="005B1245" w:rsidRPr="00E90ABD" w:rsidRDefault="0001245B" w:rsidP="00F06E05">
      <w:pPr>
        <w:snapToGrid w:val="0"/>
        <w:jc w:val="both"/>
        <w:rPr>
          <w:b/>
          <w:bCs/>
          <w:sz w:val="20"/>
          <w:szCs w:val="20"/>
        </w:rPr>
      </w:pPr>
      <w:r w:rsidRPr="00E90ABD">
        <w:rPr>
          <w:b/>
          <w:bCs/>
          <w:sz w:val="20"/>
          <w:szCs w:val="20"/>
        </w:rPr>
        <w:lastRenderedPageBreak/>
        <w:t>Conclusion</w:t>
      </w:r>
    </w:p>
    <w:p w:rsidR="0047206C" w:rsidRPr="00E90ABD" w:rsidRDefault="0047206C" w:rsidP="00F06E05">
      <w:pPr>
        <w:tabs>
          <w:tab w:val="right" w:pos="426"/>
        </w:tabs>
        <w:snapToGrid w:val="0"/>
        <w:ind w:firstLine="425"/>
        <w:jc w:val="both"/>
        <w:rPr>
          <w:bCs/>
          <w:color w:val="000000"/>
          <w:sz w:val="20"/>
          <w:szCs w:val="20"/>
          <w:lang w:bidi="ar-EG"/>
        </w:rPr>
      </w:pPr>
      <w:r w:rsidRPr="00E90ABD">
        <w:rPr>
          <w:bCs/>
          <w:color w:val="000000"/>
          <w:sz w:val="20"/>
          <w:szCs w:val="20"/>
          <w:lang w:bidi="ar-EG"/>
        </w:rPr>
        <w:t>Closed reduction and percutaneous lateral pinning by three k-wires in the management of supracondylar fractures of the humerus in children is safe as regards avoidance of neurovascular complications, effective in obtaining good results, and relatively economic regarding hospitalization.</w:t>
      </w:r>
    </w:p>
    <w:p w:rsidR="0047206C" w:rsidRPr="00E90ABD" w:rsidRDefault="0047206C" w:rsidP="00F06E05">
      <w:pPr>
        <w:tabs>
          <w:tab w:val="right" w:pos="426"/>
        </w:tabs>
        <w:snapToGrid w:val="0"/>
        <w:ind w:firstLine="425"/>
        <w:jc w:val="both"/>
        <w:rPr>
          <w:bCs/>
          <w:color w:val="000000"/>
          <w:sz w:val="20"/>
          <w:szCs w:val="20"/>
          <w:lang w:bidi="ar-EG"/>
        </w:rPr>
      </w:pPr>
      <w:r w:rsidRPr="00E90ABD">
        <w:rPr>
          <w:bCs/>
          <w:color w:val="000000"/>
          <w:sz w:val="20"/>
          <w:szCs w:val="20"/>
          <w:lang w:bidi="ar-EG"/>
        </w:rPr>
        <w:t>The disadvantage is the need for technical proficiency and the availability of C-arm fluoroscopy. Closed method of treatment is generally preferred to the open method, unless the fracture is complicated by vascular or nerve injury that requires exploration.</w:t>
      </w:r>
    </w:p>
    <w:p w:rsidR="0047206C" w:rsidRPr="00E90ABD" w:rsidRDefault="0047206C" w:rsidP="00F06E05">
      <w:pPr>
        <w:tabs>
          <w:tab w:val="right" w:pos="426"/>
        </w:tabs>
        <w:snapToGrid w:val="0"/>
        <w:ind w:firstLine="425"/>
        <w:jc w:val="both"/>
        <w:rPr>
          <w:bCs/>
          <w:color w:val="000000"/>
          <w:sz w:val="20"/>
          <w:szCs w:val="20"/>
          <w:lang w:bidi="ar-EG"/>
        </w:rPr>
      </w:pPr>
      <w:r w:rsidRPr="00E90ABD">
        <w:rPr>
          <w:bCs/>
          <w:color w:val="000000"/>
          <w:sz w:val="20"/>
          <w:szCs w:val="20"/>
          <w:lang w:bidi="ar-EG"/>
        </w:rPr>
        <w:t>Current interest is mainly focused on the configuration of pin for fixation that provides adequate stability with the lowest risk of iatrogenic nerve injury.</w:t>
      </w:r>
    </w:p>
    <w:p w:rsidR="0047206C" w:rsidRPr="00E90ABD" w:rsidRDefault="0047206C" w:rsidP="00F06E05">
      <w:pPr>
        <w:tabs>
          <w:tab w:val="right" w:pos="426"/>
        </w:tabs>
        <w:snapToGrid w:val="0"/>
        <w:ind w:firstLine="425"/>
        <w:jc w:val="both"/>
        <w:rPr>
          <w:bCs/>
          <w:color w:val="000000"/>
          <w:sz w:val="20"/>
          <w:szCs w:val="20"/>
          <w:lang w:eastAsia="zh-CN" w:bidi="ar-EG"/>
        </w:rPr>
      </w:pPr>
      <w:r w:rsidRPr="00E90ABD">
        <w:rPr>
          <w:bCs/>
          <w:color w:val="000000"/>
          <w:sz w:val="20"/>
          <w:szCs w:val="20"/>
          <w:lang w:bidi="ar-EG"/>
        </w:rPr>
        <w:t>In our prospective randomized controlled study, lateral fixation of supracondylar fracture of humerus type three by three k-wires is effective in obtaining stability with good alignment and range of motion at all cases in our study.</w:t>
      </w:r>
      <w:r w:rsidR="00F06E05" w:rsidRPr="00E90ABD">
        <w:rPr>
          <w:rFonts w:hint="eastAsia"/>
          <w:bCs/>
          <w:color w:val="000000"/>
          <w:sz w:val="20"/>
          <w:szCs w:val="20"/>
          <w:lang w:eastAsia="zh-CN" w:bidi="ar-EG"/>
        </w:rPr>
        <w:t xml:space="preserve"> </w:t>
      </w:r>
    </w:p>
    <w:p w:rsidR="002F603A" w:rsidRPr="00E90ABD" w:rsidRDefault="0047206C" w:rsidP="00F06E05">
      <w:pPr>
        <w:tabs>
          <w:tab w:val="right" w:pos="426"/>
        </w:tabs>
        <w:snapToGrid w:val="0"/>
        <w:ind w:firstLine="425"/>
        <w:jc w:val="both"/>
        <w:rPr>
          <w:bCs/>
          <w:color w:val="000000"/>
          <w:sz w:val="20"/>
          <w:szCs w:val="20"/>
          <w:lang w:bidi="ar-EG"/>
        </w:rPr>
      </w:pPr>
      <w:r w:rsidRPr="00E90ABD">
        <w:rPr>
          <w:bCs/>
          <w:color w:val="000000"/>
          <w:sz w:val="20"/>
          <w:szCs w:val="20"/>
          <w:lang w:bidi="ar-EG"/>
        </w:rPr>
        <w:t>So, According to our results, lateral fixation of supracondylar fracture of humerus type three by three k-wires can avoid ulnar nerve injury and obtain the fracture stability.</w:t>
      </w:r>
    </w:p>
    <w:p w:rsidR="00A74559" w:rsidRPr="00E90ABD" w:rsidRDefault="00A74559" w:rsidP="00F06E05">
      <w:pPr>
        <w:snapToGrid w:val="0"/>
        <w:jc w:val="both"/>
        <w:rPr>
          <w:b/>
          <w:bCs/>
          <w:sz w:val="20"/>
          <w:szCs w:val="20"/>
        </w:rPr>
      </w:pPr>
    </w:p>
    <w:p w:rsidR="005B1245" w:rsidRPr="00E90ABD" w:rsidRDefault="0001245B" w:rsidP="00F06E05">
      <w:pPr>
        <w:snapToGrid w:val="0"/>
        <w:jc w:val="both"/>
        <w:rPr>
          <w:b/>
          <w:bCs/>
          <w:sz w:val="20"/>
          <w:szCs w:val="20"/>
        </w:rPr>
      </w:pPr>
      <w:r w:rsidRPr="00E90ABD">
        <w:rPr>
          <w:b/>
          <w:bCs/>
          <w:sz w:val="20"/>
          <w:szCs w:val="20"/>
        </w:rPr>
        <w:t xml:space="preserve">References </w:t>
      </w:r>
    </w:p>
    <w:p w:rsidR="00096944" w:rsidRPr="00E90ABD" w:rsidRDefault="00096944" w:rsidP="00F06E05">
      <w:pPr>
        <w:numPr>
          <w:ilvl w:val="0"/>
          <w:numId w:val="25"/>
        </w:numPr>
        <w:tabs>
          <w:tab w:val="clear" w:pos="1440"/>
        </w:tabs>
        <w:snapToGrid w:val="0"/>
        <w:ind w:left="425" w:hanging="425"/>
        <w:jc w:val="both"/>
        <w:rPr>
          <w:bCs/>
          <w:sz w:val="20"/>
          <w:szCs w:val="20"/>
        </w:rPr>
      </w:pPr>
      <w:bookmarkStart w:id="11" w:name="_Ref471749508"/>
      <w:r w:rsidRPr="00E90ABD">
        <w:rPr>
          <w:sz w:val="20"/>
          <w:szCs w:val="20"/>
        </w:rPr>
        <w:t>Carmichael</w:t>
      </w:r>
      <w:r w:rsidR="0065081C" w:rsidRPr="00E90ABD">
        <w:rPr>
          <w:sz w:val="20"/>
          <w:szCs w:val="20"/>
        </w:rPr>
        <w:t xml:space="preserve"> </w:t>
      </w:r>
      <w:r w:rsidRPr="00E90ABD">
        <w:rPr>
          <w:sz w:val="20"/>
          <w:szCs w:val="20"/>
        </w:rPr>
        <w:t>KD,</w:t>
      </w:r>
      <w:r w:rsidR="0065081C" w:rsidRPr="00E90ABD">
        <w:rPr>
          <w:sz w:val="20"/>
          <w:szCs w:val="20"/>
        </w:rPr>
        <w:t xml:space="preserve"> </w:t>
      </w:r>
      <w:r w:rsidRPr="00E90ABD">
        <w:rPr>
          <w:sz w:val="20"/>
          <w:szCs w:val="20"/>
        </w:rPr>
        <w:t>Joyner</w:t>
      </w:r>
      <w:r w:rsidR="0065081C" w:rsidRPr="00E90ABD">
        <w:rPr>
          <w:sz w:val="20"/>
          <w:szCs w:val="20"/>
        </w:rPr>
        <w:t xml:space="preserve"> </w:t>
      </w:r>
      <w:r w:rsidRPr="00E90ABD">
        <w:rPr>
          <w:sz w:val="20"/>
          <w:szCs w:val="20"/>
        </w:rPr>
        <w:t>K.</w:t>
      </w:r>
      <w:r w:rsidR="0065081C" w:rsidRPr="00E90ABD">
        <w:rPr>
          <w:sz w:val="20"/>
          <w:szCs w:val="20"/>
        </w:rPr>
        <w:t xml:space="preserve"> </w:t>
      </w:r>
      <w:r w:rsidRPr="00E90ABD">
        <w:rPr>
          <w:bCs/>
          <w:sz w:val="20"/>
          <w:szCs w:val="20"/>
        </w:rPr>
        <w:t>Quality</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reduction</w:t>
      </w:r>
      <w:r w:rsidR="0065081C" w:rsidRPr="00E90ABD">
        <w:rPr>
          <w:bCs/>
          <w:sz w:val="20"/>
          <w:szCs w:val="20"/>
        </w:rPr>
        <w:t xml:space="preserve"> </w:t>
      </w:r>
      <w:r w:rsidRPr="00E90ABD">
        <w:rPr>
          <w:bCs/>
          <w:sz w:val="20"/>
          <w:szCs w:val="20"/>
        </w:rPr>
        <w:t>versus</w:t>
      </w:r>
      <w:r w:rsidR="0065081C" w:rsidRPr="00E90ABD">
        <w:rPr>
          <w:bCs/>
          <w:sz w:val="20"/>
          <w:szCs w:val="20"/>
        </w:rPr>
        <w:t xml:space="preserve"> </w:t>
      </w:r>
      <w:r w:rsidRPr="00E90ABD">
        <w:rPr>
          <w:bCs/>
          <w:sz w:val="20"/>
          <w:szCs w:val="20"/>
        </w:rPr>
        <w:t>timing</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surgical</w:t>
      </w:r>
      <w:r w:rsidR="0065081C" w:rsidRPr="00E90ABD">
        <w:rPr>
          <w:bCs/>
          <w:sz w:val="20"/>
          <w:szCs w:val="20"/>
        </w:rPr>
        <w:t xml:space="preserve"> </w:t>
      </w:r>
      <w:r w:rsidRPr="00E90ABD">
        <w:rPr>
          <w:bCs/>
          <w:sz w:val="20"/>
          <w:szCs w:val="20"/>
        </w:rPr>
        <w:t>intervention</w:t>
      </w:r>
      <w:r w:rsidR="0065081C" w:rsidRPr="00E90ABD">
        <w:rPr>
          <w:bCs/>
          <w:sz w:val="20"/>
          <w:szCs w:val="20"/>
        </w:rPr>
        <w:t xml:space="preserve"> </w:t>
      </w:r>
      <w:r w:rsidRPr="00E90ABD">
        <w:rPr>
          <w:bCs/>
          <w:sz w:val="20"/>
          <w:szCs w:val="20"/>
        </w:rPr>
        <w:t>for</w:t>
      </w:r>
      <w:r w:rsidR="0065081C" w:rsidRPr="00E90ABD">
        <w:rPr>
          <w:bCs/>
          <w:sz w:val="20"/>
          <w:szCs w:val="20"/>
        </w:rPr>
        <w:t xml:space="preserve"> </w:t>
      </w:r>
      <w:r w:rsidRPr="00E90ABD">
        <w:rPr>
          <w:bCs/>
          <w:sz w:val="20"/>
          <w:szCs w:val="20"/>
        </w:rPr>
        <w:t>pediatric</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Orthopedics.</w:t>
      </w:r>
      <w:r w:rsidR="0065081C" w:rsidRPr="00E90ABD">
        <w:rPr>
          <w:bCs/>
          <w:sz w:val="20"/>
          <w:szCs w:val="20"/>
        </w:rPr>
        <w:t xml:space="preserve"> </w:t>
      </w:r>
      <w:r w:rsidRPr="00E90ABD">
        <w:rPr>
          <w:bCs/>
          <w:sz w:val="20"/>
          <w:szCs w:val="20"/>
        </w:rPr>
        <w:t>2006;</w:t>
      </w:r>
      <w:r w:rsidR="0065081C" w:rsidRPr="00E90ABD">
        <w:rPr>
          <w:bCs/>
          <w:sz w:val="20"/>
          <w:szCs w:val="20"/>
        </w:rPr>
        <w:t xml:space="preserve"> </w:t>
      </w:r>
      <w:r w:rsidRPr="00E90ABD">
        <w:rPr>
          <w:bCs/>
          <w:sz w:val="20"/>
          <w:szCs w:val="20"/>
        </w:rPr>
        <w:t>29(7):</w:t>
      </w:r>
      <w:r w:rsidR="0065081C" w:rsidRPr="00E90ABD">
        <w:rPr>
          <w:bCs/>
          <w:sz w:val="20"/>
          <w:szCs w:val="20"/>
        </w:rPr>
        <w:t xml:space="preserve"> </w:t>
      </w:r>
      <w:r w:rsidRPr="00E90ABD">
        <w:rPr>
          <w:bCs/>
          <w:sz w:val="20"/>
          <w:szCs w:val="20"/>
        </w:rPr>
        <w:t>628–632.</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Mallo</w:t>
      </w:r>
      <w:r w:rsidR="0065081C" w:rsidRPr="00E90ABD">
        <w:rPr>
          <w:sz w:val="20"/>
          <w:szCs w:val="20"/>
        </w:rPr>
        <w:t xml:space="preserve"> </w:t>
      </w:r>
      <w:r w:rsidRPr="00E90ABD">
        <w:rPr>
          <w:sz w:val="20"/>
          <w:szCs w:val="20"/>
        </w:rPr>
        <w:t>G,</w:t>
      </w:r>
      <w:r w:rsidR="0065081C" w:rsidRPr="00E90ABD">
        <w:rPr>
          <w:sz w:val="20"/>
          <w:szCs w:val="20"/>
        </w:rPr>
        <w:t xml:space="preserve"> </w:t>
      </w:r>
      <w:r w:rsidRPr="00E90ABD">
        <w:rPr>
          <w:sz w:val="20"/>
          <w:szCs w:val="20"/>
        </w:rPr>
        <w:t>Stanat</w:t>
      </w:r>
      <w:r w:rsidR="0065081C" w:rsidRPr="00E90ABD">
        <w:rPr>
          <w:sz w:val="20"/>
          <w:szCs w:val="20"/>
        </w:rPr>
        <w:t xml:space="preserve"> </w:t>
      </w:r>
      <w:r w:rsidRPr="00E90ABD">
        <w:rPr>
          <w:sz w:val="20"/>
          <w:szCs w:val="20"/>
        </w:rPr>
        <w:t>SJC,</w:t>
      </w:r>
      <w:r w:rsidR="0065081C" w:rsidRPr="00E90ABD">
        <w:rPr>
          <w:sz w:val="20"/>
          <w:szCs w:val="20"/>
        </w:rPr>
        <w:t xml:space="preserve"> </w:t>
      </w:r>
      <w:r w:rsidRPr="00E90ABD">
        <w:rPr>
          <w:sz w:val="20"/>
          <w:szCs w:val="20"/>
        </w:rPr>
        <w:t>Gaffney</w:t>
      </w:r>
      <w:r w:rsidR="0065081C" w:rsidRPr="00E90ABD">
        <w:rPr>
          <w:sz w:val="20"/>
          <w:szCs w:val="20"/>
        </w:rPr>
        <w:t xml:space="preserve"> </w:t>
      </w:r>
      <w:r w:rsidRPr="00E90ABD">
        <w:rPr>
          <w:sz w:val="20"/>
          <w:szCs w:val="20"/>
        </w:rPr>
        <w:t>J.</w:t>
      </w:r>
      <w:r w:rsidR="0065081C" w:rsidRPr="00E90ABD">
        <w:rPr>
          <w:sz w:val="20"/>
          <w:szCs w:val="20"/>
        </w:rPr>
        <w:t xml:space="preserve"> </w:t>
      </w:r>
      <w:r w:rsidRPr="00E90ABD">
        <w:rPr>
          <w:bCs/>
          <w:sz w:val="20"/>
          <w:szCs w:val="20"/>
        </w:rPr>
        <w:t>Use</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Gartland</w:t>
      </w:r>
      <w:r w:rsidR="0065081C" w:rsidRPr="00E90ABD">
        <w:rPr>
          <w:bCs/>
          <w:sz w:val="20"/>
          <w:szCs w:val="20"/>
        </w:rPr>
        <w:t xml:space="preserve"> </w:t>
      </w:r>
      <w:r w:rsidRPr="00E90ABD">
        <w:rPr>
          <w:bCs/>
          <w:sz w:val="20"/>
          <w:szCs w:val="20"/>
        </w:rPr>
        <w:t>classification</w:t>
      </w:r>
      <w:r w:rsidR="0065081C" w:rsidRPr="00E90ABD">
        <w:rPr>
          <w:bCs/>
          <w:sz w:val="20"/>
          <w:szCs w:val="20"/>
        </w:rPr>
        <w:t xml:space="preserve"> </w:t>
      </w:r>
      <w:r w:rsidRPr="00E90ABD">
        <w:rPr>
          <w:bCs/>
          <w:sz w:val="20"/>
          <w:szCs w:val="20"/>
        </w:rPr>
        <w:t>system</w:t>
      </w:r>
      <w:r w:rsidR="0065081C" w:rsidRPr="00E90ABD">
        <w:rPr>
          <w:bCs/>
          <w:sz w:val="20"/>
          <w:szCs w:val="20"/>
        </w:rPr>
        <w:t xml:space="preserve"> </w:t>
      </w:r>
      <w:r w:rsidRPr="00E90ABD">
        <w:rPr>
          <w:bCs/>
          <w:sz w:val="20"/>
          <w:szCs w:val="20"/>
        </w:rPr>
        <w:t>for</w:t>
      </w:r>
      <w:r w:rsidR="0065081C" w:rsidRPr="00E90ABD">
        <w:rPr>
          <w:bCs/>
          <w:sz w:val="20"/>
          <w:szCs w:val="20"/>
        </w:rPr>
        <w:t xml:space="preserve"> </w:t>
      </w:r>
      <w:r w:rsidRPr="00E90ABD">
        <w:rPr>
          <w:bCs/>
          <w:sz w:val="20"/>
          <w:szCs w:val="20"/>
        </w:rPr>
        <w:t>treatment</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pediatric</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Orthopedics.</w:t>
      </w:r>
      <w:r w:rsidR="0065081C" w:rsidRPr="00E90ABD">
        <w:rPr>
          <w:bCs/>
          <w:sz w:val="20"/>
          <w:szCs w:val="20"/>
        </w:rPr>
        <w:t xml:space="preserve"> </w:t>
      </w:r>
      <w:r w:rsidRPr="00E90ABD">
        <w:rPr>
          <w:bCs/>
          <w:sz w:val="20"/>
          <w:szCs w:val="20"/>
        </w:rPr>
        <w:t>2010;</w:t>
      </w:r>
      <w:r w:rsidR="0065081C" w:rsidRPr="00E90ABD">
        <w:rPr>
          <w:bCs/>
          <w:sz w:val="20"/>
          <w:szCs w:val="20"/>
        </w:rPr>
        <w:t xml:space="preserve"> </w:t>
      </w:r>
      <w:r w:rsidRPr="00E90ABD">
        <w:rPr>
          <w:bCs/>
          <w:sz w:val="20"/>
          <w:szCs w:val="20"/>
        </w:rPr>
        <w:t>33(1):</w:t>
      </w:r>
      <w:r w:rsidR="0065081C" w:rsidRPr="00E90ABD">
        <w:rPr>
          <w:bCs/>
          <w:sz w:val="20"/>
          <w:szCs w:val="20"/>
        </w:rPr>
        <w:t xml:space="preserve"> </w:t>
      </w:r>
      <w:r w:rsidRPr="00E90ABD">
        <w:rPr>
          <w:bCs/>
          <w:sz w:val="20"/>
          <w:szCs w:val="20"/>
        </w:rPr>
        <w:t>19.</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Babal</w:t>
      </w:r>
      <w:r w:rsidR="0065081C" w:rsidRPr="00E90ABD">
        <w:rPr>
          <w:sz w:val="20"/>
          <w:szCs w:val="20"/>
        </w:rPr>
        <w:t xml:space="preserve"> </w:t>
      </w:r>
      <w:r w:rsidRPr="00E90ABD">
        <w:rPr>
          <w:sz w:val="20"/>
          <w:szCs w:val="20"/>
        </w:rPr>
        <w:t>JC,</w:t>
      </w:r>
      <w:r w:rsidR="0065081C" w:rsidRPr="00E90ABD">
        <w:rPr>
          <w:sz w:val="20"/>
          <w:szCs w:val="20"/>
        </w:rPr>
        <w:t xml:space="preserve"> </w:t>
      </w:r>
      <w:r w:rsidRPr="00E90ABD">
        <w:rPr>
          <w:sz w:val="20"/>
          <w:szCs w:val="20"/>
        </w:rPr>
        <w:t>Mehlman</w:t>
      </w:r>
      <w:r w:rsidR="0065081C" w:rsidRPr="00E90ABD">
        <w:rPr>
          <w:sz w:val="20"/>
          <w:szCs w:val="20"/>
        </w:rPr>
        <w:t xml:space="preserve"> </w:t>
      </w:r>
      <w:r w:rsidRPr="00E90ABD">
        <w:rPr>
          <w:sz w:val="20"/>
          <w:szCs w:val="20"/>
        </w:rPr>
        <w:t>CT,</w:t>
      </w:r>
      <w:r w:rsidR="0065081C" w:rsidRPr="00E90ABD">
        <w:rPr>
          <w:sz w:val="20"/>
          <w:szCs w:val="20"/>
        </w:rPr>
        <w:t xml:space="preserve"> </w:t>
      </w:r>
      <w:r w:rsidRPr="00E90ABD">
        <w:rPr>
          <w:sz w:val="20"/>
          <w:szCs w:val="20"/>
        </w:rPr>
        <w:t>Klein</w:t>
      </w:r>
      <w:r w:rsidR="0065081C" w:rsidRPr="00E90ABD">
        <w:rPr>
          <w:sz w:val="20"/>
          <w:szCs w:val="20"/>
        </w:rPr>
        <w:t xml:space="preserve"> </w:t>
      </w:r>
      <w:r w:rsidRPr="00E90ABD">
        <w:rPr>
          <w:sz w:val="20"/>
          <w:szCs w:val="20"/>
        </w:rPr>
        <w:t>G.</w:t>
      </w:r>
      <w:r w:rsidR="0065081C" w:rsidRPr="00E90ABD">
        <w:rPr>
          <w:sz w:val="20"/>
          <w:szCs w:val="20"/>
        </w:rPr>
        <w:t xml:space="preserve"> </w:t>
      </w:r>
      <w:r w:rsidRPr="00E90ABD">
        <w:rPr>
          <w:bCs/>
          <w:sz w:val="20"/>
          <w:szCs w:val="20"/>
        </w:rPr>
        <w:t>Nerve</w:t>
      </w:r>
      <w:r w:rsidR="0065081C" w:rsidRPr="00E90ABD">
        <w:rPr>
          <w:bCs/>
          <w:sz w:val="20"/>
          <w:szCs w:val="20"/>
        </w:rPr>
        <w:t xml:space="preserve"> </w:t>
      </w:r>
      <w:r w:rsidRPr="00E90ABD">
        <w:rPr>
          <w:bCs/>
          <w:sz w:val="20"/>
          <w:szCs w:val="20"/>
        </w:rPr>
        <w:t>injuries</w:t>
      </w:r>
      <w:r w:rsidR="0065081C" w:rsidRPr="00E90ABD">
        <w:rPr>
          <w:bCs/>
          <w:sz w:val="20"/>
          <w:szCs w:val="20"/>
        </w:rPr>
        <w:t xml:space="preserve"> </w:t>
      </w:r>
      <w:r w:rsidRPr="00E90ABD">
        <w:rPr>
          <w:bCs/>
          <w:sz w:val="20"/>
          <w:szCs w:val="20"/>
        </w:rPr>
        <w:t>associated</w:t>
      </w:r>
      <w:r w:rsidR="0065081C" w:rsidRPr="00E90ABD">
        <w:rPr>
          <w:bCs/>
          <w:sz w:val="20"/>
          <w:szCs w:val="20"/>
        </w:rPr>
        <w:t xml:space="preserve"> </w:t>
      </w:r>
      <w:r w:rsidRPr="00E90ABD">
        <w:rPr>
          <w:bCs/>
          <w:sz w:val="20"/>
          <w:szCs w:val="20"/>
        </w:rPr>
        <w:t>with</w:t>
      </w:r>
      <w:r w:rsidR="0065081C" w:rsidRPr="00E90ABD">
        <w:rPr>
          <w:bCs/>
          <w:sz w:val="20"/>
          <w:szCs w:val="20"/>
        </w:rPr>
        <w:t xml:space="preserve"> </w:t>
      </w:r>
      <w:r w:rsidRPr="00E90ABD">
        <w:rPr>
          <w:bCs/>
          <w:sz w:val="20"/>
          <w:szCs w:val="20"/>
        </w:rPr>
        <w:t>pediatric</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humeral</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a</w:t>
      </w:r>
      <w:r w:rsidR="0065081C" w:rsidRPr="00E90ABD">
        <w:rPr>
          <w:bCs/>
          <w:sz w:val="20"/>
          <w:szCs w:val="20"/>
        </w:rPr>
        <w:t xml:space="preserve"> </w:t>
      </w:r>
      <w:r w:rsidRPr="00E90ABD">
        <w:rPr>
          <w:bCs/>
          <w:sz w:val="20"/>
          <w:szCs w:val="20"/>
        </w:rPr>
        <w:t>meta-analysis.</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Pediatr</w:t>
      </w:r>
      <w:r w:rsidR="0065081C" w:rsidRPr="00E90ABD">
        <w:rPr>
          <w:bCs/>
          <w:sz w:val="20"/>
          <w:szCs w:val="20"/>
        </w:rPr>
        <w:t xml:space="preserve"> </w:t>
      </w:r>
      <w:r w:rsidRPr="00E90ABD">
        <w:rPr>
          <w:bCs/>
          <w:sz w:val="20"/>
          <w:szCs w:val="20"/>
        </w:rPr>
        <w:t>Orthop.</w:t>
      </w:r>
      <w:r w:rsidR="0065081C" w:rsidRPr="00E90ABD">
        <w:rPr>
          <w:bCs/>
          <w:sz w:val="20"/>
          <w:szCs w:val="20"/>
        </w:rPr>
        <w:t xml:space="preserve"> </w:t>
      </w:r>
      <w:r w:rsidRPr="00E90ABD">
        <w:rPr>
          <w:bCs/>
          <w:sz w:val="20"/>
          <w:szCs w:val="20"/>
        </w:rPr>
        <w:t>2010;</w:t>
      </w:r>
      <w:r w:rsidR="0065081C" w:rsidRPr="00E90ABD">
        <w:rPr>
          <w:bCs/>
          <w:sz w:val="20"/>
          <w:szCs w:val="20"/>
        </w:rPr>
        <w:t xml:space="preserve"> </w:t>
      </w:r>
      <w:r w:rsidRPr="00E90ABD">
        <w:rPr>
          <w:bCs/>
          <w:sz w:val="20"/>
          <w:szCs w:val="20"/>
        </w:rPr>
        <w:t>30(3):</w:t>
      </w:r>
      <w:r w:rsidR="0065081C" w:rsidRPr="00E90ABD">
        <w:rPr>
          <w:bCs/>
          <w:sz w:val="20"/>
          <w:szCs w:val="20"/>
        </w:rPr>
        <w:t xml:space="preserve"> </w:t>
      </w:r>
      <w:r w:rsidRPr="00E90ABD">
        <w:rPr>
          <w:bCs/>
          <w:sz w:val="20"/>
          <w:szCs w:val="20"/>
        </w:rPr>
        <w:t>253–263.</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White</w:t>
      </w:r>
      <w:r w:rsidR="0065081C" w:rsidRPr="00E90ABD">
        <w:rPr>
          <w:sz w:val="20"/>
          <w:szCs w:val="20"/>
        </w:rPr>
        <w:t xml:space="preserve"> </w:t>
      </w:r>
      <w:r w:rsidRPr="00E90ABD">
        <w:rPr>
          <w:sz w:val="20"/>
          <w:szCs w:val="20"/>
        </w:rPr>
        <w:t>L,</w:t>
      </w:r>
      <w:r w:rsidR="0065081C" w:rsidRPr="00E90ABD">
        <w:rPr>
          <w:sz w:val="20"/>
          <w:szCs w:val="20"/>
        </w:rPr>
        <w:t xml:space="preserve"> </w:t>
      </w:r>
      <w:r w:rsidRPr="00E90ABD">
        <w:rPr>
          <w:sz w:val="20"/>
          <w:szCs w:val="20"/>
        </w:rPr>
        <w:t>Mehlman</w:t>
      </w:r>
      <w:r w:rsidR="0065081C" w:rsidRPr="00E90ABD">
        <w:rPr>
          <w:sz w:val="20"/>
          <w:szCs w:val="20"/>
        </w:rPr>
        <w:t xml:space="preserve"> </w:t>
      </w:r>
      <w:r w:rsidRPr="00E90ABD">
        <w:rPr>
          <w:sz w:val="20"/>
          <w:szCs w:val="20"/>
        </w:rPr>
        <w:t>CT,</w:t>
      </w:r>
      <w:r w:rsidR="0065081C" w:rsidRPr="00E90ABD">
        <w:rPr>
          <w:sz w:val="20"/>
          <w:szCs w:val="20"/>
        </w:rPr>
        <w:t xml:space="preserve"> </w:t>
      </w:r>
      <w:r w:rsidRPr="00E90ABD">
        <w:rPr>
          <w:sz w:val="20"/>
          <w:szCs w:val="20"/>
        </w:rPr>
        <w:t>Crawford</w:t>
      </w:r>
      <w:r w:rsidR="0065081C" w:rsidRPr="00E90ABD">
        <w:rPr>
          <w:sz w:val="20"/>
          <w:szCs w:val="20"/>
        </w:rPr>
        <w:t xml:space="preserve"> </w:t>
      </w:r>
      <w:r w:rsidRPr="00E90ABD">
        <w:rPr>
          <w:sz w:val="20"/>
          <w:szCs w:val="20"/>
        </w:rPr>
        <w:t>AH.</w:t>
      </w:r>
      <w:r w:rsidR="0065081C" w:rsidRPr="00E90ABD">
        <w:rPr>
          <w:sz w:val="20"/>
          <w:szCs w:val="20"/>
        </w:rPr>
        <w:t xml:space="preserve"> </w:t>
      </w:r>
      <w:r w:rsidRPr="00E90ABD">
        <w:rPr>
          <w:bCs/>
          <w:sz w:val="20"/>
          <w:szCs w:val="20"/>
        </w:rPr>
        <w:t>Perfused,</w:t>
      </w:r>
      <w:r w:rsidR="0065081C" w:rsidRPr="00E90ABD">
        <w:rPr>
          <w:bCs/>
          <w:sz w:val="20"/>
          <w:szCs w:val="20"/>
        </w:rPr>
        <w:t xml:space="preserve"> </w:t>
      </w:r>
      <w:r w:rsidRPr="00E90ABD">
        <w:rPr>
          <w:bCs/>
          <w:sz w:val="20"/>
          <w:szCs w:val="20"/>
        </w:rPr>
        <w:t>pulseless,</w:t>
      </w:r>
      <w:r w:rsidR="0065081C" w:rsidRPr="00E90ABD">
        <w:rPr>
          <w:bCs/>
          <w:sz w:val="20"/>
          <w:szCs w:val="20"/>
        </w:rPr>
        <w:t xml:space="preserve"> </w:t>
      </w:r>
      <w:r w:rsidRPr="00E90ABD">
        <w:rPr>
          <w:bCs/>
          <w:sz w:val="20"/>
          <w:szCs w:val="20"/>
        </w:rPr>
        <w:t>and</w:t>
      </w:r>
      <w:r w:rsidR="0065081C" w:rsidRPr="00E90ABD">
        <w:rPr>
          <w:bCs/>
          <w:sz w:val="20"/>
          <w:szCs w:val="20"/>
        </w:rPr>
        <w:t xml:space="preserve"> </w:t>
      </w:r>
      <w:r w:rsidRPr="00E90ABD">
        <w:rPr>
          <w:bCs/>
          <w:sz w:val="20"/>
          <w:szCs w:val="20"/>
        </w:rPr>
        <w:t>puzzling:</w:t>
      </w:r>
      <w:r w:rsidR="0065081C" w:rsidRPr="00E90ABD">
        <w:rPr>
          <w:bCs/>
          <w:sz w:val="20"/>
          <w:szCs w:val="20"/>
        </w:rPr>
        <w:t xml:space="preserve"> </w:t>
      </w:r>
      <w:r w:rsidRPr="00E90ABD">
        <w:rPr>
          <w:bCs/>
          <w:sz w:val="20"/>
          <w:szCs w:val="20"/>
        </w:rPr>
        <w:t>a</w:t>
      </w:r>
      <w:r w:rsidR="0065081C" w:rsidRPr="00E90ABD">
        <w:rPr>
          <w:bCs/>
          <w:sz w:val="20"/>
          <w:szCs w:val="20"/>
        </w:rPr>
        <w:t xml:space="preserve"> </w:t>
      </w:r>
      <w:r w:rsidRPr="00E90ABD">
        <w:rPr>
          <w:bCs/>
          <w:sz w:val="20"/>
          <w:szCs w:val="20"/>
        </w:rPr>
        <w:t>systematic</w:t>
      </w:r>
      <w:r w:rsidR="0065081C" w:rsidRPr="00E90ABD">
        <w:rPr>
          <w:bCs/>
          <w:sz w:val="20"/>
          <w:szCs w:val="20"/>
        </w:rPr>
        <w:t xml:space="preserve"> </w:t>
      </w:r>
      <w:r w:rsidRPr="00E90ABD">
        <w:rPr>
          <w:bCs/>
          <w:sz w:val="20"/>
          <w:szCs w:val="20"/>
        </w:rPr>
        <w:t>review</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vascular</w:t>
      </w:r>
      <w:r w:rsidR="0065081C" w:rsidRPr="00E90ABD">
        <w:rPr>
          <w:bCs/>
          <w:sz w:val="20"/>
          <w:szCs w:val="20"/>
        </w:rPr>
        <w:t xml:space="preserve"> </w:t>
      </w:r>
      <w:r w:rsidRPr="00E90ABD">
        <w:rPr>
          <w:bCs/>
          <w:sz w:val="20"/>
          <w:szCs w:val="20"/>
        </w:rPr>
        <w:t>injuries</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pediatric</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and</w:t>
      </w:r>
      <w:r w:rsidR="0065081C" w:rsidRPr="00E90ABD">
        <w:rPr>
          <w:bCs/>
          <w:sz w:val="20"/>
          <w:szCs w:val="20"/>
        </w:rPr>
        <w:t xml:space="preserve"> </w:t>
      </w:r>
      <w:r w:rsidRPr="00E90ABD">
        <w:rPr>
          <w:bCs/>
          <w:sz w:val="20"/>
          <w:szCs w:val="20"/>
        </w:rPr>
        <w:t>results</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a</w:t>
      </w:r>
      <w:r w:rsidR="0065081C" w:rsidRPr="00E90ABD">
        <w:rPr>
          <w:bCs/>
          <w:sz w:val="20"/>
          <w:szCs w:val="20"/>
        </w:rPr>
        <w:t xml:space="preserve"> </w:t>
      </w:r>
      <w:r w:rsidRPr="00E90ABD">
        <w:rPr>
          <w:bCs/>
          <w:sz w:val="20"/>
          <w:szCs w:val="20"/>
        </w:rPr>
        <w:t>POSNA</w:t>
      </w:r>
      <w:r w:rsidR="0065081C" w:rsidRPr="00E90ABD">
        <w:rPr>
          <w:bCs/>
          <w:sz w:val="20"/>
          <w:szCs w:val="20"/>
        </w:rPr>
        <w:t xml:space="preserve"> </w:t>
      </w:r>
      <w:r w:rsidRPr="00E90ABD">
        <w:rPr>
          <w:bCs/>
          <w:sz w:val="20"/>
          <w:szCs w:val="20"/>
        </w:rPr>
        <w:t>questionnaire.</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Pediatr</w:t>
      </w:r>
      <w:r w:rsidR="0065081C" w:rsidRPr="00E90ABD">
        <w:rPr>
          <w:bCs/>
          <w:sz w:val="20"/>
          <w:szCs w:val="20"/>
        </w:rPr>
        <w:t xml:space="preserve"> </w:t>
      </w:r>
      <w:r w:rsidRPr="00E90ABD">
        <w:rPr>
          <w:bCs/>
          <w:sz w:val="20"/>
          <w:szCs w:val="20"/>
        </w:rPr>
        <w:t>Orthop.</w:t>
      </w:r>
      <w:r w:rsidR="0065081C" w:rsidRPr="00E90ABD">
        <w:rPr>
          <w:bCs/>
          <w:sz w:val="20"/>
          <w:szCs w:val="20"/>
        </w:rPr>
        <w:t xml:space="preserve"> </w:t>
      </w:r>
      <w:r w:rsidRPr="00E90ABD">
        <w:rPr>
          <w:bCs/>
          <w:sz w:val="20"/>
          <w:szCs w:val="20"/>
        </w:rPr>
        <w:t>2010;</w:t>
      </w:r>
      <w:r w:rsidR="0065081C" w:rsidRPr="00E90ABD">
        <w:rPr>
          <w:bCs/>
          <w:sz w:val="20"/>
          <w:szCs w:val="20"/>
        </w:rPr>
        <w:t xml:space="preserve"> </w:t>
      </w:r>
      <w:r w:rsidRPr="00E90ABD">
        <w:rPr>
          <w:bCs/>
          <w:sz w:val="20"/>
          <w:szCs w:val="20"/>
        </w:rPr>
        <w:t>30(4):</w:t>
      </w:r>
      <w:r w:rsidR="0065081C" w:rsidRPr="00E90ABD">
        <w:rPr>
          <w:bCs/>
          <w:sz w:val="20"/>
          <w:szCs w:val="20"/>
        </w:rPr>
        <w:t xml:space="preserve"> </w:t>
      </w:r>
      <w:r w:rsidRPr="00E90ABD">
        <w:rPr>
          <w:bCs/>
          <w:sz w:val="20"/>
          <w:szCs w:val="20"/>
        </w:rPr>
        <w:t>328–335.</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sz w:val="20"/>
          <w:szCs w:val="20"/>
        </w:rPr>
      </w:pPr>
      <w:r w:rsidRPr="00E90ABD">
        <w:rPr>
          <w:sz w:val="20"/>
          <w:szCs w:val="20"/>
        </w:rPr>
        <w:t>Gartland</w:t>
      </w:r>
      <w:r w:rsidR="0065081C" w:rsidRPr="00E90ABD">
        <w:rPr>
          <w:sz w:val="20"/>
          <w:szCs w:val="20"/>
        </w:rPr>
        <w:t xml:space="preserve"> </w:t>
      </w:r>
      <w:r w:rsidRPr="00E90ABD">
        <w:rPr>
          <w:sz w:val="20"/>
          <w:szCs w:val="20"/>
        </w:rPr>
        <w:t>JJ.</w:t>
      </w:r>
      <w:r w:rsidR="0065081C" w:rsidRPr="00E90ABD">
        <w:rPr>
          <w:sz w:val="20"/>
          <w:szCs w:val="20"/>
        </w:rPr>
        <w:t xml:space="preserve"> </w:t>
      </w:r>
      <w:r w:rsidRPr="00E90ABD">
        <w:rPr>
          <w:bCs/>
          <w:sz w:val="20"/>
          <w:szCs w:val="20"/>
        </w:rPr>
        <w:t>Management</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children.</w:t>
      </w:r>
      <w:r w:rsidR="0065081C" w:rsidRPr="00E90ABD">
        <w:rPr>
          <w:bCs/>
          <w:sz w:val="20"/>
          <w:szCs w:val="20"/>
        </w:rPr>
        <w:t xml:space="preserve"> </w:t>
      </w:r>
      <w:r w:rsidRPr="00E90ABD">
        <w:rPr>
          <w:bCs/>
          <w:sz w:val="20"/>
          <w:szCs w:val="20"/>
        </w:rPr>
        <w:t>Surg</w:t>
      </w:r>
      <w:r w:rsidR="0065081C" w:rsidRPr="00E90ABD">
        <w:rPr>
          <w:bCs/>
          <w:sz w:val="20"/>
          <w:szCs w:val="20"/>
        </w:rPr>
        <w:t xml:space="preserve"> </w:t>
      </w:r>
      <w:r w:rsidRPr="00E90ABD">
        <w:rPr>
          <w:bCs/>
          <w:sz w:val="20"/>
          <w:szCs w:val="20"/>
        </w:rPr>
        <w:t>Gynecol</w:t>
      </w:r>
      <w:r w:rsidR="0065081C" w:rsidRPr="00E90ABD">
        <w:rPr>
          <w:bCs/>
          <w:sz w:val="20"/>
          <w:szCs w:val="20"/>
        </w:rPr>
        <w:t xml:space="preserve"> </w:t>
      </w:r>
      <w:r w:rsidRPr="00E90ABD">
        <w:rPr>
          <w:bCs/>
          <w:sz w:val="20"/>
          <w:szCs w:val="20"/>
        </w:rPr>
        <w:t>Obstet.</w:t>
      </w:r>
      <w:r w:rsidR="0065081C" w:rsidRPr="00E90ABD">
        <w:rPr>
          <w:bCs/>
          <w:sz w:val="20"/>
          <w:szCs w:val="20"/>
        </w:rPr>
        <w:t xml:space="preserve"> </w:t>
      </w:r>
      <w:r w:rsidRPr="00E90ABD">
        <w:rPr>
          <w:bCs/>
          <w:sz w:val="20"/>
          <w:szCs w:val="20"/>
        </w:rPr>
        <w:t>1959;</w:t>
      </w:r>
      <w:r w:rsidR="0065081C" w:rsidRPr="00E90ABD">
        <w:rPr>
          <w:bCs/>
          <w:sz w:val="20"/>
          <w:szCs w:val="20"/>
        </w:rPr>
        <w:t xml:space="preserve"> </w:t>
      </w:r>
      <w:r w:rsidRPr="00E90ABD">
        <w:rPr>
          <w:bCs/>
          <w:sz w:val="20"/>
          <w:szCs w:val="20"/>
        </w:rPr>
        <w:t>109:</w:t>
      </w:r>
      <w:r w:rsidR="0065081C" w:rsidRPr="00E90ABD">
        <w:rPr>
          <w:bCs/>
          <w:sz w:val="20"/>
          <w:szCs w:val="20"/>
        </w:rPr>
        <w:t xml:space="preserve"> </w:t>
      </w:r>
      <w:r w:rsidRPr="00E90ABD">
        <w:rPr>
          <w:bCs/>
          <w:sz w:val="20"/>
          <w:szCs w:val="20"/>
        </w:rPr>
        <w:t>145–154.</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Mehlman</w:t>
      </w:r>
      <w:r w:rsidR="0065081C" w:rsidRPr="00E90ABD">
        <w:rPr>
          <w:sz w:val="20"/>
          <w:szCs w:val="20"/>
        </w:rPr>
        <w:t xml:space="preserve"> </w:t>
      </w:r>
      <w:r w:rsidRPr="00E90ABD">
        <w:rPr>
          <w:sz w:val="20"/>
          <w:szCs w:val="20"/>
        </w:rPr>
        <w:t>CT,</w:t>
      </w:r>
      <w:r w:rsidR="0065081C" w:rsidRPr="00E90ABD">
        <w:rPr>
          <w:sz w:val="20"/>
          <w:szCs w:val="20"/>
        </w:rPr>
        <w:t xml:space="preserve"> </w:t>
      </w:r>
      <w:r w:rsidRPr="00E90ABD">
        <w:rPr>
          <w:sz w:val="20"/>
          <w:szCs w:val="20"/>
        </w:rPr>
        <w:t>Strub</w:t>
      </w:r>
      <w:r w:rsidR="0065081C" w:rsidRPr="00E90ABD">
        <w:rPr>
          <w:sz w:val="20"/>
          <w:szCs w:val="20"/>
        </w:rPr>
        <w:t xml:space="preserve"> </w:t>
      </w:r>
      <w:r w:rsidRPr="00E90ABD">
        <w:rPr>
          <w:sz w:val="20"/>
          <w:szCs w:val="20"/>
        </w:rPr>
        <w:t>WM,</w:t>
      </w:r>
      <w:r w:rsidR="0065081C" w:rsidRPr="00E90ABD">
        <w:rPr>
          <w:sz w:val="20"/>
          <w:szCs w:val="20"/>
        </w:rPr>
        <w:t xml:space="preserve"> </w:t>
      </w:r>
      <w:r w:rsidRPr="00E90ABD">
        <w:rPr>
          <w:sz w:val="20"/>
          <w:szCs w:val="20"/>
        </w:rPr>
        <w:t>Roy</w:t>
      </w:r>
      <w:r w:rsidR="0065081C" w:rsidRPr="00E90ABD">
        <w:rPr>
          <w:sz w:val="20"/>
          <w:szCs w:val="20"/>
        </w:rPr>
        <w:t xml:space="preserve"> </w:t>
      </w:r>
      <w:r w:rsidRPr="00E90ABD">
        <w:rPr>
          <w:sz w:val="20"/>
          <w:szCs w:val="20"/>
        </w:rPr>
        <w:t>DR,</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effect</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surgical</w:t>
      </w:r>
      <w:r w:rsidR="0065081C" w:rsidRPr="00E90ABD">
        <w:rPr>
          <w:bCs/>
          <w:sz w:val="20"/>
          <w:szCs w:val="20"/>
        </w:rPr>
        <w:t xml:space="preserve"> </w:t>
      </w:r>
      <w:r w:rsidRPr="00E90ABD">
        <w:rPr>
          <w:bCs/>
          <w:sz w:val="20"/>
          <w:szCs w:val="20"/>
        </w:rPr>
        <w:t>timing</w:t>
      </w:r>
      <w:r w:rsidR="0065081C" w:rsidRPr="00E90ABD">
        <w:rPr>
          <w:bCs/>
          <w:sz w:val="20"/>
          <w:szCs w:val="20"/>
        </w:rPr>
        <w:t xml:space="preserve"> </w:t>
      </w:r>
      <w:r w:rsidRPr="00E90ABD">
        <w:rPr>
          <w:bCs/>
          <w:sz w:val="20"/>
          <w:szCs w:val="20"/>
        </w:rPr>
        <w:t>on</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perioperative</w:t>
      </w:r>
      <w:r w:rsidR="0065081C" w:rsidRPr="00E90ABD">
        <w:rPr>
          <w:bCs/>
          <w:sz w:val="20"/>
          <w:szCs w:val="20"/>
        </w:rPr>
        <w:t xml:space="preserve"> </w:t>
      </w:r>
      <w:r w:rsidRPr="00E90ABD">
        <w:rPr>
          <w:bCs/>
          <w:sz w:val="20"/>
          <w:szCs w:val="20"/>
        </w:rPr>
        <w:t>complications</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treatment</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humeral</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children.</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Bone</w:t>
      </w:r>
      <w:r w:rsidR="0065081C" w:rsidRPr="00E90ABD">
        <w:rPr>
          <w:bCs/>
          <w:sz w:val="20"/>
          <w:szCs w:val="20"/>
        </w:rPr>
        <w:t xml:space="preserve"> </w:t>
      </w:r>
      <w:r w:rsidRPr="00E90ABD">
        <w:rPr>
          <w:bCs/>
          <w:sz w:val="20"/>
          <w:szCs w:val="20"/>
        </w:rPr>
        <w:t>Joint</w:t>
      </w:r>
      <w:r w:rsidR="0065081C" w:rsidRPr="00E90ABD">
        <w:rPr>
          <w:bCs/>
          <w:sz w:val="20"/>
          <w:szCs w:val="20"/>
        </w:rPr>
        <w:t xml:space="preserve"> </w:t>
      </w:r>
      <w:r w:rsidRPr="00E90ABD">
        <w:rPr>
          <w:bCs/>
          <w:sz w:val="20"/>
          <w:szCs w:val="20"/>
        </w:rPr>
        <w:t>Surg</w:t>
      </w:r>
      <w:r w:rsidR="0065081C" w:rsidRPr="00E90ABD">
        <w:rPr>
          <w:bCs/>
          <w:sz w:val="20"/>
          <w:szCs w:val="20"/>
        </w:rPr>
        <w:t xml:space="preserve"> </w:t>
      </w:r>
      <w:r w:rsidRPr="00E90ABD">
        <w:rPr>
          <w:bCs/>
          <w:sz w:val="20"/>
          <w:szCs w:val="20"/>
        </w:rPr>
        <w:t>Am.</w:t>
      </w:r>
      <w:r w:rsidR="0065081C" w:rsidRPr="00E90ABD">
        <w:rPr>
          <w:bCs/>
          <w:sz w:val="20"/>
          <w:szCs w:val="20"/>
        </w:rPr>
        <w:t xml:space="preserve"> </w:t>
      </w:r>
      <w:r w:rsidRPr="00E90ABD">
        <w:rPr>
          <w:bCs/>
          <w:sz w:val="20"/>
          <w:szCs w:val="20"/>
        </w:rPr>
        <w:t>2001;83-A:323–327.</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Yildirim</w:t>
      </w:r>
      <w:r w:rsidR="0065081C" w:rsidRPr="00E90ABD">
        <w:rPr>
          <w:sz w:val="20"/>
          <w:szCs w:val="20"/>
        </w:rPr>
        <w:t xml:space="preserve"> </w:t>
      </w:r>
      <w:r w:rsidRPr="00E90ABD">
        <w:rPr>
          <w:sz w:val="20"/>
          <w:szCs w:val="20"/>
        </w:rPr>
        <w:t>AO,</w:t>
      </w:r>
      <w:r w:rsidR="0065081C" w:rsidRPr="00E90ABD">
        <w:rPr>
          <w:sz w:val="20"/>
          <w:szCs w:val="20"/>
        </w:rPr>
        <w:t xml:space="preserve"> </w:t>
      </w:r>
      <w:r w:rsidRPr="00E90ABD">
        <w:rPr>
          <w:sz w:val="20"/>
          <w:szCs w:val="20"/>
        </w:rPr>
        <w:t>Unal</w:t>
      </w:r>
      <w:r w:rsidR="0065081C" w:rsidRPr="00E90ABD">
        <w:rPr>
          <w:sz w:val="20"/>
          <w:szCs w:val="20"/>
        </w:rPr>
        <w:t xml:space="preserve"> </w:t>
      </w:r>
      <w:r w:rsidRPr="00E90ABD">
        <w:rPr>
          <w:sz w:val="20"/>
          <w:szCs w:val="20"/>
        </w:rPr>
        <w:t>VS,</w:t>
      </w:r>
      <w:r w:rsidR="0065081C" w:rsidRPr="00E90ABD">
        <w:rPr>
          <w:sz w:val="20"/>
          <w:szCs w:val="20"/>
        </w:rPr>
        <w:t xml:space="preserve"> </w:t>
      </w:r>
      <w:r w:rsidRPr="00E90ABD">
        <w:rPr>
          <w:sz w:val="20"/>
          <w:szCs w:val="20"/>
        </w:rPr>
        <w:t>Oken</w:t>
      </w:r>
      <w:r w:rsidR="0065081C" w:rsidRPr="00E90ABD">
        <w:rPr>
          <w:sz w:val="20"/>
          <w:szCs w:val="20"/>
        </w:rPr>
        <w:t xml:space="preserve"> </w:t>
      </w:r>
      <w:r w:rsidRPr="00E90ABD">
        <w:rPr>
          <w:sz w:val="20"/>
          <w:szCs w:val="20"/>
        </w:rPr>
        <w:t>OF,</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sz w:val="20"/>
          <w:szCs w:val="20"/>
        </w:rPr>
        <w:t xml:space="preserve"> </w:t>
      </w:r>
      <w:r w:rsidRPr="00E90ABD">
        <w:rPr>
          <w:bCs/>
          <w:sz w:val="20"/>
          <w:szCs w:val="20"/>
        </w:rPr>
        <w:t>Timing</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surgical</w:t>
      </w:r>
      <w:r w:rsidR="0065081C" w:rsidRPr="00E90ABD">
        <w:rPr>
          <w:bCs/>
          <w:sz w:val="20"/>
          <w:szCs w:val="20"/>
        </w:rPr>
        <w:t xml:space="preserve"> </w:t>
      </w:r>
      <w:r w:rsidRPr="00E90ABD">
        <w:rPr>
          <w:bCs/>
          <w:sz w:val="20"/>
          <w:szCs w:val="20"/>
        </w:rPr>
        <w:t>treatment</w:t>
      </w:r>
      <w:r w:rsidR="0065081C" w:rsidRPr="00E90ABD">
        <w:rPr>
          <w:bCs/>
          <w:sz w:val="20"/>
          <w:szCs w:val="20"/>
        </w:rPr>
        <w:t xml:space="preserve"> </w:t>
      </w:r>
      <w:r w:rsidRPr="00E90ABD">
        <w:rPr>
          <w:bCs/>
          <w:sz w:val="20"/>
          <w:szCs w:val="20"/>
        </w:rPr>
        <w:t>for</w:t>
      </w:r>
      <w:r w:rsidR="0065081C" w:rsidRPr="00E90ABD">
        <w:rPr>
          <w:bCs/>
          <w:sz w:val="20"/>
          <w:szCs w:val="20"/>
        </w:rPr>
        <w:t xml:space="preserve"> </w:t>
      </w:r>
      <w:r w:rsidRPr="00E90ABD">
        <w:rPr>
          <w:bCs/>
          <w:sz w:val="20"/>
          <w:szCs w:val="20"/>
        </w:rPr>
        <w:t>type</w:t>
      </w:r>
      <w:r w:rsidR="0065081C" w:rsidRPr="00E90ABD">
        <w:rPr>
          <w:bCs/>
          <w:sz w:val="20"/>
          <w:szCs w:val="20"/>
        </w:rPr>
        <w:t xml:space="preserve"> </w:t>
      </w:r>
      <w:r w:rsidRPr="00E90ABD">
        <w:rPr>
          <w:bCs/>
          <w:sz w:val="20"/>
          <w:szCs w:val="20"/>
        </w:rPr>
        <w:t>III</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lastRenderedPageBreak/>
        <w:t>humerus</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pediatric</w:t>
      </w:r>
      <w:r w:rsidR="0065081C" w:rsidRPr="00E90ABD">
        <w:rPr>
          <w:bCs/>
          <w:sz w:val="20"/>
          <w:szCs w:val="20"/>
        </w:rPr>
        <w:t xml:space="preserve"> </w:t>
      </w:r>
      <w:r w:rsidRPr="00E90ABD">
        <w:rPr>
          <w:bCs/>
          <w:sz w:val="20"/>
          <w:szCs w:val="20"/>
        </w:rPr>
        <w:t>patients.</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Child</w:t>
      </w:r>
      <w:r w:rsidR="0065081C" w:rsidRPr="00E90ABD">
        <w:rPr>
          <w:bCs/>
          <w:sz w:val="20"/>
          <w:szCs w:val="20"/>
        </w:rPr>
        <w:t xml:space="preserve"> </w:t>
      </w:r>
      <w:r w:rsidRPr="00E90ABD">
        <w:rPr>
          <w:bCs/>
          <w:sz w:val="20"/>
          <w:szCs w:val="20"/>
        </w:rPr>
        <w:t>Orthop.</w:t>
      </w:r>
      <w:r w:rsidR="0065081C" w:rsidRPr="00E90ABD">
        <w:rPr>
          <w:bCs/>
          <w:sz w:val="20"/>
          <w:szCs w:val="20"/>
        </w:rPr>
        <w:t xml:space="preserve"> </w:t>
      </w:r>
      <w:r w:rsidRPr="00E90ABD">
        <w:rPr>
          <w:bCs/>
          <w:sz w:val="20"/>
          <w:szCs w:val="20"/>
        </w:rPr>
        <w:t>2009;</w:t>
      </w:r>
      <w:r w:rsidR="0065081C" w:rsidRPr="00E90ABD">
        <w:rPr>
          <w:bCs/>
          <w:sz w:val="20"/>
          <w:szCs w:val="20"/>
        </w:rPr>
        <w:t xml:space="preserve"> </w:t>
      </w:r>
      <w:r w:rsidRPr="00E90ABD">
        <w:rPr>
          <w:bCs/>
          <w:sz w:val="20"/>
          <w:szCs w:val="20"/>
        </w:rPr>
        <w:t>3:</w:t>
      </w:r>
      <w:r w:rsidR="0065081C" w:rsidRPr="00E90ABD">
        <w:rPr>
          <w:bCs/>
          <w:sz w:val="20"/>
          <w:szCs w:val="20"/>
        </w:rPr>
        <w:t xml:space="preserve"> </w:t>
      </w:r>
      <w:r w:rsidRPr="00E90ABD">
        <w:rPr>
          <w:bCs/>
          <w:sz w:val="20"/>
          <w:szCs w:val="20"/>
        </w:rPr>
        <w:t>265–269.</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Iyengar</w:t>
      </w:r>
      <w:r w:rsidR="0065081C" w:rsidRPr="00E90ABD">
        <w:rPr>
          <w:sz w:val="20"/>
          <w:szCs w:val="20"/>
        </w:rPr>
        <w:t xml:space="preserve"> </w:t>
      </w:r>
      <w:r w:rsidRPr="00E90ABD">
        <w:rPr>
          <w:sz w:val="20"/>
          <w:szCs w:val="20"/>
        </w:rPr>
        <w:t>SR,</w:t>
      </w:r>
      <w:r w:rsidR="0065081C" w:rsidRPr="00E90ABD">
        <w:rPr>
          <w:sz w:val="20"/>
          <w:szCs w:val="20"/>
        </w:rPr>
        <w:t xml:space="preserve"> </w:t>
      </w:r>
      <w:r w:rsidRPr="00E90ABD">
        <w:rPr>
          <w:sz w:val="20"/>
          <w:szCs w:val="20"/>
        </w:rPr>
        <w:t>Hoffinger</w:t>
      </w:r>
      <w:r w:rsidR="0065081C" w:rsidRPr="00E90ABD">
        <w:rPr>
          <w:sz w:val="20"/>
          <w:szCs w:val="20"/>
        </w:rPr>
        <w:t xml:space="preserve"> </w:t>
      </w:r>
      <w:r w:rsidRPr="00E90ABD">
        <w:rPr>
          <w:sz w:val="20"/>
          <w:szCs w:val="20"/>
        </w:rPr>
        <w:t>SA,</w:t>
      </w:r>
      <w:r w:rsidR="0065081C" w:rsidRPr="00E90ABD">
        <w:rPr>
          <w:sz w:val="20"/>
          <w:szCs w:val="20"/>
        </w:rPr>
        <w:t xml:space="preserve"> </w:t>
      </w:r>
      <w:r w:rsidRPr="00E90ABD">
        <w:rPr>
          <w:sz w:val="20"/>
          <w:szCs w:val="20"/>
        </w:rPr>
        <w:t>Townsend</w:t>
      </w:r>
      <w:r w:rsidR="0065081C" w:rsidRPr="00E90ABD">
        <w:rPr>
          <w:sz w:val="20"/>
          <w:szCs w:val="20"/>
        </w:rPr>
        <w:t xml:space="preserve"> </w:t>
      </w:r>
      <w:r w:rsidRPr="00E90ABD">
        <w:rPr>
          <w:sz w:val="20"/>
          <w:szCs w:val="20"/>
        </w:rPr>
        <w:t>DR.</w:t>
      </w:r>
      <w:r w:rsidR="0065081C" w:rsidRPr="00E90ABD">
        <w:rPr>
          <w:sz w:val="20"/>
          <w:szCs w:val="20"/>
        </w:rPr>
        <w:t xml:space="preserve"> </w:t>
      </w:r>
      <w:r w:rsidRPr="00E90ABD">
        <w:rPr>
          <w:bCs/>
          <w:sz w:val="20"/>
          <w:szCs w:val="20"/>
        </w:rPr>
        <w:t>Early</w:t>
      </w:r>
      <w:r w:rsidR="0065081C" w:rsidRPr="00E90ABD">
        <w:rPr>
          <w:bCs/>
          <w:sz w:val="20"/>
          <w:szCs w:val="20"/>
        </w:rPr>
        <w:t xml:space="preserve"> </w:t>
      </w:r>
      <w:r w:rsidRPr="00E90ABD">
        <w:rPr>
          <w:bCs/>
          <w:sz w:val="20"/>
          <w:szCs w:val="20"/>
        </w:rPr>
        <w:t>versus</w:t>
      </w:r>
      <w:r w:rsidR="0065081C" w:rsidRPr="00E90ABD">
        <w:rPr>
          <w:bCs/>
          <w:sz w:val="20"/>
          <w:szCs w:val="20"/>
        </w:rPr>
        <w:t xml:space="preserve"> </w:t>
      </w:r>
      <w:r w:rsidRPr="00E90ABD">
        <w:rPr>
          <w:bCs/>
          <w:sz w:val="20"/>
          <w:szCs w:val="20"/>
        </w:rPr>
        <w:t>delayed</w:t>
      </w:r>
      <w:r w:rsidR="0065081C" w:rsidRPr="00E90ABD">
        <w:rPr>
          <w:bCs/>
          <w:sz w:val="20"/>
          <w:szCs w:val="20"/>
        </w:rPr>
        <w:t xml:space="preserve"> </w:t>
      </w:r>
      <w:r w:rsidRPr="00E90ABD">
        <w:rPr>
          <w:bCs/>
          <w:sz w:val="20"/>
          <w:szCs w:val="20"/>
        </w:rPr>
        <w:t>reduction</w:t>
      </w:r>
      <w:r w:rsidR="0065081C" w:rsidRPr="00E90ABD">
        <w:rPr>
          <w:bCs/>
          <w:sz w:val="20"/>
          <w:szCs w:val="20"/>
        </w:rPr>
        <w:t xml:space="preserve"> </w:t>
      </w:r>
      <w:r w:rsidRPr="00E90ABD">
        <w:rPr>
          <w:bCs/>
          <w:sz w:val="20"/>
          <w:szCs w:val="20"/>
        </w:rPr>
        <w:t>and</w:t>
      </w:r>
      <w:r w:rsidR="0065081C" w:rsidRPr="00E90ABD">
        <w:rPr>
          <w:bCs/>
          <w:sz w:val="20"/>
          <w:szCs w:val="20"/>
        </w:rPr>
        <w:t xml:space="preserve"> </w:t>
      </w:r>
      <w:r w:rsidRPr="00E90ABD">
        <w:rPr>
          <w:bCs/>
          <w:sz w:val="20"/>
          <w:szCs w:val="20"/>
        </w:rPr>
        <w:t>pinning</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type</w:t>
      </w:r>
      <w:r w:rsidR="0065081C" w:rsidRPr="00E90ABD">
        <w:rPr>
          <w:bCs/>
          <w:sz w:val="20"/>
          <w:szCs w:val="20"/>
        </w:rPr>
        <w:t xml:space="preserve"> </w:t>
      </w:r>
      <w:r w:rsidRPr="00E90ABD">
        <w:rPr>
          <w:bCs/>
          <w:sz w:val="20"/>
          <w:szCs w:val="20"/>
        </w:rPr>
        <w:t>III</w:t>
      </w:r>
      <w:r w:rsidR="0065081C" w:rsidRPr="00E90ABD">
        <w:rPr>
          <w:bCs/>
          <w:sz w:val="20"/>
          <w:szCs w:val="20"/>
        </w:rPr>
        <w:t xml:space="preserve"> </w:t>
      </w:r>
      <w:r w:rsidRPr="00E90ABD">
        <w:rPr>
          <w:bCs/>
          <w:sz w:val="20"/>
          <w:szCs w:val="20"/>
        </w:rPr>
        <w:t>displaced</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children:</w:t>
      </w:r>
      <w:r w:rsidR="0065081C" w:rsidRPr="00E90ABD">
        <w:rPr>
          <w:bCs/>
          <w:sz w:val="20"/>
          <w:szCs w:val="20"/>
        </w:rPr>
        <w:t xml:space="preserve"> </w:t>
      </w:r>
      <w:r w:rsidRPr="00E90ABD">
        <w:rPr>
          <w:bCs/>
          <w:sz w:val="20"/>
          <w:szCs w:val="20"/>
        </w:rPr>
        <w:t>a</w:t>
      </w:r>
      <w:r w:rsidR="0065081C" w:rsidRPr="00E90ABD">
        <w:rPr>
          <w:bCs/>
          <w:sz w:val="20"/>
          <w:szCs w:val="20"/>
        </w:rPr>
        <w:t xml:space="preserve"> </w:t>
      </w:r>
      <w:r w:rsidRPr="00E90ABD">
        <w:rPr>
          <w:bCs/>
          <w:sz w:val="20"/>
          <w:szCs w:val="20"/>
        </w:rPr>
        <w:t>comparative</w:t>
      </w:r>
      <w:r w:rsidR="0065081C" w:rsidRPr="00E90ABD">
        <w:rPr>
          <w:bCs/>
          <w:sz w:val="20"/>
          <w:szCs w:val="20"/>
        </w:rPr>
        <w:t xml:space="preserve"> </w:t>
      </w:r>
      <w:r w:rsidRPr="00E90ABD">
        <w:rPr>
          <w:bCs/>
          <w:sz w:val="20"/>
          <w:szCs w:val="20"/>
        </w:rPr>
        <w:t>study.</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Orthop</w:t>
      </w:r>
      <w:r w:rsidR="0065081C" w:rsidRPr="00E90ABD">
        <w:rPr>
          <w:bCs/>
          <w:sz w:val="20"/>
          <w:szCs w:val="20"/>
        </w:rPr>
        <w:t xml:space="preserve"> </w:t>
      </w:r>
      <w:r w:rsidRPr="00E90ABD">
        <w:rPr>
          <w:bCs/>
          <w:sz w:val="20"/>
          <w:szCs w:val="20"/>
        </w:rPr>
        <w:t>Trauma.</w:t>
      </w:r>
      <w:r w:rsidR="0065081C" w:rsidRPr="00E90ABD">
        <w:rPr>
          <w:bCs/>
          <w:sz w:val="20"/>
          <w:szCs w:val="20"/>
        </w:rPr>
        <w:t xml:space="preserve"> </w:t>
      </w:r>
      <w:r w:rsidRPr="00E90ABD">
        <w:rPr>
          <w:bCs/>
          <w:sz w:val="20"/>
          <w:szCs w:val="20"/>
        </w:rPr>
        <w:t>1999;</w:t>
      </w:r>
      <w:r w:rsidR="0065081C" w:rsidRPr="00E90ABD">
        <w:rPr>
          <w:bCs/>
          <w:sz w:val="20"/>
          <w:szCs w:val="20"/>
        </w:rPr>
        <w:t xml:space="preserve"> </w:t>
      </w:r>
      <w:r w:rsidRPr="00E90ABD">
        <w:rPr>
          <w:bCs/>
          <w:sz w:val="20"/>
          <w:szCs w:val="20"/>
        </w:rPr>
        <w:t>13:</w:t>
      </w:r>
      <w:r w:rsidR="0065081C" w:rsidRPr="00E90ABD">
        <w:rPr>
          <w:bCs/>
          <w:sz w:val="20"/>
          <w:szCs w:val="20"/>
        </w:rPr>
        <w:t xml:space="preserve"> </w:t>
      </w:r>
      <w:r w:rsidRPr="00E90ABD">
        <w:rPr>
          <w:bCs/>
          <w:sz w:val="20"/>
          <w:szCs w:val="20"/>
        </w:rPr>
        <w:t>51–55.</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Brauer</w:t>
      </w:r>
      <w:r w:rsidR="0065081C" w:rsidRPr="00E90ABD">
        <w:rPr>
          <w:sz w:val="20"/>
          <w:szCs w:val="20"/>
        </w:rPr>
        <w:t xml:space="preserve"> </w:t>
      </w:r>
      <w:r w:rsidRPr="00E90ABD">
        <w:rPr>
          <w:sz w:val="20"/>
          <w:szCs w:val="20"/>
        </w:rPr>
        <w:t>CA,</w:t>
      </w:r>
      <w:r w:rsidR="0065081C" w:rsidRPr="00E90ABD">
        <w:rPr>
          <w:sz w:val="20"/>
          <w:szCs w:val="20"/>
        </w:rPr>
        <w:t xml:space="preserve"> </w:t>
      </w:r>
      <w:r w:rsidRPr="00E90ABD">
        <w:rPr>
          <w:sz w:val="20"/>
          <w:szCs w:val="20"/>
        </w:rPr>
        <w:t>Lee</w:t>
      </w:r>
      <w:r w:rsidR="0065081C" w:rsidRPr="00E90ABD">
        <w:rPr>
          <w:sz w:val="20"/>
          <w:szCs w:val="20"/>
        </w:rPr>
        <w:t xml:space="preserve"> </w:t>
      </w:r>
      <w:r w:rsidRPr="00E90ABD">
        <w:rPr>
          <w:sz w:val="20"/>
          <w:szCs w:val="20"/>
        </w:rPr>
        <w:t>BM,</w:t>
      </w:r>
      <w:r w:rsidR="0065081C" w:rsidRPr="00E90ABD">
        <w:rPr>
          <w:sz w:val="20"/>
          <w:szCs w:val="20"/>
        </w:rPr>
        <w:t xml:space="preserve"> </w:t>
      </w:r>
      <w:r w:rsidRPr="00E90ABD">
        <w:rPr>
          <w:sz w:val="20"/>
          <w:szCs w:val="20"/>
        </w:rPr>
        <w:t>Bae</w:t>
      </w:r>
      <w:r w:rsidR="0065081C" w:rsidRPr="00E90ABD">
        <w:rPr>
          <w:sz w:val="20"/>
          <w:szCs w:val="20"/>
        </w:rPr>
        <w:t xml:space="preserve"> </w:t>
      </w:r>
      <w:r w:rsidRPr="00E90ABD">
        <w:rPr>
          <w:sz w:val="20"/>
          <w:szCs w:val="20"/>
        </w:rPr>
        <w:t>DS,</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sz w:val="20"/>
          <w:szCs w:val="20"/>
        </w:rPr>
        <w:t xml:space="preserve"> </w:t>
      </w:r>
      <w:r w:rsidRPr="00E90ABD">
        <w:rPr>
          <w:bCs/>
          <w:sz w:val="20"/>
          <w:szCs w:val="20"/>
        </w:rPr>
        <w:t>A</w:t>
      </w:r>
      <w:r w:rsidR="0065081C" w:rsidRPr="00E90ABD">
        <w:rPr>
          <w:bCs/>
          <w:sz w:val="20"/>
          <w:szCs w:val="20"/>
        </w:rPr>
        <w:t xml:space="preserve"> </w:t>
      </w:r>
      <w:r w:rsidRPr="00E90ABD">
        <w:rPr>
          <w:bCs/>
          <w:sz w:val="20"/>
          <w:szCs w:val="20"/>
        </w:rPr>
        <w:t>systematic</w:t>
      </w:r>
      <w:r w:rsidR="0065081C" w:rsidRPr="00E90ABD">
        <w:rPr>
          <w:bCs/>
          <w:sz w:val="20"/>
          <w:szCs w:val="20"/>
        </w:rPr>
        <w:t xml:space="preserve"> </w:t>
      </w:r>
      <w:r w:rsidRPr="00E90ABD">
        <w:rPr>
          <w:bCs/>
          <w:sz w:val="20"/>
          <w:szCs w:val="20"/>
        </w:rPr>
        <w:t>review</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medial</w:t>
      </w:r>
      <w:r w:rsidR="0065081C" w:rsidRPr="00E90ABD">
        <w:rPr>
          <w:bCs/>
          <w:sz w:val="20"/>
          <w:szCs w:val="20"/>
        </w:rPr>
        <w:t xml:space="preserve"> </w:t>
      </w:r>
      <w:r w:rsidRPr="00E90ABD">
        <w:rPr>
          <w:bCs/>
          <w:sz w:val="20"/>
          <w:szCs w:val="20"/>
        </w:rPr>
        <w:t>and</w:t>
      </w:r>
      <w:r w:rsidR="0065081C" w:rsidRPr="00E90ABD">
        <w:rPr>
          <w:bCs/>
          <w:sz w:val="20"/>
          <w:szCs w:val="20"/>
        </w:rPr>
        <w:t xml:space="preserve"> </w:t>
      </w:r>
      <w:r w:rsidRPr="00E90ABD">
        <w:rPr>
          <w:bCs/>
          <w:sz w:val="20"/>
          <w:szCs w:val="20"/>
        </w:rPr>
        <w:t>lateral</w:t>
      </w:r>
      <w:r w:rsidR="0065081C" w:rsidRPr="00E90ABD">
        <w:rPr>
          <w:bCs/>
          <w:sz w:val="20"/>
          <w:szCs w:val="20"/>
        </w:rPr>
        <w:t xml:space="preserve"> </w:t>
      </w:r>
      <w:r w:rsidRPr="00E90ABD">
        <w:rPr>
          <w:bCs/>
          <w:sz w:val="20"/>
          <w:szCs w:val="20"/>
        </w:rPr>
        <w:t>entry</w:t>
      </w:r>
      <w:r w:rsidR="0065081C" w:rsidRPr="00E90ABD">
        <w:rPr>
          <w:bCs/>
          <w:sz w:val="20"/>
          <w:szCs w:val="20"/>
        </w:rPr>
        <w:t xml:space="preserve"> </w:t>
      </w:r>
      <w:r w:rsidRPr="00E90ABD">
        <w:rPr>
          <w:bCs/>
          <w:sz w:val="20"/>
          <w:szCs w:val="20"/>
        </w:rPr>
        <w:t>pinning</w:t>
      </w:r>
      <w:r w:rsidR="0065081C" w:rsidRPr="00E90ABD">
        <w:rPr>
          <w:bCs/>
          <w:sz w:val="20"/>
          <w:szCs w:val="20"/>
        </w:rPr>
        <w:t xml:space="preserve"> </w:t>
      </w:r>
      <w:r w:rsidRPr="00E90ABD">
        <w:rPr>
          <w:bCs/>
          <w:sz w:val="20"/>
          <w:szCs w:val="20"/>
        </w:rPr>
        <w:t>versus</w:t>
      </w:r>
      <w:r w:rsidR="0065081C" w:rsidRPr="00E90ABD">
        <w:rPr>
          <w:bCs/>
          <w:sz w:val="20"/>
          <w:szCs w:val="20"/>
        </w:rPr>
        <w:t xml:space="preserve"> </w:t>
      </w:r>
      <w:r w:rsidRPr="00E90ABD">
        <w:rPr>
          <w:bCs/>
          <w:sz w:val="20"/>
          <w:szCs w:val="20"/>
        </w:rPr>
        <w:t>lateral</w:t>
      </w:r>
      <w:r w:rsidR="0065081C" w:rsidRPr="00E90ABD">
        <w:rPr>
          <w:bCs/>
          <w:sz w:val="20"/>
          <w:szCs w:val="20"/>
        </w:rPr>
        <w:t xml:space="preserve"> </w:t>
      </w:r>
      <w:r w:rsidRPr="00E90ABD">
        <w:rPr>
          <w:bCs/>
          <w:sz w:val="20"/>
          <w:szCs w:val="20"/>
        </w:rPr>
        <w:t>entry</w:t>
      </w:r>
      <w:r w:rsidR="0065081C" w:rsidRPr="00E90ABD">
        <w:rPr>
          <w:bCs/>
          <w:sz w:val="20"/>
          <w:szCs w:val="20"/>
        </w:rPr>
        <w:t xml:space="preserve"> </w:t>
      </w:r>
      <w:r w:rsidRPr="00E90ABD">
        <w:rPr>
          <w:bCs/>
          <w:sz w:val="20"/>
          <w:szCs w:val="20"/>
        </w:rPr>
        <w:t>pinning</w:t>
      </w:r>
      <w:r w:rsidR="0065081C" w:rsidRPr="00E90ABD">
        <w:rPr>
          <w:bCs/>
          <w:sz w:val="20"/>
          <w:szCs w:val="20"/>
        </w:rPr>
        <w:t xml:space="preserve"> </w:t>
      </w:r>
      <w:r w:rsidRPr="00E90ABD">
        <w:rPr>
          <w:bCs/>
          <w:sz w:val="20"/>
          <w:szCs w:val="20"/>
        </w:rPr>
        <w:t>for</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Pediatr</w:t>
      </w:r>
      <w:r w:rsidR="0065081C" w:rsidRPr="00E90ABD">
        <w:rPr>
          <w:bCs/>
          <w:sz w:val="20"/>
          <w:szCs w:val="20"/>
        </w:rPr>
        <w:t xml:space="preserve"> </w:t>
      </w:r>
      <w:r w:rsidRPr="00E90ABD">
        <w:rPr>
          <w:bCs/>
          <w:sz w:val="20"/>
          <w:szCs w:val="20"/>
        </w:rPr>
        <w:t>Orthop.</w:t>
      </w:r>
      <w:r w:rsidR="0065081C" w:rsidRPr="00E90ABD">
        <w:rPr>
          <w:bCs/>
          <w:sz w:val="20"/>
          <w:szCs w:val="20"/>
        </w:rPr>
        <w:t xml:space="preserve"> </w:t>
      </w:r>
      <w:r w:rsidRPr="00E90ABD">
        <w:rPr>
          <w:bCs/>
          <w:sz w:val="20"/>
          <w:szCs w:val="20"/>
        </w:rPr>
        <w:t>2007;</w:t>
      </w:r>
      <w:r w:rsidR="0065081C" w:rsidRPr="00E90ABD">
        <w:rPr>
          <w:bCs/>
          <w:sz w:val="20"/>
          <w:szCs w:val="20"/>
        </w:rPr>
        <w:t xml:space="preserve"> </w:t>
      </w:r>
      <w:r w:rsidRPr="00E90ABD">
        <w:rPr>
          <w:bCs/>
          <w:sz w:val="20"/>
          <w:szCs w:val="20"/>
        </w:rPr>
        <w:t>27(2):</w:t>
      </w:r>
      <w:r w:rsidR="0065081C" w:rsidRPr="00E90ABD">
        <w:rPr>
          <w:bCs/>
          <w:sz w:val="20"/>
          <w:szCs w:val="20"/>
        </w:rPr>
        <w:t xml:space="preserve"> </w:t>
      </w:r>
      <w:r w:rsidRPr="00E90ABD">
        <w:rPr>
          <w:bCs/>
          <w:sz w:val="20"/>
          <w:szCs w:val="20"/>
        </w:rPr>
        <w:t>181–186.</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Kocher</w:t>
      </w:r>
      <w:r w:rsidR="0065081C" w:rsidRPr="00E90ABD">
        <w:rPr>
          <w:sz w:val="20"/>
          <w:szCs w:val="20"/>
        </w:rPr>
        <w:t xml:space="preserve"> </w:t>
      </w:r>
      <w:r w:rsidRPr="00E90ABD">
        <w:rPr>
          <w:sz w:val="20"/>
          <w:szCs w:val="20"/>
        </w:rPr>
        <w:t>MS,</w:t>
      </w:r>
      <w:r w:rsidR="0065081C" w:rsidRPr="00E90ABD">
        <w:rPr>
          <w:sz w:val="20"/>
          <w:szCs w:val="20"/>
        </w:rPr>
        <w:t xml:space="preserve"> </w:t>
      </w:r>
      <w:r w:rsidRPr="00E90ABD">
        <w:rPr>
          <w:sz w:val="20"/>
          <w:szCs w:val="20"/>
        </w:rPr>
        <w:t>Kasser</w:t>
      </w:r>
      <w:r w:rsidR="0065081C" w:rsidRPr="00E90ABD">
        <w:rPr>
          <w:sz w:val="20"/>
          <w:szCs w:val="20"/>
        </w:rPr>
        <w:t xml:space="preserve"> </w:t>
      </w:r>
      <w:r w:rsidRPr="00E90ABD">
        <w:rPr>
          <w:sz w:val="20"/>
          <w:szCs w:val="20"/>
        </w:rPr>
        <w:t>JR,</w:t>
      </w:r>
      <w:r w:rsidR="0065081C" w:rsidRPr="00E90ABD">
        <w:rPr>
          <w:sz w:val="20"/>
          <w:szCs w:val="20"/>
        </w:rPr>
        <w:t xml:space="preserve"> </w:t>
      </w:r>
      <w:r w:rsidRPr="00E90ABD">
        <w:rPr>
          <w:sz w:val="20"/>
          <w:szCs w:val="20"/>
        </w:rPr>
        <w:t>Waters</w:t>
      </w:r>
      <w:r w:rsidR="0065081C" w:rsidRPr="00E90ABD">
        <w:rPr>
          <w:sz w:val="20"/>
          <w:szCs w:val="20"/>
        </w:rPr>
        <w:t xml:space="preserve"> </w:t>
      </w:r>
      <w:r w:rsidRPr="00E90ABD">
        <w:rPr>
          <w:sz w:val="20"/>
          <w:szCs w:val="20"/>
        </w:rPr>
        <w:t>PM,</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sz w:val="20"/>
          <w:szCs w:val="20"/>
        </w:rPr>
        <w:t xml:space="preserve"> </w:t>
      </w:r>
      <w:r w:rsidRPr="00E90ABD">
        <w:rPr>
          <w:bCs/>
          <w:sz w:val="20"/>
          <w:szCs w:val="20"/>
        </w:rPr>
        <w:t>Lateral</w:t>
      </w:r>
      <w:r w:rsidR="0065081C" w:rsidRPr="00E90ABD">
        <w:rPr>
          <w:bCs/>
          <w:sz w:val="20"/>
          <w:szCs w:val="20"/>
        </w:rPr>
        <w:t xml:space="preserve"> </w:t>
      </w:r>
      <w:r w:rsidRPr="00E90ABD">
        <w:rPr>
          <w:bCs/>
          <w:sz w:val="20"/>
          <w:szCs w:val="20"/>
        </w:rPr>
        <w:t>entry</w:t>
      </w:r>
      <w:r w:rsidR="0065081C" w:rsidRPr="00E90ABD">
        <w:rPr>
          <w:bCs/>
          <w:sz w:val="20"/>
          <w:szCs w:val="20"/>
        </w:rPr>
        <w:t xml:space="preserve"> </w:t>
      </w:r>
      <w:r w:rsidRPr="00E90ABD">
        <w:rPr>
          <w:bCs/>
          <w:sz w:val="20"/>
          <w:szCs w:val="20"/>
        </w:rPr>
        <w:t>compared</w:t>
      </w:r>
      <w:r w:rsidR="0065081C" w:rsidRPr="00E90ABD">
        <w:rPr>
          <w:bCs/>
          <w:sz w:val="20"/>
          <w:szCs w:val="20"/>
        </w:rPr>
        <w:t xml:space="preserve"> </w:t>
      </w:r>
      <w:r w:rsidRPr="00E90ABD">
        <w:rPr>
          <w:bCs/>
          <w:sz w:val="20"/>
          <w:szCs w:val="20"/>
        </w:rPr>
        <w:t>with</w:t>
      </w:r>
      <w:r w:rsidR="0065081C" w:rsidRPr="00E90ABD">
        <w:rPr>
          <w:bCs/>
          <w:sz w:val="20"/>
          <w:szCs w:val="20"/>
        </w:rPr>
        <w:t xml:space="preserve"> </w:t>
      </w:r>
      <w:r w:rsidRPr="00E90ABD">
        <w:rPr>
          <w:bCs/>
          <w:sz w:val="20"/>
          <w:szCs w:val="20"/>
        </w:rPr>
        <w:t>medial</w:t>
      </w:r>
      <w:r w:rsidR="0065081C" w:rsidRPr="00E90ABD">
        <w:rPr>
          <w:bCs/>
          <w:sz w:val="20"/>
          <w:szCs w:val="20"/>
        </w:rPr>
        <w:t xml:space="preserve"> </w:t>
      </w:r>
      <w:r w:rsidRPr="00E90ABD">
        <w:rPr>
          <w:bCs/>
          <w:sz w:val="20"/>
          <w:szCs w:val="20"/>
        </w:rPr>
        <w:t>and</w:t>
      </w:r>
      <w:r w:rsidR="0065081C" w:rsidRPr="00E90ABD">
        <w:rPr>
          <w:bCs/>
          <w:sz w:val="20"/>
          <w:szCs w:val="20"/>
        </w:rPr>
        <w:t xml:space="preserve"> </w:t>
      </w:r>
      <w:r w:rsidRPr="00E90ABD">
        <w:rPr>
          <w:bCs/>
          <w:sz w:val="20"/>
          <w:szCs w:val="20"/>
        </w:rPr>
        <w:t>lateral</w:t>
      </w:r>
      <w:r w:rsidR="0065081C" w:rsidRPr="00E90ABD">
        <w:rPr>
          <w:bCs/>
          <w:sz w:val="20"/>
          <w:szCs w:val="20"/>
        </w:rPr>
        <w:t xml:space="preserve"> </w:t>
      </w:r>
      <w:r w:rsidRPr="00E90ABD">
        <w:rPr>
          <w:bCs/>
          <w:sz w:val="20"/>
          <w:szCs w:val="20"/>
        </w:rPr>
        <w:t>entry</w:t>
      </w:r>
      <w:r w:rsidR="0065081C" w:rsidRPr="00E90ABD">
        <w:rPr>
          <w:bCs/>
          <w:sz w:val="20"/>
          <w:szCs w:val="20"/>
        </w:rPr>
        <w:t xml:space="preserve"> </w:t>
      </w:r>
      <w:r w:rsidRPr="00E90ABD">
        <w:rPr>
          <w:bCs/>
          <w:sz w:val="20"/>
          <w:szCs w:val="20"/>
        </w:rPr>
        <w:t>pin</w:t>
      </w:r>
      <w:r w:rsidR="0065081C" w:rsidRPr="00E90ABD">
        <w:rPr>
          <w:bCs/>
          <w:sz w:val="20"/>
          <w:szCs w:val="20"/>
        </w:rPr>
        <w:t xml:space="preserve"> </w:t>
      </w:r>
      <w:r w:rsidRPr="00E90ABD">
        <w:rPr>
          <w:bCs/>
          <w:sz w:val="20"/>
          <w:szCs w:val="20"/>
        </w:rPr>
        <w:t>fixation</w:t>
      </w:r>
      <w:r w:rsidR="0065081C" w:rsidRPr="00E90ABD">
        <w:rPr>
          <w:bCs/>
          <w:sz w:val="20"/>
          <w:szCs w:val="20"/>
        </w:rPr>
        <w:t xml:space="preserve"> </w:t>
      </w:r>
      <w:r w:rsidRPr="00E90ABD">
        <w:rPr>
          <w:bCs/>
          <w:sz w:val="20"/>
          <w:szCs w:val="20"/>
        </w:rPr>
        <w:t>for</w:t>
      </w:r>
      <w:r w:rsidR="0065081C" w:rsidRPr="00E90ABD">
        <w:rPr>
          <w:bCs/>
          <w:sz w:val="20"/>
          <w:szCs w:val="20"/>
        </w:rPr>
        <w:t xml:space="preserve"> </w:t>
      </w:r>
      <w:r w:rsidRPr="00E90ABD">
        <w:rPr>
          <w:bCs/>
          <w:sz w:val="20"/>
          <w:szCs w:val="20"/>
        </w:rPr>
        <w:t>completely</w:t>
      </w:r>
      <w:r w:rsidR="0065081C" w:rsidRPr="00E90ABD">
        <w:rPr>
          <w:bCs/>
          <w:sz w:val="20"/>
          <w:szCs w:val="20"/>
        </w:rPr>
        <w:t xml:space="preserve"> </w:t>
      </w:r>
      <w:r w:rsidRPr="00E90ABD">
        <w:rPr>
          <w:bCs/>
          <w:sz w:val="20"/>
          <w:szCs w:val="20"/>
        </w:rPr>
        <w:t>displaced</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humeral</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children.</w:t>
      </w:r>
      <w:r w:rsidR="0065081C" w:rsidRPr="00E90ABD">
        <w:rPr>
          <w:bCs/>
          <w:sz w:val="20"/>
          <w:szCs w:val="20"/>
        </w:rPr>
        <w:t xml:space="preserve"> </w:t>
      </w:r>
      <w:r w:rsidRPr="00E90ABD">
        <w:rPr>
          <w:bCs/>
          <w:sz w:val="20"/>
          <w:szCs w:val="20"/>
        </w:rPr>
        <w:t>A</w:t>
      </w:r>
      <w:r w:rsidR="0065081C" w:rsidRPr="00E90ABD">
        <w:rPr>
          <w:bCs/>
          <w:sz w:val="20"/>
          <w:szCs w:val="20"/>
        </w:rPr>
        <w:t xml:space="preserve"> </w:t>
      </w:r>
      <w:r w:rsidRPr="00E90ABD">
        <w:rPr>
          <w:bCs/>
          <w:sz w:val="20"/>
          <w:szCs w:val="20"/>
        </w:rPr>
        <w:t>randomized</w:t>
      </w:r>
      <w:r w:rsidR="0065081C" w:rsidRPr="00E90ABD">
        <w:rPr>
          <w:bCs/>
          <w:sz w:val="20"/>
          <w:szCs w:val="20"/>
        </w:rPr>
        <w:t xml:space="preserve"> </w:t>
      </w:r>
      <w:r w:rsidRPr="00E90ABD">
        <w:rPr>
          <w:bCs/>
          <w:sz w:val="20"/>
          <w:szCs w:val="20"/>
        </w:rPr>
        <w:t>clinical</w:t>
      </w:r>
      <w:r w:rsidR="0065081C" w:rsidRPr="00E90ABD">
        <w:rPr>
          <w:bCs/>
          <w:sz w:val="20"/>
          <w:szCs w:val="20"/>
        </w:rPr>
        <w:t xml:space="preserve"> </w:t>
      </w:r>
      <w:r w:rsidRPr="00E90ABD">
        <w:rPr>
          <w:bCs/>
          <w:sz w:val="20"/>
          <w:szCs w:val="20"/>
        </w:rPr>
        <w:t>trial.</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Bone</w:t>
      </w:r>
      <w:r w:rsidR="0065081C" w:rsidRPr="00E90ABD">
        <w:rPr>
          <w:bCs/>
          <w:sz w:val="20"/>
          <w:szCs w:val="20"/>
        </w:rPr>
        <w:t xml:space="preserve"> </w:t>
      </w:r>
      <w:r w:rsidRPr="00E90ABD">
        <w:rPr>
          <w:bCs/>
          <w:sz w:val="20"/>
          <w:szCs w:val="20"/>
        </w:rPr>
        <w:t>Joint</w:t>
      </w:r>
      <w:r w:rsidR="0065081C" w:rsidRPr="00E90ABD">
        <w:rPr>
          <w:bCs/>
          <w:sz w:val="20"/>
          <w:szCs w:val="20"/>
        </w:rPr>
        <w:t xml:space="preserve"> </w:t>
      </w:r>
      <w:r w:rsidRPr="00E90ABD">
        <w:rPr>
          <w:bCs/>
          <w:sz w:val="20"/>
          <w:szCs w:val="20"/>
        </w:rPr>
        <w:t>Surg</w:t>
      </w:r>
      <w:r w:rsidR="0065081C" w:rsidRPr="00E90ABD">
        <w:rPr>
          <w:bCs/>
          <w:sz w:val="20"/>
          <w:szCs w:val="20"/>
        </w:rPr>
        <w:t xml:space="preserve"> </w:t>
      </w:r>
      <w:r w:rsidRPr="00E90ABD">
        <w:rPr>
          <w:bCs/>
          <w:sz w:val="20"/>
          <w:szCs w:val="20"/>
        </w:rPr>
        <w:t>Am.</w:t>
      </w:r>
      <w:r w:rsidR="0065081C" w:rsidRPr="00E90ABD">
        <w:rPr>
          <w:bCs/>
          <w:sz w:val="20"/>
          <w:szCs w:val="20"/>
        </w:rPr>
        <w:t xml:space="preserve"> </w:t>
      </w:r>
      <w:r w:rsidRPr="00E90ABD">
        <w:rPr>
          <w:bCs/>
          <w:sz w:val="20"/>
          <w:szCs w:val="20"/>
        </w:rPr>
        <w:t>2007;</w:t>
      </w:r>
      <w:r w:rsidR="0065081C" w:rsidRPr="00E90ABD">
        <w:rPr>
          <w:bCs/>
          <w:sz w:val="20"/>
          <w:szCs w:val="20"/>
        </w:rPr>
        <w:t xml:space="preserve"> </w:t>
      </w:r>
      <w:r w:rsidRPr="00E90ABD">
        <w:rPr>
          <w:bCs/>
          <w:sz w:val="20"/>
          <w:szCs w:val="20"/>
        </w:rPr>
        <w:t>89(4):706–712.</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Skaggs</w:t>
      </w:r>
      <w:r w:rsidR="0065081C" w:rsidRPr="00E90ABD">
        <w:rPr>
          <w:sz w:val="20"/>
          <w:szCs w:val="20"/>
        </w:rPr>
        <w:t xml:space="preserve"> </w:t>
      </w:r>
      <w:r w:rsidRPr="00E90ABD">
        <w:rPr>
          <w:sz w:val="20"/>
          <w:szCs w:val="20"/>
        </w:rPr>
        <w:t>DL,</w:t>
      </w:r>
      <w:r w:rsidR="0065081C" w:rsidRPr="00E90ABD">
        <w:rPr>
          <w:sz w:val="20"/>
          <w:szCs w:val="20"/>
        </w:rPr>
        <w:t xml:space="preserve"> </w:t>
      </w:r>
      <w:r w:rsidRPr="00E90ABD">
        <w:rPr>
          <w:sz w:val="20"/>
          <w:szCs w:val="20"/>
        </w:rPr>
        <w:t>Cluck</w:t>
      </w:r>
      <w:r w:rsidR="0065081C" w:rsidRPr="00E90ABD">
        <w:rPr>
          <w:sz w:val="20"/>
          <w:szCs w:val="20"/>
        </w:rPr>
        <w:t xml:space="preserve"> </w:t>
      </w:r>
      <w:r w:rsidRPr="00E90ABD">
        <w:rPr>
          <w:sz w:val="20"/>
          <w:szCs w:val="20"/>
        </w:rPr>
        <w:t>MW,</w:t>
      </w:r>
      <w:r w:rsidR="0065081C" w:rsidRPr="00E90ABD">
        <w:rPr>
          <w:sz w:val="20"/>
          <w:szCs w:val="20"/>
        </w:rPr>
        <w:t xml:space="preserve"> </w:t>
      </w:r>
      <w:r w:rsidRPr="00E90ABD">
        <w:rPr>
          <w:sz w:val="20"/>
          <w:szCs w:val="20"/>
        </w:rPr>
        <w:t>Mostofi</w:t>
      </w:r>
      <w:r w:rsidR="0065081C" w:rsidRPr="00E90ABD">
        <w:rPr>
          <w:sz w:val="20"/>
          <w:szCs w:val="20"/>
        </w:rPr>
        <w:t xml:space="preserve"> </w:t>
      </w:r>
      <w:r w:rsidRPr="00E90ABD">
        <w:rPr>
          <w:sz w:val="20"/>
          <w:szCs w:val="20"/>
        </w:rPr>
        <w:t>A,</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sz w:val="20"/>
          <w:szCs w:val="20"/>
        </w:rPr>
        <w:t xml:space="preserve"> </w:t>
      </w:r>
      <w:r w:rsidRPr="00E90ABD">
        <w:rPr>
          <w:bCs/>
          <w:sz w:val="20"/>
          <w:szCs w:val="20"/>
        </w:rPr>
        <w:t>Lateral-entry</w:t>
      </w:r>
      <w:r w:rsidR="0065081C" w:rsidRPr="00E90ABD">
        <w:rPr>
          <w:bCs/>
          <w:sz w:val="20"/>
          <w:szCs w:val="20"/>
        </w:rPr>
        <w:t xml:space="preserve"> </w:t>
      </w:r>
      <w:r w:rsidRPr="00E90ABD">
        <w:rPr>
          <w:bCs/>
          <w:sz w:val="20"/>
          <w:szCs w:val="20"/>
        </w:rPr>
        <w:t>pin</w:t>
      </w:r>
      <w:r w:rsidR="0065081C" w:rsidRPr="00E90ABD">
        <w:rPr>
          <w:bCs/>
          <w:sz w:val="20"/>
          <w:szCs w:val="20"/>
        </w:rPr>
        <w:t xml:space="preserve"> </w:t>
      </w:r>
      <w:r w:rsidRPr="00E90ABD">
        <w:rPr>
          <w:bCs/>
          <w:sz w:val="20"/>
          <w:szCs w:val="20"/>
        </w:rPr>
        <w:t>fixation</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management</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children.</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Bone</w:t>
      </w:r>
      <w:r w:rsidR="0065081C" w:rsidRPr="00E90ABD">
        <w:rPr>
          <w:bCs/>
          <w:sz w:val="20"/>
          <w:szCs w:val="20"/>
        </w:rPr>
        <w:t xml:space="preserve"> </w:t>
      </w:r>
      <w:r w:rsidRPr="00E90ABD">
        <w:rPr>
          <w:bCs/>
          <w:sz w:val="20"/>
          <w:szCs w:val="20"/>
        </w:rPr>
        <w:t>Joint</w:t>
      </w:r>
      <w:r w:rsidR="0065081C" w:rsidRPr="00E90ABD">
        <w:rPr>
          <w:bCs/>
          <w:sz w:val="20"/>
          <w:szCs w:val="20"/>
        </w:rPr>
        <w:t xml:space="preserve"> </w:t>
      </w:r>
      <w:r w:rsidRPr="00E90ABD">
        <w:rPr>
          <w:bCs/>
          <w:sz w:val="20"/>
          <w:szCs w:val="20"/>
        </w:rPr>
        <w:t>Surg</w:t>
      </w:r>
      <w:r w:rsidR="0065081C" w:rsidRPr="00E90ABD">
        <w:rPr>
          <w:bCs/>
          <w:sz w:val="20"/>
          <w:szCs w:val="20"/>
        </w:rPr>
        <w:t xml:space="preserve"> </w:t>
      </w:r>
      <w:r w:rsidRPr="00E90ABD">
        <w:rPr>
          <w:bCs/>
          <w:sz w:val="20"/>
          <w:szCs w:val="20"/>
        </w:rPr>
        <w:t>Am.</w:t>
      </w:r>
      <w:r w:rsidR="0065081C" w:rsidRPr="00E90ABD">
        <w:rPr>
          <w:bCs/>
          <w:sz w:val="20"/>
          <w:szCs w:val="20"/>
        </w:rPr>
        <w:t xml:space="preserve"> </w:t>
      </w:r>
      <w:r w:rsidRPr="00E90ABD">
        <w:rPr>
          <w:bCs/>
          <w:sz w:val="20"/>
          <w:szCs w:val="20"/>
        </w:rPr>
        <w:t>2004;</w:t>
      </w:r>
      <w:r w:rsidR="0065081C" w:rsidRPr="00E90ABD">
        <w:rPr>
          <w:bCs/>
          <w:sz w:val="20"/>
          <w:szCs w:val="20"/>
        </w:rPr>
        <w:t xml:space="preserve"> </w:t>
      </w:r>
      <w:r w:rsidRPr="00E90ABD">
        <w:rPr>
          <w:bCs/>
          <w:sz w:val="20"/>
          <w:szCs w:val="20"/>
        </w:rPr>
        <w:t>86(4):702–707.</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Slobogean</w:t>
      </w:r>
      <w:r w:rsidR="0065081C" w:rsidRPr="00E90ABD">
        <w:rPr>
          <w:sz w:val="20"/>
          <w:szCs w:val="20"/>
        </w:rPr>
        <w:t xml:space="preserve"> </w:t>
      </w:r>
      <w:r w:rsidRPr="00E90ABD">
        <w:rPr>
          <w:sz w:val="20"/>
          <w:szCs w:val="20"/>
        </w:rPr>
        <w:t>BL,</w:t>
      </w:r>
      <w:r w:rsidR="0065081C" w:rsidRPr="00E90ABD">
        <w:rPr>
          <w:sz w:val="20"/>
          <w:szCs w:val="20"/>
        </w:rPr>
        <w:t xml:space="preserve"> </w:t>
      </w:r>
      <w:r w:rsidRPr="00E90ABD">
        <w:rPr>
          <w:sz w:val="20"/>
          <w:szCs w:val="20"/>
        </w:rPr>
        <w:t>Jackman</w:t>
      </w:r>
      <w:r w:rsidR="0065081C" w:rsidRPr="00E90ABD">
        <w:rPr>
          <w:sz w:val="20"/>
          <w:szCs w:val="20"/>
        </w:rPr>
        <w:t xml:space="preserve"> </w:t>
      </w:r>
      <w:r w:rsidRPr="00E90ABD">
        <w:rPr>
          <w:sz w:val="20"/>
          <w:szCs w:val="20"/>
        </w:rPr>
        <w:t>H,</w:t>
      </w:r>
      <w:r w:rsidR="0065081C" w:rsidRPr="00E90ABD">
        <w:rPr>
          <w:sz w:val="20"/>
          <w:szCs w:val="20"/>
        </w:rPr>
        <w:t xml:space="preserve"> </w:t>
      </w:r>
      <w:r w:rsidRPr="00E90ABD">
        <w:rPr>
          <w:sz w:val="20"/>
          <w:szCs w:val="20"/>
        </w:rPr>
        <w:t>Tennant</w:t>
      </w:r>
      <w:r w:rsidR="0065081C" w:rsidRPr="00E90ABD">
        <w:rPr>
          <w:sz w:val="20"/>
          <w:szCs w:val="20"/>
        </w:rPr>
        <w:t xml:space="preserve"> </w:t>
      </w:r>
      <w:r w:rsidRPr="00E90ABD">
        <w:rPr>
          <w:sz w:val="20"/>
          <w:szCs w:val="20"/>
        </w:rPr>
        <w:t>S,</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sz w:val="20"/>
          <w:szCs w:val="20"/>
        </w:rPr>
        <w:t xml:space="preserve"> </w:t>
      </w:r>
      <w:r w:rsidRPr="00E90ABD">
        <w:rPr>
          <w:bCs/>
          <w:sz w:val="20"/>
          <w:szCs w:val="20"/>
        </w:rPr>
        <w:t>Iatrogenic</w:t>
      </w:r>
      <w:r w:rsidR="0065081C" w:rsidRPr="00E90ABD">
        <w:rPr>
          <w:bCs/>
          <w:sz w:val="20"/>
          <w:szCs w:val="20"/>
        </w:rPr>
        <w:t xml:space="preserve"> </w:t>
      </w:r>
      <w:r w:rsidRPr="00E90ABD">
        <w:rPr>
          <w:bCs/>
          <w:sz w:val="20"/>
          <w:szCs w:val="20"/>
        </w:rPr>
        <w:t>ulnar</w:t>
      </w:r>
      <w:r w:rsidR="0065081C" w:rsidRPr="00E90ABD">
        <w:rPr>
          <w:bCs/>
          <w:sz w:val="20"/>
          <w:szCs w:val="20"/>
        </w:rPr>
        <w:t xml:space="preserve"> </w:t>
      </w:r>
      <w:r w:rsidRPr="00E90ABD">
        <w:rPr>
          <w:bCs/>
          <w:sz w:val="20"/>
          <w:szCs w:val="20"/>
        </w:rPr>
        <w:t>nerve</w:t>
      </w:r>
      <w:r w:rsidR="0065081C" w:rsidRPr="00E90ABD">
        <w:rPr>
          <w:bCs/>
          <w:sz w:val="20"/>
          <w:szCs w:val="20"/>
        </w:rPr>
        <w:t xml:space="preserve"> </w:t>
      </w:r>
      <w:r w:rsidRPr="00E90ABD">
        <w:rPr>
          <w:bCs/>
          <w:sz w:val="20"/>
          <w:szCs w:val="20"/>
        </w:rPr>
        <w:t>injury</w:t>
      </w:r>
      <w:r w:rsidR="0065081C" w:rsidRPr="00E90ABD">
        <w:rPr>
          <w:bCs/>
          <w:sz w:val="20"/>
          <w:szCs w:val="20"/>
        </w:rPr>
        <w:t xml:space="preserve"> </w:t>
      </w:r>
      <w:r w:rsidRPr="00E90ABD">
        <w:rPr>
          <w:bCs/>
          <w:sz w:val="20"/>
          <w:szCs w:val="20"/>
        </w:rPr>
        <w:t>after</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surgical</w:t>
      </w:r>
      <w:r w:rsidR="0065081C" w:rsidRPr="00E90ABD">
        <w:rPr>
          <w:bCs/>
          <w:sz w:val="20"/>
          <w:szCs w:val="20"/>
        </w:rPr>
        <w:t xml:space="preserve"> </w:t>
      </w:r>
      <w:r w:rsidRPr="00E90ABD">
        <w:rPr>
          <w:bCs/>
          <w:sz w:val="20"/>
          <w:szCs w:val="20"/>
        </w:rPr>
        <w:t>treatment</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displaced</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number</w:t>
      </w:r>
      <w:r w:rsidR="0065081C" w:rsidRPr="00E90ABD">
        <w:rPr>
          <w:bCs/>
          <w:sz w:val="20"/>
          <w:szCs w:val="20"/>
        </w:rPr>
        <w:t xml:space="preserve"> </w:t>
      </w:r>
      <w:r w:rsidRPr="00E90ABD">
        <w:rPr>
          <w:bCs/>
          <w:sz w:val="20"/>
          <w:szCs w:val="20"/>
        </w:rPr>
        <w:t>needed</w:t>
      </w:r>
      <w:r w:rsidR="0065081C" w:rsidRPr="00E90ABD">
        <w:rPr>
          <w:bCs/>
          <w:sz w:val="20"/>
          <w:szCs w:val="20"/>
        </w:rPr>
        <w:t xml:space="preserve"> </w:t>
      </w:r>
      <w:r w:rsidRPr="00E90ABD">
        <w:rPr>
          <w:bCs/>
          <w:sz w:val="20"/>
          <w:szCs w:val="20"/>
        </w:rPr>
        <w:t>to</w:t>
      </w:r>
      <w:r w:rsidR="0065081C" w:rsidRPr="00E90ABD">
        <w:rPr>
          <w:bCs/>
          <w:sz w:val="20"/>
          <w:szCs w:val="20"/>
        </w:rPr>
        <w:t xml:space="preserve"> </w:t>
      </w:r>
      <w:r w:rsidRPr="00E90ABD">
        <w:rPr>
          <w:bCs/>
          <w:sz w:val="20"/>
          <w:szCs w:val="20"/>
        </w:rPr>
        <w:t>harm,</w:t>
      </w:r>
      <w:r w:rsidR="0065081C" w:rsidRPr="00E90ABD">
        <w:rPr>
          <w:bCs/>
          <w:sz w:val="20"/>
          <w:szCs w:val="20"/>
        </w:rPr>
        <w:t xml:space="preserve"> </w:t>
      </w:r>
      <w:r w:rsidRPr="00E90ABD">
        <w:rPr>
          <w:bCs/>
          <w:sz w:val="20"/>
          <w:szCs w:val="20"/>
        </w:rPr>
        <w:t>a</w:t>
      </w:r>
      <w:r w:rsidR="0065081C" w:rsidRPr="00E90ABD">
        <w:rPr>
          <w:bCs/>
          <w:sz w:val="20"/>
          <w:szCs w:val="20"/>
        </w:rPr>
        <w:t xml:space="preserve"> </w:t>
      </w:r>
      <w:r w:rsidRPr="00E90ABD">
        <w:rPr>
          <w:bCs/>
          <w:sz w:val="20"/>
          <w:szCs w:val="20"/>
        </w:rPr>
        <w:t>systematic</w:t>
      </w:r>
      <w:r w:rsidR="0065081C" w:rsidRPr="00E90ABD">
        <w:rPr>
          <w:bCs/>
          <w:sz w:val="20"/>
          <w:szCs w:val="20"/>
        </w:rPr>
        <w:t xml:space="preserve"> </w:t>
      </w:r>
      <w:r w:rsidRPr="00E90ABD">
        <w:rPr>
          <w:bCs/>
          <w:sz w:val="20"/>
          <w:szCs w:val="20"/>
        </w:rPr>
        <w:t>review.</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Pediatr</w:t>
      </w:r>
      <w:r w:rsidR="0065081C" w:rsidRPr="00E90ABD">
        <w:rPr>
          <w:bCs/>
          <w:sz w:val="20"/>
          <w:szCs w:val="20"/>
        </w:rPr>
        <w:t xml:space="preserve"> </w:t>
      </w:r>
      <w:r w:rsidRPr="00E90ABD">
        <w:rPr>
          <w:bCs/>
          <w:sz w:val="20"/>
          <w:szCs w:val="20"/>
        </w:rPr>
        <w:t>Orthop.</w:t>
      </w:r>
      <w:r w:rsidR="0065081C" w:rsidRPr="00E90ABD">
        <w:rPr>
          <w:bCs/>
          <w:sz w:val="20"/>
          <w:szCs w:val="20"/>
        </w:rPr>
        <w:t xml:space="preserve"> </w:t>
      </w:r>
      <w:r w:rsidRPr="00E90ABD">
        <w:rPr>
          <w:bCs/>
          <w:sz w:val="20"/>
          <w:szCs w:val="20"/>
        </w:rPr>
        <w:t>2010;</w:t>
      </w:r>
      <w:r w:rsidR="0065081C" w:rsidRPr="00E90ABD">
        <w:rPr>
          <w:bCs/>
          <w:sz w:val="20"/>
          <w:szCs w:val="20"/>
        </w:rPr>
        <w:t xml:space="preserve"> </w:t>
      </w:r>
      <w:r w:rsidRPr="00E90ABD">
        <w:rPr>
          <w:bCs/>
          <w:sz w:val="20"/>
          <w:szCs w:val="20"/>
        </w:rPr>
        <w:t>30(5):</w:t>
      </w:r>
      <w:r w:rsidR="0065081C" w:rsidRPr="00E90ABD">
        <w:rPr>
          <w:bCs/>
          <w:sz w:val="20"/>
          <w:szCs w:val="20"/>
        </w:rPr>
        <w:t xml:space="preserve"> </w:t>
      </w:r>
      <w:r w:rsidRPr="00E90ABD">
        <w:rPr>
          <w:bCs/>
          <w:sz w:val="20"/>
          <w:szCs w:val="20"/>
        </w:rPr>
        <w:t>430–436.</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Walmsley</w:t>
      </w:r>
      <w:r w:rsidR="0065081C" w:rsidRPr="00E90ABD">
        <w:rPr>
          <w:sz w:val="20"/>
          <w:szCs w:val="20"/>
        </w:rPr>
        <w:t xml:space="preserve"> </w:t>
      </w:r>
      <w:r w:rsidRPr="00E90ABD">
        <w:rPr>
          <w:sz w:val="20"/>
          <w:szCs w:val="20"/>
        </w:rPr>
        <w:t>PJ,</w:t>
      </w:r>
      <w:r w:rsidR="0065081C" w:rsidRPr="00E90ABD">
        <w:rPr>
          <w:sz w:val="20"/>
          <w:szCs w:val="20"/>
        </w:rPr>
        <w:t xml:space="preserve"> </w:t>
      </w:r>
      <w:r w:rsidRPr="00E90ABD">
        <w:rPr>
          <w:sz w:val="20"/>
          <w:szCs w:val="20"/>
        </w:rPr>
        <w:t>Kelly</w:t>
      </w:r>
      <w:r w:rsidR="0065081C" w:rsidRPr="00E90ABD">
        <w:rPr>
          <w:sz w:val="20"/>
          <w:szCs w:val="20"/>
        </w:rPr>
        <w:t xml:space="preserve"> </w:t>
      </w:r>
      <w:r w:rsidRPr="00E90ABD">
        <w:rPr>
          <w:sz w:val="20"/>
          <w:szCs w:val="20"/>
        </w:rPr>
        <w:t>MB,</w:t>
      </w:r>
      <w:r w:rsidR="0065081C" w:rsidRPr="00E90ABD">
        <w:rPr>
          <w:sz w:val="20"/>
          <w:szCs w:val="20"/>
        </w:rPr>
        <w:t xml:space="preserve"> </w:t>
      </w:r>
      <w:r w:rsidRPr="00E90ABD">
        <w:rPr>
          <w:sz w:val="20"/>
          <w:szCs w:val="20"/>
        </w:rPr>
        <w:t>Robb</w:t>
      </w:r>
      <w:r w:rsidR="0065081C" w:rsidRPr="00E90ABD">
        <w:rPr>
          <w:sz w:val="20"/>
          <w:szCs w:val="20"/>
        </w:rPr>
        <w:t xml:space="preserve"> </w:t>
      </w:r>
      <w:r w:rsidRPr="00E90ABD">
        <w:rPr>
          <w:sz w:val="20"/>
          <w:szCs w:val="20"/>
        </w:rPr>
        <w:t>JE,</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sz w:val="20"/>
          <w:szCs w:val="20"/>
        </w:rPr>
        <w:t xml:space="preserve"> </w:t>
      </w:r>
      <w:r w:rsidRPr="00E90ABD">
        <w:rPr>
          <w:bCs/>
          <w:sz w:val="20"/>
          <w:szCs w:val="20"/>
        </w:rPr>
        <w:t>Delay</w:t>
      </w:r>
      <w:r w:rsidR="0065081C" w:rsidRPr="00E90ABD">
        <w:rPr>
          <w:bCs/>
          <w:sz w:val="20"/>
          <w:szCs w:val="20"/>
        </w:rPr>
        <w:t xml:space="preserve"> </w:t>
      </w:r>
      <w:r w:rsidRPr="00E90ABD">
        <w:rPr>
          <w:bCs/>
          <w:sz w:val="20"/>
          <w:szCs w:val="20"/>
        </w:rPr>
        <w:t>increases</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need</w:t>
      </w:r>
      <w:r w:rsidR="0065081C" w:rsidRPr="00E90ABD">
        <w:rPr>
          <w:bCs/>
          <w:sz w:val="20"/>
          <w:szCs w:val="20"/>
        </w:rPr>
        <w:t xml:space="preserve"> </w:t>
      </w:r>
      <w:r w:rsidRPr="00E90ABD">
        <w:rPr>
          <w:bCs/>
          <w:sz w:val="20"/>
          <w:szCs w:val="20"/>
        </w:rPr>
        <w:t>for</w:t>
      </w:r>
      <w:r w:rsidR="0065081C" w:rsidRPr="00E90ABD">
        <w:rPr>
          <w:bCs/>
          <w:sz w:val="20"/>
          <w:szCs w:val="20"/>
        </w:rPr>
        <w:t xml:space="preserve"> </w:t>
      </w:r>
      <w:r w:rsidRPr="00E90ABD">
        <w:rPr>
          <w:bCs/>
          <w:sz w:val="20"/>
          <w:szCs w:val="20"/>
        </w:rPr>
        <w:t>open</w:t>
      </w:r>
      <w:r w:rsidR="0065081C" w:rsidRPr="00E90ABD">
        <w:rPr>
          <w:bCs/>
          <w:sz w:val="20"/>
          <w:szCs w:val="20"/>
        </w:rPr>
        <w:t xml:space="preserve"> </w:t>
      </w:r>
      <w:r w:rsidRPr="00E90ABD">
        <w:rPr>
          <w:bCs/>
          <w:sz w:val="20"/>
          <w:szCs w:val="20"/>
        </w:rPr>
        <w:t>reduction</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type-III</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Bone</w:t>
      </w:r>
      <w:r w:rsidR="0065081C" w:rsidRPr="00E90ABD">
        <w:rPr>
          <w:bCs/>
          <w:sz w:val="20"/>
          <w:szCs w:val="20"/>
        </w:rPr>
        <w:t xml:space="preserve"> </w:t>
      </w:r>
      <w:r w:rsidRPr="00E90ABD">
        <w:rPr>
          <w:bCs/>
          <w:sz w:val="20"/>
          <w:szCs w:val="20"/>
        </w:rPr>
        <w:t>Joint</w:t>
      </w:r>
      <w:r w:rsidR="0065081C" w:rsidRPr="00E90ABD">
        <w:rPr>
          <w:bCs/>
          <w:sz w:val="20"/>
          <w:szCs w:val="20"/>
        </w:rPr>
        <w:t xml:space="preserve"> </w:t>
      </w:r>
      <w:r w:rsidRPr="00E90ABD">
        <w:rPr>
          <w:bCs/>
          <w:sz w:val="20"/>
          <w:szCs w:val="20"/>
        </w:rPr>
        <w:t>Surg</w:t>
      </w:r>
      <w:r w:rsidR="0065081C" w:rsidRPr="00E90ABD">
        <w:rPr>
          <w:bCs/>
          <w:sz w:val="20"/>
          <w:szCs w:val="20"/>
        </w:rPr>
        <w:t xml:space="preserve"> </w:t>
      </w:r>
      <w:r w:rsidRPr="00E90ABD">
        <w:rPr>
          <w:bCs/>
          <w:sz w:val="20"/>
          <w:szCs w:val="20"/>
        </w:rPr>
        <w:t>Br.</w:t>
      </w:r>
      <w:r w:rsidR="0065081C" w:rsidRPr="00E90ABD">
        <w:rPr>
          <w:bCs/>
          <w:sz w:val="20"/>
          <w:szCs w:val="20"/>
        </w:rPr>
        <w:t xml:space="preserve"> </w:t>
      </w:r>
      <w:r w:rsidRPr="00E90ABD">
        <w:rPr>
          <w:bCs/>
          <w:sz w:val="20"/>
          <w:szCs w:val="20"/>
        </w:rPr>
        <w:t>2006;</w:t>
      </w:r>
      <w:r w:rsidR="0065081C" w:rsidRPr="00E90ABD">
        <w:rPr>
          <w:bCs/>
          <w:sz w:val="20"/>
          <w:szCs w:val="20"/>
        </w:rPr>
        <w:t xml:space="preserve"> </w:t>
      </w:r>
      <w:r w:rsidRPr="00E90ABD">
        <w:rPr>
          <w:bCs/>
          <w:sz w:val="20"/>
          <w:szCs w:val="20"/>
        </w:rPr>
        <w:t>88:</w:t>
      </w:r>
      <w:r w:rsidR="0065081C" w:rsidRPr="00E90ABD">
        <w:rPr>
          <w:bCs/>
          <w:sz w:val="20"/>
          <w:szCs w:val="20"/>
        </w:rPr>
        <w:t xml:space="preserve"> </w:t>
      </w:r>
      <w:r w:rsidRPr="00E90ABD">
        <w:rPr>
          <w:bCs/>
          <w:sz w:val="20"/>
          <w:szCs w:val="20"/>
        </w:rPr>
        <w:t>528–530.</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Sibinski</w:t>
      </w:r>
      <w:r w:rsidR="0065081C" w:rsidRPr="00E90ABD">
        <w:rPr>
          <w:sz w:val="20"/>
          <w:szCs w:val="20"/>
        </w:rPr>
        <w:t xml:space="preserve"> </w:t>
      </w:r>
      <w:r w:rsidRPr="00E90ABD">
        <w:rPr>
          <w:sz w:val="20"/>
          <w:szCs w:val="20"/>
        </w:rPr>
        <w:t>M,</w:t>
      </w:r>
      <w:r w:rsidR="0065081C" w:rsidRPr="00E90ABD">
        <w:rPr>
          <w:sz w:val="20"/>
          <w:szCs w:val="20"/>
        </w:rPr>
        <w:t xml:space="preserve"> </w:t>
      </w:r>
      <w:r w:rsidRPr="00E90ABD">
        <w:rPr>
          <w:sz w:val="20"/>
          <w:szCs w:val="20"/>
        </w:rPr>
        <w:t>Sharma</w:t>
      </w:r>
      <w:r w:rsidR="0065081C" w:rsidRPr="00E90ABD">
        <w:rPr>
          <w:sz w:val="20"/>
          <w:szCs w:val="20"/>
        </w:rPr>
        <w:t xml:space="preserve"> </w:t>
      </w:r>
      <w:r w:rsidRPr="00E90ABD">
        <w:rPr>
          <w:sz w:val="20"/>
          <w:szCs w:val="20"/>
        </w:rPr>
        <w:t>H,</w:t>
      </w:r>
      <w:r w:rsidR="0065081C" w:rsidRPr="00E90ABD">
        <w:rPr>
          <w:sz w:val="20"/>
          <w:szCs w:val="20"/>
        </w:rPr>
        <w:t xml:space="preserve"> </w:t>
      </w:r>
      <w:r w:rsidRPr="00E90ABD">
        <w:rPr>
          <w:sz w:val="20"/>
          <w:szCs w:val="20"/>
        </w:rPr>
        <w:t>Bennet</w:t>
      </w:r>
      <w:r w:rsidR="0065081C" w:rsidRPr="00E90ABD">
        <w:rPr>
          <w:sz w:val="20"/>
          <w:szCs w:val="20"/>
        </w:rPr>
        <w:t xml:space="preserve"> </w:t>
      </w:r>
      <w:r w:rsidRPr="00E90ABD">
        <w:rPr>
          <w:sz w:val="20"/>
          <w:szCs w:val="20"/>
        </w:rPr>
        <w:t>GC.</w:t>
      </w:r>
      <w:r w:rsidR="0065081C" w:rsidRPr="00E90ABD">
        <w:rPr>
          <w:sz w:val="20"/>
          <w:szCs w:val="20"/>
        </w:rPr>
        <w:t xml:space="preserve"> </w:t>
      </w:r>
      <w:r w:rsidRPr="00E90ABD">
        <w:rPr>
          <w:bCs/>
          <w:sz w:val="20"/>
          <w:szCs w:val="20"/>
        </w:rPr>
        <w:t>Early</w:t>
      </w:r>
      <w:r w:rsidR="0065081C" w:rsidRPr="00E90ABD">
        <w:rPr>
          <w:bCs/>
          <w:sz w:val="20"/>
          <w:szCs w:val="20"/>
        </w:rPr>
        <w:t xml:space="preserve"> </w:t>
      </w:r>
      <w:r w:rsidRPr="00E90ABD">
        <w:rPr>
          <w:bCs/>
          <w:sz w:val="20"/>
          <w:szCs w:val="20"/>
        </w:rPr>
        <w:t>versus</w:t>
      </w:r>
      <w:r w:rsidR="0065081C" w:rsidRPr="00E90ABD">
        <w:rPr>
          <w:bCs/>
          <w:sz w:val="20"/>
          <w:szCs w:val="20"/>
        </w:rPr>
        <w:t xml:space="preserve"> </w:t>
      </w:r>
      <w:r w:rsidRPr="00E90ABD">
        <w:rPr>
          <w:bCs/>
          <w:sz w:val="20"/>
          <w:szCs w:val="20"/>
        </w:rPr>
        <w:t>delayed</w:t>
      </w:r>
      <w:r w:rsidR="0065081C" w:rsidRPr="00E90ABD">
        <w:rPr>
          <w:bCs/>
          <w:sz w:val="20"/>
          <w:szCs w:val="20"/>
        </w:rPr>
        <w:t xml:space="preserve"> </w:t>
      </w:r>
      <w:r w:rsidRPr="00E90ABD">
        <w:rPr>
          <w:bCs/>
          <w:sz w:val="20"/>
          <w:szCs w:val="20"/>
        </w:rPr>
        <w:t>treatment</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extension</w:t>
      </w:r>
      <w:r w:rsidR="0065081C" w:rsidRPr="00E90ABD">
        <w:rPr>
          <w:bCs/>
          <w:sz w:val="20"/>
          <w:szCs w:val="20"/>
        </w:rPr>
        <w:t xml:space="preserve"> </w:t>
      </w:r>
      <w:r w:rsidRPr="00E90ABD">
        <w:rPr>
          <w:bCs/>
          <w:sz w:val="20"/>
          <w:szCs w:val="20"/>
        </w:rPr>
        <w:t>type-3</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children.</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Bone</w:t>
      </w:r>
      <w:r w:rsidR="0065081C" w:rsidRPr="00E90ABD">
        <w:rPr>
          <w:bCs/>
          <w:sz w:val="20"/>
          <w:szCs w:val="20"/>
        </w:rPr>
        <w:t xml:space="preserve"> </w:t>
      </w:r>
      <w:r w:rsidRPr="00E90ABD">
        <w:rPr>
          <w:bCs/>
          <w:sz w:val="20"/>
          <w:szCs w:val="20"/>
        </w:rPr>
        <w:t>Joint</w:t>
      </w:r>
      <w:r w:rsidR="0065081C" w:rsidRPr="00E90ABD">
        <w:rPr>
          <w:bCs/>
          <w:sz w:val="20"/>
          <w:szCs w:val="20"/>
        </w:rPr>
        <w:t xml:space="preserve"> </w:t>
      </w:r>
      <w:r w:rsidRPr="00E90ABD">
        <w:rPr>
          <w:bCs/>
          <w:sz w:val="20"/>
          <w:szCs w:val="20"/>
        </w:rPr>
        <w:t>Surg</w:t>
      </w:r>
      <w:r w:rsidR="0065081C" w:rsidRPr="00E90ABD">
        <w:rPr>
          <w:bCs/>
          <w:sz w:val="20"/>
          <w:szCs w:val="20"/>
        </w:rPr>
        <w:t xml:space="preserve"> </w:t>
      </w:r>
      <w:r w:rsidRPr="00E90ABD">
        <w:rPr>
          <w:bCs/>
          <w:sz w:val="20"/>
          <w:szCs w:val="20"/>
        </w:rPr>
        <w:t>Br.</w:t>
      </w:r>
      <w:r w:rsidR="0065081C" w:rsidRPr="00E90ABD">
        <w:rPr>
          <w:bCs/>
          <w:sz w:val="20"/>
          <w:szCs w:val="20"/>
        </w:rPr>
        <w:t xml:space="preserve"> </w:t>
      </w:r>
      <w:r w:rsidRPr="00E90ABD">
        <w:rPr>
          <w:bCs/>
          <w:sz w:val="20"/>
          <w:szCs w:val="20"/>
        </w:rPr>
        <w:t>2006;</w:t>
      </w:r>
      <w:r w:rsidR="0065081C" w:rsidRPr="00E90ABD">
        <w:rPr>
          <w:bCs/>
          <w:sz w:val="20"/>
          <w:szCs w:val="20"/>
        </w:rPr>
        <w:t xml:space="preserve"> </w:t>
      </w:r>
      <w:r w:rsidRPr="00E90ABD">
        <w:rPr>
          <w:bCs/>
          <w:sz w:val="20"/>
          <w:szCs w:val="20"/>
        </w:rPr>
        <w:t>88:</w:t>
      </w:r>
      <w:r w:rsidR="0065081C" w:rsidRPr="00E90ABD">
        <w:rPr>
          <w:bCs/>
          <w:sz w:val="20"/>
          <w:szCs w:val="20"/>
        </w:rPr>
        <w:t xml:space="preserve"> </w:t>
      </w:r>
      <w:r w:rsidRPr="00E90ABD">
        <w:rPr>
          <w:bCs/>
          <w:sz w:val="20"/>
          <w:szCs w:val="20"/>
        </w:rPr>
        <w:t>380–381.</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Wixted</w:t>
      </w:r>
      <w:r w:rsidR="0065081C" w:rsidRPr="00E90ABD">
        <w:rPr>
          <w:sz w:val="20"/>
          <w:szCs w:val="20"/>
        </w:rPr>
        <w:t xml:space="preserve"> </w:t>
      </w:r>
      <w:r w:rsidRPr="00E90ABD">
        <w:rPr>
          <w:sz w:val="20"/>
          <w:szCs w:val="20"/>
        </w:rPr>
        <w:t>JJ,</w:t>
      </w:r>
      <w:r w:rsidR="0065081C" w:rsidRPr="00E90ABD">
        <w:rPr>
          <w:sz w:val="20"/>
          <w:szCs w:val="20"/>
        </w:rPr>
        <w:t xml:space="preserve"> </w:t>
      </w:r>
      <w:r w:rsidRPr="00E90ABD">
        <w:rPr>
          <w:sz w:val="20"/>
          <w:szCs w:val="20"/>
        </w:rPr>
        <w:t>Reed</w:t>
      </w:r>
      <w:r w:rsidR="0065081C" w:rsidRPr="00E90ABD">
        <w:rPr>
          <w:sz w:val="20"/>
          <w:szCs w:val="20"/>
        </w:rPr>
        <w:t xml:space="preserve"> </w:t>
      </w:r>
      <w:r w:rsidRPr="00E90ABD">
        <w:rPr>
          <w:sz w:val="20"/>
          <w:szCs w:val="20"/>
        </w:rPr>
        <w:t>M,</w:t>
      </w:r>
      <w:r w:rsidR="0065081C" w:rsidRPr="00E90ABD">
        <w:rPr>
          <w:sz w:val="20"/>
          <w:szCs w:val="20"/>
        </w:rPr>
        <w:t xml:space="preserve"> </w:t>
      </w:r>
      <w:r w:rsidRPr="00E90ABD">
        <w:rPr>
          <w:sz w:val="20"/>
          <w:szCs w:val="20"/>
        </w:rPr>
        <w:t>Eskander</w:t>
      </w:r>
      <w:r w:rsidR="0065081C" w:rsidRPr="00E90ABD">
        <w:rPr>
          <w:sz w:val="20"/>
          <w:szCs w:val="20"/>
        </w:rPr>
        <w:t xml:space="preserve"> </w:t>
      </w:r>
      <w:r w:rsidRPr="00E90ABD">
        <w:rPr>
          <w:sz w:val="20"/>
          <w:szCs w:val="20"/>
        </w:rPr>
        <w:t>MS,</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effect</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an</w:t>
      </w:r>
      <w:r w:rsidR="0065081C" w:rsidRPr="00E90ABD">
        <w:rPr>
          <w:bCs/>
          <w:sz w:val="20"/>
          <w:szCs w:val="20"/>
        </w:rPr>
        <w:t xml:space="preserve"> </w:t>
      </w:r>
      <w:r w:rsidRPr="00E90ABD">
        <w:rPr>
          <w:bCs/>
          <w:sz w:val="20"/>
          <w:szCs w:val="20"/>
        </w:rPr>
        <w:t>orthopedic</w:t>
      </w:r>
      <w:r w:rsidR="0065081C" w:rsidRPr="00E90ABD">
        <w:rPr>
          <w:bCs/>
          <w:sz w:val="20"/>
          <w:szCs w:val="20"/>
        </w:rPr>
        <w:t xml:space="preserve"> </w:t>
      </w:r>
      <w:r w:rsidRPr="00E90ABD">
        <w:rPr>
          <w:bCs/>
          <w:sz w:val="20"/>
          <w:szCs w:val="20"/>
        </w:rPr>
        <w:t>trauma</w:t>
      </w:r>
      <w:r w:rsidR="0065081C" w:rsidRPr="00E90ABD">
        <w:rPr>
          <w:bCs/>
          <w:sz w:val="20"/>
          <w:szCs w:val="20"/>
        </w:rPr>
        <w:t xml:space="preserve"> </w:t>
      </w:r>
      <w:r w:rsidRPr="00E90ABD">
        <w:rPr>
          <w:bCs/>
          <w:sz w:val="20"/>
          <w:szCs w:val="20"/>
        </w:rPr>
        <w:t>room</w:t>
      </w:r>
      <w:r w:rsidR="0065081C" w:rsidRPr="00E90ABD">
        <w:rPr>
          <w:bCs/>
          <w:sz w:val="20"/>
          <w:szCs w:val="20"/>
        </w:rPr>
        <w:t xml:space="preserve"> </w:t>
      </w:r>
      <w:r w:rsidRPr="00E90ABD">
        <w:rPr>
          <w:bCs/>
          <w:sz w:val="20"/>
          <w:szCs w:val="20"/>
        </w:rPr>
        <w:t>on</w:t>
      </w:r>
      <w:r w:rsidR="0065081C" w:rsidRPr="00E90ABD">
        <w:rPr>
          <w:bCs/>
          <w:sz w:val="20"/>
          <w:szCs w:val="20"/>
        </w:rPr>
        <w:t xml:space="preserve"> </w:t>
      </w:r>
      <w:r w:rsidRPr="00E90ABD">
        <w:rPr>
          <w:bCs/>
          <w:sz w:val="20"/>
          <w:szCs w:val="20"/>
        </w:rPr>
        <w:t>after-hours</w:t>
      </w:r>
      <w:r w:rsidR="0065081C" w:rsidRPr="00E90ABD">
        <w:rPr>
          <w:bCs/>
          <w:sz w:val="20"/>
          <w:szCs w:val="20"/>
        </w:rPr>
        <w:t xml:space="preserve"> </w:t>
      </w:r>
      <w:r w:rsidRPr="00E90ABD">
        <w:rPr>
          <w:bCs/>
          <w:sz w:val="20"/>
          <w:szCs w:val="20"/>
        </w:rPr>
        <w:t>surgery</w:t>
      </w:r>
      <w:r w:rsidR="0065081C" w:rsidRPr="00E90ABD">
        <w:rPr>
          <w:bCs/>
          <w:sz w:val="20"/>
          <w:szCs w:val="20"/>
        </w:rPr>
        <w:t xml:space="preserve"> </w:t>
      </w:r>
      <w:r w:rsidRPr="00E90ABD">
        <w:rPr>
          <w:bCs/>
          <w:sz w:val="20"/>
          <w:szCs w:val="20"/>
        </w:rPr>
        <w:t>at</w:t>
      </w:r>
      <w:r w:rsidR="0065081C" w:rsidRPr="00E90ABD">
        <w:rPr>
          <w:bCs/>
          <w:sz w:val="20"/>
          <w:szCs w:val="20"/>
        </w:rPr>
        <w:t xml:space="preserve"> </w:t>
      </w:r>
      <w:r w:rsidRPr="00E90ABD">
        <w:rPr>
          <w:bCs/>
          <w:sz w:val="20"/>
          <w:szCs w:val="20"/>
        </w:rPr>
        <w:t>a</w:t>
      </w:r>
      <w:r w:rsidR="0065081C" w:rsidRPr="00E90ABD">
        <w:rPr>
          <w:bCs/>
          <w:sz w:val="20"/>
          <w:szCs w:val="20"/>
        </w:rPr>
        <w:t xml:space="preserve"> </w:t>
      </w:r>
      <w:r w:rsidRPr="00E90ABD">
        <w:rPr>
          <w:bCs/>
          <w:sz w:val="20"/>
          <w:szCs w:val="20"/>
        </w:rPr>
        <w:t>level</w:t>
      </w:r>
      <w:r w:rsidR="0065081C" w:rsidRPr="00E90ABD">
        <w:rPr>
          <w:bCs/>
          <w:sz w:val="20"/>
          <w:szCs w:val="20"/>
        </w:rPr>
        <w:t xml:space="preserve"> </w:t>
      </w:r>
      <w:r w:rsidRPr="00E90ABD">
        <w:rPr>
          <w:bCs/>
          <w:sz w:val="20"/>
          <w:szCs w:val="20"/>
        </w:rPr>
        <w:t>one</w:t>
      </w:r>
      <w:r w:rsidR="0065081C" w:rsidRPr="00E90ABD">
        <w:rPr>
          <w:bCs/>
          <w:sz w:val="20"/>
          <w:szCs w:val="20"/>
        </w:rPr>
        <w:t xml:space="preserve"> </w:t>
      </w:r>
      <w:r w:rsidRPr="00E90ABD">
        <w:rPr>
          <w:bCs/>
          <w:sz w:val="20"/>
          <w:szCs w:val="20"/>
        </w:rPr>
        <w:t>trauma</w:t>
      </w:r>
      <w:r w:rsidR="0065081C" w:rsidRPr="00E90ABD">
        <w:rPr>
          <w:bCs/>
          <w:sz w:val="20"/>
          <w:szCs w:val="20"/>
        </w:rPr>
        <w:t xml:space="preserve"> </w:t>
      </w:r>
      <w:r w:rsidRPr="00E90ABD">
        <w:rPr>
          <w:bCs/>
          <w:sz w:val="20"/>
          <w:szCs w:val="20"/>
        </w:rPr>
        <w:t>center.</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Orthop</w:t>
      </w:r>
      <w:r w:rsidR="0065081C" w:rsidRPr="00E90ABD">
        <w:rPr>
          <w:bCs/>
          <w:sz w:val="20"/>
          <w:szCs w:val="20"/>
        </w:rPr>
        <w:t xml:space="preserve"> </w:t>
      </w:r>
      <w:r w:rsidRPr="00E90ABD">
        <w:rPr>
          <w:bCs/>
          <w:sz w:val="20"/>
          <w:szCs w:val="20"/>
        </w:rPr>
        <w:t>Trauma.</w:t>
      </w:r>
      <w:r w:rsidR="0065081C" w:rsidRPr="00E90ABD">
        <w:rPr>
          <w:bCs/>
          <w:sz w:val="20"/>
          <w:szCs w:val="20"/>
        </w:rPr>
        <w:t xml:space="preserve"> </w:t>
      </w:r>
      <w:r w:rsidRPr="00E90ABD">
        <w:rPr>
          <w:bCs/>
          <w:sz w:val="20"/>
          <w:szCs w:val="20"/>
        </w:rPr>
        <w:t>2008;</w:t>
      </w:r>
      <w:r w:rsidR="0065081C" w:rsidRPr="00E90ABD">
        <w:rPr>
          <w:bCs/>
          <w:sz w:val="20"/>
          <w:szCs w:val="20"/>
        </w:rPr>
        <w:t xml:space="preserve"> </w:t>
      </w:r>
      <w:r w:rsidRPr="00E90ABD">
        <w:rPr>
          <w:bCs/>
          <w:sz w:val="20"/>
          <w:szCs w:val="20"/>
        </w:rPr>
        <w:t>22(4):</w:t>
      </w:r>
      <w:r w:rsidR="0065081C" w:rsidRPr="00E90ABD">
        <w:rPr>
          <w:bCs/>
          <w:sz w:val="20"/>
          <w:szCs w:val="20"/>
        </w:rPr>
        <w:t xml:space="preserve"> </w:t>
      </w:r>
      <w:r w:rsidRPr="00E90ABD">
        <w:rPr>
          <w:bCs/>
          <w:sz w:val="20"/>
          <w:szCs w:val="20"/>
        </w:rPr>
        <w:t>234–236.</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Bhattacharyya</w:t>
      </w:r>
      <w:r w:rsidR="0065081C" w:rsidRPr="00E90ABD">
        <w:rPr>
          <w:sz w:val="20"/>
          <w:szCs w:val="20"/>
        </w:rPr>
        <w:t xml:space="preserve"> </w:t>
      </w:r>
      <w:r w:rsidRPr="00E90ABD">
        <w:rPr>
          <w:sz w:val="20"/>
          <w:szCs w:val="20"/>
        </w:rPr>
        <w:t>T,</w:t>
      </w:r>
      <w:r w:rsidR="0065081C" w:rsidRPr="00E90ABD">
        <w:rPr>
          <w:sz w:val="20"/>
          <w:szCs w:val="20"/>
        </w:rPr>
        <w:t xml:space="preserve"> </w:t>
      </w:r>
      <w:r w:rsidRPr="00E90ABD">
        <w:rPr>
          <w:sz w:val="20"/>
          <w:szCs w:val="20"/>
        </w:rPr>
        <w:t>Vrahas</w:t>
      </w:r>
      <w:r w:rsidR="0065081C" w:rsidRPr="00E90ABD">
        <w:rPr>
          <w:sz w:val="20"/>
          <w:szCs w:val="20"/>
        </w:rPr>
        <w:t xml:space="preserve"> </w:t>
      </w:r>
      <w:r w:rsidRPr="00E90ABD">
        <w:rPr>
          <w:sz w:val="20"/>
          <w:szCs w:val="20"/>
        </w:rPr>
        <w:t>MS,</w:t>
      </w:r>
      <w:r w:rsidR="0065081C" w:rsidRPr="00E90ABD">
        <w:rPr>
          <w:sz w:val="20"/>
          <w:szCs w:val="20"/>
        </w:rPr>
        <w:t xml:space="preserve"> </w:t>
      </w:r>
      <w:r w:rsidRPr="00E90ABD">
        <w:rPr>
          <w:sz w:val="20"/>
          <w:szCs w:val="20"/>
        </w:rPr>
        <w:t>Morrison</w:t>
      </w:r>
      <w:r w:rsidR="0065081C" w:rsidRPr="00E90ABD">
        <w:rPr>
          <w:sz w:val="20"/>
          <w:szCs w:val="20"/>
        </w:rPr>
        <w:t xml:space="preserve"> </w:t>
      </w:r>
      <w:r w:rsidRPr="00E90ABD">
        <w:rPr>
          <w:sz w:val="20"/>
          <w:szCs w:val="20"/>
        </w:rPr>
        <w:t>SM,</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value</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the</w:t>
      </w:r>
      <w:r w:rsidR="0065081C" w:rsidRPr="00E90ABD">
        <w:rPr>
          <w:bCs/>
          <w:sz w:val="20"/>
          <w:szCs w:val="20"/>
        </w:rPr>
        <w:t xml:space="preserve"> </w:t>
      </w:r>
      <w:r w:rsidRPr="00E90ABD">
        <w:rPr>
          <w:bCs/>
          <w:sz w:val="20"/>
          <w:szCs w:val="20"/>
        </w:rPr>
        <w:t>dedicated</w:t>
      </w:r>
      <w:r w:rsidR="0065081C" w:rsidRPr="00E90ABD">
        <w:rPr>
          <w:bCs/>
          <w:sz w:val="20"/>
          <w:szCs w:val="20"/>
        </w:rPr>
        <w:t xml:space="preserve"> </w:t>
      </w:r>
      <w:r w:rsidRPr="00E90ABD">
        <w:rPr>
          <w:bCs/>
          <w:sz w:val="20"/>
          <w:szCs w:val="20"/>
        </w:rPr>
        <w:t>orthopaedic</w:t>
      </w:r>
      <w:r w:rsidR="0065081C" w:rsidRPr="00E90ABD">
        <w:rPr>
          <w:bCs/>
          <w:sz w:val="20"/>
          <w:szCs w:val="20"/>
        </w:rPr>
        <w:t xml:space="preserve"> </w:t>
      </w:r>
      <w:r w:rsidRPr="00E90ABD">
        <w:rPr>
          <w:bCs/>
          <w:sz w:val="20"/>
          <w:szCs w:val="20"/>
        </w:rPr>
        <w:t>trauma</w:t>
      </w:r>
      <w:r w:rsidR="0065081C" w:rsidRPr="00E90ABD">
        <w:rPr>
          <w:bCs/>
          <w:sz w:val="20"/>
          <w:szCs w:val="20"/>
        </w:rPr>
        <w:t xml:space="preserve"> </w:t>
      </w:r>
      <w:r w:rsidRPr="00E90ABD">
        <w:rPr>
          <w:bCs/>
          <w:sz w:val="20"/>
          <w:szCs w:val="20"/>
        </w:rPr>
        <w:t>operating</w:t>
      </w:r>
      <w:r w:rsidR="0065081C" w:rsidRPr="00E90ABD">
        <w:rPr>
          <w:bCs/>
          <w:sz w:val="20"/>
          <w:szCs w:val="20"/>
        </w:rPr>
        <w:t xml:space="preserve"> </w:t>
      </w:r>
      <w:r w:rsidRPr="00E90ABD">
        <w:rPr>
          <w:bCs/>
          <w:sz w:val="20"/>
          <w:szCs w:val="20"/>
        </w:rPr>
        <w:t>room.</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Trauma.</w:t>
      </w:r>
      <w:r w:rsidR="0065081C" w:rsidRPr="00E90ABD">
        <w:rPr>
          <w:bCs/>
          <w:sz w:val="20"/>
          <w:szCs w:val="20"/>
        </w:rPr>
        <w:t xml:space="preserve"> </w:t>
      </w:r>
      <w:r w:rsidRPr="00E90ABD">
        <w:rPr>
          <w:bCs/>
          <w:sz w:val="20"/>
          <w:szCs w:val="20"/>
        </w:rPr>
        <w:t>2006;</w:t>
      </w:r>
      <w:r w:rsidR="0065081C" w:rsidRPr="00E90ABD">
        <w:rPr>
          <w:bCs/>
          <w:sz w:val="20"/>
          <w:szCs w:val="20"/>
        </w:rPr>
        <w:t xml:space="preserve"> </w:t>
      </w:r>
      <w:r w:rsidRPr="00E90ABD">
        <w:rPr>
          <w:bCs/>
          <w:sz w:val="20"/>
          <w:szCs w:val="20"/>
        </w:rPr>
        <w:t>60(6):</w:t>
      </w:r>
      <w:r w:rsidR="0065081C" w:rsidRPr="00E90ABD">
        <w:rPr>
          <w:bCs/>
          <w:sz w:val="20"/>
          <w:szCs w:val="20"/>
        </w:rPr>
        <w:t xml:space="preserve"> </w:t>
      </w:r>
      <w:r w:rsidRPr="00E90ABD">
        <w:rPr>
          <w:bCs/>
          <w:sz w:val="20"/>
          <w:szCs w:val="20"/>
        </w:rPr>
        <w:t>1336–1340.</w:t>
      </w:r>
      <w:r w:rsidR="0065081C" w:rsidRPr="00E90ABD">
        <w:rPr>
          <w:bCs/>
          <w:sz w:val="20"/>
          <w:szCs w:val="20"/>
        </w:rPr>
        <w:t xml:space="preserve"> </w:t>
      </w:r>
    </w:p>
    <w:p w:rsidR="00096944" w:rsidRPr="00E90ABD" w:rsidRDefault="00096944" w:rsidP="00F06E05">
      <w:pPr>
        <w:numPr>
          <w:ilvl w:val="0"/>
          <w:numId w:val="25"/>
        </w:numPr>
        <w:tabs>
          <w:tab w:val="clear" w:pos="1440"/>
        </w:tabs>
        <w:snapToGrid w:val="0"/>
        <w:ind w:left="425" w:hanging="425"/>
        <w:jc w:val="both"/>
        <w:rPr>
          <w:bCs/>
          <w:sz w:val="20"/>
          <w:szCs w:val="20"/>
        </w:rPr>
      </w:pPr>
      <w:r w:rsidRPr="00E90ABD">
        <w:rPr>
          <w:sz w:val="20"/>
          <w:szCs w:val="20"/>
        </w:rPr>
        <w:t>Garg</w:t>
      </w:r>
      <w:r w:rsidR="0065081C" w:rsidRPr="00E90ABD">
        <w:rPr>
          <w:sz w:val="20"/>
          <w:szCs w:val="20"/>
        </w:rPr>
        <w:t xml:space="preserve"> </w:t>
      </w:r>
      <w:r w:rsidRPr="00E90ABD">
        <w:rPr>
          <w:sz w:val="20"/>
          <w:szCs w:val="20"/>
        </w:rPr>
        <w:t>S,</w:t>
      </w:r>
      <w:r w:rsidR="0065081C" w:rsidRPr="00E90ABD">
        <w:rPr>
          <w:sz w:val="20"/>
          <w:szCs w:val="20"/>
        </w:rPr>
        <w:t xml:space="preserve"> </w:t>
      </w:r>
      <w:r w:rsidRPr="00E90ABD">
        <w:rPr>
          <w:sz w:val="20"/>
          <w:szCs w:val="20"/>
        </w:rPr>
        <w:t>Weller</w:t>
      </w:r>
      <w:r w:rsidR="0065081C" w:rsidRPr="00E90ABD">
        <w:rPr>
          <w:sz w:val="20"/>
          <w:szCs w:val="20"/>
        </w:rPr>
        <w:t xml:space="preserve"> </w:t>
      </w:r>
      <w:r w:rsidRPr="00E90ABD">
        <w:rPr>
          <w:sz w:val="20"/>
          <w:szCs w:val="20"/>
        </w:rPr>
        <w:t>A,</w:t>
      </w:r>
      <w:r w:rsidR="0065081C" w:rsidRPr="00E90ABD">
        <w:rPr>
          <w:sz w:val="20"/>
          <w:szCs w:val="20"/>
        </w:rPr>
        <w:t xml:space="preserve"> </w:t>
      </w:r>
      <w:r w:rsidRPr="00E90ABD">
        <w:rPr>
          <w:sz w:val="20"/>
          <w:szCs w:val="20"/>
        </w:rPr>
        <w:t>Larson</w:t>
      </w:r>
      <w:r w:rsidR="0065081C" w:rsidRPr="00E90ABD">
        <w:rPr>
          <w:sz w:val="20"/>
          <w:szCs w:val="20"/>
        </w:rPr>
        <w:t xml:space="preserve"> </w:t>
      </w:r>
      <w:r w:rsidRPr="00E90ABD">
        <w:rPr>
          <w:sz w:val="20"/>
          <w:szCs w:val="20"/>
        </w:rPr>
        <w:t>AN,</w:t>
      </w:r>
      <w:r w:rsidR="0065081C" w:rsidRPr="00E90ABD">
        <w:rPr>
          <w:sz w:val="20"/>
          <w:szCs w:val="20"/>
        </w:rPr>
        <w:t xml:space="preserve"> </w:t>
      </w:r>
      <w:r w:rsidRPr="00E90ABD">
        <w:rPr>
          <w:sz w:val="20"/>
          <w:szCs w:val="20"/>
        </w:rPr>
        <w:t>et</w:t>
      </w:r>
      <w:r w:rsidR="0065081C" w:rsidRPr="00E90ABD">
        <w:rPr>
          <w:sz w:val="20"/>
          <w:szCs w:val="20"/>
        </w:rPr>
        <w:t xml:space="preserve"> </w:t>
      </w:r>
      <w:r w:rsidRPr="00E90ABD">
        <w:rPr>
          <w:sz w:val="20"/>
          <w:szCs w:val="20"/>
        </w:rPr>
        <w:t>al.</w:t>
      </w:r>
      <w:r w:rsidR="0065081C" w:rsidRPr="00E90ABD">
        <w:rPr>
          <w:bCs/>
          <w:sz w:val="20"/>
          <w:szCs w:val="20"/>
        </w:rPr>
        <w:t xml:space="preserve"> </w:t>
      </w:r>
      <w:r w:rsidRPr="00E90ABD">
        <w:rPr>
          <w:bCs/>
          <w:sz w:val="20"/>
          <w:szCs w:val="20"/>
        </w:rPr>
        <w:t>Clinical</w:t>
      </w:r>
      <w:r w:rsidR="0065081C" w:rsidRPr="00E90ABD">
        <w:rPr>
          <w:bCs/>
          <w:sz w:val="20"/>
          <w:szCs w:val="20"/>
        </w:rPr>
        <w:t xml:space="preserve"> </w:t>
      </w:r>
      <w:r w:rsidRPr="00E90ABD">
        <w:rPr>
          <w:bCs/>
          <w:sz w:val="20"/>
          <w:szCs w:val="20"/>
        </w:rPr>
        <w:t>characteristics</w:t>
      </w:r>
      <w:r w:rsidR="0065081C" w:rsidRPr="00E90ABD">
        <w:rPr>
          <w:bCs/>
          <w:sz w:val="20"/>
          <w:szCs w:val="20"/>
        </w:rPr>
        <w:t xml:space="preserve"> </w:t>
      </w:r>
      <w:r w:rsidRPr="00E90ABD">
        <w:rPr>
          <w:bCs/>
          <w:sz w:val="20"/>
          <w:szCs w:val="20"/>
        </w:rPr>
        <w:t>of</w:t>
      </w:r>
      <w:r w:rsidR="0065081C" w:rsidRPr="00E90ABD">
        <w:rPr>
          <w:bCs/>
          <w:sz w:val="20"/>
          <w:szCs w:val="20"/>
        </w:rPr>
        <w:t xml:space="preserve"> </w:t>
      </w:r>
      <w:r w:rsidRPr="00E90ABD">
        <w:rPr>
          <w:bCs/>
          <w:sz w:val="20"/>
          <w:szCs w:val="20"/>
        </w:rPr>
        <w:t>severe</w:t>
      </w:r>
      <w:r w:rsidR="0065081C" w:rsidRPr="00E90ABD">
        <w:rPr>
          <w:bCs/>
          <w:sz w:val="20"/>
          <w:szCs w:val="20"/>
        </w:rPr>
        <w:t xml:space="preserve"> </w:t>
      </w:r>
      <w:r w:rsidRPr="00E90ABD">
        <w:rPr>
          <w:bCs/>
          <w:sz w:val="20"/>
          <w:szCs w:val="20"/>
        </w:rPr>
        <w:t>supracondylar</w:t>
      </w:r>
      <w:r w:rsidR="0065081C" w:rsidRPr="00E90ABD">
        <w:rPr>
          <w:bCs/>
          <w:sz w:val="20"/>
          <w:szCs w:val="20"/>
        </w:rPr>
        <w:t xml:space="preserve"> </w:t>
      </w:r>
      <w:r w:rsidRPr="00E90ABD">
        <w:rPr>
          <w:bCs/>
          <w:sz w:val="20"/>
          <w:szCs w:val="20"/>
        </w:rPr>
        <w:t>humerus</w:t>
      </w:r>
      <w:r w:rsidR="0065081C" w:rsidRPr="00E90ABD">
        <w:rPr>
          <w:bCs/>
          <w:sz w:val="20"/>
          <w:szCs w:val="20"/>
        </w:rPr>
        <w:t xml:space="preserve"> </w:t>
      </w:r>
      <w:r w:rsidRPr="00E90ABD">
        <w:rPr>
          <w:bCs/>
          <w:sz w:val="20"/>
          <w:szCs w:val="20"/>
        </w:rPr>
        <w:t>fractures</w:t>
      </w:r>
      <w:r w:rsidR="0065081C" w:rsidRPr="00E90ABD">
        <w:rPr>
          <w:bCs/>
          <w:sz w:val="20"/>
          <w:szCs w:val="20"/>
        </w:rPr>
        <w:t xml:space="preserve"> </w:t>
      </w:r>
      <w:r w:rsidRPr="00E90ABD">
        <w:rPr>
          <w:bCs/>
          <w:sz w:val="20"/>
          <w:szCs w:val="20"/>
        </w:rPr>
        <w:t>in</w:t>
      </w:r>
      <w:r w:rsidR="0065081C" w:rsidRPr="00E90ABD">
        <w:rPr>
          <w:bCs/>
          <w:sz w:val="20"/>
          <w:szCs w:val="20"/>
        </w:rPr>
        <w:t xml:space="preserve"> </w:t>
      </w:r>
      <w:r w:rsidRPr="00E90ABD">
        <w:rPr>
          <w:bCs/>
          <w:sz w:val="20"/>
          <w:szCs w:val="20"/>
        </w:rPr>
        <w:t>children.</w:t>
      </w:r>
      <w:r w:rsidR="0065081C" w:rsidRPr="00E90ABD">
        <w:rPr>
          <w:bCs/>
          <w:sz w:val="20"/>
          <w:szCs w:val="20"/>
        </w:rPr>
        <w:t xml:space="preserve"> </w:t>
      </w:r>
      <w:r w:rsidRPr="00E90ABD">
        <w:rPr>
          <w:bCs/>
          <w:sz w:val="20"/>
          <w:szCs w:val="20"/>
        </w:rPr>
        <w:t>J</w:t>
      </w:r>
      <w:r w:rsidR="0065081C" w:rsidRPr="00E90ABD">
        <w:rPr>
          <w:bCs/>
          <w:sz w:val="20"/>
          <w:szCs w:val="20"/>
        </w:rPr>
        <w:t xml:space="preserve"> </w:t>
      </w:r>
      <w:r w:rsidRPr="00E90ABD">
        <w:rPr>
          <w:bCs/>
          <w:sz w:val="20"/>
          <w:szCs w:val="20"/>
        </w:rPr>
        <w:t>Pediatr</w:t>
      </w:r>
      <w:r w:rsidR="0065081C" w:rsidRPr="00E90ABD">
        <w:rPr>
          <w:bCs/>
          <w:sz w:val="20"/>
          <w:szCs w:val="20"/>
        </w:rPr>
        <w:t xml:space="preserve"> </w:t>
      </w:r>
      <w:r w:rsidRPr="00E90ABD">
        <w:rPr>
          <w:bCs/>
          <w:sz w:val="20"/>
          <w:szCs w:val="20"/>
        </w:rPr>
        <w:t>Orthop.</w:t>
      </w:r>
      <w:r w:rsidR="0065081C" w:rsidRPr="00E90ABD">
        <w:rPr>
          <w:bCs/>
          <w:sz w:val="20"/>
          <w:szCs w:val="20"/>
        </w:rPr>
        <w:t xml:space="preserve"> </w:t>
      </w:r>
      <w:r w:rsidRPr="00E90ABD">
        <w:rPr>
          <w:bCs/>
          <w:sz w:val="20"/>
          <w:szCs w:val="20"/>
        </w:rPr>
        <w:t>2014;</w:t>
      </w:r>
      <w:r w:rsidR="0065081C" w:rsidRPr="00E90ABD">
        <w:rPr>
          <w:bCs/>
          <w:sz w:val="20"/>
          <w:szCs w:val="20"/>
        </w:rPr>
        <w:t xml:space="preserve"> </w:t>
      </w:r>
      <w:r w:rsidRPr="00E90ABD">
        <w:rPr>
          <w:bCs/>
          <w:sz w:val="20"/>
          <w:szCs w:val="20"/>
        </w:rPr>
        <w:t>34(1):</w:t>
      </w:r>
      <w:r w:rsidR="0065081C" w:rsidRPr="00E90ABD">
        <w:rPr>
          <w:bCs/>
          <w:sz w:val="20"/>
          <w:szCs w:val="20"/>
        </w:rPr>
        <w:t xml:space="preserve"> </w:t>
      </w:r>
      <w:r w:rsidRPr="00E90ABD">
        <w:rPr>
          <w:bCs/>
          <w:sz w:val="20"/>
          <w:szCs w:val="20"/>
        </w:rPr>
        <w:t>34–39.</w:t>
      </w:r>
      <w:r w:rsidR="0065081C" w:rsidRPr="00E90ABD">
        <w:rPr>
          <w:bCs/>
          <w:sz w:val="20"/>
          <w:szCs w:val="20"/>
        </w:rPr>
        <w:t xml:space="preserve"> </w:t>
      </w:r>
    </w:p>
    <w:p w:rsidR="002F603A" w:rsidRPr="00E90ABD" w:rsidRDefault="00096944" w:rsidP="00F06E05">
      <w:pPr>
        <w:numPr>
          <w:ilvl w:val="0"/>
          <w:numId w:val="25"/>
        </w:numPr>
        <w:tabs>
          <w:tab w:val="clear" w:pos="1440"/>
        </w:tabs>
        <w:snapToGrid w:val="0"/>
        <w:ind w:left="425" w:hanging="425"/>
        <w:jc w:val="both"/>
        <w:rPr>
          <w:sz w:val="20"/>
          <w:szCs w:val="20"/>
          <w:lang w:bidi="ar-EG"/>
        </w:rPr>
      </w:pPr>
      <w:r w:rsidRPr="00E90ABD">
        <w:rPr>
          <w:bCs/>
          <w:sz w:val="20"/>
          <w:szCs w:val="20"/>
        </w:rPr>
        <w:t>Egol</w:t>
      </w:r>
      <w:r w:rsidR="0065081C" w:rsidRPr="00E90ABD">
        <w:rPr>
          <w:bCs/>
          <w:sz w:val="20"/>
          <w:szCs w:val="20"/>
        </w:rPr>
        <w:t xml:space="preserve"> </w:t>
      </w:r>
      <w:r w:rsidRPr="00E90ABD">
        <w:rPr>
          <w:bCs/>
          <w:sz w:val="20"/>
          <w:szCs w:val="20"/>
        </w:rPr>
        <w:t>KA,</w:t>
      </w:r>
      <w:r w:rsidR="0065081C" w:rsidRPr="00E90ABD">
        <w:rPr>
          <w:bCs/>
          <w:sz w:val="20"/>
          <w:szCs w:val="20"/>
        </w:rPr>
        <w:t xml:space="preserve"> </w:t>
      </w:r>
      <w:r w:rsidRPr="00E90ABD">
        <w:rPr>
          <w:bCs/>
          <w:sz w:val="20"/>
          <w:szCs w:val="20"/>
        </w:rPr>
        <w:t>Koval</w:t>
      </w:r>
      <w:r w:rsidR="0065081C" w:rsidRPr="00E90ABD">
        <w:rPr>
          <w:bCs/>
          <w:sz w:val="20"/>
          <w:szCs w:val="20"/>
        </w:rPr>
        <w:t xml:space="preserve"> </w:t>
      </w:r>
      <w:r w:rsidRPr="00E90ABD">
        <w:rPr>
          <w:bCs/>
          <w:sz w:val="20"/>
          <w:szCs w:val="20"/>
        </w:rPr>
        <w:t>KJ,</w:t>
      </w:r>
      <w:r w:rsidR="0065081C" w:rsidRPr="00E90ABD">
        <w:rPr>
          <w:bCs/>
          <w:sz w:val="20"/>
          <w:szCs w:val="20"/>
        </w:rPr>
        <w:t xml:space="preserve"> </w:t>
      </w:r>
      <w:r w:rsidRPr="00E90ABD">
        <w:rPr>
          <w:bCs/>
          <w:sz w:val="20"/>
          <w:szCs w:val="20"/>
        </w:rPr>
        <w:t>Zuckerman</w:t>
      </w:r>
      <w:r w:rsidR="0065081C" w:rsidRPr="00E90ABD">
        <w:rPr>
          <w:bCs/>
          <w:sz w:val="20"/>
          <w:szCs w:val="20"/>
        </w:rPr>
        <w:t xml:space="preserve"> </w:t>
      </w:r>
      <w:r w:rsidRPr="00E90ABD">
        <w:rPr>
          <w:bCs/>
          <w:sz w:val="20"/>
          <w:szCs w:val="20"/>
        </w:rPr>
        <w:t>JD.</w:t>
      </w:r>
      <w:r w:rsidR="0065081C" w:rsidRPr="00E90ABD">
        <w:rPr>
          <w:bCs/>
          <w:sz w:val="20"/>
          <w:szCs w:val="20"/>
        </w:rPr>
        <w:t xml:space="preserve"> </w:t>
      </w:r>
      <w:r w:rsidRPr="00E90ABD">
        <w:rPr>
          <w:sz w:val="20"/>
          <w:szCs w:val="20"/>
        </w:rPr>
        <w:t>Handbook</w:t>
      </w:r>
      <w:r w:rsidR="0065081C" w:rsidRPr="00E90ABD">
        <w:rPr>
          <w:sz w:val="20"/>
          <w:szCs w:val="20"/>
        </w:rPr>
        <w:t xml:space="preserve"> </w:t>
      </w:r>
      <w:r w:rsidRPr="00E90ABD">
        <w:rPr>
          <w:sz w:val="20"/>
          <w:szCs w:val="20"/>
        </w:rPr>
        <w:t>of</w:t>
      </w:r>
      <w:r w:rsidR="0065081C" w:rsidRPr="00E90ABD">
        <w:rPr>
          <w:sz w:val="20"/>
          <w:szCs w:val="20"/>
        </w:rPr>
        <w:t xml:space="preserve"> </w:t>
      </w:r>
      <w:r w:rsidRPr="00E90ABD">
        <w:rPr>
          <w:sz w:val="20"/>
          <w:szCs w:val="20"/>
        </w:rPr>
        <w:t>fractures.</w:t>
      </w:r>
      <w:r w:rsidR="0065081C" w:rsidRPr="00E90ABD">
        <w:rPr>
          <w:sz w:val="20"/>
          <w:szCs w:val="20"/>
        </w:rPr>
        <w:t xml:space="preserve"> </w:t>
      </w:r>
      <w:r w:rsidRPr="00E90ABD">
        <w:rPr>
          <w:sz w:val="20"/>
          <w:szCs w:val="20"/>
        </w:rPr>
        <w:t>Lippincott</w:t>
      </w:r>
      <w:r w:rsidR="0065081C" w:rsidRPr="00E90ABD">
        <w:rPr>
          <w:sz w:val="20"/>
          <w:szCs w:val="20"/>
        </w:rPr>
        <w:t xml:space="preserve"> </w:t>
      </w:r>
      <w:r w:rsidRPr="00E90ABD">
        <w:rPr>
          <w:sz w:val="20"/>
          <w:szCs w:val="20"/>
        </w:rPr>
        <w:t>Williams</w:t>
      </w:r>
      <w:r w:rsidR="0065081C" w:rsidRPr="00E90ABD">
        <w:rPr>
          <w:sz w:val="20"/>
          <w:szCs w:val="20"/>
        </w:rPr>
        <w:t xml:space="preserve"> </w:t>
      </w:r>
      <w:r w:rsidR="0065081C" w:rsidRPr="00E90ABD">
        <w:rPr>
          <w:sz w:val="20"/>
          <w:szCs w:val="20"/>
          <w:lang w:bidi="ar-EG"/>
        </w:rPr>
        <w:t xml:space="preserve">&amp; </w:t>
      </w:r>
      <w:r w:rsidRPr="00E90ABD">
        <w:rPr>
          <w:sz w:val="20"/>
          <w:szCs w:val="20"/>
        </w:rPr>
        <w:t>Wilkins;</w:t>
      </w:r>
      <w:r w:rsidR="0065081C" w:rsidRPr="00E90ABD">
        <w:rPr>
          <w:sz w:val="20"/>
          <w:szCs w:val="20"/>
        </w:rPr>
        <w:t xml:space="preserve"> </w:t>
      </w:r>
      <w:r w:rsidRPr="00E90ABD">
        <w:rPr>
          <w:sz w:val="20"/>
          <w:szCs w:val="20"/>
        </w:rPr>
        <w:t>2010</w:t>
      </w:r>
      <w:r w:rsidRPr="00E90ABD">
        <w:rPr>
          <w:sz w:val="20"/>
          <w:szCs w:val="20"/>
          <w:lang w:bidi="ar-EG"/>
        </w:rPr>
        <w:t>.</w:t>
      </w:r>
    </w:p>
    <w:p w:rsidR="00096944" w:rsidRPr="00E90ABD" w:rsidRDefault="00096944" w:rsidP="00F06E05">
      <w:pPr>
        <w:numPr>
          <w:ilvl w:val="0"/>
          <w:numId w:val="25"/>
        </w:numPr>
        <w:tabs>
          <w:tab w:val="clear" w:pos="1440"/>
        </w:tabs>
        <w:snapToGrid w:val="0"/>
        <w:ind w:left="425" w:hanging="425"/>
        <w:jc w:val="both"/>
        <w:rPr>
          <w:sz w:val="20"/>
          <w:szCs w:val="20"/>
          <w:lang w:bidi="ar-EG"/>
        </w:rPr>
      </w:pPr>
      <w:r w:rsidRPr="00E90ABD">
        <w:rPr>
          <w:sz w:val="20"/>
          <w:szCs w:val="20"/>
          <w:lang w:bidi="ar-EG"/>
        </w:rPr>
        <w:t>Rockwood</w:t>
      </w:r>
      <w:r w:rsidR="0065081C" w:rsidRPr="00E90ABD">
        <w:rPr>
          <w:sz w:val="20"/>
          <w:szCs w:val="20"/>
          <w:lang w:bidi="ar-EG"/>
        </w:rPr>
        <w:t xml:space="preserve"> </w:t>
      </w:r>
      <w:r w:rsidRPr="00E90ABD">
        <w:rPr>
          <w:sz w:val="20"/>
          <w:szCs w:val="20"/>
          <w:lang w:bidi="ar-EG"/>
        </w:rPr>
        <w:t>and</w:t>
      </w:r>
      <w:r w:rsidR="0065081C" w:rsidRPr="00E90ABD">
        <w:rPr>
          <w:sz w:val="20"/>
          <w:szCs w:val="20"/>
          <w:lang w:bidi="ar-EG"/>
        </w:rPr>
        <w:t xml:space="preserve"> </w:t>
      </w:r>
      <w:r w:rsidRPr="00E90ABD">
        <w:rPr>
          <w:sz w:val="20"/>
          <w:szCs w:val="20"/>
          <w:lang w:bidi="ar-EG"/>
        </w:rPr>
        <w:t>wilkins’</w:t>
      </w:r>
      <w:r w:rsidR="0065081C" w:rsidRPr="00E90ABD">
        <w:rPr>
          <w:sz w:val="20"/>
          <w:szCs w:val="20"/>
          <w:lang w:bidi="ar-EG"/>
        </w:rPr>
        <w:t xml:space="preserve"> </w:t>
      </w:r>
      <w:r w:rsidRPr="00E90ABD">
        <w:rPr>
          <w:bCs/>
          <w:sz w:val="20"/>
          <w:szCs w:val="20"/>
          <w:lang w:bidi="ar-EG"/>
        </w:rPr>
        <w:t>fractures</w:t>
      </w:r>
      <w:r w:rsidR="0065081C" w:rsidRPr="00E90ABD">
        <w:rPr>
          <w:bCs/>
          <w:sz w:val="20"/>
          <w:szCs w:val="20"/>
          <w:lang w:bidi="ar-EG"/>
        </w:rPr>
        <w:t xml:space="preserve"> </w:t>
      </w:r>
      <w:r w:rsidRPr="00E90ABD">
        <w:rPr>
          <w:bCs/>
          <w:sz w:val="20"/>
          <w:szCs w:val="20"/>
          <w:lang w:bidi="ar-EG"/>
        </w:rPr>
        <w:t>in</w:t>
      </w:r>
      <w:r w:rsidR="0065081C" w:rsidRPr="00E90ABD">
        <w:rPr>
          <w:bCs/>
          <w:sz w:val="20"/>
          <w:szCs w:val="20"/>
          <w:lang w:bidi="ar-EG"/>
        </w:rPr>
        <w:t xml:space="preserve"> </w:t>
      </w:r>
      <w:r w:rsidRPr="00E90ABD">
        <w:rPr>
          <w:bCs/>
          <w:sz w:val="20"/>
          <w:szCs w:val="20"/>
          <w:lang w:bidi="ar-EG"/>
        </w:rPr>
        <w:t>children</w:t>
      </w:r>
      <w:r w:rsidR="0065081C" w:rsidRPr="00E90ABD">
        <w:rPr>
          <w:bCs/>
          <w:sz w:val="20"/>
          <w:szCs w:val="20"/>
          <w:lang w:bidi="ar-EG"/>
        </w:rPr>
        <w:t xml:space="preserve"> </w:t>
      </w:r>
      <w:r w:rsidRPr="00E90ABD">
        <w:rPr>
          <w:bCs/>
          <w:sz w:val="20"/>
          <w:szCs w:val="20"/>
          <w:lang w:bidi="ar-EG"/>
        </w:rPr>
        <w:t>eighth</w:t>
      </w:r>
      <w:r w:rsidR="0065081C" w:rsidRPr="00E90ABD">
        <w:rPr>
          <w:bCs/>
          <w:sz w:val="20"/>
          <w:szCs w:val="20"/>
          <w:lang w:bidi="ar-EG"/>
        </w:rPr>
        <w:t xml:space="preserve"> </w:t>
      </w:r>
      <w:r w:rsidRPr="00E90ABD">
        <w:rPr>
          <w:bCs/>
          <w:sz w:val="20"/>
          <w:szCs w:val="20"/>
          <w:lang w:bidi="ar-EG"/>
        </w:rPr>
        <w:t>edition</w:t>
      </w:r>
      <w:r w:rsidR="0065081C" w:rsidRPr="00E90ABD">
        <w:rPr>
          <w:bCs/>
          <w:sz w:val="20"/>
          <w:szCs w:val="20"/>
          <w:lang w:bidi="ar-EG"/>
        </w:rPr>
        <w:t xml:space="preserve"> </w:t>
      </w:r>
      <w:r w:rsidRPr="00E90ABD">
        <w:rPr>
          <w:bCs/>
          <w:sz w:val="20"/>
          <w:szCs w:val="20"/>
          <w:lang w:bidi="ar-EG"/>
        </w:rPr>
        <w:t>2015;</w:t>
      </w:r>
      <w:r w:rsidR="0065081C" w:rsidRPr="00E90ABD">
        <w:rPr>
          <w:bCs/>
          <w:sz w:val="20"/>
          <w:szCs w:val="20"/>
          <w:lang w:bidi="ar-EG"/>
        </w:rPr>
        <w:t xml:space="preserve"> </w:t>
      </w:r>
      <w:r w:rsidRPr="00E90ABD">
        <w:rPr>
          <w:bCs/>
          <w:sz w:val="20"/>
          <w:szCs w:val="20"/>
          <w:lang w:bidi="ar-EG"/>
        </w:rPr>
        <w:t>16</w:t>
      </w:r>
      <w:r w:rsidR="0065081C" w:rsidRPr="00E90ABD">
        <w:rPr>
          <w:bCs/>
          <w:sz w:val="20"/>
          <w:szCs w:val="20"/>
          <w:lang w:bidi="ar-EG"/>
        </w:rPr>
        <w:t xml:space="preserve">: </w:t>
      </w:r>
      <w:r w:rsidRPr="00E90ABD">
        <w:rPr>
          <w:bCs/>
          <w:sz w:val="20"/>
          <w:szCs w:val="20"/>
          <w:lang w:bidi="ar-EG"/>
        </w:rPr>
        <w:t>593.</w:t>
      </w:r>
    </w:p>
    <w:p w:rsidR="00096944" w:rsidRPr="00E90ABD" w:rsidRDefault="00096944" w:rsidP="00F06E05">
      <w:pPr>
        <w:numPr>
          <w:ilvl w:val="0"/>
          <w:numId w:val="25"/>
        </w:numPr>
        <w:tabs>
          <w:tab w:val="clear" w:pos="1440"/>
        </w:tabs>
        <w:snapToGrid w:val="0"/>
        <w:ind w:left="425" w:hanging="425"/>
        <w:jc w:val="both"/>
        <w:rPr>
          <w:sz w:val="20"/>
          <w:szCs w:val="20"/>
          <w:lang w:bidi="ar-EG"/>
        </w:rPr>
      </w:pPr>
      <w:r w:rsidRPr="00E90ABD">
        <w:rPr>
          <w:sz w:val="20"/>
          <w:szCs w:val="20"/>
          <w:lang w:bidi="ar-EG"/>
        </w:rPr>
        <w:lastRenderedPageBreak/>
        <w:t>Sam</w:t>
      </w:r>
      <w:r w:rsidR="0065081C" w:rsidRPr="00E90ABD">
        <w:rPr>
          <w:sz w:val="20"/>
          <w:szCs w:val="20"/>
          <w:lang w:bidi="ar-EG"/>
        </w:rPr>
        <w:t xml:space="preserve"> </w:t>
      </w:r>
      <w:r w:rsidRPr="00E90ABD">
        <w:rPr>
          <w:sz w:val="20"/>
          <w:szCs w:val="20"/>
          <w:lang w:bidi="ar-EG"/>
        </w:rPr>
        <w:t>W.</w:t>
      </w:r>
      <w:r w:rsidR="0065081C" w:rsidRPr="00E90ABD">
        <w:rPr>
          <w:sz w:val="20"/>
          <w:szCs w:val="20"/>
          <w:lang w:bidi="ar-EG"/>
        </w:rPr>
        <w:t xml:space="preserve"> </w:t>
      </w:r>
      <w:r w:rsidRPr="00E90ABD">
        <w:rPr>
          <w:sz w:val="20"/>
          <w:szCs w:val="20"/>
          <w:lang w:bidi="ar-EG"/>
        </w:rPr>
        <w:t>Wiesel.</w:t>
      </w:r>
      <w:r w:rsidR="0065081C" w:rsidRPr="00E90ABD">
        <w:rPr>
          <w:bCs/>
          <w:sz w:val="20"/>
          <w:szCs w:val="20"/>
          <w:lang w:bidi="ar-EG"/>
        </w:rPr>
        <w:t xml:space="preserve"> </w:t>
      </w:r>
      <w:r w:rsidRPr="00E90ABD">
        <w:rPr>
          <w:bCs/>
          <w:sz w:val="20"/>
          <w:szCs w:val="20"/>
          <w:lang w:bidi="ar-EG"/>
        </w:rPr>
        <w:t>Operative</w:t>
      </w:r>
      <w:r w:rsidR="0065081C" w:rsidRPr="00E90ABD">
        <w:rPr>
          <w:bCs/>
          <w:sz w:val="20"/>
          <w:szCs w:val="20"/>
          <w:lang w:bidi="ar-EG"/>
        </w:rPr>
        <w:t xml:space="preserve"> </w:t>
      </w:r>
      <w:r w:rsidRPr="00E90ABD">
        <w:rPr>
          <w:bCs/>
          <w:sz w:val="20"/>
          <w:szCs w:val="20"/>
          <w:lang w:bidi="ar-EG"/>
        </w:rPr>
        <w:t>Techniques</w:t>
      </w:r>
      <w:r w:rsidR="0065081C" w:rsidRPr="00E90ABD">
        <w:rPr>
          <w:bCs/>
          <w:sz w:val="20"/>
          <w:szCs w:val="20"/>
          <w:lang w:bidi="ar-EG"/>
        </w:rPr>
        <w:t xml:space="preserve"> </w:t>
      </w:r>
      <w:r w:rsidRPr="00E90ABD">
        <w:rPr>
          <w:bCs/>
          <w:sz w:val="20"/>
          <w:szCs w:val="20"/>
          <w:lang w:bidi="ar-EG"/>
        </w:rPr>
        <w:t>in</w:t>
      </w:r>
      <w:r w:rsidR="0065081C" w:rsidRPr="00E90ABD">
        <w:rPr>
          <w:bCs/>
          <w:sz w:val="20"/>
          <w:szCs w:val="20"/>
          <w:lang w:bidi="ar-EG"/>
        </w:rPr>
        <w:t xml:space="preserve"> </w:t>
      </w:r>
      <w:r w:rsidRPr="00E90ABD">
        <w:rPr>
          <w:bCs/>
          <w:sz w:val="20"/>
          <w:szCs w:val="20"/>
          <w:lang w:bidi="ar-EG"/>
        </w:rPr>
        <w:t>Orthopaedic</w:t>
      </w:r>
      <w:r w:rsidR="0065081C" w:rsidRPr="00E90ABD">
        <w:rPr>
          <w:bCs/>
          <w:sz w:val="20"/>
          <w:szCs w:val="20"/>
          <w:lang w:bidi="ar-EG"/>
        </w:rPr>
        <w:t xml:space="preserve"> </w:t>
      </w:r>
      <w:r w:rsidRPr="00E90ABD">
        <w:rPr>
          <w:bCs/>
          <w:sz w:val="20"/>
          <w:szCs w:val="20"/>
          <w:lang w:bidi="ar-EG"/>
        </w:rPr>
        <w:t>Surgery,</w:t>
      </w:r>
      <w:r w:rsidR="0065081C" w:rsidRPr="00E90ABD">
        <w:rPr>
          <w:bCs/>
          <w:sz w:val="20"/>
          <w:szCs w:val="20"/>
          <w:lang w:bidi="ar-EG"/>
        </w:rPr>
        <w:t xml:space="preserve"> </w:t>
      </w:r>
      <w:r w:rsidRPr="00E90ABD">
        <w:rPr>
          <w:bCs/>
          <w:sz w:val="20"/>
          <w:szCs w:val="20"/>
          <w:lang w:bidi="ar-EG"/>
        </w:rPr>
        <w:t>volume</w:t>
      </w:r>
      <w:r w:rsidR="0065081C" w:rsidRPr="00E90ABD">
        <w:rPr>
          <w:bCs/>
          <w:sz w:val="20"/>
          <w:szCs w:val="20"/>
          <w:lang w:bidi="ar-EG"/>
        </w:rPr>
        <w:t xml:space="preserve"> </w:t>
      </w:r>
      <w:r w:rsidRPr="00E90ABD">
        <w:rPr>
          <w:bCs/>
          <w:sz w:val="20"/>
          <w:szCs w:val="20"/>
          <w:lang w:bidi="ar-EG"/>
        </w:rPr>
        <w:t>one</w:t>
      </w:r>
      <w:r w:rsidR="0065081C" w:rsidRPr="00E90ABD">
        <w:rPr>
          <w:bCs/>
          <w:sz w:val="20"/>
          <w:szCs w:val="20"/>
          <w:lang w:bidi="ar-EG"/>
        </w:rPr>
        <w:t xml:space="preserve"> </w:t>
      </w:r>
      <w:r w:rsidRPr="00E90ABD">
        <w:rPr>
          <w:bCs/>
          <w:sz w:val="20"/>
          <w:szCs w:val="20"/>
          <w:lang w:bidi="ar-EG"/>
        </w:rPr>
        <w:t>2011;</w:t>
      </w:r>
      <w:r w:rsidR="0065081C" w:rsidRPr="00E90ABD">
        <w:rPr>
          <w:bCs/>
          <w:sz w:val="20"/>
          <w:szCs w:val="20"/>
          <w:lang w:bidi="ar-EG"/>
        </w:rPr>
        <w:t xml:space="preserve"> </w:t>
      </w:r>
      <w:r w:rsidRPr="00E90ABD">
        <w:rPr>
          <w:bCs/>
          <w:sz w:val="20"/>
          <w:szCs w:val="20"/>
          <w:lang w:bidi="ar-EG"/>
        </w:rPr>
        <w:t>1053-1057.</w:t>
      </w:r>
    </w:p>
    <w:p w:rsidR="00096944" w:rsidRPr="00E90ABD" w:rsidRDefault="00096944" w:rsidP="00F06E05">
      <w:pPr>
        <w:numPr>
          <w:ilvl w:val="0"/>
          <w:numId w:val="25"/>
        </w:numPr>
        <w:tabs>
          <w:tab w:val="clear" w:pos="1440"/>
        </w:tabs>
        <w:snapToGrid w:val="0"/>
        <w:ind w:left="425" w:hanging="425"/>
        <w:jc w:val="both"/>
        <w:rPr>
          <w:sz w:val="20"/>
          <w:szCs w:val="20"/>
          <w:lang w:bidi="ar-EG"/>
        </w:rPr>
      </w:pPr>
      <w:r w:rsidRPr="00E90ABD">
        <w:rPr>
          <w:sz w:val="20"/>
          <w:szCs w:val="20"/>
          <w:lang w:bidi="ar-EG"/>
        </w:rPr>
        <w:t>Ladenhauf</w:t>
      </w:r>
      <w:r w:rsidR="0065081C" w:rsidRPr="00E90ABD">
        <w:rPr>
          <w:sz w:val="20"/>
          <w:szCs w:val="20"/>
          <w:lang w:bidi="ar-EG"/>
        </w:rPr>
        <w:t xml:space="preserve"> </w:t>
      </w:r>
      <w:r w:rsidRPr="00E90ABD">
        <w:rPr>
          <w:sz w:val="20"/>
          <w:szCs w:val="20"/>
          <w:lang w:bidi="ar-EG"/>
        </w:rPr>
        <w:t>HN,</w:t>
      </w:r>
      <w:r w:rsidR="0065081C" w:rsidRPr="00E90ABD">
        <w:rPr>
          <w:sz w:val="20"/>
          <w:szCs w:val="20"/>
          <w:lang w:bidi="ar-EG"/>
        </w:rPr>
        <w:t xml:space="preserve"> </w:t>
      </w:r>
      <w:r w:rsidRPr="00E90ABD">
        <w:rPr>
          <w:sz w:val="20"/>
          <w:szCs w:val="20"/>
          <w:lang w:bidi="ar-EG"/>
        </w:rPr>
        <w:t>Schaffert</w:t>
      </w:r>
      <w:r w:rsidR="0065081C" w:rsidRPr="00E90ABD">
        <w:rPr>
          <w:sz w:val="20"/>
          <w:szCs w:val="20"/>
          <w:lang w:bidi="ar-EG"/>
        </w:rPr>
        <w:t xml:space="preserve"> </w:t>
      </w:r>
      <w:r w:rsidRPr="00E90ABD">
        <w:rPr>
          <w:sz w:val="20"/>
          <w:szCs w:val="20"/>
          <w:lang w:bidi="ar-EG"/>
        </w:rPr>
        <w:t>M,</w:t>
      </w:r>
      <w:r w:rsidR="0065081C" w:rsidRPr="00E90ABD">
        <w:rPr>
          <w:sz w:val="20"/>
          <w:szCs w:val="20"/>
          <w:lang w:bidi="ar-EG"/>
        </w:rPr>
        <w:t xml:space="preserve"> </w:t>
      </w:r>
      <w:r w:rsidRPr="00E90ABD">
        <w:rPr>
          <w:sz w:val="20"/>
          <w:szCs w:val="20"/>
          <w:lang w:bidi="ar-EG"/>
        </w:rPr>
        <w:t>Bauer</w:t>
      </w:r>
      <w:r w:rsidR="0065081C" w:rsidRPr="00E90ABD">
        <w:rPr>
          <w:sz w:val="20"/>
          <w:szCs w:val="20"/>
          <w:lang w:bidi="ar-EG"/>
        </w:rPr>
        <w:t xml:space="preserve"> </w:t>
      </w:r>
      <w:r w:rsidRPr="00E90ABD">
        <w:rPr>
          <w:sz w:val="20"/>
          <w:szCs w:val="20"/>
          <w:lang w:bidi="ar-EG"/>
        </w:rPr>
        <w:t>J.</w:t>
      </w:r>
      <w:r w:rsidR="0065081C" w:rsidRPr="00E90ABD">
        <w:rPr>
          <w:bCs/>
          <w:sz w:val="20"/>
          <w:szCs w:val="20"/>
          <w:lang w:bidi="ar-EG"/>
        </w:rPr>
        <w:t xml:space="preserve"> </w:t>
      </w:r>
      <w:r w:rsidRPr="00E90ABD">
        <w:rPr>
          <w:bCs/>
          <w:sz w:val="20"/>
          <w:szCs w:val="20"/>
          <w:lang w:bidi="ar-EG"/>
        </w:rPr>
        <w:t>The</w:t>
      </w:r>
      <w:r w:rsidR="0065081C" w:rsidRPr="00E90ABD">
        <w:rPr>
          <w:bCs/>
          <w:sz w:val="20"/>
          <w:szCs w:val="20"/>
          <w:lang w:bidi="ar-EG"/>
        </w:rPr>
        <w:t xml:space="preserve"> </w:t>
      </w:r>
      <w:r w:rsidRPr="00E90ABD">
        <w:rPr>
          <w:bCs/>
          <w:sz w:val="20"/>
          <w:szCs w:val="20"/>
          <w:lang w:bidi="ar-EG"/>
        </w:rPr>
        <w:t>displaced</w:t>
      </w:r>
      <w:r w:rsidR="0065081C" w:rsidRPr="00E90ABD">
        <w:rPr>
          <w:bCs/>
          <w:sz w:val="20"/>
          <w:szCs w:val="20"/>
          <w:lang w:bidi="ar-EG"/>
        </w:rPr>
        <w:t xml:space="preserve"> </w:t>
      </w:r>
      <w:r w:rsidRPr="00E90ABD">
        <w:rPr>
          <w:bCs/>
          <w:sz w:val="20"/>
          <w:szCs w:val="20"/>
          <w:lang w:bidi="ar-EG"/>
        </w:rPr>
        <w:t>supracondylar</w:t>
      </w:r>
      <w:r w:rsidR="0065081C" w:rsidRPr="00E90ABD">
        <w:rPr>
          <w:bCs/>
          <w:sz w:val="20"/>
          <w:szCs w:val="20"/>
          <w:lang w:bidi="ar-EG"/>
        </w:rPr>
        <w:t xml:space="preserve"> </w:t>
      </w:r>
      <w:r w:rsidRPr="00E90ABD">
        <w:rPr>
          <w:bCs/>
          <w:sz w:val="20"/>
          <w:szCs w:val="20"/>
          <w:lang w:bidi="ar-EG"/>
        </w:rPr>
        <w:t>humerus</w:t>
      </w:r>
      <w:r w:rsidR="0065081C" w:rsidRPr="00E90ABD">
        <w:rPr>
          <w:bCs/>
          <w:sz w:val="20"/>
          <w:szCs w:val="20"/>
          <w:lang w:bidi="ar-EG"/>
        </w:rPr>
        <w:t xml:space="preserve"> </w:t>
      </w:r>
      <w:r w:rsidRPr="00E90ABD">
        <w:rPr>
          <w:bCs/>
          <w:sz w:val="20"/>
          <w:szCs w:val="20"/>
          <w:lang w:bidi="ar-EG"/>
        </w:rPr>
        <w:t>fracture:</w:t>
      </w:r>
      <w:r w:rsidR="0065081C" w:rsidRPr="00E90ABD">
        <w:rPr>
          <w:bCs/>
          <w:sz w:val="20"/>
          <w:szCs w:val="20"/>
          <w:lang w:bidi="ar-EG"/>
        </w:rPr>
        <w:t xml:space="preserve"> </w:t>
      </w:r>
      <w:r w:rsidRPr="00E90ABD">
        <w:rPr>
          <w:bCs/>
          <w:sz w:val="20"/>
          <w:szCs w:val="20"/>
          <w:lang w:bidi="ar-EG"/>
        </w:rPr>
        <w:t>Indications</w:t>
      </w:r>
      <w:r w:rsidR="0065081C" w:rsidRPr="00E90ABD">
        <w:rPr>
          <w:bCs/>
          <w:sz w:val="20"/>
          <w:szCs w:val="20"/>
          <w:lang w:bidi="ar-EG"/>
        </w:rPr>
        <w:t xml:space="preserve"> </w:t>
      </w:r>
      <w:r w:rsidRPr="00E90ABD">
        <w:rPr>
          <w:bCs/>
          <w:sz w:val="20"/>
          <w:szCs w:val="20"/>
          <w:lang w:bidi="ar-EG"/>
        </w:rPr>
        <w:t>for</w:t>
      </w:r>
      <w:r w:rsidR="0065081C" w:rsidRPr="00E90ABD">
        <w:rPr>
          <w:bCs/>
          <w:sz w:val="20"/>
          <w:szCs w:val="20"/>
          <w:lang w:bidi="ar-EG"/>
        </w:rPr>
        <w:t xml:space="preserve"> </w:t>
      </w:r>
      <w:r w:rsidRPr="00E90ABD">
        <w:rPr>
          <w:bCs/>
          <w:sz w:val="20"/>
          <w:szCs w:val="20"/>
          <w:lang w:bidi="ar-EG"/>
        </w:rPr>
        <w:t>surgery</w:t>
      </w:r>
      <w:r w:rsidR="0065081C" w:rsidRPr="00E90ABD">
        <w:rPr>
          <w:bCs/>
          <w:sz w:val="20"/>
          <w:szCs w:val="20"/>
          <w:lang w:bidi="ar-EG"/>
        </w:rPr>
        <w:t xml:space="preserve"> </w:t>
      </w:r>
      <w:r w:rsidRPr="00E90ABD">
        <w:rPr>
          <w:bCs/>
          <w:sz w:val="20"/>
          <w:szCs w:val="20"/>
          <w:lang w:bidi="ar-EG"/>
        </w:rPr>
        <w:t>and</w:t>
      </w:r>
      <w:r w:rsidR="0065081C" w:rsidRPr="00E90ABD">
        <w:rPr>
          <w:bCs/>
          <w:sz w:val="20"/>
          <w:szCs w:val="20"/>
          <w:lang w:bidi="ar-EG"/>
        </w:rPr>
        <w:t xml:space="preserve"> </w:t>
      </w:r>
      <w:r w:rsidRPr="00E90ABD">
        <w:rPr>
          <w:bCs/>
          <w:sz w:val="20"/>
          <w:szCs w:val="20"/>
          <w:lang w:bidi="ar-EG"/>
        </w:rPr>
        <w:t>surgical</w:t>
      </w:r>
      <w:r w:rsidR="0065081C" w:rsidRPr="00E90ABD">
        <w:rPr>
          <w:bCs/>
          <w:sz w:val="20"/>
          <w:szCs w:val="20"/>
          <w:lang w:bidi="ar-EG"/>
        </w:rPr>
        <w:t xml:space="preserve"> </w:t>
      </w:r>
      <w:r w:rsidRPr="00E90ABD">
        <w:rPr>
          <w:bCs/>
          <w:sz w:val="20"/>
          <w:szCs w:val="20"/>
          <w:lang w:bidi="ar-EG"/>
        </w:rPr>
        <w:t>options:</w:t>
      </w:r>
      <w:r w:rsidR="0065081C" w:rsidRPr="00E90ABD">
        <w:rPr>
          <w:bCs/>
          <w:sz w:val="20"/>
          <w:szCs w:val="20"/>
          <w:lang w:bidi="ar-EG"/>
        </w:rPr>
        <w:t xml:space="preserve"> </w:t>
      </w:r>
      <w:r w:rsidRPr="00E90ABD">
        <w:rPr>
          <w:bCs/>
          <w:sz w:val="20"/>
          <w:szCs w:val="20"/>
          <w:lang w:bidi="ar-EG"/>
        </w:rPr>
        <w:t>A</w:t>
      </w:r>
      <w:r w:rsidR="0065081C" w:rsidRPr="00E90ABD">
        <w:rPr>
          <w:bCs/>
          <w:sz w:val="20"/>
          <w:szCs w:val="20"/>
          <w:lang w:bidi="ar-EG"/>
        </w:rPr>
        <w:t xml:space="preserve"> </w:t>
      </w:r>
      <w:r w:rsidRPr="00E90ABD">
        <w:rPr>
          <w:bCs/>
          <w:sz w:val="20"/>
          <w:szCs w:val="20"/>
          <w:lang w:bidi="ar-EG"/>
        </w:rPr>
        <w:t>2014</w:t>
      </w:r>
      <w:r w:rsidR="0065081C" w:rsidRPr="00E90ABD">
        <w:rPr>
          <w:bCs/>
          <w:sz w:val="20"/>
          <w:szCs w:val="20"/>
          <w:lang w:bidi="ar-EG"/>
        </w:rPr>
        <w:t xml:space="preserve"> </w:t>
      </w:r>
      <w:r w:rsidRPr="00E90ABD">
        <w:rPr>
          <w:bCs/>
          <w:sz w:val="20"/>
          <w:szCs w:val="20"/>
          <w:lang w:bidi="ar-EG"/>
        </w:rPr>
        <w:t>update.</w:t>
      </w:r>
      <w:r w:rsidR="0065081C" w:rsidRPr="00E90ABD">
        <w:rPr>
          <w:bCs/>
          <w:sz w:val="20"/>
          <w:szCs w:val="20"/>
          <w:lang w:bidi="ar-EG"/>
        </w:rPr>
        <w:t xml:space="preserve"> </w:t>
      </w:r>
      <w:r w:rsidRPr="00E90ABD">
        <w:rPr>
          <w:bCs/>
          <w:sz w:val="20"/>
          <w:szCs w:val="20"/>
          <w:lang w:bidi="ar-EG"/>
        </w:rPr>
        <w:t>Curr.</w:t>
      </w:r>
      <w:r w:rsidR="0065081C" w:rsidRPr="00E90ABD">
        <w:rPr>
          <w:bCs/>
          <w:sz w:val="20"/>
          <w:szCs w:val="20"/>
          <w:lang w:bidi="ar-EG"/>
        </w:rPr>
        <w:t xml:space="preserve"> </w:t>
      </w:r>
      <w:r w:rsidRPr="00E90ABD">
        <w:rPr>
          <w:bCs/>
          <w:sz w:val="20"/>
          <w:szCs w:val="20"/>
          <w:lang w:bidi="ar-EG"/>
        </w:rPr>
        <w:t>Opin.</w:t>
      </w:r>
      <w:r w:rsidR="0065081C" w:rsidRPr="00E90ABD">
        <w:rPr>
          <w:bCs/>
          <w:sz w:val="20"/>
          <w:szCs w:val="20"/>
          <w:lang w:bidi="ar-EG"/>
        </w:rPr>
        <w:t xml:space="preserve"> </w:t>
      </w:r>
      <w:r w:rsidRPr="00E90ABD">
        <w:rPr>
          <w:bCs/>
          <w:sz w:val="20"/>
          <w:szCs w:val="20"/>
          <w:lang w:bidi="ar-EG"/>
        </w:rPr>
        <w:t>Pediatr.</w:t>
      </w:r>
      <w:r w:rsidR="0065081C" w:rsidRPr="00E90ABD">
        <w:rPr>
          <w:bCs/>
          <w:sz w:val="20"/>
          <w:szCs w:val="20"/>
          <w:lang w:bidi="ar-EG"/>
        </w:rPr>
        <w:t xml:space="preserve"> </w:t>
      </w:r>
      <w:r w:rsidRPr="00E90ABD">
        <w:rPr>
          <w:bCs/>
          <w:sz w:val="20"/>
          <w:szCs w:val="20"/>
          <w:lang w:bidi="ar-EG"/>
        </w:rPr>
        <w:t>2014;</w:t>
      </w:r>
      <w:r w:rsidR="0065081C" w:rsidRPr="00E90ABD">
        <w:rPr>
          <w:bCs/>
          <w:sz w:val="20"/>
          <w:szCs w:val="20"/>
          <w:lang w:bidi="ar-EG"/>
        </w:rPr>
        <w:t xml:space="preserve"> </w:t>
      </w:r>
      <w:r w:rsidRPr="00E90ABD">
        <w:rPr>
          <w:bCs/>
          <w:sz w:val="20"/>
          <w:szCs w:val="20"/>
          <w:lang w:bidi="ar-EG"/>
        </w:rPr>
        <w:t>26:</w:t>
      </w:r>
      <w:r w:rsidR="0065081C" w:rsidRPr="00E90ABD">
        <w:rPr>
          <w:bCs/>
          <w:sz w:val="20"/>
          <w:szCs w:val="20"/>
          <w:lang w:bidi="ar-EG"/>
        </w:rPr>
        <w:t xml:space="preserve"> </w:t>
      </w:r>
      <w:r w:rsidRPr="00E90ABD">
        <w:rPr>
          <w:bCs/>
          <w:sz w:val="20"/>
          <w:szCs w:val="20"/>
          <w:lang w:bidi="ar-EG"/>
        </w:rPr>
        <w:t>64–69.</w:t>
      </w:r>
    </w:p>
    <w:p w:rsidR="00096944" w:rsidRPr="00E90ABD" w:rsidRDefault="00096944" w:rsidP="00F06E05">
      <w:pPr>
        <w:numPr>
          <w:ilvl w:val="0"/>
          <w:numId w:val="25"/>
        </w:numPr>
        <w:tabs>
          <w:tab w:val="clear" w:pos="1440"/>
        </w:tabs>
        <w:snapToGrid w:val="0"/>
        <w:ind w:left="425" w:hanging="425"/>
        <w:jc w:val="both"/>
        <w:rPr>
          <w:sz w:val="20"/>
          <w:szCs w:val="20"/>
          <w:lang w:bidi="ar-EG"/>
        </w:rPr>
      </w:pPr>
      <w:r w:rsidRPr="00E90ABD">
        <w:rPr>
          <w:bCs/>
          <w:sz w:val="20"/>
          <w:szCs w:val="20"/>
          <w:lang w:bidi="ar-EG"/>
        </w:rPr>
        <w:t>Attenborough</w:t>
      </w:r>
      <w:r w:rsidR="0065081C" w:rsidRPr="00E90ABD">
        <w:rPr>
          <w:bCs/>
          <w:sz w:val="20"/>
          <w:szCs w:val="20"/>
          <w:lang w:bidi="ar-EG"/>
        </w:rPr>
        <w:t xml:space="preserve"> </w:t>
      </w:r>
      <w:r w:rsidRPr="00E90ABD">
        <w:rPr>
          <w:bCs/>
          <w:sz w:val="20"/>
          <w:szCs w:val="20"/>
          <w:lang w:bidi="ar-EG"/>
        </w:rPr>
        <w:t>CG.</w:t>
      </w:r>
      <w:r w:rsidR="0065081C" w:rsidRPr="00E90ABD">
        <w:rPr>
          <w:bCs/>
          <w:sz w:val="20"/>
          <w:szCs w:val="20"/>
          <w:lang w:bidi="ar-EG"/>
        </w:rPr>
        <w:t xml:space="preserve"> </w:t>
      </w:r>
      <w:r w:rsidRPr="00E90ABD">
        <w:rPr>
          <w:bCs/>
          <w:sz w:val="20"/>
          <w:szCs w:val="20"/>
          <w:lang w:bidi="ar-EG"/>
        </w:rPr>
        <w:t>Remodeling</w:t>
      </w:r>
      <w:r w:rsidR="0065081C" w:rsidRPr="00E90ABD">
        <w:rPr>
          <w:bCs/>
          <w:sz w:val="20"/>
          <w:szCs w:val="20"/>
          <w:lang w:bidi="ar-EG"/>
        </w:rPr>
        <w:t xml:space="preserve"> </w:t>
      </w:r>
      <w:r w:rsidRPr="00E90ABD">
        <w:rPr>
          <w:bCs/>
          <w:sz w:val="20"/>
          <w:szCs w:val="20"/>
          <w:lang w:bidi="ar-EG"/>
        </w:rPr>
        <w:t>of</w:t>
      </w:r>
      <w:r w:rsidR="0065081C" w:rsidRPr="00E90ABD">
        <w:rPr>
          <w:bCs/>
          <w:sz w:val="20"/>
          <w:szCs w:val="20"/>
          <w:lang w:bidi="ar-EG"/>
        </w:rPr>
        <w:t xml:space="preserve"> </w:t>
      </w:r>
      <w:r w:rsidRPr="00E90ABD">
        <w:rPr>
          <w:bCs/>
          <w:sz w:val="20"/>
          <w:szCs w:val="20"/>
          <w:lang w:bidi="ar-EG"/>
        </w:rPr>
        <w:t>the</w:t>
      </w:r>
      <w:r w:rsidR="0065081C" w:rsidRPr="00E90ABD">
        <w:rPr>
          <w:bCs/>
          <w:sz w:val="20"/>
          <w:szCs w:val="20"/>
          <w:lang w:bidi="ar-EG"/>
        </w:rPr>
        <w:t xml:space="preserve"> </w:t>
      </w:r>
      <w:r w:rsidRPr="00E90ABD">
        <w:rPr>
          <w:bCs/>
          <w:sz w:val="20"/>
          <w:szCs w:val="20"/>
          <w:lang w:bidi="ar-EG"/>
        </w:rPr>
        <w:t>Humerus</w:t>
      </w:r>
      <w:r w:rsidR="0065081C" w:rsidRPr="00E90ABD">
        <w:rPr>
          <w:bCs/>
          <w:sz w:val="20"/>
          <w:szCs w:val="20"/>
          <w:lang w:bidi="ar-EG"/>
        </w:rPr>
        <w:t xml:space="preserve"> </w:t>
      </w:r>
      <w:r w:rsidRPr="00E90ABD">
        <w:rPr>
          <w:bCs/>
          <w:sz w:val="20"/>
          <w:szCs w:val="20"/>
          <w:lang w:bidi="ar-EG"/>
        </w:rPr>
        <w:t>after</w:t>
      </w:r>
      <w:r w:rsidR="0065081C" w:rsidRPr="00E90ABD">
        <w:rPr>
          <w:bCs/>
          <w:sz w:val="20"/>
          <w:szCs w:val="20"/>
          <w:lang w:bidi="ar-EG"/>
        </w:rPr>
        <w:t xml:space="preserve"> </w:t>
      </w:r>
      <w:r w:rsidRPr="00E90ABD">
        <w:rPr>
          <w:bCs/>
          <w:sz w:val="20"/>
          <w:szCs w:val="20"/>
          <w:lang w:bidi="ar-EG"/>
        </w:rPr>
        <w:t>Supracondylar</w:t>
      </w:r>
      <w:r w:rsidR="0065081C" w:rsidRPr="00E90ABD">
        <w:rPr>
          <w:bCs/>
          <w:sz w:val="20"/>
          <w:szCs w:val="20"/>
          <w:lang w:bidi="ar-EG"/>
        </w:rPr>
        <w:t xml:space="preserve"> </w:t>
      </w:r>
      <w:r w:rsidRPr="00E90ABD">
        <w:rPr>
          <w:bCs/>
          <w:sz w:val="20"/>
          <w:szCs w:val="20"/>
          <w:lang w:bidi="ar-EG"/>
        </w:rPr>
        <w:t>Fractures</w:t>
      </w:r>
      <w:r w:rsidR="0065081C" w:rsidRPr="00E90ABD">
        <w:rPr>
          <w:bCs/>
          <w:sz w:val="20"/>
          <w:szCs w:val="20"/>
          <w:lang w:bidi="ar-EG"/>
        </w:rPr>
        <w:t xml:space="preserve"> </w:t>
      </w:r>
      <w:r w:rsidRPr="00E90ABD">
        <w:rPr>
          <w:bCs/>
          <w:sz w:val="20"/>
          <w:szCs w:val="20"/>
          <w:lang w:bidi="ar-EG"/>
        </w:rPr>
        <w:t>in</w:t>
      </w:r>
      <w:r w:rsidR="0065081C" w:rsidRPr="00E90ABD">
        <w:rPr>
          <w:bCs/>
          <w:sz w:val="20"/>
          <w:szCs w:val="20"/>
          <w:lang w:bidi="ar-EG"/>
        </w:rPr>
        <w:t xml:space="preserve"> </w:t>
      </w:r>
      <w:r w:rsidRPr="00E90ABD">
        <w:rPr>
          <w:bCs/>
          <w:sz w:val="20"/>
          <w:szCs w:val="20"/>
          <w:lang w:bidi="ar-EG"/>
        </w:rPr>
        <w:t>Childhood.</w:t>
      </w:r>
      <w:r w:rsidR="0065081C" w:rsidRPr="00E90ABD">
        <w:rPr>
          <w:bCs/>
          <w:sz w:val="20"/>
          <w:szCs w:val="20"/>
          <w:lang w:bidi="ar-EG"/>
        </w:rPr>
        <w:t xml:space="preserve"> </w:t>
      </w:r>
      <w:r w:rsidRPr="00E90ABD">
        <w:rPr>
          <w:bCs/>
          <w:sz w:val="20"/>
          <w:szCs w:val="20"/>
          <w:lang w:bidi="ar-EG"/>
        </w:rPr>
        <w:t>J</w:t>
      </w:r>
      <w:r w:rsidR="0065081C" w:rsidRPr="00E90ABD">
        <w:rPr>
          <w:bCs/>
          <w:sz w:val="20"/>
          <w:szCs w:val="20"/>
          <w:lang w:bidi="ar-EG"/>
        </w:rPr>
        <w:t xml:space="preserve"> </w:t>
      </w:r>
      <w:r w:rsidRPr="00E90ABD">
        <w:rPr>
          <w:bCs/>
          <w:sz w:val="20"/>
          <w:szCs w:val="20"/>
          <w:lang w:bidi="ar-EG"/>
        </w:rPr>
        <w:t>Bone</w:t>
      </w:r>
      <w:r w:rsidR="0065081C" w:rsidRPr="00E90ABD">
        <w:rPr>
          <w:bCs/>
          <w:sz w:val="20"/>
          <w:szCs w:val="20"/>
          <w:lang w:bidi="ar-EG"/>
        </w:rPr>
        <w:t xml:space="preserve"> </w:t>
      </w:r>
      <w:r w:rsidRPr="00E90ABD">
        <w:rPr>
          <w:bCs/>
          <w:sz w:val="20"/>
          <w:szCs w:val="20"/>
          <w:lang w:bidi="ar-EG"/>
        </w:rPr>
        <w:t>Joint</w:t>
      </w:r>
      <w:r w:rsidR="0065081C" w:rsidRPr="00E90ABD">
        <w:rPr>
          <w:bCs/>
          <w:sz w:val="20"/>
          <w:szCs w:val="20"/>
          <w:lang w:bidi="ar-EG"/>
        </w:rPr>
        <w:t xml:space="preserve"> </w:t>
      </w:r>
      <w:r w:rsidRPr="00E90ABD">
        <w:rPr>
          <w:bCs/>
          <w:sz w:val="20"/>
          <w:szCs w:val="20"/>
          <w:lang w:bidi="ar-EG"/>
        </w:rPr>
        <w:t>Surg</w:t>
      </w:r>
      <w:r w:rsidR="0065081C" w:rsidRPr="00E90ABD">
        <w:rPr>
          <w:bCs/>
          <w:sz w:val="20"/>
          <w:szCs w:val="20"/>
          <w:lang w:bidi="ar-EG"/>
        </w:rPr>
        <w:t xml:space="preserve"> </w:t>
      </w:r>
      <w:r w:rsidRPr="00E90ABD">
        <w:rPr>
          <w:bCs/>
          <w:sz w:val="20"/>
          <w:szCs w:val="20"/>
          <w:lang w:bidi="ar-EG"/>
        </w:rPr>
        <w:t>Br</w:t>
      </w:r>
      <w:r w:rsidR="0065081C" w:rsidRPr="00E90ABD">
        <w:rPr>
          <w:bCs/>
          <w:sz w:val="20"/>
          <w:szCs w:val="20"/>
          <w:lang w:bidi="ar-EG"/>
        </w:rPr>
        <w:t xml:space="preserve"> </w:t>
      </w:r>
      <w:r w:rsidRPr="00E90ABD">
        <w:rPr>
          <w:bCs/>
          <w:sz w:val="20"/>
          <w:szCs w:val="20"/>
          <w:lang w:bidi="ar-EG"/>
        </w:rPr>
        <w:t>1953;</w:t>
      </w:r>
      <w:r w:rsidR="0065081C" w:rsidRPr="00E90ABD">
        <w:rPr>
          <w:bCs/>
          <w:sz w:val="20"/>
          <w:szCs w:val="20"/>
          <w:lang w:bidi="ar-EG"/>
        </w:rPr>
        <w:t xml:space="preserve"> </w:t>
      </w:r>
      <w:r w:rsidRPr="00E90ABD">
        <w:rPr>
          <w:bCs/>
          <w:sz w:val="20"/>
          <w:szCs w:val="20"/>
          <w:lang w:bidi="ar-EG"/>
        </w:rPr>
        <w:t>35:</w:t>
      </w:r>
      <w:r w:rsidR="0065081C" w:rsidRPr="00E90ABD">
        <w:rPr>
          <w:bCs/>
          <w:sz w:val="20"/>
          <w:szCs w:val="20"/>
          <w:lang w:bidi="ar-EG"/>
        </w:rPr>
        <w:t xml:space="preserve"> </w:t>
      </w:r>
      <w:r w:rsidRPr="00E90ABD">
        <w:rPr>
          <w:bCs/>
          <w:sz w:val="20"/>
          <w:szCs w:val="20"/>
          <w:lang w:bidi="ar-EG"/>
        </w:rPr>
        <w:t>386-95.</w:t>
      </w:r>
    </w:p>
    <w:p w:rsidR="00096944" w:rsidRPr="00E90ABD" w:rsidRDefault="00096944" w:rsidP="00F06E05">
      <w:pPr>
        <w:numPr>
          <w:ilvl w:val="0"/>
          <w:numId w:val="25"/>
        </w:numPr>
        <w:tabs>
          <w:tab w:val="clear" w:pos="1440"/>
        </w:tabs>
        <w:snapToGrid w:val="0"/>
        <w:ind w:left="425" w:hanging="425"/>
        <w:jc w:val="both"/>
        <w:rPr>
          <w:sz w:val="20"/>
          <w:szCs w:val="20"/>
          <w:lang w:bidi="ar-EG"/>
        </w:rPr>
      </w:pPr>
      <w:r w:rsidRPr="00E90ABD">
        <w:rPr>
          <w:bCs/>
          <w:sz w:val="20"/>
          <w:szCs w:val="20"/>
          <w:lang w:bidi="ar-EG"/>
        </w:rPr>
        <w:t>Cheng</w:t>
      </w:r>
      <w:r w:rsidR="0065081C" w:rsidRPr="00E90ABD">
        <w:rPr>
          <w:bCs/>
          <w:sz w:val="20"/>
          <w:szCs w:val="20"/>
          <w:lang w:bidi="ar-EG"/>
        </w:rPr>
        <w:t xml:space="preserve"> </w:t>
      </w:r>
      <w:r w:rsidRPr="00E90ABD">
        <w:rPr>
          <w:bCs/>
          <w:sz w:val="20"/>
          <w:szCs w:val="20"/>
          <w:lang w:bidi="ar-EG"/>
        </w:rPr>
        <w:t>JC,</w:t>
      </w:r>
      <w:r w:rsidR="0065081C" w:rsidRPr="00E90ABD">
        <w:rPr>
          <w:bCs/>
          <w:sz w:val="20"/>
          <w:szCs w:val="20"/>
          <w:lang w:bidi="ar-EG"/>
        </w:rPr>
        <w:t xml:space="preserve"> </w:t>
      </w:r>
      <w:r w:rsidRPr="00E90ABD">
        <w:rPr>
          <w:bCs/>
          <w:sz w:val="20"/>
          <w:szCs w:val="20"/>
          <w:lang w:bidi="ar-EG"/>
        </w:rPr>
        <w:t>Lam</w:t>
      </w:r>
      <w:r w:rsidR="0065081C" w:rsidRPr="00E90ABD">
        <w:rPr>
          <w:bCs/>
          <w:sz w:val="20"/>
          <w:szCs w:val="20"/>
          <w:lang w:bidi="ar-EG"/>
        </w:rPr>
        <w:t xml:space="preserve"> </w:t>
      </w:r>
      <w:r w:rsidRPr="00E90ABD">
        <w:rPr>
          <w:bCs/>
          <w:sz w:val="20"/>
          <w:szCs w:val="20"/>
          <w:lang w:bidi="ar-EG"/>
        </w:rPr>
        <w:t>TP,</w:t>
      </w:r>
      <w:r w:rsidR="0065081C" w:rsidRPr="00E90ABD">
        <w:rPr>
          <w:bCs/>
          <w:sz w:val="20"/>
          <w:szCs w:val="20"/>
          <w:lang w:bidi="ar-EG"/>
        </w:rPr>
        <w:t xml:space="preserve"> </w:t>
      </w:r>
      <w:r w:rsidRPr="00E90ABD">
        <w:rPr>
          <w:bCs/>
          <w:sz w:val="20"/>
          <w:szCs w:val="20"/>
          <w:lang w:bidi="ar-EG"/>
        </w:rPr>
        <w:t>Shen</w:t>
      </w:r>
      <w:r w:rsidR="0065081C" w:rsidRPr="00E90ABD">
        <w:rPr>
          <w:bCs/>
          <w:sz w:val="20"/>
          <w:szCs w:val="20"/>
          <w:lang w:bidi="ar-EG"/>
        </w:rPr>
        <w:t xml:space="preserve"> </w:t>
      </w:r>
      <w:r w:rsidRPr="00E90ABD">
        <w:rPr>
          <w:bCs/>
          <w:sz w:val="20"/>
          <w:szCs w:val="20"/>
          <w:lang w:bidi="ar-EG"/>
        </w:rPr>
        <w:t>WY.</w:t>
      </w:r>
      <w:r w:rsidR="0065081C" w:rsidRPr="00E90ABD">
        <w:rPr>
          <w:bCs/>
          <w:sz w:val="20"/>
          <w:szCs w:val="20"/>
          <w:lang w:bidi="ar-EG"/>
        </w:rPr>
        <w:t xml:space="preserve"> </w:t>
      </w:r>
      <w:r w:rsidRPr="00E90ABD">
        <w:rPr>
          <w:bCs/>
          <w:sz w:val="20"/>
          <w:szCs w:val="20"/>
          <w:lang w:bidi="ar-EG"/>
        </w:rPr>
        <w:t>Closed</w:t>
      </w:r>
      <w:r w:rsidR="0065081C" w:rsidRPr="00E90ABD">
        <w:rPr>
          <w:bCs/>
          <w:sz w:val="20"/>
          <w:szCs w:val="20"/>
          <w:lang w:bidi="ar-EG"/>
        </w:rPr>
        <w:t xml:space="preserve"> </w:t>
      </w:r>
      <w:r w:rsidRPr="00E90ABD">
        <w:rPr>
          <w:bCs/>
          <w:sz w:val="20"/>
          <w:szCs w:val="20"/>
          <w:lang w:bidi="ar-EG"/>
        </w:rPr>
        <w:t>reduction</w:t>
      </w:r>
      <w:r w:rsidR="0065081C" w:rsidRPr="00E90ABD">
        <w:rPr>
          <w:bCs/>
          <w:sz w:val="20"/>
          <w:szCs w:val="20"/>
          <w:lang w:bidi="ar-EG"/>
        </w:rPr>
        <w:t xml:space="preserve"> </w:t>
      </w:r>
      <w:r w:rsidRPr="00E90ABD">
        <w:rPr>
          <w:bCs/>
          <w:sz w:val="20"/>
          <w:szCs w:val="20"/>
          <w:lang w:bidi="ar-EG"/>
        </w:rPr>
        <w:t>and</w:t>
      </w:r>
      <w:r w:rsidR="003F4398">
        <w:rPr>
          <w:rFonts w:hint="eastAsia"/>
          <w:bCs/>
          <w:sz w:val="20"/>
          <w:szCs w:val="20"/>
          <w:lang w:eastAsia="zh-CN" w:bidi="ar-EG"/>
        </w:rPr>
        <w:t xml:space="preserve"> </w:t>
      </w:r>
      <w:r w:rsidRPr="00E90ABD">
        <w:rPr>
          <w:bCs/>
          <w:sz w:val="20"/>
          <w:szCs w:val="20"/>
          <w:lang w:bidi="ar-EG"/>
        </w:rPr>
        <w:t>percutaneous</w:t>
      </w:r>
      <w:r w:rsidR="0065081C" w:rsidRPr="00E90ABD">
        <w:rPr>
          <w:bCs/>
          <w:sz w:val="20"/>
          <w:szCs w:val="20"/>
          <w:lang w:bidi="ar-EG"/>
        </w:rPr>
        <w:t xml:space="preserve"> </w:t>
      </w:r>
      <w:r w:rsidRPr="00E90ABD">
        <w:rPr>
          <w:bCs/>
          <w:sz w:val="20"/>
          <w:szCs w:val="20"/>
          <w:lang w:bidi="ar-EG"/>
        </w:rPr>
        <w:t>pinning</w:t>
      </w:r>
      <w:r w:rsidR="0065081C" w:rsidRPr="00E90ABD">
        <w:rPr>
          <w:bCs/>
          <w:sz w:val="20"/>
          <w:szCs w:val="20"/>
          <w:lang w:bidi="ar-EG"/>
        </w:rPr>
        <w:t xml:space="preserve"> </w:t>
      </w:r>
      <w:r w:rsidRPr="00E90ABD">
        <w:rPr>
          <w:bCs/>
          <w:sz w:val="20"/>
          <w:szCs w:val="20"/>
          <w:lang w:bidi="ar-EG"/>
        </w:rPr>
        <w:t>for</w:t>
      </w:r>
      <w:r w:rsidR="0065081C" w:rsidRPr="00E90ABD">
        <w:rPr>
          <w:bCs/>
          <w:sz w:val="20"/>
          <w:szCs w:val="20"/>
          <w:lang w:bidi="ar-EG"/>
        </w:rPr>
        <w:t xml:space="preserve"> </w:t>
      </w:r>
      <w:r w:rsidRPr="00E90ABD">
        <w:rPr>
          <w:bCs/>
          <w:sz w:val="20"/>
          <w:szCs w:val="20"/>
          <w:lang w:bidi="ar-EG"/>
        </w:rPr>
        <w:t>type</w:t>
      </w:r>
      <w:r w:rsidR="0065081C" w:rsidRPr="00E90ABD">
        <w:rPr>
          <w:bCs/>
          <w:sz w:val="20"/>
          <w:szCs w:val="20"/>
          <w:lang w:bidi="ar-EG"/>
        </w:rPr>
        <w:t xml:space="preserve"> </w:t>
      </w:r>
      <w:r w:rsidRPr="00E90ABD">
        <w:rPr>
          <w:bCs/>
          <w:sz w:val="20"/>
          <w:szCs w:val="20"/>
          <w:lang w:bidi="ar-EG"/>
        </w:rPr>
        <w:t>III</w:t>
      </w:r>
      <w:r w:rsidR="0065081C" w:rsidRPr="00E90ABD">
        <w:rPr>
          <w:bCs/>
          <w:sz w:val="20"/>
          <w:szCs w:val="20"/>
          <w:lang w:bidi="ar-EG"/>
        </w:rPr>
        <w:t xml:space="preserve"> </w:t>
      </w:r>
      <w:r w:rsidRPr="00E90ABD">
        <w:rPr>
          <w:bCs/>
          <w:sz w:val="20"/>
          <w:szCs w:val="20"/>
          <w:lang w:bidi="ar-EG"/>
        </w:rPr>
        <w:t>displaced</w:t>
      </w:r>
      <w:r w:rsidR="0065081C" w:rsidRPr="00E90ABD">
        <w:rPr>
          <w:bCs/>
          <w:sz w:val="20"/>
          <w:szCs w:val="20"/>
          <w:lang w:bidi="ar-EG"/>
        </w:rPr>
        <w:t xml:space="preserve"> </w:t>
      </w:r>
      <w:r w:rsidRPr="00E90ABD">
        <w:rPr>
          <w:bCs/>
          <w:sz w:val="20"/>
          <w:szCs w:val="20"/>
          <w:lang w:bidi="ar-EG"/>
        </w:rPr>
        <w:t>supracondylar</w:t>
      </w:r>
      <w:r w:rsidR="003F4398">
        <w:rPr>
          <w:rFonts w:hint="eastAsia"/>
          <w:bCs/>
          <w:sz w:val="20"/>
          <w:szCs w:val="20"/>
          <w:lang w:eastAsia="zh-CN" w:bidi="ar-EG"/>
        </w:rPr>
        <w:t xml:space="preserve"> </w:t>
      </w:r>
      <w:r w:rsidRPr="00E90ABD">
        <w:rPr>
          <w:bCs/>
          <w:sz w:val="20"/>
          <w:szCs w:val="20"/>
          <w:lang w:bidi="ar-EG"/>
        </w:rPr>
        <w:t>fractures</w:t>
      </w:r>
      <w:r w:rsidR="0065081C" w:rsidRPr="00E90ABD">
        <w:rPr>
          <w:bCs/>
          <w:sz w:val="20"/>
          <w:szCs w:val="20"/>
          <w:lang w:bidi="ar-EG"/>
        </w:rPr>
        <w:t xml:space="preserve"> </w:t>
      </w:r>
      <w:r w:rsidRPr="00E90ABD">
        <w:rPr>
          <w:bCs/>
          <w:sz w:val="20"/>
          <w:szCs w:val="20"/>
          <w:lang w:bidi="ar-EG"/>
        </w:rPr>
        <w:t>of</w:t>
      </w:r>
      <w:r w:rsidR="0065081C" w:rsidRPr="00E90ABD">
        <w:rPr>
          <w:bCs/>
          <w:sz w:val="20"/>
          <w:szCs w:val="20"/>
          <w:lang w:bidi="ar-EG"/>
        </w:rPr>
        <w:t xml:space="preserve"> </w:t>
      </w:r>
      <w:r w:rsidRPr="00E90ABD">
        <w:rPr>
          <w:bCs/>
          <w:sz w:val="20"/>
          <w:szCs w:val="20"/>
          <w:lang w:bidi="ar-EG"/>
        </w:rPr>
        <w:t>the</w:t>
      </w:r>
      <w:r w:rsidR="0065081C" w:rsidRPr="00E90ABD">
        <w:rPr>
          <w:bCs/>
          <w:sz w:val="20"/>
          <w:szCs w:val="20"/>
          <w:lang w:bidi="ar-EG"/>
        </w:rPr>
        <w:t xml:space="preserve"> </w:t>
      </w:r>
      <w:r w:rsidRPr="00E90ABD">
        <w:rPr>
          <w:bCs/>
          <w:sz w:val="20"/>
          <w:szCs w:val="20"/>
          <w:lang w:bidi="ar-EG"/>
        </w:rPr>
        <w:t>humerus</w:t>
      </w:r>
      <w:r w:rsidR="0065081C" w:rsidRPr="00E90ABD">
        <w:rPr>
          <w:bCs/>
          <w:sz w:val="20"/>
          <w:szCs w:val="20"/>
          <w:lang w:bidi="ar-EG"/>
        </w:rPr>
        <w:t xml:space="preserve"> </w:t>
      </w:r>
      <w:r w:rsidRPr="00E90ABD">
        <w:rPr>
          <w:bCs/>
          <w:sz w:val="20"/>
          <w:szCs w:val="20"/>
          <w:lang w:bidi="ar-EG"/>
        </w:rPr>
        <w:t>in</w:t>
      </w:r>
      <w:r w:rsidR="0065081C" w:rsidRPr="00E90ABD">
        <w:rPr>
          <w:bCs/>
          <w:sz w:val="20"/>
          <w:szCs w:val="20"/>
          <w:lang w:bidi="ar-EG"/>
        </w:rPr>
        <w:t xml:space="preserve"> </w:t>
      </w:r>
      <w:r w:rsidRPr="00E90ABD">
        <w:rPr>
          <w:bCs/>
          <w:sz w:val="20"/>
          <w:szCs w:val="20"/>
          <w:lang w:bidi="ar-EG"/>
        </w:rPr>
        <w:t>children.</w:t>
      </w:r>
      <w:r w:rsidR="0065081C" w:rsidRPr="00E90ABD">
        <w:rPr>
          <w:bCs/>
          <w:sz w:val="20"/>
          <w:szCs w:val="20"/>
          <w:lang w:bidi="ar-EG"/>
        </w:rPr>
        <w:t xml:space="preserve"> </w:t>
      </w:r>
      <w:r w:rsidRPr="00E90ABD">
        <w:rPr>
          <w:bCs/>
          <w:sz w:val="20"/>
          <w:szCs w:val="20"/>
          <w:lang w:bidi="ar-EG"/>
        </w:rPr>
        <w:t>J</w:t>
      </w:r>
      <w:r w:rsidR="0065081C" w:rsidRPr="00E90ABD">
        <w:rPr>
          <w:bCs/>
          <w:sz w:val="20"/>
          <w:szCs w:val="20"/>
          <w:lang w:bidi="ar-EG"/>
        </w:rPr>
        <w:t xml:space="preserve"> </w:t>
      </w:r>
      <w:r w:rsidRPr="00E90ABD">
        <w:rPr>
          <w:bCs/>
          <w:sz w:val="20"/>
          <w:szCs w:val="20"/>
          <w:lang w:bidi="ar-EG"/>
        </w:rPr>
        <w:t>Orthop</w:t>
      </w:r>
      <w:r w:rsidR="0065081C" w:rsidRPr="00E90ABD">
        <w:rPr>
          <w:bCs/>
          <w:sz w:val="20"/>
          <w:szCs w:val="20"/>
          <w:lang w:bidi="ar-EG"/>
        </w:rPr>
        <w:t xml:space="preserve"> </w:t>
      </w:r>
      <w:r w:rsidRPr="00E90ABD">
        <w:rPr>
          <w:bCs/>
          <w:sz w:val="20"/>
          <w:szCs w:val="20"/>
          <w:lang w:bidi="ar-EG"/>
        </w:rPr>
        <w:t>Trauma,</w:t>
      </w:r>
      <w:r w:rsidR="0065081C" w:rsidRPr="00E90ABD">
        <w:rPr>
          <w:bCs/>
          <w:sz w:val="20"/>
          <w:szCs w:val="20"/>
          <w:lang w:bidi="ar-EG"/>
        </w:rPr>
        <w:t xml:space="preserve"> </w:t>
      </w:r>
      <w:r w:rsidRPr="00E90ABD">
        <w:rPr>
          <w:bCs/>
          <w:sz w:val="20"/>
          <w:szCs w:val="20"/>
          <w:lang w:bidi="ar-EG"/>
        </w:rPr>
        <w:t>1995;</w:t>
      </w:r>
      <w:r w:rsidR="0065081C" w:rsidRPr="00E90ABD">
        <w:rPr>
          <w:bCs/>
          <w:sz w:val="20"/>
          <w:szCs w:val="20"/>
          <w:lang w:bidi="ar-EG"/>
        </w:rPr>
        <w:t xml:space="preserve"> </w:t>
      </w:r>
      <w:r w:rsidRPr="00E90ABD">
        <w:rPr>
          <w:bCs/>
          <w:sz w:val="20"/>
          <w:szCs w:val="20"/>
          <w:lang w:bidi="ar-EG"/>
        </w:rPr>
        <w:t>9:</w:t>
      </w:r>
      <w:r w:rsidR="0065081C" w:rsidRPr="00E90ABD">
        <w:rPr>
          <w:bCs/>
          <w:sz w:val="20"/>
          <w:szCs w:val="20"/>
          <w:lang w:bidi="ar-EG"/>
        </w:rPr>
        <w:t xml:space="preserve"> </w:t>
      </w:r>
      <w:r w:rsidRPr="00E90ABD">
        <w:rPr>
          <w:bCs/>
          <w:sz w:val="20"/>
          <w:szCs w:val="20"/>
          <w:lang w:bidi="ar-EG"/>
        </w:rPr>
        <w:t>511-515.</w:t>
      </w:r>
    </w:p>
    <w:p w:rsidR="00096944" w:rsidRPr="00E90ABD" w:rsidRDefault="00096944" w:rsidP="00F06E05">
      <w:pPr>
        <w:numPr>
          <w:ilvl w:val="0"/>
          <w:numId w:val="25"/>
        </w:numPr>
        <w:tabs>
          <w:tab w:val="clear" w:pos="1440"/>
        </w:tabs>
        <w:snapToGrid w:val="0"/>
        <w:ind w:left="425" w:hanging="425"/>
        <w:jc w:val="both"/>
        <w:rPr>
          <w:sz w:val="20"/>
          <w:szCs w:val="20"/>
          <w:lang w:bidi="ar-EG"/>
        </w:rPr>
      </w:pPr>
      <w:r w:rsidRPr="00E90ABD">
        <w:rPr>
          <w:bCs/>
          <w:sz w:val="20"/>
          <w:szCs w:val="20"/>
          <w:lang w:bidi="ar-EG"/>
        </w:rPr>
        <w:lastRenderedPageBreak/>
        <w:t>Devkota</w:t>
      </w:r>
      <w:r w:rsidR="0065081C" w:rsidRPr="00E90ABD">
        <w:rPr>
          <w:bCs/>
          <w:sz w:val="20"/>
          <w:szCs w:val="20"/>
          <w:lang w:bidi="ar-EG"/>
        </w:rPr>
        <w:t xml:space="preserve"> </w:t>
      </w:r>
      <w:r w:rsidRPr="00E90ABD">
        <w:rPr>
          <w:bCs/>
          <w:sz w:val="20"/>
          <w:szCs w:val="20"/>
          <w:lang w:bidi="ar-EG"/>
        </w:rPr>
        <w:t>P,</w:t>
      </w:r>
      <w:r w:rsidR="0065081C" w:rsidRPr="00E90ABD">
        <w:rPr>
          <w:bCs/>
          <w:sz w:val="20"/>
          <w:szCs w:val="20"/>
          <w:lang w:bidi="ar-EG"/>
        </w:rPr>
        <w:t xml:space="preserve"> </w:t>
      </w:r>
      <w:r w:rsidRPr="00E90ABD">
        <w:rPr>
          <w:bCs/>
          <w:sz w:val="20"/>
          <w:szCs w:val="20"/>
          <w:lang w:bidi="ar-EG"/>
        </w:rPr>
        <w:t>Khan</w:t>
      </w:r>
      <w:r w:rsidR="0065081C" w:rsidRPr="00E90ABD">
        <w:rPr>
          <w:bCs/>
          <w:sz w:val="20"/>
          <w:szCs w:val="20"/>
          <w:lang w:bidi="ar-EG"/>
        </w:rPr>
        <w:t xml:space="preserve"> </w:t>
      </w:r>
      <w:r w:rsidRPr="00E90ABD">
        <w:rPr>
          <w:bCs/>
          <w:sz w:val="20"/>
          <w:szCs w:val="20"/>
          <w:lang w:bidi="ar-EG"/>
        </w:rPr>
        <w:t>JA,</w:t>
      </w:r>
      <w:r w:rsidR="0065081C" w:rsidRPr="00E90ABD">
        <w:rPr>
          <w:bCs/>
          <w:sz w:val="20"/>
          <w:szCs w:val="20"/>
          <w:lang w:bidi="ar-EG"/>
        </w:rPr>
        <w:t xml:space="preserve"> </w:t>
      </w:r>
      <w:r w:rsidRPr="00E90ABD">
        <w:rPr>
          <w:bCs/>
          <w:sz w:val="20"/>
          <w:szCs w:val="20"/>
          <w:lang w:bidi="ar-EG"/>
        </w:rPr>
        <w:t>Acharya</w:t>
      </w:r>
      <w:r w:rsidR="0065081C" w:rsidRPr="00E90ABD">
        <w:rPr>
          <w:bCs/>
          <w:sz w:val="20"/>
          <w:szCs w:val="20"/>
          <w:lang w:bidi="ar-EG"/>
        </w:rPr>
        <w:t xml:space="preserve"> </w:t>
      </w:r>
      <w:r w:rsidRPr="00E90ABD">
        <w:rPr>
          <w:bCs/>
          <w:sz w:val="20"/>
          <w:szCs w:val="20"/>
          <w:lang w:bidi="ar-EG"/>
        </w:rPr>
        <w:t>BM,</w:t>
      </w:r>
      <w:r w:rsidR="0065081C" w:rsidRPr="00E90ABD">
        <w:rPr>
          <w:bCs/>
          <w:sz w:val="20"/>
          <w:szCs w:val="20"/>
          <w:lang w:bidi="ar-EG"/>
        </w:rPr>
        <w:t xml:space="preserve"> </w:t>
      </w:r>
      <w:r w:rsidRPr="00E90ABD">
        <w:rPr>
          <w:bCs/>
          <w:sz w:val="20"/>
          <w:szCs w:val="20"/>
          <w:lang w:bidi="ar-EG"/>
        </w:rPr>
        <w:t>et</w:t>
      </w:r>
      <w:r w:rsidR="0065081C" w:rsidRPr="00E90ABD">
        <w:rPr>
          <w:bCs/>
          <w:sz w:val="20"/>
          <w:szCs w:val="20"/>
          <w:lang w:bidi="ar-EG"/>
        </w:rPr>
        <w:t xml:space="preserve"> </w:t>
      </w:r>
      <w:r w:rsidRPr="00E90ABD">
        <w:rPr>
          <w:bCs/>
          <w:sz w:val="20"/>
          <w:szCs w:val="20"/>
          <w:lang w:bidi="ar-EG"/>
        </w:rPr>
        <w:t>al.</w:t>
      </w:r>
      <w:r w:rsidR="0065081C" w:rsidRPr="00E90ABD">
        <w:rPr>
          <w:bCs/>
          <w:sz w:val="20"/>
          <w:szCs w:val="20"/>
          <w:lang w:bidi="ar-EG"/>
        </w:rPr>
        <w:t xml:space="preserve"> </w:t>
      </w:r>
      <w:r w:rsidRPr="00E90ABD">
        <w:rPr>
          <w:bCs/>
          <w:sz w:val="20"/>
          <w:szCs w:val="20"/>
          <w:lang w:bidi="ar-EG"/>
        </w:rPr>
        <w:t>Outcome</w:t>
      </w:r>
      <w:r w:rsidR="0065081C" w:rsidRPr="00E90ABD">
        <w:rPr>
          <w:bCs/>
          <w:sz w:val="20"/>
          <w:szCs w:val="20"/>
          <w:lang w:bidi="ar-EG"/>
        </w:rPr>
        <w:t xml:space="preserve"> </w:t>
      </w:r>
      <w:r w:rsidRPr="00E90ABD">
        <w:rPr>
          <w:bCs/>
          <w:sz w:val="20"/>
          <w:szCs w:val="20"/>
          <w:lang w:bidi="ar-EG"/>
        </w:rPr>
        <w:t>of</w:t>
      </w:r>
      <w:r w:rsidR="0065081C" w:rsidRPr="00E90ABD">
        <w:rPr>
          <w:bCs/>
          <w:sz w:val="20"/>
          <w:szCs w:val="20"/>
          <w:lang w:bidi="ar-EG"/>
        </w:rPr>
        <w:t xml:space="preserve"> </w:t>
      </w:r>
      <w:r w:rsidRPr="00E90ABD">
        <w:rPr>
          <w:bCs/>
          <w:sz w:val="20"/>
          <w:szCs w:val="20"/>
          <w:lang w:bidi="ar-EG"/>
        </w:rPr>
        <w:t>supracondylar</w:t>
      </w:r>
      <w:r w:rsidR="0065081C" w:rsidRPr="00E90ABD">
        <w:rPr>
          <w:bCs/>
          <w:sz w:val="20"/>
          <w:szCs w:val="20"/>
          <w:lang w:bidi="ar-EG"/>
        </w:rPr>
        <w:t xml:space="preserve"> </w:t>
      </w:r>
      <w:r w:rsidRPr="00E90ABD">
        <w:rPr>
          <w:bCs/>
          <w:sz w:val="20"/>
          <w:szCs w:val="20"/>
          <w:lang w:bidi="ar-EG"/>
        </w:rPr>
        <w:t>fractures</w:t>
      </w:r>
      <w:r w:rsidR="0065081C" w:rsidRPr="00E90ABD">
        <w:rPr>
          <w:bCs/>
          <w:sz w:val="20"/>
          <w:szCs w:val="20"/>
          <w:lang w:bidi="ar-EG"/>
        </w:rPr>
        <w:t xml:space="preserve"> </w:t>
      </w:r>
      <w:r w:rsidRPr="00E90ABD">
        <w:rPr>
          <w:bCs/>
          <w:sz w:val="20"/>
          <w:szCs w:val="20"/>
          <w:lang w:bidi="ar-EG"/>
        </w:rPr>
        <w:t>of</w:t>
      </w:r>
      <w:r w:rsidR="0065081C" w:rsidRPr="00E90ABD">
        <w:rPr>
          <w:bCs/>
          <w:sz w:val="20"/>
          <w:szCs w:val="20"/>
          <w:lang w:bidi="ar-EG"/>
        </w:rPr>
        <w:t xml:space="preserve"> </w:t>
      </w:r>
      <w:r w:rsidRPr="00E90ABD">
        <w:rPr>
          <w:bCs/>
          <w:sz w:val="20"/>
          <w:szCs w:val="20"/>
          <w:lang w:bidi="ar-EG"/>
        </w:rPr>
        <w:t>the</w:t>
      </w:r>
      <w:r w:rsidR="0065081C" w:rsidRPr="00E90ABD">
        <w:rPr>
          <w:bCs/>
          <w:sz w:val="20"/>
          <w:szCs w:val="20"/>
          <w:lang w:bidi="ar-EG"/>
        </w:rPr>
        <w:t xml:space="preserve"> </w:t>
      </w:r>
      <w:r w:rsidRPr="00E90ABD">
        <w:rPr>
          <w:bCs/>
          <w:sz w:val="20"/>
          <w:szCs w:val="20"/>
          <w:lang w:bidi="ar-EG"/>
        </w:rPr>
        <w:t>humerus</w:t>
      </w:r>
      <w:r w:rsidR="0065081C" w:rsidRPr="00E90ABD">
        <w:rPr>
          <w:bCs/>
          <w:sz w:val="20"/>
          <w:szCs w:val="20"/>
          <w:lang w:bidi="ar-EG"/>
        </w:rPr>
        <w:t xml:space="preserve"> </w:t>
      </w:r>
      <w:r w:rsidRPr="00E90ABD">
        <w:rPr>
          <w:bCs/>
          <w:sz w:val="20"/>
          <w:szCs w:val="20"/>
          <w:lang w:bidi="ar-EG"/>
        </w:rPr>
        <w:t>in</w:t>
      </w:r>
      <w:r w:rsidR="0065081C" w:rsidRPr="00E90ABD">
        <w:rPr>
          <w:bCs/>
          <w:sz w:val="20"/>
          <w:szCs w:val="20"/>
          <w:lang w:bidi="ar-EG"/>
        </w:rPr>
        <w:t xml:space="preserve"> </w:t>
      </w:r>
      <w:r w:rsidRPr="00E90ABD">
        <w:rPr>
          <w:bCs/>
          <w:sz w:val="20"/>
          <w:szCs w:val="20"/>
          <w:lang w:bidi="ar-EG"/>
        </w:rPr>
        <w:t>children</w:t>
      </w:r>
      <w:r w:rsidR="0065081C" w:rsidRPr="00E90ABD">
        <w:rPr>
          <w:bCs/>
          <w:sz w:val="20"/>
          <w:szCs w:val="20"/>
          <w:lang w:bidi="ar-EG"/>
        </w:rPr>
        <w:t xml:space="preserve"> </w:t>
      </w:r>
      <w:r w:rsidRPr="00E90ABD">
        <w:rPr>
          <w:bCs/>
          <w:sz w:val="20"/>
          <w:szCs w:val="20"/>
          <w:lang w:bidi="ar-EG"/>
        </w:rPr>
        <w:t>treated</w:t>
      </w:r>
      <w:r w:rsidR="0065081C" w:rsidRPr="00E90ABD">
        <w:rPr>
          <w:bCs/>
          <w:sz w:val="20"/>
          <w:szCs w:val="20"/>
          <w:lang w:bidi="ar-EG"/>
        </w:rPr>
        <w:t xml:space="preserve"> </w:t>
      </w:r>
      <w:r w:rsidRPr="00E90ABD">
        <w:rPr>
          <w:bCs/>
          <w:sz w:val="20"/>
          <w:szCs w:val="20"/>
          <w:lang w:bidi="ar-EG"/>
        </w:rPr>
        <w:t>by</w:t>
      </w:r>
      <w:r w:rsidR="0065081C" w:rsidRPr="00E90ABD">
        <w:rPr>
          <w:bCs/>
          <w:sz w:val="20"/>
          <w:szCs w:val="20"/>
          <w:lang w:bidi="ar-EG"/>
        </w:rPr>
        <w:t xml:space="preserve"> </w:t>
      </w:r>
      <w:r w:rsidRPr="00E90ABD">
        <w:rPr>
          <w:bCs/>
          <w:sz w:val="20"/>
          <w:szCs w:val="20"/>
          <w:lang w:bidi="ar-EG"/>
        </w:rPr>
        <w:t>closed</w:t>
      </w:r>
      <w:r w:rsidR="0065081C" w:rsidRPr="00E90ABD">
        <w:rPr>
          <w:bCs/>
          <w:sz w:val="20"/>
          <w:szCs w:val="20"/>
          <w:lang w:bidi="ar-EG"/>
        </w:rPr>
        <w:t xml:space="preserve"> </w:t>
      </w:r>
      <w:r w:rsidRPr="00E90ABD">
        <w:rPr>
          <w:bCs/>
          <w:sz w:val="20"/>
          <w:szCs w:val="20"/>
          <w:lang w:bidi="ar-EG"/>
        </w:rPr>
        <w:t>reduction</w:t>
      </w:r>
      <w:r w:rsidR="0065081C" w:rsidRPr="00E90ABD">
        <w:rPr>
          <w:bCs/>
          <w:sz w:val="20"/>
          <w:szCs w:val="20"/>
          <w:lang w:bidi="ar-EG"/>
        </w:rPr>
        <w:t xml:space="preserve"> </w:t>
      </w:r>
      <w:r w:rsidRPr="00E90ABD">
        <w:rPr>
          <w:bCs/>
          <w:sz w:val="20"/>
          <w:szCs w:val="20"/>
          <w:lang w:bidi="ar-EG"/>
        </w:rPr>
        <w:t>and</w:t>
      </w:r>
      <w:r w:rsidR="0065081C" w:rsidRPr="00E90ABD">
        <w:rPr>
          <w:bCs/>
          <w:sz w:val="20"/>
          <w:szCs w:val="20"/>
          <w:lang w:bidi="ar-EG"/>
        </w:rPr>
        <w:t xml:space="preserve"> </w:t>
      </w:r>
      <w:r w:rsidRPr="00E90ABD">
        <w:rPr>
          <w:bCs/>
          <w:sz w:val="20"/>
          <w:szCs w:val="20"/>
          <w:lang w:bidi="ar-EG"/>
        </w:rPr>
        <w:t>percutaneous</w:t>
      </w:r>
      <w:r w:rsidR="0065081C" w:rsidRPr="00E90ABD">
        <w:rPr>
          <w:bCs/>
          <w:sz w:val="20"/>
          <w:szCs w:val="20"/>
          <w:lang w:bidi="ar-EG"/>
        </w:rPr>
        <w:t xml:space="preserve"> </w:t>
      </w:r>
      <w:r w:rsidRPr="00E90ABD">
        <w:rPr>
          <w:bCs/>
          <w:sz w:val="20"/>
          <w:szCs w:val="20"/>
          <w:lang w:bidi="ar-EG"/>
        </w:rPr>
        <w:t>pinning.</w:t>
      </w:r>
      <w:r w:rsidR="0065081C" w:rsidRPr="00E90ABD">
        <w:rPr>
          <w:bCs/>
          <w:sz w:val="20"/>
          <w:szCs w:val="20"/>
          <w:lang w:bidi="ar-EG"/>
        </w:rPr>
        <w:t xml:space="preserve"> </w:t>
      </w:r>
      <w:r w:rsidRPr="00E90ABD">
        <w:rPr>
          <w:bCs/>
          <w:sz w:val="20"/>
          <w:szCs w:val="20"/>
          <w:lang w:bidi="ar-EG"/>
        </w:rPr>
        <w:t>J</w:t>
      </w:r>
      <w:r w:rsidR="0065081C" w:rsidRPr="00E90ABD">
        <w:rPr>
          <w:bCs/>
          <w:sz w:val="20"/>
          <w:szCs w:val="20"/>
          <w:lang w:bidi="ar-EG"/>
        </w:rPr>
        <w:t xml:space="preserve"> </w:t>
      </w:r>
      <w:r w:rsidRPr="00E90ABD">
        <w:rPr>
          <w:bCs/>
          <w:sz w:val="20"/>
          <w:szCs w:val="20"/>
          <w:lang w:bidi="ar-EG"/>
        </w:rPr>
        <w:t>Nepal</w:t>
      </w:r>
      <w:r w:rsidR="0065081C" w:rsidRPr="00E90ABD">
        <w:rPr>
          <w:bCs/>
          <w:sz w:val="20"/>
          <w:szCs w:val="20"/>
          <w:lang w:bidi="ar-EG"/>
        </w:rPr>
        <w:t xml:space="preserve"> </w:t>
      </w:r>
      <w:r w:rsidRPr="00E90ABD">
        <w:rPr>
          <w:bCs/>
          <w:sz w:val="20"/>
          <w:szCs w:val="20"/>
          <w:lang w:bidi="ar-EG"/>
        </w:rPr>
        <w:t>Med</w:t>
      </w:r>
      <w:r w:rsidR="0065081C" w:rsidRPr="00E90ABD">
        <w:rPr>
          <w:bCs/>
          <w:sz w:val="20"/>
          <w:szCs w:val="20"/>
          <w:lang w:bidi="ar-EG"/>
        </w:rPr>
        <w:t xml:space="preserve"> </w:t>
      </w:r>
      <w:r w:rsidRPr="00E90ABD">
        <w:rPr>
          <w:bCs/>
          <w:sz w:val="20"/>
          <w:szCs w:val="20"/>
          <w:lang w:bidi="ar-EG"/>
        </w:rPr>
        <w:t>Assoc.</w:t>
      </w:r>
      <w:r w:rsidR="0065081C" w:rsidRPr="00E90ABD">
        <w:rPr>
          <w:bCs/>
          <w:sz w:val="20"/>
          <w:szCs w:val="20"/>
          <w:lang w:bidi="ar-EG"/>
        </w:rPr>
        <w:t xml:space="preserve"> </w:t>
      </w:r>
      <w:r w:rsidRPr="00E90ABD">
        <w:rPr>
          <w:bCs/>
          <w:sz w:val="20"/>
          <w:szCs w:val="20"/>
          <w:lang w:bidi="ar-EG"/>
        </w:rPr>
        <w:t>2008;</w:t>
      </w:r>
      <w:r w:rsidR="0065081C" w:rsidRPr="00E90ABD">
        <w:rPr>
          <w:bCs/>
          <w:sz w:val="20"/>
          <w:szCs w:val="20"/>
          <w:lang w:bidi="ar-EG"/>
        </w:rPr>
        <w:t xml:space="preserve"> </w:t>
      </w:r>
      <w:r w:rsidRPr="00E90ABD">
        <w:rPr>
          <w:bCs/>
          <w:sz w:val="20"/>
          <w:szCs w:val="20"/>
          <w:lang w:bidi="ar-EG"/>
        </w:rPr>
        <w:t>47(170):</w:t>
      </w:r>
      <w:r w:rsidR="0065081C" w:rsidRPr="00E90ABD">
        <w:rPr>
          <w:bCs/>
          <w:sz w:val="20"/>
          <w:szCs w:val="20"/>
          <w:lang w:bidi="ar-EG"/>
        </w:rPr>
        <w:t xml:space="preserve"> </w:t>
      </w:r>
      <w:r w:rsidRPr="00E90ABD">
        <w:rPr>
          <w:bCs/>
          <w:sz w:val="20"/>
          <w:szCs w:val="20"/>
          <w:lang w:bidi="ar-EG"/>
        </w:rPr>
        <w:t>66-70.</w:t>
      </w:r>
    </w:p>
    <w:p w:rsidR="00096944" w:rsidRPr="00E90ABD" w:rsidRDefault="00096944" w:rsidP="00F06E05">
      <w:pPr>
        <w:numPr>
          <w:ilvl w:val="0"/>
          <w:numId w:val="25"/>
        </w:numPr>
        <w:tabs>
          <w:tab w:val="clear" w:pos="1440"/>
        </w:tabs>
        <w:snapToGrid w:val="0"/>
        <w:ind w:left="425" w:hanging="425"/>
        <w:jc w:val="both"/>
        <w:rPr>
          <w:sz w:val="20"/>
          <w:szCs w:val="20"/>
          <w:lang w:bidi="ar-EG"/>
        </w:rPr>
      </w:pPr>
      <w:r w:rsidRPr="00E90ABD">
        <w:rPr>
          <w:bCs/>
          <w:sz w:val="20"/>
          <w:szCs w:val="20"/>
          <w:lang w:bidi="ar-EG"/>
        </w:rPr>
        <w:t>Chakraborty</w:t>
      </w:r>
      <w:r w:rsidR="0065081C" w:rsidRPr="00E90ABD">
        <w:rPr>
          <w:bCs/>
          <w:sz w:val="20"/>
          <w:szCs w:val="20"/>
          <w:lang w:bidi="ar-EG"/>
        </w:rPr>
        <w:t xml:space="preserve"> </w:t>
      </w:r>
      <w:r w:rsidRPr="00E90ABD">
        <w:rPr>
          <w:bCs/>
          <w:sz w:val="20"/>
          <w:szCs w:val="20"/>
          <w:lang w:bidi="ar-EG"/>
        </w:rPr>
        <w:t>MK.</w:t>
      </w:r>
      <w:r w:rsidR="0065081C" w:rsidRPr="00E90ABD">
        <w:rPr>
          <w:bCs/>
          <w:sz w:val="20"/>
          <w:szCs w:val="20"/>
          <w:lang w:bidi="ar-EG"/>
        </w:rPr>
        <w:t xml:space="preserve"> </w:t>
      </w:r>
      <w:r w:rsidRPr="00E90ABD">
        <w:rPr>
          <w:bCs/>
          <w:sz w:val="20"/>
          <w:szCs w:val="20"/>
          <w:lang w:bidi="ar-EG"/>
        </w:rPr>
        <w:t>Displaced</w:t>
      </w:r>
      <w:r w:rsidR="0065081C" w:rsidRPr="00E90ABD">
        <w:rPr>
          <w:bCs/>
          <w:sz w:val="20"/>
          <w:szCs w:val="20"/>
          <w:lang w:bidi="ar-EG"/>
        </w:rPr>
        <w:t xml:space="preserve"> </w:t>
      </w:r>
      <w:r w:rsidRPr="00E90ABD">
        <w:rPr>
          <w:bCs/>
          <w:sz w:val="20"/>
          <w:szCs w:val="20"/>
          <w:lang w:bidi="ar-EG"/>
        </w:rPr>
        <w:t>supracondylar</w:t>
      </w:r>
      <w:r w:rsidR="0065081C" w:rsidRPr="00E90ABD">
        <w:rPr>
          <w:bCs/>
          <w:sz w:val="20"/>
          <w:szCs w:val="20"/>
          <w:lang w:bidi="ar-EG"/>
        </w:rPr>
        <w:t xml:space="preserve"> </w:t>
      </w:r>
      <w:r w:rsidRPr="00E90ABD">
        <w:rPr>
          <w:bCs/>
          <w:sz w:val="20"/>
          <w:szCs w:val="20"/>
          <w:lang w:bidi="ar-EG"/>
        </w:rPr>
        <w:t>fracture</w:t>
      </w:r>
      <w:r w:rsidR="0065081C" w:rsidRPr="00E90ABD">
        <w:rPr>
          <w:bCs/>
          <w:sz w:val="20"/>
          <w:szCs w:val="20"/>
          <w:lang w:bidi="ar-EG"/>
        </w:rPr>
        <w:t xml:space="preserve"> </w:t>
      </w:r>
      <w:r w:rsidRPr="00E90ABD">
        <w:rPr>
          <w:bCs/>
          <w:sz w:val="20"/>
          <w:szCs w:val="20"/>
          <w:lang w:bidi="ar-EG"/>
        </w:rPr>
        <w:t>of</w:t>
      </w:r>
      <w:r w:rsidR="0065081C" w:rsidRPr="00E90ABD">
        <w:rPr>
          <w:bCs/>
          <w:sz w:val="20"/>
          <w:szCs w:val="20"/>
          <w:lang w:bidi="ar-EG"/>
        </w:rPr>
        <w:t xml:space="preserve"> </w:t>
      </w:r>
      <w:r w:rsidRPr="00E90ABD">
        <w:rPr>
          <w:bCs/>
          <w:sz w:val="20"/>
          <w:szCs w:val="20"/>
          <w:lang w:bidi="ar-EG"/>
        </w:rPr>
        <w:t>humerus</w:t>
      </w:r>
      <w:r w:rsidR="0065081C" w:rsidRPr="00E90ABD">
        <w:rPr>
          <w:bCs/>
          <w:sz w:val="20"/>
          <w:szCs w:val="20"/>
          <w:lang w:bidi="ar-EG"/>
        </w:rPr>
        <w:t xml:space="preserve"> </w:t>
      </w:r>
      <w:r w:rsidRPr="00E90ABD">
        <w:rPr>
          <w:bCs/>
          <w:sz w:val="20"/>
          <w:szCs w:val="20"/>
          <w:lang w:bidi="ar-EG"/>
        </w:rPr>
        <w:t>in</w:t>
      </w:r>
      <w:r w:rsidR="0065081C" w:rsidRPr="00E90ABD">
        <w:rPr>
          <w:bCs/>
          <w:sz w:val="20"/>
          <w:szCs w:val="20"/>
          <w:lang w:bidi="ar-EG"/>
        </w:rPr>
        <w:t xml:space="preserve"> </w:t>
      </w:r>
      <w:r w:rsidRPr="00E90ABD">
        <w:rPr>
          <w:bCs/>
          <w:sz w:val="20"/>
          <w:szCs w:val="20"/>
          <w:lang w:bidi="ar-EG"/>
        </w:rPr>
        <w:t>children,</w:t>
      </w:r>
      <w:r w:rsidR="0065081C" w:rsidRPr="00E90ABD">
        <w:rPr>
          <w:bCs/>
          <w:sz w:val="20"/>
          <w:szCs w:val="20"/>
          <w:lang w:bidi="ar-EG"/>
        </w:rPr>
        <w:t xml:space="preserve"> </w:t>
      </w:r>
      <w:r w:rsidRPr="00E90ABD">
        <w:rPr>
          <w:bCs/>
          <w:sz w:val="20"/>
          <w:szCs w:val="20"/>
          <w:lang w:bidi="ar-EG"/>
        </w:rPr>
        <w:t>Journal</w:t>
      </w:r>
      <w:r w:rsidR="0065081C" w:rsidRPr="00E90ABD">
        <w:rPr>
          <w:bCs/>
          <w:sz w:val="20"/>
          <w:szCs w:val="20"/>
          <w:lang w:bidi="ar-EG"/>
        </w:rPr>
        <w:t xml:space="preserve"> </w:t>
      </w:r>
      <w:r w:rsidRPr="00E90ABD">
        <w:rPr>
          <w:bCs/>
          <w:sz w:val="20"/>
          <w:szCs w:val="20"/>
          <w:lang w:bidi="ar-EG"/>
        </w:rPr>
        <w:t>of</w:t>
      </w:r>
      <w:r w:rsidR="0065081C" w:rsidRPr="00E90ABD">
        <w:rPr>
          <w:bCs/>
          <w:sz w:val="20"/>
          <w:szCs w:val="20"/>
          <w:lang w:bidi="ar-EG"/>
        </w:rPr>
        <w:t xml:space="preserve"> </w:t>
      </w:r>
      <w:r w:rsidRPr="00E90ABD">
        <w:rPr>
          <w:bCs/>
          <w:sz w:val="20"/>
          <w:szCs w:val="20"/>
          <w:lang w:bidi="ar-EG"/>
        </w:rPr>
        <w:t>Clinical</w:t>
      </w:r>
      <w:r w:rsidR="0065081C" w:rsidRPr="00E90ABD">
        <w:rPr>
          <w:bCs/>
          <w:sz w:val="20"/>
          <w:szCs w:val="20"/>
          <w:lang w:bidi="ar-EG"/>
        </w:rPr>
        <w:t xml:space="preserve"> </w:t>
      </w:r>
      <w:r w:rsidRPr="00E90ABD">
        <w:rPr>
          <w:bCs/>
          <w:sz w:val="20"/>
          <w:szCs w:val="20"/>
          <w:lang w:bidi="ar-EG"/>
        </w:rPr>
        <w:t>and</w:t>
      </w:r>
      <w:r w:rsidR="0065081C" w:rsidRPr="00E90ABD">
        <w:rPr>
          <w:bCs/>
          <w:sz w:val="20"/>
          <w:szCs w:val="20"/>
          <w:lang w:bidi="ar-EG"/>
        </w:rPr>
        <w:t xml:space="preserve"> </w:t>
      </w:r>
      <w:r w:rsidRPr="00E90ABD">
        <w:rPr>
          <w:bCs/>
          <w:sz w:val="20"/>
          <w:szCs w:val="20"/>
          <w:lang w:bidi="ar-EG"/>
        </w:rPr>
        <w:t>Diagnostic</w:t>
      </w:r>
      <w:r w:rsidR="0065081C" w:rsidRPr="00E90ABD">
        <w:rPr>
          <w:bCs/>
          <w:sz w:val="20"/>
          <w:szCs w:val="20"/>
          <w:lang w:bidi="ar-EG"/>
        </w:rPr>
        <w:t xml:space="preserve"> </w:t>
      </w:r>
      <w:r w:rsidRPr="00E90ABD">
        <w:rPr>
          <w:bCs/>
          <w:sz w:val="20"/>
          <w:szCs w:val="20"/>
          <w:lang w:bidi="ar-EG"/>
        </w:rPr>
        <w:t>Research.</w:t>
      </w:r>
      <w:r w:rsidR="0065081C" w:rsidRPr="00E90ABD">
        <w:rPr>
          <w:bCs/>
          <w:sz w:val="20"/>
          <w:szCs w:val="20"/>
          <w:lang w:bidi="ar-EG"/>
        </w:rPr>
        <w:t xml:space="preserve"> </w:t>
      </w:r>
      <w:r w:rsidRPr="00E90ABD">
        <w:rPr>
          <w:bCs/>
          <w:sz w:val="20"/>
          <w:szCs w:val="20"/>
          <w:lang w:bidi="ar-EG"/>
        </w:rPr>
        <w:t>2011;</w:t>
      </w:r>
      <w:r w:rsidR="0065081C" w:rsidRPr="00E90ABD">
        <w:rPr>
          <w:bCs/>
          <w:sz w:val="20"/>
          <w:szCs w:val="20"/>
          <w:lang w:bidi="ar-EG"/>
        </w:rPr>
        <w:t xml:space="preserve"> </w:t>
      </w:r>
      <w:r w:rsidRPr="00E90ABD">
        <w:rPr>
          <w:bCs/>
          <w:sz w:val="20"/>
          <w:szCs w:val="20"/>
          <w:lang w:bidi="ar-EG"/>
        </w:rPr>
        <w:t>15(6):</w:t>
      </w:r>
      <w:r w:rsidR="0065081C" w:rsidRPr="00E90ABD">
        <w:rPr>
          <w:bCs/>
          <w:sz w:val="20"/>
          <w:szCs w:val="20"/>
          <w:lang w:bidi="ar-EG"/>
        </w:rPr>
        <w:t xml:space="preserve"> </w:t>
      </w:r>
      <w:r w:rsidRPr="00E90ABD">
        <w:rPr>
          <w:bCs/>
          <w:sz w:val="20"/>
          <w:szCs w:val="20"/>
          <w:lang w:bidi="ar-EG"/>
        </w:rPr>
        <w:t>1260-1263.</w:t>
      </w:r>
    </w:p>
    <w:p w:rsidR="00096944" w:rsidRPr="00E90ABD" w:rsidRDefault="00096944" w:rsidP="00F06E05">
      <w:pPr>
        <w:numPr>
          <w:ilvl w:val="0"/>
          <w:numId w:val="25"/>
        </w:numPr>
        <w:tabs>
          <w:tab w:val="clear" w:pos="1440"/>
        </w:tabs>
        <w:snapToGrid w:val="0"/>
        <w:ind w:left="425" w:hanging="425"/>
        <w:jc w:val="both"/>
        <w:rPr>
          <w:sz w:val="20"/>
          <w:szCs w:val="20"/>
          <w:lang w:bidi="ar-EG"/>
        </w:rPr>
      </w:pPr>
      <w:r w:rsidRPr="00E90ABD">
        <w:rPr>
          <w:bCs/>
          <w:sz w:val="20"/>
          <w:szCs w:val="20"/>
          <w:lang w:bidi="ar-EG"/>
        </w:rPr>
        <w:t>Zamzam</w:t>
      </w:r>
      <w:r w:rsidR="0065081C" w:rsidRPr="00E90ABD">
        <w:rPr>
          <w:bCs/>
          <w:sz w:val="20"/>
          <w:szCs w:val="20"/>
          <w:lang w:bidi="ar-EG"/>
        </w:rPr>
        <w:t xml:space="preserve"> </w:t>
      </w:r>
      <w:r w:rsidRPr="00E90ABD">
        <w:rPr>
          <w:bCs/>
          <w:sz w:val="20"/>
          <w:szCs w:val="20"/>
          <w:lang w:bidi="ar-EG"/>
        </w:rPr>
        <w:t>MM,</w:t>
      </w:r>
      <w:r w:rsidR="0065081C" w:rsidRPr="00E90ABD">
        <w:rPr>
          <w:bCs/>
          <w:sz w:val="20"/>
          <w:szCs w:val="20"/>
          <w:lang w:bidi="ar-EG"/>
        </w:rPr>
        <w:t xml:space="preserve"> </w:t>
      </w:r>
      <w:r w:rsidRPr="00E90ABD">
        <w:rPr>
          <w:bCs/>
          <w:sz w:val="20"/>
          <w:szCs w:val="20"/>
          <w:lang w:bidi="ar-EG"/>
        </w:rPr>
        <w:t>Bakarman</w:t>
      </w:r>
      <w:r w:rsidR="0065081C" w:rsidRPr="00E90ABD">
        <w:rPr>
          <w:bCs/>
          <w:sz w:val="20"/>
          <w:szCs w:val="20"/>
          <w:lang w:bidi="ar-EG"/>
        </w:rPr>
        <w:t xml:space="preserve"> </w:t>
      </w:r>
      <w:r w:rsidRPr="00E90ABD">
        <w:rPr>
          <w:bCs/>
          <w:sz w:val="20"/>
          <w:szCs w:val="20"/>
          <w:lang w:bidi="ar-EG"/>
        </w:rPr>
        <w:t>KA.</w:t>
      </w:r>
      <w:r w:rsidR="0065081C" w:rsidRPr="00E90ABD">
        <w:rPr>
          <w:bCs/>
          <w:sz w:val="20"/>
          <w:szCs w:val="20"/>
          <w:lang w:bidi="ar-EG"/>
        </w:rPr>
        <w:t xml:space="preserve"> </w:t>
      </w:r>
      <w:r w:rsidRPr="00E90ABD">
        <w:rPr>
          <w:bCs/>
          <w:sz w:val="20"/>
          <w:szCs w:val="20"/>
          <w:lang w:bidi="ar-EG"/>
        </w:rPr>
        <w:t>Treatment</w:t>
      </w:r>
      <w:r w:rsidR="0065081C" w:rsidRPr="00E90ABD">
        <w:rPr>
          <w:bCs/>
          <w:sz w:val="20"/>
          <w:szCs w:val="20"/>
          <w:lang w:bidi="ar-EG"/>
        </w:rPr>
        <w:t xml:space="preserve"> </w:t>
      </w:r>
      <w:r w:rsidRPr="00E90ABD">
        <w:rPr>
          <w:bCs/>
          <w:sz w:val="20"/>
          <w:szCs w:val="20"/>
          <w:lang w:bidi="ar-EG"/>
        </w:rPr>
        <w:t>of</w:t>
      </w:r>
      <w:r w:rsidR="0065081C" w:rsidRPr="00E90ABD">
        <w:rPr>
          <w:bCs/>
          <w:sz w:val="20"/>
          <w:szCs w:val="20"/>
          <w:lang w:bidi="ar-EG"/>
        </w:rPr>
        <w:t xml:space="preserve"> </w:t>
      </w:r>
      <w:r w:rsidRPr="00E90ABD">
        <w:rPr>
          <w:bCs/>
          <w:sz w:val="20"/>
          <w:szCs w:val="20"/>
          <w:lang w:bidi="ar-EG"/>
        </w:rPr>
        <w:t>displaced</w:t>
      </w:r>
      <w:r w:rsidR="0065081C" w:rsidRPr="00E90ABD">
        <w:rPr>
          <w:bCs/>
          <w:sz w:val="20"/>
          <w:szCs w:val="20"/>
          <w:lang w:bidi="ar-EG"/>
        </w:rPr>
        <w:t xml:space="preserve"> </w:t>
      </w:r>
      <w:r w:rsidRPr="00E90ABD">
        <w:rPr>
          <w:bCs/>
          <w:sz w:val="20"/>
          <w:szCs w:val="20"/>
          <w:lang w:bidi="ar-EG"/>
        </w:rPr>
        <w:t>supracondylar</w:t>
      </w:r>
      <w:r w:rsidR="0065081C" w:rsidRPr="00E90ABD">
        <w:rPr>
          <w:bCs/>
          <w:sz w:val="20"/>
          <w:szCs w:val="20"/>
          <w:lang w:bidi="ar-EG"/>
        </w:rPr>
        <w:t xml:space="preserve"> </w:t>
      </w:r>
      <w:r w:rsidRPr="00E90ABD">
        <w:rPr>
          <w:bCs/>
          <w:sz w:val="20"/>
          <w:szCs w:val="20"/>
          <w:lang w:bidi="ar-EG"/>
        </w:rPr>
        <w:t>humeral</w:t>
      </w:r>
      <w:r w:rsidR="0065081C" w:rsidRPr="00E90ABD">
        <w:rPr>
          <w:bCs/>
          <w:sz w:val="20"/>
          <w:szCs w:val="20"/>
          <w:lang w:bidi="ar-EG"/>
        </w:rPr>
        <w:t xml:space="preserve"> </w:t>
      </w:r>
      <w:r w:rsidRPr="00E90ABD">
        <w:rPr>
          <w:bCs/>
          <w:sz w:val="20"/>
          <w:szCs w:val="20"/>
          <w:lang w:bidi="ar-EG"/>
        </w:rPr>
        <w:t>fractures</w:t>
      </w:r>
      <w:r w:rsidR="0065081C" w:rsidRPr="00E90ABD">
        <w:rPr>
          <w:bCs/>
          <w:sz w:val="20"/>
          <w:szCs w:val="20"/>
          <w:lang w:bidi="ar-EG"/>
        </w:rPr>
        <w:t xml:space="preserve"> </w:t>
      </w:r>
      <w:r w:rsidRPr="00E90ABD">
        <w:rPr>
          <w:bCs/>
          <w:sz w:val="20"/>
          <w:szCs w:val="20"/>
          <w:lang w:bidi="ar-EG"/>
        </w:rPr>
        <w:t>among</w:t>
      </w:r>
      <w:r w:rsidR="0065081C" w:rsidRPr="00E90ABD">
        <w:rPr>
          <w:bCs/>
          <w:sz w:val="20"/>
          <w:szCs w:val="20"/>
          <w:lang w:bidi="ar-EG"/>
        </w:rPr>
        <w:t xml:space="preserve"> </w:t>
      </w:r>
      <w:r w:rsidRPr="00E90ABD">
        <w:rPr>
          <w:bCs/>
          <w:sz w:val="20"/>
          <w:szCs w:val="20"/>
          <w:lang w:bidi="ar-EG"/>
        </w:rPr>
        <w:t>children:</w:t>
      </w:r>
      <w:r w:rsidR="0065081C" w:rsidRPr="00E90ABD">
        <w:rPr>
          <w:bCs/>
          <w:sz w:val="20"/>
          <w:szCs w:val="20"/>
          <w:lang w:bidi="ar-EG"/>
        </w:rPr>
        <w:t xml:space="preserve"> </w:t>
      </w:r>
      <w:r w:rsidRPr="00E90ABD">
        <w:rPr>
          <w:bCs/>
          <w:sz w:val="20"/>
          <w:szCs w:val="20"/>
          <w:lang w:bidi="ar-EG"/>
        </w:rPr>
        <w:t>Crossed</w:t>
      </w:r>
      <w:r w:rsidR="0065081C" w:rsidRPr="00E90ABD">
        <w:rPr>
          <w:bCs/>
          <w:sz w:val="20"/>
          <w:szCs w:val="20"/>
          <w:lang w:bidi="ar-EG"/>
        </w:rPr>
        <w:t xml:space="preserve"> </w:t>
      </w:r>
      <w:r w:rsidRPr="00E90ABD">
        <w:rPr>
          <w:bCs/>
          <w:sz w:val="20"/>
          <w:szCs w:val="20"/>
          <w:lang w:bidi="ar-EG"/>
        </w:rPr>
        <w:t>versus</w:t>
      </w:r>
      <w:r w:rsidR="0065081C" w:rsidRPr="00E90ABD">
        <w:rPr>
          <w:bCs/>
          <w:sz w:val="20"/>
          <w:szCs w:val="20"/>
          <w:lang w:bidi="ar-EG"/>
        </w:rPr>
        <w:t xml:space="preserve"> </w:t>
      </w:r>
      <w:r w:rsidRPr="00E90ABD">
        <w:rPr>
          <w:bCs/>
          <w:sz w:val="20"/>
          <w:szCs w:val="20"/>
          <w:lang w:bidi="ar-EG"/>
        </w:rPr>
        <w:t>lateral</w:t>
      </w:r>
      <w:r w:rsidR="0065081C" w:rsidRPr="00E90ABD">
        <w:rPr>
          <w:bCs/>
          <w:sz w:val="20"/>
          <w:szCs w:val="20"/>
          <w:lang w:bidi="ar-EG"/>
        </w:rPr>
        <w:t xml:space="preserve"> </w:t>
      </w:r>
      <w:r w:rsidRPr="00E90ABD">
        <w:rPr>
          <w:bCs/>
          <w:sz w:val="20"/>
          <w:szCs w:val="20"/>
          <w:lang w:bidi="ar-EG"/>
        </w:rPr>
        <w:t>pinning,</w:t>
      </w:r>
      <w:r w:rsidR="0065081C" w:rsidRPr="00E90ABD">
        <w:rPr>
          <w:bCs/>
          <w:sz w:val="20"/>
          <w:szCs w:val="20"/>
          <w:lang w:bidi="ar-EG"/>
        </w:rPr>
        <w:t xml:space="preserve"> </w:t>
      </w:r>
      <w:r w:rsidRPr="00E90ABD">
        <w:rPr>
          <w:bCs/>
          <w:sz w:val="20"/>
          <w:szCs w:val="20"/>
          <w:lang w:bidi="ar-EG"/>
        </w:rPr>
        <w:t>J.</w:t>
      </w:r>
      <w:r w:rsidR="0065081C" w:rsidRPr="00E90ABD">
        <w:rPr>
          <w:bCs/>
          <w:sz w:val="20"/>
          <w:szCs w:val="20"/>
          <w:lang w:bidi="ar-EG"/>
        </w:rPr>
        <w:t xml:space="preserve"> </w:t>
      </w:r>
      <w:r w:rsidRPr="00E90ABD">
        <w:rPr>
          <w:bCs/>
          <w:sz w:val="20"/>
          <w:szCs w:val="20"/>
          <w:lang w:bidi="ar-EG"/>
        </w:rPr>
        <w:t>injury,</w:t>
      </w:r>
      <w:r w:rsidR="0065081C" w:rsidRPr="00E90ABD">
        <w:rPr>
          <w:bCs/>
          <w:sz w:val="20"/>
          <w:szCs w:val="20"/>
          <w:lang w:bidi="ar-EG"/>
        </w:rPr>
        <w:t xml:space="preserve"> </w:t>
      </w:r>
      <w:r w:rsidRPr="00E90ABD">
        <w:rPr>
          <w:bCs/>
          <w:sz w:val="20"/>
          <w:szCs w:val="20"/>
          <w:lang w:bidi="ar-EG"/>
        </w:rPr>
        <w:t>2008;</w:t>
      </w:r>
      <w:r w:rsidR="0065081C" w:rsidRPr="00E90ABD">
        <w:rPr>
          <w:bCs/>
          <w:sz w:val="20"/>
          <w:szCs w:val="20"/>
          <w:lang w:bidi="ar-EG"/>
        </w:rPr>
        <w:t xml:space="preserve"> </w:t>
      </w:r>
      <w:r w:rsidRPr="00E90ABD">
        <w:rPr>
          <w:bCs/>
          <w:sz w:val="20"/>
          <w:szCs w:val="20"/>
          <w:lang w:bidi="ar-EG"/>
        </w:rPr>
        <w:t>10-29</w:t>
      </w:r>
      <w:r w:rsidR="0065081C" w:rsidRPr="00E90ABD">
        <w:rPr>
          <w:bCs/>
          <w:sz w:val="20"/>
          <w:szCs w:val="20"/>
          <w:lang w:bidi="ar-EG"/>
        </w:rPr>
        <w:t xml:space="preserve"> </w:t>
      </w:r>
      <w:r w:rsidRPr="00E90ABD">
        <w:rPr>
          <w:bCs/>
          <w:sz w:val="20"/>
          <w:szCs w:val="20"/>
          <w:lang w:bidi="ar-EG"/>
        </w:rPr>
        <w:t>3806:</w:t>
      </w:r>
      <w:r w:rsidR="0065081C" w:rsidRPr="00E90ABD">
        <w:rPr>
          <w:bCs/>
          <w:sz w:val="20"/>
          <w:szCs w:val="20"/>
          <w:lang w:bidi="ar-EG"/>
        </w:rPr>
        <w:t xml:space="preserve"> </w:t>
      </w:r>
      <w:r w:rsidRPr="00E90ABD">
        <w:rPr>
          <w:bCs/>
          <w:sz w:val="20"/>
          <w:szCs w:val="20"/>
          <w:lang w:bidi="ar-EG"/>
        </w:rPr>
        <w:t>1–6.</w:t>
      </w:r>
    </w:p>
    <w:bookmarkEnd w:id="11"/>
    <w:p w:rsidR="00F06E05" w:rsidRPr="00E90ABD" w:rsidRDefault="00F06E05" w:rsidP="00F06E05">
      <w:pPr>
        <w:snapToGrid w:val="0"/>
        <w:ind w:left="425" w:hanging="425"/>
        <w:jc w:val="both"/>
        <w:rPr>
          <w:sz w:val="20"/>
          <w:szCs w:val="20"/>
        </w:rPr>
        <w:sectPr w:rsidR="00F06E05" w:rsidRPr="00E90ABD" w:rsidSect="00F06E05">
          <w:type w:val="continuous"/>
          <w:pgSz w:w="12240" w:h="15840" w:code="9"/>
          <w:pgMar w:top="1440" w:right="1440" w:bottom="1440" w:left="1440" w:header="720" w:footer="720" w:gutter="0"/>
          <w:cols w:num="2" w:space="600"/>
          <w:docGrid w:linePitch="360"/>
        </w:sectPr>
      </w:pPr>
    </w:p>
    <w:p w:rsidR="0065081C" w:rsidRPr="00E90ABD" w:rsidRDefault="0065081C" w:rsidP="00F06E05">
      <w:pPr>
        <w:snapToGrid w:val="0"/>
        <w:ind w:left="425" w:hanging="425"/>
        <w:jc w:val="both"/>
        <w:rPr>
          <w:sz w:val="20"/>
          <w:szCs w:val="20"/>
          <w:lang w:eastAsia="zh-CN"/>
        </w:rPr>
      </w:pPr>
    </w:p>
    <w:p w:rsidR="00F06E05" w:rsidRPr="00E90ABD" w:rsidRDefault="00F06E05" w:rsidP="00F06E05">
      <w:pPr>
        <w:snapToGrid w:val="0"/>
        <w:ind w:left="425" w:hanging="425"/>
        <w:jc w:val="both"/>
        <w:rPr>
          <w:sz w:val="20"/>
          <w:szCs w:val="20"/>
          <w:lang w:eastAsia="zh-CN"/>
        </w:rPr>
      </w:pPr>
    </w:p>
    <w:p w:rsidR="00F06E05" w:rsidRPr="00E90ABD" w:rsidRDefault="00F06E05" w:rsidP="00F06E05">
      <w:pPr>
        <w:snapToGrid w:val="0"/>
        <w:ind w:firstLine="425"/>
        <w:jc w:val="both"/>
        <w:rPr>
          <w:sz w:val="20"/>
          <w:szCs w:val="20"/>
          <w:lang w:eastAsia="zh-CN"/>
        </w:rPr>
      </w:pPr>
    </w:p>
    <w:p w:rsidR="004B5609" w:rsidRPr="00E90ABD" w:rsidRDefault="0065081C" w:rsidP="00F06E05">
      <w:pPr>
        <w:snapToGrid w:val="0"/>
        <w:jc w:val="both"/>
        <w:rPr>
          <w:sz w:val="20"/>
          <w:szCs w:val="20"/>
        </w:rPr>
      </w:pPr>
      <w:r w:rsidRPr="00E90ABD">
        <w:rPr>
          <w:sz w:val="20"/>
          <w:szCs w:val="20"/>
        </w:rPr>
        <w:t>7/22/2019</w:t>
      </w:r>
    </w:p>
    <w:sectPr w:rsidR="004B5609" w:rsidRPr="00E90ABD" w:rsidSect="0065081C">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9A4" w:rsidRDefault="00B729A4">
      <w:r>
        <w:separator/>
      </w:r>
    </w:p>
  </w:endnote>
  <w:endnote w:type="continuationSeparator" w:id="0">
    <w:p w:rsidR="00B729A4" w:rsidRDefault="00B729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swiss"/>
    <w:notTrueType/>
    <w:pitch w:val="default"/>
    <w:sig w:usb0="00000003" w:usb1="00000000" w:usb2="00000000" w:usb3="00000000" w:csb0="00000001" w:csb1="00000000"/>
  </w:font>
  <w:font w:name="NexusSerif-Regular">
    <w:altName w:val="Times New Roman"/>
    <w:panose1 w:val="00000000000000000000"/>
    <w:charset w:val="00"/>
    <w:family w:val="roman"/>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ITC Garamond Std Book">
    <w:altName w:val="Times New Roman"/>
    <w:panose1 w:val="00000000000000000000"/>
    <w:charset w:val="00"/>
    <w:family w:val="roman"/>
    <w:notTrueType/>
    <w:pitch w:val="default"/>
    <w:sig w:usb0="00000003" w:usb1="00000000" w:usb2="00000000" w:usb3="00000000" w:csb0="00000001" w:csb1="00000000"/>
  </w:font>
  <w:font w:name="Futura Std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82" w:rsidRDefault="00926F4F" w:rsidP="001F429A">
    <w:pPr>
      <w:pStyle w:val="Footer"/>
      <w:framePr w:wrap="around" w:vAnchor="text" w:hAnchor="margin" w:xAlign="center" w:y="1"/>
      <w:rPr>
        <w:rStyle w:val="PageNumber"/>
      </w:rPr>
    </w:pPr>
    <w:r>
      <w:rPr>
        <w:rStyle w:val="PageNumber"/>
      </w:rPr>
      <w:fldChar w:fldCharType="begin"/>
    </w:r>
    <w:r w:rsidR="00AA5582">
      <w:rPr>
        <w:rStyle w:val="PageNumber"/>
      </w:rPr>
      <w:instrText xml:space="preserve">PAGE  </w:instrText>
    </w:r>
    <w:r>
      <w:rPr>
        <w:rStyle w:val="PageNumber"/>
      </w:rPr>
      <w:fldChar w:fldCharType="end"/>
    </w:r>
  </w:p>
  <w:p w:rsidR="00AA5582" w:rsidRDefault="00AA55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82" w:rsidRPr="00E715C0" w:rsidRDefault="00926F4F" w:rsidP="00E715C0">
    <w:pPr>
      <w:jc w:val="center"/>
      <w:rPr>
        <w:sz w:val="20"/>
      </w:rPr>
    </w:pPr>
    <w:r w:rsidRPr="00E715C0">
      <w:rPr>
        <w:sz w:val="20"/>
      </w:rPr>
      <w:fldChar w:fldCharType="begin"/>
    </w:r>
    <w:r w:rsidR="00E715C0" w:rsidRPr="00E715C0">
      <w:rPr>
        <w:sz w:val="20"/>
      </w:rPr>
      <w:instrText xml:space="preserve"> page </w:instrText>
    </w:r>
    <w:r w:rsidRPr="00E715C0">
      <w:rPr>
        <w:sz w:val="20"/>
      </w:rPr>
      <w:fldChar w:fldCharType="separate"/>
    </w:r>
    <w:r w:rsidR="003F4398">
      <w:rPr>
        <w:noProof/>
        <w:sz w:val="20"/>
      </w:rPr>
      <w:t>84</w:t>
    </w:r>
    <w:r w:rsidRPr="00E715C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9A4" w:rsidRDefault="00B729A4">
      <w:r>
        <w:separator/>
      </w:r>
    </w:p>
  </w:footnote>
  <w:footnote w:type="continuationSeparator" w:id="0">
    <w:p w:rsidR="00B729A4" w:rsidRDefault="00B72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C0" w:rsidRPr="00E715C0" w:rsidRDefault="00E715C0" w:rsidP="00E715C0">
    <w:pPr>
      <w:pBdr>
        <w:bottom w:val="thinThickMediumGap" w:sz="12" w:space="1" w:color="auto"/>
      </w:pBdr>
      <w:tabs>
        <w:tab w:val="left" w:pos="851"/>
        <w:tab w:val="right" w:pos="8364"/>
      </w:tabs>
      <w:adjustRightInd w:val="0"/>
      <w:snapToGrid w:val="0"/>
      <w:jc w:val="both"/>
      <w:rPr>
        <w:iCs/>
        <w:sz w:val="20"/>
        <w:szCs w:val="20"/>
      </w:rPr>
    </w:pPr>
    <w:r w:rsidRPr="00E715C0">
      <w:rPr>
        <w:rFonts w:hint="eastAsia"/>
        <w:sz w:val="20"/>
        <w:szCs w:val="20"/>
      </w:rPr>
      <w:tab/>
    </w:r>
    <w:r w:rsidRPr="00E715C0">
      <w:rPr>
        <w:sz w:val="20"/>
        <w:szCs w:val="20"/>
      </w:rPr>
      <w:t>New York Science Journal 201</w:t>
    </w:r>
    <w:r w:rsidRPr="00E715C0">
      <w:rPr>
        <w:rFonts w:hint="eastAsia"/>
        <w:sz w:val="20"/>
        <w:szCs w:val="20"/>
      </w:rPr>
      <w:t>9</w:t>
    </w:r>
    <w:r w:rsidRPr="00E715C0">
      <w:rPr>
        <w:sz w:val="20"/>
        <w:szCs w:val="20"/>
      </w:rPr>
      <w:t>;</w:t>
    </w:r>
    <w:r w:rsidRPr="00E715C0">
      <w:rPr>
        <w:rFonts w:hint="eastAsia"/>
        <w:sz w:val="20"/>
        <w:szCs w:val="20"/>
      </w:rPr>
      <w:t>12</w:t>
    </w:r>
    <w:r w:rsidRPr="00E715C0">
      <w:rPr>
        <w:sz w:val="20"/>
        <w:szCs w:val="20"/>
      </w:rPr>
      <w:t>(</w:t>
    </w:r>
    <w:r w:rsidRPr="00E715C0">
      <w:rPr>
        <w:rFonts w:hint="eastAsia"/>
        <w:sz w:val="20"/>
        <w:szCs w:val="20"/>
      </w:rPr>
      <w:t>7</w:t>
    </w:r>
    <w:r w:rsidRPr="00E715C0">
      <w:rPr>
        <w:sz w:val="20"/>
        <w:szCs w:val="20"/>
      </w:rPr>
      <w:t>)</w:t>
    </w:r>
    <w:r w:rsidRPr="00E715C0">
      <w:rPr>
        <w:iCs/>
        <w:sz w:val="20"/>
        <w:szCs w:val="20"/>
      </w:rPr>
      <w:t xml:space="preserve"> </w:t>
    </w:r>
    <w:r w:rsidRPr="00E715C0">
      <w:rPr>
        <w:rFonts w:hint="eastAsia"/>
        <w:iCs/>
        <w:sz w:val="20"/>
        <w:szCs w:val="20"/>
      </w:rPr>
      <w:tab/>
    </w:r>
    <w:r w:rsidRPr="00E715C0">
      <w:rPr>
        <w:iCs/>
        <w:sz w:val="20"/>
        <w:szCs w:val="20"/>
      </w:rPr>
      <w:t xml:space="preserve">  </w:t>
    </w:r>
    <w:hyperlink r:id="rId1" w:history="1">
      <w:r w:rsidRPr="00E715C0">
        <w:rPr>
          <w:rStyle w:val="Hyperlink"/>
          <w:sz w:val="20"/>
          <w:szCs w:val="20"/>
        </w:rPr>
        <w:t>http://www.sciencepub.net/newyork</w:t>
      </w:r>
    </w:hyperlink>
    <w:r w:rsidRPr="00E715C0">
      <w:rPr>
        <w:rFonts w:hint="eastAsia"/>
        <w:sz w:val="20"/>
      </w:rPr>
      <w:t xml:space="preserve">   </w:t>
    </w:r>
    <w:r w:rsidRPr="00E715C0">
      <w:rPr>
        <w:rFonts w:hint="eastAsia"/>
        <w:b/>
        <w:i/>
        <w:color w:val="FF0000"/>
        <w:sz w:val="20"/>
        <w:szCs w:val="20"/>
        <w:bdr w:val="single" w:sz="4" w:space="0" w:color="FF0000"/>
      </w:rPr>
      <w:t>NYJ</w:t>
    </w:r>
  </w:p>
  <w:p w:rsidR="00E715C0" w:rsidRPr="00E715C0" w:rsidRDefault="00E715C0" w:rsidP="00E715C0">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7FFB"/>
    <w:multiLevelType w:val="hybridMultilevel"/>
    <w:tmpl w:val="3528B1F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9912887"/>
    <w:multiLevelType w:val="multilevel"/>
    <w:tmpl w:val="D4BA74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0772D1"/>
    <w:multiLevelType w:val="multilevel"/>
    <w:tmpl w:val="269A64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16A0351B"/>
    <w:multiLevelType w:val="hybridMultilevel"/>
    <w:tmpl w:val="DD7C743C"/>
    <w:lvl w:ilvl="0" w:tplc="04090005">
      <w:start w:val="1"/>
      <w:numFmt w:val="bullet"/>
      <w:lvlText w:val=""/>
      <w:lvlJc w:val="left"/>
      <w:pPr>
        <w:tabs>
          <w:tab w:val="num" w:pos="1080"/>
        </w:tabs>
        <w:ind w:left="1080" w:hanging="360"/>
      </w:pPr>
      <w:rPr>
        <w:rFonts w:ascii="Wingdings" w:hAnsi="Wingdings" w:hint="default"/>
      </w:rPr>
    </w:lvl>
    <w:lvl w:ilvl="1" w:tplc="9B324328">
      <w:start w:val="1"/>
      <w:numFmt w:val="decimal"/>
      <w:lvlText w:val="%2."/>
      <w:lvlJc w:val="left"/>
      <w:pPr>
        <w:tabs>
          <w:tab w:val="num" w:pos="-480"/>
        </w:tabs>
        <w:ind w:left="1800" w:hanging="360"/>
      </w:pPr>
      <w:rPr>
        <w:rFonts w:hint="default"/>
        <w:b/>
        <w:bCs w:val="0"/>
      </w:rPr>
    </w:lvl>
    <w:lvl w:ilvl="2" w:tplc="A970A146">
      <w:start w:val="1"/>
      <w:numFmt w:val="decimal"/>
      <w:lvlText w:val="%3-"/>
      <w:lvlJc w:val="left"/>
      <w:pPr>
        <w:tabs>
          <w:tab w:val="num" w:pos="2520"/>
        </w:tabs>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DD4880"/>
    <w:multiLevelType w:val="hybridMultilevel"/>
    <w:tmpl w:val="8E7ED990"/>
    <w:lvl w:ilvl="0" w:tplc="0310E15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F6019F"/>
    <w:multiLevelType w:val="hybridMultilevel"/>
    <w:tmpl w:val="2B4686DC"/>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8E6D016">
      <w:start w:val="1"/>
      <w:numFmt w:val="decimal"/>
      <w:lvlText w:val="%3-"/>
      <w:lvlJc w:val="left"/>
      <w:pPr>
        <w:tabs>
          <w:tab w:val="num" w:pos="3300"/>
        </w:tabs>
        <w:ind w:left="3300" w:hanging="114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2430E37"/>
    <w:multiLevelType w:val="multilevel"/>
    <w:tmpl w:val="00B203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254343DE"/>
    <w:multiLevelType w:val="hybridMultilevel"/>
    <w:tmpl w:val="C77A06B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73961A0"/>
    <w:multiLevelType w:val="hybridMultilevel"/>
    <w:tmpl w:val="0A0A8F8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0F22C2"/>
    <w:multiLevelType w:val="hybridMultilevel"/>
    <w:tmpl w:val="43988B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2576798"/>
    <w:multiLevelType w:val="hybridMultilevel"/>
    <w:tmpl w:val="34C23C8C"/>
    <w:lvl w:ilvl="0" w:tplc="48287864">
      <w:start w:val="1"/>
      <w:numFmt w:val="decimal"/>
      <w:lvlText w:val="%1."/>
      <w:lvlJc w:val="left"/>
      <w:pPr>
        <w:tabs>
          <w:tab w:val="num" w:pos="1440"/>
        </w:tabs>
        <w:ind w:left="1440" w:hanging="360"/>
      </w:pPr>
      <w:rPr>
        <w:b/>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25E039D"/>
    <w:multiLevelType w:val="multilevel"/>
    <w:tmpl w:val="E43EE06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E07B82"/>
    <w:multiLevelType w:val="hybridMultilevel"/>
    <w:tmpl w:val="FBE637E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7F8579B"/>
    <w:multiLevelType w:val="multilevel"/>
    <w:tmpl w:val="37EA6E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9141AA"/>
    <w:multiLevelType w:val="multilevel"/>
    <w:tmpl w:val="C8782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BE4DD3"/>
    <w:multiLevelType w:val="hybridMultilevel"/>
    <w:tmpl w:val="B1908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52D95"/>
    <w:multiLevelType w:val="hybridMultilevel"/>
    <w:tmpl w:val="E222EF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D50B9"/>
    <w:multiLevelType w:val="hybridMultilevel"/>
    <w:tmpl w:val="2CEE0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E2F4C"/>
    <w:multiLevelType w:val="hybridMultilevel"/>
    <w:tmpl w:val="7332E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016086"/>
    <w:multiLevelType w:val="hybridMultilevel"/>
    <w:tmpl w:val="A79EDC66"/>
    <w:lvl w:ilvl="0" w:tplc="B2D89306">
      <w:start w:val="1"/>
      <w:numFmt w:val="decimal"/>
      <w:lvlText w:val="%1."/>
      <w:lvlJc w:val="left"/>
      <w:pPr>
        <w:ind w:left="720" w:hanging="360"/>
      </w:pPr>
      <w:rPr>
        <w:rFonts w:hint="default"/>
        <w:b/>
        <w:bCs w:val="0"/>
        <w:sz w:val="28"/>
        <w:szCs w:val="28"/>
      </w:rPr>
    </w:lvl>
    <w:lvl w:ilvl="1" w:tplc="8EE45E7C">
      <w:start w:val="1"/>
      <w:numFmt w:val="lowerLetter"/>
      <w:lvlText w:val="%2."/>
      <w:lvlJc w:val="left"/>
      <w:pPr>
        <w:ind w:left="1440" w:hanging="360"/>
      </w:pPr>
      <w:rPr>
        <w:rFonts w:hint="default"/>
        <w:sz w:val="20"/>
      </w:rPr>
    </w:lvl>
    <w:lvl w:ilvl="2" w:tplc="4298412E" w:tentative="1">
      <w:start w:val="1"/>
      <w:numFmt w:val="lowerRoman"/>
      <w:lvlText w:val="%3."/>
      <w:lvlJc w:val="right"/>
      <w:pPr>
        <w:ind w:left="2160" w:hanging="180"/>
      </w:pPr>
      <w:rPr>
        <w:rFonts w:hint="default"/>
        <w:sz w:val="20"/>
      </w:rPr>
    </w:lvl>
    <w:lvl w:ilvl="3" w:tplc="D0C0FE50" w:tentative="1">
      <w:start w:val="1"/>
      <w:numFmt w:val="decimal"/>
      <w:lvlText w:val="%4."/>
      <w:lvlJc w:val="left"/>
      <w:pPr>
        <w:ind w:left="2880" w:hanging="360"/>
      </w:pPr>
      <w:rPr>
        <w:rFonts w:hint="default"/>
        <w:sz w:val="20"/>
      </w:rPr>
    </w:lvl>
    <w:lvl w:ilvl="4" w:tplc="DBCE1DA4" w:tentative="1">
      <w:start w:val="1"/>
      <w:numFmt w:val="lowerLetter"/>
      <w:lvlText w:val="%5."/>
      <w:lvlJc w:val="left"/>
      <w:pPr>
        <w:ind w:left="3600" w:hanging="360"/>
      </w:pPr>
      <w:rPr>
        <w:rFonts w:hint="default"/>
        <w:sz w:val="20"/>
      </w:rPr>
    </w:lvl>
    <w:lvl w:ilvl="5" w:tplc="92985D42" w:tentative="1">
      <w:start w:val="1"/>
      <w:numFmt w:val="lowerRoman"/>
      <w:lvlText w:val="%6."/>
      <w:lvlJc w:val="right"/>
      <w:pPr>
        <w:ind w:left="4320" w:hanging="180"/>
      </w:pPr>
      <w:rPr>
        <w:rFonts w:hint="default"/>
        <w:sz w:val="20"/>
      </w:rPr>
    </w:lvl>
    <w:lvl w:ilvl="6" w:tplc="47B8E29A" w:tentative="1">
      <w:start w:val="1"/>
      <w:numFmt w:val="decimal"/>
      <w:lvlText w:val="%7."/>
      <w:lvlJc w:val="left"/>
      <w:pPr>
        <w:ind w:left="5040" w:hanging="360"/>
      </w:pPr>
      <w:rPr>
        <w:rFonts w:hint="default"/>
        <w:sz w:val="20"/>
      </w:rPr>
    </w:lvl>
    <w:lvl w:ilvl="7" w:tplc="C9706E20" w:tentative="1">
      <w:start w:val="1"/>
      <w:numFmt w:val="lowerLetter"/>
      <w:lvlText w:val="%8."/>
      <w:lvlJc w:val="left"/>
      <w:pPr>
        <w:ind w:left="5760" w:hanging="360"/>
      </w:pPr>
      <w:rPr>
        <w:rFonts w:hint="default"/>
        <w:sz w:val="20"/>
      </w:rPr>
    </w:lvl>
    <w:lvl w:ilvl="8" w:tplc="318E8744" w:tentative="1">
      <w:start w:val="1"/>
      <w:numFmt w:val="lowerRoman"/>
      <w:lvlText w:val="%9."/>
      <w:lvlJc w:val="right"/>
      <w:pPr>
        <w:ind w:left="6480" w:hanging="180"/>
      </w:pPr>
      <w:rPr>
        <w:rFonts w:hint="default"/>
        <w:sz w:val="20"/>
      </w:rPr>
    </w:lvl>
  </w:abstractNum>
  <w:abstractNum w:abstractNumId="20">
    <w:nsid w:val="67AC7F35"/>
    <w:multiLevelType w:val="multilevel"/>
    <w:tmpl w:val="EA4284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87B00C2"/>
    <w:multiLevelType w:val="multilevel"/>
    <w:tmpl w:val="60864D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nsid w:val="6B9F07A2"/>
    <w:multiLevelType w:val="multilevel"/>
    <w:tmpl w:val="FD6A6F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1C4BE0"/>
    <w:multiLevelType w:val="hybridMultilevel"/>
    <w:tmpl w:val="0684727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81E6EE7"/>
    <w:multiLevelType w:val="hybridMultilevel"/>
    <w:tmpl w:val="B22E44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7DA61D94"/>
    <w:multiLevelType w:val="hybridMultilevel"/>
    <w:tmpl w:val="2CC00DA6"/>
    <w:lvl w:ilvl="0" w:tplc="A2B228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171538"/>
    <w:multiLevelType w:val="hybridMultilevel"/>
    <w:tmpl w:val="2B84C856"/>
    <w:lvl w:ilvl="0" w:tplc="085867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7"/>
  </w:num>
  <w:num w:numId="4">
    <w:abstractNumId w:val="11"/>
  </w:num>
  <w:num w:numId="5">
    <w:abstractNumId w:val="23"/>
  </w:num>
  <w:num w:numId="6">
    <w:abstractNumId w:val="16"/>
  </w:num>
  <w:num w:numId="7">
    <w:abstractNumId w:val="17"/>
  </w:num>
  <w:num w:numId="8">
    <w:abstractNumId w:val="24"/>
  </w:num>
  <w:num w:numId="9">
    <w:abstractNumId w:val="5"/>
  </w:num>
  <w:num w:numId="10">
    <w:abstractNumId w:val="3"/>
  </w:num>
  <w:num w:numId="11">
    <w:abstractNumId w:val="19"/>
  </w:num>
  <w:num w:numId="12">
    <w:abstractNumId w:val="18"/>
  </w:num>
  <w:num w:numId="13">
    <w:abstractNumId w:val="0"/>
  </w:num>
  <w:num w:numId="14">
    <w:abstractNumId w:val="20"/>
  </w:num>
  <w:num w:numId="15">
    <w:abstractNumId w:val="21"/>
  </w:num>
  <w:num w:numId="16">
    <w:abstractNumId w:val="1"/>
  </w:num>
  <w:num w:numId="17">
    <w:abstractNumId w:val="13"/>
  </w:num>
  <w:num w:numId="18">
    <w:abstractNumId w:val="6"/>
  </w:num>
  <w:num w:numId="19">
    <w:abstractNumId w:val="22"/>
  </w:num>
  <w:num w:numId="20">
    <w:abstractNumId w:val="2"/>
  </w:num>
  <w:num w:numId="21">
    <w:abstractNumId w:val="15"/>
  </w:num>
  <w:num w:numId="22">
    <w:abstractNumId w:val="9"/>
  </w:num>
  <w:num w:numId="23">
    <w:abstractNumId w:val="8"/>
  </w:num>
  <w:num w:numId="24">
    <w:abstractNumId w:val="12"/>
  </w:num>
  <w:num w:numId="25">
    <w:abstractNumId w:val="4"/>
  </w:num>
  <w:num w:numId="26">
    <w:abstractNumId w:val="14"/>
  </w:num>
  <w:num w:numId="27">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3FE0"/>
    <w:rsid w:val="000113A4"/>
    <w:rsid w:val="0001245B"/>
    <w:rsid w:val="000130D2"/>
    <w:rsid w:val="00017C45"/>
    <w:rsid w:val="0002158D"/>
    <w:rsid w:val="000337FF"/>
    <w:rsid w:val="00034419"/>
    <w:rsid w:val="0004133B"/>
    <w:rsid w:val="0005407A"/>
    <w:rsid w:val="000637B1"/>
    <w:rsid w:val="00071A10"/>
    <w:rsid w:val="00096944"/>
    <w:rsid w:val="000A046F"/>
    <w:rsid w:val="000B35E3"/>
    <w:rsid w:val="000B680F"/>
    <w:rsid w:val="000C4D8E"/>
    <w:rsid w:val="000D57F4"/>
    <w:rsid w:val="000F0871"/>
    <w:rsid w:val="00117D1C"/>
    <w:rsid w:val="0014739E"/>
    <w:rsid w:val="001559F2"/>
    <w:rsid w:val="00160803"/>
    <w:rsid w:val="001B0655"/>
    <w:rsid w:val="001B50F5"/>
    <w:rsid w:val="001C78DC"/>
    <w:rsid w:val="001D2A0F"/>
    <w:rsid w:val="001E1C37"/>
    <w:rsid w:val="001F429A"/>
    <w:rsid w:val="00202E1D"/>
    <w:rsid w:val="00206398"/>
    <w:rsid w:val="002069D3"/>
    <w:rsid w:val="00232DA6"/>
    <w:rsid w:val="002749E5"/>
    <w:rsid w:val="00281086"/>
    <w:rsid w:val="00297848"/>
    <w:rsid w:val="002A2F37"/>
    <w:rsid w:val="002B1BF3"/>
    <w:rsid w:val="002D6B84"/>
    <w:rsid w:val="002F3F32"/>
    <w:rsid w:val="002F603A"/>
    <w:rsid w:val="00315142"/>
    <w:rsid w:val="00332141"/>
    <w:rsid w:val="003345DE"/>
    <w:rsid w:val="003347A9"/>
    <w:rsid w:val="0034498B"/>
    <w:rsid w:val="00347BBC"/>
    <w:rsid w:val="00352815"/>
    <w:rsid w:val="003B30C8"/>
    <w:rsid w:val="003D3108"/>
    <w:rsid w:val="003F3ED8"/>
    <w:rsid w:val="003F4398"/>
    <w:rsid w:val="00401841"/>
    <w:rsid w:val="00405DA1"/>
    <w:rsid w:val="00407FF4"/>
    <w:rsid w:val="00420980"/>
    <w:rsid w:val="00452554"/>
    <w:rsid w:val="00456686"/>
    <w:rsid w:val="0047206C"/>
    <w:rsid w:val="0047344F"/>
    <w:rsid w:val="004B0007"/>
    <w:rsid w:val="004B48E9"/>
    <w:rsid w:val="004B5609"/>
    <w:rsid w:val="004C11B3"/>
    <w:rsid w:val="004C6E64"/>
    <w:rsid w:val="004D3075"/>
    <w:rsid w:val="004D40AA"/>
    <w:rsid w:val="004E6E96"/>
    <w:rsid w:val="004F383B"/>
    <w:rsid w:val="00504168"/>
    <w:rsid w:val="00524213"/>
    <w:rsid w:val="0052495A"/>
    <w:rsid w:val="00537166"/>
    <w:rsid w:val="0054030B"/>
    <w:rsid w:val="0056466A"/>
    <w:rsid w:val="005666DB"/>
    <w:rsid w:val="00566E62"/>
    <w:rsid w:val="00582DDC"/>
    <w:rsid w:val="00590428"/>
    <w:rsid w:val="005A0DB7"/>
    <w:rsid w:val="005B1245"/>
    <w:rsid w:val="005C2A5A"/>
    <w:rsid w:val="005C4096"/>
    <w:rsid w:val="005C7245"/>
    <w:rsid w:val="00606759"/>
    <w:rsid w:val="00612D58"/>
    <w:rsid w:val="00626D11"/>
    <w:rsid w:val="0065081C"/>
    <w:rsid w:val="006529C4"/>
    <w:rsid w:val="006533AC"/>
    <w:rsid w:val="00654793"/>
    <w:rsid w:val="0066045D"/>
    <w:rsid w:val="00662D48"/>
    <w:rsid w:val="00666A01"/>
    <w:rsid w:val="00682402"/>
    <w:rsid w:val="006A6F3E"/>
    <w:rsid w:val="006E4AC1"/>
    <w:rsid w:val="00713032"/>
    <w:rsid w:val="00730BDA"/>
    <w:rsid w:val="007312C7"/>
    <w:rsid w:val="00735D91"/>
    <w:rsid w:val="00744F39"/>
    <w:rsid w:val="00775A70"/>
    <w:rsid w:val="007B3237"/>
    <w:rsid w:val="007D6A08"/>
    <w:rsid w:val="007E6C98"/>
    <w:rsid w:val="007F41B4"/>
    <w:rsid w:val="008034F9"/>
    <w:rsid w:val="0082702E"/>
    <w:rsid w:val="008647EE"/>
    <w:rsid w:val="00870454"/>
    <w:rsid w:val="00876DBA"/>
    <w:rsid w:val="00882502"/>
    <w:rsid w:val="0089397C"/>
    <w:rsid w:val="00894934"/>
    <w:rsid w:val="008C7093"/>
    <w:rsid w:val="008F2A07"/>
    <w:rsid w:val="008F32BA"/>
    <w:rsid w:val="008F3FE0"/>
    <w:rsid w:val="009030D5"/>
    <w:rsid w:val="00912D08"/>
    <w:rsid w:val="00926F4F"/>
    <w:rsid w:val="00951023"/>
    <w:rsid w:val="00973B92"/>
    <w:rsid w:val="00983A31"/>
    <w:rsid w:val="00A11AC0"/>
    <w:rsid w:val="00A1662E"/>
    <w:rsid w:val="00A23DD8"/>
    <w:rsid w:val="00A43F0D"/>
    <w:rsid w:val="00A6566C"/>
    <w:rsid w:val="00A6790A"/>
    <w:rsid w:val="00A74559"/>
    <w:rsid w:val="00A75718"/>
    <w:rsid w:val="00A8468F"/>
    <w:rsid w:val="00A93DB5"/>
    <w:rsid w:val="00A979F3"/>
    <w:rsid w:val="00AA5582"/>
    <w:rsid w:val="00AD10E1"/>
    <w:rsid w:val="00AE41EC"/>
    <w:rsid w:val="00AF2720"/>
    <w:rsid w:val="00B003B0"/>
    <w:rsid w:val="00B11527"/>
    <w:rsid w:val="00B22CEC"/>
    <w:rsid w:val="00B713B8"/>
    <w:rsid w:val="00B729A4"/>
    <w:rsid w:val="00B77748"/>
    <w:rsid w:val="00B865D8"/>
    <w:rsid w:val="00BE2B4B"/>
    <w:rsid w:val="00BF2349"/>
    <w:rsid w:val="00BF2FD1"/>
    <w:rsid w:val="00BF7729"/>
    <w:rsid w:val="00C12071"/>
    <w:rsid w:val="00C1556F"/>
    <w:rsid w:val="00C3214A"/>
    <w:rsid w:val="00C344F1"/>
    <w:rsid w:val="00C37E8B"/>
    <w:rsid w:val="00C46714"/>
    <w:rsid w:val="00C555E3"/>
    <w:rsid w:val="00CA07BE"/>
    <w:rsid w:val="00CA1748"/>
    <w:rsid w:val="00CA5827"/>
    <w:rsid w:val="00CA6761"/>
    <w:rsid w:val="00CD506E"/>
    <w:rsid w:val="00CE5CB1"/>
    <w:rsid w:val="00D3765E"/>
    <w:rsid w:val="00D8252B"/>
    <w:rsid w:val="00D92C98"/>
    <w:rsid w:val="00DB5102"/>
    <w:rsid w:val="00DC0074"/>
    <w:rsid w:val="00DC0CBF"/>
    <w:rsid w:val="00DE2A34"/>
    <w:rsid w:val="00DE53EB"/>
    <w:rsid w:val="00E11C37"/>
    <w:rsid w:val="00E1427E"/>
    <w:rsid w:val="00E16731"/>
    <w:rsid w:val="00E32EC5"/>
    <w:rsid w:val="00E40628"/>
    <w:rsid w:val="00E450EB"/>
    <w:rsid w:val="00E57905"/>
    <w:rsid w:val="00E66C69"/>
    <w:rsid w:val="00E715C0"/>
    <w:rsid w:val="00E81433"/>
    <w:rsid w:val="00E90ABD"/>
    <w:rsid w:val="00EA1311"/>
    <w:rsid w:val="00EB3D6A"/>
    <w:rsid w:val="00ED347F"/>
    <w:rsid w:val="00EF15B1"/>
    <w:rsid w:val="00F06E05"/>
    <w:rsid w:val="00F10D28"/>
    <w:rsid w:val="00F12F70"/>
    <w:rsid w:val="00F20BE8"/>
    <w:rsid w:val="00F3296C"/>
    <w:rsid w:val="00F32B3F"/>
    <w:rsid w:val="00F44246"/>
    <w:rsid w:val="00F54AE0"/>
    <w:rsid w:val="00F71C1D"/>
    <w:rsid w:val="00F9658B"/>
    <w:rsid w:val="00FA2933"/>
    <w:rsid w:val="00FB04F3"/>
    <w:rsid w:val="00FC666C"/>
    <w:rsid w:val="00FD13CB"/>
    <w:rsid w:val="00FF46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F39"/>
    <w:rPr>
      <w:sz w:val="24"/>
      <w:szCs w:val="24"/>
      <w:lang w:eastAsia="en-US"/>
    </w:rPr>
  </w:style>
  <w:style w:type="paragraph" w:styleId="Heading1">
    <w:name w:val="heading 1"/>
    <w:basedOn w:val="Normal"/>
    <w:next w:val="Normal"/>
    <w:link w:val="Heading1Char"/>
    <w:qFormat/>
    <w:rsid w:val="00CE5CB1"/>
    <w:pPr>
      <w:keepNext/>
      <w:spacing w:after="60"/>
      <w:jc w:val="center"/>
      <w:outlineLvl w:val="0"/>
    </w:pPr>
    <w:rPr>
      <w:rFonts w:ascii="Albertus Extra Bold" w:hAnsi="Albertus Extra Bold" w:cs="Arial"/>
      <w:b/>
      <w:bCs/>
      <w:smallCaps/>
      <w:kern w:val="32"/>
      <w:sz w:val="44"/>
      <w:szCs w:val="44"/>
      <w:lang w:bidi="ar-EG"/>
    </w:rPr>
  </w:style>
  <w:style w:type="paragraph" w:styleId="Heading2">
    <w:name w:val="heading 2"/>
    <w:basedOn w:val="Normal"/>
    <w:next w:val="Normal"/>
    <w:link w:val="Heading2Char"/>
    <w:qFormat/>
    <w:rsid w:val="00CE5CB1"/>
    <w:pPr>
      <w:keepNext/>
      <w:spacing w:before="240" w:after="60"/>
      <w:outlineLvl w:val="1"/>
    </w:pPr>
    <w:rPr>
      <w:rFonts w:ascii="Albertus Extra Bold" w:hAnsi="Albertus Extra Bold" w:cs="Arial"/>
      <w:b/>
      <w:bCs/>
      <w:sz w:val="30"/>
      <w:szCs w:val="30"/>
      <w:lang w:bidi="ar-EG"/>
    </w:rPr>
  </w:style>
  <w:style w:type="paragraph" w:styleId="Heading3">
    <w:name w:val="heading 3"/>
    <w:basedOn w:val="Normal"/>
    <w:link w:val="Heading3Char"/>
    <w:qFormat/>
    <w:rsid w:val="00CE5CB1"/>
    <w:pPr>
      <w:spacing w:before="100" w:beforeAutospacing="1" w:after="100" w:afterAutospacing="1"/>
      <w:outlineLvl w:val="2"/>
    </w:pPr>
    <w:rPr>
      <w:b/>
      <w:bCs/>
      <w:sz w:val="27"/>
      <w:szCs w:val="27"/>
      <w:lang w:eastAsia="zh-CN" w:bidi="ar-EG"/>
    </w:rPr>
  </w:style>
  <w:style w:type="paragraph" w:styleId="Heading4">
    <w:name w:val="heading 4"/>
    <w:basedOn w:val="Normal"/>
    <w:next w:val="Normal"/>
    <w:link w:val="Heading4Char"/>
    <w:qFormat/>
    <w:rsid w:val="00CE5CB1"/>
    <w:pPr>
      <w:keepNext/>
      <w:bidi/>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3FE0"/>
    <w:rPr>
      <w:color w:val="0000FF"/>
      <w:u w:val="single"/>
    </w:rPr>
  </w:style>
  <w:style w:type="paragraph" w:styleId="Caption">
    <w:name w:val="caption"/>
    <w:basedOn w:val="Normal"/>
    <w:next w:val="Normal"/>
    <w:qFormat/>
    <w:rsid w:val="00730BDA"/>
    <w:rPr>
      <w:b/>
      <w:bCs/>
      <w:sz w:val="20"/>
      <w:szCs w:val="20"/>
    </w:rPr>
  </w:style>
  <w:style w:type="paragraph" w:styleId="Footer">
    <w:name w:val="footer"/>
    <w:basedOn w:val="Normal"/>
    <w:link w:val="FooterChar1"/>
    <w:rsid w:val="005A0DB7"/>
    <w:pPr>
      <w:tabs>
        <w:tab w:val="center" w:pos="4320"/>
        <w:tab w:val="right" w:pos="8640"/>
      </w:tabs>
    </w:pPr>
  </w:style>
  <w:style w:type="character" w:styleId="PageNumber">
    <w:name w:val="page number"/>
    <w:basedOn w:val="DefaultParagraphFont"/>
    <w:rsid w:val="005A0DB7"/>
  </w:style>
  <w:style w:type="paragraph" w:styleId="Header">
    <w:name w:val="header"/>
    <w:aliases w:val="Char"/>
    <w:basedOn w:val="Normal"/>
    <w:link w:val="HeaderChar1"/>
    <w:rsid w:val="00DE2A34"/>
    <w:pPr>
      <w:tabs>
        <w:tab w:val="center" w:pos="4320"/>
        <w:tab w:val="right" w:pos="8640"/>
      </w:tabs>
    </w:pPr>
  </w:style>
  <w:style w:type="paragraph" w:styleId="ListParagraph">
    <w:name w:val="List Paragraph"/>
    <w:basedOn w:val="Normal"/>
    <w:qFormat/>
    <w:rsid w:val="007B3237"/>
    <w:pPr>
      <w:spacing w:after="160" w:line="259" w:lineRule="auto"/>
      <w:ind w:left="720"/>
      <w:contextualSpacing/>
    </w:pPr>
    <w:rPr>
      <w:rFonts w:ascii="Calibri" w:eastAsia="Calibri" w:hAnsi="Calibri" w:cs="Arial"/>
      <w:sz w:val="22"/>
      <w:szCs w:val="22"/>
    </w:rPr>
  </w:style>
  <w:style w:type="character" w:customStyle="1" w:styleId="apple-style-span">
    <w:name w:val="apple-style-span"/>
    <w:basedOn w:val="DefaultParagraphFont"/>
    <w:rsid w:val="00AE41EC"/>
  </w:style>
  <w:style w:type="character" w:customStyle="1" w:styleId="Heading1Char">
    <w:name w:val="Heading 1 Char"/>
    <w:link w:val="Heading1"/>
    <w:locked/>
    <w:rsid w:val="00CE5CB1"/>
    <w:rPr>
      <w:rFonts w:ascii="Albertus Extra Bold" w:hAnsi="Albertus Extra Bold" w:cs="Arial"/>
      <w:b/>
      <w:bCs/>
      <w:smallCaps/>
      <w:kern w:val="32"/>
      <w:sz w:val="44"/>
      <w:szCs w:val="44"/>
      <w:lang w:val="en-US" w:eastAsia="en-US" w:bidi="ar-EG"/>
    </w:rPr>
  </w:style>
  <w:style w:type="character" w:customStyle="1" w:styleId="Heading3Char">
    <w:name w:val="Heading 3 Char"/>
    <w:link w:val="Heading3"/>
    <w:locked/>
    <w:rsid w:val="00CE5CB1"/>
    <w:rPr>
      <w:rFonts w:eastAsia="宋体"/>
      <w:b/>
      <w:bCs/>
      <w:sz w:val="27"/>
      <w:szCs w:val="27"/>
      <w:lang w:val="en-US" w:eastAsia="zh-CN" w:bidi="ar-EG"/>
    </w:rPr>
  </w:style>
  <w:style w:type="character" w:customStyle="1" w:styleId="HeaderChar1">
    <w:name w:val="Header Char1"/>
    <w:aliases w:val="Char Char"/>
    <w:link w:val="Header"/>
    <w:rsid w:val="00CE5CB1"/>
    <w:rPr>
      <w:sz w:val="24"/>
      <w:szCs w:val="24"/>
      <w:lang w:val="en-US" w:eastAsia="en-US" w:bidi="ar-SA"/>
    </w:rPr>
  </w:style>
  <w:style w:type="character" w:customStyle="1" w:styleId="FooterChar1">
    <w:name w:val="Footer Char1"/>
    <w:link w:val="Footer"/>
    <w:rsid w:val="00CE5CB1"/>
    <w:rPr>
      <w:sz w:val="24"/>
      <w:szCs w:val="24"/>
      <w:lang w:val="en-US" w:eastAsia="en-US" w:bidi="ar-SA"/>
    </w:rPr>
  </w:style>
  <w:style w:type="paragraph" w:styleId="HTMLPreformatted">
    <w:name w:val="HTML Preformatted"/>
    <w:basedOn w:val="Normal"/>
    <w:link w:val="HTMLPreformattedChar"/>
    <w:rsid w:val="00CE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E5CB1"/>
    <w:rPr>
      <w:rFonts w:ascii="Courier New" w:hAnsi="Courier New" w:cs="Courier New"/>
      <w:lang w:val="en-US" w:eastAsia="en-US" w:bidi="ar-SA"/>
    </w:rPr>
  </w:style>
  <w:style w:type="paragraph" w:customStyle="1" w:styleId="Default">
    <w:name w:val="Default"/>
    <w:rsid w:val="00CE5CB1"/>
    <w:pPr>
      <w:autoSpaceDE w:val="0"/>
      <w:autoSpaceDN w:val="0"/>
      <w:adjustRightInd w:val="0"/>
    </w:pPr>
    <w:rPr>
      <w:color w:val="000000"/>
      <w:sz w:val="24"/>
      <w:szCs w:val="24"/>
      <w:lang w:eastAsia="en-US"/>
    </w:rPr>
  </w:style>
  <w:style w:type="character" w:styleId="CommentReference">
    <w:name w:val="annotation reference"/>
    <w:rsid w:val="00CE5CB1"/>
    <w:rPr>
      <w:sz w:val="16"/>
      <w:szCs w:val="16"/>
    </w:rPr>
  </w:style>
  <w:style w:type="paragraph" w:styleId="CommentText">
    <w:name w:val="annotation text"/>
    <w:basedOn w:val="Normal"/>
    <w:link w:val="CommentTextChar"/>
    <w:rsid w:val="00CE5CB1"/>
    <w:pPr>
      <w:suppressAutoHyphens/>
      <w:bidi/>
    </w:pPr>
    <w:rPr>
      <w:sz w:val="20"/>
      <w:szCs w:val="20"/>
      <w:lang w:eastAsia="ar-SA"/>
    </w:rPr>
  </w:style>
  <w:style w:type="character" w:customStyle="1" w:styleId="CommentTextChar">
    <w:name w:val="Comment Text Char"/>
    <w:link w:val="CommentText"/>
    <w:rsid w:val="00CE5CB1"/>
    <w:rPr>
      <w:lang w:val="en-US" w:eastAsia="ar-SA" w:bidi="ar-SA"/>
    </w:rPr>
  </w:style>
  <w:style w:type="paragraph" w:styleId="CommentSubject">
    <w:name w:val="annotation subject"/>
    <w:basedOn w:val="CommentText"/>
    <w:next w:val="CommentText"/>
    <w:link w:val="CommentSubjectChar"/>
    <w:rsid w:val="00CE5CB1"/>
    <w:rPr>
      <w:b/>
      <w:bCs/>
    </w:rPr>
  </w:style>
  <w:style w:type="character" w:customStyle="1" w:styleId="CommentSubjectChar">
    <w:name w:val="Comment Subject Char"/>
    <w:link w:val="CommentSubject"/>
    <w:rsid w:val="00CE5CB1"/>
    <w:rPr>
      <w:b/>
      <w:bCs/>
      <w:lang w:val="en-US" w:eastAsia="ar-SA" w:bidi="ar-SA"/>
    </w:rPr>
  </w:style>
  <w:style w:type="paragraph" w:styleId="BalloonText">
    <w:name w:val="Balloon Text"/>
    <w:basedOn w:val="Normal"/>
    <w:link w:val="BalloonTextChar1"/>
    <w:rsid w:val="00CE5CB1"/>
    <w:pPr>
      <w:suppressAutoHyphens/>
      <w:bidi/>
    </w:pPr>
    <w:rPr>
      <w:rFonts w:ascii="Tahoma" w:hAnsi="Tahoma" w:cs="Tahoma"/>
      <w:sz w:val="16"/>
      <w:szCs w:val="16"/>
      <w:lang w:eastAsia="ar-SA"/>
    </w:rPr>
  </w:style>
  <w:style w:type="character" w:customStyle="1" w:styleId="BalloonTextChar1">
    <w:name w:val="Balloon Text Char1"/>
    <w:link w:val="BalloonText"/>
    <w:rsid w:val="00CE5CB1"/>
    <w:rPr>
      <w:rFonts w:ascii="Tahoma" w:hAnsi="Tahoma" w:cs="Tahoma"/>
      <w:sz w:val="16"/>
      <w:szCs w:val="16"/>
      <w:lang w:val="en-US" w:eastAsia="ar-SA" w:bidi="ar-SA"/>
    </w:rPr>
  </w:style>
  <w:style w:type="character" w:customStyle="1" w:styleId="BalloonTextChar">
    <w:name w:val="Balloon Text Char"/>
    <w:semiHidden/>
    <w:locked/>
    <w:rsid w:val="00CE5CB1"/>
    <w:rPr>
      <w:rFonts w:ascii="Tahoma" w:hAnsi="Tahoma" w:cs="Tahoma"/>
      <w:sz w:val="16"/>
      <w:szCs w:val="16"/>
    </w:rPr>
  </w:style>
  <w:style w:type="paragraph" w:styleId="NormalWeb">
    <w:name w:val="Normal (Web)"/>
    <w:basedOn w:val="Normal"/>
    <w:rsid w:val="00CE5CB1"/>
    <w:pPr>
      <w:spacing w:before="100" w:beforeAutospacing="1" w:after="100" w:afterAutospacing="1"/>
    </w:pPr>
  </w:style>
  <w:style w:type="paragraph" w:customStyle="1" w:styleId="Pa10">
    <w:name w:val="Pa10"/>
    <w:basedOn w:val="Normal"/>
    <w:next w:val="Normal"/>
    <w:rsid w:val="00CE5CB1"/>
    <w:pPr>
      <w:autoSpaceDE w:val="0"/>
      <w:autoSpaceDN w:val="0"/>
      <w:adjustRightInd w:val="0"/>
      <w:spacing w:line="141" w:lineRule="atLeast"/>
    </w:pPr>
    <w:rPr>
      <w:rFonts w:ascii="Tahoma" w:eastAsia="Calibri" w:hAnsi="Tahoma" w:cs="Tahoma"/>
    </w:rPr>
  </w:style>
  <w:style w:type="paragraph" w:customStyle="1" w:styleId="citation">
    <w:name w:val="citation"/>
    <w:basedOn w:val="Normal"/>
    <w:rsid w:val="00CE5CB1"/>
    <w:pPr>
      <w:spacing w:before="100" w:beforeAutospacing="1" w:after="100" w:afterAutospacing="1"/>
    </w:pPr>
    <w:rPr>
      <w:rFonts w:eastAsia="Calibri"/>
    </w:rPr>
  </w:style>
  <w:style w:type="character" w:customStyle="1" w:styleId="HeaderChar">
    <w:name w:val="Header Char"/>
    <w:semiHidden/>
    <w:locked/>
    <w:rsid w:val="00CE5CB1"/>
    <w:rPr>
      <w:rFonts w:ascii="Times New Roman" w:hAnsi="Times New Roman" w:cs="Times New Roman"/>
      <w:sz w:val="24"/>
      <w:szCs w:val="24"/>
    </w:rPr>
  </w:style>
  <w:style w:type="character" w:customStyle="1" w:styleId="FooterChar">
    <w:name w:val="Footer Char"/>
    <w:semiHidden/>
    <w:locked/>
    <w:rsid w:val="00CE5CB1"/>
    <w:rPr>
      <w:rFonts w:ascii="Times New Roman" w:hAnsi="Times New Roman" w:cs="Times New Roman"/>
      <w:sz w:val="24"/>
      <w:szCs w:val="24"/>
    </w:rPr>
  </w:style>
  <w:style w:type="paragraph" w:styleId="NoSpacing">
    <w:name w:val="No Spacing"/>
    <w:qFormat/>
    <w:rsid w:val="00CE5CB1"/>
    <w:rPr>
      <w:rFonts w:ascii="Arabic Transparent" w:eastAsia="Calibri" w:hAnsi="Arabic Transparent" w:cs="Arial"/>
      <w:sz w:val="22"/>
      <w:szCs w:val="22"/>
      <w:lang w:eastAsia="en-US"/>
    </w:rPr>
  </w:style>
  <w:style w:type="character" w:customStyle="1" w:styleId="apple-converted-space">
    <w:name w:val="apple-converted-space"/>
    <w:rsid w:val="00CE5CB1"/>
    <w:rPr>
      <w:rFonts w:cs="Times New Roman"/>
    </w:rPr>
  </w:style>
  <w:style w:type="character" w:customStyle="1" w:styleId="reference-text">
    <w:name w:val="reference-text"/>
    <w:rsid w:val="00CE5CB1"/>
    <w:rPr>
      <w:rFonts w:cs="Times New Roman"/>
    </w:rPr>
  </w:style>
  <w:style w:type="character" w:customStyle="1" w:styleId="emphasistypeitalic">
    <w:name w:val="emphasistypeitalic"/>
    <w:rsid w:val="00CE5CB1"/>
    <w:rPr>
      <w:rFonts w:cs="Times New Roman"/>
    </w:rPr>
  </w:style>
  <w:style w:type="paragraph" w:styleId="FootnoteText">
    <w:name w:val="footnote text"/>
    <w:basedOn w:val="Normal"/>
    <w:link w:val="FootnoteTextChar"/>
    <w:semiHidden/>
    <w:rsid w:val="00CE5CB1"/>
    <w:rPr>
      <w:rFonts w:eastAsia="Calibri"/>
      <w:sz w:val="20"/>
      <w:szCs w:val="20"/>
    </w:rPr>
  </w:style>
  <w:style w:type="character" w:customStyle="1" w:styleId="FootnoteTextChar">
    <w:name w:val="Footnote Text Char"/>
    <w:link w:val="FootnoteText"/>
    <w:semiHidden/>
    <w:locked/>
    <w:rsid w:val="00CE5CB1"/>
    <w:rPr>
      <w:rFonts w:eastAsia="Calibri"/>
      <w:lang w:val="en-US" w:eastAsia="en-US" w:bidi="ar-SA"/>
    </w:rPr>
  </w:style>
  <w:style w:type="character" w:styleId="FootnoteReference">
    <w:name w:val="footnote reference"/>
    <w:semiHidden/>
    <w:rsid w:val="00CE5CB1"/>
    <w:rPr>
      <w:rFonts w:cs="Times New Roman"/>
      <w:vertAlign w:val="superscript"/>
    </w:rPr>
  </w:style>
  <w:style w:type="paragraph" w:customStyle="1" w:styleId="Pa1">
    <w:name w:val="Pa1"/>
    <w:basedOn w:val="Default"/>
    <w:next w:val="Default"/>
    <w:rsid w:val="00CE5CB1"/>
    <w:pPr>
      <w:spacing w:line="241" w:lineRule="atLeast"/>
    </w:pPr>
    <w:rPr>
      <w:rFonts w:ascii="DINPro-Light" w:hAnsi="DINPro-Light" w:cs="Arial"/>
      <w:color w:val="auto"/>
    </w:rPr>
  </w:style>
  <w:style w:type="character" w:customStyle="1" w:styleId="A1">
    <w:name w:val="A1"/>
    <w:rsid w:val="00CE5CB1"/>
    <w:rPr>
      <w:color w:val="000000"/>
      <w:sz w:val="16"/>
    </w:rPr>
  </w:style>
  <w:style w:type="paragraph" w:customStyle="1" w:styleId="Pa0">
    <w:name w:val="Pa0"/>
    <w:basedOn w:val="Default"/>
    <w:next w:val="Default"/>
    <w:rsid w:val="00CE5CB1"/>
    <w:pPr>
      <w:spacing w:line="241" w:lineRule="atLeast"/>
    </w:pPr>
    <w:rPr>
      <w:rFonts w:ascii="DINPro-Light" w:hAnsi="DINPro-Light" w:cs="Arial"/>
      <w:color w:val="auto"/>
    </w:rPr>
  </w:style>
  <w:style w:type="character" w:customStyle="1" w:styleId="A2">
    <w:name w:val="A2"/>
    <w:rsid w:val="00CE5CB1"/>
    <w:rPr>
      <w:rFonts w:ascii="NexusSerif-Regular" w:hAnsi="NexusSerif-Regular"/>
      <w:color w:val="000000"/>
      <w:sz w:val="18"/>
    </w:rPr>
  </w:style>
  <w:style w:type="character" w:customStyle="1" w:styleId="A3">
    <w:name w:val="A3"/>
    <w:rsid w:val="00CE5CB1"/>
    <w:rPr>
      <w:rFonts w:ascii="NexusSerif-Regular" w:hAnsi="NexusSerif-Regular"/>
      <w:color w:val="000000"/>
      <w:sz w:val="12"/>
    </w:rPr>
  </w:style>
  <w:style w:type="paragraph" w:customStyle="1" w:styleId="Pa2">
    <w:name w:val="Pa2"/>
    <w:basedOn w:val="Default"/>
    <w:next w:val="Default"/>
    <w:rsid w:val="00CE5CB1"/>
    <w:pPr>
      <w:spacing w:line="241" w:lineRule="atLeast"/>
    </w:pPr>
    <w:rPr>
      <w:rFonts w:ascii="DINPro-Light" w:hAnsi="DINPro-Light" w:cs="Arial"/>
      <w:color w:val="auto"/>
    </w:rPr>
  </w:style>
  <w:style w:type="paragraph" w:customStyle="1" w:styleId="Pa13">
    <w:name w:val="Pa13"/>
    <w:basedOn w:val="Default"/>
    <w:next w:val="Default"/>
    <w:rsid w:val="00CE5CB1"/>
    <w:pPr>
      <w:spacing w:line="181" w:lineRule="atLeast"/>
    </w:pPr>
    <w:rPr>
      <w:color w:val="auto"/>
    </w:rPr>
  </w:style>
  <w:style w:type="character" w:customStyle="1" w:styleId="A5">
    <w:name w:val="A5"/>
    <w:rsid w:val="00CE5CB1"/>
    <w:rPr>
      <w:color w:val="000000"/>
      <w:sz w:val="16"/>
    </w:rPr>
  </w:style>
  <w:style w:type="character" w:styleId="FollowedHyperlink">
    <w:name w:val="FollowedHyperlink"/>
    <w:semiHidden/>
    <w:rsid w:val="00CE5CB1"/>
    <w:rPr>
      <w:rFonts w:cs="Times New Roman"/>
      <w:color w:val="800080"/>
      <w:u w:val="single"/>
    </w:rPr>
  </w:style>
  <w:style w:type="paragraph" w:customStyle="1" w:styleId="Pa3">
    <w:name w:val="Pa3"/>
    <w:basedOn w:val="Default"/>
    <w:next w:val="Default"/>
    <w:rsid w:val="00CE5CB1"/>
    <w:pPr>
      <w:spacing w:line="241" w:lineRule="atLeast"/>
    </w:pPr>
    <w:rPr>
      <w:color w:val="auto"/>
    </w:rPr>
  </w:style>
  <w:style w:type="paragraph" w:customStyle="1" w:styleId="authlist">
    <w:name w:val="auth_list"/>
    <w:basedOn w:val="Normal"/>
    <w:rsid w:val="00CE5CB1"/>
    <w:pPr>
      <w:spacing w:before="100" w:beforeAutospacing="1" w:after="100" w:afterAutospacing="1"/>
    </w:pPr>
  </w:style>
  <w:style w:type="character" w:customStyle="1" w:styleId="drf">
    <w:name w:val="drf"/>
    <w:rsid w:val="00CE5CB1"/>
    <w:rPr>
      <w:rFonts w:cs="Times New Roman"/>
    </w:rPr>
  </w:style>
  <w:style w:type="paragraph" w:customStyle="1" w:styleId="Pa26">
    <w:name w:val="Pa26"/>
    <w:basedOn w:val="Normal"/>
    <w:next w:val="Normal"/>
    <w:rsid w:val="00CE5CB1"/>
    <w:pPr>
      <w:autoSpaceDE w:val="0"/>
      <w:autoSpaceDN w:val="0"/>
      <w:adjustRightInd w:val="0"/>
      <w:spacing w:line="241" w:lineRule="atLeast"/>
    </w:pPr>
    <w:rPr>
      <w:rFonts w:ascii="Futura Std Book" w:hAnsi="Futura Std Book" w:cs="Arial"/>
    </w:rPr>
  </w:style>
  <w:style w:type="paragraph" w:customStyle="1" w:styleId="Pa28">
    <w:name w:val="Pa28"/>
    <w:basedOn w:val="Normal"/>
    <w:next w:val="Normal"/>
    <w:rsid w:val="00CE5CB1"/>
    <w:pPr>
      <w:autoSpaceDE w:val="0"/>
      <w:autoSpaceDN w:val="0"/>
      <w:adjustRightInd w:val="0"/>
      <w:spacing w:line="241" w:lineRule="atLeast"/>
    </w:pPr>
    <w:rPr>
      <w:rFonts w:ascii="Futura Std Book" w:hAnsi="Futura Std Book" w:cs="Arial"/>
    </w:rPr>
  </w:style>
  <w:style w:type="paragraph" w:customStyle="1" w:styleId="Pa30">
    <w:name w:val="Pa30"/>
    <w:basedOn w:val="Normal"/>
    <w:next w:val="Normal"/>
    <w:rsid w:val="00CE5CB1"/>
    <w:pPr>
      <w:autoSpaceDE w:val="0"/>
      <w:autoSpaceDN w:val="0"/>
      <w:adjustRightInd w:val="0"/>
      <w:spacing w:line="241" w:lineRule="atLeast"/>
    </w:pPr>
    <w:rPr>
      <w:rFonts w:ascii="Futura Std Book" w:hAnsi="Futura Std Book" w:cs="Arial"/>
    </w:rPr>
  </w:style>
  <w:style w:type="character" w:customStyle="1" w:styleId="A6">
    <w:name w:val="A6"/>
    <w:rsid w:val="00CE5CB1"/>
    <w:rPr>
      <w:rFonts w:ascii="ITC Garamond Std Book" w:hAnsi="ITC Garamond Std Book"/>
      <w:color w:val="000000"/>
    </w:rPr>
  </w:style>
  <w:style w:type="paragraph" w:customStyle="1" w:styleId="Pa32">
    <w:name w:val="Pa32"/>
    <w:basedOn w:val="Normal"/>
    <w:next w:val="Normal"/>
    <w:rsid w:val="00CE5CB1"/>
    <w:pPr>
      <w:autoSpaceDE w:val="0"/>
      <w:autoSpaceDN w:val="0"/>
      <w:adjustRightInd w:val="0"/>
      <w:spacing w:line="241" w:lineRule="atLeast"/>
    </w:pPr>
    <w:rPr>
      <w:rFonts w:ascii="ITC Garamond Std Book" w:hAnsi="ITC Garamond Std Book" w:cs="Arial"/>
    </w:rPr>
  </w:style>
  <w:style w:type="paragraph" w:customStyle="1" w:styleId="Pa33">
    <w:name w:val="Pa33"/>
    <w:basedOn w:val="Normal"/>
    <w:next w:val="Normal"/>
    <w:rsid w:val="00CE5CB1"/>
    <w:pPr>
      <w:autoSpaceDE w:val="0"/>
      <w:autoSpaceDN w:val="0"/>
      <w:adjustRightInd w:val="0"/>
      <w:spacing w:line="241" w:lineRule="atLeast"/>
    </w:pPr>
    <w:rPr>
      <w:rFonts w:ascii="ITC Garamond Std Book" w:hAnsi="ITC Garamond Std Book" w:cs="Arial"/>
    </w:rPr>
  </w:style>
  <w:style w:type="paragraph" w:customStyle="1" w:styleId="Pa11">
    <w:name w:val="Pa11"/>
    <w:basedOn w:val="Normal"/>
    <w:next w:val="Normal"/>
    <w:rsid w:val="00CE5CB1"/>
    <w:pPr>
      <w:autoSpaceDE w:val="0"/>
      <w:autoSpaceDN w:val="0"/>
      <w:adjustRightInd w:val="0"/>
      <w:spacing w:line="201" w:lineRule="atLeast"/>
    </w:pPr>
    <w:rPr>
      <w:rFonts w:ascii="Futura Std Light" w:hAnsi="Futura Std Light" w:cs="Arial"/>
    </w:rPr>
  </w:style>
  <w:style w:type="character" w:styleId="Emphasis">
    <w:name w:val="Emphasis"/>
    <w:qFormat/>
    <w:rsid w:val="00CE5CB1"/>
    <w:rPr>
      <w:i/>
    </w:rPr>
  </w:style>
  <w:style w:type="character" w:customStyle="1" w:styleId="color">
    <w:name w:val="color"/>
    <w:rsid w:val="00CE5CB1"/>
    <w:rPr>
      <w:rFonts w:cs="Times New Roman"/>
    </w:rPr>
  </w:style>
  <w:style w:type="character" w:customStyle="1" w:styleId="mb">
    <w:name w:val="mb"/>
    <w:rsid w:val="00CE5CB1"/>
    <w:rPr>
      <w:rFonts w:cs="Times New Roman"/>
    </w:rPr>
  </w:style>
  <w:style w:type="character" w:customStyle="1" w:styleId="caption1">
    <w:name w:val="caption1"/>
    <w:rsid w:val="00CE5CB1"/>
    <w:rPr>
      <w:rFonts w:cs="Times New Roman"/>
    </w:rPr>
  </w:style>
  <w:style w:type="character" w:customStyle="1" w:styleId="source">
    <w:name w:val="source"/>
    <w:rsid w:val="00CE5CB1"/>
    <w:rPr>
      <w:rFonts w:cs="Times New Roman"/>
    </w:rPr>
  </w:style>
  <w:style w:type="table" w:customStyle="1" w:styleId="-11">
    <w:name w:val="浅色列表 - 强调文字颜色 11"/>
    <w:rsid w:val="00CE5CB1"/>
    <w:rPr>
      <w:rFonts w:ascii="Calibri" w:hAnsi="Calibri" w:cs="Arial"/>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浅色底纹 - 强调文字颜色 11"/>
    <w:rsid w:val="00CE5CB1"/>
    <w:rPr>
      <w:rFonts w:ascii="Calibri" w:hAnsi="Calibri" w:cs="Arial"/>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1">
    <w:name w:val="No List1"/>
    <w:next w:val="NoList"/>
    <w:semiHidden/>
    <w:unhideWhenUsed/>
    <w:rsid w:val="00CE5CB1"/>
  </w:style>
  <w:style w:type="table" w:styleId="TableGrid">
    <w:name w:val="Table Grid"/>
    <w:basedOn w:val="TableNormal"/>
    <w:rsid w:val="00CE5C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CE5CB1"/>
    <w:pPr>
      <w:spacing w:before="100" w:beforeAutospacing="1" w:after="100" w:afterAutospacing="1"/>
    </w:pPr>
  </w:style>
  <w:style w:type="paragraph" w:customStyle="1" w:styleId="headinganchor">
    <w:name w:val="headinganchor"/>
    <w:basedOn w:val="Normal"/>
    <w:rsid w:val="00CE5CB1"/>
    <w:pPr>
      <w:spacing w:before="100" w:beforeAutospacing="1" w:after="100" w:afterAutospacing="1"/>
    </w:pPr>
  </w:style>
  <w:style w:type="character" w:customStyle="1" w:styleId="headingendmark">
    <w:name w:val="headingendmark"/>
    <w:rsid w:val="00CE5CB1"/>
  </w:style>
  <w:style w:type="character" w:customStyle="1" w:styleId="h2">
    <w:name w:val="h2"/>
    <w:rsid w:val="00CE5CB1"/>
  </w:style>
  <w:style w:type="paragraph" w:customStyle="1" w:styleId="bulletindent1">
    <w:name w:val="bulletindent1"/>
    <w:basedOn w:val="Normal"/>
    <w:rsid w:val="00CE5CB1"/>
    <w:pPr>
      <w:spacing w:before="100" w:beforeAutospacing="1" w:after="100" w:afterAutospacing="1"/>
    </w:pPr>
  </w:style>
  <w:style w:type="character" w:customStyle="1" w:styleId="glyph">
    <w:name w:val="glyph"/>
    <w:rsid w:val="00CE5CB1"/>
  </w:style>
  <w:style w:type="paragraph" w:styleId="TOC1">
    <w:name w:val="toc 1"/>
    <w:basedOn w:val="Normal"/>
    <w:next w:val="Normal"/>
    <w:autoRedefine/>
    <w:unhideWhenUsed/>
    <w:rsid w:val="00CE5CB1"/>
    <w:pPr>
      <w:bidi/>
    </w:pPr>
  </w:style>
  <w:style w:type="paragraph" w:styleId="TableofFigures">
    <w:name w:val="table of figures"/>
    <w:basedOn w:val="Normal"/>
    <w:next w:val="Normal"/>
    <w:unhideWhenUsed/>
    <w:rsid w:val="00CE5CB1"/>
    <w:pPr>
      <w:bidi/>
    </w:pPr>
  </w:style>
  <w:style w:type="character" w:customStyle="1" w:styleId="CharChar7">
    <w:name w:val="Char Char7"/>
    <w:rsid w:val="00CE5CB1"/>
    <w:rPr>
      <w:sz w:val="24"/>
      <w:szCs w:val="24"/>
      <w:lang w:val="en-US" w:eastAsia="en-US" w:bidi="ar-SA"/>
    </w:rPr>
  </w:style>
  <w:style w:type="character" w:customStyle="1" w:styleId="CharChar6">
    <w:name w:val="Char Char6"/>
    <w:rsid w:val="00CE5CB1"/>
    <w:rPr>
      <w:sz w:val="24"/>
      <w:szCs w:val="24"/>
      <w:lang w:val="en-US" w:eastAsia="en-US" w:bidi="ar-SA"/>
    </w:rPr>
  </w:style>
  <w:style w:type="character" w:customStyle="1" w:styleId="CharCharChar">
    <w:name w:val="Char Char Char"/>
    <w:rsid w:val="00CE5CB1"/>
    <w:rPr>
      <w:sz w:val="24"/>
      <w:szCs w:val="24"/>
      <w:lang w:val="en-US" w:eastAsia="en-US" w:bidi="ar-SA"/>
    </w:rPr>
  </w:style>
  <w:style w:type="character" w:customStyle="1" w:styleId="CharChar9">
    <w:name w:val="Char Char9"/>
    <w:rsid w:val="00CE5CB1"/>
    <w:rPr>
      <w:sz w:val="24"/>
      <w:szCs w:val="24"/>
      <w:lang w:val="en-US" w:eastAsia="en-US" w:bidi="ar-SA"/>
    </w:rPr>
  </w:style>
  <w:style w:type="character" w:customStyle="1" w:styleId="Heading4Char">
    <w:name w:val="Heading 4 Char"/>
    <w:link w:val="Heading4"/>
    <w:rsid w:val="00CE5CB1"/>
    <w:rPr>
      <w:rFonts w:ascii="Calibri" w:hAnsi="Calibri" w:cs="Arial"/>
      <w:b/>
      <w:bCs/>
      <w:sz w:val="28"/>
      <w:szCs w:val="28"/>
      <w:lang w:val="en-US" w:eastAsia="en-US" w:bidi="ar-SA"/>
    </w:rPr>
  </w:style>
  <w:style w:type="character" w:customStyle="1" w:styleId="Heading2Char">
    <w:name w:val="Heading 2 Char"/>
    <w:link w:val="Heading2"/>
    <w:rsid w:val="00CE5CB1"/>
    <w:rPr>
      <w:rFonts w:ascii="Albertus Extra Bold" w:hAnsi="Albertus Extra Bold" w:cs="Arial"/>
      <w:b/>
      <w:bCs/>
      <w:sz w:val="30"/>
      <w:szCs w:val="30"/>
      <w:lang w:val="en-US" w:eastAsia="en-US" w:bidi="ar-EG"/>
    </w:rPr>
  </w:style>
</w:styles>
</file>

<file path=word/webSettings.xml><?xml version="1.0" encoding="utf-8"?>
<w:webSettings xmlns:r="http://schemas.openxmlformats.org/officeDocument/2006/relationships" xmlns:w="http://schemas.openxmlformats.org/wordprocessingml/2006/main">
  <w:divs>
    <w:div w:id="12927143">
      <w:bodyDiv w:val="1"/>
      <w:marLeft w:val="0"/>
      <w:marRight w:val="0"/>
      <w:marTop w:val="0"/>
      <w:marBottom w:val="0"/>
      <w:divBdr>
        <w:top w:val="none" w:sz="0" w:space="0" w:color="auto"/>
        <w:left w:val="none" w:sz="0" w:space="0" w:color="auto"/>
        <w:bottom w:val="none" w:sz="0" w:space="0" w:color="auto"/>
        <w:right w:val="none" w:sz="0" w:space="0" w:color="auto"/>
      </w:divBdr>
    </w:div>
    <w:div w:id="42102950">
      <w:bodyDiv w:val="1"/>
      <w:marLeft w:val="0"/>
      <w:marRight w:val="0"/>
      <w:marTop w:val="0"/>
      <w:marBottom w:val="0"/>
      <w:divBdr>
        <w:top w:val="none" w:sz="0" w:space="0" w:color="auto"/>
        <w:left w:val="none" w:sz="0" w:space="0" w:color="auto"/>
        <w:bottom w:val="none" w:sz="0" w:space="0" w:color="auto"/>
        <w:right w:val="none" w:sz="0" w:space="0" w:color="auto"/>
      </w:divBdr>
    </w:div>
    <w:div w:id="58672816">
      <w:bodyDiv w:val="1"/>
      <w:marLeft w:val="0"/>
      <w:marRight w:val="0"/>
      <w:marTop w:val="0"/>
      <w:marBottom w:val="0"/>
      <w:divBdr>
        <w:top w:val="none" w:sz="0" w:space="0" w:color="auto"/>
        <w:left w:val="none" w:sz="0" w:space="0" w:color="auto"/>
        <w:bottom w:val="none" w:sz="0" w:space="0" w:color="auto"/>
        <w:right w:val="none" w:sz="0" w:space="0" w:color="auto"/>
      </w:divBdr>
    </w:div>
    <w:div w:id="158473761">
      <w:bodyDiv w:val="1"/>
      <w:marLeft w:val="0"/>
      <w:marRight w:val="0"/>
      <w:marTop w:val="0"/>
      <w:marBottom w:val="0"/>
      <w:divBdr>
        <w:top w:val="none" w:sz="0" w:space="0" w:color="auto"/>
        <w:left w:val="none" w:sz="0" w:space="0" w:color="auto"/>
        <w:bottom w:val="none" w:sz="0" w:space="0" w:color="auto"/>
        <w:right w:val="none" w:sz="0" w:space="0" w:color="auto"/>
      </w:divBdr>
    </w:div>
    <w:div w:id="273562973">
      <w:bodyDiv w:val="1"/>
      <w:marLeft w:val="0"/>
      <w:marRight w:val="0"/>
      <w:marTop w:val="0"/>
      <w:marBottom w:val="0"/>
      <w:divBdr>
        <w:top w:val="none" w:sz="0" w:space="0" w:color="auto"/>
        <w:left w:val="none" w:sz="0" w:space="0" w:color="auto"/>
        <w:bottom w:val="none" w:sz="0" w:space="0" w:color="auto"/>
        <w:right w:val="none" w:sz="0" w:space="0" w:color="auto"/>
      </w:divBdr>
    </w:div>
    <w:div w:id="339360196">
      <w:bodyDiv w:val="1"/>
      <w:marLeft w:val="0"/>
      <w:marRight w:val="0"/>
      <w:marTop w:val="0"/>
      <w:marBottom w:val="0"/>
      <w:divBdr>
        <w:top w:val="none" w:sz="0" w:space="0" w:color="auto"/>
        <w:left w:val="none" w:sz="0" w:space="0" w:color="auto"/>
        <w:bottom w:val="none" w:sz="0" w:space="0" w:color="auto"/>
        <w:right w:val="none" w:sz="0" w:space="0" w:color="auto"/>
      </w:divBdr>
    </w:div>
    <w:div w:id="384066784">
      <w:bodyDiv w:val="1"/>
      <w:marLeft w:val="0"/>
      <w:marRight w:val="0"/>
      <w:marTop w:val="0"/>
      <w:marBottom w:val="0"/>
      <w:divBdr>
        <w:top w:val="none" w:sz="0" w:space="0" w:color="auto"/>
        <w:left w:val="none" w:sz="0" w:space="0" w:color="auto"/>
        <w:bottom w:val="none" w:sz="0" w:space="0" w:color="auto"/>
        <w:right w:val="none" w:sz="0" w:space="0" w:color="auto"/>
      </w:divBdr>
    </w:div>
    <w:div w:id="503280308">
      <w:bodyDiv w:val="1"/>
      <w:marLeft w:val="0"/>
      <w:marRight w:val="0"/>
      <w:marTop w:val="0"/>
      <w:marBottom w:val="0"/>
      <w:divBdr>
        <w:top w:val="none" w:sz="0" w:space="0" w:color="auto"/>
        <w:left w:val="none" w:sz="0" w:space="0" w:color="auto"/>
        <w:bottom w:val="none" w:sz="0" w:space="0" w:color="auto"/>
        <w:right w:val="none" w:sz="0" w:space="0" w:color="auto"/>
      </w:divBdr>
    </w:div>
    <w:div w:id="506217122">
      <w:bodyDiv w:val="1"/>
      <w:marLeft w:val="0"/>
      <w:marRight w:val="0"/>
      <w:marTop w:val="0"/>
      <w:marBottom w:val="0"/>
      <w:divBdr>
        <w:top w:val="none" w:sz="0" w:space="0" w:color="auto"/>
        <w:left w:val="none" w:sz="0" w:space="0" w:color="auto"/>
        <w:bottom w:val="none" w:sz="0" w:space="0" w:color="auto"/>
        <w:right w:val="none" w:sz="0" w:space="0" w:color="auto"/>
      </w:divBdr>
    </w:div>
    <w:div w:id="508568476">
      <w:bodyDiv w:val="1"/>
      <w:marLeft w:val="0"/>
      <w:marRight w:val="0"/>
      <w:marTop w:val="0"/>
      <w:marBottom w:val="0"/>
      <w:divBdr>
        <w:top w:val="none" w:sz="0" w:space="0" w:color="auto"/>
        <w:left w:val="none" w:sz="0" w:space="0" w:color="auto"/>
        <w:bottom w:val="none" w:sz="0" w:space="0" w:color="auto"/>
        <w:right w:val="none" w:sz="0" w:space="0" w:color="auto"/>
      </w:divBdr>
    </w:div>
    <w:div w:id="532033088">
      <w:bodyDiv w:val="1"/>
      <w:marLeft w:val="0"/>
      <w:marRight w:val="0"/>
      <w:marTop w:val="0"/>
      <w:marBottom w:val="0"/>
      <w:divBdr>
        <w:top w:val="none" w:sz="0" w:space="0" w:color="auto"/>
        <w:left w:val="none" w:sz="0" w:space="0" w:color="auto"/>
        <w:bottom w:val="none" w:sz="0" w:space="0" w:color="auto"/>
        <w:right w:val="none" w:sz="0" w:space="0" w:color="auto"/>
      </w:divBdr>
    </w:div>
    <w:div w:id="565729735">
      <w:bodyDiv w:val="1"/>
      <w:marLeft w:val="0"/>
      <w:marRight w:val="0"/>
      <w:marTop w:val="0"/>
      <w:marBottom w:val="0"/>
      <w:divBdr>
        <w:top w:val="none" w:sz="0" w:space="0" w:color="auto"/>
        <w:left w:val="none" w:sz="0" w:space="0" w:color="auto"/>
        <w:bottom w:val="none" w:sz="0" w:space="0" w:color="auto"/>
        <w:right w:val="none" w:sz="0" w:space="0" w:color="auto"/>
      </w:divBdr>
    </w:div>
    <w:div w:id="594171608">
      <w:bodyDiv w:val="1"/>
      <w:marLeft w:val="0"/>
      <w:marRight w:val="0"/>
      <w:marTop w:val="0"/>
      <w:marBottom w:val="0"/>
      <w:divBdr>
        <w:top w:val="none" w:sz="0" w:space="0" w:color="auto"/>
        <w:left w:val="none" w:sz="0" w:space="0" w:color="auto"/>
        <w:bottom w:val="none" w:sz="0" w:space="0" w:color="auto"/>
        <w:right w:val="none" w:sz="0" w:space="0" w:color="auto"/>
      </w:divBdr>
    </w:div>
    <w:div w:id="607590622">
      <w:bodyDiv w:val="1"/>
      <w:marLeft w:val="0"/>
      <w:marRight w:val="0"/>
      <w:marTop w:val="0"/>
      <w:marBottom w:val="0"/>
      <w:divBdr>
        <w:top w:val="none" w:sz="0" w:space="0" w:color="auto"/>
        <w:left w:val="none" w:sz="0" w:space="0" w:color="auto"/>
        <w:bottom w:val="none" w:sz="0" w:space="0" w:color="auto"/>
        <w:right w:val="none" w:sz="0" w:space="0" w:color="auto"/>
      </w:divBdr>
    </w:div>
    <w:div w:id="625620841">
      <w:bodyDiv w:val="1"/>
      <w:marLeft w:val="0"/>
      <w:marRight w:val="0"/>
      <w:marTop w:val="0"/>
      <w:marBottom w:val="0"/>
      <w:divBdr>
        <w:top w:val="none" w:sz="0" w:space="0" w:color="auto"/>
        <w:left w:val="none" w:sz="0" w:space="0" w:color="auto"/>
        <w:bottom w:val="none" w:sz="0" w:space="0" w:color="auto"/>
        <w:right w:val="none" w:sz="0" w:space="0" w:color="auto"/>
      </w:divBdr>
    </w:div>
    <w:div w:id="811367175">
      <w:bodyDiv w:val="1"/>
      <w:marLeft w:val="0"/>
      <w:marRight w:val="0"/>
      <w:marTop w:val="0"/>
      <w:marBottom w:val="0"/>
      <w:divBdr>
        <w:top w:val="none" w:sz="0" w:space="0" w:color="auto"/>
        <w:left w:val="none" w:sz="0" w:space="0" w:color="auto"/>
        <w:bottom w:val="none" w:sz="0" w:space="0" w:color="auto"/>
        <w:right w:val="none" w:sz="0" w:space="0" w:color="auto"/>
      </w:divBdr>
    </w:div>
    <w:div w:id="974333356">
      <w:bodyDiv w:val="1"/>
      <w:marLeft w:val="0"/>
      <w:marRight w:val="0"/>
      <w:marTop w:val="0"/>
      <w:marBottom w:val="0"/>
      <w:divBdr>
        <w:top w:val="none" w:sz="0" w:space="0" w:color="auto"/>
        <w:left w:val="none" w:sz="0" w:space="0" w:color="auto"/>
        <w:bottom w:val="none" w:sz="0" w:space="0" w:color="auto"/>
        <w:right w:val="none" w:sz="0" w:space="0" w:color="auto"/>
      </w:divBdr>
    </w:div>
    <w:div w:id="1123957132">
      <w:bodyDiv w:val="1"/>
      <w:marLeft w:val="0"/>
      <w:marRight w:val="0"/>
      <w:marTop w:val="0"/>
      <w:marBottom w:val="0"/>
      <w:divBdr>
        <w:top w:val="none" w:sz="0" w:space="0" w:color="auto"/>
        <w:left w:val="none" w:sz="0" w:space="0" w:color="auto"/>
        <w:bottom w:val="none" w:sz="0" w:space="0" w:color="auto"/>
        <w:right w:val="none" w:sz="0" w:space="0" w:color="auto"/>
      </w:divBdr>
    </w:div>
    <w:div w:id="1149249904">
      <w:bodyDiv w:val="1"/>
      <w:marLeft w:val="0"/>
      <w:marRight w:val="0"/>
      <w:marTop w:val="0"/>
      <w:marBottom w:val="0"/>
      <w:divBdr>
        <w:top w:val="none" w:sz="0" w:space="0" w:color="auto"/>
        <w:left w:val="none" w:sz="0" w:space="0" w:color="auto"/>
        <w:bottom w:val="none" w:sz="0" w:space="0" w:color="auto"/>
        <w:right w:val="none" w:sz="0" w:space="0" w:color="auto"/>
      </w:divBdr>
    </w:div>
    <w:div w:id="1174610168">
      <w:bodyDiv w:val="1"/>
      <w:marLeft w:val="0"/>
      <w:marRight w:val="0"/>
      <w:marTop w:val="0"/>
      <w:marBottom w:val="0"/>
      <w:divBdr>
        <w:top w:val="none" w:sz="0" w:space="0" w:color="auto"/>
        <w:left w:val="none" w:sz="0" w:space="0" w:color="auto"/>
        <w:bottom w:val="none" w:sz="0" w:space="0" w:color="auto"/>
        <w:right w:val="none" w:sz="0" w:space="0" w:color="auto"/>
      </w:divBdr>
    </w:div>
    <w:div w:id="1236356126">
      <w:bodyDiv w:val="1"/>
      <w:marLeft w:val="0"/>
      <w:marRight w:val="0"/>
      <w:marTop w:val="0"/>
      <w:marBottom w:val="0"/>
      <w:divBdr>
        <w:top w:val="none" w:sz="0" w:space="0" w:color="auto"/>
        <w:left w:val="none" w:sz="0" w:space="0" w:color="auto"/>
        <w:bottom w:val="none" w:sz="0" w:space="0" w:color="auto"/>
        <w:right w:val="none" w:sz="0" w:space="0" w:color="auto"/>
      </w:divBdr>
    </w:div>
    <w:div w:id="1236741949">
      <w:bodyDiv w:val="1"/>
      <w:marLeft w:val="0"/>
      <w:marRight w:val="0"/>
      <w:marTop w:val="0"/>
      <w:marBottom w:val="0"/>
      <w:divBdr>
        <w:top w:val="none" w:sz="0" w:space="0" w:color="auto"/>
        <w:left w:val="none" w:sz="0" w:space="0" w:color="auto"/>
        <w:bottom w:val="none" w:sz="0" w:space="0" w:color="auto"/>
        <w:right w:val="none" w:sz="0" w:space="0" w:color="auto"/>
      </w:divBdr>
    </w:div>
    <w:div w:id="1273855714">
      <w:bodyDiv w:val="1"/>
      <w:marLeft w:val="0"/>
      <w:marRight w:val="0"/>
      <w:marTop w:val="0"/>
      <w:marBottom w:val="0"/>
      <w:divBdr>
        <w:top w:val="none" w:sz="0" w:space="0" w:color="auto"/>
        <w:left w:val="none" w:sz="0" w:space="0" w:color="auto"/>
        <w:bottom w:val="none" w:sz="0" w:space="0" w:color="auto"/>
        <w:right w:val="none" w:sz="0" w:space="0" w:color="auto"/>
      </w:divBdr>
    </w:div>
    <w:div w:id="1302734318">
      <w:bodyDiv w:val="1"/>
      <w:marLeft w:val="0"/>
      <w:marRight w:val="0"/>
      <w:marTop w:val="0"/>
      <w:marBottom w:val="0"/>
      <w:divBdr>
        <w:top w:val="none" w:sz="0" w:space="0" w:color="auto"/>
        <w:left w:val="none" w:sz="0" w:space="0" w:color="auto"/>
        <w:bottom w:val="none" w:sz="0" w:space="0" w:color="auto"/>
        <w:right w:val="none" w:sz="0" w:space="0" w:color="auto"/>
      </w:divBdr>
    </w:div>
    <w:div w:id="1314600667">
      <w:bodyDiv w:val="1"/>
      <w:marLeft w:val="0"/>
      <w:marRight w:val="0"/>
      <w:marTop w:val="0"/>
      <w:marBottom w:val="0"/>
      <w:divBdr>
        <w:top w:val="none" w:sz="0" w:space="0" w:color="auto"/>
        <w:left w:val="none" w:sz="0" w:space="0" w:color="auto"/>
        <w:bottom w:val="none" w:sz="0" w:space="0" w:color="auto"/>
        <w:right w:val="none" w:sz="0" w:space="0" w:color="auto"/>
      </w:divBdr>
    </w:div>
    <w:div w:id="1318846616">
      <w:bodyDiv w:val="1"/>
      <w:marLeft w:val="0"/>
      <w:marRight w:val="0"/>
      <w:marTop w:val="0"/>
      <w:marBottom w:val="0"/>
      <w:divBdr>
        <w:top w:val="none" w:sz="0" w:space="0" w:color="auto"/>
        <w:left w:val="none" w:sz="0" w:space="0" w:color="auto"/>
        <w:bottom w:val="none" w:sz="0" w:space="0" w:color="auto"/>
        <w:right w:val="none" w:sz="0" w:space="0" w:color="auto"/>
      </w:divBdr>
    </w:div>
    <w:div w:id="1326978829">
      <w:bodyDiv w:val="1"/>
      <w:marLeft w:val="0"/>
      <w:marRight w:val="0"/>
      <w:marTop w:val="0"/>
      <w:marBottom w:val="0"/>
      <w:divBdr>
        <w:top w:val="none" w:sz="0" w:space="0" w:color="auto"/>
        <w:left w:val="none" w:sz="0" w:space="0" w:color="auto"/>
        <w:bottom w:val="none" w:sz="0" w:space="0" w:color="auto"/>
        <w:right w:val="none" w:sz="0" w:space="0" w:color="auto"/>
      </w:divBdr>
    </w:div>
    <w:div w:id="1343242086">
      <w:bodyDiv w:val="1"/>
      <w:marLeft w:val="0"/>
      <w:marRight w:val="0"/>
      <w:marTop w:val="0"/>
      <w:marBottom w:val="0"/>
      <w:divBdr>
        <w:top w:val="none" w:sz="0" w:space="0" w:color="auto"/>
        <w:left w:val="none" w:sz="0" w:space="0" w:color="auto"/>
        <w:bottom w:val="none" w:sz="0" w:space="0" w:color="auto"/>
        <w:right w:val="none" w:sz="0" w:space="0" w:color="auto"/>
      </w:divBdr>
    </w:div>
    <w:div w:id="1388146695">
      <w:bodyDiv w:val="1"/>
      <w:marLeft w:val="0"/>
      <w:marRight w:val="0"/>
      <w:marTop w:val="0"/>
      <w:marBottom w:val="0"/>
      <w:divBdr>
        <w:top w:val="none" w:sz="0" w:space="0" w:color="auto"/>
        <w:left w:val="none" w:sz="0" w:space="0" w:color="auto"/>
        <w:bottom w:val="none" w:sz="0" w:space="0" w:color="auto"/>
        <w:right w:val="none" w:sz="0" w:space="0" w:color="auto"/>
      </w:divBdr>
    </w:div>
    <w:div w:id="1507211691">
      <w:bodyDiv w:val="1"/>
      <w:marLeft w:val="0"/>
      <w:marRight w:val="0"/>
      <w:marTop w:val="0"/>
      <w:marBottom w:val="0"/>
      <w:divBdr>
        <w:top w:val="none" w:sz="0" w:space="0" w:color="auto"/>
        <w:left w:val="none" w:sz="0" w:space="0" w:color="auto"/>
        <w:bottom w:val="none" w:sz="0" w:space="0" w:color="auto"/>
        <w:right w:val="none" w:sz="0" w:space="0" w:color="auto"/>
      </w:divBdr>
    </w:div>
    <w:div w:id="1552230934">
      <w:bodyDiv w:val="1"/>
      <w:marLeft w:val="0"/>
      <w:marRight w:val="0"/>
      <w:marTop w:val="0"/>
      <w:marBottom w:val="0"/>
      <w:divBdr>
        <w:top w:val="none" w:sz="0" w:space="0" w:color="auto"/>
        <w:left w:val="none" w:sz="0" w:space="0" w:color="auto"/>
        <w:bottom w:val="none" w:sz="0" w:space="0" w:color="auto"/>
        <w:right w:val="none" w:sz="0" w:space="0" w:color="auto"/>
      </w:divBdr>
    </w:div>
    <w:div w:id="1590191989">
      <w:bodyDiv w:val="1"/>
      <w:marLeft w:val="0"/>
      <w:marRight w:val="0"/>
      <w:marTop w:val="0"/>
      <w:marBottom w:val="0"/>
      <w:divBdr>
        <w:top w:val="none" w:sz="0" w:space="0" w:color="auto"/>
        <w:left w:val="none" w:sz="0" w:space="0" w:color="auto"/>
        <w:bottom w:val="none" w:sz="0" w:space="0" w:color="auto"/>
        <w:right w:val="none" w:sz="0" w:space="0" w:color="auto"/>
      </w:divBdr>
    </w:div>
    <w:div w:id="1751728377">
      <w:bodyDiv w:val="1"/>
      <w:marLeft w:val="0"/>
      <w:marRight w:val="0"/>
      <w:marTop w:val="0"/>
      <w:marBottom w:val="0"/>
      <w:divBdr>
        <w:top w:val="none" w:sz="0" w:space="0" w:color="auto"/>
        <w:left w:val="none" w:sz="0" w:space="0" w:color="auto"/>
        <w:bottom w:val="none" w:sz="0" w:space="0" w:color="auto"/>
        <w:right w:val="none" w:sz="0" w:space="0" w:color="auto"/>
      </w:divBdr>
    </w:div>
    <w:div w:id="1838498722">
      <w:bodyDiv w:val="1"/>
      <w:marLeft w:val="0"/>
      <w:marRight w:val="0"/>
      <w:marTop w:val="0"/>
      <w:marBottom w:val="0"/>
      <w:divBdr>
        <w:top w:val="none" w:sz="0" w:space="0" w:color="auto"/>
        <w:left w:val="none" w:sz="0" w:space="0" w:color="auto"/>
        <w:bottom w:val="none" w:sz="0" w:space="0" w:color="auto"/>
        <w:right w:val="none" w:sz="0" w:space="0" w:color="auto"/>
      </w:divBdr>
    </w:div>
    <w:div w:id="1896240251">
      <w:bodyDiv w:val="1"/>
      <w:marLeft w:val="0"/>
      <w:marRight w:val="0"/>
      <w:marTop w:val="0"/>
      <w:marBottom w:val="0"/>
      <w:divBdr>
        <w:top w:val="none" w:sz="0" w:space="0" w:color="auto"/>
        <w:left w:val="none" w:sz="0" w:space="0" w:color="auto"/>
        <w:bottom w:val="none" w:sz="0" w:space="0" w:color="auto"/>
        <w:right w:val="none" w:sz="0" w:space="0" w:color="auto"/>
      </w:divBdr>
    </w:div>
    <w:div w:id="1913808840">
      <w:bodyDiv w:val="1"/>
      <w:marLeft w:val="0"/>
      <w:marRight w:val="0"/>
      <w:marTop w:val="0"/>
      <w:marBottom w:val="0"/>
      <w:divBdr>
        <w:top w:val="none" w:sz="0" w:space="0" w:color="auto"/>
        <w:left w:val="none" w:sz="0" w:space="0" w:color="auto"/>
        <w:bottom w:val="none" w:sz="0" w:space="0" w:color="auto"/>
        <w:right w:val="none" w:sz="0" w:space="0" w:color="auto"/>
      </w:divBdr>
    </w:div>
    <w:div w:id="1961767036">
      <w:bodyDiv w:val="1"/>
      <w:marLeft w:val="0"/>
      <w:marRight w:val="0"/>
      <w:marTop w:val="0"/>
      <w:marBottom w:val="0"/>
      <w:divBdr>
        <w:top w:val="none" w:sz="0" w:space="0" w:color="auto"/>
        <w:left w:val="none" w:sz="0" w:space="0" w:color="auto"/>
        <w:bottom w:val="none" w:sz="0" w:space="0" w:color="auto"/>
        <w:right w:val="none" w:sz="0" w:space="0" w:color="auto"/>
      </w:divBdr>
    </w:div>
    <w:div w:id="2037854027">
      <w:bodyDiv w:val="1"/>
      <w:marLeft w:val="0"/>
      <w:marRight w:val="0"/>
      <w:marTop w:val="0"/>
      <w:marBottom w:val="0"/>
      <w:divBdr>
        <w:top w:val="none" w:sz="0" w:space="0" w:color="auto"/>
        <w:left w:val="none" w:sz="0" w:space="0" w:color="auto"/>
        <w:bottom w:val="none" w:sz="0" w:space="0" w:color="auto"/>
        <w:right w:val="none" w:sz="0" w:space="0" w:color="auto"/>
      </w:divBdr>
    </w:div>
    <w:div w:id="2063480520">
      <w:bodyDiv w:val="1"/>
      <w:marLeft w:val="0"/>
      <w:marRight w:val="0"/>
      <w:marTop w:val="0"/>
      <w:marBottom w:val="0"/>
      <w:divBdr>
        <w:top w:val="none" w:sz="0" w:space="0" w:color="auto"/>
        <w:left w:val="none" w:sz="0" w:space="0" w:color="auto"/>
        <w:bottom w:val="none" w:sz="0" w:space="0" w:color="auto"/>
        <w:right w:val="none" w:sz="0" w:space="0" w:color="auto"/>
      </w:divBdr>
    </w:div>
    <w:div w:id="2098135877">
      <w:bodyDiv w:val="1"/>
      <w:marLeft w:val="0"/>
      <w:marRight w:val="0"/>
      <w:marTop w:val="0"/>
      <w:marBottom w:val="0"/>
      <w:divBdr>
        <w:top w:val="none" w:sz="0" w:space="0" w:color="auto"/>
        <w:left w:val="none" w:sz="0" w:space="0" w:color="auto"/>
        <w:bottom w:val="none" w:sz="0" w:space="0" w:color="auto"/>
        <w:right w:val="none" w:sz="0" w:space="0" w:color="auto"/>
      </w:divBdr>
    </w:div>
    <w:div w:id="21062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ahmad570@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719.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RELATIONSHIP BETWEEN SLEEP DISORDERED BREATHING AND PRO-INFLAMMATORY MARKERS IN ACUTE ISCHEMIC STROKE</vt:lpstr>
    </vt:vector>
  </TitlesOfParts>
  <Company>Sky123.Org</Company>
  <LinksUpToDate>false</LinksUpToDate>
  <CharactersWithSpaces>29480</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6029373</vt:i4>
      </vt:variant>
      <vt:variant>
        <vt:i4>0</vt:i4>
      </vt:variant>
      <vt:variant>
        <vt:i4>0</vt:i4>
      </vt:variant>
      <vt:variant>
        <vt:i4>5</vt:i4>
      </vt:variant>
      <vt:variant>
        <vt:lpwstr>mailto:drahmad570@gmail.com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SLEEP DISORDERED BREATHING AND PRO-INFLAMMATORY MARKERS IN ACUTE ISCHEMIC STROKE</dc:title>
  <dc:creator>Ebrahim</dc:creator>
  <cp:lastModifiedBy>Administrator</cp:lastModifiedBy>
  <cp:revision>4</cp:revision>
  <cp:lastPrinted>2019-07-09T08:19:00Z</cp:lastPrinted>
  <dcterms:created xsi:type="dcterms:W3CDTF">2019-07-24T13:56:00Z</dcterms:created>
  <dcterms:modified xsi:type="dcterms:W3CDTF">2019-07-25T03:11:00Z</dcterms:modified>
</cp:coreProperties>
</file>