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A6" w:rsidRPr="00322645" w:rsidRDefault="00AD1E00" w:rsidP="00322645">
      <w:pPr>
        <w:snapToGrid w:val="0"/>
        <w:spacing w:after="0" w:line="240" w:lineRule="auto"/>
        <w:contextualSpacing/>
        <w:jc w:val="center"/>
        <w:rPr>
          <w:rFonts w:ascii="Times New Roman" w:hAnsi="Times New Roman" w:cs="Times New Roman"/>
          <w:b/>
          <w:sz w:val="20"/>
          <w:szCs w:val="24"/>
        </w:rPr>
      </w:pPr>
      <w:r w:rsidRPr="00322645">
        <w:rPr>
          <w:rFonts w:ascii="Times New Roman" w:hAnsi="Times New Roman" w:cs="Times New Roman"/>
          <w:b/>
          <w:sz w:val="20"/>
          <w:szCs w:val="24"/>
        </w:rPr>
        <w:t xml:space="preserve">Immunological And </w:t>
      </w:r>
      <w:proofErr w:type="spellStart"/>
      <w:r w:rsidRPr="00322645">
        <w:rPr>
          <w:rFonts w:ascii="Times New Roman" w:hAnsi="Times New Roman" w:cs="Times New Roman"/>
          <w:b/>
          <w:sz w:val="20"/>
          <w:szCs w:val="24"/>
        </w:rPr>
        <w:t>Haematological</w:t>
      </w:r>
      <w:proofErr w:type="spellEnd"/>
      <w:r w:rsidRPr="00322645">
        <w:rPr>
          <w:rFonts w:ascii="Times New Roman" w:hAnsi="Times New Roman" w:cs="Times New Roman"/>
          <w:b/>
          <w:sz w:val="20"/>
          <w:szCs w:val="24"/>
        </w:rPr>
        <w:t xml:space="preserve"> Responses In Children Who Received Measles Vaccine In Port Harcourt,</w:t>
      </w:r>
      <w:r w:rsidR="009F52A6" w:rsidRPr="00322645">
        <w:rPr>
          <w:rFonts w:ascii="Times New Roman" w:hAnsi="Times New Roman" w:cs="Times New Roman"/>
          <w:b/>
          <w:sz w:val="20"/>
          <w:szCs w:val="24"/>
        </w:rPr>
        <w:t xml:space="preserve"> </w:t>
      </w:r>
      <w:r w:rsidRPr="00322645">
        <w:rPr>
          <w:rFonts w:ascii="Times New Roman" w:hAnsi="Times New Roman" w:cs="Times New Roman"/>
          <w:b/>
          <w:sz w:val="20"/>
          <w:szCs w:val="24"/>
        </w:rPr>
        <w:t>Rivers State, Nigeria</w:t>
      </w:r>
      <w:r w:rsidR="00FE602D" w:rsidRPr="00322645">
        <w:rPr>
          <w:rFonts w:ascii="Times New Roman" w:hAnsi="Times New Roman" w:cs="Times New Roman"/>
          <w:b/>
          <w:sz w:val="20"/>
          <w:szCs w:val="24"/>
        </w:rPr>
        <w:t>.</w:t>
      </w:r>
    </w:p>
    <w:p w:rsidR="009F52A6" w:rsidRPr="00322645" w:rsidRDefault="009F52A6" w:rsidP="00322645">
      <w:pPr>
        <w:snapToGrid w:val="0"/>
        <w:spacing w:after="0" w:line="240" w:lineRule="auto"/>
        <w:contextualSpacing/>
        <w:jc w:val="center"/>
        <w:rPr>
          <w:rFonts w:ascii="Times New Roman" w:hAnsi="Times New Roman" w:cs="Times New Roman"/>
          <w:b/>
          <w:sz w:val="20"/>
          <w:szCs w:val="24"/>
        </w:rPr>
      </w:pPr>
    </w:p>
    <w:p w:rsidR="009F52A6" w:rsidRPr="00322645" w:rsidRDefault="00FE602D" w:rsidP="00322645">
      <w:pPr>
        <w:snapToGrid w:val="0"/>
        <w:spacing w:after="0" w:line="240" w:lineRule="auto"/>
        <w:jc w:val="center"/>
        <w:rPr>
          <w:rFonts w:ascii="Times New Roman" w:hAnsi="Times New Roman" w:cs="Times New Roman"/>
          <w:bCs/>
          <w:sz w:val="20"/>
          <w:szCs w:val="24"/>
          <w:vertAlign w:val="superscript"/>
          <w:lang w:val="en-GB" w:eastAsia="zh-CN"/>
        </w:rPr>
      </w:pPr>
      <w:proofErr w:type="spellStart"/>
      <w:r w:rsidRPr="00322645">
        <w:rPr>
          <w:rFonts w:ascii="Times New Roman" w:hAnsi="Times New Roman" w:cs="Times New Roman"/>
          <w:bCs/>
          <w:sz w:val="20"/>
          <w:szCs w:val="24"/>
          <w:lang w:val="en-GB"/>
        </w:rPr>
        <w:t>Barisisia</w:t>
      </w:r>
      <w:proofErr w:type="spellEnd"/>
      <w:r w:rsidRPr="00322645">
        <w:rPr>
          <w:rFonts w:ascii="Times New Roman" w:hAnsi="Times New Roman" w:cs="Times New Roman"/>
          <w:bCs/>
          <w:sz w:val="20"/>
          <w:szCs w:val="24"/>
          <w:lang w:val="en-GB"/>
        </w:rPr>
        <w:t xml:space="preserve"> Maxwell Barine</w:t>
      </w:r>
      <w:r w:rsidR="00BF2D0E" w:rsidRPr="00322645">
        <w:rPr>
          <w:rFonts w:ascii="Times New Roman" w:hAnsi="Times New Roman" w:cs="Times New Roman"/>
          <w:bCs/>
          <w:sz w:val="20"/>
          <w:szCs w:val="24"/>
          <w:vertAlign w:val="superscript"/>
          <w:lang w:val="en-GB"/>
        </w:rPr>
        <w:t>1</w:t>
      </w:r>
      <w:r w:rsidR="009F52A6" w:rsidRPr="00322645">
        <w:rPr>
          <w:rFonts w:ascii="Times New Roman" w:hAnsi="Times New Roman" w:cs="Times New Roman"/>
          <w:bCs/>
          <w:sz w:val="20"/>
          <w:szCs w:val="24"/>
          <w:vertAlign w:val="superscript"/>
          <w:lang w:val="en-GB"/>
        </w:rPr>
        <w:t xml:space="preserve"> &amp; </w:t>
      </w:r>
      <w:r w:rsidR="00BF2D0E" w:rsidRPr="00322645">
        <w:rPr>
          <w:rFonts w:ascii="Times New Roman" w:hAnsi="Times New Roman" w:cs="Times New Roman"/>
          <w:bCs/>
          <w:sz w:val="20"/>
          <w:szCs w:val="24"/>
          <w:vertAlign w:val="superscript"/>
          <w:lang w:val="en-GB"/>
        </w:rPr>
        <w:t>2</w:t>
      </w:r>
      <w:r w:rsidRPr="00322645">
        <w:rPr>
          <w:rFonts w:ascii="Times New Roman" w:hAnsi="Times New Roman" w:cs="Times New Roman"/>
          <w:bCs/>
          <w:sz w:val="20"/>
          <w:szCs w:val="24"/>
          <w:vertAlign w:val="superscript"/>
          <w:lang w:val="en-GB"/>
        </w:rPr>
        <w:t xml:space="preserve">* </w:t>
      </w:r>
      <w:r w:rsidRPr="00322645">
        <w:rPr>
          <w:rFonts w:ascii="Times New Roman" w:hAnsi="Times New Roman" w:cs="Times New Roman"/>
          <w:bCs/>
          <w:sz w:val="20"/>
          <w:szCs w:val="24"/>
          <w:lang w:val="en-GB"/>
        </w:rPr>
        <w:t xml:space="preserve">and </w:t>
      </w:r>
      <w:proofErr w:type="spellStart"/>
      <w:r w:rsidRPr="00322645">
        <w:rPr>
          <w:rFonts w:ascii="Times New Roman" w:hAnsi="Times New Roman" w:cs="Times New Roman"/>
          <w:bCs/>
          <w:sz w:val="20"/>
          <w:szCs w:val="24"/>
          <w:lang w:val="en-GB"/>
        </w:rPr>
        <w:t>Ogbonnaya</w:t>
      </w:r>
      <w:proofErr w:type="spellEnd"/>
      <w:r w:rsidRPr="00322645">
        <w:rPr>
          <w:rFonts w:ascii="Times New Roman" w:hAnsi="Times New Roman" w:cs="Times New Roman"/>
          <w:bCs/>
          <w:sz w:val="20"/>
          <w:szCs w:val="24"/>
          <w:lang w:val="en-GB"/>
        </w:rPr>
        <w:t xml:space="preserve"> Ogbu</w:t>
      </w:r>
      <w:r w:rsidR="00BF2D0E" w:rsidRPr="00322645">
        <w:rPr>
          <w:rFonts w:ascii="Times New Roman" w:hAnsi="Times New Roman" w:cs="Times New Roman"/>
          <w:bCs/>
          <w:sz w:val="20"/>
          <w:szCs w:val="24"/>
          <w:vertAlign w:val="superscript"/>
          <w:lang w:val="en-GB"/>
        </w:rPr>
        <w:t>1</w:t>
      </w:r>
    </w:p>
    <w:p w:rsidR="009F52A6" w:rsidRPr="00322645" w:rsidRDefault="009F52A6" w:rsidP="00322645">
      <w:pPr>
        <w:snapToGrid w:val="0"/>
        <w:spacing w:after="0" w:line="240" w:lineRule="auto"/>
        <w:jc w:val="center"/>
        <w:rPr>
          <w:rFonts w:ascii="Times New Roman" w:hAnsi="Times New Roman" w:cs="Times New Roman"/>
          <w:bCs/>
          <w:sz w:val="20"/>
          <w:szCs w:val="24"/>
          <w:vertAlign w:val="superscript"/>
          <w:lang w:val="en-GB" w:eastAsia="zh-CN"/>
        </w:rPr>
      </w:pPr>
    </w:p>
    <w:p w:rsidR="00B54C25" w:rsidRPr="00322645" w:rsidRDefault="00C21FB7" w:rsidP="00322645">
      <w:pPr>
        <w:snapToGrid w:val="0"/>
        <w:spacing w:after="0" w:line="240" w:lineRule="auto"/>
        <w:jc w:val="center"/>
        <w:rPr>
          <w:rFonts w:ascii="Times New Roman" w:hAnsi="Times New Roman" w:cs="Times New Roman"/>
          <w:sz w:val="20"/>
          <w:szCs w:val="24"/>
        </w:rPr>
      </w:pPr>
      <w:r w:rsidRPr="00322645">
        <w:rPr>
          <w:rFonts w:ascii="Times New Roman" w:hAnsi="Times New Roman" w:cs="Times New Roman"/>
          <w:sz w:val="20"/>
          <w:szCs w:val="24"/>
          <w:vertAlign w:val="superscript"/>
        </w:rPr>
        <w:t>1</w:t>
      </w:r>
      <w:r w:rsidR="00FE602D" w:rsidRPr="00322645">
        <w:rPr>
          <w:rFonts w:ascii="Times New Roman" w:hAnsi="Times New Roman" w:cs="Times New Roman"/>
          <w:sz w:val="20"/>
          <w:szCs w:val="24"/>
        </w:rPr>
        <w:t>Department of Applied Microbiology, Faculty of Science,</w:t>
      </w:r>
      <w:r w:rsidR="009F52A6" w:rsidRPr="00322645">
        <w:rPr>
          <w:rFonts w:ascii="Times New Roman" w:hAnsi="Times New Roman" w:cs="Times New Roman"/>
          <w:sz w:val="20"/>
          <w:szCs w:val="24"/>
        </w:rPr>
        <w:t xml:space="preserve"> </w:t>
      </w:r>
      <w:proofErr w:type="spellStart"/>
      <w:r w:rsidR="00FE602D" w:rsidRPr="00322645">
        <w:rPr>
          <w:rFonts w:ascii="Times New Roman" w:hAnsi="Times New Roman" w:cs="Times New Roman"/>
          <w:sz w:val="20"/>
          <w:szCs w:val="24"/>
        </w:rPr>
        <w:t>Ebonyi</w:t>
      </w:r>
      <w:proofErr w:type="spellEnd"/>
      <w:r w:rsidR="00FE602D" w:rsidRPr="00322645">
        <w:rPr>
          <w:rFonts w:ascii="Times New Roman" w:hAnsi="Times New Roman" w:cs="Times New Roman"/>
          <w:sz w:val="20"/>
          <w:szCs w:val="24"/>
        </w:rPr>
        <w:t xml:space="preserve"> State University, </w:t>
      </w:r>
      <w:proofErr w:type="spellStart"/>
      <w:r w:rsidR="00FE602D" w:rsidRPr="00322645">
        <w:rPr>
          <w:rFonts w:ascii="Times New Roman" w:hAnsi="Times New Roman" w:cs="Times New Roman"/>
          <w:sz w:val="20"/>
          <w:szCs w:val="24"/>
        </w:rPr>
        <w:t>Abakaliki</w:t>
      </w:r>
      <w:proofErr w:type="spellEnd"/>
      <w:r w:rsidR="00FE602D" w:rsidRPr="00322645">
        <w:rPr>
          <w:rFonts w:ascii="Times New Roman" w:hAnsi="Times New Roman" w:cs="Times New Roman"/>
          <w:sz w:val="20"/>
          <w:szCs w:val="24"/>
        </w:rPr>
        <w:t xml:space="preserve"> </w:t>
      </w:r>
      <w:proofErr w:type="spellStart"/>
      <w:r w:rsidR="00FE602D" w:rsidRPr="00322645">
        <w:rPr>
          <w:rFonts w:ascii="Times New Roman" w:hAnsi="Times New Roman" w:cs="Times New Roman"/>
          <w:sz w:val="20"/>
          <w:szCs w:val="24"/>
        </w:rPr>
        <w:t>Ebonyi</w:t>
      </w:r>
      <w:proofErr w:type="spellEnd"/>
      <w:r w:rsidR="00FE602D" w:rsidRPr="00322645">
        <w:rPr>
          <w:rFonts w:ascii="Times New Roman" w:hAnsi="Times New Roman" w:cs="Times New Roman"/>
          <w:sz w:val="20"/>
          <w:szCs w:val="24"/>
        </w:rPr>
        <w:t xml:space="preserve"> State, Nigeria.</w:t>
      </w:r>
    </w:p>
    <w:p w:rsidR="00C21FB7" w:rsidRPr="00322645" w:rsidRDefault="00C21FB7" w:rsidP="00322645">
      <w:pPr>
        <w:snapToGrid w:val="0"/>
        <w:spacing w:after="0" w:line="240" w:lineRule="auto"/>
        <w:jc w:val="center"/>
        <w:rPr>
          <w:rFonts w:ascii="Times New Roman" w:hAnsi="Times New Roman" w:cs="Times New Roman"/>
          <w:sz w:val="20"/>
          <w:szCs w:val="24"/>
        </w:rPr>
      </w:pPr>
      <w:r w:rsidRPr="00322645">
        <w:rPr>
          <w:rFonts w:ascii="Times New Roman" w:hAnsi="Times New Roman" w:cs="Times New Roman"/>
          <w:sz w:val="20"/>
          <w:szCs w:val="24"/>
          <w:vertAlign w:val="superscript"/>
        </w:rPr>
        <w:t>2</w:t>
      </w:r>
      <w:r w:rsidRPr="00322645">
        <w:rPr>
          <w:rFonts w:ascii="Times New Roman" w:hAnsi="Times New Roman" w:cs="Times New Roman"/>
          <w:sz w:val="20"/>
          <w:szCs w:val="24"/>
        </w:rPr>
        <w:t>Emadavistic Medical</w:t>
      </w:r>
      <w:r w:rsidR="009F52A6" w:rsidRPr="00322645">
        <w:rPr>
          <w:rFonts w:ascii="Times New Roman" w:hAnsi="Times New Roman" w:cs="Times New Roman"/>
          <w:sz w:val="20"/>
          <w:szCs w:val="24"/>
        </w:rPr>
        <w:t xml:space="preserve"> &amp; </w:t>
      </w:r>
      <w:r w:rsidRPr="00322645">
        <w:rPr>
          <w:rFonts w:ascii="Times New Roman" w:hAnsi="Times New Roman" w:cs="Times New Roman"/>
          <w:sz w:val="20"/>
          <w:szCs w:val="24"/>
        </w:rPr>
        <w:t xml:space="preserve">Research Laboratories, </w:t>
      </w:r>
      <w:proofErr w:type="spellStart"/>
      <w:r w:rsidRPr="00322645">
        <w:rPr>
          <w:rFonts w:ascii="Times New Roman" w:hAnsi="Times New Roman" w:cs="Times New Roman"/>
          <w:sz w:val="20"/>
          <w:szCs w:val="24"/>
        </w:rPr>
        <w:t>Osaks</w:t>
      </w:r>
      <w:proofErr w:type="spellEnd"/>
      <w:r w:rsidRPr="00322645">
        <w:rPr>
          <w:rFonts w:ascii="Times New Roman" w:hAnsi="Times New Roman" w:cs="Times New Roman"/>
          <w:sz w:val="20"/>
          <w:szCs w:val="24"/>
        </w:rPr>
        <w:t xml:space="preserve"> House, Along East-West Road, Port Harcourt, Rivers State.</w:t>
      </w:r>
    </w:p>
    <w:p w:rsidR="009F52A6" w:rsidRPr="00322645" w:rsidRDefault="00FE602D" w:rsidP="00322645">
      <w:pPr>
        <w:snapToGrid w:val="0"/>
        <w:spacing w:after="0" w:line="240" w:lineRule="auto"/>
        <w:jc w:val="center"/>
        <w:rPr>
          <w:rFonts w:ascii="Times New Roman" w:hAnsi="Times New Roman" w:cs="Times New Roman"/>
          <w:iCs/>
          <w:sz w:val="20"/>
          <w:szCs w:val="24"/>
        </w:rPr>
      </w:pPr>
      <w:r w:rsidRPr="00322645">
        <w:rPr>
          <w:rFonts w:ascii="Times New Roman" w:hAnsi="Times New Roman" w:cs="Times New Roman"/>
          <w:sz w:val="20"/>
          <w:szCs w:val="24"/>
          <w:vertAlign w:val="superscript"/>
        </w:rPr>
        <w:t>1</w:t>
      </w:r>
      <w:hyperlink r:id="rId7" w:history="1">
        <w:r w:rsidR="003B69E9" w:rsidRPr="00322645">
          <w:rPr>
            <w:rStyle w:val="Hyperlink"/>
            <w:rFonts w:ascii="Times New Roman" w:hAnsi="Times New Roman" w:cs="Times New Roman"/>
            <w:sz w:val="20"/>
            <w:szCs w:val="24"/>
          </w:rPr>
          <w:t>barimax4u@yahoo.com;</w:t>
        </w:r>
      </w:hyperlink>
    </w:p>
    <w:p w:rsidR="009F52A6" w:rsidRPr="00322645" w:rsidRDefault="009F52A6" w:rsidP="00322645">
      <w:pPr>
        <w:snapToGrid w:val="0"/>
        <w:spacing w:after="0" w:line="240" w:lineRule="auto"/>
        <w:jc w:val="center"/>
        <w:rPr>
          <w:rFonts w:ascii="Times New Roman" w:hAnsi="Times New Roman" w:cs="Times New Roman"/>
          <w:iCs/>
          <w:sz w:val="20"/>
          <w:szCs w:val="24"/>
        </w:rPr>
      </w:pPr>
    </w:p>
    <w:p w:rsidR="00B449A4" w:rsidRPr="00322645" w:rsidRDefault="00FE602D" w:rsidP="00322645">
      <w:pPr>
        <w:snapToGrid w:val="0"/>
        <w:spacing w:after="0" w:line="240" w:lineRule="auto"/>
        <w:contextualSpacing/>
        <w:jc w:val="both"/>
        <w:rPr>
          <w:rFonts w:ascii="Times New Roman" w:hAnsi="Times New Roman" w:cs="Times New Roman"/>
          <w:sz w:val="20"/>
          <w:szCs w:val="24"/>
        </w:rPr>
      </w:pPr>
      <w:r w:rsidRPr="00322645">
        <w:rPr>
          <w:rFonts w:ascii="Times New Roman" w:hAnsi="Times New Roman" w:cs="Times New Roman"/>
          <w:b/>
          <w:iCs/>
          <w:sz w:val="20"/>
          <w:szCs w:val="24"/>
        </w:rPr>
        <w:t xml:space="preserve">Abstract: </w:t>
      </w:r>
      <w:r w:rsidRPr="00322645">
        <w:rPr>
          <w:rFonts w:ascii="Times New Roman" w:hAnsi="Times New Roman" w:cs="Times New Roman"/>
          <w:sz w:val="20"/>
          <w:szCs w:val="24"/>
        </w:rPr>
        <w:t xml:space="preserve">Immunological and </w:t>
      </w:r>
      <w:proofErr w:type="spellStart"/>
      <w:r w:rsidRPr="00322645">
        <w:rPr>
          <w:rFonts w:ascii="Times New Roman" w:hAnsi="Times New Roman" w:cs="Times New Roman"/>
          <w:sz w:val="20"/>
          <w:szCs w:val="24"/>
        </w:rPr>
        <w:t>haematological</w:t>
      </w:r>
      <w:proofErr w:type="spellEnd"/>
      <w:r w:rsidRPr="00322645">
        <w:rPr>
          <w:rFonts w:ascii="Times New Roman" w:hAnsi="Times New Roman" w:cs="Times New Roman"/>
          <w:sz w:val="20"/>
          <w:szCs w:val="24"/>
        </w:rPr>
        <w:t xml:space="preserve"> studies were carried out a</w:t>
      </w:r>
      <w:r w:rsidR="00B54C25" w:rsidRPr="00322645">
        <w:rPr>
          <w:rFonts w:ascii="Times New Roman" w:hAnsi="Times New Roman" w:cs="Times New Roman"/>
          <w:sz w:val="20"/>
          <w:szCs w:val="24"/>
        </w:rPr>
        <w:t xml:space="preserve">mong children within 10 months to </w:t>
      </w:r>
      <w:r w:rsidRPr="00322645">
        <w:rPr>
          <w:rFonts w:ascii="Times New Roman" w:hAnsi="Times New Roman" w:cs="Times New Roman"/>
          <w:sz w:val="20"/>
          <w:szCs w:val="24"/>
        </w:rPr>
        <w:t xml:space="preserve">13 years of age who received measles virus vaccine in Port Harcourt, Rivers State, Nigeria. A total of 172 blood samples were </w:t>
      </w:r>
      <w:r w:rsidR="00677748" w:rsidRPr="00322645">
        <w:rPr>
          <w:rFonts w:ascii="Times New Roman" w:hAnsi="Times New Roman" w:cs="Times New Roman"/>
          <w:sz w:val="20"/>
          <w:szCs w:val="24"/>
        </w:rPr>
        <w:t>collected and analyzed for anti-</w:t>
      </w:r>
      <w:r w:rsidRPr="00322645">
        <w:rPr>
          <w:rFonts w:ascii="Times New Roman" w:hAnsi="Times New Roman" w:cs="Times New Roman"/>
          <w:sz w:val="20"/>
          <w:szCs w:val="24"/>
        </w:rPr>
        <w:t xml:space="preserve">measles virus </w:t>
      </w:r>
      <w:proofErr w:type="spellStart"/>
      <w:r w:rsidRPr="00322645">
        <w:rPr>
          <w:rFonts w:ascii="Times New Roman" w:hAnsi="Times New Roman" w:cs="Times New Roman"/>
          <w:sz w:val="20"/>
          <w:szCs w:val="24"/>
        </w:rPr>
        <w:t>IgM</w:t>
      </w:r>
      <w:proofErr w:type="spellEnd"/>
      <w:r w:rsidRPr="00322645">
        <w:rPr>
          <w:rFonts w:ascii="Times New Roman" w:hAnsi="Times New Roman" w:cs="Times New Roman"/>
          <w:sz w:val="20"/>
          <w:szCs w:val="24"/>
        </w:rPr>
        <w:t xml:space="preserve"> and </w:t>
      </w:r>
      <w:proofErr w:type="spellStart"/>
      <w:r w:rsidRPr="00322645">
        <w:rPr>
          <w:rFonts w:ascii="Times New Roman" w:hAnsi="Times New Roman" w:cs="Times New Roman"/>
          <w:sz w:val="20"/>
          <w:szCs w:val="24"/>
        </w:rPr>
        <w:t>IgG</w:t>
      </w:r>
      <w:proofErr w:type="spellEnd"/>
      <w:r w:rsidRPr="00322645">
        <w:rPr>
          <w:rFonts w:ascii="Times New Roman" w:hAnsi="Times New Roman" w:cs="Times New Roman"/>
          <w:sz w:val="20"/>
          <w:szCs w:val="24"/>
        </w:rPr>
        <w:t xml:space="preserve"> using commercial ELISA kit [Dia</w:t>
      </w:r>
      <w:r w:rsidR="007B21E5" w:rsidRPr="00322645">
        <w:rPr>
          <w:rFonts w:ascii="Times New Roman" w:hAnsi="Times New Roman" w:cs="Times New Roman"/>
          <w:sz w:val="20"/>
          <w:szCs w:val="24"/>
        </w:rPr>
        <w:t>.</w:t>
      </w:r>
      <w:r w:rsidR="007B21E5">
        <w:rPr>
          <w:rFonts w:ascii="Times New Roman" w:hAnsi="Times New Roman" w:cs="Times New Roman"/>
          <w:sz w:val="20"/>
          <w:szCs w:val="24"/>
        </w:rPr>
        <w:t xml:space="preserve"> </w:t>
      </w:r>
      <w:r w:rsidR="007B21E5" w:rsidRPr="00322645">
        <w:rPr>
          <w:rFonts w:ascii="Times New Roman" w:hAnsi="Times New Roman" w:cs="Times New Roman"/>
          <w:sz w:val="20"/>
          <w:szCs w:val="24"/>
        </w:rPr>
        <w:t>P</w:t>
      </w:r>
      <w:r w:rsidRPr="00322645">
        <w:rPr>
          <w:rFonts w:ascii="Times New Roman" w:hAnsi="Times New Roman" w:cs="Times New Roman"/>
          <w:sz w:val="20"/>
          <w:szCs w:val="24"/>
        </w:rPr>
        <w:t xml:space="preserve">ro Diagnostics </w:t>
      </w:r>
      <w:proofErr w:type="spellStart"/>
      <w:r w:rsidRPr="00322645">
        <w:rPr>
          <w:rFonts w:ascii="Times New Roman" w:hAnsi="Times New Roman" w:cs="Times New Roman"/>
          <w:sz w:val="20"/>
          <w:szCs w:val="24"/>
        </w:rPr>
        <w:t>Bioprobes</w:t>
      </w:r>
      <w:proofErr w:type="spellEnd"/>
      <w:r w:rsidRPr="00322645">
        <w:rPr>
          <w:rFonts w:ascii="Times New Roman" w:hAnsi="Times New Roman" w:cs="Times New Roman"/>
          <w:sz w:val="20"/>
          <w:szCs w:val="24"/>
        </w:rPr>
        <w:t xml:space="preserve"> </w:t>
      </w:r>
      <w:proofErr w:type="spellStart"/>
      <w:r w:rsidRPr="00322645">
        <w:rPr>
          <w:rFonts w:ascii="Times New Roman" w:hAnsi="Times New Roman" w:cs="Times New Roman"/>
          <w:sz w:val="20"/>
          <w:szCs w:val="24"/>
        </w:rPr>
        <w:t>Srl</w:t>
      </w:r>
      <w:proofErr w:type="spellEnd"/>
      <w:r w:rsidRPr="00322645">
        <w:rPr>
          <w:rFonts w:ascii="Times New Roman" w:hAnsi="Times New Roman" w:cs="Times New Roman"/>
          <w:sz w:val="20"/>
          <w:szCs w:val="24"/>
        </w:rPr>
        <w:t xml:space="preserve">, </w:t>
      </w:r>
      <w:proofErr w:type="spellStart"/>
      <w:r w:rsidRPr="00322645">
        <w:rPr>
          <w:rFonts w:ascii="Times New Roman" w:hAnsi="Times New Roman" w:cs="Times New Roman"/>
          <w:sz w:val="20"/>
          <w:szCs w:val="24"/>
        </w:rPr>
        <w:t>Swsto</w:t>
      </w:r>
      <w:proofErr w:type="spellEnd"/>
      <w:r w:rsidRPr="00322645">
        <w:rPr>
          <w:rFonts w:ascii="Times New Roman" w:hAnsi="Times New Roman" w:cs="Times New Roman"/>
          <w:sz w:val="20"/>
          <w:szCs w:val="24"/>
        </w:rPr>
        <w:t xml:space="preserve"> San Giovanni (MI) Italy]. Differential analysis was done on each sample to ascertain the </w:t>
      </w:r>
      <w:proofErr w:type="spellStart"/>
      <w:r w:rsidRPr="00322645">
        <w:rPr>
          <w:rFonts w:ascii="Times New Roman" w:hAnsi="Times New Roman" w:cs="Times New Roman"/>
          <w:sz w:val="20"/>
          <w:szCs w:val="24"/>
        </w:rPr>
        <w:t>Leucocyte</w:t>
      </w:r>
      <w:proofErr w:type="spellEnd"/>
      <w:r w:rsidRPr="00322645">
        <w:rPr>
          <w:rFonts w:ascii="Times New Roman" w:hAnsi="Times New Roman" w:cs="Times New Roman"/>
          <w:sz w:val="20"/>
          <w:szCs w:val="24"/>
        </w:rPr>
        <w:t xml:space="preserve"> cell counts. The results were interpreted according to the manufacturer’s instruction. The data was analyzed using statistical package for social sciences (SPSS) Version 21. Of the total number of 172 samples analyzed for anti-measles virus </w:t>
      </w:r>
      <w:proofErr w:type="spellStart"/>
      <w:r w:rsidRPr="00322645">
        <w:rPr>
          <w:rFonts w:ascii="Times New Roman" w:hAnsi="Times New Roman" w:cs="Times New Roman"/>
          <w:sz w:val="20"/>
          <w:szCs w:val="24"/>
        </w:rPr>
        <w:t>IgM</w:t>
      </w:r>
      <w:proofErr w:type="spellEnd"/>
      <w:r w:rsidRPr="00322645">
        <w:rPr>
          <w:rFonts w:ascii="Times New Roman" w:hAnsi="Times New Roman" w:cs="Times New Roman"/>
          <w:sz w:val="20"/>
          <w:szCs w:val="24"/>
        </w:rPr>
        <w:t xml:space="preserve"> and </w:t>
      </w:r>
      <w:proofErr w:type="spellStart"/>
      <w:r w:rsidRPr="00322645">
        <w:rPr>
          <w:rFonts w:ascii="Times New Roman" w:hAnsi="Times New Roman" w:cs="Times New Roman"/>
          <w:sz w:val="20"/>
          <w:szCs w:val="24"/>
        </w:rPr>
        <w:t>IgG</w:t>
      </w:r>
      <w:proofErr w:type="spellEnd"/>
      <w:r w:rsidRPr="00322645">
        <w:rPr>
          <w:rFonts w:ascii="Times New Roman" w:hAnsi="Times New Roman" w:cs="Times New Roman"/>
          <w:sz w:val="20"/>
          <w:szCs w:val="24"/>
        </w:rPr>
        <w:t xml:space="preserve"> antibodies, 12</w:t>
      </w:r>
      <w:r w:rsidR="00286557" w:rsidRPr="00322645">
        <w:rPr>
          <w:rFonts w:ascii="Times New Roman" w:hAnsi="Times New Roman" w:cs="Times New Roman"/>
          <w:sz w:val="20"/>
          <w:szCs w:val="24"/>
        </w:rPr>
        <w:t xml:space="preserve"> </w:t>
      </w:r>
      <w:r w:rsidRPr="00322645">
        <w:rPr>
          <w:rFonts w:ascii="Times New Roman" w:hAnsi="Times New Roman" w:cs="Times New Roman"/>
          <w:sz w:val="20"/>
          <w:szCs w:val="24"/>
        </w:rPr>
        <w:t>(6.9 %) and 28 (16.3 %)</w:t>
      </w:r>
      <w:r w:rsidR="009F52A6" w:rsidRPr="00322645">
        <w:rPr>
          <w:rFonts w:ascii="Times New Roman" w:hAnsi="Times New Roman" w:cs="Times New Roman"/>
          <w:sz w:val="20"/>
          <w:szCs w:val="24"/>
        </w:rPr>
        <w:t xml:space="preserve"> </w:t>
      </w:r>
      <w:r w:rsidRPr="00322645">
        <w:rPr>
          <w:rFonts w:ascii="Times New Roman" w:hAnsi="Times New Roman" w:cs="Times New Roman"/>
          <w:sz w:val="20"/>
          <w:szCs w:val="24"/>
        </w:rPr>
        <w:t xml:space="preserve">had detectable </w:t>
      </w:r>
      <w:proofErr w:type="spellStart"/>
      <w:r w:rsidRPr="00322645">
        <w:rPr>
          <w:rFonts w:ascii="Times New Roman" w:hAnsi="Times New Roman" w:cs="Times New Roman"/>
          <w:sz w:val="20"/>
          <w:szCs w:val="24"/>
        </w:rPr>
        <w:t>IgM</w:t>
      </w:r>
      <w:proofErr w:type="spellEnd"/>
      <w:r w:rsidRPr="00322645">
        <w:rPr>
          <w:rFonts w:ascii="Times New Roman" w:hAnsi="Times New Roman" w:cs="Times New Roman"/>
          <w:sz w:val="20"/>
          <w:szCs w:val="24"/>
        </w:rPr>
        <w:t xml:space="preserve"> and </w:t>
      </w:r>
      <w:proofErr w:type="spellStart"/>
      <w:r w:rsidRPr="00322645">
        <w:rPr>
          <w:rFonts w:ascii="Times New Roman" w:hAnsi="Times New Roman" w:cs="Times New Roman"/>
          <w:sz w:val="20"/>
          <w:szCs w:val="24"/>
        </w:rPr>
        <w:t>IgG</w:t>
      </w:r>
      <w:proofErr w:type="spellEnd"/>
      <w:r w:rsidRPr="00322645">
        <w:rPr>
          <w:rFonts w:ascii="Times New Roman" w:hAnsi="Times New Roman" w:cs="Times New Roman"/>
          <w:sz w:val="20"/>
          <w:szCs w:val="24"/>
        </w:rPr>
        <w:t xml:space="preserve"> respectively. In relation to the age, for anti-measles virus </w:t>
      </w:r>
      <w:proofErr w:type="spellStart"/>
      <w:r w:rsidRPr="00322645">
        <w:rPr>
          <w:rFonts w:ascii="Times New Roman" w:hAnsi="Times New Roman" w:cs="Times New Roman"/>
          <w:sz w:val="20"/>
          <w:szCs w:val="24"/>
        </w:rPr>
        <w:t>IgM</w:t>
      </w:r>
      <w:proofErr w:type="spellEnd"/>
      <w:r w:rsidRPr="00322645">
        <w:rPr>
          <w:rFonts w:ascii="Times New Roman" w:hAnsi="Times New Roman" w:cs="Times New Roman"/>
          <w:sz w:val="20"/>
          <w:szCs w:val="24"/>
        </w:rPr>
        <w:t>, age group 4 – 6 years had the highest occurrence of 6</w:t>
      </w:r>
      <w:r w:rsidR="00286557" w:rsidRPr="00322645">
        <w:rPr>
          <w:rFonts w:ascii="Times New Roman" w:hAnsi="Times New Roman" w:cs="Times New Roman"/>
          <w:sz w:val="20"/>
          <w:szCs w:val="24"/>
        </w:rPr>
        <w:t xml:space="preserve"> </w:t>
      </w:r>
      <w:r w:rsidRPr="00322645">
        <w:rPr>
          <w:rFonts w:ascii="Times New Roman" w:hAnsi="Times New Roman" w:cs="Times New Roman"/>
          <w:sz w:val="20"/>
          <w:szCs w:val="24"/>
        </w:rPr>
        <w:t xml:space="preserve">(15.80 %), followed by age group 10-12 years with detectable anti- measles virus </w:t>
      </w:r>
      <w:proofErr w:type="spellStart"/>
      <w:r w:rsidRPr="00322645">
        <w:rPr>
          <w:rFonts w:ascii="Times New Roman" w:hAnsi="Times New Roman" w:cs="Times New Roman"/>
          <w:sz w:val="20"/>
          <w:szCs w:val="24"/>
        </w:rPr>
        <w:t>IgM</w:t>
      </w:r>
      <w:proofErr w:type="spellEnd"/>
      <w:r w:rsidRPr="00322645">
        <w:rPr>
          <w:rFonts w:ascii="Times New Roman" w:hAnsi="Times New Roman" w:cs="Times New Roman"/>
          <w:sz w:val="20"/>
          <w:szCs w:val="24"/>
        </w:rPr>
        <w:t xml:space="preserve"> of 2</w:t>
      </w:r>
      <w:r w:rsidR="00286557" w:rsidRPr="00322645">
        <w:rPr>
          <w:rFonts w:ascii="Times New Roman" w:hAnsi="Times New Roman" w:cs="Times New Roman"/>
          <w:sz w:val="20"/>
          <w:szCs w:val="24"/>
        </w:rPr>
        <w:t xml:space="preserve"> </w:t>
      </w:r>
      <w:r w:rsidRPr="00322645">
        <w:rPr>
          <w:rFonts w:ascii="Times New Roman" w:hAnsi="Times New Roman" w:cs="Times New Roman"/>
          <w:sz w:val="20"/>
          <w:szCs w:val="24"/>
        </w:rPr>
        <w:t xml:space="preserve">(11.0 %). Age group 1-3 years had the least detectable </w:t>
      </w:r>
      <w:proofErr w:type="spellStart"/>
      <w:r w:rsidRPr="00322645">
        <w:rPr>
          <w:rFonts w:ascii="Times New Roman" w:hAnsi="Times New Roman" w:cs="Times New Roman"/>
          <w:sz w:val="20"/>
          <w:szCs w:val="24"/>
        </w:rPr>
        <w:t>IgM</w:t>
      </w:r>
      <w:proofErr w:type="spellEnd"/>
      <w:r w:rsidRPr="00322645">
        <w:rPr>
          <w:rFonts w:ascii="Times New Roman" w:hAnsi="Times New Roman" w:cs="Times New Roman"/>
          <w:sz w:val="20"/>
          <w:szCs w:val="24"/>
        </w:rPr>
        <w:t xml:space="preserve"> antibodies of 2(2.3 %). For anti-measles virus </w:t>
      </w:r>
      <w:proofErr w:type="spellStart"/>
      <w:r w:rsidRPr="00322645">
        <w:rPr>
          <w:rFonts w:ascii="Times New Roman" w:hAnsi="Times New Roman" w:cs="Times New Roman"/>
          <w:sz w:val="20"/>
          <w:szCs w:val="24"/>
        </w:rPr>
        <w:t>IgG</w:t>
      </w:r>
      <w:proofErr w:type="spellEnd"/>
      <w:r w:rsidRPr="00322645">
        <w:rPr>
          <w:rFonts w:ascii="Times New Roman" w:hAnsi="Times New Roman" w:cs="Times New Roman"/>
          <w:sz w:val="20"/>
          <w:szCs w:val="24"/>
        </w:rPr>
        <w:t>, age group &lt;1 year had the highest level of detectable anti- measles virus</w:t>
      </w:r>
      <w:r w:rsidR="00286557" w:rsidRPr="00322645">
        <w:rPr>
          <w:rFonts w:ascii="Times New Roman" w:hAnsi="Times New Roman" w:cs="Times New Roman"/>
          <w:sz w:val="20"/>
          <w:szCs w:val="24"/>
        </w:rPr>
        <w:t xml:space="preserve"> </w:t>
      </w:r>
      <w:proofErr w:type="spellStart"/>
      <w:r w:rsidR="00286557" w:rsidRPr="00322645">
        <w:rPr>
          <w:rFonts w:ascii="Times New Roman" w:hAnsi="Times New Roman" w:cs="Times New Roman"/>
          <w:sz w:val="20"/>
          <w:szCs w:val="24"/>
        </w:rPr>
        <w:t>IgG</w:t>
      </w:r>
      <w:proofErr w:type="spellEnd"/>
      <w:r w:rsidRPr="00322645">
        <w:rPr>
          <w:rFonts w:ascii="Times New Roman" w:hAnsi="Times New Roman" w:cs="Times New Roman"/>
          <w:sz w:val="20"/>
          <w:szCs w:val="24"/>
        </w:rPr>
        <w:t xml:space="preserve"> of 3</w:t>
      </w:r>
      <w:r w:rsidR="00286557" w:rsidRPr="00322645">
        <w:rPr>
          <w:rFonts w:ascii="Times New Roman" w:hAnsi="Times New Roman" w:cs="Times New Roman"/>
          <w:sz w:val="20"/>
          <w:szCs w:val="24"/>
        </w:rPr>
        <w:t xml:space="preserve"> </w:t>
      </w:r>
      <w:r w:rsidRPr="00322645">
        <w:rPr>
          <w:rFonts w:ascii="Times New Roman" w:hAnsi="Times New Roman" w:cs="Times New Roman"/>
          <w:sz w:val="20"/>
          <w:szCs w:val="24"/>
        </w:rPr>
        <w:t>(27.0 %), followed by age group 4 – 6 years with the prevalence of 9</w:t>
      </w:r>
      <w:r w:rsidR="00286557" w:rsidRPr="00322645">
        <w:rPr>
          <w:rFonts w:ascii="Times New Roman" w:hAnsi="Times New Roman" w:cs="Times New Roman"/>
          <w:sz w:val="20"/>
          <w:szCs w:val="24"/>
        </w:rPr>
        <w:t xml:space="preserve"> </w:t>
      </w:r>
      <w:r w:rsidRPr="00322645">
        <w:rPr>
          <w:rFonts w:ascii="Times New Roman" w:hAnsi="Times New Roman" w:cs="Times New Roman"/>
          <w:sz w:val="20"/>
          <w:szCs w:val="24"/>
        </w:rPr>
        <w:t>(23.7 %)</w:t>
      </w:r>
      <w:r w:rsidR="009F52A6" w:rsidRPr="00322645">
        <w:rPr>
          <w:rFonts w:ascii="Times New Roman" w:hAnsi="Times New Roman" w:cs="Times New Roman"/>
          <w:sz w:val="20"/>
          <w:szCs w:val="24"/>
        </w:rPr>
        <w:t>?</w:t>
      </w:r>
      <w:r w:rsidRPr="00322645">
        <w:rPr>
          <w:rFonts w:ascii="Times New Roman" w:hAnsi="Times New Roman" w:cs="Times New Roman"/>
          <w:sz w:val="20"/>
          <w:szCs w:val="24"/>
        </w:rPr>
        <w:t xml:space="preserve">? while age group 1 – 3 years had the least prevalence of 10(11.2 %). In relation to sex for </w:t>
      </w:r>
      <w:proofErr w:type="spellStart"/>
      <w:r w:rsidRPr="00322645">
        <w:rPr>
          <w:rFonts w:ascii="Times New Roman" w:hAnsi="Times New Roman" w:cs="Times New Roman"/>
          <w:sz w:val="20"/>
          <w:szCs w:val="24"/>
        </w:rPr>
        <w:t>IgM</w:t>
      </w:r>
      <w:proofErr w:type="spellEnd"/>
      <w:r w:rsidRPr="00322645">
        <w:rPr>
          <w:rFonts w:ascii="Times New Roman" w:hAnsi="Times New Roman" w:cs="Times New Roman"/>
          <w:sz w:val="20"/>
          <w:szCs w:val="24"/>
        </w:rPr>
        <w:t xml:space="preserve">, female children had a higher detectable anti- measles virus </w:t>
      </w:r>
      <w:proofErr w:type="spellStart"/>
      <w:r w:rsidRPr="00322645">
        <w:rPr>
          <w:rFonts w:ascii="Times New Roman" w:hAnsi="Times New Roman" w:cs="Times New Roman"/>
          <w:sz w:val="20"/>
          <w:szCs w:val="24"/>
        </w:rPr>
        <w:t>IgM</w:t>
      </w:r>
      <w:proofErr w:type="spellEnd"/>
      <w:r w:rsidRPr="00322645">
        <w:rPr>
          <w:rFonts w:ascii="Times New Roman" w:hAnsi="Times New Roman" w:cs="Times New Roman"/>
          <w:sz w:val="20"/>
          <w:szCs w:val="24"/>
        </w:rPr>
        <w:t xml:space="preserve"> of 8(10.1 %) than male children who had </w:t>
      </w:r>
      <w:proofErr w:type="spellStart"/>
      <w:r w:rsidRPr="00322645">
        <w:rPr>
          <w:rFonts w:ascii="Times New Roman" w:hAnsi="Times New Roman" w:cs="Times New Roman"/>
          <w:sz w:val="20"/>
          <w:szCs w:val="24"/>
        </w:rPr>
        <w:t>IgM</w:t>
      </w:r>
      <w:proofErr w:type="spellEnd"/>
      <w:r w:rsidRPr="00322645">
        <w:rPr>
          <w:rFonts w:ascii="Times New Roman" w:hAnsi="Times New Roman" w:cs="Times New Roman"/>
          <w:sz w:val="20"/>
          <w:szCs w:val="24"/>
        </w:rPr>
        <w:t xml:space="preserve"> of 4(4.3 %). The opposite was the case for detectable anti-measles virus </w:t>
      </w:r>
      <w:proofErr w:type="spellStart"/>
      <w:r w:rsidRPr="00322645">
        <w:rPr>
          <w:rFonts w:ascii="Times New Roman" w:hAnsi="Times New Roman" w:cs="Times New Roman"/>
          <w:sz w:val="20"/>
          <w:szCs w:val="24"/>
        </w:rPr>
        <w:t>IgG</w:t>
      </w:r>
      <w:proofErr w:type="spellEnd"/>
      <w:r w:rsidRPr="00322645">
        <w:rPr>
          <w:rFonts w:ascii="Times New Roman" w:hAnsi="Times New Roman" w:cs="Times New Roman"/>
          <w:sz w:val="20"/>
          <w:szCs w:val="24"/>
        </w:rPr>
        <w:t xml:space="preserve"> in relation to sex. Male children had a detectable anti- measles virus </w:t>
      </w:r>
      <w:proofErr w:type="spellStart"/>
      <w:r w:rsidRPr="00322645">
        <w:rPr>
          <w:rFonts w:ascii="Times New Roman" w:hAnsi="Times New Roman" w:cs="Times New Roman"/>
          <w:sz w:val="20"/>
          <w:szCs w:val="24"/>
        </w:rPr>
        <w:t>IgG</w:t>
      </w:r>
      <w:proofErr w:type="spellEnd"/>
      <w:r w:rsidRPr="00322645">
        <w:rPr>
          <w:rFonts w:ascii="Times New Roman" w:hAnsi="Times New Roman" w:cs="Times New Roman"/>
          <w:sz w:val="20"/>
          <w:szCs w:val="24"/>
        </w:rPr>
        <w:t xml:space="preserve"> of 12(12.9 %) and female children had 16 (20.3 %). There were no significant difference at (p&lt;0.05) between the differential </w:t>
      </w:r>
      <w:proofErr w:type="spellStart"/>
      <w:r w:rsidRPr="00322645">
        <w:rPr>
          <w:rFonts w:ascii="Times New Roman" w:hAnsi="Times New Roman" w:cs="Times New Roman"/>
          <w:sz w:val="20"/>
          <w:szCs w:val="24"/>
        </w:rPr>
        <w:t>leucocyte</w:t>
      </w:r>
      <w:proofErr w:type="spellEnd"/>
      <w:r w:rsidRPr="00322645">
        <w:rPr>
          <w:rFonts w:ascii="Times New Roman" w:hAnsi="Times New Roman" w:cs="Times New Roman"/>
          <w:sz w:val="20"/>
          <w:szCs w:val="24"/>
        </w:rPr>
        <w:t xml:space="preserve"> cell counts of children who tested positive for measles virus antibodies and those who were negative. The investigation established very low level of </w:t>
      </w:r>
      <w:proofErr w:type="spellStart"/>
      <w:r w:rsidRPr="00322645">
        <w:rPr>
          <w:rFonts w:ascii="Times New Roman" w:hAnsi="Times New Roman" w:cs="Times New Roman"/>
          <w:sz w:val="20"/>
          <w:szCs w:val="24"/>
        </w:rPr>
        <w:t>IgM</w:t>
      </w:r>
      <w:proofErr w:type="spellEnd"/>
      <w:r w:rsidRPr="00322645">
        <w:rPr>
          <w:rFonts w:ascii="Times New Roman" w:hAnsi="Times New Roman" w:cs="Times New Roman"/>
          <w:sz w:val="20"/>
          <w:szCs w:val="24"/>
        </w:rPr>
        <w:t xml:space="preserve"> and </w:t>
      </w:r>
      <w:proofErr w:type="spellStart"/>
      <w:r w:rsidRPr="00322645">
        <w:rPr>
          <w:rFonts w:ascii="Times New Roman" w:hAnsi="Times New Roman" w:cs="Times New Roman"/>
          <w:sz w:val="20"/>
          <w:szCs w:val="24"/>
        </w:rPr>
        <w:t>IgG</w:t>
      </w:r>
      <w:proofErr w:type="spellEnd"/>
      <w:r w:rsidRPr="00322645">
        <w:rPr>
          <w:rFonts w:ascii="Times New Roman" w:hAnsi="Times New Roman" w:cs="Times New Roman"/>
          <w:sz w:val="20"/>
          <w:szCs w:val="24"/>
        </w:rPr>
        <w:t xml:space="preserve"> among children who were immunized against measles virus infection. This reason may be that some batches of the vaccine used were not potent or that most of the children who claimed to have been vaccinated were not. </w:t>
      </w:r>
    </w:p>
    <w:p w:rsidR="00322645" w:rsidRPr="00322645" w:rsidRDefault="00322645" w:rsidP="00171788">
      <w:pPr>
        <w:snapToGrid w:val="0"/>
        <w:spacing w:after="0" w:line="240" w:lineRule="auto"/>
        <w:contextualSpacing/>
        <w:jc w:val="both"/>
        <w:rPr>
          <w:rFonts w:ascii="Times New Roman" w:hAnsi="Times New Roman" w:cs="Times New Roman"/>
          <w:b/>
          <w:sz w:val="20"/>
          <w:szCs w:val="24"/>
        </w:rPr>
      </w:pPr>
      <w:r w:rsidRPr="00322645">
        <w:rPr>
          <w:rFonts w:ascii="Times New Roman" w:hAnsi="Times New Roman" w:cs="Times New Roman"/>
          <w:bCs/>
          <w:sz w:val="20"/>
          <w:szCs w:val="20"/>
        </w:rPr>
        <w:t>[</w:t>
      </w:r>
      <w:proofErr w:type="spellStart"/>
      <w:r w:rsidRPr="00322645">
        <w:rPr>
          <w:rFonts w:ascii="Times New Roman" w:hAnsi="Times New Roman" w:cs="Times New Roman"/>
          <w:bCs/>
          <w:sz w:val="20"/>
          <w:szCs w:val="24"/>
          <w:lang w:val="en-GB"/>
        </w:rPr>
        <w:t>Barisisia</w:t>
      </w:r>
      <w:proofErr w:type="spellEnd"/>
      <w:r w:rsidRPr="00322645">
        <w:rPr>
          <w:rFonts w:ascii="Times New Roman" w:hAnsi="Times New Roman" w:cs="Times New Roman"/>
          <w:bCs/>
          <w:sz w:val="20"/>
          <w:szCs w:val="24"/>
          <w:lang w:val="en-GB"/>
        </w:rPr>
        <w:t xml:space="preserve"> Maxwell </w:t>
      </w:r>
      <w:proofErr w:type="spellStart"/>
      <w:r w:rsidRPr="00322645">
        <w:rPr>
          <w:rFonts w:ascii="Times New Roman" w:hAnsi="Times New Roman" w:cs="Times New Roman"/>
          <w:bCs/>
          <w:sz w:val="20"/>
          <w:szCs w:val="24"/>
          <w:lang w:val="en-GB"/>
        </w:rPr>
        <w:t>Barine</w:t>
      </w:r>
      <w:r>
        <w:rPr>
          <w:rFonts w:ascii="Times New Roman" w:hAnsi="Times New Roman" w:cs="Times New Roman"/>
          <w:bCs/>
          <w:sz w:val="20"/>
          <w:szCs w:val="24"/>
          <w:lang w:val="en-GB"/>
        </w:rPr>
        <w:t>and</w:t>
      </w:r>
      <w:proofErr w:type="spellEnd"/>
      <w:r>
        <w:rPr>
          <w:rFonts w:ascii="Times New Roman" w:hAnsi="Times New Roman" w:cs="Times New Roman"/>
          <w:bCs/>
          <w:sz w:val="20"/>
          <w:szCs w:val="24"/>
          <w:lang w:val="en-GB"/>
        </w:rPr>
        <w:t xml:space="preserve"> </w:t>
      </w:r>
      <w:proofErr w:type="spellStart"/>
      <w:r>
        <w:rPr>
          <w:rFonts w:ascii="Times New Roman" w:hAnsi="Times New Roman" w:cs="Times New Roman"/>
          <w:bCs/>
          <w:sz w:val="20"/>
          <w:szCs w:val="24"/>
          <w:lang w:val="en-GB"/>
        </w:rPr>
        <w:t>Ogbonnaya</w:t>
      </w:r>
      <w:proofErr w:type="spellEnd"/>
      <w:r>
        <w:rPr>
          <w:rFonts w:ascii="Times New Roman" w:hAnsi="Times New Roman" w:cs="Times New Roman"/>
          <w:bCs/>
          <w:sz w:val="20"/>
          <w:szCs w:val="24"/>
          <w:lang w:val="en-GB"/>
        </w:rPr>
        <w:t xml:space="preserve"> </w:t>
      </w:r>
      <w:proofErr w:type="spellStart"/>
      <w:r>
        <w:rPr>
          <w:rFonts w:ascii="Times New Roman" w:hAnsi="Times New Roman" w:cs="Times New Roman"/>
          <w:bCs/>
          <w:sz w:val="20"/>
          <w:szCs w:val="24"/>
          <w:lang w:val="en-GB"/>
        </w:rPr>
        <w:t>Ogb</w:t>
      </w:r>
      <w:proofErr w:type="spellEnd"/>
      <w:r w:rsidRPr="00322645">
        <w:rPr>
          <w:rFonts w:ascii="Times New Roman" w:hAnsi="Times New Roman" w:cs="Times New Roman"/>
          <w:sz w:val="20"/>
          <w:szCs w:val="20"/>
        </w:rPr>
        <w:t>.</w:t>
      </w:r>
      <w:r w:rsidRPr="00322645">
        <w:rPr>
          <w:rFonts w:ascii="Times New Roman" w:hAnsi="Times New Roman" w:cs="Times New Roman" w:hint="eastAsia"/>
          <w:b/>
          <w:bCs/>
          <w:sz w:val="20"/>
          <w:szCs w:val="20"/>
          <w:lang w:bidi="fa-IR"/>
        </w:rPr>
        <w:t xml:space="preserve"> </w:t>
      </w:r>
      <w:r w:rsidRPr="00322645">
        <w:rPr>
          <w:rFonts w:ascii="Times New Roman" w:hAnsi="Times New Roman" w:cs="Times New Roman"/>
          <w:b/>
          <w:sz w:val="20"/>
          <w:szCs w:val="24"/>
        </w:rPr>
        <w:t xml:space="preserve">Immunological And </w:t>
      </w:r>
      <w:proofErr w:type="spellStart"/>
      <w:r w:rsidRPr="00322645">
        <w:rPr>
          <w:rFonts w:ascii="Times New Roman" w:hAnsi="Times New Roman" w:cs="Times New Roman"/>
          <w:b/>
          <w:sz w:val="20"/>
          <w:szCs w:val="24"/>
        </w:rPr>
        <w:t>Haematological</w:t>
      </w:r>
      <w:proofErr w:type="spellEnd"/>
      <w:r w:rsidRPr="00322645">
        <w:rPr>
          <w:rFonts w:ascii="Times New Roman" w:hAnsi="Times New Roman" w:cs="Times New Roman"/>
          <w:b/>
          <w:sz w:val="20"/>
          <w:szCs w:val="24"/>
        </w:rPr>
        <w:t xml:space="preserve"> Responses In Children Who Received Measles Vaccine In Port Harcourt, Rivers State, Nigeria</w:t>
      </w:r>
      <w:r w:rsidR="007B21E5">
        <w:rPr>
          <w:rFonts w:ascii="Times New Roman" w:hAnsi="Times New Roman" w:cs="Times New Roman" w:hint="eastAsia"/>
          <w:b/>
          <w:sz w:val="20"/>
          <w:szCs w:val="24"/>
          <w:lang w:eastAsia="zh-CN"/>
        </w:rPr>
        <w:t>.</w:t>
      </w:r>
      <w:r w:rsidRPr="00322645">
        <w:rPr>
          <w:rFonts w:ascii="Times New Roman" w:hAnsi="Times New Roman" w:cs="Times New Roman"/>
          <w:bCs/>
          <w:i/>
          <w:sz w:val="20"/>
          <w:szCs w:val="20"/>
        </w:rPr>
        <w:t xml:space="preserve"> N Y </w:t>
      </w:r>
      <w:proofErr w:type="spellStart"/>
      <w:r w:rsidRPr="00322645">
        <w:rPr>
          <w:rFonts w:ascii="Times New Roman" w:hAnsi="Times New Roman" w:cs="Times New Roman"/>
          <w:bCs/>
          <w:i/>
          <w:sz w:val="20"/>
          <w:szCs w:val="20"/>
        </w:rPr>
        <w:t>Sci</w:t>
      </w:r>
      <w:proofErr w:type="spellEnd"/>
      <w:r w:rsidRPr="00322645">
        <w:rPr>
          <w:rFonts w:ascii="Times New Roman" w:hAnsi="Times New Roman" w:cs="Times New Roman"/>
          <w:bCs/>
          <w:i/>
          <w:sz w:val="20"/>
          <w:szCs w:val="20"/>
        </w:rPr>
        <w:t xml:space="preserve"> J</w:t>
      </w:r>
      <w:r w:rsidRPr="00322645">
        <w:rPr>
          <w:rFonts w:ascii="Times New Roman" w:hAnsi="Times New Roman" w:cs="Times New Roman"/>
          <w:bCs/>
          <w:sz w:val="20"/>
          <w:szCs w:val="20"/>
        </w:rPr>
        <w:t xml:space="preserve"> </w:t>
      </w:r>
      <w:r w:rsidRPr="00322645">
        <w:rPr>
          <w:rFonts w:ascii="Times New Roman" w:hAnsi="Times New Roman" w:cs="Times New Roman"/>
          <w:sz w:val="20"/>
          <w:szCs w:val="20"/>
        </w:rPr>
        <w:t>201</w:t>
      </w:r>
      <w:r w:rsidRPr="00322645">
        <w:rPr>
          <w:rFonts w:ascii="Times New Roman" w:hAnsi="Times New Roman" w:cs="Times New Roman" w:hint="eastAsia"/>
          <w:sz w:val="20"/>
          <w:szCs w:val="20"/>
        </w:rPr>
        <w:t>9</w:t>
      </w:r>
      <w:r w:rsidRPr="00322645">
        <w:rPr>
          <w:rFonts w:ascii="Times New Roman" w:hAnsi="Times New Roman" w:cs="Times New Roman"/>
          <w:sz w:val="20"/>
          <w:szCs w:val="20"/>
        </w:rPr>
        <w:t>;</w:t>
      </w:r>
      <w:r w:rsidRPr="00322645">
        <w:rPr>
          <w:rFonts w:ascii="Times New Roman" w:hAnsi="Times New Roman" w:cs="Times New Roman" w:hint="eastAsia"/>
          <w:sz w:val="20"/>
          <w:szCs w:val="20"/>
        </w:rPr>
        <w:t>12</w:t>
      </w:r>
      <w:r w:rsidRPr="00322645">
        <w:rPr>
          <w:rFonts w:ascii="Times New Roman" w:hAnsi="Times New Roman" w:cs="Times New Roman"/>
          <w:sz w:val="20"/>
          <w:szCs w:val="20"/>
        </w:rPr>
        <w:t>(</w:t>
      </w:r>
      <w:r w:rsidRPr="00322645">
        <w:rPr>
          <w:rFonts w:ascii="Times New Roman" w:hAnsi="Times New Roman" w:cs="Times New Roman" w:hint="eastAsia"/>
          <w:sz w:val="20"/>
          <w:szCs w:val="20"/>
        </w:rPr>
        <w:t>3</w:t>
      </w:r>
      <w:r w:rsidRPr="00322645">
        <w:rPr>
          <w:rFonts w:ascii="Times New Roman" w:hAnsi="Times New Roman" w:cs="Times New Roman"/>
          <w:sz w:val="20"/>
          <w:szCs w:val="20"/>
        </w:rPr>
        <w:t>):</w:t>
      </w:r>
      <w:r w:rsidR="008975F4">
        <w:rPr>
          <w:rFonts w:ascii="Times New Roman" w:hAnsi="Times New Roman" w:cs="Times New Roman"/>
          <w:noProof/>
          <w:color w:val="000000"/>
          <w:sz w:val="20"/>
          <w:szCs w:val="20"/>
        </w:rPr>
        <w:t>36-44</w:t>
      </w:r>
      <w:r w:rsidRPr="00322645">
        <w:rPr>
          <w:rFonts w:ascii="Times New Roman" w:hAnsi="Times New Roman" w:cs="Times New Roman"/>
          <w:sz w:val="20"/>
          <w:szCs w:val="20"/>
        </w:rPr>
        <w:t xml:space="preserve">]. </w:t>
      </w:r>
      <w:r w:rsidRPr="00322645">
        <w:rPr>
          <w:rFonts w:ascii="Times New Roman" w:hAnsi="Times New Roman" w:cs="Times New Roman"/>
          <w:iCs/>
          <w:color w:val="000000"/>
          <w:sz w:val="20"/>
          <w:szCs w:val="20"/>
        </w:rPr>
        <w:t>ISSN 1554-0200 (print); ISSN 2375-723X (online)</w:t>
      </w:r>
      <w:r w:rsidRPr="00322645">
        <w:rPr>
          <w:rFonts w:ascii="Times New Roman" w:hAnsi="Times New Roman" w:cs="Times New Roman"/>
          <w:sz w:val="20"/>
          <w:szCs w:val="20"/>
        </w:rPr>
        <w:t xml:space="preserve">. </w:t>
      </w:r>
      <w:hyperlink r:id="rId8" w:history="1">
        <w:r w:rsidRPr="00322645">
          <w:rPr>
            <w:rStyle w:val="Hyperlink"/>
            <w:rFonts w:ascii="Times New Roman" w:hAnsi="Times New Roman" w:cs="Times New Roman"/>
            <w:sz w:val="20"/>
            <w:szCs w:val="20"/>
          </w:rPr>
          <w:t>http://www.sciencepub.net/newyork</w:t>
        </w:r>
      </w:hyperlink>
      <w:r w:rsidRPr="00322645">
        <w:rPr>
          <w:rFonts w:ascii="Times New Roman" w:hAnsi="Times New Roman" w:cs="Times New Roman"/>
          <w:sz w:val="20"/>
          <w:szCs w:val="20"/>
        </w:rPr>
        <w:t xml:space="preserve">. </w:t>
      </w:r>
      <w:r w:rsidR="00171788">
        <w:rPr>
          <w:rFonts w:ascii="Times New Roman" w:hAnsi="Times New Roman" w:cs="Times New Roman" w:hint="eastAsia"/>
          <w:sz w:val="20"/>
          <w:szCs w:val="20"/>
          <w:lang w:eastAsia="zh-CN"/>
        </w:rPr>
        <w:t>6</w:t>
      </w:r>
      <w:r w:rsidRPr="00322645">
        <w:rPr>
          <w:rFonts w:ascii="Times New Roman" w:hAnsi="Times New Roman" w:cs="Times New Roman" w:hint="eastAsia"/>
          <w:sz w:val="20"/>
          <w:szCs w:val="20"/>
        </w:rPr>
        <w:t xml:space="preserve">. </w:t>
      </w:r>
      <w:r w:rsidRPr="00322645">
        <w:rPr>
          <w:rFonts w:ascii="Times New Roman" w:hAnsi="Times New Roman" w:cs="Times New Roman"/>
          <w:color w:val="000000"/>
          <w:sz w:val="20"/>
          <w:szCs w:val="20"/>
          <w:shd w:val="clear" w:color="auto" w:fill="FFFFFF"/>
        </w:rPr>
        <w:t>doi:</w:t>
      </w:r>
      <w:hyperlink r:id="rId9" w:history="1">
        <w:r w:rsidRPr="00322645">
          <w:rPr>
            <w:rStyle w:val="Hyperlink"/>
            <w:rFonts w:ascii="Times New Roman" w:hAnsi="Times New Roman" w:cs="Times New Roman"/>
            <w:sz w:val="20"/>
            <w:szCs w:val="20"/>
            <w:shd w:val="clear" w:color="auto" w:fill="FFFFFF"/>
          </w:rPr>
          <w:t>10.7537/mars</w:t>
        </w:r>
        <w:r w:rsidRPr="00322645">
          <w:rPr>
            <w:rStyle w:val="Hyperlink"/>
            <w:rFonts w:ascii="Times New Roman" w:hAnsi="Times New Roman" w:cs="Times New Roman" w:hint="eastAsia"/>
            <w:sz w:val="20"/>
            <w:szCs w:val="20"/>
            <w:shd w:val="clear" w:color="auto" w:fill="FFFFFF"/>
          </w:rPr>
          <w:t>nys120319.</w:t>
        </w:r>
        <w:r w:rsidRPr="00322645">
          <w:rPr>
            <w:rStyle w:val="Hyperlink"/>
            <w:rFonts w:ascii="Times New Roman" w:hAnsi="Times New Roman" w:cs="Times New Roman"/>
            <w:sz w:val="20"/>
            <w:szCs w:val="20"/>
            <w:shd w:val="clear" w:color="auto" w:fill="FFFFFF"/>
          </w:rPr>
          <w:t>0</w:t>
        </w:r>
        <w:r w:rsidR="00171788">
          <w:rPr>
            <w:rStyle w:val="Hyperlink"/>
            <w:rFonts w:ascii="Times New Roman" w:hAnsi="Times New Roman" w:cs="Times New Roman" w:hint="eastAsia"/>
            <w:sz w:val="20"/>
            <w:szCs w:val="20"/>
            <w:shd w:val="clear" w:color="auto" w:fill="FFFFFF"/>
            <w:lang w:eastAsia="zh-CN"/>
          </w:rPr>
          <w:t>6</w:t>
        </w:r>
      </w:hyperlink>
      <w:r w:rsidRPr="00322645">
        <w:rPr>
          <w:rFonts w:ascii="Times New Roman" w:hAnsi="Times New Roman" w:cs="Times New Roman"/>
          <w:color w:val="000000"/>
          <w:sz w:val="20"/>
          <w:szCs w:val="20"/>
          <w:shd w:val="clear" w:color="auto" w:fill="FFFFFF"/>
        </w:rPr>
        <w:t>.</w:t>
      </w:r>
    </w:p>
    <w:p w:rsidR="00B449A4" w:rsidRPr="009F52A6" w:rsidRDefault="00B449A4" w:rsidP="00322645">
      <w:pPr>
        <w:snapToGrid w:val="0"/>
        <w:spacing w:after="0" w:line="240" w:lineRule="auto"/>
        <w:contextualSpacing/>
        <w:jc w:val="both"/>
        <w:rPr>
          <w:rFonts w:ascii="Times New Roman" w:hAnsi="Times New Roman" w:cs="Times New Roman"/>
          <w:b/>
          <w:sz w:val="20"/>
          <w:szCs w:val="24"/>
        </w:rPr>
      </w:pPr>
    </w:p>
    <w:p w:rsidR="00FE602D" w:rsidRPr="009F52A6" w:rsidRDefault="00FE602D" w:rsidP="00322645">
      <w:pPr>
        <w:snapToGrid w:val="0"/>
        <w:spacing w:after="0" w:line="240" w:lineRule="auto"/>
        <w:jc w:val="both"/>
        <w:rPr>
          <w:rFonts w:ascii="Times New Roman" w:hAnsi="Times New Roman" w:cs="Times New Roman"/>
          <w:b/>
          <w:sz w:val="20"/>
          <w:szCs w:val="24"/>
        </w:rPr>
      </w:pPr>
      <w:r w:rsidRPr="009F52A6">
        <w:rPr>
          <w:rFonts w:ascii="Times New Roman" w:hAnsi="Times New Roman" w:cs="Times New Roman"/>
          <w:b/>
          <w:sz w:val="20"/>
          <w:szCs w:val="24"/>
        </w:rPr>
        <w:t xml:space="preserve">Keywords: </w:t>
      </w:r>
      <w:r w:rsidRPr="009F52A6">
        <w:rPr>
          <w:rFonts w:ascii="Times New Roman" w:hAnsi="Times New Roman" w:cs="Times New Roman"/>
          <w:sz w:val="20"/>
          <w:szCs w:val="24"/>
        </w:rPr>
        <w:t xml:space="preserve">Prevalence, Measles, Immunological, </w:t>
      </w:r>
      <w:proofErr w:type="spellStart"/>
      <w:r w:rsidRPr="009F52A6">
        <w:rPr>
          <w:rFonts w:ascii="Times New Roman" w:hAnsi="Times New Roman" w:cs="Times New Roman"/>
          <w:sz w:val="20"/>
          <w:szCs w:val="24"/>
        </w:rPr>
        <w:t>Heamatological</w:t>
      </w:r>
      <w:proofErr w:type="spellEnd"/>
      <w:r w:rsidRPr="009F52A6">
        <w:rPr>
          <w:rFonts w:ascii="Times New Roman" w:hAnsi="Times New Roman" w:cs="Times New Roman"/>
          <w:i/>
          <w:sz w:val="20"/>
          <w:szCs w:val="24"/>
        </w:rPr>
        <w:t>,</w:t>
      </w:r>
      <w:r w:rsidRPr="009F52A6">
        <w:rPr>
          <w:rFonts w:ascii="Times New Roman" w:hAnsi="Times New Roman" w:cs="Times New Roman"/>
          <w:sz w:val="20"/>
          <w:szCs w:val="24"/>
        </w:rPr>
        <w:t xml:space="preserve"> Vaccination</w:t>
      </w:r>
    </w:p>
    <w:p w:rsidR="00171788" w:rsidRDefault="009F52A6" w:rsidP="00322645">
      <w:pPr>
        <w:snapToGrid w:val="0"/>
        <w:spacing w:after="0" w:line="240" w:lineRule="auto"/>
        <w:contextualSpacing/>
        <w:jc w:val="both"/>
        <w:rPr>
          <w:rFonts w:ascii="Times New Roman" w:hAnsi="Times New Roman" w:cs="Times New Roman"/>
          <w:b/>
          <w:i/>
          <w:sz w:val="20"/>
          <w:szCs w:val="24"/>
          <w:lang w:eastAsia="zh-CN"/>
        </w:rPr>
        <w:sectPr w:rsidR="00171788" w:rsidSect="008975F4">
          <w:headerReference w:type="default" r:id="rId10"/>
          <w:footerReference w:type="default" r:id="rId11"/>
          <w:type w:val="continuous"/>
          <w:pgSz w:w="12240" w:h="15840" w:code="1"/>
          <w:pgMar w:top="1440" w:right="1440" w:bottom="1440" w:left="1440" w:header="720" w:footer="720" w:gutter="0"/>
          <w:pgNumType w:start="36"/>
          <w:cols w:space="720"/>
          <w:docGrid w:linePitch="360"/>
        </w:sectPr>
      </w:pPr>
      <w:r>
        <w:rPr>
          <w:rFonts w:ascii="Times New Roman" w:hAnsi="Times New Roman" w:cs="Times New Roman" w:hint="eastAsia"/>
          <w:b/>
          <w:i/>
          <w:sz w:val="20"/>
          <w:szCs w:val="24"/>
          <w:lang w:eastAsia="zh-CN"/>
        </w:rPr>
        <w:cr/>
      </w:r>
    </w:p>
    <w:p w:rsidR="00FE602D" w:rsidRPr="009F52A6" w:rsidRDefault="00FE602D" w:rsidP="00322645">
      <w:pPr>
        <w:snapToGrid w:val="0"/>
        <w:spacing w:after="0" w:line="240" w:lineRule="auto"/>
        <w:contextualSpacing/>
        <w:jc w:val="both"/>
        <w:rPr>
          <w:rFonts w:ascii="Times New Roman" w:hAnsi="Times New Roman" w:cs="Times New Roman"/>
          <w:b/>
          <w:sz w:val="20"/>
          <w:szCs w:val="24"/>
        </w:rPr>
      </w:pPr>
      <w:r w:rsidRPr="009F52A6">
        <w:rPr>
          <w:rFonts w:ascii="Times New Roman" w:hAnsi="Times New Roman" w:cs="Times New Roman"/>
          <w:b/>
          <w:sz w:val="20"/>
          <w:szCs w:val="24"/>
        </w:rPr>
        <w:lastRenderedPageBreak/>
        <w:t>1. Introduction</w:t>
      </w:r>
    </w:p>
    <w:p w:rsidR="00FE602D" w:rsidRPr="009F52A6" w:rsidRDefault="00FE602D" w:rsidP="00322645">
      <w:pPr>
        <w:pStyle w:val="Default"/>
        <w:snapToGrid w:val="0"/>
        <w:ind w:firstLine="425"/>
        <w:contextualSpacing/>
        <w:jc w:val="both"/>
        <w:rPr>
          <w:rFonts w:ascii="Times New Roman" w:hAnsi="Times New Roman" w:cs="Times New Roman"/>
          <w:color w:val="auto"/>
          <w:sz w:val="20"/>
        </w:rPr>
      </w:pPr>
      <w:r w:rsidRPr="009F52A6">
        <w:rPr>
          <w:rFonts w:ascii="Times New Roman" w:hAnsi="Times New Roman" w:cs="Times New Roman"/>
          <w:color w:val="auto"/>
          <w:sz w:val="20"/>
        </w:rPr>
        <w:t xml:space="preserve">Measles disease is an acute illness that is highly contagious with measles virus as its </w:t>
      </w:r>
      <w:proofErr w:type="spellStart"/>
      <w:r w:rsidRPr="009F52A6">
        <w:rPr>
          <w:rFonts w:ascii="Times New Roman" w:hAnsi="Times New Roman" w:cs="Times New Roman"/>
          <w:color w:val="auto"/>
          <w:sz w:val="20"/>
        </w:rPr>
        <w:t>aetiologic</w:t>
      </w:r>
      <w:proofErr w:type="spellEnd"/>
      <w:r w:rsidRPr="009F52A6">
        <w:rPr>
          <w:rFonts w:ascii="Times New Roman" w:hAnsi="Times New Roman" w:cs="Times New Roman"/>
          <w:color w:val="auto"/>
          <w:sz w:val="20"/>
        </w:rPr>
        <w:t xml:space="preserve"> agent (</w:t>
      </w:r>
      <w:proofErr w:type="spellStart"/>
      <w:r w:rsidRPr="009F52A6">
        <w:rPr>
          <w:rFonts w:ascii="Times New Roman" w:hAnsi="Times New Roman" w:cs="Times New Roman"/>
          <w:color w:val="auto"/>
          <w:sz w:val="20"/>
        </w:rPr>
        <w:t>Onoja</w:t>
      </w:r>
      <w:proofErr w:type="spellEnd"/>
      <w:r w:rsidRPr="009F52A6">
        <w:rPr>
          <w:rFonts w:ascii="Times New Roman" w:hAnsi="Times New Roman" w:cs="Times New Roman"/>
          <w:color w:val="auto"/>
          <w:sz w:val="20"/>
        </w:rPr>
        <w:t xml:space="preserve"> </w:t>
      </w:r>
      <w:r w:rsidRPr="009F52A6">
        <w:rPr>
          <w:rFonts w:ascii="Times New Roman" w:hAnsi="Times New Roman" w:cs="Times New Roman"/>
          <w:i/>
          <w:color w:val="auto"/>
          <w:sz w:val="20"/>
        </w:rPr>
        <w:t xml:space="preserve">et al., </w:t>
      </w:r>
      <w:r w:rsidRPr="009F52A6">
        <w:rPr>
          <w:rFonts w:ascii="Times New Roman" w:hAnsi="Times New Roman" w:cs="Times New Roman"/>
          <w:color w:val="auto"/>
          <w:sz w:val="20"/>
        </w:rPr>
        <w:t xml:space="preserve">2013). Measles virus belongs to the </w:t>
      </w:r>
      <w:proofErr w:type="spellStart"/>
      <w:r w:rsidRPr="009F52A6">
        <w:rPr>
          <w:rFonts w:ascii="Times New Roman" w:hAnsi="Times New Roman" w:cs="Times New Roman"/>
          <w:color w:val="auto"/>
          <w:sz w:val="20"/>
        </w:rPr>
        <w:t>paramyxoviridae</w:t>
      </w:r>
      <w:proofErr w:type="spellEnd"/>
      <w:r w:rsidRPr="009F52A6">
        <w:rPr>
          <w:rFonts w:ascii="Times New Roman" w:hAnsi="Times New Roman" w:cs="Times New Roman"/>
          <w:color w:val="auto"/>
          <w:sz w:val="20"/>
        </w:rPr>
        <w:t xml:space="preserve"> family and housed in the genus </w:t>
      </w:r>
      <w:proofErr w:type="spellStart"/>
      <w:r w:rsidRPr="009F52A6">
        <w:rPr>
          <w:rFonts w:ascii="Times New Roman" w:hAnsi="Times New Roman" w:cs="Times New Roman"/>
          <w:i/>
          <w:iCs/>
          <w:color w:val="auto"/>
          <w:sz w:val="20"/>
        </w:rPr>
        <w:t>Morbillivirus</w:t>
      </w:r>
      <w:proofErr w:type="spellEnd"/>
      <w:r w:rsidRPr="009F52A6">
        <w:rPr>
          <w:rFonts w:ascii="Times New Roman" w:hAnsi="Times New Roman" w:cs="Times New Roman"/>
          <w:color w:val="auto"/>
          <w:sz w:val="20"/>
        </w:rPr>
        <w:t xml:space="preserve">. The feature of measles disease is a </w:t>
      </w:r>
      <w:proofErr w:type="spellStart"/>
      <w:r w:rsidRPr="009F52A6">
        <w:rPr>
          <w:rFonts w:ascii="Times New Roman" w:hAnsi="Times New Roman" w:cs="Times New Roman"/>
          <w:color w:val="auto"/>
          <w:sz w:val="20"/>
        </w:rPr>
        <w:t>prodromal</w:t>
      </w:r>
      <w:proofErr w:type="spellEnd"/>
      <w:r w:rsidRPr="009F52A6">
        <w:rPr>
          <w:rFonts w:ascii="Times New Roman" w:hAnsi="Times New Roman" w:cs="Times New Roman"/>
          <w:color w:val="auto"/>
          <w:sz w:val="20"/>
        </w:rPr>
        <w:t xml:space="preserve"> symptom that includes high fever and malaise, </w:t>
      </w:r>
      <w:proofErr w:type="spellStart"/>
      <w:r w:rsidRPr="009F52A6">
        <w:rPr>
          <w:rFonts w:ascii="Times New Roman" w:hAnsi="Times New Roman" w:cs="Times New Roman"/>
          <w:color w:val="auto"/>
          <w:sz w:val="20"/>
        </w:rPr>
        <w:t>coryza</w:t>
      </w:r>
      <w:proofErr w:type="spellEnd"/>
      <w:r w:rsidRPr="009F52A6">
        <w:rPr>
          <w:rFonts w:ascii="Times New Roman" w:hAnsi="Times New Roman" w:cs="Times New Roman"/>
          <w:color w:val="auto"/>
          <w:sz w:val="20"/>
        </w:rPr>
        <w:t xml:space="preserve">, cough, sneeze, and conjunctivitis, followed by a </w:t>
      </w:r>
      <w:proofErr w:type="spellStart"/>
      <w:r w:rsidRPr="009F52A6">
        <w:rPr>
          <w:rFonts w:ascii="Times New Roman" w:hAnsi="Times New Roman" w:cs="Times New Roman"/>
          <w:color w:val="auto"/>
          <w:sz w:val="20"/>
        </w:rPr>
        <w:t>maculopapular</w:t>
      </w:r>
      <w:proofErr w:type="spellEnd"/>
      <w:r w:rsidRPr="009F52A6">
        <w:rPr>
          <w:rFonts w:ascii="Times New Roman" w:hAnsi="Times New Roman" w:cs="Times New Roman"/>
          <w:color w:val="auto"/>
          <w:sz w:val="20"/>
        </w:rPr>
        <w:t xml:space="preserve"> rash (</w:t>
      </w:r>
      <w:proofErr w:type="spellStart"/>
      <w:r w:rsidRPr="009F52A6">
        <w:rPr>
          <w:rFonts w:ascii="Times New Roman" w:hAnsi="Times New Roman" w:cs="Times New Roman"/>
          <w:iCs/>
          <w:color w:val="auto"/>
          <w:sz w:val="20"/>
        </w:rPr>
        <w:t>Preeta</w:t>
      </w:r>
      <w:proofErr w:type="spellEnd"/>
      <w:r w:rsidRPr="009F52A6">
        <w:rPr>
          <w:rFonts w:ascii="Times New Roman" w:hAnsi="Times New Roman" w:cs="Times New Roman"/>
          <w:iCs/>
          <w:color w:val="auto"/>
          <w:sz w:val="20"/>
        </w:rPr>
        <w:t xml:space="preserve"> </w:t>
      </w:r>
      <w:r w:rsidRPr="009F52A6">
        <w:rPr>
          <w:rFonts w:ascii="Times New Roman" w:hAnsi="Times New Roman" w:cs="Times New Roman"/>
          <w:i/>
          <w:iCs/>
          <w:color w:val="auto"/>
          <w:sz w:val="20"/>
        </w:rPr>
        <w:t>et al.,</w:t>
      </w:r>
      <w:r w:rsidRPr="009F52A6">
        <w:rPr>
          <w:rFonts w:ascii="Times New Roman" w:hAnsi="Times New Roman" w:cs="Times New Roman"/>
          <w:color w:val="auto"/>
          <w:sz w:val="20"/>
        </w:rPr>
        <w:t xml:space="preserve"> 2013). Measles is known to be one of the main diseases that affect children and pose serious child health issues in Africa, south-east Asia, Latin America, eastern Mediterranean, and Europe (WHO, 2011). Prior to the advent of vaccine in the early 1960s, measles had been a global epidemic affecting over 130 million children every year (</w:t>
      </w:r>
      <w:proofErr w:type="spellStart"/>
      <w:r w:rsidRPr="009F52A6">
        <w:rPr>
          <w:rFonts w:ascii="Times New Roman" w:hAnsi="Times New Roman" w:cs="Times New Roman"/>
          <w:color w:val="auto"/>
          <w:sz w:val="20"/>
        </w:rPr>
        <w:t>Davidkin</w:t>
      </w:r>
      <w:proofErr w:type="spellEnd"/>
      <w:r w:rsidRPr="009F52A6">
        <w:rPr>
          <w:rFonts w:ascii="Times New Roman" w:hAnsi="Times New Roman" w:cs="Times New Roman"/>
          <w:color w:val="auto"/>
          <w:sz w:val="20"/>
        </w:rPr>
        <w:t xml:space="preserve"> </w:t>
      </w:r>
      <w:r w:rsidRPr="009F52A6">
        <w:rPr>
          <w:rFonts w:ascii="Times New Roman" w:hAnsi="Times New Roman" w:cs="Times New Roman"/>
          <w:i/>
          <w:color w:val="auto"/>
          <w:sz w:val="20"/>
        </w:rPr>
        <w:t xml:space="preserve">et al., </w:t>
      </w:r>
      <w:r w:rsidRPr="009F52A6">
        <w:rPr>
          <w:rFonts w:ascii="Times New Roman" w:hAnsi="Times New Roman" w:cs="Times New Roman"/>
          <w:color w:val="auto"/>
          <w:sz w:val="20"/>
        </w:rPr>
        <w:t xml:space="preserve">2008). The disease was as well known to be leading blindness, deafness, brain damage and death globally among children below five years of age (Isa </w:t>
      </w:r>
      <w:r w:rsidRPr="009F52A6">
        <w:rPr>
          <w:rFonts w:ascii="Times New Roman" w:hAnsi="Times New Roman" w:cs="Times New Roman"/>
          <w:i/>
          <w:color w:val="auto"/>
          <w:sz w:val="20"/>
        </w:rPr>
        <w:t xml:space="preserve">et al., </w:t>
      </w:r>
      <w:r w:rsidRPr="009F52A6">
        <w:rPr>
          <w:rFonts w:ascii="Times New Roman" w:hAnsi="Times New Roman" w:cs="Times New Roman"/>
          <w:color w:val="auto"/>
          <w:sz w:val="20"/>
        </w:rPr>
        <w:t xml:space="preserve">2002). With the introduction of effective vaccines, the number global cases of measles </w:t>
      </w:r>
      <w:r w:rsidRPr="009F52A6">
        <w:rPr>
          <w:rFonts w:ascii="Times New Roman" w:hAnsi="Times New Roman" w:cs="Times New Roman"/>
          <w:color w:val="auto"/>
          <w:sz w:val="20"/>
        </w:rPr>
        <w:lastRenderedPageBreak/>
        <w:t>disease have reduced drastically, with a 78% reduction in measles cases between 2000 and 2012 (</w:t>
      </w:r>
      <w:proofErr w:type="spellStart"/>
      <w:r w:rsidRPr="009F52A6">
        <w:rPr>
          <w:rFonts w:ascii="Times New Roman" w:hAnsi="Times New Roman" w:cs="Times New Roman"/>
          <w:color w:val="auto"/>
          <w:sz w:val="20"/>
        </w:rPr>
        <w:t>Pomerai</w:t>
      </w:r>
      <w:proofErr w:type="spellEnd"/>
      <w:r w:rsidRPr="009F52A6">
        <w:rPr>
          <w:rFonts w:ascii="Times New Roman" w:hAnsi="Times New Roman" w:cs="Times New Roman"/>
          <w:color w:val="auto"/>
          <w:sz w:val="20"/>
        </w:rPr>
        <w:t xml:space="preserve"> </w:t>
      </w:r>
      <w:r w:rsidRPr="009F52A6">
        <w:rPr>
          <w:rFonts w:ascii="Times New Roman" w:hAnsi="Times New Roman" w:cs="Times New Roman"/>
          <w:i/>
          <w:color w:val="auto"/>
          <w:sz w:val="20"/>
        </w:rPr>
        <w:t xml:space="preserve">et al., </w:t>
      </w:r>
      <w:r w:rsidRPr="009F52A6">
        <w:rPr>
          <w:rFonts w:ascii="Times New Roman" w:hAnsi="Times New Roman" w:cs="Times New Roman"/>
          <w:color w:val="auto"/>
          <w:sz w:val="20"/>
        </w:rPr>
        <w:t xml:space="preserve">2012). In spite of successes recorded, there were about 122,000 estimated deaths resulting from measles disease in 2012 alone, with the major part of this mortality recorded from developing countries, primarily Africa and Southeast Asia (Mohammed </w:t>
      </w:r>
      <w:r w:rsidRPr="009F52A6">
        <w:rPr>
          <w:rFonts w:ascii="Times New Roman" w:hAnsi="Times New Roman" w:cs="Times New Roman"/>
          <w:i/>
          <w:color w:val="auto"/>
          <w:sz w:val="20"/>
        </w:rPr>
        <w:t xml:space="preserve">et al., </w:t>
      </w:r>
      <w:r w:rsidRPr="009F52A6">
        <w:rPr>
          <w:rFonts w:ascii="Times New Roman" w:hAnsi="Times New Roman" w:cs="Times New Roman"/>
          <w:color w:val="auto"/>
          <w:sz w:val="20"/>
        </w:rPr>
        <w:t xml:space="preserve">2010). In these countries, the disease is one of the principal causes of vaccine-preventable morbidity and mortality among children. There were also about 370,500 estimated deaths attributed to measles in 2011, with about 87% of mortality occurring in African and southeastern regions (Mohammed </w:t>
      </w:r>
      <w:r w:rsidRPr="009F52A6">
        <w:rPr>
          <w:rFonts w:ascii="Times New Roman" w:hAnsi="Times New Roman" w:cs="Times New Roman"/>
          <w:i/>
          <w:color w:val="auto"/>
          <w:sz w:val="20"/>
        </w:rPr>
        <w:t xml:space="preserve">et al., </w:t>
      </w:r>
      <w:r w:rsidRPr="009F52A6">
        <w:rPr>
          <w:rFonts w:ascii="Times New Roman" w:hAnsi="Times New Roman" w:cs="Times New Roman"/>
          <w:color w:val="auto"/>
          <w:sz w:val="20"/>
        </w:rPr>
        <w:t xml:space="preserve">2010). There have been several reports in the northern and southern parts of Nigeria on the occurrence and incidence of measles disease, particularly when outbreaks occur. However, there is little or no report on the vaccination status of children infected and the degree of severity of their infection in the nation. </w:t>
      </w:r>
    </w:p>
    <w:p w:rsidR="00FE602D" w:rsidRPr="009F52A6" w:rsidRDefault="00FE602D" w:rsidP="00322645">
      <w:pPr>
        <w:pStyle w:val="Default"/>
        <w:snapToGrid w:val="0"/>
        <w:ind w:firstLine="425"/>
        <w:contextualSpacing/>
        <w:jc w:val="both"/>
        <w:rPr>
          <w:rFonts w:ascii="Times New Roman" w:hAnsi="Times New Roman" w:cs="Times New Roman"/>
          <w:color w:val="auto"/>
          <w:sz w:val="20"/>
        </w:rPr>
      </w:pPr>
      <w:r w:rsidRPr="009F52A6">
        <w:rPr>
          <w:rFonts w:ascii="Times New Roman" w:hAnsi="Times New Roman" w:cs="Times New Roman"/>
          <w:color w:val="auto"/>
          <w:sz w:val="20"/>
        </w:rPr>
        <w:lastRenderedPageBreak/>
        <w:t>Across the continent of Africa, about thirteen million cases and 650,000 deaths occur yearly, with sub-Saharan Africa at the peak of morbidity and mortality (Muller et al., 1999). Nigeria is the most</w:t>
      </w:r>
      <w:r w:rsidR="009F52A6" w:rsidRPr="009F52A6">
        <w:rPr>
          <w:rFonts w:ascii="Times New Roman" w:hAnsi="Times New Roman" w:cs="Times New Roman"/>
          <w:color w:val="auto"/>
          <w:sz w:val="20"/>
        </w:rPr>
        <w:t xml:space="preserve"> </w:t>
      </w:r>
      <w:r w:rsidRPr="009F52A6">
        <w:rPr>
          <w:rFonts w:ascii="Times New Roman" w:hAnsi="Times New Roman" w:cs="Times New Roman"/>
          <w:color w:val="auto"/>
          <w:sz w:val="20"/>
        </w:rPr>
        <w:t xml:space="preserve">populated nation in Africa with more than 140 million people (Nigerian Medicines Sans </w:t>
      </w:r>
      <w:proofErr w:type="spellStart"/>
      <w:r w:rsidRPr="009F52A6">
        <w:rPr>
          <w:rFonts w:ascii="Times New Roman" w:hAnsi="Times New Roman" w:cs="Times New Roman"/>
          <w:color w:val="auto"/>
          <w:sz w:val="20"/>
        </w:rPr>
        <w:t>Frontieres</w:t>
      </w:r>
      <w:proofErr w:type="spellEnd"/>
      <w:r w:rsidRPr="009F52A6">
        <w:rPr>
          <w:rFonts w:ascii="Times New Roman" w:hAnsi="Times New Roman" w:cs="Times New Roman"/>
          <w:color w:val="auto"/>
          <w:sz w:val="20"/>
        </w:rPr>
        <w:t xml:space="preserve"> (NMSF), 2006). The Health Protection Agency (HPA) in the United Kingdom has revealed that there were about 496 cases of measles confirmed in the laboratory in Wales and England as at the end of May 2011, which is more than the 374 cases confirmed in 2010 (HPA 2011). In France, over 7500 cases were recorded between January and March of 2011. Cases have been reported from 38 countries across the continent, with outbreaks in Macedonia, Spain, Turkey and Serbia, amid others. Over 10,000 cases were recorded from countries in the Economic region of European within the first 4 months of 2011 making measles disease the fifth ranked cause of death among children below five years of age (WHO, 2006).</w:t>
      </w:r>
      <w:r w:rsidR="009F52A6" w:rsidRPr="009F52A6">
        <w:rPr>
          <w:rFonts w:ascii="Times New Roman" w:hAnsi="Times New Roman" w:cs="Times New Roman"/>
          <w:color w:val="auto"/>
          <w:sz w:val="20"/>
        </w:rPr>
        <w:t xml:space="preserve"> </w:t>
      </w:r>
    </w:p>
    <w:p w:rsidR="00FE602D" w:rsidRPr="009F52A6" w:rsidRDefault="00FE602D" w:rsidP="00322645">
      <w:pPr>
        <w:autoSpaceDE w:val="0"/>
        <w:autoSpaceDN w:val="0"/>
        <w:adjustRightInd w:val="0"/>
        <w:snapToGrid w:val="0"/>
        <w:spacing w:after="0" w:line="240" w:lineRule="auto"/>
        <w:ind w:firstLine="425"/>
        <w:contextualSpacing/>
        <w:jc w:val="both"/>
        <w:rPr>
          <w:rFonts w:ascii="Times New Roman" w:hAnsi="Times New Roman" w:cs="Times New Roman"/>
          <w:sz w:val="20"/>
          <w:szCs w:val="24"/>
        </w:rPr>
      </w:pPr>
      <w:r w:rsidRPr="009F52A6">
        <w:rPr>
          <w:rFonts w:ascii="Times New Roman" w:hAnsi="Times New Roman" w:cs="Times New Roman"/>
          <w:sz w:val="20"/>
          <w:szCs w:val="24"/>
        </w:rPr>
        <w:t xml:space="preserve">Notwithstanding the inclusive United Nations International Children Emergency Fund’s (UNICEF’s) and World Health </w:t>
      </w:r>
      <w:proofErr w:type="spellStart"/>
      <w:r w:rsidRPr="009F52A6">
        <w:rPr>
          <w:rFonts w:ascii="Times New Roman" w:hAnsi="Times New Roman" w:cs="Times New Roman"/>
          <w:sz w:val="20"/>
          <w:szCs w:val="24"/>
        </w:rPr>
        <w:t>Organisation’s</w:t>
      </w:r>
      <w:proofErr w:type="spellEnd"/>
      <w:r w:rsidRPr="009F52A6">
        <w:rPr>
          <w:rFonts w:ascii="Times New Roman" w:hAnsi="Times New Roman" w:cs="Times New Roman"/>
          <w:sz w:val="20"/>
          <w:szCs w:val="24"/>
        </w:rPr>
        <w:t xml:space="preserve"> (</w:t>
      </w:r>
      <w:proofErr w:type="spellStart"/>
      <w:r w:rsidRPr="009F52A6">
        <w:rPr>
          <w:rFonts w:ascii="Times New Roman" w:hAnsi="Times New Roman" w:cs="Times New Roman"/>
          <w:sz w:val="20"/>
          <w:szCs w:val="24"/>
        </w:rPr>
        <w:t>WHO’s</w:t>
      </w:r>
      <w:proofErr w:type="spellEnd"/>
      <w:r w:rsidRPr="009F52A6">
        <w:rPr>
          <w:rFonts w:ascii="Times New Roman" w:hAnsi="Times New Roman" w:cs="Times New Roman"/>
          <w:sz w:val="20"/>
          <w:szCs w:val="24"/>
        </w:rPr>
        <w:t>) measles-reduction approach, and the joint venture of international organizations aiding measles mortality reduction, some countries still experience recurrent outbreaks of measles (</w:t>
      </w:r>
      <w:proofErr w:type="spellStart"/>
      <w:r w:rsidRPr="009F52A6">
        <w:rPr>
          <w:rFonts w:ascii="Times New Roman" w:hAnsi="Times New Roman" w:cs="Times New Roman"/>
          <w:sz w:val="20"/>
          <w:szCs w:val="24"/>
        </w:rPr>
        <w:t>Grais</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et al</w:t>
      </w:r>
      <w:r w:rsidRPr="009F52A6">
        <w:rPr>
          <w:rFonts w:ascii="Times New Roman" w:hAnsi="Times New Roman" w:cs="Times New Roman"/>
          <w:sz w:val="20"/>
          <w:szCs w:val="24"/>
        </w:rPr>
        <w:t xml:space="preserve">., 2007). The required age for the vaccination of infants against measles virus is an important health concern since maternal </w:t>
      </w:r>
      <w:proofErr w:type="spellStart"/>
      <w:r w:rsidR="008D4EEA" w:rsidRPr="009F52A6">
        <w:rPr>
          <w:rFonts w:ascii="Times New Roman" w:hAnsi="Times New Roman" w:cs="Times New Roman"/>
          <w:sz w:val="20"/>
          <w:szCs w:val="24"/>
        </w:rPr>
        <w:t>immunoglobulins</w:t>
      </w:r>
      <w:proofErr w:type="spellEnd"/>
      <w:r w:rsidRPr="009F52A6">
        <w:rPr>
          <w:rFonts w:ascii="Times New Roman" w:hAnsi="Times New Roman" w:cs="Times New Roman"/>
          <w:sz w:val="20"/>
          <w:szCs w:val="24"/>
        </w:rPr>
        <w:t xml:space="preserve"> may reduce the effect of vaccine antigen before a specific </w:t>
      </w:r>
      <w:r w:rsidR="008D4EEA" w:rsidRPr="009F52A6">
        <w:rPr>
          <w:rFonts w:ascii="Times New Roman" w:hAnsi="Times New Roman" w:cs="Times New Roman"/>
          <w:sz w:val="20"/>
          <w:szCs w:val="24"/>
        </w:rPr>
        <w:t>immunity</w:t>
      </w:r>
      <w:r w:rsidRPr="009F52A6">
        <w:rPr>
          <w:rFonts w:ascii="Times New Roman" w:hAnsi="Times New Roman" w:cs="Times New Roman"/>
          <w:sz w:val="20"/>
          <w:szCs w:val="24"/>
        </w:rPr>
        <w:t xml:space="preserve"> develops. A delay in issuing vaccines on the other hand may increase the possibility of complicated measles disease (</w:t>
      </w:r>
      <w:proofErr w:type="spellStart"/>
      <w:r w:rsidRPr="009F52A6">
        <w:rPr>
          <w:rFonts w:ascii="Times New Roman" w:hAnsi="Times New Roman" w:cs="Times New Roman"/>
          <w:sz w:val="20"/>
          <w:szCs w:val="24"/>
        </w:rPr>
        <w:t>Gagneur</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et al</w:t>
      </w:r>
      <w:r w:rsidRPr="009F52A6">
        <w:rPr>
          <w:rFonts w:ascii="Times New Roman" w:hAnsi="Times New Roman" w:cs="Times New Roman"/>
          <w:sz w:val="20"/>
          <w:szCs w:val="24"/>
        </w:rPr>
        <w:t xml:space="preserve">., 2008). In Nigeria, children are vaccinated with </w:t>
      </w:r>
      <w:proofErr w:type="spellStart"/>
      <w:r w:rsidRPr="009F52A6">
        <w:rPr>
          <w:rFonts w:ascii="Times New Roman" w:hAnsi="Times New Roman" w:cs="Times New Roman"/>
          <w:sz w:val="20"/>
          <w:szCs w:val="24"/>
        </w:rPr>
        <w:t>monovalent</w:t>
      </w:r>
      <w:proofErr w:type="spellEnd"/>
      <w:r w:rsidRPr="009F52A6">
        <w:rPr>
          <w:rFonts w:ascii="Times New Roman" w:hAnsi="Times New Roman" w:cs="Times New Roman"/>
          <w:sz w:val="20"/>
          <w:szCs w:val="24"/>
        </w:rPr>
        <w:t xml:space="preserve"> measles vaccine at the age of nine months and this has resulted in a huge reduction in illnesses and death from the measles infection in the country (</w:t>
      </w:r>
      <w:proofErr w:type="spellStart"/>
      <w:r w:rsidRPr="009F52A6">
        <w:rPr>
          <w:rFonts w:ascii="Times New Roman" w:hAnsi="Times New Roman" w:cs="Times New Roman"/>
          <w:sz w:val="20"/>
          <w:szCs w:val="24"/>
        </w:rPr>
        <w:t>Aaby</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et al</w:t>
      </w:r>
      <w:r w:rsidRPr="009F52A6">
        <w:rPr>
          <w:rFonts w:ascii="Times New Roman" w:hAnsi="Times New Roman" w:cs="Times New Roman"/>
          <w:sz w:val="20"/>
          <w:szCs w:val="24"/>
        </w:rPr>
        <w:t>., 1986). Despite this, Nigeria is still one of the most affected countries with endemic and continuous spread of measles infection every year in Sub-Saharan Africa (WHO, 2015). In 2008, about 9,960 measles cases were recorded in the country, making Nigeria the second highest in the period, while 18,843 cases were reported in 2011 (</w:t>
      </w:r>
      <w:proofErr w:type="spellStart"/>
      <w:r w:rsidRPr="009F52A6">
        <w:rPr>
          <w:rFonts w:ascii="Times New Roman" w:hAnsi="Times New Roman" w:cs="Times New Roman"/>
          <w:sz w:val="20"/>
          <w:szCs w:val="24"/>
        </w:rPr>
        <w:t>Pomerai</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 xml:space="preserve">et al., </w:t>
      </w:r>
      <w:r w:rsidRPr="009F52A6">
        <w:rPr>
          <w:rFonts w:ascii="Times New Roman" w:hAnsi="Times New Roman" w:cs="Times New Roman"/>
          <w:sz w:val="20"/>
          <w:szCs w:val="24"/>
        </w:rPr>
        <w:t xml:space="preserve">2012). In spite of the progresses recorded towards eradication of measles disease since the commencement of the Expanded Program on Immunization (EPI) in Nigeria in 1989, some factors have slowed down the actualization of the goals of the program. Among these factors are: the incapability to reach and maintain a very high vaccination coverage in all states in the country, resulting in a pool of vulnerable children, in areas not covered (WHO, 1999; WHO 2004). Other factors are questions on the effectiveness or viability of the vaccine in the field, its capacity to confer lifetime immunity, and the necessity </w:t>
      </w:r>
      <w:r w:rsidRPr="009F52A6">
        <w:rPr>
          <w:rFonts w:ascii="Times New Roman" w:hAnsi="Times New Roman" w:cs="Times New Roman"/>
          <w:sz w:val="20"/>
          <w:szCs w:val="24"/>
        </w:rPr>
        <w:lastRenderedPageBreak/>
        <w:t>for a second exposure other than supplemental and catch-up vaccination (</w:t>
      </w:r>
      <w:proofErr w:type="spellStart"/>
      <w:r w:rsidRPr="009F52A6">
        <w:rPr>
          <w:rFonts w:ascii="Times New Roman" w:hAnsi="Times New Roman" w:cs="Times New Roman"/>
          <w:sz w:val="20"/>
          <w:szCs w:val="24"/>
        </w:rPr>
        <w:t>Onoja</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 xml:space="preserve">et al., </w:t>
      </w:r>
      <w:r w:rsidRPr="009F52A6">
        <w:rPr>
          <w:rFonts w:ascii="Times New Roman" w:hAnsi="Times New Roman" w:cs="Times New Roman"/>
          <w:sz w:val="20"/>
          <w:szCs w:val="24"/>
        </w:rPr>
        <w:t xml:space="preserve">2013). Apart from political and financial commitments to the eradication of the disease, the possibility of infants becoming exposed before the suggested measles vaccination age of 9 months due to waning maternal </w:t>
      </w:r>
      <w:proofErr w:type="spellStart"/>
      <w:r w:rsidRPr="009F52A6">
        <w:rPr>
          <w:rFonts w:ascii="Times New Roman" w:hAnsi="Times New Roman" w:cs="Times New Roman"/>
          <w:sz w:val="20"/>
          <w:szCs w:val="24"/>
        </w:rPr>
        <w:t>immunoglobulins</w:t>
      </w:r>
      <w:proofErr w:type="spellEnd"/>
      <w:r w:rsidRPr="009F52A6">
        <w:rPr>
          <w:rFonts w:ascii="Times New Roman" w:hAnsi="Times New Roman" w:cs="Times New Roman"/>
          <w:sz w:val="20"/>
          <w:szCs w:val="24"/>
        </w:rPr>
        <w:t xml:space="preserve"> before the age of six months has also been a major challenge. Likewise, the reality that most children who receive measles vaccines still become infected with measles raises an alarm.</w:t>
      </w:r>
    </w:p>
    <w:p w:rsidR="00FE602D" w:rsidRPr="009F52A6" w:rsidRDefault="00FE602D" w:rsidP="00322645">
      <w:pPr>
        <w:autoSpaceDE w:val="0"/>
        <w:autoSpaceDN w:val="0"/>
        <w:adjustRightInd w:val="0"/>
        <w:snapToGrid w:val="0"/>
        <w:spacing w:after="0" w:line="240" w:lineRule="auto"/>
        <w:ind w:firstLine="425"/>
        <w:contextualSpacing/>
        <w:jc w:val="both"/>
        <w:rPr>
          <w:rFonts w:ascii="Times New Roman" w:hAnsi="Times New Roman" w:cs="Times New Roman"/>
          <w:sz w:val="20"/>
          <w:szCs w:val="24"/>
        </w:rPr>
      </w:pPr>
      <w:r w:rsidRPr="009F52A6">
        <w:rPr>
          <w:rFonts w:ascii="Times New Roman" w:hAnsi="Times New Roman" w:cs="Times New Roman"/>
          <w:sz w:val="20"/>
          <w:szCs w:val="24"/>
        </w:rPr>
        <w:t xml:space="preserve">In 2005 and 2006, the Federal Government of Nigeria (FGN) through the National </w:t>
      </w:r>
      <w:proofErr w:type="spellStart"/>
      <w:r w:rsidRPr="009F52A6">
        <w:rPr>
          <w:rFonts w:ascii="Times New Roman" w:hAnsi="Times New Roman" w:cs="Times New Roman"/>
          <w:sz w:val="20"/>
          <w:szCs w:val="24"/>
        </w:rPr>
        <w:t>Programme</w:t>
      </w:r>
      <w:proofErr w:type="spellEnd"/>
      <w:r w:rsidRPr="009F52A6">
        <w:rPr>
          <w:rFonts w:ascii="Times New Roman" w:hAnsi="Times New Roman" w:cs="Times New Roman"/>
          <w:sz w:val="20"/>
          <w:szCs w:val="24"/>
        </w:rPr>
        <w:t xml:space="preserve"> on Immunization (NPI) embarked on an integrated catch-up measles campaign in southern and northern Nigeria, respectively and a national follow-up campaign in 2008 (</w:t>
      </w:r>
      <w:proofErr w:type="spellStart"/>
      <w:r w:rsidRPr="009F52A6">
        <w:rPr>
          <w:rFonts w:ascii="Times New Roman" w:hAnsi="Times New Roman" w:cs="Times New Roman"/>
          <w:sz w:val="20"/>
          <w:szCs w:val="24"/>
        </w:rPr>
        <w:t>Goitem</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et al.,</w:t>
      </w:r>
      <w:r w:rsidRPr="009F52A6">
        <w:rPr>
          <w:rFonts w:ascii="Times New Roman" w:hAnsi="Times New Roman" w:cs="Times New Roman"/>
          <w:sz w:val="20"/>
          <w:szCs w:val="24"/>
        </w:rPr>
        <w:t xml:space="preserve"> 2011). This was in partnership with local and state governments.</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The mortality resulting from measles outbreaks has been either over-blown or under-reported by different media reports. Measles scheduled vaccination has been inadequate in Nigeria and this may account for the recurrent measles outbreaks recorded in different parts of the country. Nonetheless, between 2005 and 2008, there was a nationwide awareness on measles vaccination, which ended up in a mass routine measles immunization program with follow-up vaccinations. The </w:t>
      </w:r>
      <w:proofErr w:type="spellStart"/>
      <w:r w:rsidRPr="009F52A6">
        <w:rPr>
          <w:rFonts w:ascii="Times New Roman" w:hAnsi="Times New Roman" w:cs="Times New Roman"/>
          <w:sz w:val="20"/>
          <w:szCs w:val="24"/>
        </w:rPr>
        <w:t>barton</w:t>
      </w:r>
      <w:proofErr w:type="spellEnd"/>
      <w:r w:rsidRPr="009F52A6">
        <w:rPr>
          <w:rFonts w:ascii="Times New Roman" w:hAnsi="Times New Roman" w:cs="Times New Roman"/>
          <w:sz w:val="20"/>
          <w:szCs w:val="24"/>
        </w:rPr>
        <w:t xml:space="preserve"> fall on researchers to conduct routine epidemiological review</w:t>
      </w:r>
      <w:r w:rsidR="00286557" w:rsidRPr="009F52A6">
        <w:rPr>
          <w:rFonts w:ascii="Times New Roman" w:hAnsi="Times New Roman" w:cs="Times New Roman"/>
          <w:sz w:val="20"/>
          <w:szCs w:val="24"/>
        </w:rPr>
        <w:t>s</w:t>
      </w:r>
      <w:r w:rsidRPr="009F52A6">
        <w:rPr>
          <w:rFonts w:ascii="Times New Roman" w:hAnsi="Times New Roman" w:cs="Times New Roman"/>
          <w:sz w:val="20"/>
          <w:szCs w:val="24"/>
        </w:rPr>
        <w:t xml:space="preserve"> and give accurate information on the successes of these programs and the s</w:t>
      </w:r>
      <w:r w:rsidR="00286557" w:rsidRPr="009F52A6">
        <w:rPr>
          <w:rFonts w:ascii="Times New Roman" w:hAnsi="Times New Roman" w:cs="Times New Roman"/>
          <w:sz w:val="20"/>
          <w:szCs w:val="24"/>
        </w:rPr>
        <w:t>everity of measles infection if</w:t>
      </w:r>
      <w:r w:rsidRPr="009F52A6">
        <w:rPr>
          <w:rFonts w:ascii="Times New Roman" w:hAnsi="Times New Roman" w:cs="Times New Roman"/>
          <w:sz w:val="20"/>
          <w:szCs w:val="24"/>
        </w:rPr>
        <w:t xml:space="preserve"> the</w:t>
      </w:r>
      <w:r w:rsidR="008D4EEA" w:rsidRPr="009F52A6">
        <w:rPr>
          <w:rFonts w:ascii="Times New Roman" w:hAnsi="Times New Roman" w:cs="Times New Roman"/>
          <w:sz w:val="20"/>
          <w:szCs w:val="24"/>
        </w:rPr>
        <w:t>re</w:t>
      </w:r>
      <w:r w:rsidRPr="009F52A6">
        <w:rPr>
          <w:rFonts w:ascii="Times New Roman" w:hAnsi="Times New Roman" w:cs="Times New Roman"/>
          <w:sz w:val="20"/>
          <w:szCs w:val="24"/>
        </w:rPr>
        <w:t xml:space="preserve"> is really </w:t>
      </w:r>
      <w:r w:rsidR="00286557" w:rsidRPr="009F52A6">
        <w:rPr>
          <w:rFonts w:ascii="Times New Roman" w:hAnsi="Times New Roman" w:cs="Times New Roman"/>
          <w:sz w:val="20"/>
          <w:szCs w:val="24"/>
        </w:rPr>
        <w:t>need</w:t>
      </w:r>
      <w:r w:rsidRPr="009F52A6">
        <w:rPr>
          <w:rFonts w:ascii="Times New Roman" w:hAnsi="Times New Roman" w:cs="Times New Roman"/>
          <w:sz w:val="20"/>
          <w:szCs w:val="24"/>
        </w:rPr>
        <w:t xml:space="preserve"> to eradicate the disease. </w:t>
      </w:r>
    </w:p>
    <w:p w:rsidR="00FE602D" w:rsidRPr="009F52A6" w:rsidRDefault="00FE602D" w:rsidP="00322645">
      <w:pPr>
        <w:autoSpaceDE w:val="0"/>
        <w:autoSpaceDN w:val="0"/>
        <w:adjustRightInd w:val="0"/>
        <w:snapToGrid w:val="0"/>
        <w:spacing w:after="0" w:line="240" w:lineRule="auto"/>
        <w:ind w:firstLine="425"/>
        <w:contextualSpacing/>
        <w:jc w:val="both"/>
        <w:rPr>
          <w:rFonts w:ascii="Times New Roman" w:hAnsi="Times New Roman" w:cs="Times New Roman"/>
          <w:sz w:val="20"/>
          <w:szCs w:val="24"/>
        </w:rPr>
      </w:pPr>
    </w:p>
    <w:p w:rsidR="00FE602D" w:rsidRPr="009F52A6" w:rsidRDefault="00BF2D0E" w:rsidP="00322645">
      <w:pPr>
        <w:autoSpaceDE w:val="0"/>
        <w:autoSpaceDN w:val="0"/>
        <w:adjustRightInd w:val="0"/>
        <w:snapToGrid w:val="0"/>
        <w:spacing w:after="0" w:line="240" w:lineRule="auto"/>
        <w:jc w:val="both"/>
        <w:rPr>
          <w:rFonts w:ascii="Times New Roman" w:hAnsi="Times New Roman" w:cs="Times New Roman"/>
          <w:b/>
          <w:sz w:val="20"/>
          <w:szCs w:val="24"/>
        </w:rPr>
      </w:pPr>
      <w:r w:rsidRPr="009F52A6">
        <w:rPr>
          <w:rFonts w:ascii="Times New Roman" w:hAnsi="Times New Roman" w:cs="Times New Roman"/>
          <w:b/>
          <w:sz w:val="20"/>
          <w:szCs w:val="24"/>
        </w:rPr>
        <w:t>2 Materials and Methods</w:t>
      </w:r>
      <w:r w:rsidR="00FE602D" w:rsidRPr="009F52A6">
        <w:rPr>
          <w:rFonts w:ascii="Times New Roman" w:hAnsi="Times New Roman" w:cs="Times New Roman"/>
          <w:b/>
          <w:sz w:val="20"/>
          <w:szCs w:val="24"/>
        </w:rPr>
        <w:t xml:space="preserve"> </w:t>
      </w:r>
    </w:p>
    <w:p w:rsidR="00286557"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Braithwaite Memorial Specialist </w:t>
      </w:r>
      <w:r w:rsidR="00286557" w:rsidRPr="009F52A6">
        <w:rPr>
          <w:rFonts w:ascii="Times New Roman" w:hAnsi="Times New Roman" w:cs="Times New Roman"/>
          <w:sz w:val="20"/>
          <w:szCs w:val="24"/>
        </w:rPr>
        <w:t>Hospital, and selected Primary H</w:t>
      </w:r>
      <w:r w:rsidRPr="009F52A6">
        <w:rPr>
          <w:rFonts w:ascii="Times New Roman" w:hAnsi="Times New Roman" w:cs="Times New Roman"/>
          <w:sz w:val="20"/>
          <w:szCs w:val="24"/>
        </w:rPr>
        <w:t xml:space="preserve">ealth Care </w:t>
      </w:r>
      <w:proofErr w:type="spellStart"/>
      <w:r w:rsidRPr="009F52A6">
        <w:rPr>
          <w:rFonts w:ascii="Times New Roman" w:hAnsi="Times New Roman" w:cs="Times New Roman"/>
          <w:sz w:val="20"/>
          <w:szCs w:val="24"/>
        </w:rPr>
        <w:t>Centres</w:t>
      </w:r>
      <w:proofErr w:type="spellEnd"/>
      <w:r w:rsidRPr="009F52A6">
        <w:rPr>
          <w:rFonts w:ascii="Times New Roman" w:hAnsi="Times New Roman" w:cs="Times New Roman"/>
          <w:sz w:val="20"/>
          <w:szCs w:val="24"/>
        </w:rPr>
        <w:t xml:space="preserve"> which serves as referral centre for children health in Port Harcourt, Rivers State were the facilities used for sample collection for this study: This study was conducted between November 2017 and March 2018</w:t>
      </w:r>
      <w:r w:rsidR="00286557" w:rsidRPr="009F52A6">
        <w:rPr>
          <w:rFonts w:ascii="Times New Roman" w:hAnsi="Times New Roman" w:cs="Times New Roman"/>
          <w:sz w:val="20"/>
          <w:szCs w:val="24"/>
        </w:rPr>
        <w:t xml:space="preserve"> after ethical approval was obtained from the Rivers State Hospital Management Board</w:t>
      </w:r>
      <w:r w:rsidRPr="009F52A6">
        <w:rPr>
          <w:rFonts w:ascii="Times New Roman" w:hAnsi="Times New Roman" w:cs="Times New Roman"/>
          <w:sz w:val="20"/>
          <w:szCs w:val="24"/>
        </w:rPr>
        <w:t>.</w:t>
      </w:r>
    </w:p>
    <w:p w:rsidR="00FE602D" w:rsidRPr="009F52A6" w:rsidRDefault="00FE602D" w:rsidP="00322645">
      <w:pPr>
        <w:tabs>
          <w:tab w:val="left" w:pos="4230"/>
        </w:tabs>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A total of 172 children between the ages of 9 months and 13 years, from different socio-economic backgrounds, were recruited for this study.</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Informed parental consent was sought before blood samples were collected. Details of the vaccination history were obtained through questionnaire, and/or from parental recalls. </w:t>
      </w:r>
    </w:p>
    <w:p w:rsidR="00FE602D" w:rsidRPr="009F52A6" w:rsidRDefault="00FE602D" w:rsidP="00322645">
      <w:pPr>
        <w:snapToGrid w:val="0"/>
        <w:spacing w:after="0" w:line="240" w:lineRule="auto"/>
        <w:ind w:firstLine="425"/>
        <w:contextualSpacing/>
        <w:jc w:val="both"/>
        <w:rPr>
          <w:rFonts w:ascii="Times New Roman" w:hAnsi="Times New Roman" w:cs="Times New Roman"/>
          <w:sz w:val="20"/>
          <w:szCs w:val="24"/>
        </w:rPr>
      </w:pPr>
      <w:r w:rsidRPr="009F52A6">
        <w:rPr>
          <w:rFonts w:ascii="Times New Roman" w:hAnsi="Times New Roman" w:cs="Times New Roman"/>
          <w:sz w:val="20"/>
          <w:szCs w:val="24"/>
        </w:rPr>
        <w:t>The working samples (sera) were separated from whole blood by centrifuging at 2000rpm for 10miutes and stored at room temperature (25 ±8</w:t>
      </w:r>
      <w:r w:rsidRPr="009F52A6">
        <w:rPr>
          <w:rFonts w:ascii="Times New Roman" w:hAnsi="Times New Roman" w:cs="Times New Roman"/>
          <w:sz w:val="20"/>
          <w:szCs w:val="24"/>
          <w:vertAlign w:val="superscript"/>
        </w:rPr>
        <w:t>0</w:t>
      </w:r>
      <w:r w:rsidRPr="009F52A6">
        <w:rPr>
          <w:rFonts w:ascii="Times New Roman" w:hAnsi="Times New Roman" w:cs="Times New Roman"/>
          <w:sz w:val="20"/>
          <w:szCs w:val="24"/>
        </w:rPr>
        <w:t xml:space="preserve">C) in labeled bottles until it was assayed the same day. The separation was done after </w:t>
      </w:r>
      <w:proofErr w:type="spellStart"/>
      <w:r w:rsidRPr="009F52A6">
        <w:rPr>
          <w:rFonts w:ascii="Times New Roman" w:hAnsi="Times New Roman" w:cs="Times New Roman"/>
          <w:sz w:val="20"/>
          <w:szCs w:val="24"/>
        </w:rPr>
        <w:t>leucocyte</w:t>
      </w:r>
      <w:proofErr w:type="spellEnd"/>
      <w:r w:rsidRPr="009F52A6">
        <w:rPr>
          <w:rFonts w:ascii="Times New Roman" w:hAnsi="Times New Roman" w:cs="Times New Roman"/>
          <w:sz w:val="20"/>
          <w:szCs w:val="24"/>
        </w:rPr>
        <w:t xml:space="preserve"> counts were performed with whole blood samples. Each serum sample was tested for the presence of antibodies to measles virus using </w:t>
      </w:r>
      <w:r w:rsidRPr="009F52A6">
        <w:rPr>
          <w:rFonts w:ascii="Times New Roman" w:hAnsi="Times New Roman" w:cs="Times New Roman"/>
          <w:bCs/>
          <w:sz w:val="20"/>
          <w:szCs w:val="24"/>
        </w:rPr>
        <w:t>DIA</w:t>
      </w:r>
      <w:r w:rsidR="007B21E5" w:rsidRPr="009F52A6">
        <w:rPr>
          <w:rFonts w:ascii="Times New Roman" w:hAnsi="Times New Roman" w:cs="Times New Roman"/>
          <w:bCs/>
          <w:sz w:val="20"/>
          <w:szCs w:val="24"/>
        </w:rPr>
        <w:t>.</w:t>
      </w:r>
      <w:r w:rsidR="007B21E5">
        <w:rPr>
          <w:rFonts w:ascii="Times New Roman" w:hAnsi="Times New Roman" w:cs="Times New Roman"/>
          <w:bCs/>
          <w:sz w:val="20"/>
          <w:szCs w:val="24"/>
        </w:rPr>
        <w:t xml:space="preserve"> </w:t>
      </w:r>
      <w:r w:rsidR="007B21E5" w:rsidRPr="009F52A6">
        <w:rPr>
          <w:rFonts w:ascii="Times New Roman" w:hAnsi="Times New Roman" w:cs="Times New Roman"/>
          <w:bCs/>
          <w:sz w:val="20"/>
          <w:szCs w:val="24"/>
        </w:rPr>
        <w:t>P</w:t>
      </w:r>
      <w:r w:rsidRPr="009F52A6">
        <w:rPr>
          <w:rFonts w:ascii="Times New Roman" w:hAnsi="Times New Roman" w:cs="Times New Roman"/>
          <w:bCs/>
          <w:sz w:val="20"/>
          <w:szCs w:val="24"/>
        </w:rPr>
        <w:t xml:space="preserve">RO Diagnostic </w:t>
      </w:r>
      <w:proofErr w:type="spellStart"/>
      <w:r w:rsidRPr="009F52A6">
        <w:rPr>
          <w:rFonts w:ascii="Times New Roman" w:hAnsi="Times New Roman" w:cs="Times New Roman"/>
          <w:bCs/>
          <w:sz w:val="20"/>
          <w:szCs w:val="24"/>
        </w:rPr>
        <w:t>Bioprobes</w:t>
      </w:r>
      <w:proofErr w:type="spellEnd"/>
      <w:r w:rsidRPr="009F52A6">
        <w:rPr>
          <w:rFonts w:ascii="Times New Roman" w:hAnsi="Times New Roman" w:cs="Times New Roman"/>
          <w:bCs/>
          <w:sz w:val="20"/>
          <w:szCs w:val="24"/>
        </w:rPr>
        <w:t xml:space="preserve"> </w:t>
      </w:r>
      <w:proofErr w:type="spellStart"/>
      <w:r w:rsidRPr="009F52A6">
        <w:rPr>
          <w:rFonts w:ascii="Times New Roman" w:hAnsi="Times New Roman" w:cs="Times New Roman"/>
          <w:bCs/>
          <w:sz w:val="20"/>
          <w:szCs w:val="24"/>
        </w:rPr>
        <w:lastRenderedPageBreak/>
        <w:t>Srl</w:t>
      </w:r>
      <w:proofErr w:type="spellEnd"/>
      <w:r w:rsidRPr="009F52A6">
        <w:rPr>
          <w:rFonts w:ascii="Times New Roman" w:hAnsi="Times New Roman" w:cs="Times New Roman"/>
          <w:bCs/>
          <w:sz w:val="20"/>
          <w:szCs w:val="24"/>
        </w:rPr>
        <w:t xml:space="preserve"> Via G. Carducci n° 27 20099 Sesto San Giovann</w:t>
      </w:r>
      <w:r w:rsidR="009F52A6" w:rsidRPr="009F52A6">
        <w:rPr>
          <w:rFonts w:ascii="Times New Roman" w:hAnsi="Times New Roman" w:cs="Times New Roman"/>
          <w:bCs/>
          <w:sz w:val="20"/>
          <w:szCs w:val="24"/>
        </w:rPr>
        <w:t>i (</w:t>
      </w:r>
      <w:r w:rsidRPr="009F52A6">
        <w:rPr>
          <w:rFonts w:ascii="Times New Roman" w:hAnsi="Times New Roman" w:cs="Times New Roman"/>
          <w:bCs/>
          <w:sz w:val="20"/>
          <w:szCs w:val="24"/>
        </w:rPr>
        <w:t xml:space="preserve">Milano) – Italy </w:t>
      </w:r>
      <w:r w:rsidRPr="009F52A6">
        <w:rPr>
          <w:rFonts w:ascii="Times New Roman" w:hAnsi="Times New Roman" w:cs="Times New Roman"/>
          <w:sz w:val="20"/>
          <w:szCs w:val="24"/>
        </w:rPr>
        <w:t xml:space="preserve">Enzyme </w:t>
      </w:r>
      <w:proofErr w:type="spellStart"/>
      <w:r w:rsidRPr="009F52A6">
        <w:rPr>
          <w:rFonts w:ascii="Times New Roman" w:hAnsi="Times New Roman" w:cs="Times New Roman"/>
          <w:sz w:val="20"/>
          <w:szCs w:val="24"/>
        </w:rPr>
        <w:t>Immuno</w:t>
      </w:r>
      <w:proofErr w:type="spellEnd"/>
      <w:r w:rsidRPr="009F52A6">
        <w:rPr>
          <w:rFonts w:ascii="Times New Roman" w:hAnsi="Times New Roman" w:cs="Times New Roman"/>
          <w:sz w:val="20"/>
          <w:szCs w:val="24"/>
        </w:rPr>
        <w:t xml:space="preserve"> Assay (ELISA) for the qualitative</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determination</w:t>
      </w:r>
      <w:r w:rsidRPr="009F52A6">
        <w:rPr>
          <w:rFonts w:ascii="Times New Roman" w:hAnsi="Times New Roman" w:cs="Times New Roman"/>
          <w:bCs/>
          <w:sz w:val="20"/>
          <w:szCs w:val="24"/>
        </w:rPr>
        <w:t xml:space="preserve"> </w:t>
      </w:r>
      <w:r w:rsidRPr="009F52A6">
        <w:rPr>
          <w:rFonts w:ascii="Times New Roman" w:hAnsi="Times New Roman" w:cs="Times New Roman"/>
          <w:sz w:val="20"/>
          <w:szCs w:val="24"/>
        </w:rPr>
        <w:t xml:space="preserve">of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antibodies to Measles virus in human plasma and sera for the qualitative detection of antibodies to both infections in serum samples. Recommended quality control measures and precautions were adopted in accordance with the test kit manufacturer’s instructions; avoidance of repetitive freezing of blood samples were strictly adhered to.</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Ethical approval was gotten from the Rivers State Hospitals Management Board before the commencement of sample collection. Data generated </w:t>
      </w:r>
      <w:r w:rsidRPr="009F52A6">
        <w:rPr>
          <w:rFonts w:ascii="Times New Roman" w:hAnsi="Times New Roman" w:cs="Times New Roman"/>
          <w:sz w:val="20"/>
          <w:szCs w:val="24"/>
        </w:rPr>
        <w:lastRenderedPageBreak/>
        <w:t xml:space="preserve">from this study were be analyzed statistically with SPSS version 20.0 to test for equality of the means using the independent t-test. </w:t>
      </w:r>
    </w:p>
    <w:p w:rsidR="00B241A1" w:rsidRPr="009F52A6" w:rsidRDefault="00B241A1" w:rsidP="00322645">
      <w:pPr>
        <w:autoSpaceDE w:val="0"/>
        <w:autoSpaceDN w:val="0"/>
        <w:adjustRightInd w:val="0"/>
        <w:snapToGrid w:val="0"/>
        <w:spacing w:after="0" w:line="240" w:lineRule="auto"/>
        <w:jc w:val="both"/>
        <w:rPr>
          <w:rFonts w:ascii="Times New Roman" w:hAnsi="Times New Roman" w:cs="Times New Roman"/>
          <w:b/>
          <w:sz w:val="20"/>
          <w:szCs w:val="24"/>
        </w:rPr>
      </w:pPr>
    </w:p>
    <w:p w:rsidR="00FE602D" w:rsidRPr="009F52A6" w:rsidRDefault="00BF2D0E" w:rsidP="00322645">
      <w:pPr>
        <w:autoSpaceDE w:val="0"/>
        <w:autoSpaceDN w:val="0"/>
        <w:adjustRightInd w:val="0"/>
        <w:snapToGrid w:val="0"/>
        <w:spacing w:after="0" w:line="240" w:lineRule="auto"/>
        <w:jc w:val="both"/>
        <w:rPr>
          <w:rFonts w:ascii="Times New Roman" w:hAnsi="Times New Roman" w:cs="Times New Roman"/>
          <w:b/>
          <w:sz w:val="20"/>
          <w:szCs w:val="24"/>
        </w:rPr>
      </w:pPr>
      <w:r w:rsidRPr="009F52A6">
        <w:rPr>
          <w:rFonts w:ascii="Times New Roman" w:hAnsi="Times New Roman" w:cs="Times New Roman"/>
          <w:b/>
          <w:sz w:val="20"/>
          <w:szCs w:val="24"/>
        </w:rPr>
        <w:t>3.</w:t>
      </w:r>
      <w:r w:rsidR="00FE602D" w:rsidRPr="009F52A6">
        <w:rPr>
          <w:rFonts w:ascii="Times New Roman" w:hAnsi="Times New Roman" w:cs="Times New Roman"/>
          <w:b/>
          <w:sz w:val="20"/>
          <w:szCs w:val="24"/>
        </w:rPr>
        <w:t xml:space="preserve"> Results</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The samples </w:t>
      </w:r>
      <w:proofErr w:type="spellStart"/>
      <w:r w:rsidRPr="009F52A6">
        <w:rPr>
          <w:rFonts w:ascii="Times New Roman" w:hAnsi="Times New Roman" w:cs="Times New Roman"/>
          <w:sz w:val="20"/>
          <w:szCs w:val="24"/>
        </w:rPr>
        <w:t>analysed</w:t>
      </w:r>
      <w:proofErr w:type="spellEnd"/>
      <w:r w:rsidRPr="009F52A6">
        <w:rPr>
          <w:rFonts w:ascii="Times New Roman" w:hAnsi="Times New Roman" w:cs="Times New Roman"/>
          <w:sz w:val="20"/>
          <w:szCs w:val="24"/>
        </w:rPr>
        <w:t xml:space="preserve"> were not mutually exclusive and hence a total number of 172(100%) children were recruited as subjects, of which 6.9% (n= 12) were positive for measles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16.3% (n=28) positivity recorded for measles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However, an overall prevalence of 23.2% (n=40) for measles antibodies were recorded of the 172 subjects that made up the study population. See table 1 below:</w:t>
      </w:r>
    </w:p>
    <w:p w:rsidR="00171788" w:rsidRDefault="00171788" w:rsidP="00322645">
      <w:pPr>
        <w:autoSpaceDE w:val="0"/>
        <w:autoSpaceDN w:val="0"/>
        <w:adjustRightInd w:val="0"/>
        <w:snapToGrid w:val="0"/>
        <w:spacing w:after="0" w:line="240" w:lineRule="auto"/>
        <w:ind w:firstLine="425"/>
        <w:jc w:val="both"/>
        <w:rPr>
          <w:rFonts w:ascii="Times New Roman" w:hAnsi="Times New Roman" w:cs="Times New Roman"/>
          <w:sz w:val="20"/>
          <w:szCs w:val="24"/>
        </w:rPr>
        <w:sectPr w:rsidR="00171788" w:rsidSect="00171788">
          <w:type w:val="continuous"/>
          <w:pgSz w:w="12240" w:h="15840" w:code="1"/>
          <w:pgMar w:top="1440" w:right="1440" w:bottom="1440" w:left="1440" w:header="720" w:footer="720" w:gutter="0"/>
          <w:cols w:num="2" w:space="550"/>
          <w:docGrid w:linePitch="360"/>
        </w:sectPr>
      </w:pP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FE602D" w:rsidRPr="009F52A6" w:rsidRDefault="00FE602D" w:rsidP="00322645">
      <w:pPr>
        <w:autoSpaceDE w:val="0"/>
        <w:autoSpaceDN w:val="0"/>
        <w:adjustRightInd w:val="0"/>
        <w:snapToGrid w:val="0"/>
        <w:spacing w:after="0" w:line="240" w:lineRule="auto"/>
        <w:jc w:val="center"/>
        <w:rPr>
          <w:rFonts w:ascii="Times New Roman" w:hAnsi="Times New Roman" w:cs="Times New Roman"/>
          <w:sz w:val="20"/>
          <w:szCs w:val="24"/>
        </w:rPr>
      </w:pPr>
      <w:r w:rsidRPr="009F52A6">
        <w:rPr>
          <w:rFonts w:ascii="Times New Roman" w:hAnsi="Times New Roman" w:cs="Times New Roman"/>
          <w:sz w:val="20"/>
          <w:szCs w:val="24"/>
        </w:rPr>
        <w:t>Table</w:t>
      </w:r>
      <w:r w:rsidR="00E8688B">
        <w:rPr>
          <w:rFonts w:ascii="Times New Roman" w:hAnsi="Times New Roman" w:cs="Times New Roman" w:hint="eastAsia"/>
          <w:sz w:val="20"/>
          <w:szCs w:val="24"/>
          <w:lang w:eastAsia="zh-CN"/>
        </w:rPr>
        <w:t xml:space="preserve"> </w:t>
      </w:r>
      <w:r w:rsidRPr="009F52A6">
        <w:rPr>
          <w:rFonts w:ascii="Times New Roman" w:hAnsi="Times New Roman" w:cs="Times New Roman"/>
          <w:sz w:val="20"/>
          <w:szCs w:val="24"/>
        </w:rPr>
        <w:t>1. Detectable anti-Measles Virus Antibodies in Vaccinated Children</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587"/>
        <w:gridCol w:w="2857"/>
        <w:gridCol w:w="4030"/>
      </w:tblGrid>
      <w:tr w:rsidR="00FE602D" w:rsidRPr="009F52A6" w:rsidTr="009F52A6">
        <w:trPr>
          <w:jc w:val="center"/>
        </w:trPr>
        <w:tc>
          <w:tcPr>
            <w:tcW w:w="1365"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508"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Number tested </w:t>
            </w:r>
          </w:p>
        </w:tc>
        <w:tc>
          <w:tcPr>
            <w:tcW w:w="2127"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Number Positive (%)</w:t>
            </w:r>
          </w:p>
        </w:tc>
      </w:tr>
      <w:tr w:rsidR="00FE602D" w:rsidRPr="009F52A6" w:rsidTr="009F52A6">
        <w:trPr>
          <w:jc w:val="center"/>
        </w:trPr>
        <w:tc>
          <w:tcPr>
            <w:tcW w:w="1365"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Measles </w:t>
            </w:r>
            <w:proofErr w:type="spellStart"/>
            <w:r w:rsidRPr="009F52A6">
              <w:rPr>
                <w:rFonts w:ascii="Times New Roman" w:hAnsi="Times New Roman" w:cs="Times New Roman"/>
                <w:sz w:val="20"/>
                <w:szCs w:val="24"/>
              </w:rPr>
              <w:t>IgM</w:t>
            </w:r>
            <w:proofErr w:type="spellEnd"/>
          </w:p>
        </w:tc>
        <w:tc>
          <w:tcPr>
            <w:tcW w:w="1508"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172</w:t>
            </w:r>
          </w:p>
        </w:tc>
        <w:tc>
          <w:tcPr>
            <w:tcW w:w="2127"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12(6.9)</w:t>
            </w:r>
          </w:p>
        </w:tc>
      </w:tr>
      <w:tr w:rsidR="00FE602D" w:rsidRPr="009F52A6" w:rsidTr="009F52A6">
        <w:trPr>
          <w:jc w:val="center"/>
        </w:trPr>
        <w:tc>
          <w:tcPr>
            <w:tcW w:w="136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Measles </w:t>
            </w:r>
            <w:proofErr w:type="spellStart"/>
            <w:r w:rsidRPr="009F52A6">
              <w:rPr>
                <w:rFonts w:ascii="Times New Roman" w:hAnsi="Times New Roman" w:cs="Times New Roman"/>
                <w:sz w:val="20"/>
                <w:szCs w:val="24"/>
              </w:rPr>
              <w:t>IgG</w:t>
            </w:r>
            <w:proofErr w:type="spellEnd"/>
          </w:p>
        </w:tc>
        <w:tc>
          <w:tcPr>
            <w:tcW w:w="150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172</w:t>
            </w:r>
          </w:p>
        </w:tc>
        <w:tc>
          <w:tcPr>
            <w:tcW w:w="2127"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28(16.3)</w:t>
            </w:r>
          </w:p>
        </w:tc>
      </w:tr>
      <w:tr w:rsidR="00FE602D" w:rsidRPr="009F52A6" w:rsidTr="009F52A6">
        <w:trPr>
          <w:jc w:val="center"/>
        </w:trPr>
        <w:tc>
          <w:tcPr>
            <w:tcW w:w="136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Total</w:t>
            </w:r>
          </w:p>
        </w:tc>
        <w:tc>
          <w:tcPr>
            <w:tcW w:w="150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172</w:t>
            </w:r>
          </w:p>
        </w:tc>
        <w:tc>
          <w:tcPr>
            <w:tcW w:w="2127"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40(23.2)</w:t>
            </w:r>
          </w:p>
        </w:tc>
      </w:tr>
    </w:tbl>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171788" w:rsidRDefault="00171788" w:rsidP="00322645">
      <w:pPr>
        <w:autoSpaceDE w:val="0"/>
        <w:autoSpaceDN w:val="0"/>
        <w:adjustRightInd w:val="0"/>
        <w:snapToGrid w:val="0"/>
        <w:spacing w:after="0" w:line="240" w:lineRule="auto"/>
        <w:ind w:firstLine="425"/>
        <w:jc w:val="both"/>
        <w:rPr>
          <w:rFonts w:ascii="Times New Roman" w:hAnsi="Times New Roman" w:cs="Times New Roman"/>
          <w:sz w:val="20"/>
          <w:szCs w:val="24"/>
        </w:rPr>
        <w:sectPr w:rsidR="00171788" w:rsidSect="009F52A6">
          <w:type w:val="continuous"/>
          <w:pgSz w:w="12240" w:h="15840" w:code="1"/>
          <w:pgMar w:top="1440" w:right="1440" w:bottom="1440" w:left="1440" w:header="720" w:footer="720" w:gutter="0"/>
          <w:cols w:space="720"/>
          <w:docGrid w:linePitch="360"/>
        </w:sectPr>
      </w:pP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lastRenderedPageBreak/>
        <w:t xml:space="preserve">Of the 172 participants recruited in this study, subjects below one year showed a higher positivity of 27.3 % of the anti-Measles Virus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as opposed to the 11.2 % prevalence recorded for 1-3 age group.</w:t>
      </w:r>
      <w:r w:rsidR="009F52A6" w:rsidRPr="009F52A6">
        <w:rPr>
          <w:rFonts w:ascii="Times New Roman" w:hAnsi="Times New Roman" w:cs="Times New Roman"/>
          <w:sz w:val="20"/>
          <w:szCs w:val="24"/>
        </w:rPr>
        <w:t xml:space="preserve"> </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With respect to gender, males had a prevalence of 12.9 % (n=12) from a total number of 93 subjects tested, whereas female subjects had a higher prevalence of 20.3 % (n=16). Upon previous disease post vaccination, all participants irrespective of gender </w:t>
      </w:r>
      <w:r w:rsidRPr="009F52A6">
        <w:rPr>
          <w:rFonts w:ascii="Times New Roman" w:hAnsi="Times New Roman" w:cs="Times New Roman"/>
          <w:sz w:val="20"/>
          <w:szCs w:val="24"/>
        </w:rPr>
        <w:lastRenderedPageBreak/>
        <w:t xml:space="preserve">showed no positive response. With respect to religion, all respondents were Christians, of which 16.2 % (n=28) tested positive to the anti-measles virus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While ascertaining mothers knowledge of the measles virus, a 15.2 % (n=25) prevalence was observed from mothers with previous knowledge of the disease as opposed to those without prior knowledge of the disease with a prevalence of 42.9 % (n=3).</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See table 2 below.</w:t>
      </w:r>
    </w:p>
    <w:p w:rsidR="00171788" w:rsidRDefault="00171788" w:rsidP="00322645">
      <w:pPr>
        <w:autoSpaceDE w:val="0"/>
        <w:autoSpaceDN w:val="0"/>
        <w:adjustRightInd w:val="0"/>
        <w:snapToGrid w:val="0"/>
        <w:spacing w:after="0" w:line="240" w:lineRule="auto"/>
        <w:jc w:val="center"/>
        <w:rPr>
          <w:rFonts w:ascii="Times New Roman" w:hAnsi="Times New Roman" w:cs="Times New Roman"/>
          <w:b/>
          <w:sz w:val="20"/>
          <w:szCs w:val="24"/>
        </w:rPr>
        <w:sectPr w:rsidR="00171788" w:rsidSect="00171788">
          <w:type w:val="continuous"/>
          <w:pgSz w:w="12240" w:h="15840" w:code="1"/>
          <w:pgMar w:top="1440" w:right="1440" w:bottom="1440" w:left="1440" w:header="720" w:footer="720" w:gutter="0"/>
          <w:cols w:num="2" w:space="550"/>
          <w:docGrid w:linePitch="360"/>
        </w:sectPr>
      </w:pPr>
    </w:p>
    <w:p w:rsidR="00FE602D" w:rsidRPr="009F52A6" w:rsidRDefault="00FE602D" w:rsidP="00322645">
      <w:pPr>
        <w:autoSpaceDE w:val="0"/>
        <w:autoSpaceDN w:val="0"/>
        <w:adjustRightInd w:val="0"/>
        <w:snapToGrid w:val="0"/>
        <w:spacing w:after="0" w:line="240" w:lineRule="auto"/>
        <w:jc w:val="center"/>
        <w:rPr>
          <w:rFonts w:ascii="Times New Roman" w:hAnsi="Times New Roman" w:cs="Times New Roman"/>
          <w:b/>
          <w:sz w:val="20"/>
          <w:szCs w:val="24"/>
        </w:rPr>
      </w:pPr>
    </w:p>
    <w:p w:rsidR="00FE602D" w:rsidRPr="009F52A6" w:rsidRDefault="00FE602D" w:rsidP="00322645">
      <w:pPr>
        <w:autoSpaceDE w:val="0"/>
        <w:autoSpaceDN w:val="0"/>
        <w:adjustRightInd w:val="0"/>
        <w:snapToGrid w:val="0"/>
        <w:spacing w:after="0" w:line="240" w:lineRule="auto"/>
        <w:jc w:val="center"/>
        <w:rPr>
          <w:rFonts w:ascii="Times New Roman" w:hAnsi="Times New Roman" w:cs="Times New Roman"/>
          <w:sz w:val="20"/>
          <w:szCs w:val="24"/>
        </w:rPr>
      </w:pPr>
      <w:r w:rsidRPr="009F52A6">
        <w:rPr>
          <w:rFonts w:ascii="Times New Roman" w:hAnsi="Times New Roman" w:cs="Times New Roman"/>
          <w:sz w:val="20"/>
          <w:szCs w:val="24"/>
        </w:rPr>
        <w:t xml:space="preserve">Table 2. Detectable anti-Measles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in Vaccinated Children Stratified by </w:t>
      </w:r>
      <w:proofErr w:type="spellStart"/>
      <w:r w:rsidRPr="009F52A6">
        <w:rPr>
          <w:rFonts w:ascii="Times New Roman" w:hAnsi="Times New Roman" w:cs="Times New Roman"/>
          <w:sz w:val="20"/>
          <w:szCs w:val="24"/>
        </w:rPr>
        <w:t>Dermographic</w:t>
      </w:r>
      <w:proofErr w:type="spellEnd"/>
      <w:r w:rsidRPr="009F52A6">
        <w:rPr>
          <w:rFonts w:ascii="Times New Roman" w:hAnsi="Times New Roman" w:cs="Times New Roman"/>
          <w:sz w:val="20"/>
          <w:szCs w:val="24"/>
        </w:rPr>
        <w:t xml:space="preserve"> Details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264"/>
        <w:gridCol w:w="2664"/>
        <w:gridCol w:w="2166"/>
        <w:gridCol w:w="2122"/>
        <w:gridCol w:w="258"/>
      </w:tblGrid>
      <w:tr w:rsidR="00FE602D" w:rsidRPr="009F52A6" w:rsidTr="009F52A6">
        <w:trPr>
          <w:jc w:val="center"/>
        </w:trPr>
        <w:tc>
          <w:tcPr>
            <w:tcW w:w="1195"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Variables </w:t>
            </w:r>
          </w:p>
        </w:tc>
        <w:tc>
          <w:tcPr>
            <w:tcW w:w="1406"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Number. Tested (%)</w:t>
            </w:r>
          </w:p>
        </w:tc>
        <w:tc>
          <w:tcPr>
            <w:tcW w:w="1143"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No. Positive (%)</w:t>
            </w:r>
          </w:p>
        </w:tc>
        <w:tc>
          <w:tcPr>
            <w:tcW w:w="1120" w:type="pct"/>
            <w:tcBorders>
              <w:top w:val="single" w:sz="4" w:space="0" w:color="auto"/>
              <w:bottom w:val="single" w:sz="4" w:space="0" w:color="auto"/>
            </w:tcBorders>
            <w:vAlign w:val="center"/>
          </w:tcPr>
          <w:p w:rsidR="00FE602D" w:rsidRPr="009F52A6" w:rsidRDefault="00FE602D" w:rsidP="00171788">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No. Negative (%)</w:t>
            </w:r>
          </w:p>
        </w:tc>
        <w:tc>
          <w:tcPr>
            <w:tcW w:w="135"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Age (years)</w:t>
            </w:r>
          </w:p>
        </w:tc>
        <w:tc>
          <w:tcPr>
            <w:tcW w:w="1406"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143"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120"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35"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&lt; 1</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11(6.4)</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3(27.3)</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8(72.8)</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1-3</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89(51.7)</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10(11.2)</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79(88.8)</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4-6</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38(22.1)</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9(23.7)</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29(76.3)</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7-9</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13(7.6)</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3(23.1)</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10(76.9)</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10-13</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21(12.2)</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3(14.3)</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18(85.7)</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b/>
                <w:sz w:val="20"/>
                <w:szCs w:val="24"/>
              </w:rPr>
            </w:pPr>
            <w:r w:rsidRPr="009F52A6">
              <w:rPr>
                <w:rFonts w:ascii="Times New Roman" w:hAnsi="Times New Roman" w:cs="Times New Roman"/>
                <w:b/>
                <w:sz w:val="20"/>
                <w:szCs w:val="24"/>
              </w:rPr>
              <w:t>Sex</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b/>
                <w:sz w:val="20"/>
                <w:szCs w:val="24"/>
              </w:rPr>
            </w:pP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b/>
                <w:sz w:val="20"/>
                <w:szCs w:val="24"/>
              </w:rPr>
            </w:pP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b/>
                <w:sz w:val="20"/>
                <w:szCs w:val="24"/>
              </w:rPr>
            </w:pP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b/>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Male</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93(54.1)</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12(12.9)</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81(87.1)</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Female</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79(45.9)</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16(20.3)</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63(79.7)</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5000" w:type="pct"/>
            <w:gridSpan w:val="5"/>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Previous Disease Post Vaccination </w:t>
            </w: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Yes</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0(0.0)</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0(0.0)</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0(0.0)</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No</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172(100.0)</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28(16.2)</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144(83.7)</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Religion </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Christianity</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172(100.0)</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28(16.2)</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144(83.7)</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Islam</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0(0.0)</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0(0.0)</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0(0.0)</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5000" w:type="pct"/>
            <w:gridSpan w:val="5"/>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Mothers Knowledge of Measles </w:t>
            </w: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Yes</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165(95.9)</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25(15.2)</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140(84.8)</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119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No</w:t>
            </w:r>
          </w:p>
        </w:tc>
        <w:tc>
          <w:tcPr>
            <w:tcW w:w="1406"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7(4.1)</w:t>
            </w:r>
          </w:p>
        </w:tc>
        <w:tc>
          <w:tcPr>
            <w:tcW w:w="1143"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3(42.9)</w:t>
            </w:r>
          </w:p>
        </w:tc>
        <w:tc>
          <w:tcPr>
            <w:tcW w:w="1120"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4(57.1)</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bl>
    <w:p w:rsidR="00D431B5" w:rsidRPr="009F52A6" w:rsidRDefault="00D431B5"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171788" w:rsidRDefault="00171788" w:rsidP="00322645">
      <w:pPr>
        <w:autoSpaceDE w:val="0"/>
        <w:autoSpaceDN w:val="0"/>
        <w:adjustRightInd w:val="0"/>
        <w:snapToGrid w:val="0"/>
        <w:spacing w:after="0" w:line="240" w:lineRule="auto"/>
        <w:ind w:firstLine="425"/>
        <w:jc w:val="both"/>
        <w:rPr>
          <w:rFonts w:ascii="Times New Roman" w:hAnsi="Times New Roman" w:cs="Times New Roman"/>
          <w:sz w:val="20"/>
          <w:szCs w:val="24"/>
        </w:rPr>
        <w:sectPr w:rsidR="00171788" w:rsidSect="009F52A6">
          <w:type w:val="continuous"/>
          <w:pgSz w:w="12240" w:h="15840" w:code="1"/>
          <w:pgMar w:top="1440" w:right="1440" w:bottom="1440" w:left="1440" w:header="720" w:footer="720" w:gutter="0"/>
          <w:cols w:space="720"/>
          <w:docGrid w:linePitch="360"/>
        </w:sectPr>
      </w:pP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9F52A6">
        <w:rPr>
          <w:rFonts w:ascii="Times New Roman" w:hAnsi="Times New Roman" w:cs="Times New Roman"/>
          <w:sz w:val="20"/>
          <w:szCs w:val="24"/>
        </w:rPr>
        <w:lastRenderedPageBreak/>
        <w:t xml:space="preserve">Of the 172 participants recruited in this study, subjects between 4-6 years showed a higher positivity of 15.8 % (n=8) of the anti-Measles Virus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as opposed to the 2.3 % (n=2) prevalence recorded for 1-</w:t>
      </w:r>
      <w:r w:rsidRPr="009F52A6">
        <w:rPr>
          <w:rFonts w:ascii="Times New Roman" w:hAnsi="Times New Roman" w:cs="Times New Roman"/>
          <w:sz w:val="20"/>
          <w:szCs w:val="24"/>
        </w:rPr>
        <w:lastRenderedPageBreak/>
        <w:t>3 age group.</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With respect to gender, males had</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4.3 % (n=4) from a total number of 93 subjects tested, whereas female subjects had a higher rate of 10.1 % (n=8). With respect to religion, all respondents were </w:t>
      </w:r>
      <w:r w:rsidRPr="009F52A6">
        <w:rPr>
          <w:rFonts w:ascii="Times New Roman" w:hAnsi="Times New Roman" w:cs="Times New Roman"/>
          <w:sz w:val="20"/>
          <w:szCs w:val="24"/>
        </w:rPr>
        <w:lastRenderedPageBreak/>
        <w:t xml:space="preserve">Christians, of which 16.2 % (n=28) tested positive to the anti-measles virus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While ascertaining mothers knowledge of the measles virus, a 15.2 % (n=25) prevalence was observed from mothers with previous knowledge of the disease as opposed to those without prior knowledge of the disease with a prevalence of 42.9 % (n=3). See table 3 below:</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The result recorded the highest </w:t>
      </w:r>
      <w:proofErr w:type="spellStart"/>
      <w:r w:rsidRPr="009F52A6">
        <w:rPr>
          <w:rFonts w:ascii="Times New Roman" w:hAnsi="Times New Roman" w:cs="Times New Roman"/>
          <w:sz w:val="20"/>
          <w:szCs w:val="24"/>
        </w:rPr>
        <w:t>mean</w:t>
      </w:r>
      <w:r w:rsidRPr="009F52A6">
        <w:rPr>
          <w:rFonts w:ascii="Times New Roman" w:hAnsi="Times New Roman" w:cs="Times New Roman"/>
          <w:b/>
          <w:sz w:val="20"/>
          <w:szCs w:val="24"/>
        </w:rPr>
        <w:t>±</w:t>
      </w:r>
      <w:r w:rsidRPr="009F52A6">
        <w:rPr>
          <w:rFonts w:ascii="Times New Roman" w:hAnsi="Times New Roman" w:cs="Times New Roman"/>
          <w:sz w:val="20"/>
          <w:szCs w:val="24"/>
        </w:rPr>
        <w:t>SD</w:t>
      </w:r>
      <w:proofErr w:type="spellEnd"/>
      <w:r w:rsidRPr="009F52A6">
        <w:rPr>
          <w:rFonts w:ascii="Times New Roman" w:hAnsi="Times New Roman" w:cs="Times New Roman"/>
          <w:sz w:val="20"/>
          <w:szCs w:val="24"/>
        </w:rPr>
        <w:t xml:space="preserve"> of Lymphocyte count of 58.0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19.7 among 7-9 (n=3) of age groups with a </w:t>
      </w:r>
      <w:proofErr w:type="spellStart"/>
      <w:r w:rsidRPr="009F52A6">
        <w:rPr>
          <w:rFonts w:ascii="Times New Roman" w:hAnsi="Times New Roman" w:cs="Times New Roman"/>
          <w:sz w:val="20"/>
          <w:szCs w:val="24"/>
        </w:rPr>
        <w:t>mean</w:t>
      </w:r>
      <w:r w:rsidRPr="009F52A6">
        <w:rPr>
          <w:rFonts w:ascii="Times New Roman" w:hAnsi="Times New Roman" w:cs="Times New Roman"/>
          <w:b/>
          <w:sz w:val="20"/>
          <w:szCs w:val="24"/>
        </w:rPr>
        <w:t>±</w:t>
      </w:r>
      <w:r w:rsidRPr="009F52A6">
        <w:rPr>
          <w:rFonts w:ascii="Times New Roman" w:hAnsi="Times New Roman" w:cs="Times New Roman"/>
          <w:sz w:val="20"/>
          <w:szCs w:val="24"/>
        </w:rPr>
        <w:t>SD</w:t>
      </w:r>
      <w:proofErr w:type="spellEnd"/>
      <w:r w:rsidRPr="009F52A6">
        <w:rPr>
          <w:rFonts w:ascii="Times New Roman" w:hAnsi="Times New Roman" w:cs="Times New Roman"/>
          <w:sz w:val="20"/>
          <w:szCs w:val="24"/>
        </w:rPr>
        <w:t xml:space="preserve"> of anti-MV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positive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 2.2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0.9</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as opposed to</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38.7</w:t>
      </w:r>
      <w:r w:rsidRPr="009F52A6">
        <w:rPr>
          <w:rFonts w:ascii="Times New Roman" w:hAnsi="Times New Roman" w:cs="Times New Roman"/>
          <w:b/>
          <w:sz w:val="20"/>
          <w:szCs w:val="24"/>
        </w:rPr>
        <w:t xml:space="preserve"> ± </w:t>
      </w:r>
      <w:r w:rsidRPr="009F52A6">
        <w:rPr>
          <w:rFonts w:ascii="Times New Roman" w:hAnsi="Times New Roman" w:cs="Times New Roman"/>
          <w:sz w:val="20"/>
          <w:szCs w:val="24"/>
        </w:rPr>
        <w:t xml:space="preserve">7.6 recorded among participant of 10years and above having an anti-MV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positivity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 2.9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0.8. it was also observed that the highest </w:t>
      </w:r>
      <w:proofErr w:type="spellStart"/>
      <w:r w:rsidRPr="009F52A6">
        <w:rPr>
          <w:rFonts w:ascii="Times New Roman" w:hAnsi="Times New Roman" w:cs="Times New Roman"/>
          <w:sz w:val="20"/>
          <w:szCs w:val="24"/>
        </w:rPr>
        <w:t>mean</w:t>
      </w:r>
      <w:r w:rsidRPr="009F52A6">
        <w:rPr>
          <w:rFonts w:ascii="Times New Roman" w:hAnsi="Times New Roman" w:cs="Times New Roman"/>
          <w:b/>
          <w:sz w:val="20"/>
          <w:szCs w:val="24"/>
        </w:rPr>
        <w:t>±</w:t>
      </w:r>
      <w:r w:rsidRPr="009F52A6">
        <w:rPr>
          <w:rFonts w:ascii="Times New Roman" w:hAnsi="Times New Roman" w:cs="Times New Roman"/>
          <w:sz w:val="20"/>
          <w:szCs w:val="24"/>
        </w:rPr>
        <w:t>SD</w:t>
      </w:r>
      <w:proofErr w:type="spellEnd"/>
      <w:r w:rsidRPr="009F52A6">
        <w:rPr>
          <w:rFonts w:ascii="Times New Roman" w:hAnsi="Times New Roman" w:cs="Times New Roman"/>
          <w:sz w:val="20"/>
          <w:szCs w:val="24"/>
        </w:rPr>
        <w:t xml:space="preserve"> of </w:t>
      </w:r>
      <w:proofErr w:type="spellStart"/>
      <w:r w:rsidRPr="009F52A6">
        <w:rPr>
          <w:rFonts w:ascii="Times New Roman" w:hAnsi="Times New Roman" w:cs="Times New Roman"/>
          <w:sz w:val="20"/>
          <w:szCs w:val="24"/>
        </w:rPr>
        <w:t>Neutrophil</w:t>
      </w:r>
      <w:proofErr w:type="spellEnd"/>
      <w:r w:rsidRPr="009F52A6">
        <w:rPr>
          <w:rFonts w:ascii="Times New Roman" w:hAnsi="Times New Roman" w:cs="Times New Roman"/>
          <w:sz w:val="20"/>
          <w:szCs w:val="24"/>
        </w:rPr>
        <w:t xml:space="preserve"> </w:t>
      </w:r>
      <w:r w:rsidRPr="009F52A6">
        <w:rPr>
          <w:rFonts w:ascii="Times New Roman" w:hAnsi="Times New Roman" w:cs="Times New Roman"/>
          <w:sz w:val="20"/>
          <w:szCs w:val="24"/>
        </w:rPr>
        <w:lastRenderedPageBreak/>
        <w:t xml:space="preserve">count was found to be 60.7 ± 8.3 among 10years and above with an anti-MV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positivity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 2.9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0.8, while the lowest was 40.3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20.6 among 7-9 (n=3) age groups with an anti-MV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positivity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2.2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0.9. Also, there was a </w:t>
      </w:r>
      <w:proofErr w:type="spellStart"/>
      <w:r w:rsidRPr="009F52A6">
        <w:rPr>
          <w:rFonts w:ascii="Times New Roman" w:hAnsi="Times New Roman" w:cs="Times New Roman"/>
          <w:sz w:val="20"/>
          <w:szCs w:val="24"/>
        </w:rPr>
        <w:t>monocyte</w:t>
      </w:r>
      <w:proofErr w:type="spellEnd"/>
      <w:r w:rsidRPr="009F52A6">
        <w:rPr>
          <w:rFonts w:ascii="Times New Roman" w:hAnsi="Times New Roman" w:cs="Times New Roman"/>
          <w:sz w:val="20"/>
          <w:szCs w:val="24"/>
        </w:rPr>
        <w:t xml:space="preserve"> count of 2.0 ± 2.4 within 4-6 (n=9) as the highest having an anti-MV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positive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 1.6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0.6 as opposed to 0.7 ± 1.2 as the lowest </w:t>
      </w:r>
      <w:proofErr w:type="spellStart"/>
      <w:r w:rsidRPr="009F52A6">
        <w:rPr>
          <w:rFonts w:ascii="Times New Roman" w:hAnsi="Times New Roman" w:cs="Times New Roman"/>
          <w:sz w:val="20"/>
          <w:szCs w:val="24"/>
        </w:rPr>
        <w:t>mean</w:t>
      </w:r>
      <w:r w:rsidRPr="009F52A6">
        <w:rPr>
          <w:rFonts w:ascii="Times New Roman" w:hAnsi="Times New Roman" w:cs="Times New Roman"/>
          <w:b/>
          <w:sz w:val="20"/>
          <w:szCs w:val="24"/>
        </w:rPr>
        <w:t>±</w:t>
      </w:r>
      <w:r w:rsidRPr="009F52A6">
        <w:rPr>
          <w:rFonts w:ascii="Times New Roman" w:hAnsi="Times New Roman" w:cs="Times New Roman"/>
          <w:sz w:val="20"/>
          <w:szCs w:val="24"/>
        </w:rPr>
        <w:t>SD</w:t>
      </w:r>
      <w:proofErr w:type="spellEnd"/>
      <w:r w:rsidRPr="009F52A6">
        <w:rPr>
          <w:rFonts w:ascii="Times New Roman" w:hAnsi="Times New Roman" w:cs="Times New Roman"/>
          <w:sz w:val="20"/>
          <w:szCs w:val="24"/>
        </w:rPr>
        <w:t xml:space="preserve"> </w:t>
      </w:r>
      <w:proofErr w:type="spellStart"/>
      <w:r w:rsidRPr="009F52A6">
        <w:rPr>
          <w:rFonts w:ascii="Times New Roman" w:hAnsi="Times New Roman" w:cs="Times New Roman"/>
          <w:sz w:val="20"/>
          <w:szCs w:val="24"/>
        </w:rPr>
        <w:t>monocyte</w:t>
      </w:r>
      <w:proofErr w:type="spellEnd"/>
      <w:r w:rsidRPr="009F52A6">
        <w:rPr>
          <w:rFonts w:ascii="Times New Roman" w:hAnsi="Times New Roman" w:cs="Times New Roman"/>
          <w:sz w:val="20"/>
          <w:szCs w:val="24"/>
        </w:rPr>
        <w:t xml:space="preserve"> count among 10-13 (n=3) age groups with an anti- 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positive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 2.9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0.8. The highest and lowest </w:t>
      </w:r>
      <w:proofErr w:type="spellStart"/>
      <w:r w:rsidRPr="009F52A6">
        <w:rPr>
          <w:rFonts w:ascii="Times New Roman" w:hAnsi="Times New Roman" w:cs="Times New Roman"/>
          <w:sz w:val="20"/>
          <w:szCs w:val="24"/>
        </w:rPr>
        <w:t>mean</w:t>
      </w:r>
      <w:r w:rsidRPr="009F52A6">
        <w:rPr>
          <w:rFonts w:ascii="Times New Roman" w:hAnsi="Times New Roman" w:cs="Times New Roman"/>
          <w:b/>
          <w:sz w:val="20"/>
          <w:szCs w:val="24"/>
        </w:rPr>
        <w:t>±</w:t>
      </w:r>
      <w:r w:rsidRPr="009F52A6">
        <w:rPr>
          <w:rFonts w:ascii="Times New Roman" w:hAnsi="Times New Roman" w:cs="Times New Roman"/>
          <w:sz w:val="20"/>
          <w:szCs w:val="24"/>
        </w:rPr>
        <w:t>SD</w:t>
      </w:r>
      <w:proofErr w:type="spellEnd"/>
      <w:r w:rsidRPr="009F52A6">
        <w:rPr>
          <w:rFonts w:ascii="Times New Roman" w:hAnsi="Times New Roman" w:cs="Times New Roman"/>
          <w:sz w:val="20"/>
          <w:szCs w:val="24"/>
        </w:rPr>
        <w:t xml:space="preserve"> of </w:t>
      </w:r>
      <w:proofErr w:type="spellStart"/>
      <w:r w:rsidRPr="009F52A6">
        <w:rPr>
          <w:rFonts w:ascii="Times New Roman" w:hAnsi="Times New Roman" w:cs="Times New Roman"/>
          <w:sz w:val="20"/>
          <w:szCs w:val="24"/>
        </w:rPr>
        <w:t>Eosinophil</w:t>
      </w:r>
      <w:proofErr w:type="spellEnd"/>
      <w:r w:rsidRPr="009F52A6">
        <w:rPr>
          <w:rFonts w:ascii="Times New Roman" w:hAnsi="Times New Roman" w:cs="Times New Roman"/>
          <w:sz w:val="20"/>
          <w:szCs w:val="24"/>
        </w:rPr>
        <w:t xml:space="preserve"> was 2.0 ± 3.5 among &lt;1 (n=3) and 0.1 ± 0.3 among 1-3 (n=10) with 1.2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0.2 and 1.4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0.3 anti-MV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positive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respectively, as in table 4 below: </w:t>
      </w:r>
    </w:p>
    <w:p w:rsidR="00171788" w:rsidRDefault="00171788" w:rsidP="00322645">
      <w:pPr>
        <w:autoSpaceDE w:val="0"/>
        <w:autoSpaceDN w:val="0"/>
        <w:adjustRightInd w:val="0"/>
        <w:snapToGrid w:val="0"/>
        <w:spacing w:after="0" w:line="240" w:lineRule="auto"/>
        <w:jc w:val="center"/>
        <w:rPr>
          <w:rFonts w:ascii="Times New Roman" w:hAnsi="Times New Roman" w:cs="Times New Roman"/>
          <w:sz w:val="20"/>
          <w:szCs w:val="24"/>
        </w:rPr>
        <w:sectPr w:rsidR="00171788" w:rsidSect="00171788">
          <w:type w:val="continuous"/>
          <w:pgSz w:w="12240" w:h="15840" w:code="1"/>
          <w:pgMar w:top="1440" w:right="1440" w:bottom="1440" w:left="1440" w:header="720" w:footer="720" w:gutter="0"/>
          <w:cols w:num="2" w:space="550"/>
          <w:docGrid w:linePitch="360"/>
        </w:sectPr>
      </w:pPr>
      <w:bookmarkStart w:id="0" w:name="_GoBack"/>
      <w:bookmarkEnd w:id="0"/>
    </w:p>
    <w:p w:rsidR="00B449A4" w:rsidRPr="009F52A6" w:rsidRDefault="00B449A4" w:rsidP="00322645">
      <w:pPr>
        <w:autoSpaceDE w:val="0"/>
        <w:autoSpaceDN w:val="0"/>
        <w:adjustRightInd w:val="0"/>
        <w:snapToGrid w:val="0"/>
        <w:spacing w:after="0" w:line="240" w:lineRule="auto"/>
        <w:jc w:val="center"/>
        <w:rPr>
          <w:rFonts w:ascii="Times New Roman" w:hAnsi="Times New Roman" w:cs="Times New Roman"/>
          <w:sz w:val="20"/>
          <w:szCs w:val="24"/>
        </w:rPr>
      </w:pPr>
    </w:p>
    <w:p w:rsidR="00FE602D" w:rsidRPr="009F52A6" w:rsidRDefault="00FE602D" w:rsidP="00322645">
      <w:pPr>
        <w:autoSpaceDE w:val="0"/>
        <w:autoSpaceDN w:val="0"/>
        <w:adjustRightInd w:val="0"/>
        <w:snapToGrid w:val="0"/>
        <w:spacing w:after="0" w:line="240" w:lineRule="auto"/>
        <w:jc w:val="center"/>
        <w:rPr>
          <w:rFonts w:ascii="Times New Roman" w:hAnsi="Times New Roman" w:cs="Times New Roman"/>
          <w:sz w:val="20"/>
          <w:szCs w:val="24"/>
        </w:rPr>
      </w:pPr>
      <w:r w:rsidRPr="009F52A6">
        <w:rPr>
          <w:rFonts w:ascii="Times New Roman" w:hAnsi="Times New Roman" w:cs="Times New Roman"/>
          <w:sz w:val="20"/>
          <w:szCs w:val="24"/>
        </w:rPr>
        <w:t xml:space="preserve">Table 3. Detectable anti-Measles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in Vaccinated Children Stratified by </w:t>
      </w:r>
      <w:proofErr w:type="spellStart"/>
      <w:r w:rsidRPr="009F52A6">
        <w:rPr>
          <w:rFonts w:ascii="Times New Roman" w:hAnsi="Times New Roman" w:cs="Times New Roman"/>
          <w:sz w:val="20"/>
          <w:szCs w:val="24"/>
        </w:rPr>
        <w:t>Dermographic</w:t>
      </w:r>
      <w:proofErr w:type="spellEnd"/>
      <w:r w:rsidRPr="009F52A6">
        <w:rPr>
          <w:rFonts w:ascii="Times New Roman" w:hAnsi="Times New Roman" w:cs="Times New Roman"/>
          <w:sz w:val="20"/>
          <w:szCs w:val="24"/>
        </w:rPr>
        <w:t xml:space="preserve"> Details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261"/>
        <w:gridCol w:w="2384"/>
        <w:gridCol w:w="2187"/>
        <w:gridCol w:w="2384"/>
        <w:gridCol w:w="258"/>
      </w:tblGrid>
      <w:tr w:rsidR="009F52A6" w:rsidRPr="009F52A6" w:rsidTr="009F52A6">
        <w:trPr>
          <w:jc w:val="center"/>
        </w:trPr>
        <w:tc>
          <w:tcPr>
            <w:tcW w:w="1194"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Variables </w:t>
            </w:r>
          </w:p>
        </w:tc>
        <w:tc>
          <w:tcPr>
            <w:tcW w:w="1258"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No. Tested (%)</w:t>
            </w:r>
          </w:p>
        </w:tc>
        <w:tc>
          <w:tcPr>
            <w:tcW w:w="1154"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No. Positive (%)</w:t>
            </w:r>
          </w:p>
        </w:tc>
        <w:tc>
          <w:tcPr>
            <w:tcW w:w="1258"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No. </w:t>
            </w:r>
            <w:proofErr w:type="spellStart"/>
            <w:r w:rsidRPr="009F52A6">
              <w:rPr>
                <w:rFonts w:ascii="Times New Roman" w:hAnsi="Times New Roman" w:cs="Times New Roman"/>
                <w:sz w:val="20"/>
                <w:szCs w:val="24"/>
              </w:rPr>
              <w:t>Negetive</w:t>
            </w:r>
            <w:proofErr w:type="spellEnd"/>
            <w:r w:rsidRPr="009F52A6">
              <w:rPr>
                <w:rFonts w:ascii="Times New Roman" w:hAnsi="Times New Roman" w:cs="Times New Roman"/>
                <w:sz w:val="20"/>
                <w:szCs w:val="24"/>
              </w:rPr>
              <w:t xml:space="preserve"> (%)</w:t>
            </w:r>
          </w:p>
        </w:tc>
        <w:tc>
          <w:tcPr>
            <w:tcW w:w="135"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Age (years)</w:t>
            </w:r>
          </w:p>
        </w:tc>
        <w:tc>
          <w:tcPr>
            <w:tcW w:w="1258"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154"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258"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35"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&lt; 1</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11(6.4)</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1(9.1)</w:t>
            </w:r>
          </w:p>
        </w:tc>
        <w:tc>
          <w:tcPr>
            <w:tcW w:w="1258" w:type="pct"/>
            <w:vAlign w:val="center"/>
          </w:tcPr>
          <w:p w:rsidR="00FE602D" w:rsidRPr="009F52A6" w:rsidRDefault="009F52A6"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 </w:t>
            </w:r>
            <w:r w:rsidR="00FE602D" w:rsidRPr="009F52A6">
              <w:rPr>
                <w:rFonts w:ascii="Times New Roman" w:hAnsi="Times New Roman" w:cs="Times New Roman"/>
                <w:sz w:val="20"/>
                <w:szCs w:val="24"/>
              </w:rPr>
              <w:t>8(90.9)</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1-3</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89(51.7)</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2(2.3)</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87(97.7)</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4-6</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38(22.1)</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6(15.8)</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32(84.2)</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7-9</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13(7.6)</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1(7.7)</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12(92.3)</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10-13</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21(12.2)</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2(9.5)</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19(90.5)</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Sex</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Male</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93(54.1)</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4(4.3)</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89(95.7)</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Female</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79(45.9)</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8(10.1)</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71(89.9)</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5000" w:type="pct"/>
            <w:gridSpan w:val="5"/>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Previous Disease Post Vaccination </w:t>
            </w: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Yes</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0(0.0)</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0(0.0)</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0(0.0)</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No</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172(100.0)</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28(16.2)</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144(83.7)</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Religion </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Christianity</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172(100.0)</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28(16.2)</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144(83.7)</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Islam</w:t>
            </w:r>
          </w:p>
        </w:tc>
        <w:tc>
          <w:tcPr>
            <w:tcW w:w="1258" w:type="pct"/>
            <w:vAlign w:val="center"/>
          </w:tcPr>
          <w:p w:rsidR="00FE602D" w:rsidRPr="009F52A6" w:rsidRDefault="009F52A6"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 </w:t>
            </w:r>
            <w:r w:rsidR="00FE602D" w:rsidRPr="009F52A6">
              <w:rPr>
                <w:rFonts w:ascii="Times New Roman" w:hAnsi="Times New Roman" w:cs="Times New Roman"/>
                <w:sz w:val="20"/>
                <w:szCs w:val="24"/>
              </w:rPr>
              <w:t>0(0.0)</w:t>
            </w:r>
          </w:p>
        </w:tc>
        <w:tc>
          <w:tcPr>
            <w:tcW w:w="1154" w:type="pct"/>
            <w:vAlign w:val="center"/>
          </w:tcPr>
          <w:p w:rsidR="00FE602D" w:rsidRPr="009F52A6" w:rsidRDefault="009F52A6"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 </w:t>
            </w:r>
            <w:r w:rsidR="00FE602D" w:rsidRPr="009F52A6">
              <w:rPr>
                <w:rFonts w:ascii="Times New Roman" w:hAnsi="Times New Roman" w:cs="Times New Roman"/>
                <w:sz w:val="20"/>
                <w:szCs w:val="24"/>
              </w:rPr>
              <w:t>0(0.0)</w:t>
            </w:r>
          </w:p>
        </w:tc>
        <w:tc>
          <w:tcPr>
            <w:tcW w:w="1258" w:type="pct"/>
            <w:vAlign w:val="center"/>
          </w:tcPr>
          <w:p w:rsidR="00FE602D" w:rsidRPr="009F52A6" w:rsidRDefault="009F52A6"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 </w:t>
            </w:r>
            <w:r w:rsidR="00FE602D" w:rsidRPr="009F52A6">
              <w:rPr>
                <w:rFonts w:ascii="Times New Roman" w:hAnsi="Times New Roman" w:cs="Times New Roman"/>
                <w:sz w:val="20"/>
                <w:szCs w:val="24"/>
              </w:rPr>
              <w:t>0(0.0)</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FE602D" w:rsidRPr="009F52A6" w:rsidTr="009F52A6">
        <w:trPr>
          <w:jc w:val="center"/>
        </w:trPr>
        <w:tc>
          <w:tcPr>
            <w:tcW w:w="5000" w:type="pct"/>
            <w:gridSpan w:val="5"/>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Mothers Knowledge of Measles </w:t>
            </w: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Yes</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165(95.9)</w:t>
            </w:r>
          </w:p>
        </w:tc>
        <w:tc>
          <w:tcPr>
            <w:tcW w:w="115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25(15.2)</w:t>
            </w:r>
          </w:p>
        </w:tc>
        <w:tc>
          <w:tcPr>
            <w:tcW w:w="1258"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140(84.8)</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No</w:t>
            </w:r>
          </w:p>
        </w:tc>
        <w:tc>
          <w:tcPr>
            <w:tcW w:w="1258" w:type="pct"/>
            <w:vAlign w:val="center"/>
          </w:tcPr>
          <w:p w:rsidR="00FE602D" w:rsidRPr="009F52A6" w:rsidRDefault="009F52A6"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 </w:t>
            </w:r>
            <w:r w:rsidR="00FE602D" w:rsidRPr="009F52A6">
              <w:rPr>
                <w:rFonts w:ascii="Times New Roman" w:hAnsi="Times New Roman" w:cs="Times New Roman"/>
                <w:sz w:val="20"/>
                <w:szCs w:val="24"/>
              </w:rPr>
              <w:t>7(4.1)</w:t>
            </w:r>
          </w:p>
        </w:tc>
        <w:tc>
          <w:tcPr>
            <w:tcW w:w="1154" w:type="pct"/>
            <w:vAlign w:val="center"/>
          </w:tcPr>
          <w:p w:rsidR="00FE602D" w:rsidRPr="009F52A6" w:rsidRDefault="009F52A6"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 </w:t>
            </w:r>
            <w:r w:rsidR="00FE602D" w:rsidRPr="009F52A6">
              <w:rPr>
                <w:rFonts w:ascii="Times New Roman" w:hAnsi="Times New Roman" w:cs="Times New Roman"/>
                <w:sz w:val="20"/>
                <w:szCs w:val="24"/>
              </w:rPr>
              <w:t>3(42.9)</w:t>
            </w:r>
          </w:p>
        </w:tc>
        <w:tc>
          <w:tcPr>
            <w:tcW w:w="1258" w:type="pct"/>
            <w:vAlign w:val="center"/>
          </w:tcPr>
          <w:p w:rsidR="00FE602D" w:rsidRPr="009F52A6" w:rsidRDefault="009F52A6"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 </w:t>
            </w:r>
            <w:r w:rsidR="00FE602D" w:rsidRPr="009F52A6">
              <w:rPr>
                <w:rFonts w:ascii="Times New Roman" w:hAnsi="Times New Roman" w:cs="Times New Roman"/>
                <w:sz w:val="20"/>
                <w:szCs w:val="24"/>
              </w:rPr>
              <w:t>4(57.1)</w:t>
            </w:r>
          </w:p>
        </w:tc>
        <w:tc>
          <w:tcPr>
            <w:tcW w:w="13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bl>
    <w:p w:rsidR="00FE602D" w:rsidRPr="009F52A6" w:rsidRDefault="00FE602D" w:rsidP="00322645">
      <w:pPr>
        <w:autoSpaceDE w:val="0"/>
        <w:autoSpaceDN w:val="0"/>
        <w:adjustRightInd w:val="0"/>
        <w:snapToGrid w:val="0"/>
        <w:spacing w:after="0" w:line="240" w:lineRule="auto"/>
        <w:jc w:val="both"/>
        <w:rPr>
          <w:rFonts w:ascii="Times New Roman" w:hAnsi="Times New Roman" w:cs="Times New Roman"/>
          <w:b/>
          <w:sz w:val="20"/>
          <w:szCs w:val="24"/>
        </w:rPr>
      </w:pPr>
    </w:p>
    <w:p w:rsidR="00171788" w:rsidRDefault="00171788" w:rsidP="00322645">
      <w:pPr>
        <w:autoSpaceDE w:val="0"/>
        <w:autoSpaceDN w:val="0"/>
        <w:adjustRightInd w:val="0"/>
        <w:snapToGrid w:val="0"/>
        <w:spacing w:after="0" w:line="240" w:lineRule="auto"/>
        <w:ind w:firstLine="425"/>
        <w:jc w:val="both"/>
        <w:rPr>
          <w:rFonts w:ascii="Times New Roman" w:hAnsi="Times New Roman" w:cs="Times New Roman"/>
          <w:sz w:val="20"/>
          <w:szCs w:val="24"/>
        </w:rPr>
        <w:sectPr w:rsidR="00171788" w:rsidSect="009F52A6">
          <w:type w:val="continuous"/>
          <w:pgSz w:w="12240" w:h="15840" w:code="1"/>
          <w:pgMar w:top="1440" w:right="1440" w:bottom="1440" w:left="1440" w:header="720" w:footer="720" w:gutter="0"/>
          <w:cols w:space="720"/>
          <w:docGrid w:linePitch="360"/>
        </w:sectPr>
      </w:pPr>
    </w:p>
    <w:p w:rsidR="009F52A6"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lastRenderedPageBreak/>
        <w:t xml:space="preserve">The result recorded the highest </w:t>
      </w:r>
      <w:proofErr w:type="spellStart"/>
      <w:r w:rsidRPr="009F52A6">
        <w:rPr>
          <w:rFonts w:ascii="Times New Roman" w:hAnsi="Times New Roman" w:cs="Times New Roman"/>
          <w:sz w:val="20"/>
          <w:szCs w:val="24"/>
        </w:rPr>
        <w:t>mean</w:t>
      </w:r>
      <w:r w:rsidRPr="009F52A6">
        <w:rPr>
          <w:rFonts w:ascii="Times New Roman" w:hAnsi="Times New Roman" w:cs="Times New Roman"/>
          <w:b/>
          <w:sz w:val="20"/>
          <w:szCs w:val="24"/>
        </w:rPr>
        <w:t>±</w:t>
      </w:r>
      <w:r w:rsidRPr="009F52A6">
        <w:rPr>
          <w:rFonts w:ascii="Times New Roman" w:hAnsi="Times New Roman" w:cs="Times New Roman"/>
          <w:sz w:val="20"/>
          <w:szCs w:val="24"/>
        </w:rPr>
        <w:t>SD</w:t>
      </w:r>
      <w:proofErr w:type="spellEnd"/>
      <w:r w:rsidRPr="009F52A6">
        <w:rPr>
          <w:rFonts w:ascii="Times New Roman" w:hAnsi="Times New Roman" w:cs="Times New Roman"/>
          <w:sz w:val="20"/>
          <w:szCs w:val="24"/>
        </w:rPr>
        <w:t xml:space="preserve"> of Lymphocyte count of 51.0</w:t>
      </w:r>
      <w:r w:rsidRPr="009F52A6">
        <w:rPr>
          <w:rFonts w:ascii="Times New Roman" w:hAnsi="Times New Roman" w:cs="Times New Roman"/>
          <w:b/>
          <w:sz w:val="20"/>
          <w:szCs w:val="24"/>
        </w:rPr>
        <w:t xml:space="preserve"> ± </w:t>
      </w:r>
      <w:r w:rsidRPr="009F52A6">
        <w:rPr>
          <w:rFonts w:ascii="Times New Roman" w:hAnsi="Times New Roman" w:cs="Times New Roman"/>
          <w:sz w:val="20"/>
          <w:szCs w:val="24"/>
        </w:rPr>
        <w:t xml:space="preserve">7.1 among 10-13 (n=2) age groups with a </w:t>
      </w:r>
      <w:proofErr w:type="spellStart"/>
      <w:r w:rsidRPr="009F52A6">
        <w:rPr>
          <w:rFonts w:ascii="Times New Roman" w:hAnsi="Times New Roman" w:cs="Times New Roman"/>
          <w:sz w:val="20"/>
          <w:szCs w:val="24"/>
        </w:rPr>
        <w:t>mean</w:t>
      </w:r>
      <w:r w:rsidRPr="009F52A6">
        <w:rPr>
          <w:rFonts w:ascii="Times New Roman" w:hAnsi="Times New Roman" w:cs="Times New Roman"/>
          <w:b/>
          <w:sz w:val="20"/>
          <w:szCs w:val="24"/>
        </w:rPr>
        <w:t>±</w:t>
      </w:r>
      <w:r w:rsidRPr="009F52A6">
        <w:rPr>
          <w:rFonts w:ascii="Times New Roman" w:hAnsi="Times New Roman" w:cs="Times New Roman"/>
          <w:sz w:val="20"/>
          <w:szCs w:val="24"/>
        </w:rPr>
        <w:t>SD</w:t>
      </w:r>
      <w:proofErr w:type="spellEnd"/>
      <w:r w:rsidRPr="009F52A6">
        <w:rPr>
          <w:rFonts w:ascii="Times New Roman" w:hAnsi="Times New Roman" w:cs="Times New Roman"/>
          <w:sz w:val="20"/>
          <w:szCs w:val="24"/>
        </w:rPr>
        <w:t xml:space="preserve"> of anti-MV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positive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1.5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0.4 as opposed to</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43.0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0.0 recorded among participant of 7-9 (n=1) having an anti-MV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positivity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 1.5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0.0. It was also observed that the highest mean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SD of </w:t>
      </w:r>
      <w:proofErr w:type="spellStart"/>
      <w:r w:rsidRPr="009F52A6">
        <w:rPr>
          <w:rFonts w:ascii="Times New Roman" w:hAnsi="Times New Roman" w:cs="Times New Roman"/>
          <w:sz w:val="20"/>
          <w:szCs w:val="24"/>
        </w:rPr>
        <w:t>Neutrophil</w:t>
      </w:r>
      <w:proofErr w:type="spellEnd"/>
      <w:r w:rsidRPr="009F52A6">
        <w:rPr>
          <w:rFonts w:ascii="Times New Roman" w:hAnsi="Times New Roman" w:cs="Times New Roman"/>
          <w:sz w:val="20"/>
          <w:szCs w:val="24"/>
        </w:rPr>
        <w:t xml:space="preserve"> count was found to be 54.0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0.0 among 7-9 (n=1) with an anti-MV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positivity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 1.5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0.0, while the lowest was 4049.0 ± 7.1 among 10-13 (n=2) age groups with </w:t>
      </w:r>
      <w:r w:rsidRPr="009F52A6">
        <w:rPr>
          <w:rFonts w:ascii="Times New Roman" w:hAnsi="Times New Roman" w:cs="Times New Roman"/>
          <w:sz w:val="20"/>
          <w:szCs w:val="24"/>
        </w:rPr>
        <w:lastRenderedPageBreak/>
        <w:t xml:space="preserve">an anti-MV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positive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 1.5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0.4. Also, there was a </w:t>
      </w:r>
      <w:proofErr w:type="spellStart"/>
      <w:r w:rsidRPr="009F52A6">
        <w:rPr>
          <w:rFonts w:ascii="Times New Roman" w:hAnsi="Times New Roman" w:cs="Times New Roman"/>
          <w:sz w:val="20"/>
          <w:szCs w:val="24"/>
        </w:rPr>
        <w:t>monocyte</w:t>
      </w:r>
      <w:proofErr w:type="spellEnd"/>
      <w:r w:rsidRPr="009F52A6">
        <w:rPr>
          <w:rFonts w:ascii="Times New Roman" w:hAnsi="Times New Roman" w:cs="Times New Roman"/>
          <w:sz w:val="20"/>
          <w:szCs w:val="24"/>
        </w:rPr>
        <w:t xml:space="preserve"> count of 3.0 ± 0.0 within 7-9 (n=1) as the highest having an anti-MV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positive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 1.5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0.0 as opposed to 0.5 ± 0.7 as the lowest mean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SD </w:t>
      </w:r>
      <w:proofErr w:type="spellStart"/>
      <w:r w:rsidRPr="009F52A6">
        <w:rPr>
          <w:rFonts w:ascii="Times New Roman" w:hAnsi="Times New Roman" w:cs="Times New Roman"/>
          <w:sz w:val="20"/>
          <w:szCs w:val="24"/>
        </w:rPr>
        <w:t>monocyte</w:t>
      </w:r>
      <w:proofErr w:type="spellEnd"/>
      <w:r w:rsidRPr="009F52A6">
        <w:rPr>
          <w:rFonts w:ascii="Times New Roman" w:hAnsi="Times New Roman" w:cs="Times New Roman"/>
          <w:sz w:val="20"/>
          <w:szCs w:val="24"/>
        </w:rPr>
        <w:t xml:space="preserve"> count among 1-3 (n=2) age groups with an anti-MV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positive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of 1.6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0.1. The </w:t>
      </w:r>
      <w:proofErr w:type="spellStart"/>
      <w:r w:rsidRPr="009F52A6">
        <w:rPr>
          <w:rFonts w:ascii="Times New Roman" w:hAnsi="Times New Roman" w:cs="Times New Roman"/>
          <w:sz w:val="20"/>
          <w:szCs w:val="24"/>
        </w:rPr>
        <w:t>eosinophil</w:t>
      </w:r>
      <w:proofErr w:type="spellEnd"/>
      <w:r w:rsidRPr="009F52A6">
        <w:rPr>
          <w:rFonts w:ascii="Times New Roman" w:hAnsi="Times New Roman" w:cs="Times New Roman"/>
          <w:sz w:val="20"/>
          <w:szCs w:val="24"/>
        </w:rPr>
        <w:t xml:space="preserve"> mean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 xml:space="preserve">SD was 0.5 ± 0.7 among 1-3 (n=2) age groups having an anti-MV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positive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value of 1.6 </w:t>
      </w:r>
      <w:r w:rsidRPr="009F52A6">
        <w:rPr>
          <w:rFonts w:ascii="Times New Roman" w:hAnsi="Times New Roman" w:cs="Times New Roman"/>
          <w:b/>
          <w:sz w:val="20"/>
          <w:szCs w:val="24"/>
        </w:rPr>
        <w:t xml:space="preserve">± </w:t>
      </w:r>
      <w:r w:rsidRPr="009F52A6">
        <w:rPr>
          <w:rFonts w:ascii="Times New Roman" w:hAnsi="Times New Roman" w:cs="Times New Roman"/>
          <w:sz w:val="20"/>
          <w:szCs w:val="24"/>
        </w:rPr>
        <w:t>0.1 while other were negligible. See table 5 below:</w:t>
      </w:r>
    </w:p>
    <w:p w:rsidR="00171788" w:rsidRDefault="00171788" w:rsidP="00322645">
      <w:pPr>
        <w:autoSpaceDE w:val="0"/>
        <w:autoSpaceDN w:val="0"/>
        <w:adjustRightInd w:val="0"/>
        <w:snapToGrid w:val="0"/>
        <w:spacing w:after="0" w:line="240" w:lineRule="auto"/>
        <w:ind w:firstLine="425"/>
        <w:jc w:val="both"/>
        <w:rPr>
          <w:rFonts w:ascii="Times New Roman" w:hAnsi="Times New Roman" w:cs="Times New Roman"/>
          <w:sz w:val="20"/>
          <w:szCs w:val="24"/>
        </w:rPr>
        <w:sectPr w:rsidR="00171788" w:rsidSect="00171788">
          <w:type w:val="continuous"/>
          <w:pgSz w:w="12240" w:h="15840" w:code="1"/>
          <w:pgMar w:top="1440" w:right="1440" w:bottom="1440" w:left="1440" w:header="720" w:footer="720" w:gutter="0"/>
          <w:cols w:num="2" w:space="550"/>
          <w:docGrid w:linePitch="360"/>
        </w:sectPr>
      </w:pPr>
    </w:p>
    <w:p w:rsidR="00FE602D" w:rsidRPr="009F52A6" w:rsidRDefault="009F52A6" w:rsidP="00171788">
      <w:pPr>
        <w:autoSpaceDE w:val="0"/>
        <w:autoSpaceDN w:val="0"/>
        <w:adjustRightInd w:val="0"/>
        <w:snapToGri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lastRenderedPageBreak/>
        <w:cr/>
      </w:r>
      <w:r w:rsidR="00FE602D" w:rsidRPr="009F52A6">
        <w:rPr>
          <w:rFonts w:ascii="Times New Roman" w:hAnsi="Times New Roman" w:cs="Times New Roman"/>
          <w:sz w:val="20"/>
          <w:szCs w:val="24"/>
        </w:rPr>
        <w:t xml:space="preserve">Table 4: Mean ± SD of Leukocyte Counts of Positive anti-MV </w:t>
      </w:r>
      <w:proofErr w:type="spellStart"/>
      <w:r w:rsidR="00FE602D" w:rsidRPr="009F52A6">
        <w:rPr>
          <w:rFonts w:ascii="Times New Roman" w:hAnsi="Times New Roman" w:cs="Times New Roman"/>
          <w:sz w:val="20"/>
          <w:szCs w:val="24"/>
        </w:rPr>
        <w:t>IgG</w:t>
      </w:r>
      <w:proofErr w:type="spellEnd"/>
      <w:r w:rsidR="00FE602D" w:rsidRPr="009F52A6">
        <w:rPr>
          <w:rFonts w:ascii="Times New Roman" w:hAnsi="Times New Roman" w:cs="Times New Roman"/>
          <w:sz w:val="20"/>
          <w:szCs w:val="24"/>
        </w:rPr>
        <w:t xml:space="preserve"> Subjects </w:t>
      </w:r>
      <w:r w:rsidR="00B241A1" w:rsidRPr="009F52A6">
        <w:rPr>
          <w:rFonts w:ascii="Times New Roman" w:hAnsi="Times New Roman" w:cs="Times New Roman"/>
          <w:sz w:val="20"/>
          <w:szCs w:val="24"/>
        </w:rPr>
        <w:t>Grouped by</w:t>
      </w:r>
      <w:r w:rsidR="00FE602D" w:rsidRPr="009F52A6">
        <w:rPr>
          <w:rFonts w:ascii="Times New Roman" w:hAnsi="Times New Roman" w:cs="Times New Roman"/>
          <w:sz w:val="20"/>
          <w:szCs w:val="24"/>
        </w:rPr>
        <w:t xml:space="preserve"> </w:t>
      </w:r>
      <w:r w:rsidR="00B241A1" w:rsidRPr="009F52A6">
        <w:rPr>
          <w:rFonts w:ascii="Times New Roman" w:hAnsi="Times New Roman" w:cs="Times New Roman"/>
          <w:sz w:val="20"/>
          <w:szCs w:val="24"/>
        </w:rPr>
        <w:t>Age</w:t>
      </w:r>
      <w:r w:rsidR="00FE602D" w:rsidRPr="009F52A6">
        <w:rPr>
          <w:rFonts w:ascii="Times New Roman" w:hAnsi="Times New Roman" w:cs="Times New Roman"/>
          <w:sz w:val="20"/>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879"/>
        <w:gridCol w:w="1260"/>
        <w:gridCol w:w="1260"/>
        <w:gridCol w:w="1260"/>
        <w:gridCol w:w="1260"/>
        <w:gridCol w:w="1260"/>
        <w:gridCol w:w="568"/>
        <w:gridCol w:w="594"/>
      </w:tblGrid>
      <w:tr w:rsidR="009F52A6" w:rsidRPr="007B21E5" w:rsidTr="007B21E5">
        <w:trPr>
          <w:jc w:val="center"/>
        </w:trPr>
        <w:tc>
          <w:tcPr>
            <w:tcW w:w="0" w:type="auto"/>
            <w:tcBorders>
              <w:top w:val="single" w:sz="4" w:space="0" w:color="auto"/>
              <w:bottom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Parameter</w:t>
            </w:r>
          </w:p>
        </w:tc>
        <w:tc>
          <w:tcPr>
            <w:tcW w:w="0" w:type="auto"/>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&lt;1 (n=3)/N.R</w:t>
            </w:r>
          </w:p>
        </w:tc>
        <w:tc>
          <w:tcPr>
            <w:tcW w:w="0" w:type="auto"/>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1-3 (n=10)/N.R</w:t>
            </w:r>
          </w:p>
        </w:tc>
        <w:tc>
          <w:tcPr>
            <w:tcW w:w="0" w:type="auto"/>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4-6 (n=9)/N.R</w:t>
            </w:r>
          </w:p>
        </w:tc>
        <w:tc>
          <w:tcPr>
            <w:tcW w:w="0" w:type="auto"/>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7-9 (n=3)/N.R</w:t>
            </w:r>
          </w:p>
        </w:tc>
        <w:tc>
          <w:tcPr>
            <w:tcW w:w="0" w:type="auto"/>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10-13 (n=3)/N.R</w:t>
            </w:r>
          </w:p>
        </w:tc>
        <w:tc>
          <w:tcPr>
            <w:tcW w:w="0" w:type="auto"/>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f-value</w:t>
            </w:r>
          </w:p>
        </w:tc>
        <w:tc>
          <w:tcPr>
            <w:tcW w:w="0" w:type="auto"/>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p-value</w:t>
            </w:r>
          </w:p>
        </w:tc>
      </w:tr>
      <w:tr w:rsidR="009F52A6" w:rsidRPr="007B21E5" w:rsidTr="007B21E5">
        <w:trPr>
          <w:jc w:val="center"/>
        </w:trPr>
        <w:tc>
          <w:tcPr>
            <w:tcW w:w="0" w:type="auto"/>
            <w:tcBorders>
              <w:top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Positive MV </w:t>
            </w:r>
            <w:proofErr w:type="spellStart"/>
            <w:r w:rsidRPr="007B21E5">
              <w:rPr>
                <w:rFonts w:ascii="Times New Roman" w:hAnsi="Times New Roman" w:cs="Times New Roman"/>
                <w:sz w:val="16"/>
                <w:szCs w:val="24"/>
              </w:rPr>
              <w:t>IgG</w:t>
            </w:r>
            <w:proofErr w:type="spellEnd"/>
            <w:r w:rsidRPr="007B21E5">
              <w:rPr>
                <w:rFonts w:ascii="Times New Roman" w:hAnsi="Times New Roman" w:cs="Times New Roman"/>
                <w:sz w:val="16"/>
                <w:szCs w:val="24"/>
              </w:rPr>
              <w:t xml:space="preserve"> O.D level</w:t>
            </w:r>
          </w:p>
        </w:tc>
        <w:tc>
          <w:tcPr>
            <w:tcW w:w="0" w:type="auto"/>
            <w:tcBorders>
              <w:top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1.2 ± 0.2</w:t>
            </w:r>
            <w:r w:rsidRPr="007B21E5">
              <w:rPr>
                <w:rFonts w:ascii="Times New Roman" w:hAnsi="Times New Roman" w:cs="Times New Roman"/>
                <w:sz w:val="16"/>
                <w:szCs w:val="24"/>
              </w:rPr>
              <w:t xml:space="preserve"> </w:t>
            </w:r>
          </w:p>
        </w:tc>
        <w:tc>
          <w:tcPr>
            <w:tcW w:w="0" w:type="auto"/>
            <w:tcBorders>
              <w:top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1.4 ± 0.3</w:t>
            </w:r>
          </w:p>
        </w:tc>
        <w:tc>
          <w:tcPr>
            <w:tcW w:w="0" w:type="auto"/>
            <w:tcBorders>
              <w:top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1.6 ± 0.6</w:t>
            </w:r>
          </w:p>
        </w:tc>
        <w:tc>
          <w:tcPr>
            <w:tcW w:w="0" w:type="auto"/>
            <w:tcBorders>
              <w:top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2.2 ± 0.9</w:t>
            </w:r>
          </w:p>
        </w:tc>
        <w:tc>
          <w:tcPr>
            <w:tcW w:w="0" w:type="auto"/>
            <w:tcBorders>
              <w:top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2.9 ± 0.8</w:t>
            </w:r>
          </w:p>
        </w:tc>
        <w:tc>
          <w:tcPr>
            <w:tcW w:w="0" w:type="auto"/>
            <w:tcBorders>
              <w:top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p>
        </w:tc>
        <w:tc>
          <w:tcPr>
            <w:tcW w:w="0" w:type="auto"/>
            <w:tcBorders>
              <w:top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p>
        </w:tc>
      </w:tr>
      <w:tr w:rsidR="009F52A6" w:rsidRPr="007B21E5" w:rsidTr="007B21E5">
        <w:trPr>
          <w:jc w:val="center"/>
        </w:trPr>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Lymphocyte count (%)</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46.7</w:t>
            </w:r>
            <w:r w:rsidRPr="007B21E5">
              <w:rPr>
                <w:rFonts w:ascii="Times New Roman" w:hAnsi="Times New Roman" w:cs="Times New Roman"/>
                <w:b/>
                <w:sz w:val="16"/>
                <w:szCs w:val="24"/>
              </w:rPr>
              <w:t xml:space="preserve">± </w:t>
            </w:r>
            <w:r w:rsidRPr="007B21E5">
              <w:rPr>
                <w:rFonts w:ascii="Times New Roman" w:hAnsi="Times New Roman" w:cs="Times New Roman"/>
                <w:sz w:val="16"/>
                <w:szCs w:val="24"/>
              </w:rPr>
              <w:t>4.2/ 45-47</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47.6 </w:t>
            </w:r>
            <w:r w:rsidRPr="007B21E5">
              <w:rPr>
                <w:rFonts w:ascii="Times New Roman" w:hAnsi="Times New Roman" w:cs="Times New Roman"/>
                <w:b/>
                <w:sz w:val="16"/>
                <w:szCs w:val="24"/>
              </w:rPr>
              <w:t>±</w:t>
            </w:r>
            <w:r w:rsidRPr="007B21E5">
              <w:rPr>
                <w:rFonts w:ascii="Times New Roman" w:hAnsi="Times New Roman" w:cs="Times New Roman"/>
                <w:sz w:val="16"/>
                <w:szCs w:val="24"/>
              </w:rPr>
              <w:t>16.5/</w:t>
            </w:r>
            <w:r w:rsidR="007B21E5" w:rsidRPr="007B21E5">
              <w:rPr>
                <w:rFonts w:ascii="Times New Roman" w:hAnsi="Times New Roman" w:cs="Times New Roman"/>
                <w:sz w:val="16"/>
                <w:szCs w:val="24"/>
              </w:rPr>
              <w:t xml:space="preserve"> </w:t>
            </w:r>
            <w:r w:rsidRPr="007B21E5">
              <w:rPr>
                <w:rFonts w:ascii="Times New Roman" w:hAnsi="Times New Roman" w:cs="Times New Roman"/>
                <w:sz w:val="16"/>
                <w:szCs w:val="24"/>
              </w:rPr>
              <w:t>50-70</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39.9± 13.3/</w:t>
            </w:r>
            <w:r w:rsidR="007B21E5" w:rsidRPr="007B21E5">
              <w:rPr>
                <w:rFonts w:ascii="Times New Roman" w:hAnsi="Times New Roman" w:cs="Times New Roman"/>
                <w:sz w:val="16"/>
                <w:szCs w:val="24"/>
              </w:rPr>
              <w:t xml:space="preserve"> </w:t>
            </w:r>
            <w:r w:rsidRPr="007B21E5">
              <w:rPr>
                <w:rFonts w:ascii="Times New Roman" w:hAnsi="Times New Roman" w:cs="Times New Roman"/>
                <w:sz w:val="16"/>
                <w:szCs w:val="24"/>
              </w:rPr>
              <w:t>32-60</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58.0</w:t>
            </w:r>
            <w:r w:rsidRPr="007B21E5">
              <w:rPr>
                <w:rFonts w:ascii="Times New Roman" w:hAnsi="Times New Roman" w:cs="Times New Roman"/>
                <w:b/>
                <w:sz w:val="16"/>
                <w:szCs w:val="24"/>
              </w:rPr>
              <w:t>±</w:t>
            </w:r>
            <w:r w:rsidRPr="007B21E5">
              <w:rPr>
                <w:rFonts w:ascii="Times New Roman" w:hAnsi="Times New Roman" w:cs="Times New Roman"/>
                <w:sz w:val="16"/>
                <w:szCs w:val="24"/>
              </w:rPr>
              <w:t>19.7/28-48</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38.7</w:t>
            </w:r>
            <w:r w:rsidRPr="007B21E5">
              <w:rPr>
                <w:rFonts w:ascii="Times New Roman" w:hAnsi="Times New Roman" w:cs="Times New Roman"/>
                <w:b/>
                <w:sz w:val="16"/>
                <w:szCs w:val="24"/>
              </w:rPr>
              <w:t>±</w:t>
            </w:r>
            <w:r w:rsidRPr="007B21E5">
              <w:rPr>
                <w:rFonts w:ascii="Times New Roman" w:hAnsi="Times New Roman" w:cs="Times New Roman"/>
                <w:sz w:val="16"/>
                <w:szCs w:val="24"/>
              </w:rPr>
              <w:t>7.6/ 28-48</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1.123</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0.369</w:t>
            </w:r>
          </w:p>
        </w:tc>
      </w:tr>
      <w:tr w:rsidR="009F52A6" w:rsidRPr="007B21E5" w:rsidTr="007B21E5">
        <w:trPr>
          <w:jc w:val="center"/>
        </w:trPr>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proofErr w:type="spellStart"/>
            <w:r w:rsidRPr="007B21E5">
              <w:rPr>
                <w:rFonts w:ascii="Times New Roman" w:hAnsi="Times New Roman" w:cs="Times New Roman"/>
                <w:sz w:val="16"/>
                <w:szCs w:val="24"/>
              </w:rPr>
              <w:t>Neutrophil</w:t>
            </w:r>
            <w:proofErr w:type="spellEnd"/>
            <w:r w:rsidRPr="007B21E5">
              <w:rPr>
                <w:rFonts w:ascii="Times New Roman" w:hAnsi="Times New Roman" w:cs="Times New Roman"/>
                <w:sz w:val="16"/>
                <w:szCs w:val="24"/>
              </w:rPr>
              <w:t xml:space="preserve"> count (%)</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eastAsia="Times New Roman" w:hAnsi="Times New Roman" w:cs="Times New Roman"/>
                <w:sz w:val="16"/>
                <w:szCs w:val="24"/>
              </w:rPr>
              <w:t>50</w:t>
            </w:r>
            <w:r w:rsidRPr="007B21E5">
              <w:rPr>
                <w:rFonts w:ascii="Times New Roman" w:hAnsi="Times New Roman" w:cs="Times New Roman"/>
                <w:sz w:val="16"/>
                <w:szCs w:val="24"/>
              </w:rPr>
              <w:t xml:space="preserve">.0 </w:t>
            </w:r>
            <w:r w:rsidRPr="007B21E5">
              <w:rPr>
                <w:rFonts w:ascii="Times New Roman" w:hAnsi="Times New Roman" w:cs="Times New Roman"/>
                <w:b/>
                <w:sz w:val="16"/>
                <w:szCs w:val="24"/>
              </w:rPr>
              <w:t>±</w:t>
            </w:r>
            <w:r w:rsidR="009F52A6" w:rsidRPr="007B21E5">
              <w:rPr>
                <w:rFonts w:ascii="Times New Roman" w:hAnsi="Times New Roman" w:cs="Times New Roman"/>
                <w:sz w:val="16"/>
                <w:szCs w:val="24"/>
              </w:rPr>
              <w:t>.</w:t>
            </w:r>
            <w:r w:rsidRPr="007B21E5">
              <w:rPr>
                <w:rFonts w:ascii="Times New Roman" w:hAnsi="Times New Roman" w:cs="Times New Roman"/>
                <w:sz w:val="16"/>
                <w:szCs w:val="24"/>
              </w:rPr>
              <w:t>3/</w:t>
            </w:r>
            <w:r w:rsidR="007B21E5" w:rsidRPr="007B21E5">
              <w:rPr>
                <w:rFonts w:ascii="Times New Roman" w:hAnsi="Times New Roman" w:cs="Times New Roman"/>
                <w:sz w:val="16"/>
                <w:szCs w:val="24"/>
              </w:rPr>
              <w:t xml:space="preserve"> </w:t>
            </w:r>
            <w:r w:rsidRPr="007B21E5">
              <w:rPr>
                <w:rFonts w:ascii="Times New Roman" w:hAnsi="Times New Roman" w:cs="Times New Roman"/>
                <w:sz w:val="16"/>
                <w:szCs w:val="24"/>
              </w:rPr>
              <w:t>20-50</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51.9 </w:t>
            </w:r>
            <w:r w:rsidRPr="007B21E5">
              <w:rPr>
                <w:rFonts w:ascii="Times New Roman" w:hAnsi="Times New Roman" w:cs="Times New Roman"/>
                <w:b/>
                <w:sz w:val="16"/>
                <w:szCs w:val="24"/>
              </w:rPr>
              <w:t>±</w:t>
            </w:r>
            <w:r w:rsidRPr="007B21E5">
              <w:rPr>
                <w:rFonts w:ascii="Times New Roman" w:hAnsi="Times New Roman" w:cs="Times New Roman"/>
                <w:sz w:val="16"/>
                <w:szCs w:val="24"/>
              </w:rPr>
              <w:t>14.7/</w:t>
            </w:r>
            <w:r w:rsidR="007B21E5" w:rsidRPr="007B21E5">
              <w:rPr>
                <w:rFonts w:ascii="Times New Roman" w:hAnsi="Times New Roman" w:cs="Times New Roman"/>
                <w:sz w:val="16"/>
                <w:szCs w:val="24"/>
              </w:rPr>
              <w:t xml:space="preserve"> </w:t>
            </w:r>
            <w:r w:rsidRPr="007B21E5">
              <w:rPr>
                <w:rFonts w:ascii="Times New Roman" w:hAnsi="Times New Roman" w:cs="Times New Roman"/>
                <w:sz w:val="16"/>
                <w:szCs w:val="24"/>
              </w:rPr>
              <w:t>35-80</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60.3</w:t>
            </w:r>
            <w:r w:rsidRPr="007B21E5">
              <w:rPr>
                <w:rFonts w:ascii="Times New Roman" w:hAnsi="Times New Roman" w:cs="Times New Roman"/>
                <w:b/>
                <w:sz w:val="16"/>
                <w:szCs w:val="24"/>
              </w:rPr>
              <w:t>±</w:t>
            </w:r>
            <w:r w:rsidRPr="007B21E5">
              <w:rPr>
                <w:rFonts w:ascii="Times New Roman" w:hAnsi="Times New Roman" w:cs="Times New Roman"/>
                <w:sz w:val="16"/>
                <w:szCs w:val="24"/>
              </w:rPr>
              <w:t>13.4/</w:t>
            </w:r>
            <w:r w:rsidR="007B21E5" w:rsidRPr="007B21E5">
              <w:rPr>
                <w:rFonts w:ascii="Times New Roman" w:hAnsi="Times New Roman" w:cs="Times New Roman"/>
                <w:sz w:val="16"/>
                <w:szCs w:val="24"/>
              </w:rPr>
              <w:t xml:space="preserve"> </w:t>
            </w:r>
            <w:r w:rsidRPr="007B21E5">
              <w:rPr>
                <w:rFonts w:ascii="Times New Roman" w:hAnsi="Times New Roman" w:cs="Times New Roman"/>
                <w:sz w:val="16"/>
                <w:szCs w:val="24"/>
              </w:rPr>
              <w:t>35-80</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40.3</w:t>
            </w:r>
            <w:r w:rsidRPr="007B21E5">
              <w:rPr>
                <w:rFonts w:ascii="Times New Roman" w:hAnsi="Times New Roman" w:cs="Times New Roman"/>
                <w:b/>
                <w:sz w:val="16"/>
                <w:szCs w:val="24"/>
              </w:rPr>
              <w:t xml:space="preserve">± </w:t>
            </w:r>
            <w:r w:rsidRPr="007B21E5">
              <w:rPr>
                <w:rFonts w:ascii="Times New Roman" w:hAnsi="Times New Roman" w:cs="Times New Roman"/>
                <w:sz w:val="16"/>
                <w:szCs w:val="24"/>
              </w:rPr>
              <w:t>0.6/</w:t>
            </w:r>
            <w:r w:rsidR="007B21E5" w:rsidRPr="007B21E5">
              <w:rPr>
                <w:rFonts w:ascii="Times New Roman" w:hAnsi="Times New Roman" w:cs="Times New Roman"/>
                <w:sz w:val="16"/>
                <w:szCs w:val="24"/>
              </w:rPr>
              <w:t xml:space="preserve"> </w:t>
            </w:r>
            <w:r w:rsidRPr="007B21E5">
              <w:rPr>
                <w:rFonts w:ascii="Times New Roman" w:hAnsi="Times New Roman" w:cs="Times New Roman"/>
                <w:sz w:val="16"/>
                <w:szCs w:val="24"/>
              </w:rPr>
              <w:t>35-80</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60.7±8.3/</w:t>
            </w:r>
            <w:r w:rsidR="007B21E5" w:rsidRPr="007B21E5">
              <w:rPr>
                <w:rFonts w:ascii="Times New Roman" w:hAnsi="Times New Roman" w:cs="Times New Roman"/>
                <w:sz w:val="16"/>
                <w:szCs w:val="24"/>
              </w:rPr>
              <w:t xml:space="preserve"> </w:t>
            </w:r>
            <w:r w:rsidRPr="007B21E5">
              <w:rPr>
                <w:rFonts w:ascii="Times New Roman" w:hAnsi="Times New Roman" w:cs="Times New Roman"/>
                <w:sz w:val="16"/>
                <w:szCs w:val="24"/>
              </w:rPr>
              <w:t>35-80</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eastAsia="Times New Roman" w:hAnsi="Times New Roman" w:cs="Times New Roman"/>
                <w:sz w:val="16"/>
                <w:szCs w:val="24"/>
              </w:rPr>
              <w:t>1.481</w:t>
            </w:r>
          </w:p>
        </w:tc>
        <w:tc>
          <w:tcPr>
            <w:tcW w:w="0" w:type="auto"/>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r w:rsidRPr="007B21E5">
              <w:rPr>
                <w:rFonts w:ascii="Times New Roman" w:eastAsia="Times New Roman" w:hAnsi="Times New Roman" w:cs="Times New Roman"/>
                <w:sz w:val="16"/>
                <w:szCs w:val="24"/>
              </w:rPr>
              <w:t>0.240</w:t>
            </w:r>
          </w:p>
        </w:tc>
      </w:tr>
      <w:tr w:rsidR="009F52A6" w:rsidRPr="007B21E5" w:rsidTr="007B21E5">
        <w:trPr>
          <w:jc w:val="center"/>
        </w:trPr>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proofErr w:type="spellStart"/>
            <w:r w:rsidR="00FE602D" w:rsidRPr="007B21E5">
              <w:rPr>
                <w:rFonts w:ascii="Times New Roman" w:hAnsi="Times New Roman" w:cs="Times New Roman"/>
                <w:sz w:val="16"/>
                <w:szCs w:val="24"/>
              </w:rPr>
              <w:t>Monocyte</w:t>
            </w:r>
            <w:proofErr w:type="spellEnd"/>
            <w:r w:rsidR="00FE602D" w:rsidRPr="007B21E5">
              <w:rPr>
                <w:rFonts w:ascii="Times New Roman" w:hAnsi="Times New Roman" w:cs="Times New Roman"/>
                <w:sz w:val="16"/>
                <w:szCs w:val="24"/>
              </w:rPr>
              <w:t xml:space="preserve"> count (%)</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0.0 ± 0.0/</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0.4-2.0</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1.1 ± 1.3/</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0.4-2.0</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2.0 ± 2.4/</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0.4-2.0</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0.0 ± 0.0/</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0.4-2.0</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0.7 ± 1.2/</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0.4-2.0</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eastAsia="Times New Roman" w:hAnsi="Times New Roman" w:cs="Times New Roman"/>
                <w:sz w:val="16"/>
                <w:szCs w:val="24"/>
              </w:rPr>
              <w:t xml:space="preserve"> </w:t>
            </w:r>
            <w:r w:rsidR="00FE602D" w:rsidRPr="007B21E5">
              <w:rPr>
                <w:rFonts w:ascii="Times New Roman" w:eastAsia="Times New Roman" w:hAnsi="Times New Roman" w:cs="Times New Roman"/>
                <w:sz w:val="16"/>
                <w:szCs w:val="24"/>
              </w:rPr>
              <w:t>1.325</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eastAsia="Times New Roman" w:hAnsi="Times New Roman" w:cs="Times New Roman"/>
                <w:sz w:val="16"/>
                <w:szCs w:val="24"/>
              </w:rPr>
              <w:t xml:space="preserve"> </w:t>
            </w:r>
            <w:r w:rsidR="00FE602D" w:rsidRPr="007B21E5">
              <w:rPr>
                <w:rFonts w:ascii="Times New Roman" w:eastAsia="Times New Roman" w:hAnsi="Times New Roman" w:cs="Times New Roman"/>
                <w:sz w:val="16"/>
                <w:szCs w:val="24"/>
              </w:rPr>
              <w:t>0.290</w:t>
            </w:r>
          </w:p>
        </w:tc>
      </w:tr>
      <w:tr w:rsidR="009F52A6" w:rsidRPr="007B21E5" w:rsidTr="007B21E5">
        <w:trPr>
          <w:jc w:val="center"/>
        </w:trPr>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proofErr w:type="spellStart"/>
            <w:r w:rsidR="00FE602D" w:rsidRPr="007B21E5">
              <w:rPr>
                <w:rFonts w:ascii="Times New Roman" w:hAnsi="Times New Roman" w:cs="Times New Roman"/>
                <w:sz w:val="16"/>
                <w:szCs w:val="24"/>
              </w:rPr>
              <w:t>Eosinophil</w:t>
            </w:r>
            <w:proofErr w:type="spellEnd"/>
            <w:r w:rsidR="00FE602D" w:rsidRPr="007B21E5">
              <w:rPr>
                <w:rFonts w:ascii="Times New Roman" w:hAnsi="Times New Roman" w:cs="Times New Roman"/>
                <w:sz w:val="16"/>
                <w:szCs w:val="24"/>
              </w:rPr>
              <w:t xml:space="preserve"> count (%)</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2.0 ± 3.5/</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0-4</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0.1 ± 0.3/</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0-4</w:t>
            </w:r>
          </w:p>
        </w:tc>
        <w:tc>
          <w:tcPr>
            <w:tcW w:w="0" w:type="auto"/>
            <w:vAlign w:val="center"/>
          </w:tcPr>
          <w:p w:rsidR="00FE602D" w:rsidRPr="007B21E5" w:rsidRDefault="007B21E5" w:rsidP="007B21E5">
            <w:pPr>
              <w:pStyle w:val="ListParagraph"/>
              <w:autoSpaceDE w:val="0"/>
              <w:autoSpaceDN w:val="0"/>
              <w:adjustRightInd w:val="0"/>
              <w:snapToGrid w:val="0"/>
              <w:ind w:left="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 0.0/</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0-4</w:t>
            </w:r>
          </w:p>
        </w:tc>
        <w:tc>
          <w:tcPr>
            <w:tcW w:w="0" w:type="auto"/>
            <w:vAlign w:val="center"/>
          </w:tcPr>
          <w:p w:rsidR="00FE602D" w:rsidRPr="007B21E5" w:rsidRDefault="007B21E5" w:rsidP="007B21E5">
            <w:pPr>
              <w:pStyle w:val="ListParagraph"/>
              <w:autoSpaceDE w:val="0"/>
              <w:autoSpaceDN w:val="0"/>
              <w:adjustRightInd w:val="0"/>
              <w:snapToGrid w:val="0"/>
              <w:ind w:left="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0.0± 0.0/</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0-4</w:t>
            </w:r>
          </w:p>
        </w:tc>
        <w:tc>
          <w:tcPr>
            <w:tcW w:w="0" w:type="auto"/>
            <w:vAlign w:val="center"/>
          </w:tcPr>
          <w:p w:rsidR="00FE602D" w:rsidRPr="007B21E5" w:rsidRDefault="007B21E5" w:rsidP="007B21E5">
            <w:pPr>
              <w:pStyle w:val="ListParagraph"/>
              <w:autoSpaceDE w:val="0"/>
              <w:autoSpaceDN w:val="0"/>
              <w:adjustRightInd w:val="0"/>
              <w:snapToGrid w:val="0"/>
              <w:ind w:left="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 0.0/</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0-4</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eastAsia="Times New Roman" w:hAnsi="Times New Roman" w:cs="Times New Roman"/>
                <w:sz w:val="16"/>
                <w:szCs w:val="24"/>
              </w:rPr>
              <w:t xml:space="preserve"> </w:t>
            </w:r>
            <w:r w:rsidR="00FE602D" w:rsidRPr="007B21E5">
              <w:rPr>
                <w:rFonts w:ascii="Times New Roman" w:eastAsia="Times New Roman" w:hAnsi="Times New Roman" w:cs="Times New Roman"/>
                <w:sz w:val="16"/>
                <w:szCs w:val="24"/>
              </w:rPr>
              <w:t>2.390</w:t>
            </w:r>
          </w:p>
        </w:tc>
        <w:tc>
          <w:tcPr>
            <w:tcW w:w="0" w:type="auto"/>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eastAsia="Times New Roman" w:hAnsi="Times New Roman" w:cs="Times New Roman"/>
                <w:sz w:val="16"/>
                <w:szCs w:val="24"/>
              </w:rPr>
              <w:t xml:space="preserve"> </w:t>
            </w:r>
            <w:r w:rsidR="00FE602D" w:rsidRPr="007B21E5">
              <w:rPr>
                <w:rFonts w:ascii="Times New Roman" w:eastAsia="Times New Roman" w:hAnsi="Times New Roman" w:cs="Times New Roman"/>
                <w:sz w:val="16"/>
                <w:szCs w:val="24"/>
              </w:rPr>
              <w:t>0.080</w:t>
            </w:r>
          </w:p>
        </w:tc>
      </w:tr>
      <w:tr w:rsidR="009F52A6" w:rsidRPr="007B21E5" w:rsidTr="007B21E5">
        <w:trPr>
          <w:jc w:val="center"/>
        </w:trPr>
        <w:tc>
          <w:tcPr>
            <w:tcW w:w="0" w:type="auto"/>
            <w:tcBorders>
              <w:bottom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proofErr w:type="spellStart"/>
            <w:r w:rsidR="00FE602D" w:rsidRPr="007B21E5">
              <w:rPr>
                <w:rFonts w:ascii="Times New Roman" w:hAnsi="Times New Roman" w:cs="Times New Roman"/>
                <w:sz w:val="16"/>
                <w:szCs w:val="24"/>
              </w:rPr>
              <w:t>Basophil</w:t>
            </w:r>
            <w:proofErr w:type="spellEnd"/>
            <w:r w:rsidR="00FE602D" w:rsidRPr="007B21E5">
              <w:rPr>
                <w:rFonts w:ascii="Times New Roman" w:hAnsi="Times New Roman" w:cs="Times New Roman"/>
                <w:sz w:val="16"/>
                <w:szCs w:val="24"/>
              </w:rPr>
              <w:t xml:space="preserve"> count (%)</w:t>
            </w:r>
          </w:p>
        </w:tc>
        <w:tc>
          <w:tcPr>
            <w:tcW w:w="0" w:type="auto"/>
            <w:tcBorders>
              <w:bottom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 0.0/</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0-1.2</w:t>
            </w:r>
          </w:p>
        </w:tc>
        <w:tc>
          <w:tcPr>
            <w:tcW w:w="0" w:type="auto"/>
            <w:tcBorders>
              <w:bottom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0.0 ± 0.0/ 0-1.2</w:t>
            </w:r>
          </w:p>
        </w:tc>
        <w:tc>
          <w:tcPr>
            <w:tcW w:w="0" w:type="auto"/>
            <w:tcBorders>
              <w:bottom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0.0 ± 0.0/ 0-1.2</w:t>
            </w:r>
          </w:p>
        </w:tc>
        <w:tc>
          <w:tcPr>
            <w:tcW w:w="0" w:type="auto"/>
            <w:tcBorders>
              <w:bottom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0.0 ± 0.0/</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0-1.2</w:t>
            </w:r>
          </w:p>
        </w:tc>
        <w:tc>
          <w:tcPr>
            <w:tcW w:w="0" w:type="auto"/>
            <w:tcBorders>
              <w:bottom w:val="single" w:sz="4" w:space="0" w:color="auto"/>
            </w:tcBorders>
            <w:vAlign w:val="center"/>
          </w:tcPr>
          <w:p w:rsidR="00FE602D" w:rsidRPr="007B21E5" w:rsidRDefault="007B21E5" w:rsidP="007B21E5">
            <w:pPr>
              <w:pStyle w:val="ListParagraph"/>
              <w:autoSpaceDE w:val="0"/>
              <w:autoSpaceDN w:val="0"/>
              <w:adjustRightInd w:val="0"/>
              <w:snapToGrid w:val="0"/>
              <w:ind w:left="0"/>
              <w:jc w:val="both"/>
              <w:rPr>
                <w:rFonts w:ascii="Times New Roman" w:hAnsi="Times New Roman" w:cs="Times New Roman"/>
                <w:sz w:val="16"/>
                <w:szCs w:val="24"/>
              </w:rPr>
            </w:pP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 0.0/</w:t>
            </w:r>
            <w:r w:rsidRPr="007B21E5">
              <w:rPr>
                <w:rFonts w:ascii="Times New Roman" w:hAnsi="Times New Roman" w:cs="Times New Roman"/>
                <w:sz w:val="16"/>
                <w:szCs w:val="24"/>
              </w:rPr>
              <w:t xml:space="preserve"> </w:t>
            </w:r>
            <w:r w:rsidR="00FE602D" w:rsidRPr="007B21E5">
              <w:rPr>
                <w:rFonts w:ascii="Times New Roman" w:hAnsi="Times New Roman" w:cs="Times New Roman"/>
                <w:sz w:val="16"/>
                <w:szCs w:val="24"/>
              </w:rPr>
              <w:t>0-1.2</w:t>
            </w:r>
          </w:p>
        </w:tc>
        <w:tc>
          <w:tcPr>
            <w:tcW w:w="0" w:type="auto"/>
            <w:tcBorders>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p>
        </w:tc>
        <w:tc>
          <w:tcPr>
            <w:tcW w:w="0" w:type="auto"/>
            <w:tcBorders>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6"/>
                <w:szCs w:val="24"/>
              </w:rPr>
            </w:pPr>
          </w:p>
        </w:tc>
      </w:tr>
    </w:tbl>
    <w:p w:rsidR="00FE602D" w:rsidRPr="007B21E5" w:rsidRDefault="00FE602D" w:rsidP="00171788">
      <w:pPr>
        <w:autoSpaceDE w:val="0"/>
        <w:autoSpaceDN w:val="0"/>
        <w:adjustRightInd w:val="0"/>
        <w:snapToGrid w:val="0"/>
        <w:spacing w:after="0" w:line="240" w:lineRule="auto"/>
        <w:jc w:val="both"/>
        <w:rPr>
          <w:rFonts w:ascii="Times New Roman" w:hAnsi="Times New Roman" w:cs="Times New Roman"/>
          <w:sz w:val="16"/>
          <w:szCs w:val="16"/>
        </w:rPr>
      </w:pPr>
      <w:r w:rsidRPr="007B21E5">
        <w:rPr>
          <w:rFonts w:ascii="Times New Roman" w:hAnsi="Times New Roman" w:cs="Times New Roman"/>
          <w:sz w:val="16"/>
          <w:szCs w:val="16"/>
        </w:rPr>
        <w:t>*p&lt; 0.05 (Significant)</w:t>
      </w:r>
    </w:p>
    <w:p w:rsidR="009F52A6" w:rsidRPr="009F52A6" w:rsidRDefault="009F52A6" w:rsidP="00322645">
      <w:pPr>
        <w:tabs>
          <w:tab w:val="left" w:pos="4230"/>
        </w:tabs>
        <w:autoSpaceDE w:val="0"/>
        <w:autoSpaceDN w:val="0"/>
        <w:adjustRightInd w:val="0"/>
        <w:snapToGrid w:val="0"/>
        <w:spacing w:after="0" w:line="240" w:lineRule="auto"/>
        <w:ind w:firstLine="425"/>
        <w:jc w:val="both"/>
        <w:rPr>
          <w:rFonts w:ascii="Times New Roman" w:hAnsi="Times New Roman" w:cs="Times New Roman"/>
          <w:sz w:val="20"/>
          <w:szCs w:val="24"/>
        </w:rPr>
      </w:pPr>
    </w:p>
    <w:p w:rsidR="00FE602D" w:rsidRPr="009F52A6" w:rsidRDefault="00FE602D" w:rsidP="00171788">
      <w:pPr>
        <w:autoSpaceDE w:val="0"/>
        <w:autoSpaceDN w:val="0"/>
        <w:adjustRightInd w:val="0"/>
        <w:snapToGrid w:val="0"/>
        <w:spacing w:after="0" w:line="240" w:lineRule="auto"/>
        <w:jc w:val="center"/>
        <w:rPr>
          <w:rFonts w:ascii="Times New Roman" w:hAnsi="Times New Roman" w:cs="Times New Roman"/>
          <w:sz w:val="20"/>
          <w:szCs w:val="24"/>
        </w:rPr>
      </w:pPr>
      <w:r w:rsidRPr="009F52A6">
        <w:rPr>
          <w:rFonts w:ascii="Times New Roman" w:hAnsi="Times New Roman" w:cs="Times New Roman"/>
          <w:sz w:val="20"/>
          <w:szCs w:val="24"/>
        </w:rPr>
        <w:lastRenderedPageBreak/>
        <w:t xml:space="preserve">Table 5. Mean ± SD of Leukocyte Counts of Positive 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Subjects </w:t>
      </w:r>
      <w:r w:rsidR="00B241A1" w:rsidRPr="009F52A6">
        <w:rPr>
          <w:rFonts w:ascii="Times New Roman" w:hAnsi="Times New Roman" w:cs="Times New Roman"/>
          <w:sz w:val="20"/>
          <w:szCs w:val="24"/>
        </w:rPr>
        <w:t>Grouped by</w:t>
      </w:r>
      <w:r w:rsidR="00E8688B">
        <w:rPr>
          <w:rFonts w:ascii="Times New Roman" w:hAnsi="Times New Roman" w:cs="Times New Roman" w:hint="eastAsia"/>
          <w:sz w:val="20"/>
          <w:szCs w:val="24"/>
          <w:lang w:eastAsia="zh-CN"/>
        </w:rPr>
        <w:t xml:space="preserve"> </w:t>
      </w:r>
      <w:r w:rsidRPr="009F52A6">
        <w:rPr>
          <w:rFonts w:ascii="Times New Roman" w:hAnsi="Times New Roman" w:cs="Times New Roman"/>
          <w:sz w:val="20"/>
          <w:szCs w:val="24"/>
        </w:rPr>
        <w:t>Age Groups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788"/>
        <w:gridCol w:w="1226"/>
        <w:gridCol w:w="1556"/>
        <w:gridCol w:w="1266"/>
        <w:gridCol w:w="1226"/>
        <w:gridCol w:w="1226"/>
        <w:gridCol w:w="561"/>
        <w:gridCol w:w="625"/>
      </w:tblGrid>
      <w:tr w:rsidR="009F52A6" w:rsidRPr="007B21E5" w:rsidTr="007B21E5">
        <w:trPr>
          <w:jc w:val="center"/>
        </w:trPr>
        <w:tc>
          <w:tcPr>
            <w:tcW w:w="943" w:type="pct"/>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Parameter</w:t>
            </w:r>
          </w:p>
        </w:tc>
        <w:tc>
          <w:tcPr>
            <w:tcW w:w="647" w:type="pct"/>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&lt;1 (n=3)/N.R</w:t>
            </w:r>
          </w:p>
        </w:tc>
        <w:tc>
          <w:tcPr>
            <w:tcW w:w="821" w:type="pct"/>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1-3 (n=10)/N.R</w:t>
            </w:r>
          </w:p>
        </w:tc>
        <w:tc>
          <w:tcPr>
            <w:tcW w:w="668" w:type="pct"/>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4-6 (n=9)/N.R</w:t>
            </w:r>
          </w:p>
        </w:tc>
        <w:tc>
          <w:tcPr>
            <w:tcW w:w="647" w:type="pct"/>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7-9 (n=3)/N.R</w:t>
            </w:r>
          </w:p>
        </w:tc>
        <w:tc>
          <w:tcPr>
            <w:tcW w:w="647" w:type="pct"/>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10-13 (n=3)/N.R</w:t>
            </w:r>
          </w:p>
        </w:tc>
        <w:tc>
          <w:tcPr>
            <w:tcW w:w="296" w:type="pct"/>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f-value</w:t>
            </w:r>
          </w:p>
        </w:tc>
        <w:tc>
          <w:tcPr>
            <w:tcW w:w="330" w:type="pct"/>
            <w:tcBorders>
              <w:top w:val="single" w:sz="4" w:space="0" w:color="auto"/>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p-</w:t>
            </w:r>
            <w:r w:rsidR="007B21E5" w:rsidRPr="007B21E5">
              <w:rPr>
                <w:rFonts w:ascii="Times New Roman" w:hAnsi="Times New Roman" w:cs="Times New Roman"/>
                <w:sz w:val="14"/>
                <w:szCs w:val="14"/>
              </w:rPr>
              <w:t xml:space="preserve"> </w:t>
            </w:r>
            <w:r w:rsidRPr="007B21E5">
              <w:rPr>
                <w:rFonts w:ascii="Times New Roman" w:hAnsi="Times New Roman" w:cs="Times New Roman"/>
                <w:sz w:val="14"/>
                <w:szCs w:val="14"/>
              </w:rPr>
              <w:t>value</w:t>
            </w:r>
          </w:p>
        </w:tc>
      </w:tr>
      <w:tr w:rsidR="009F52A6" w:rsidRPr="007B21E5" w:rsidTr="007B21E5">
        <w:trPr>
          <w:jc w:val="center"/>
        </w:trPr>
        <w:tc>
          <w:tcPr>
            <w:tcW w:w="943" w:type="pct"/>
            <w:tcBorders>
              <w:top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proofErr w:type="spellStart"/>
            <w:r w:rsidRPr="007B21E5">
              <w:rPr>
                <w:rFonts w:ascii="Times New Roman" w:hAnsi="Times New Roman" w:cs="Times New Roman"/>
                <w:sz w:val="14"/>
                <w:szCs w:val="14"/>
              </w:rPr>
              <w:t>Poitive</w:t>
            </w:r>
            <w:proofErr w:type="spellEnd"/>
            <w:r w:rsidRPr="007B21E5">
              <w:rPr>
                <w:rFonts w:ascii="Times New Roman" w:hAnsi="Times New Roman" w:cs="Times New Roman"/>
                <w:sz w:val="14"/>
                <w:szCs w:val="14"/>
              </w:rPr>
              <w:t xml:space="preserve"> MV </w:t>
            </w:r>
            <w:proofErr w:type="spellStart"/>
            <w:r w:rsidRPr="007B21E5">
              <w:rPr>
                <w:rFonts w:ascii="Times New Roman" w:hAnsi="Times New Roman" w:cs="Times New Roman"/>
                <w:sz w:val="14"/>
                <w:szCs w:val="14"/>
              </w:rPr>
              <w:t>IgM</w:t>
            </w:r>
            <w:proofErr w:type="spellEnd"/>
            <w:r w:rsidRPr="007B21E5">
              <w:rPr>
                <w:rFonts w:ascii="Times New Roman" w:hAnsi="Times New Roman" w:cs="Times New Roman"/>
                <w:sz w:val="14"/>
                <w:szCs w:val="14"/>
              </w:rPr>
              <w:t xml:space="preserve"> O.D level</w:t>
            </w:r>
          </w:p>
        </w:tc>
        <w:tc>
          <w:tcPr>
            <w:tcW w:w="647" w:type="pct"/>
            <w:tcBorders>
              <w:top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 xml:space="preserve">1.6 </w:t>
            </w:r>
            <w:r w:rsidR="00FE602D" w:rsidRPr="007B21E5">
              <w:rPr>
                <w:rFonts w:ascii="Times New Roman" w:hAnsi="Times New Roman" w:cs="Times New Roman"/>
                <w:b/>
                <w:sz w:val="14"/>
                <w:szCs w:val="14"/>
              </w:rPr>
              <w:t xml:space="preserve">± </w:t>
            </w:r>
            <w:r w:rsidR="00FE602D" w:rsidRPr="007B21E5">
              <w:rPr>
                <w:rFonts w:ascii="Times New Roman" w:hAnsi="Times New Roman" w:cs="Times New Roman"/>
                <w:sz w:val="14"/>
                <w:szCs w:val="14"/>
              </w:rPr>
              <w:t>0.0</w:t>
            </w:r>
          </w:p>
        </w:tc>
        <w:tc>
          <w:tcPr>
            <w:tcW w:w="821" w:type="pct"/>
            <w:tcBorders>
              <w:top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 xml:space="preserve">1.6 </w:t>
            </w:r>
            <w:r w:rsidR="00FE602D" w:rsidRPr="007B21E5">
              <w:rPr>
                <w:rFonts w:ascii="Times New Roman" w:hAnsi="Times New Roman" w:cs="Times New Roman"/>
                <w:b/>
                <w:sz w:val="14"/>
                <w:szCs w:val="14"/>
              </w:rPr>
              <w:t xml:space="preserve">± </w:t>
            </w:r>
            <w:r w:rsidR="00FE602D" w:rsidRPr="007B21E5">
              <w:rPr>
                <w:rFonts w:ascii="Times New Roman" w:hAnsi="Times New Roman" w:cs="Times New Roman"/>
                <w:sz w:val="14"/>
                <w:szCs w:val="14"/>
              </w:rPr>
              <w:t>0.1</w:t>
            </w:r>
          </w:p>
        </w:tc>
        <w:tc>
          <w:tcPr>
            <w:tcW w:w="668" w:type="pct"/>
            <w:tcBorders>
              <w:top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 xml:space="preserve">1.3 </w:t>
            </w:r>
            <w:r w:rsidR="00FE602D" w:rsidRPr="007B21E5">
              <w:rPr>
                <w:rFonts w:ascii="Times New Roman" w:hAnsi="Times New Roman" w:cs="Times New Roman"/>
                <w:b/>
                <w:sz w:val="14"/>
                <w:szCs w:val="14"/>
              </w:rPr>
              <w:t xml:space="preserve">± </w:t>
            </w:r>
            <w:r w:rsidR="00FE602D" w:rsidRPr="007B21E5">
              <w:rPr>
                <w:rFonts w:ascii="Times New Roman" w:hAnsi="Times New Roman" w:cs="Times New Roman"/>
                <w:sz w:val="14"/>
                <w:szCs w:val="14"/>
              </w:rPr>
              <w:t>0.4</w:t>
            </w:r>
          </w:p>
        </w:tc>
        <w:tc>
          <w:tcPr>
            <w:tcW w:w="647" w:type="pct"/>
            <w:tcBorders>
              <w:top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 xml:space="preserve">1.5 </w:t>
            </w:r>
            <w:r w:rsidR="00FE602D" w:rsidRPr="007B21E5">
              <w:rPr>
                <w:rFonts w:ascii="Times New Roman" w:hAnsi="Times New Roman" w:cs="Times New Roman"/>
                <w:b/>
                <w:sz w:val="14"/>
                <w:szCs w:val="14"/>
              </w:rPr>
              <w:t xml:space="preserve">± </w:t>
            </w:r>
            <w:r w:rsidR="00FE602D" w:rsidRPr="007B21E5">
              <w:rPr>
                <w:rFonts w:ascii="Times New Roman" w:hAnsi="Times New Roman" w:cs="Times New Roman"/>
                <w:sz w:val="14"/>
                <w:szCs w:val="14"/>
              </w:rPr>
              <w:t>0.0</w:t>
            </w:r>
          </w:p>
        </w:tc>
        <w:tc>
          <w:tcPr>
            <w:tcW w:w="647" w:type="pct"/>
            <w:tcBorders>
              <w:top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 xml:space="preserve">1.5 </w:t>
            </w:r>
            <w:r w:rsidR="00FE602D" w:rsidRPr="007B21E5">
              <w:rPr>
                <w:rFonts w:ascii="Times New Roman" w:hAnsi="Times New Roman" w:cs="Times New Roman"/>
                <w:b/>
                <w:sz w:val="14"/>
                <w:szCs w:val="14"/>
              </w:rPr>
              <w:t xml:space="preserve">± </w:t>
            </w:r>
            <w:r w:rsidR="00FE602D" w:rsidRPr="007B21E5">
              <w:rPr>
                <w:rFonts w:ascii="Times New Roman" w:hAnsi="Times New Roman" w:cs="Times New Roman"/>
                <w:sz w:val="14"/>
                <w:szCs w:val="14"/>
              </w:rPr>
              <w:t>0.4</w:t>
            </w:r>
          </w:p>
        </w:tc>
        <w:tc>
          <w:tcPr>
            <w:tcW w:w="296" w:type="pct"/>
            <w:tcBorders>
              <w:top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p>
        </w:tc>
        <w:tc>
          <w:tcPr>
            <w:tcW w:w="330" w:type="pct"/>
            <w:tcBorders>
              <w:top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p>
        </w:tc>
      </w:tr>
      <w:tr w:rsidR="009F52A6" w:rsidRPr="007B21E5" w:rsidTr="007B21E5">
        <w:trPr>
          <w:jc w:val="center"/>
        </w:trPr>
        <w:tc>
          <w:tcPr>
            <w:tcW w:w="943" w:type="pct"/>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Lymphocyte count (%)</w:t>
            </w:r>
          </w:p>
        </w:tc>
        <w:tc>
          <w:tcPr>
            <w:tcW w:w="647" w:type="pct"/>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48.0 </w:t>
            </w:r>
            <w:r w:rsidRPr="007B21E5">
              <w:rPr>
                <w:rFonts w:ascii="Times New Roman" w:hAnsi="Times New Roman" w:cs="Times New Roman"/>
                <w:b/>
                <w:sz w:val="14"/>
                <w:szCs w:val="14"/>
              </w:rPr>
              <w:t xml:space="preserve">± </w:t>
            </w:r>
            <w:r w:rsidRPr="007B21E5">
              <w:rPr>
                <w:rFonts w:ascii="Times New Roman" w:hAnsi="Times New Roman" w:cs="Times New Roman"/>
                <w:sz w:val="14"/>
                <w:szCs w:val="14"/>
              </w:rPr>
              <w:t>0.0/</w:t>
            </w:r>
            <w:r w:rsidR="007B21E5" w:rsidRPr="007B21E5">
              <w:rPr>
                <w:rFonts w:ascii="Times New Roman" w:hAnsi="Times New Roman" w:cs="Times New Roman"/>
                <w:sz w:val="14"/>
                <w:szCs w:val="14"/>
              </w:rPr>
              <w:t xml:space="preserve"> </w:t>
            </w:r>
            <w:r w:rsidRPr="007B21E5">
              <w:rPr>
                <w:rFonts w:ascii="Times New Roman" w:hAnsi="Times New Roman" w:cs="Times New Roman"/>
                <w:sz w:val="14"/>
                <w:szCs w:val="14"/>
              </w:rPr>
              <w:t>45-47</w:t>
            </w:r>
          </w:p>
        </w:tc>
        <w:tc>
          <w:tcPr>
            <w:tcW w:w="821" w:type="pct"/>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48.0 </w:t>
            </w:r>
            <w:r w:rsidRPr="007B21E5">
              <w:rPr>
                <w:rFonts w:ascii="Times New Roman" w:hAnsi="Times New Roman" w:cs="Times New Roman"/>
                <w:b/>
                <w:sz w:val="14"/>
                <w:szCs w:val="14"/>
              </w:rPr>
              <w:t>±</w:t>
            </w:r>
            <w:r w:rsidRPr="007B21E5">
              <w:rPr>
                <w:rFonts w:ascii="Times New Roman" w:hAnsi="Times New Roman" w:cs="Times New Roman"/>
                <w:sz w:val="14"/>
                <w:szCs w:val="14"/>
              </w:rPr>
              <w:t xml:space="preserve"> 36.7/</w:t>
            </w:r>
            <w:r w:rsidR="007B21E5" w:rsidRPr="007B21E5">
              <w:rPr>
                <w:rFonts w:ascii="Times New Roman" w:hAnsi="Times New Roman" w:cs="Times New Roman"/>
                <w:sz w:val="14"/>
                <w:szCs w:val="14"/>
              </w:rPr>
              <w:t xml:space="preserve"> </w:t>
            </w:r>
            <w:r w:rsidRPr="007B21E5">
              <w:rPr>
                <w:rFonts w:ascii="Times New Roman" w:hAnsi="Times New Roman" w:cs="Times New Roman"/>
                <w:sz w:val="14"/>
                <w:szCs w:val="14"/>
              </w:rPr>
              <w:t>50-70</w:t>
            </w:r>
          </w:p>
        </w:tc>
        <w:tc>
          <w:tcPr>
            <w:tcW w:w="668" w:type="pct"/>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47.3</w:t>
            </w:r>
            <w:r w:rsidRPr="007B21E5">
              <w:rPr>
                <w:rFonts w:ascii="Times New Roman" w:hAnsi="Times New Roman" w:cs="Times New Roman"/>
                <w:b/>
                <w:sz w:val="14"/>
                <w:szCs w:val="14"/>
              </w:rPr>
              <w:t xml:space="preserve">± </w:t>
            </w:r>
            <w:r w:rsidRPr="007B21E5">
              <w:rPr>
                <w:rFonts w:ascii="Times New Roman" w:hAnsi="Times New Roman" w:cs="Times New Roman"/>
                <w:sz w:val="14"/>
                <w:szCs w:val="14"/>
              </w:rPr>
              <w:t>12.3/ 32-60</w:t>
            </w:r>
          </w:p>
        </w:tc>
        <w:tc>
          <w:tcPr>
            <w:tcW w:w="647" w:type="pct"/>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43.0 </w:t>
            </w:r>
            <w:r w:rsidRPr="007B21E5">
              <w:rPr>
                <w:rFonts w:ascii="Times New Roman" w:hAnsi="Times New Roman" w:cs="Times New Roman"/>
                <w:b/>
                <w:sz w:val="14"/>
                <w:szCs w:val="14"/>
              </w:rPr>
              <w:t xml:space="preserve">± </w:t>
            </w:r>
            <w:r w:rsidRPr="007B21E5">
              <w:rPr>
                <w:rFonts w:ascii="Times New Roman" w:hAnsi="Times New Roman" w:cs="Times New Roman"/>
                <w:sz w:val="14"/>
                <w:szCs w:val="14"/>
              </w:rPr>
              <w:t>0.0/</w:t>
            </w:r>
            <w:r w:rsidR="007B21E5" w:rsidRPr="007B21E5">
              <w:rPr>
                <w:rFonts w:ascii="Times New Roman" w:hAnsi="Times New Roman" w:cs="Times New Roman"/>
                <w:sz w:val="14"/>
                <w:szCs w:val="14"/>
              </w:rPr>
              <w:t xml:space="preserve"> </w:t>
            </w:r>
            <w:r w:rsidRPr="007B21E5">
              <w:rPr>
                <w:rFonts w:ascii="Times New Roman" w:hAnsi="Times New Roman" w:cs="Times New Roman"/>
                <w:sz w:val="14"/>
                <w:szCs w:val="14"/>
              </w:rPr>
              <w:t>28-48</w:t>
            </w:r>
          </w:p>
        </w:tc>
        <w:tc>
          <w:tcPr>
            <w:tcW w:w="647" w:type="pct"/>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51.0</w:t>
            </w:r>
            <w:r w:rsidRPr="007B21E5">
              <w:rPr>
                <w:rFonts w:ascii="Times New Roman" w:hAnsi="Times New Roman" w:cs="Times New Roman"/>
                <w:b/>
                <w:sz w:val="14"/>
                <w:szCs w:val="14"/>
              </w:rPr>
              <w:t xml:space="preserve"> ± </w:t>
            </w:r>
            <w:r w:rsidRPr="007B21E5">
              <w:rPr>
                <w:rFonts w:ascii="Times New Roman" w:hAnsi="Times New Roman" w:cs="Times New Roman"/>
                <w:sz w:val="14"/>
                <w:szCs w:val="14"/>
              </w:rPr>
              <w:t>7.1/</w:t>
            </w:r>
            <w:r w:rsidR="007B21E5" w:rsidRPr="007B21E5">
              <w:rPr>
                <w:rFonts w:ascii="Times New Roman" w:hAnsi="Times New Roman" w:cs="Times New Roman"/>
                <w:sz w:val="14"/>
                <w:szCs w:val="14"/>
              </w:rPr>
              <w:t xml:space="preserve"> </w:t>
            </w:r>
            <w:r w:rsidRPr="007B21E5">
              <w:rPr>
                <w:rFonts w:ascii="Times New Roman" w:hAnsi="Times New Roman" w:cs="Times New Roman"/>
                <w:sz w:val="14"/>
                <w:szCs w:val="14"/>
              </w:rPr>
              <w:t>28-48</w:t>
            </w:r>
          </w:p>
        </w:tc>
        <w:tc>
          <w:tcPr>
            <w:tcW w:w="296" w:type="pct"/>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0.036</w:t>
            </w:r>
          </w:p>
        </w:tc>
        <w:tc>
          <w:tcPr>
            <w:tcW w:w="330" w:type="pct"/>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0.997</w:t>
            </w:r>
          </w:p>
        </w:tc>
      </w:tr>
      <w:tr w:rsidR="009F52A6" w:rsidRPr="007B21E5" w:rsidTr="007B21E5">
        <w:trPr>
          <w:jc w:val="center"/>
        </w:trPr>
        <w:tc>
          <w:tcPr>
            <w:tcW w:w="943"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proofErr w:type="spellStart"/>
            <w:r w:rsidR="00FE602D" w:rsidRPr="007B21E5">
              <w:rPr>
                <w:rFonts w:ascii="Times New Roman" w:hAnsi="Times New Roman" w:cs="Times New Roman"/>
                <w:sz w:val="14"/>
                <w:szCs w:val="14"/>
              </w:rPr>
              <w:t>Neutrophil</w:t>
            </w:r>
            <w:proofErr w:type="spellEnd"/>
            <w:r w:rsidR="00FE602D" w:rsidRPr="007B21E5">
              <w:rPr>
                <w:rFonts w:ascii="Times New Roman" w:hAnsi="Times New Roman" w:cs="Times New Roman"/>
                <w:sz w:val="14"/>
                <w:szCs w:val="14"/>
              </w:rPr>
              <w:t xml:space="preserve"> count (%)</w:t>
            </w:r>
          </w:p>
        </w:tc>
        <w:tc>
          <w:tcPr>
            <w:tcW w:w="647"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 xml:space="preserve">52.0 </w:t>
            </w:r>
            <w:r w:rsidR="00FE602D" w:rsidRPr="007B21E5">
              <w:rPr>
                <w:rFonts w:ascii="Times New Roman" w:hAnsi="Times New Roman" w:cs="Times New Roman"/>
                <w:b/>
                <w:sz w:val="14"/>
                <w:szCs w:val="14"/>
              </w:rPr>
              <w:t xml:space="preserve">± </w:t>
            </w:r>
            <w:r w:rsidR="00FE602D" w:rsidRPr="007B21E5">
              <w:rPr>
                <w:rFonts w:ascii="Times New Roman" w:hAnsi="Times New Roman" w:cs="Times New Roman"/>
                <w:sz w:val="14"/>
                <w:szCs w:val="14"/>
              </w:rPr>
              <w:t>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20-50</w:t>
            </w:r>
          </w:p>
        </w:tc>
        <w:tc>
          <w:tcPr>
            <w:tcW w:w="821"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 xml:space="preserve">52.0 </w:t>
            </w:r>
            <w:r w:rsidR="00FE602D" w:rsidRPr="007B21E5">
              <w:rPr>
                <w:rFonts w:ascii="Times New Roman" w:hAnsi="Times New Roman" w:cs="Times New Roman"/>
                <w:b/>
                <w:sz w:val="14"/>
                <w:szCs w:val="14"/>
              </w:rPr>
              <w:t xml:space="preserve">± </w:t>
            </w:r>
            <w:r w:rsidR="00FE602D" w:rsidRPr="007B21E5">
              <w:rPr>
                <w:rFonts w:ascii="Times New Roman" w:hAnsi="Times New Roman" w:cs="Times New Roman"/>
                <w:sz w:val="14"/>
                <w:szCs w:val="14"/>
              </w:rPr>
              <w:t>36.8/</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35-80</w:t>
            </w:r>
          </w:p>
        </w:tc>
        <w:tc>
          <w:tcPr>
            <w:tcW w:w="668"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52.7</w:t>
            </w:r>
            <w:r w:rsidR="00FE602D" w:rsidRPr="007B21E5">
              <w:rPr>
                <w:rFonts w:ascii="Times New Roman" w:hAnsi="Times New Roman" w:cs="Times New Roman"/>
                <w:b/>
                <w:sz w:val="14"/>
                <w:szCs w:val="14"/>
              </w:rPr>
              <w:t xml:space="preserve">± </w:t>
            </w:r>
            <w:r w:rsidR="00FE602D" w:rsidRPr="007B21E5">
              <w:rPr>
                <w:rFonts w:ascii="Times New Roman" w:hAnsi="Times New Roman" w:cs="Times New Roman"/>
                <w:sz w:val="14"/>
                <w:szCs w:val="14"/>
              </w:rPr>
              <w:t>12.3/</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35-80</w:t>
            </w:r>
          </w:p>
        </w:tc>
        <w:tc>
          <w:tcPr>
            <w:tcW w:w="647"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 xml:space="preserve">54.0 </w:t>
            </w:r>
            <w:r w:rsidR="00FE602D" w:rsidRPr="007B21E5">
              <w:rPr>
                <w:rFonts w:ascii="Times New Roman" w:hAnsi="Times New Roman" w:cs="Times New Roman"/>
                <w:b/>
                <w:sz w:val="14"/>
                <w:szCs w:val="14"/>
              </w:rPr>
              <w:t xml:space="preserve">± </w:t>
            </w:r>
            <w:r w:rsidR="00FE602D" w:rsidRPr="007B21E5">
              <w:rPr>
                <w:rFonts w:ascii="Times New Roman" w:hAnsi="Times New Roman" w:cs="Times New Roman"/>
                <w:sz w:val="14"/>
                <w:szCs w:val="14"/>
              </w:rPr>
              <w:t>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35-80</w:t>
            </w:r>
          </w:p>
        </w:tc>
        <w:tc>
          <w:tcPr>
            <w:tcW w:w="647"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49.0 ± 7.1/ 35-80</w:t>
            </w:r>
          </w:p>
        </w:tc>
        <w:tc>
          <w:tcPr>
            <w:tcW w:w="296"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b/>
                <w:sz w:val="14"/>
                <w:szCs w:val="14"/>
              </w:rPr>
            </w:pPr>
            <w:r w:rsidRPr="007B21E5">
              <w:rPr>
                <w:rFonts w:ascii="Times New Roman" w:eastAsia="Times New Roman" w:hAnsi="Times New Roman" w:cs="Times New Roman"/>
                <w:sz w:val="14"/>
                <w:szCs w:val="14"/>
              </w:rPr>
              <w:t xml:space="preserve"> </w:t>
            </w:r>
            <w:r w:rsidR="00FE602D" w:rsidRPr="007B21E5">
              <w:rPr>
                <w:rFonts w:ascii="Times New Roman" w:eastAsia="Times New Roman" w:hAnsi="Times New Roman" w:cs="Times New Roman"/>
                <w:sz w:val="14"/>
                <w:szCs w:val="14"/>
              </w:rPr>
              <w:t>0.019</w:t>
            </w:r>
          </w:p>
        </w:tc>
        <w:tc>
          <w:tcPr>
            <w:tcW w:w="330"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b/>
                <w:sz w:val="14"/>
                <w:szCs w:val="14"/>
              </w:rPr>
            </w:pPr>
            <w:r w:rsidRPr="007B21E5">
              <w:rPr>
                <w:rFonts w:ascii="Times New Roman" w:eastAsia="Times New Roman" w:hAnsi="Times New Roman" w:cs="Times New Roman"/>
                <w:sz w:val="14"/>
                <w:szCs w:val="14"/>
              </w:rPr>
              <w:t xml:space="preserve"> </w:t>
            </w:r>
            <w:r w:rsidR="00FE602D" w:rsidRPr="007B21E5">
              <w:rPr>
                <w:rFonts w:ascii="Times New Roman" w:eastAsia="Times New Roman" w:hAnsi="Times New Roman" w:cs="Times New Roman"/>
                <w:sz w:val="14"/>
                <w:szCs w:val="14"/>
              </w:rPr>
              <w:t>0.999</w:t>
            </w:r>
          </w:p>
        </w:tc>
      </w:tr>
      <w:tr w:rsidR="009F52A6" w:rsidRPr="007B21E5" w:rsidTr="007B21E5">
        <w:trPr>
          <w:jc w:val="center"/>
        </w:trPr>
        <w:tc>
          <w:tcPr>
            <w:tcW w:w="943"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proofErr w:type="spellStart"/>
            <w:r w:rsidR="00FE602D" w:rsidRPr="007B21E5">
              <w:rPr>
                <w:rFonts w:ascii="Times New Roman" w:hAnsi="Times New Roman" w:cs="Times New Roman"/>
                <w:sz w:val="14"/>
                <w:szCs w:val="14"/>
              </w:rPr>
              <w:t>Monocyte</w:t>
            </w:r>
            <w:proofErr w:type="spellEnd"/>
            <w:r w:rsidR="00FE602D" w:rsidRPr="007B21E5">
              <w:rPr>
                <w:rFonts w:ascii="Times New Roman" w:hAnsi="Times New Roman" w:cs="Times New Roman"/>
                <w:sz w:val="14"/>
                <w:szCs w:val="14"/>
              </w:rPr>
              <w:t xml:space="preserve"> count (%)</w:t>
            </w:r>
          </w:p>
        </w:tc>
        <w:tc>
          <w:tcPr>
            <w:tcW w:w="647"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0.0 ± 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0.4-2.0</w:t>
            </w:r>
          </w:p>
        </w:tc>
        <w:tc>
          <w:tcPr>
            <w:tcW w:w="821"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0.5 ± 0.7/ 0.4-2.0</w:t>
            </w:r>
          </w:p>
        </w:tc>
        <w:tc>
          <w:tcPr>
            <w:tcW w:w="668"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1.7 ± 2.7/ 0.4-2-0</w:t>
            </w:r>
          </w:p>
        </w:tc>
        <w:tc>
          <w:tcPr>
            <w:tcW w:w="647"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3.0 ± 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0.4-2.0</w:t>
            </w:r>
          </w:p>
        </w:tc>
        <w:tc>
          <w:tcPr>
            <w:tcW w:w="647"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0.0 ± 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0.4-2.0</w:t>
            </w:r>
          </w:p>
        </w:tc>
        <w:tc>
          <w:tcPr>
            <w:tcW w:w="296"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0.480</w:t>
            </w:r>
          </w:p>
        </w:tc>
        <w:tc>
          <w:tcPr>
            <w:tcW w:w="330"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0.751</w:t>
            </w:r>
          </w:p>
        </w:tc>
      </w:tr>
      <w:tr w:rsidR="009F52A6" w:rsidRPr="007B21E5" w:rsidTr="007B21E5">
        <w:trPr>
          <w:jc w:val="center"/>
        </w:trPr>
        <w:tc>
          <w:tcPr>
            <w:tcW w:w="943"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proofErr w:type="spellStart"/>
            <w:r w:rsidR="00FE602D" w:rsidRPr="007B21E5">
              <w:rPr>
                <w:rFonts w:ascii="Times New Roman" w:hAnsi="Times New Roman" w:cs="Times New Roman"/>
                <w:sz w:val="14"/>
                <w:szCs w:val="14"/>
              </w:rPr>
              <w:t>Eosinophil</w:t>
            </w:r>
            <w:proofErr w:type="spellEnd"/>
            <w:r w:rsidR="00FE602D" w:rsidRPr="007B21E5">
              <w:rPr>
                <w:rFonts w:ascii="Times New Roman" w:hAnsi="Times New Roman" w:cs="Times New Roman"/>
                <w:sz w:val="14"/>
                <w:szCs w:val="14"/>
              </w:rPr>
              <w:t xml:space="preserve"> count (%)</w:t>
            </w:r>
          </w:p>
        </w:tc>
        <w:tc>
          <w:tcPr>
            <w:tcW w:w="647"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 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0-4</w:t>
            </w:r>
          </w:p>
        </w:tc>
        <w:tc>
          <w:tcPr>
            <w:tcW w:w="821" w:type="pct"/>
            <w:vAlign w:val="center"/>
          </w:tcPr>
          <w:p w:rsidR="00FE602D" w:rsidRPr="00E8688B" w:rsidRDefault="00E8688B" w:rsidP="00E8688B">
            <w:pPr>
              <w:autoSpaceDE w:val="0"/>
              <w:autoSpaceDN w:val="0"/>
              <w:adjustRightInd w:val="0"/>
              <w:snapToGrid w:val="0"/>
              <w:jc w:val="both"/>
              <w:rPr>
                <w:rFonts w:ascii="Times New Roman" w:hAnsi="Times New Roman" w:cs="Times New Roman"/>
                <w:sz w:val="14"/>
                <w:szCs w:val="14"/>
              </w:rPr>
            </w:pPr>
            <w:r>
              <w:rPr>
                <w:rFonts w:ascii="Times New Roman" w:hAnsi="Times New Roman" w:cs="Times New Roman" w:hint="eastAsia"/>
                <w:sz w:val="14"/>
                <w:szCs w:val="14"/>
                <w:lang w:eastAsia="zh-CN"/>
              </w:rPr>
              <w:t>0.5</w:t>
            </w:r>
            <w:r w:rsidR="007B21E5" w:rsidRPr="00E8688B">
              <w:rPr>
                <w:rFonts w:ascii="Times New Roman" w:hAnsi="Times New Roman" w:cs="Times New Roman"/>
                <w:sz w:val="14"/>
                <w:szCs w:val="14"/>
              </w:rPr>
              <w:t xml:space="preserve"> </w:t>
            </w:r>
            <w:r w:rsidR="00FE602D" w:rsidRPr="00E8688B">
              <w:rPr>
                <w:rFonts w:ascii="Times New Roman" w:hAnsi="Times New Roman" w:cs="Times New Roman"/>
                <w:sz w:val="14"/>
                <w:szCs w:val="14"/>
              </w:rPr>
              <w:t>± 0.7/</w:t>
            </w:r>
            <w:r w:rsidR="009F52A6" w:rsidRPr="00E8688B">
              <w:rPr>
                <w:rFonts w:ascii="Times New Roman" w:hAnsi="Times New Roman" w:cs="Times New Roman"/>
                <w:sz w:val="14"/>
                <w:szCs w:val="14"/>
              </w:rPr>
              <w:t xml:space="preserve"> </w:t>
            </w:r>
            <w:r w:rsidR="00FE602D" w:rsidRPr="00E8688B">
              <w:rPr>
                <w:rFonts w:ascii="Times New Roman" w:hAnsi="Times New Roman" w:cs="Times New Roman"/>
                <w:sz w:val="14"/>
                <w:szCs w:val="14"/>
              </w:rPr>
              <w:t>0-4</w:t>
            </w:r>
          </w:p>
        </w:tc>
        <w:tc>
          <w:tcPr>
            <w:tcW w:w="668" w:type="pct"/>
            <w:vAlign w:val="center"/>
          </w:tcPr>
          <w:p w:rsidR="00FE602D" w:rsidRPr="007B21E5" w:rsidRDefault="007B21E5" w:rsidP="007B21E5">
            <w:pPr>
              <w:pStyle w:val="ListParagraph"/>
              <w:autoSpaceDE w:val="0"/>
              <w:autoSpaceDN w:val="0"/>
              <w:adjustRightInd w:val="0"/>
              <w:snapToGrid w:val="0"/>
              <w:ind w:left="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0.0 ± 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0-4</w:t>
            </w:r>
          </w:p>
        </w:tc>
        <w:tc>
          <w:tcPr>
            <w:tcW w:w="647" w:type="pct"/>
            <w:vAlign w:val="center"/>
          </w:tcPr>
          <w:p w:rsidR="00FE602D" w:rsidRPr="007B21E5" w:rsidRDefault="007B21E5" w:rsidP="007B21E5">
            <w:pPr>
              <w:pStyle w:val="ListParagraph"/>
              <w:autoSpaceDE w:val="0"/>
              <w:autoSpaceDN w:val="0"/>
              <w:adjustRightInd w:val="0"/>
              <w:snapToGrid w:val="0"/>
              <w:ind w:left="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0.0 ± 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0-4</w:t>
            </w:r>
          </w:p>
        </w:tc>
        <w:tc>
          <w:tcPr>
            <w:tcW w:w="647" w:type="pct"/>
            <w:vAlign w:val="center"/>
          </w:tcPr>
          <w:p w:rsidR="00FE602D" w:rsidRPr="007B21E5" w:rsidRDefault="007B21E5" w:rsidP="007B21E5">
            <w:pPr>
              <w:pStyle w:val="ListParagraph"/>
              <w:autoSpaceDE w:val="0"/>
              <w:autoSpaceDN w:val="0"/>
              <w:adjustRightInd w:val="0"/>
              <w:snapToGrid w:val="0"/>
              <w:ind w:left="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0.0 ± 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0-4</w:t>
            </w:r>
          </w:p>
        </w:tc>
        <w:tc>
          <w:tcPr>
            <w:tcW w:w="296"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1.458</w:t>
            </w:r>
          </w:p>
        </w:tc>
        <w:tc>
          <w:tcPr>
            <w:tcW w:w="330" w:type="pct"/>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0.310</w:t>
            </w:r>
          </w:p>
        </w:tc>
      </w:tr>
      <w:tr w:rsidR="009F52A6" w:rsidRPr="007B21E5" w:rsidTr="007B21E5">
        <w:trPr>
          <w:jc w:val="center"/>
        </w:trPr>
        <w:tc>
          <w:tcPr>
            <w:tcW w:w="943" w:type="pct"/>
            <w:tcBorders>
              <w:bottom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proofErr w:type="spellStart"/>
            <w:r w:rsidR="00FE602D" w:rsidRPr="007B21E5">
              <w:rPr>
                <w:rFonts w:ascii="Times New Roman" w:hAnsi="Times New Roman" w:cs="Times New Roman"/>
                <w:sz w:val="14"/>
                <w:szCs w:val="14"/>
              </w:rPr>
              <w:t>Basophil</w:t>
            </w:r>
            <w:proofErr w:type="spellEnd"/>
            <w:r w:rsidRPr="007B21E5">
              <w:rPr>
                <w:rFonts w:ascii="Times New Roman" w:hAnsi="Times New Roman" w:cs="Times New Roman"/>
                <w:sz w:val="14"/>
                <w:szCs w:val="14"/>
              </w:rPr>
              <w:t xml:space="preserve"> </w:t>
            </w:r>
            <w:r w:rsidR="009F52A6" w:rsidRPr="007B21E5">
              <w:rPr>
                <w:rFonts w:ascii="Times New Roman" w:hAnsi="Times New Roman" w:cs="Times New Roman"/>
                <w:sz w:val="14"/>
                <w:szCs w:val="14"/>
              </w:rPr>
              <w:t>c</w:t>
            </w:r>
            <w:r w:rsidR="00FE602D" w:rsidRPr="007B21E5">
              <w:rPr>
                <w:rFonts w:ascii="Times New Roman" w:hAnsi="Times New Roman" w:cs="Times New Roman"/>
                <w:sz w:val="14"/>
                <w:szCs w:val="14"/>
              </w:rPr>
              <w:t>ount (%)</w:t>
            </w:r>
          </w:p>
        </w:tc>
        <w:tc>
          <w:tcPr>
            <w:tcW w:w="647" w:type="pct"/>
            <w:tcBorders>
              <w:bottom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0.0 ± 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0-1.2</w:t>
            </w:r>
          </w:p>
        </w:tc>
        <w:tc>
          <w:tcPr>
            <w:tcW w:w="821" w:type="pct"/>
            <w:tcBorders>
              <w:bottom w:val="single" w:sz="4" w:space="0" w:color="auto"/>
            </w:tcBorders>
            <w:vAlign w:val="center"/>
          </w:tcPr>
          <w:p w:rsidR="00FE602D" w:rsidRPr="007B21E5" w:rsidRDefault="007B21E5" w:rsidP="007B21E5">
            <w:pPr>
              <w:pStyle w:val="ListParagraph"/>
              <w:autoSpaceDE w:val="0"/>
              <w:autoSpaceDN w:val="0"/>
              <w:adjustRightInd w:val="0"/>
              <w:snapToGrid w:val="0"/>
              <w:ind w:left="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 0.0/</w:t>
            </w:r>
            <w:r w:rsidRPr="007B21E5">
              <w:rPr>
                <w:rFonts w:ascii="Times New Roman" w:hAnsi="Times New Roman" w:cs="Times New Roman"/>
                <w:sz w:val="14"/>
                <w:szCs w:val="14"/>
              </w:rPr>
              <w:t xml:space="preserve"> </w:t>
            </w:r>
            <w:r w:rsidR="009F52A6" w:rsidRPr="007B21E5">
              <w:rPr>
                <w:rFonts w:ascii="Times New Roman" w:hAnsi="Times New Roman" w:cs="Times New Roman"/>
                <w:sz w:val="14"/>
                <w:szCs w:val="14"/>
              </w:rPr>
              <w:t>0</w:t>
            </w:r>
            <w:r w:rsidR="00FE602D" w:rsidRPr="007B21E5">
              <w:rPr>
                <w:rFonts w:ascii="Times New Roman" w:hAnsi="Times New Roman" w:cs="Times New Roman"/>
                <w:sz w:val="14"/>
                <w:szCs w:val="14"/>
              </w:rPr>
              <w:t>-1.2</w:t>
            </w:r>
          </w:p>
        </w:tc>
        <w:tc>
          <w:tcPr>
            <w:tcW w:w="668" w:type="pct"/>
            <w:tcBorders>
              <w:bottom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0.0 ± 0.0/ 0-1.2</w:t>
            </w:r>
          </w:p>
        </w:tc>
        <w:tc>
          <w:tcPr>
            <w:tcW w:w="647" w:type="pct"/>
            <w:tcBorders>
              <w:bottom w:val="single" w:sz="4" w:space="0" w:color="auto"/>
            </w:tcBorders>
            <w:vAlign w:val="center"/>
          </w:tcPr>
          <w:p w:rsidR="00FE602D" w:rsidRPr="007B21E5" w:rsidRDefault="007B21E5" w:rsidP="007B21E5">
            <w:pPr>
              <w:autoSpaceDE w:val="0"/>
              <w:autoSpaceDN w:val="0"/>
              <w:adjustRightInd w:val="0"/>
              <w:snapToGrid w:val="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0.0 ± 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0-1.2</w:t>
            </w:r>
          </w:p>
        </w:tc>
        <w:tc>
          <w:tcPr>
            <w:tcW w:w="647" w:type="pct"/>
            <w:tcBorders>
              <w:bottom w:val="single" w:sz="4" w:space="0" w:color="auto"/>
            </w:tcBorders>
            <w:vAlign w:val="center"/>
          </w:tcPr>
          <w:p w:rsidR="00FE602D" w:rsidRPr="007B21E5" w:rsidRDefault="007B21E5" w:rsidP="007B21E5">
            <w:pPr>
              <w:pStyle w:val="ListParagraph"/>
              <w:autoSpaceDE w:val="0"/>
              <w:autoSpaceDN w:val="0"/>
              <w:adjustRightInd w:val="0"/>
              <w:snapToGrid w:val="0"/>
              <w:ind w:left="0"/>
              <w:jc w:val="both"/>
              <w:rPr>
                <w:rFonts w:ascii="Times New Roman" w:hAnsi="Times New Roman" w:cs="Times New Roman"/>
                <w:sz w:val="14"/>
                <w:szCs w:val="14"/>
              </w:rPr>
            </w:pP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0.0 ± 0.0/</w:t>
            </w:r>
            <w:r w:rsidRPr="007B21E5">
              <w:rPr>
                <w:rFonts w:ascii="Times New Roman" w:hAnsi="Times New Roman" w:cs="Times New Roman"/>
                <w:sz w:val="14"/>
                <w:szCs w:val="14"/>
              </w:rPr>
              <w:t xml:space="preserve"> </w:t>
            </w:r>
            <w:r w:rsidR="00FE602D" w:rsidRPr="007B21E5">
              <w:rPr>
                <w:rFonts w:ascii="Times New Roman" w:hAnsi="Times New Roman" w:cs="Times New Roman"/>
                <w:sz w:val="14"/>
                <w:szCs w:val="14"/>
              </w:rPr>
              <w:t>0-1.2</w:t>
            </w:r>
          </w:p>
        </w:tc>
        <w:tc>
          <w:tcPr>
            <w:tcW w:w="296" w:type="pct"/>
            <w:tcBorders>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p>
        </w:tc>
        <w:tc>
          <w:tcPr>
            <w:tcW w:w="330" w:type="pct"/>
            <w:tcBorders>
              <w:bottom w:val="single" w:sz="4" w:space="0" w:color="auto"/>
            </w:tcBorders>
            <w:vAlign w:val="center"/>
          </w:tcPr>
          <w:p w:rsidR="00FE602D" w:rsidRPr="007B21E5" w:rsidRDefault="00FE602D" w:rsidP="007B21E5">
            <w:pPr>
              <w:autoSpaceDE w:val="0"/>
              <w:autoSpaceDN w:val="0"/>
              <w:adjustRightInd w:val="0"/>
              <w:snapToGrid w:val="0"/>
              <w:jc w:val="both"/>
              <w:rPr>
                <w:rFonts w:ascii="Times New Roman" w:hAnsi="Times New Roman" w:cs="Times New Roman"/>
                <w:sz w:val="14"/>
                <w:szCs w:val="14"/>
              </w:rPr>
            </w:pPr>
          </w:p>
        </w:tc>
      </w:tr>
    </w:tbl>
    <w:p w:rsidR="007C3732" w:rsidRPr="00E8688B" w:rsidRDefault="007C3732" w:rsidP="00171788">
      <w:pPr>
        <w:autoSpaceDE w:val="0"/>
        <w:autoSpaceDN w:val="0"/>
        <w:adjustRightInd w:val="0"/>
        <w:snapToGrid w:val="0"/>
        <w:spacing w:after="0" w:line="240" w:lineRule="auto"/>
        <w:jc w:val="both"/>
        <w:rPr>
          <w:rFonts w:ascii="Times New Roman" w:hAnsi="Times New Roman" w:cs="Times New Roman"/>
          <w:sz w:val="20"/>
          <w:szCs w:val="20"/>
        </w:rPr>
      </w:pPr>
      <w:r w:rsidRPr="00E8688B">
        <w:rPr>
          <w:rFonts w:ascii="Times New Roman" w:hAnsi="Times New Roman" w:cs="Times New Roman"/>
          <w:sz w:val="20"/>
          <w:szCs w:val="20"/>
        </w:rPr>
        <w:t>*p&lt; 0.05 (Significant)</w:t>
      </w:r>
    </w:p>
    <w:p w:rsidR="009F52A6" w:rsidRPr="009F52A6" w:rsidRDefault="009F52A6" w:rsidP="00322645">
      <w:pPr>
        <w:tabs>
          <w:tab w:val="left" w:pos="4230"/>
        </w:tabs>
        <w:autoSpaceDE w:val="0"/>
        <w:autoSpaceDN w:val="0"/>
        <w:adjustRightInd w:val="0"/>
        <w:snapToGrid w:val="0"/>
        <w:spacing w:after="0" w:line="240" w:lineRule="auto"/>
        <w:ind w:firstLine="425"/>
        <w:jc w:val="both"/>
        <w:rPr>
          <w:rFonts w:ascii="Times New Roman" w:hAnsi="Times New Roman" w:cs="Times New Roman"/>
          <w:sz w:val="20"/>
          <w:szCs w:val="24"/>
        </w:rPr>
      </w:pPr>
    </w:p>
    <w:p w:rsidR="00171788" w:rsidRDefault="00171788" w:rsidP="00322645">
      <w:pPr>
        <w:autoSpaceDE w:val="0"/>
        <w:autoSpaceDN w:val="0"/>
        <w:adjustRightInd w:val="0"/>
        <w:snapToGrid w:val="0"/>
        <w:spacing w:after="0" w:line="240" w:lineRule="auto"/>
        <w:ind w:firstLine="425"/>
        <w:jc w:val="both"/>
        <w:rPr>
          <w:rFonts w:ascii="Times New Roman" w:hAnsi="Times New Roman" w:cs="Times New Roman"/>
          <w:sz w:val="20"/>
          <w:szCs w:val="24"/>
        </w:rPr>
        <w:sectPr w:rsidR="00171788" w:rsidSect="009F52A6">
          <w:type w:val="continuous"/>
          <w:pgSz w:w="12240" w:h="15840" w:code="1"/>
          <w:pgMar w:top="1440" w:right="1440" w:bottom="1440" w:left="1440" w:header="720" w:footer="720" w:gutter="0"/>
          <w:cols w:space="720"/>
          <w:docGrid w:linePitch="360"/>
        </w:sectPr>
      </w:pP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lastRenderedPageBreak/>
        <w:t xml:space="preserve">Table 6 shows that of the 172 subjects recruited, four (4) were positive for both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These four recorded the least mean ± SD of lymphocyte count of 39.5±6.2 when compared to subjects positive for only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with a mean ± SD of </w:t>
      </w:r>
      <w:r w:rsidRPr="009F52A6">
        <w:rPr>
          <w:rFonts w:ascii="Times New Roman" w:hAnsi="Times New Roman" w:cs="Times New Roman"/>
          <w:sz w:val="20"/>
          <w:szCs w:val="24"/>
        </w:rPr>
        <w:lastRenderedPageBreak/>
        <w:t xml:space="preserve">45.18±14.56 and 47.75±14.16. Consequently, the mean ± SD of </w:t>
      </w:r>
      <w:proofErr w:type="spellStart"/>
      <w:r w:rsidRPr="009F52A6">
        <w:rPr>
          <w:rFonts w:ascii="Times New Roman" w:hAnsi="Times New Roman" w:cs="Times New Roman"/>
          <w:sz w:val="20"/>
          <w:szCs w:val="24"/>
        </w:rPr>
        <w:t>neutrophils</w:t>
      </w:r>
      <w:proofErr w:type="spellEnd"/>
      <w:r w:rsidRPr="009F52A6">
        <w:rPr>
          <w:rFonts w:ascii="Times New Roman" w:hAnsi="Times New Roman" w:cs="Times New Roman"/>
          <w:sz w:val="20"/>
          <w:szCs w:val="24"/>
        </w:rPr>
        <w:t xml:space="preserve"> count for </w:t>
      </w:r>
      <w:proofErr w:type="spellStart"/>
      <w:r w:rsidRPr="009F52A6">
        <w:rPr>
          <w:rFonts w:ascii="Times New Roman" w:hAnsi="Times New Roman" w:cs="Times New Roman"/>
          <w:sz w:val="20"/>
          <w:szCs w:val="24"/>
        </w:rPr>
        <w:t>IgM/IgG</w:t>
      </w:r>
      <w:proofErr w:type="spellEnd"/>
      <w:r w:rsidRPr="009F52A6">
        <w:rPr>
          <w:rFonts w:ascii="Times New Roman" w:hAnsi="Times New Roman" w:cs="Times New Roman"/>
          <w:sz w:val="20"/>
          <w:szCs w:val="24"/>
        </w:rPr>
        <w:t xml:space="preserve"> positive subjects were higher 60.5 ± 6.2 compared to</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54.10 ± 14.39 and 52.0 ± 14.09 recorded for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positive individuals respectively. See table 6 below.</w:t>
      </w:r>
    </w:p>
    <w:p w:rsidR="00171788" w:rsidRDefault="00171788" w:rsidP="00322645">
      <w:pPr>
        <w:autoSpaceDE w:val="0"/>
        <w:autoSpaceDN w:val="0"/>
        <w:adjustRightInd w:val="0"/>
        <w:snapToGrid w:val="0"/>
        <w:spacing w:after="0" w:line="240" w:lineRule="auto"/>
        <w:ind w:firstLine="425"/>
        <w:jc w:val="both"/>
        <w:rPr>
          <w:rFonts w:ascii="Times New Roman" w:hAnsi="Times New Roman" w:cs="Times New Roman"/>
          <w:sz w:val="20"/>
          <w:szCs w:val="24"/>
        </w:rPr>
        <w:sectPr w:rsidR="00171788" w:rsidSect="00171788">
          <w:type w:val="continuous"/>
          <w:pgSz w:w="12240" w:h="15840" w:code="1"/>
          <w:pgMar w:top="1440" w:right="1440" w:bottom="1440" w:left="1440" w:header="720" w:footer="720" w:gutter="0"/>
          <w:cols w:num="2" w:space="550"/>
          <w:docGrid w:linePitch="360"/>
        </w:sectPr>
      </w:pPr>
    </w:p>
    <w:p w:rsidR="009F52A6" w:rsidRPr="009F52A6" w:rsidRDefault="009F52A6"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FE602D" w:rsidRPr="009F52A6" w:rsidRDefault="00FE602D" w:rsidP="00171788">
      <w:pPr>
        <w:autoSpaceDE w:val="0"/>
        <w:autoSpaceDN w:val="0"/>
        <w:adjustRightInd w:val="0"/>
        <w:snapToGrid w:val="0"/>
        <w:spacing w:after="0" w:line="240" w:lineRule="auto"/>
        <w:jc w:val="both"/>
        <w:rPr>
          <w:rFonts w:ascii="Times New Roman" w:hAnsi="Times New Roman" w:cs="Times New Roman"/>
          <w:sz w:val="20"/>
          <w:szCs w:val="24"/>
        </w:rPr>
      </w:pPr>
      <w:r w:rsidRPr="009F52A6">
        <w:rPr>
          <w:rFonts w:ascii="Times New Roman" w:hAnsi="Times New Roman" w:cs="Times New Roman"/>
          <w:sz w:val="20"/>
          <w:szCs w:val="24"/>
        </w:rPr>
        <w:t xml:space="preserve">Table 6. Comparison of the Mean ± SD of Leukocyte Counts of Subjects Positive for both anti-MV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as well as only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or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757"/>
        <w:gridCol w:w="2262"/>
        <w:gridCol w:w="1988"/>
        <w:gridCol w:w="2467"/>
      </w:tblGrid>
      <w:tr w:rsidR="00FE602D" w:rsidRPr="009F52A6" w:rsidTr="009F52A6">
        <w:trPr>
          <w:jc w:val="center"/>
        </w:trPr>
        <w:tc>
          <w:tcPr>
            <w:tcW w:w="1455"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194"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Positive </w:t>
            </w:r>
            <w:proofErr w:type="spellStart"/>
            <w:r w:rsidRPr="009F52A6">
              <w:rPr>
                <w:rFonts w:ascii="Times New Roman" w:hAnsi="Times New Roman" w:cs="Times New Roman"/>
                <w:sz w:val="20"/>
                <w:szCs w:val="24"/>
              </w:rPr>
              <w:t>IgM</w:t>
            </w:r>
            <w:proofErr w:type="spellEnd"/>
            <w:r w:rsidR="007B21E5">
              <w:rPr>
                <w:rFonts w:ascii="Times New Roman" w:hAnsi="Times New Roman" w:cs="Times New Roman"/>
                <w:sz w:val="20"/>
                <w:szCs w:val="24"/>
              </w:rPr>
              <w:t xml:space="preserve"> </w:t>
            </w:r>
            <w:r w:rsidRPr="009F52A6">
              <w:rPr>
                <w:rFonts w:ascii="Times New Roman" w:hAnsi="Times New Roman" w:cs="Times New Roman"/>
                <w:sz w:val="20"/>
                <w:szCs w:val="24"/>
              </w:rPr>
              <w:t>(n=12)</w:t>
            </w:r>
          </w:p>
        </w:tc>
        <w:tc>
          <w:tcPr>
            <w:tcW w:w="1049"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Positive </w:t>
            </w:r>
            <w:proofErr w:type="spellStart"/>
            <w:r w:rsidRPr="009F52A6">
              <w:rPr>
                <w:rFonts w:ascii="Times New Roman" w:hAnsi="Times New Roman" w:cs="Times New Roman"/>
                <w:sz w:val="20"/>
                <w:szCs w:val="24"/>
              </w:rPr>
              <w:t>IgG</w:t>
            </w:r>
            <w:proofErr w:type="spellEnd"/>
            <w:r w:rsidR="007B21E5">
              <w:rPr>
                <w:rFonts w:ascii="Times New Roman" w:hAnsi="Times New Roman" w:cs="Times New Roman"/>
                <w:sz w:val="20"/>
                <w:szCs w:val="24"/>
              </w:rPr>
              <w:t xml:space="preserve"> </w:t>
            </w:r>
            <w:r w:rsidRPr="009F52A6">
              <w:rPr>
                <w:rFonts w:ascii="Times New Roman" w:hAnsi="Times New Roman" w:cs="Times New Roman"/>
                <w:sz w:val="20"/>
                <w:szCs w:val="24"/>
              </w:rPr>
              <w:t>(n=28)</w:t>
            </w:r>
          </w:p>
        </w:tc>
        <w:tc>
          <w:tcPr>
            <w:tcW w:w="1302" w:type="pct"/>
            <w:tcBorders>
              <w:top w:val="single" w:sz="4" w:space="0" w:color="auto"/>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Positive </w:t>
            </w:r>
            <w:proofErr w:type="spellStart"/>
            <w:r w:rsidRPr="009F52A6">
              <w:rPr>
                <w:rFonts w:ascii="Times New Roman" w:hAnsi="Times New Roman" w:cs="Times New Roman"/>
                <w:sz w:val="20"/>
                <w:szCs w:val="24"/>
              </w:rPr>
              <w:t>IgM/IgG</w:t>
            </w:r>
            <w:proofErr w:type="spellEnd"/>
            <w:r w:rsidR="007B21E5">
              <w:rPr>
                <w:rFonts w:ascii="Times New Roman" w:hAnsi="Times New Roman" w:cs="Times New Roman"/>
                <w:sz w:val="20"/>
                <w:szCs w:val="24"/>
              </w:rPr>
              <w:t xml:space="preserve"> </w:t>
            </w:r>
            <w:r w:rsidRPr="009F52A6">
              <w:rPr>
                <w:rFonts w:ascii="Times New Roman" w:hAnsi="Times New Roman" w:cs="Times New Roman"/>
                <w:sz w:val="20"/>
                <w:szCs w:val="24"/>
              </w:rPr>
              <w:t>(n=4)</w:t>
            </w:r>
          </w:p>
        </w:tc>
      </w:tr>
      <w:tr w:rsidR="00FE602D" w:rsidRPr="009F52A6" w:rsidTr="009F52A6">
        <w:trPr>
          <w:jc w:val="center"/>
        </w:trPr>
        <w:tc>
          <w:tcPr>
            <w:tcW w:w="1455"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Lymphocytes count</w:t>
            </w:r>
          </w:p>
        </w:tc>
        <w:tc>
          <w:tcPr>
            <w:tcW w:w="1194"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45.18 ± 14.58</w:t>
            </w:r>
          </w:p>
        </w:tc>
        <w:tc>
          <w:tcPr>
            <w:tcW w:w="1049"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47.75 ± 14.16</w:t>
            </w:r>
          </w:p>
        </w:tc>
        <w:tc>
          <w:tcPr>
            <w:tcW w:w="1302"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39.5 ± 6.2</w:t>
            </w:r>
          </w:p>
        </w:tc>
      </w:tr>
      <w:tr w:rsidR="00FE602D" w:rsidRPr="009F52A6" w:rsidTr="009F52A6">
        <w:trPr>
          <w:jc w:val="center"/>
        </w:trPr>
        <w:tc>
          <w:tcPr>
            <w:tcW w:w="145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roofErr w:type="spellStart"/>
            <w:r w:rsidRPr="009F52A6">
              <w:rPr>
                <w:rFonts w:ascii="Times New Roman" w:hAnsi="Times New Roman" w:cs="Times New Roman"/>
                <w:sz w:val="20"/>
                <w:szCs w:val="24"/>
              </w:rPr>
              <w:t>Neutrophils</w:t>
            </w:r>
            <w:proofErr w:type="spellEnd"/>
            <w:r w:rsidRPr="009F52A6">
              <w:rPr>
                <w:rFonts w:ascii="Times New Roman" w:hAnsi="Times New Roman" w:cs="Times New Roman"/>
                <w:sz w:val="20"/>
                <w:szCs w:val="24"/>
              </w:rPr>
              <w:t xml:space="preserve"> count</w:t>
            </w:r>
          </w:p>
        </w:tc>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54.10 ± 14.39</w:t>
            </w:r>
          </w:p>
        </w:tc>
        <w:tc>
          <w:tcPr>
            <w:tcW w:w="1049"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52.0</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14.09</w:t>
            </w:r>
          </w:p>
        </w:tc>
        <w:tc>
          <w:tcPr>
            <w:tcW w:w="1302"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60.5 ± 6.2</w:t>
            </w:r>
          </w:p>
        </w:tc>
      </w:tr>
      <w:tr w:rsidR="00FE602D" w:rsidRPr="009F52A6" w:rsidTr="009F52A6">
        <w:trPr>
          <w:jc w:val="center"/>
        </w:trPr>
        <w:tc>
          <w:tcPr>
            <w:tcW w:w="145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roofErr w:type="spellStart"/>
            <w:r w:rsidRPr="009F52A6">
              <w:rPr>
                <w:rFonts w:ascii="Times New Roman" w:hAnsi="Times New Roman" w:cs="Times New Roman"/>
                <w:sz w:val="20"/>
                <w:szCs w:val="24"/>
              </w:rPr>
              <w:t>Monocyte</w:t>
            </w:r>
            <w:proofErr w:type="spellEnd"/>
            <w:r w:rsidRPr="009F52A6">
              <w:rPr>
                <w:rFonts w:ascii="Times New Roman" w:hAnsi="Times New Roman" w:cs="Times New Roman"/>
                <w:sz w:val="20"/>
                <w:szCs w:val="24"/>
              </w:rPr>
              <w:t xml:space="preserve"> counts</w:t>
            </w:r>
          </w:p>
        </w:tc>
        <w:tc>
          <w:tcPr>
            <w:tcW w:w="1194" w:type="pct"/>
            <w:vAlign w:val="center"/>
          </w:tcPr>
          <w:p w:rsidR="00FE602D" w:rsidRPr="009F52A6" w:rsidRDefault="00FE602D" w:rsidP="00322645">
            <w:pPr>
              <w:pStyle w:val="ListParagraph"/>
              <w:numPr>
                <w:ilvl w:val="1"/>
                <w:numId w:val="11"/>
              </w:numPr>
              <w:autoSpaceDE w:val="0"/>
              <w:autoSpaceDN w:val="0"/>
              <w:adjustRightInd w:val="0"/>
              <w:snapToGrid w:val="0"/>
              <w:ind w:left="0" w:firstLine="0"/>
              <w:jc w:val="both"/>
              <w:rPr>
                <w:rFonts w:ascii="Times New Roman" w:hAnsi="Times New Roman" w:cs="Times New Roman"/>
                <w:sz w:val="20"/>
                <w:szCs w:val="24"/>
              </w:rPr>
            </w:pPr>
            <w:r w:rsidRPr="009F52A6">
              <w:rPr>
                <w:rFonts w:ascii="Times New Roman" w:hAnsi="Times New Roman" w:cs="Times New Roman"/>
                <w:sz w:val="20"/>
                <w:szCs w:val="24"/>
              </w:rPr>
              <w:t xml:space="preserve"> ± 1.73</w:t>
            </w:r>
          </w:p>
        </w:tc>
        <w:tc>
          <w:tcPr>
            <w:tcW w:w="1049"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1.17</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2.04</w:t>
            </w:r>
          </w:p>
        </w:tc>
        <w:tc>
          <w:tcPr>
            <w:tcW w:w="1302"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1.0 ± 2.0</w:t>
            </w:r>
          </w:p>
        </w:tc>
      </w:tr>
      <w:tr w:rsidR="00FE602D" w:rsidRPr="009F52A6" w:rsidTr="009F52A6">
        <w:trPr>
          <w:jc w:val="center"/>
        </w:trPr>
        <w:tc>
          <w:tcPr>
            <w:tcW w:w="145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roofErr w:type="spellStart"/>
            <w:r w:rsidRPr="009F52A6">
              <w:rPr>
                <w:rFonts w:ascii="Times New Roman" w:hAnsi="Times New Roman" w:cs="Times New Roman"/>
                <w:sz w:val="20"/>
                <w:szCs w:val="24"/>
              </w:rPr>
              <w:t>Eosinophils</w:t>
            </w:r>
            <w:proofErr w:type="spellEnd"/>
            <w:r w:rsidRPr="009F52A6">
              <w:rPr>
                <w:rFonts w:ascii="Times New Roman" w:hAnsi="Times New Roman" w:cs="Times New Roman"/>
                <w:sz w:val="20"/>
                <w:szCs w:val="24"/>
              </w:rPr>
              <w:t xml:space="preserve"> count</w:t>
            </w:r>
          </w:p>
        </w:tc>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0.25 ± 1.14</w:t>
            </w:r>
          </w:p>
        </w:tc>
        <w:tc>
          <w:tcPr>
            <w:tcW w:w="1049"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0.08</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0.29</w:t>
            </w:r>
          </w:p>
        </w:tc>
        <w:tc>
          <w:tcPr>
            <w:tcW w:w="1302"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 ± 0.0</w:t>
            </w:r>
          </w:p>
        </w:tc>
      </w:tr>
      <w:tr w:rsidR="00FE602D" w:rsidRPr="009F52A6" w:rsidTr="009F52A6">
        <w:trPr>
          <w:jc w:val="center"/>
        </w:trPr>
        <w:tc>
          <w:tcPr>
            <w:tcW w:w="1455"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roofErr w:type="spellStart"/>
            <w:r w:rsidRPr="009F52A6">
              <w:rPr>
                <w:rFonts w:ascii="Times New Roman" w:hAnsi="Times New Roman" w:cs="Times New Roman"/>
                <w:sz w:val="20"/>
                <w:szCs w:val="24"/>
              </w:rPr>
              <w:t>Basophils</w:t>
            </w:r>
            <w:proofErr w:type="spellEnd"/>
            <w:r w:rsidRPr="009F52A6">
              <w:rPr>
                <w:rFonts w:ascii="Times New Roman" w:hAnsi="Times New Roman" w:cs="Times New Roman"/>
                <w:sz w:val="20"/>
                <w:szCs w:val="24"/>
              </w:rPr>
              <w:t xml:space="preserve"> count</w:t>
            </w:r>
          </w:p>
        </w:tc>
        <w:tc>
          <w:tcPr>
            <w:tcW w:w="1194"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 ± 0.0</w:t>
            </w:r>
          </w:p>
        </w:tc>
        <w:tc>
          <w:tcPr>
            <w:tcW w:w="1049"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0.0</w:t>
            </w:r>
          </w:p>
        </w:tc>
        <w:tc>
          <w:tcPr>
            <w:tcW w:w="1302" w:type="pct"/>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0.0 ± 0.0</w:t>
            </w:r>
          </w:p>
        </w:tc>
      </w:tr>
    </w:tbl>
    <w:p w:rsidR="00FE602D" w:rsidRPr="009F52A6" w:rsidRDefault="00FE602D" w:rsidP="00171788">
      <w:pPr>
        <w:autoSpaceDE w:val="0"/>
        <w:autoSpaceDN w:val="0"/>
        <w:adjustRightInd w:val="0"/>
        <w:snapToGrid w:val="0"/>
        <w:spacing w:after="0" w:line="240" w:lineRule="auto"/>
        <w:jc w:val="both"/>
        <w:rPr>
          <w:rFonts w:ascii="Times New Roman" w:hAnsi="Times New Roman" w:cs="Times New Roman"/>
          <w:sz w:val="20"/>
          <w:szCs w:val="24"/>
        </w:rPr>
      </w:pPr>
      <w:r w:rsidRPr="009F52A6">
        <w:rPr>
          <w:rFonts w:ascii="Times New Roman" w:hAnsi="Times New Roman" w:cs="Times New Roman"/>
          <w:sz w:val="20"/>
          <w:szCs w:val="24"/>
        </w:rPr>
        <w:t>*p&lt; 0.05 (Significant)</w:t>
      </w:r>
    </w:p>
    <w:p w:rsidR="00FE602D" w:rsidRPr="009F52A6" w:rsidRDefault="00FE602D" w:rsidP="00171788">
      <w:pPr>
        <w:autoSpaceDE w:val="0"/>
        <w:autoSpaceDN w:val="0"/>
        <w:adjustRightInd w:val="0"/>
        <w:snapToGrid w:val="0"/>
        <w:spacing w:after="0" w:line="240" w:lineRule="auto"/>
        <w:jc w:val="both"/>
        <w:rPr>
          <w:rFonts w:ascii="Times New Roman" w:hAnsi="Times New Roman" w:cs="Times New Roman"/>
          <w:b/>
          <w:sz w:val="20"/>
          <w:szCs w:val="24"/>
        </w:rPr>
      </w:pPr>
      <w:r w:rsidRPr="009F52A6">
        <w:rPr>
          <w:rFonts w:ascii="Times New Roman" w:hAnsi="Times New Roman" w:cs="Times New Roman"/>
          <w:b/>
          <w:sz w:val="20"/>
          <w:szCs w:val="24"/>
        </w:rPr>
        <w:t xml:space="preserve">N/B: </w:t>
      </w:r>
      <w:r w:rsidRPr="009F52A6">
        <w:rPr>
          <w:rFonts w:ascii="Times New Roman" w:hAnsi="Times New Roman" w:cs="Times New Roman"/>
          <w:sz w:val="20"/>
          <w:szCs w:val="24"/>
        </w:rPr>
        <w:t>All participants received single dose vaccination at 9months of age and showed no</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symptom of the disease.</w:t>
      </w:r>
    </w:p>
    <w:p w:rsidR="009F52A6" w:rsidRPr="009F52A6" w:rsidRDefault="009F52A6" w:rsidP="00322645">
      <w:pPr>
        <w:autoSpaceDE w:val="0"/>
        <w:autoSpaceDN w:val="0"/>
        <w:adjustRightInd w:val="0"/>
        <w:snapToGrid w:val="0"/>
        <w:spacing w:after="0" w:line="240" w:lineRule="auto"/>
        <w:jc w:val="both"/>
        <w:rPr>
          <w:rFonts w:ascii="Times New Roman" w:hAnsi="Times New Roman" w:cs="Times New Roman"/>
          <w:b/>
          <w:sz w:val="20"/>
          <w:szCs w:val="24"/>
        </w:rPr>
      </w:pPr>
    </w:p>
    <w:p w:rsidR="00171788" w:rsidRDefault="00171788" w:rsidP="00322645">
      <w:pPr>
        <w:autoSpaceDE w:val="0"/>
        <w:autoSpaceDN w:val="0"/>
        <w:adjustRightInd w:val="0"/>
        <w:snapToGrid w:val="0"/>
        <w:spacing w:after="0" w:line="240" w:lineRule="auto"/>
        <w:ind w:firstLine="425"/>
        <w:jc w:val="both"/>
        <w:rPr>
          <w:rFonts w:ascii="Times New Roman" w:hAnsi="Times New Roman" w:cs="Times New Roman"/>
          <w:b/>
          <w:sz w:val="20"/>
          <w:szCs w:val="24"/>
        </w:rPr>
        <w:sectPr w:rsidR="00171788" w:rsidSect="009F52A6">
          <w:type w:val="continuous"/>
          <w:pgSz w:w="12240" w:h="15840" w:code="1"/>
          <w:pgMar w:top="1440" w:right="1440" w:bottom="1440" w:left="1440" w:header="720" w:footer="720" w:gutter="0"/>
          <w:cols w:space="720"/>
          <w:docGrid w:linePitch="360"/>
        </w:sectPr>
      </w:pP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lastRenderedPageBreak/>
        <w:t xml:space="preserve">It was observed as shown in table 5 that the Mean ± SD of lymphocyte count in female subject was higher (46.8 ± 16.4) compared to 43.0 ± 12.1 in male subjects, both groups had a positive anti-MV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titter of 1.5 ± 0.5 and 1.9 ± 0.9 respectively. The </w:t>
      </w:r>
      <w:proofErr w:type="spellStart"/>
      <w:r w:rsidRPr="009F52A6">
        <w:rPr>
          <w:rFonts w:ascii="Times New Roman" w:hAnsi="Times New Roman" w:cs="Times New Roman"/>
          <w:sz w:val="20"/>
          <w:szCs w:val="24"/>
        </w:rPr>
        <w:t>neutrophil</w:t>
      </w:r>
      <w:proofErr w:type="spellEnd"/>
      <w:r w:rsidRPr="009F52A6">
        <w:rPr>
          <w:rFonts w:ascii="Times New Roman" w:hAnsi="Times New Roman" w:cs="Times New Roman"/>
          <w:sz w:val="20"/>
          <w:szCs w:val="24"/>
        </w:rPr>
        <w:t xml:space="preserve"> counts of 54.9 ± 13.4 and 53.5 ± 15.5, </w:t>
      </w:r>
      <w:proofErr w:type="spellStart"/>
      <w:r w:rsidRPr="009F52A6">
        <w:rPr>
          <w:rFonts w:ascii="Times New Roman" w:hAnsi="Times New Roman" w:cs="Times New Roman"/>
          <w:sz w:val="20"/>
          <w:szCs w:val="24"/>
        </w:rPr>
        <w:t>monocyte</w:t>
      </w:r>
      <w:proofErr w:type="spellEnd"/>
      <w:r w:rsidRPr="009F52A6">
        <w:rPr>
          <w:rFonts w:ascii="Times New Roman" w:hAnsi="Times New Roman" w:cs="Times New Roman"/>
          <w:sz w:val="20"/>
          <w:szCs w:val="24"/>
        </w:rPr>
        <w:t xml:space="preserve"> counts of 0.8 ± 1.3 as well as 1.3 ± 2.0 were recorded for male and female subjects respectively. A Mean ± SD of 0.6 ± 1.7 of </w:t>
      </w:r>
      <w:proofErr w:type="spellStart"/>
      <w:r w:rsidRPr="009F52A6">
        <w:rPr>
          <w:rFonts w:ascii="Times New Roman" w:hAnsi="Times New Roman" w:cs="Times New Roman"/>
          <w:sz w:val="20"/>
          <w:szCs w:val="24"/>
        </w:rPr>
        <w:t>eosinophil</w:t>
      </w:r>
      <w:proofErr w:type="spellEnd"/>
      <w:r w:rsidRPr="009F52A6">
        <w:rPr>
          <w:rFonts w:ascii="Times New Roman" w:hAnsi="Times New Roman" w:cs="Times New Roman"/>
          <w:sz w:val="20"/>
          <w:szCs w:val="24"/>
        </w:rPr>
        <w:t xml:space="preserve"> counts was recorded for male subject only. Also, it was observed in table 6 that </w:t>
      </w:r>
      <w:r w:rsidRPr="009F52A6">
        <w:rPr>
          <w:rFonts w:ascii="Times New Roman" w:hAnsi="Times New Roman" w:cs="Times New Roman"/>
          <w:sz w:val="20"/>
          <w:szCs w:val="24"/>
        </w:rPr>
        <w:lastRenderedPageBreak/>
        <w:t xml:space="preserve">the Mean ± SD of lymphocyte count in female subject was 50.6 ± 13.3 higher compared to 42.0 ± 16.1 in male subjects, both groups had a positive anti-MV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titter of 1.3 ± 0.3 and1.7 ± 0.3 respectively. The </w:t>
      </w:r>
      <w:proofErr w:type="spellStart"/>
      <w:r w:rsidRPr="009F52A6">
        <w:rPr>
          <w:rFonts w:ascii="Times New Roman" w:hAnsi="Times New Roman" w:cs="Times New Roman"/>
          <w:sz w:val="20"/>
          <w:szCs w:val="24"/>
        </w:rPr>
        <w:t>neutrophil</w:t>
      </w:r>
      <w:proofErr w:type="spellEnd"/>
      <w:r w:rsidRPr="009F52A6">
        <w:rPr>
          <w:rFonts w:ascii="Times New Roman" w:hAnsi="Times New Roman" w:cs="Times New Roman"/>
          <w:sz w:val="20"/>
          <w:szCs w:val="24"/>
        </w:rPr>
        <w:t xml:space="preserve"> counts of 58.0 ± 16.1 and 49.0 ± 13.1, then </w:t>
      </w:r>
      <w:proofErr w:type="spellStart"/>
      <w:r w:rsidRPr="009F52A6">
        <w:rPr>
          <w:rFonts w:ascii="Times New Roman" w:hAnsi="Times New Roman" w:cs="Times New Roman"/>
          <w:sz w:val="20"/>
          <w:szCs w:val="24"/>
        </w:rPr>
        <w:t>monocyte</w:t>
      </w:r>
      <w:proofErr w:type="spellEnd"/>
      <w:r w:rsidRPr="009F52A6">
        <w:rPr>
          <w:rFonts w:ascii="Times New Roman" w:hAnsi="Times New Roman" w:cs="Times New Roman"/>
          <w:sz w:val="20"/>
          <w:szCs w:val="24"/>
        </w:rPr>
        <w:t xml:space="preserve"> counts of 0.0 ± 0.0 and 1.8 ± 2.3 were recorded for male and female subjects respectively. A Mean ± SD of 0.1 ± 0.4 </w:t>
      </w:r>
      <w:proofErr w:type="spellStart"/>
      <w:r w:rsidRPr="009F52A6">
        <w:rPr>
          <w:rFonts w:ascii="Times New Roman" w:hAnsi="Times New Roman" w:cs="Times New Roman"/>
          <w:sz w:val="20"/>
          <w:szCs w:val="24"/>
        </w:rPr>
        <w:t>eosinophil</w:t>
      </w:r>
      <w:proofErr w:type="spellEnd"/>
      <w:r w:rsidRPr="009F52A6">
        <w:rPr>
          <w:rFonts w:ascii="Times New Roman" w:hAnsi="Times New Roman" w:cs="Times New Roman"/>
          <w:sz w:val="20"/>
          <w:szCs w:val="24"/>
        </w:rPr>
        <w:t xml:space="preserve"> counts was recorded for male subject only.</w:t>
      </w:r>
    </w:p>
    <w:p w:rsidR="00171788" w:rsidRDefault="00171788" w:rsidP="00322645">
      <w:pPr>
        <w:autoSpaceDE w:val="0"/>
        <w:autoSpaceDN w:val="0"/>
        <w:adjustRightInd w:val="0"/>
        <w:snapToGrid w:val="0"/>
        <w:spacing w:after="0" w:line="240" w:lineRule="auto"/>
        <w:jc w:val="both"/>
        <w:rPr>
          <w:rFonts w:ascii="Times New Roman" w:hAnsi="Times New Roman" w:cs="Times New Roman"/>
          <w:b/>
          <w:sz w:val="20"/>
          <w:szCs w:val="24"/>
        </w:rPr>
        <w:sectPr w:rsidR="00171788" w:rsidSect="00171788">
          <w:type w:val="continuous"/>
          <w:pgSz w:w="12240" w:h="15840" w:code="1"/>
          <w:pgMar w:top="1440" w:right="1440" w:bottom="1440" w:left="1440" w:header="720" w:footer="720" w:gutter="0"/>
          <w:cols w:num="2" w:space="550"/>
          <w:docGrid w:linePitch="360"/>
        </w:sectPr>
      </w:pPr>
    </w:p>
    <w:p w:rsidR="009F52A6" w:rsidRPr="009F52A6" w:rsidRDefault="009F52A6" w:rsidP="00322645">
      <w:pPr>
        <w:autoSpaceDE w:val="0"/>
        <w:autoSpaceDN w:val="0"/>
        <w:adjustRightInd w:val="0"/>
        <w:snapToGrid w:val="0"/>
        <w:spacing w:after="0" w:line="240" w:lineRule="auto"/>
        <w:jc w:val="both"/>
        <w:rPr>
          <w:rFonts w:ascii="Times New Roman" w:hAnsi="Times New Roman" w:cs="Times New Roman"/>
          <w:b/>
          <w:sz w:val="20"/>
          <w:szCs w:val="24"/>
        </w:rPr>
      </w:pPr>
    </w:p>
    <w:p w:rsidR="00FE602D" w:rsidRPr="009F52A6" w:rsidRDefault="00FE602D" w:rsidP="00171788">
      <w:pPr>
        <w:autoSpaceDE w:val="0"/>
        <w:autoSpaceDN w:val="0"/>
        <w:adjustRightInd w:val="0"/>
        <w:snapToGrid w:val="0"/>
        <w:spacing w:after="0" w:line="240" w:lineRule="auto"/>
        <w:jc w:val="both"/>
        <w:rPr>
          <w:rFonts w:ascii="Times New Roman" w:hAnsi="Times New Roman" w:cs="Times New Roman"/>
          <w:sz w:val="20"/>
          <w:szCs w:val="24"/>
        </w:rPr>
      </w:pPr>
      <w:r w:rsidRPr="009F52A6">
        <w:rPr>
          <w:rFonts w:ascii="Times New Roman" w:hAnsi="Times New Roman" w:cs="Times New Roman"/>
          <w:sz w:val="20"/>
          <w:szCs w:val="24"/>
        </w:rPr>
        <w:t>Table 7.</w:t>
      </w:r>
      <w:r w:rsidR="009F52A6" w:rsidRPr="009F52A6">
        <w:rPr>
          <w:rFonts w:ascii="Times New Roman" w:hAnsi="Times New Roman" w:cs="Times New Roman"/>
          <w:sz w:val="20"/>
          <w:szCs w:val="24"/>
        </w:rPr>
        <w:t xml:space="preserve"> </w:t>
      </w:r>
      <w:proofErr w:type="spellStart"/>
      <w:r w:rsidRPr="009F52A6">
        <w:rPr>
          <w:rFonts w:ascii="Times New Roman" w:hAnsi="Times New Roman" w:cs="Times New Roman"/>
          <w:sz w:val="20"/>
          <w:szCs w:val="24"/>
        </w:rPr>
        <w:t>Comparism</w:t>
      </w:r>
      <w:proofErr w:type="spellEnd"/>
      <w:r w:rsidRPr="009F52A6">
        <w:rPr>
          <w:rFonts w:ascii="Times New Roman" w:hAnsi="Times New Roman" w:cs="Times New Roman"/>
          <w:sz w:val="20"/>
          <w:szCs w:val="24"/>
        </w:rPr>
        <w:t xml:space="preserve"> of the </w:t>
      </w:r>
      <w:proofErr w:type="spellStart"/>
      <w:r w:rsidRPr="009F52A6">
        <w:rPr>
          <w:rFonts w:ascii="Times New Roman" w:hAnsi="Times New Roman" w:cs="Times New Roman"/>
          <w:sz w:val="20"/>
          <w:szCs w:val="24"/>
        </w:rPr>
        <w:t>Mean±SD</w:t>
      </w:r>
      <w:proofErr w:type="spellEnd"/>
      <w:r w:rsidRPr="009F52A6">
        <w:rPr>
          <w:rFonts w:ascii="Times New Roman" w:hAnsi="Times New Roman" w:cs="Times New Roman"/>
          <w:sz w:val="20"/>
          <w:szCs w:val="24"/>
        </w:rPr>
        <w:t xml:space="preserve"> of Leukocyte Counts of Positive anti-MV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Subjects Stratified by Sex.</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136"/>
        <w:gridCol w:w="1085"/>
        <w:gridCol w:w="1086"/>
        <w:gridCol w:w="764"/>
        <w:gridCol w:w="813"/>
        <w:gridCol w:w="1033"/>
        <w:gridCol w:w="1086"/>
        <w:gridCol w:w="711"/>
        <w:gridCol w:w="760"/>
      </w:tblGrid>
      <w:tr w:rsidR="00FE602D" w:rsidRPr="009F52A6" w:rsidTr="009F52A6">
        <w:trPr>
          <w:jc w:val="center"/>
        </w:trPr>
        <w:tc>
          <w:tcPr>
            <w:tcW w:w="1128"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1978" w:type="pct"/>
            <w:gridSpan w:val="4"/>
            <w:tcBorders>
              <w:top w:val="single" w:sz="4" w:space="0" w:color="auto"/>
            </w:tcBorders>
            <w:vAlign w:val="center"/>
          </w:tcPr>
          <w:p w:rsidR="00FE602D" w:rsidRPr="009F52A6" w:rsidRDefault="009F52A6"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 </w:t>
            </w:r>
            <w:proofErr w:type="spellStart"/>
            <w:r w:rsidR="00FE602D" w:rsidRPr="009F52A6">
              <w:rPr>
                <w:rFonts w:ascii="Times New Roman" w:hAnsi="Times New Roman" w:cs="Times New Roman"/>
                <w:sz w:val="20"/>
                <w:szCs w:val="24"/>
              </w:rPr>
              <w:t>IgM</w:t>
            </w:r>
            <w:proofErr w:type="spellEnd"/>
          </w:p>
        </w:tc>
        <w:tc>
          <w:tcPr>
            <w:tcW w:w="1894" w:type="pct"/>
            <w:gridSpan w:val="4"/>
            <w:tcBorders>
              <w:top w:val="single" w:sz="4" w:space="0" w:color="auto"/>
            </w:tcBorders>
            <w:vAlign w:val="center"/>
          </w:tcPr>
          <w:p w:rsidR="00FE602D" w:rsidRPr="009F52A6" w:rsidRDefault="009F52A6"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 xml:space="preserve"> </w:t>
            </w:r>
            <w:proofErr w:type="spellStart"/>
            <w:r w:rsidR="00FE602D" w:rsidRPr="009F52A6">
              <w:rPr>
                <w:rFonts w:ascii="Times New Roman" w:hAnsi="Times New Roman" w:cs="Times New Roman"/>
                <w:sz w:val="20"/>
                <w:szCs w:val="24"/>
              </w:rPr>
              <w:t>IgG</w:t>
            </w:r>
            <w:proofErr w:type="spellEnd"/>
          </w:p>
        </w:tc>
      </w:tr>
      <w:tr w:rsidR="009F52A6" w:rsidRPr="009F52A6" w:rsidTr="009F52A6">
        <w:trPr>
          <w:jc w:val="center"/>
        </w:trPr>
        <w:tc>
          <w:tcPr>
            <w:tcW w:w="1128"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573"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Male</w:t>
            </w:r>
          </w:p>
        </w:tc>
        <w:tc>
          <w:tcPr>
            <w:tcW w:w="573"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Female</w:t>
            </w:r>
          </w:p>
        </w:tc>
        <w:tc>
          <w:tcPr>
            <w:tcW w:w="403"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t- value</w:t>
            </w:r>
          </w:p>
        </w:tc>
        <w:tc>
          <w:tcPr>
            <w:tcW w:w="428"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p- value</w:t>
            </w:r>
          </w:p>
        </w:tc>
        <w:tc>
          <w:tcPr>
            <w:tcW w:w="545"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Male</w:t>
            </w:r>
          </w:p>
        </w:tc>
        <w:tc>
          <w:tcPr>
            <w:tcW w:w="573"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Female</w:t>
            </w:r>
          </w:p>
        </w:tc>
        <w:tc>
          <w:tcPr>
            <w:tcW w:w="375"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t-value</w:t>
            </w:r>
          </w:p>
        </w:tc>
        <w:tc>
          <w:tcPr>
            <w:tcW w:w="400"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r w:rsidRPr="009F52A6">
              <w:rPr>
                <w:rFonts w:ascii="Times New Roman" w:hAnsi="Times New Roman" w:cs="Times New Roman"/>
                <w:sz w:val="20"/>
                <w:szCs w:val="24"/>
              </w:rPr>
              <w:t>p-value</w:t>
            </w:r>
          </w:p>
        </w:tc>
      </w:tr>
      <w:tr w:rsidR="009F52A6" w:rsidRPr="009F52A6" w:rsidTr="009F52A6">
        <w:trPr>
          <w:jc w:val="center"/>
        </w:trPr>
        <w:tc>
          <w:tcPr>
            <w:tcW w:w="1128" w:type="pct"/>
            <w:tcBorders>
              <w:top w:val="single" w:sz="4" w:space="0" w:color="auto"/>
            </w:tcBorders>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MV O.D value</w:t>
            </w:r>
          </w:p>
        </w:tc>
        <w:tc>
          <w:tcPr>
            <w:tcW w:w="573" w:type="pct"/>
            <w:tcBorders>
              <w:top w:val="single" w:sz="4" w:space="0" w:color="auto"/>
            </w:tcBorders>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1.7 ± 0.3</w:t>
            </w:r>
          </w:p>
        </w:tc>
        <w:tc>
          <w:tcPr>
            <w:tcW w:w="573" w:type="pct"/>
            <w:tcBorders>
              <w:top w:val="single" w:sz="4" w:space="0" w:color="auto"/>
            </w:tcBorders>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1.3 ± 0.3</w:t>
            </w:r>
          </w:p>
        </w:tc>
        <w:tc>
          <w:tcPr>
            <w:tcW w:w="403"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428"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545" w:type="pct"/>
            <w:tcBorders>
              <w:top w:val="single" w:sz="4" w:space="0" w:color="auto"/>
            </w:tcBorders>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1.9± 0.9</w:t>
            </w:r>
          </w:p>
        </w:tc>
        <w:tc>
          <w:tcPr>
            <w:tcW w:w="573" w:type="pct"/>
            <w:tcBorders>
              <w:top w:val="single" w:sz="4" w:space="0" w:color="auto"/>
            </w:tcBorders>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1.5 ± 0.5</w:t>
            </w:r>
          </w:p>
        </w:tc>
        <w:tc>
          <w:tcPr>
            <w:tcW w:w="375"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400" w:type="pct"/>
            <w:tcBorders>
              <w:top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r w:rsidR="009F52A6" w:rsidRPr="009F52A6" w:rsidTr="009F52A6">
        <w:trPr>
          <w:jc w:val="center"/>
        </w:trPr>
        <w:tc>
          <w:tcPr>
            <w:tcW w:w="1128"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Lymphocyte Count (%)</w:t>
            </w:r>
          </w:p>
        </w:tc>
        <w:tc>
          <w:tcPr>
            <w:tcW w:w="57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42.0 ± 16.1</w:t>
            </w:r>
          </w:p>
        </w:tc>
        <w:tc>
          <w:tcPr>
            <w:tcW w:w="57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50.6 ± 13.3</w:t>
            </w:r>
          </w:p>
        </w:tc>
        <w:tc>
          <w:tcPr>
            <w:tcW w:w="40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0.927</w:t>
            </w:r>
          </w:p>
        </w:tc>
        <w:tc>
          <w:tcPr>
            <w:tcW w:w="428"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0.396</w:t>
            </w:r>
          </w:p>
        </w:tc>
        <w:tc>
          <w:tcPr>
            <w:tcW w:w="545"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43.0± 12.1</w:t>
            </w:r>
          </w:p>
        </w:tc>
        <w:tc>
          <w:tcPr>
            <w:tcW w:w="57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46.8± 16.4</w:t>
            </w:r>
          </w:p>
        </w:tc>
        <w:tc>
          <w:tcPr>
            <w:tcW w:w="375"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0.708</w:t>
            </w:r>
          </w:p>
        </w:tc>
        <w:tc>
          <w:tcPr>
            <w:tcW w:w="400"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0.484</w:t>
            </w:r>
          </w:p>
        </w:tc>
      </w:tr>
      <w:tr w:rsidR="009F52A6" w:rsidRPr="009F52A6" w:rsidTr="009F52A6">
        <w:trPr>
          <w:jc w:val="center"/>
        </w:trPr>
        <w:tc>
          <w:tcPr>
            <w:tcW w:w="1128"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proofErr w:type="spellStart"/>
            <w:r w:rsidR="00FE602D" w:rsidRPr="009F52A6">
              <w:rPr>
                <w:rFonts w:ascii="Times New Roman" w:hAnsi="Times New Roman" w:cs="Times New Roman"/>
                <w:sz w:val="20"/>
                <w:szCs w:val="24"/>
              </w:rPr>
              <w:t>Neutrophil</w:t>
            </w:r>
            <w:proofErr w:type="spellEnd"/>
            <w:r w:rsidR="00FE602D" w:rsidRPr="009F52A6">
              <w:rPr>
                <w:rFonts w:ascii="Times New Roman" w:hAnsi="Times New Roman" w:cs="Times New Roman"/>
                <w:sz w:val="20"/>
                <w:szCs w:val="24"/>
              </w:rPr>
              <w:t xml:space="preserve"> Count (%)</w:t>
            </w:r>
          </w:p>
        </w:tc>
        <w:tc>
          <w:tcPr>
            <w:tcW w:w="57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58.0± 16.1</w:t>
            </w:r>
          </w:p>
        </w:tc>
        <w:tc>
          <w:tcPr>
            <w:tcW w:w="57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49.0± 13.1</w:t>
            </w:r>
          </w:p>
        </w:tc>
        <w:tc>
          <w:tcPr>
            <w:tcW w:w="40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0.970</w:t>
            </w:r>
          </w:p>
        </w:tc>
        <w:tc>
          <w:tcPr>
            <w:tcW w:w="428"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0.376</w:t>
            </w:r>
          </w:p>
        </w:tc>
        <w:tc>
          <w:tcPr>
            <w:tcW w:w="545"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54.9± 13.4</w:t>
            </w:r>
          </w:p>
        </w:tc>
        <w:tc>
          <w:tcPr>
            <w:tcW w:w="57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53.5 ± 15.5</w:t>
            </w:r>
          </w:p>
        </w:tc>
        <w:tc>
          <w:tcPr>
            <w:tcW w:w="375"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0.258</w:t>
            </w:r>
          </w:p>
        </w:tc>
        <w:tc>
          <w:tcPr>
            <w:tcW w:w="400"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0.797</w:t>
            </w:r>
          </w:p>
        </w:tc>
      </w:tr>
      <w:tr w:rsidR="009F52A6" w:rsidRPr="009F52A6" w:rsidTr="009F52A6">
        <w:trPr>
          <w:jc w:val="center"/>
        </w:trPr>
        <w:tc>
          <w:tcPr>
            <w:tcW w:w="1128"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proofErr w:type="spellStart"/>
            <w:r w:rsidR="00FE602D" w:rsidRPr="009F52A6">
              <w:rPr>
                <w:rFonts w:ascii="Times New Roman" w:hAnsi="Times New Roman" w:cs="Times New Roman"/>
                <w:sz w:val="20"/>
                <w:szCs w:val="24"/>
              </w:rPr>
              <w:t>Monocyte</w:t>
            </w:r>
            <w:proofErr w:type="spellEnd"/>
            <w:r w:rsidR="00FE602D" w:rsidRPr="009F52A6">
              <w:rPr>
                <w:rFonts w:ascii="Times New Roman" w:hAnsi="Times New Roman" w:cs="Times New Roman"/>
                <w:sz w:val="20"/>
                <w:szCs w:val="24"/>
              </w:rPr>
              <w:t xml:space="preserve"> Count (%)</w:t>
            </w:r>
          </w:p>
        </w:tc>
        <w:tc>
          <w:tcPr>
            <w:tcW w:w="57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0.0 ± 0.0</w:t>
            </w:r>
          </w:p>
        </w:tc>
        <w:tc>
          <w:tcPr>
            <w:tcW w:w="57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1.8 ± 2.3</w:t>
            </w:r>
          </w:p>
        </w:tc>
        <w:tc>
          <w:tcPr>
            <w:tcW w:w="40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2.139</w:t>
            </w:r>
          </w:p>
        </w:tc>
        <w:tc>
          <w:tcPr>
            <w:tcW w:w="428"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0.069</w:t>
            </w:r>
          </w:p>
        </w:tc>
        <w:tc>
          <w:tcPr>
            <w:tcW w:w="545"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0.8 ± 1.3</w:t>
            </w:r>
          </w:p>
        </w:tc>
        <w:tc>
          <w:tcPr>
            <w:tcW w:w="57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1.3 ± 2.0</w:t>
            </w:r>
          </w:p>
        </w:tc>
        <w:tc>
          <w:tcPr>
            <w:tcW w:w="375"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0.767</w:t>
            </w:r>
          </w:p>
        </w:tc>
        <w:tc>
          <w:tcPr>
            <w:tcW w:w="400"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0.449</w:t>
            </w:r>
          </w:p>
        </w:tc>
      </w:tr>
      <w:tr w:rsidR="009F52A6" w:rsidRPr="009F52A6" w:rsidTr="009F52A6">
        <w:trPr>
          <w:jc w:val="center"/>
        </w:trPr>
        <w:tc>
          <w:tcPr>
            <w:tcW w:w="1128"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proofErr w:type="spellStart"/>
            <w:r w:rsidR="00FE602D" w:rsidRPr="009F52A6">
              <w:rPr>
                <w:rFonts w:ascii="Times New Roman" w:hAnsi="Times New Roman" w:cs="Times New Roman"/>
                <w:sz w:val="20"/>
                <w:szCs w:val="24"/>
              </w:rPr>
              <w:t>Eoinophil</w:t>
            </w:r>
            <w:proofErr w:type="spellEnd"/>
            <w:r w:rsidR="00FE602D" w:rsidRPr="009F52A6">
              <w:rPr>
                <w:rFonts w:ascii="Times New Roman" w:hAnsi="Times New Roman" w:cs="Times New Roman"/>
                <w:sz w:val="20"/>
                <w:szCs w:val="24"/>
              </w:rPr>
              <w:t xml:space="preserve"> Count (%)</w:t>
            </w:r>
          </w:p>
        </w:tc>
        <w:tc>
          <w:tcPr>
            <w:tcW w:w="573" w:type="pct"/>
            <w:vAlign w:val="center"/>
          </w:tcPr>
          <w:p w:rsidR="00FE602D" w:rsidRPr="009F52A6" w:rsidRDefault="007B21E5" w:rsidP="00322645">
            <w:pPr>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0.1 ± 0.4</w:t>
            </w:r>
          </w:p>
        </w:tc>
        <w:tc>
          <w:tcPr>
            <w:tcW w:w="573" w:type="pct"/>
            <w:vAlign w:val="center"/>
          </w:tcPr>
          <w:p w:rsidR="00FE602D" w:rsidRPr="009F52A6" w:rsidRDefault="007B21E5" w:rsidP="00322645">
            <w:pPr>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0.0 ± 0.0</w:t>
            </w:r>
          </w:p>
        </w:tc>
        <w:tc>
          <w:tcPr>
            <w:tcW w:w="40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1.000</w:t>
            </w:r>
          </w:p>
        </w:tc>
        <w:tc>
          <w:tcPr>
            <w:tcW w:w="428"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0.350</w:t>
            </w:r>
          </w:p>
        </w:tc>
        <w:tc>
          <w:tcPr>
            <w:tcW w:w="545"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0.6 ± 1.7</w:t>
            </w:r>
          </w:p>
        </w:tc>
        <w:tc>
          <w:tcPr>
            <w:tcW w:w="573"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0.0 ± 0.0</w:t>
            </w:r>
          </w:p>
        </w:tc>
        <w:tc>
          <w:tcPr>
            <w:tcW w:w="375"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1.357</w:t>
            </w:r>
          </w:p>
        </w:tc>
        <w:tc>
          <w:tcPr>
            <w:tcW w:w="400" w:type="pct"/>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0.186</w:t>
            </w:r>
          </w:p>
        </w:tc>
      </w:tr>
      <w:tr w:rsidR="009F52A6" w:rsidRPr="009F52A6" w:rsidTr="009F52A6">
        <w:trPr>
          <w:jc w:val="center"/>
        </w:trPr>
        <w:tc>
          <w:tcPr>
            <w:tcW w:w="1128" w:type="pct"/>
            <w:tcBorders>
              <w:bottom w:val="single" w:sz="4" w:space="0" w:color="auto"/>
            </w:tcBorders>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proofErr w:type="spellStart"/>
            <w:r w:rsidR="00FE602D" w:rsidRPr="009F52A6">
              <w:rPr>
                <w:rFonts w:ascii="Times New Roman" w:hAnsi="Times New Roman" w:cs="Times New Roman"/>
                <w:sz w:val="20"/>
                <w:szCs w:val="24"/>
              </w:rPr>
              <w:t>Basophil</w:t>
            </w:r>
            <w:proofErr w:type="spellEnd"/>
            <w:r w:rsidR="00FE602D" w:rsidRPr="009F52A6">
              <w:rPr>
                <w:rFonts w:ascii="Times New Roman" w:hAnsi="Times New Roman" w:cs="Times New Roman"/>
                <w:sz w:val="20"/>
                <w:szCs w:val="24"/>
              </w:rPr>
              <w:t xml:space="preserve"> Count (%)</w:t>
            </w:r>
          </w:p>
        </w:tc>
        <w:tc>
          <w:tcPr>
            <w:tcW w:w="573" w:type="pct"/>
            <w:tcBorders>
              <w:bottom w:val="single" w:sz="4" w:space="0" w:color="auto"/>
            </w:tcBorders>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0.0 ± 0.0</w:t>
            </w:r>
          </w:p>
        </w:tc>
        <w:tc>
          <w:tcPr>
            <w:tcW w:w="573" w:type="pct"/>
            <w:tcBorders>
              <w:bottom w:val="single" w:sz="4" w:space="0" w:color="auto"/>
            </w:tcBorders>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0.0 ± 0.0</w:t>
            </w:r>
          </w:p>
        </w:tc>
        <w:tc>
          <w:tcPr>
            <w:tcW w:w="403"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428"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545" w:type="pct"/>
            <w:tcBorders>
              <w:bottom w:val="single" w:sz="4" w:space="0" w:color="auto"/>
            </w:tcBorders>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0.0 ± 0.0</w:t>
            </w:r>
          </w:p>
        </w:tc>
        <w:tc>
          <w:tcPr>
            <w:tcW w:w="573" w:type="pct"/>
            <w:tcBorders>
              <w:bottom w:val="single" w:sz="4" w:space="0" w:color="auto"/>
            </w:tcBorders>
            <w:vAlign w:val="center"/>
          </w:tcPr>
          <w:p w:rsidR="00FE602D" w:rsidRPr="009F52A6" w:rsidRDefault="007B21E5" w:rsidP="00322645">
            <w:pPr>
              <w:autoSpaceDE w:val="0"/>
              <w:autoSpaceDN w:val="0"/>
              <w:adjustRightInd w:val="0"/>
              <w:snapToGrid w:val="0"/>
              <w:jc w:val="both"/>
              <w:rPr>
                <w:rFonts w:ascii="Times New Roman" w:hAnsi="Times New Roman" w:cs="Times New Roman"/>
                <w:sz w:val="20"/>
                <w:szCs w:val="24"/>
              </w:rPr>
            </w:pPr>
            <w:r>
              <w:rPr>
                <w:rFonts w:ascii="Times New Roman" w:hAnsi="Times New Roman" w:cs="Times New Roman"/>
                <w:sz w:val="20"/>
                <w:szCs w:val="24"/>
              </w:rPr>
              <w:t xml:space="preserve"> </w:t>
            </w:r>
            <w:r w:rsidR="00FE602D" w:rsidRPr="009F52A6">
              <w:rPr>
                <w:rFonts w:ascii="Times New Roman" w:hAnsi="Times New Roman" w:cs="Times New Roman"/>
                <w:sz w:val="20"/>
                <w:szCs w:val="24"/>
              </w:rPr>
              <w:t>0.0 ± 0.0</w:t>
            </w:r>
          </w:p>
        </w:tc>
        <w:tc>
          <w:tcPr>
            <w:tcW w:w="375"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c>
          <w:tcPr>
            <w:tcW w:w="400" w:type="pct"/>
            <w:tcBorders>
              <w:bottom w:val="single" w:sz="4" w:space="0" w:color="auto"/>
            </w:tcBorders>
            <w:vAlign w:val="center"/>
          </w:tcPr>
          <w:p w:rsidR="00FE602D" w:rsidRPr="009F52A6" w:rsidRDefault="00FE602D" w:rsidP="00322645">
            <w:pPr>
              <w:autoSpaceDE w:val="0"/>
              <w:autoSpaceDN w:val="0"/>
              <w:adjustRightInd w:val="0"/>
              <w:snapToGrid w:val="0"/>
              <w:jc w:val="both"/>
              <w:rPr>
                <w:rFonts w:ascii="Times New Roman" w:hAnsi="Times New Roman" w:cs="Times New Roman"/>
                <w:sz w:val="20"/>
                <w:szCs w:val="24"/>
              </w:rPr>
            </w:pPr>
          </w:p>
        </w:tc>
      </w:tr>
    </w:tbl>
    <w:p w:rsidR="00FE602D" w:rsidRPr="009F52A6" w:rsidRDefault="00FE602D" w:rsidP="00171788">
      <w:pPr>
        <w:autoSpaceDE w:val="0"/>
        <w:autoSpaceDN w:val="0"/>
        <w:adjustRightInd w:val="0"/>
        <w:snapToGrid w:val="0"/>
        <w:spacing w:after="0" w:line="240" w:lineRule="auto"/>
        <w:jc w:val="both"/>
        <w:rPr>
          <w:rFonts w:ascii="Times New Roman" w:hAnsi="Times New Roman" w:cs="Times New Roman"/>
          <w:sz w:val="20"/>
          <w:szCs w:val="24"/>
        </w:rPr>
      </w:pPr>
      <w:r w:rsidRPr="009F52A6">
        <w:rPr>
          <w:rFonts w:ascii="Times New Roman" w:hAnsi="Times New Roman" w:cs="Times New Roman"/>
          <w:sz w:val="20"/>
          <w:szCs w:val="24"/>
        </w:rPr>
        <w:t>*p&lt; 0.05 (Significant)</w:t>
      </w:r>
    </w:p>
    <w:p w:rsidR="00171788" w:rsidRDefault="009F52A6" w:rsidP="00322645">
      <w:pPr>
        <w:tabs>
          <w:tab w:val="left" w:pos="0"/>
        </w:tabs>
        <w:autoSpaceDE w:val="0"/>
        <w:autoSpaceDN w:val="0"/>
        <w:adjustRightInd w:val="0"/>
        <w:snapToGrid w:val="0"/>
        <w:spacing w:after="0" w:line="240" w:lineRule="auto"/>
        <w:jc w:val="both"/>
        <w:rPr>
          <w:rFonts w:ascii="Times New Roman" w:hAnsi="Times New Roman" w:cs="Times New Roman"/>
          <w:b/>
          <w:sz w:val="20"/>
          <w:szCs w:val="24"/>
        </w:rPr>
        <w:sectPr w:rsidR="00171788" w:rsidSect="009F52A6">
          <w:type w:val="continuous"/>
          <w:pgSz w:w="12240" w:h="15840" w:code="1"/>
          <w:pgMar w:top="1440" w:right="1440" w:bottom="1440" w:left="1440" w:header="720" w:footer="720" w:gutter="0"/>
          <w:cols w:space="720"/>
          <w:docGrid w:linePitch="360"/>
        </w:sectPr>
      </w:pPr>
      <w:r>
        <w:rPr>
          <w:rFonts w:ascii="Times New Roman" w:hAnsi="Times New Roman" w:cs="Times New Roman"/>
          <w:b/>
          <w:sz w:val="20"/>
          <w:szCs w:val="24"/>
        </w:rPr>
        <w:cr/>
      </w:r>
    </w:p>
    <w:p w:rsidR="00677748" w:rsidRPr="009F52A6" w:rsidRDefault="00D431B5" w:rsidP="00322645">
      <w:pPr>
        <w:tabs>
          <w:tab w:val="left" w:pos="0"/>
        </w:tabs>
        <w:autoSpaceDE w:val="0"/>
        <w:autoSpaceDN w:val="0"/>
        <w:adjustRightInd w:val="0"/>
        <w:snapToGrid w:val="0"/>
        <w:spacing w:after="0" w:line="240" w:lineRule="auto"/>
        <w:jc w:val="both"/>
        <w:rPr>
          <w:rFonts w:ascii="Times New Roman" w:hAnsi="Times New Roman" w:cs="Times New Roman"/>
          <w:b/>
          <w:bCs/>
          <w:sz w:val="20"/>
          <w:szCs w:val="24"/>
        </w:rPr>
      </w:pPr>
      <w:r w:rsidRPr="009F52A6">
        <w:rPr>
          <w:rFonts w:ascii="Times New Roman" w:hAnsi="Times New Roman" w:cs="Times New Roman"/>
          <w:b/>
          <w:bCs/>
          <w:sz w:val="20"/>
          <w:szCs w:val="24"/>
        </w:rPr>
        <w:lastRenderedPageBreak/>
        <w:t>4</w:t>
      </w:r>
      <w:r w:rsidR="009F52A6" w:rsidRPr="009F52A6">
        <w:rPr>
          <w:rFonts w:ascii="Times New Roman" w:hAnsi="Times New Roman" w:cs="Times New Roman"/>
          <w:b/>
          <w:bCs/>
          <w:sz w:val="20"/>
          <w:szCs w:val="24"/>
        </w:rPr>
        <w:t xml:space="preserve"> </w:t>
      </w:r>
      <w:r w:rsidR="00FE602D" w:rsidRPr="009F52A6">
        <w:rPr>
          <w:rFonts w:ascii="Times New Roman" w:hAnsi="Times New Roman" w:cs="Times New Roman"/>
          <w:b/>
          <w:bCs/>
          <w:sz w:val="20"/>
          <w:szCs w:val="24"/>
        </w:rPr>
        <w:t>Discussion</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rPr>
      </w:pPr>
      <w:r w:rsidRPr="009F52A6">
        <w:rPr>
          <w:rFonts w:ascii="Times New Roman" w:hAnsi="Times New Roman" w:cs="Times New Roman"/>
          <w:sz w:val="20"/>
        </w:rPr>
        <w:t xml:space="preserve">In this study, detectable anti-measles virus specific </w:t>
      </w:r>
      <w:proofErr w:type="spellStart"/>
      <w:r w:rsidRPr="009F52A6">
        <w:rPr>
          <w:rFonts w:ascii="Times New Roman" w:hAnsi="Times New Roman" w:cs="Times New Roman"/>
          <w:sz w:val="20"/>
        </w:rPr>
        <w:t>IgM</w:t>
      </w:r>
      <w:proofErr w:type="spellEnd"/>
      <w:r w:rsidRPr="009F52A6">
        <w:rPr>
          <w:rFonts w:ascii="Times New Roman" w:hAnsi="Times New Roman" w:cs="Times New Roman"/>
          <w:sz w:val="20"/>
        </w:rPr>
        <w:t xml:space="preserve"> and </w:t>
      </w:r>
      <w:proofErr w:type="spellStart"/>
      <w:r w:rsidRPr="009F52A6">
        <w:rPr>
          <w:rFonts w:ascii="Times New Roman" w:hAnsi="Times New Roman" w:cs="Times New Roman"/>
          <w:sz w:val="20"/>
        </w:rPr>
        <w:t>IgG</w:t>
      </w:r>
      <w:proofErr w:type="spellEnd"/>
      <w:r w:rsidRPr="009F52A6">
        <w:rPr>
          <w:rFonts w:ascii="Times New Roman" w:hAnsi="Times New Roman" w:cs="Times New Roman"/>
          <w:sz w:val="20"/>
        </w:rPr>
        <w:t xml:space="preserve"> antibodies were accessed in representative samples of vaccinated children population in Port Harcourt, Rivers State, Nigeria using standard ELISA technique. Consequently, it was established that 6.9 % (n=28) of the 172 vaccinated children tested had detectable anti-measles virus </w:t>
      </w:r>
      <w:proofErr w:type="spellStart"/>
      <w:r w:rsidRPr="009F52A6">
        <w:rPr>
          <w:rFonts w:ascii="Times New Roman" w:hAnsi="Times New Roman" w:cs="Times New Roman"/>
          <w:sz w:val="20"/>
        </w:rPr>
        <w:t>IgM</w:t>
      </w:r>
      <w:proofErr w:type="spellEnd"/>
      <w:r w:rsidRPr="009F52A6">
        <w:rPr>
          <w:rFonts w:ascii="Times New Roman" w:hAnsi="Times New Roman" w:cs="Times New Roman"/>
          <w:sz w:val="20"/>
        </w:rPr>
        <w:t xml:space="preserve"> </w:t>
      </w:r>
      <w:r w:rsidRPr="009F52A6">
        <w:rPr>
          <w:rFonts w:ascii="Times New Roman" w:hAnsi="Times New Roman" w:cs="Times New Roman"/>
          <w:sz w:val="20"/>
        </w:rPr>
        <w:lastRenderedPageBreak/>
        <w:t xml:space="preserve">antibodies. However, our findings are in sharp disagreement with the 86% positivity of MV </w:t>
      </w:r>
      <w:proofErr w:type="spellStart"/>
      <w:r w:rsidRPr="009F52A6">
        <w:rPr>
          <w:rFonts w:ascii="Times New Roman" w:hAnsi="Times New Roman" w:cs="Times New Roman"/>
          <w:sz w:val="20"/>
        </w:rPr>
        <w:t>IgM</w:t>
      </w:r>
      <w:proofErr w:type="spellEnd"/>
      <w:r w:rsidRPr="009F52A6">
        <w:rPr>
          <w:rFonts w:ascii="Times New Roman" w:hAnsi="Times New Roman" w:cs="Times New Roman"/>
          <w:sz w:val="20"/>
        </w:rPr>
        <w:t xml:space="preserve"> reported by </w:t>
      </w:r>
      <w:proofErr w:type="spellStart"/>
      <w:r w:rsidRPr="009F52A6">
        <w:rPr>
          <w:rFonts w:ascii="Times New Roman" w:hAnsi="Times New Roman" w:cs="Times New Roman"/>
          <w:sz w:val="20"/>
        </w:rPr>
        <w:t>Okonko</w:t>
      </w:r>
      <w:proofErr w:type="spellEnd"/>
      <w:r w:rsidRPr="009F52A6">
        <w:rPr>
          <w:rFonts w:ascii="Times New Roman" w:hAnsi="Times New Roman" w:cs="Times New Roman"/>
          <w:sz w:val="20"/>
        </w:rPr>
        <w:t xml:space="preserve"> and Jim George, (2017) in recent studies done at </w:t>
      </w:r>
      <w:proofErr w:type="spellStart"/>
      <w:r w:rsidRPr="009F52A6">
        <w:rPr>
          <w:rFonts w:ascii="Times New Roman" w:hAnsi="Times New Roman" w:cs="Times New Roman"/>
          <w:sz w:val="20"/>
        </w:rPr>
        <w:t>Emohia</w:t>
      </w:r>
      <w:proofErr w:type="spellEnd"/>
      <w:r w:rsidRPr="009F52A6">
        <w:rPr>
          <w:rFonts w:ascii="Times New Roman" w:hAnsi="Times New Roman" w:cs="Times New Roman"/>
          <w:sz w:val="20"/>
        </w:rPr>
        <w:t xml:space="preserve"> L.G.A among unvaccinated Children and the 71.1% reported by </w:t>
      </w:r>
      <w:proofErr w:type="spellStart"/>
      <w:r w:rsidRPr="009F52A6">
        <w:rPr>
          <w:rFonts w:ascii="Times New Roman" w:hAnsi="Times New Roman" w:cs="Times New Roman"/>
          <w:sz w:val="20"/>
        </w:rPr>
        <w:t>Chukwu</w:t>
      </w:r>
      <w:proofErr w:type="spellEnd"/>
      <w:r w:rsidRPr="009F52A6">
        <w:rPr>
          <w:rFonts w:ascii="Times New Roman" w:hAnsi="Times New Roman" w:cs="Times New Roman"/>
          <w:sz w:val="20"/>
        </w:rPr>
        <w:t xml:space="preserve"> </w:t>
      </w:r>
      <w:r w:rsidRPr="009F52A6">
        <w:rPr>
          <w:rFonts w:ascii="Times New Roman" w:hAnsi="Times New Roman" w:cs="Times New Roman"/>
          <w:i/>
          <w:iCs/>
          <w:sz w:val="20"/>
        </w:rPr>
        <w:t>et al.</w:t>
      </w:r>
      <w:r w:rsidR="009F52A6" w:rsidRPr="009F52A6">
        <w:rPr>
          <w:rFonts w:ascii="Times New Roman" w:hAnsi="Times New Roman" w:cs="Times New Roman"/>
          <w:i/>
          <w:iCs/>
          <w:sz w:val="20"/>
        </w:rPr>
        <w:t xml:space="preserve">, </w:t>
      </w:r>
      <w:r w:rsidR="009F52A6" w:rsidRPr="009F52A6">
        <w:rPr>
          <w:rFonts w:ascii="Times New Roman" w:hAnsi="Times New Roman" w:cs="Times New Roman"/>
          <w:iCs/>
          <w:sz w:val="20"/>
        </w:rPr>
        <w:t>(</w:t>
      </w:r>
      <w:r w:rsidRPr="009F52A6">
        <w:rPr>
          <w:rFonts w:ascii="Times New Roman" w:hAnsi="Times New Roman" w:cs="Times New Roman"/>
          <w:iCs/>
          <w:sz w:val="20"/>
        </w:rPr>
        <w:t xml:space="preserve">2009) </w:t>
      </w:r>
      <w:r w:rsidRPr="009F52A6">
        <w:rPr>
          <w:rFonts w:ascii="Times New Roman" w:hAnsi="Times New Roman" w:cs="Times New Roman"/>
          <w:sz w:val="20"/>
        </w:rPr>
        <w:t xml:space="preserve">among children in Kaduna metropolis This could be due to immunological, and </w:t>
      </w:r>
      <w:proofErr w:type="spellStart"/>
      <w:r w:rsidRPr="009F52A6">
        <w:rPr>
          <w:rFonts w:ascii="Times New Roman" w:hAnsi="Times New Roman" w:cs="Times New Roman"/>
          <w:sz w:val="20"/>
        </w:rPr>
        <w:t>haematological</w:t>
      </w:r>
      <w:proofErr w:type="spellEnd"/>
      <w:r w:rsidRPr="009F52A6">
        <w:rPr>
          <w:rFonts w:ascii="Times New Roman" w:hAnsi="Times New Roman" w:cs="Times New Roman"/>
          <w:sz w:val="20"/>
        </w:rPr>
        <w:t xml:space="preserve"> factors. However, 6.9% occurrence of detectable anti-</w:t>
      </w:r>
      <w:r w:rsidRPr="009F52A6">
        <w:rPr>
          <w:rFonts w:ascii="Times New Roman" w:hAnsi="Times New Roman" w:cs="Times New Roman"/>
          <w:sz w:val="20"/>
        </w:rPr>
        <w:lastRenderedPageBreak/>
        <w:t xml:space="preserve">measles virus </w:t>
      </w:r>
      <w:proofErr w:type="spellStart"/>
      <w:r w:rsidRPr="009F52A6">
        <w:rPr>
          <w:rFonts w:ascii="Times New Roman" w:hAnsi="Times New Roman" w:cs="Times New Roman"/>
          <w:sz w:val="20"/>
        </w:rPr>
        <w:t>IgM</w:t>
      </w:r>
      <w:proofErr w:type="spellEnd"/>
      <w:r w:rsidRPr="009F52A6">
        <w:rPr>
          <w:rFonts w:ascii="Times New Roman" w:hAnsi="Times New Roman" w:cs="Times New Roman"/>
          <w:sz w:val="20"/>
        </w:rPr>
        <w:t xml:space="preserve"> obtained in this study is closest to finding of</w:t>
      </w:r>
      <w:r w:rsidR="009F52A6" w:rsidRPr="009F52A6">
        <w:rPr>
          <w:rFonts w:ascii="Times New Roman" w:hAnsi="Times New Roman" w:cs="Times New Roman"/>
          <w:sz w:val="20"/>
        </w:rPr>
        <w:t xml:space="preserve"> </w:t>
      </w:r>
      <w:r w:rsidRPr="009F52A6">
        <w:rPr>
          <w:rFonts w:ascii="Times New Roman" w:hAnsi="Times New Roman" w:cs="Times New Roman"/>
          <w:sz w:val="20"/>
        </w:rPr>
        <w:t xml:space="preserve">21.1% of </w:t>
      </w:r>
      <w:proofErr w:type="spellStart"/>
      <w:r w:rsidRPr="009F52A6">
        <w:rPr>
          <w:rFonts w:ascii="Times New Roman" w:hAnsi="Times New Roman" w:cs="Times New Roman"/>
          <w:sz w:val="20"/>
        </w:rPr>
        <w:t>IgM</w:t>
      </w:r>
      <w:proofErr w:type="spellEnd"/>
      <w:r w:rsidR="009F52A6" w:rsidRPr="009F52A6">
        <w:rPr>
          <w:rFonts w:ascii="Times New Roman" w:hAnsi="Times New Roman" w:cs="Times New Roman"/>
          <w:sz w:val="20"/>
        </w:rPr>
        <w:t xml:space="preserve"> </w:t>
      </w:r>
      <w:r w:rsidRPr="009F52A6">
        <w:rPr>
          <w:rFonts w:ascii="Times New Roman" w:hAnsi="Times New Roman" w:cs="Times New Roman"/>
          <w:sz w:val="20"/>
        </w:rPr>
        <w:t xml:space="preserve">among children of age 0 – 9months of age by </w:t>
      </w:r>
      <w:proofErr w:type="spellStart"/>
      <w:r w:rsidRPr="009F52A6">
        <w:rPr>
          <w:rFonts w:ascii="Times New Roman" w:hAnsi="Times New Roman" w:cs="Times New Roman"/>
          <w:sz w:val="20"/>
        </w:rPr>
        <w:t>Olaitan</w:t>
      </w:r>
      <w:proofErr w:type="spellEnd"/>
      <w:r w:rsidRPr="009F52A6">
        <w:rPr>
          <w:rFonts w:ascii="Times New Roman" w:hAnsi="Times New Roman" w:cs="Times New Roman"/>
          <w:sz w:val="20"/>
        </w:rPr>
        <w:t xml:space="preserve"> </w:t>
      </w:r>
      <w:r w:rsidRPr="009F52A6">
        <w:rPr>
          <w:rFonts w:ascii="Times New Roman" w:hAnsi="Times New Roman" w:cs="Times New Roman"/>
          <w:i/>
          <w:iCs/>
          <w:sz w:val="20"/>
        </w:rPr>
        <w:t xml:space="preserve">et al., </w:t>
      </w:r>
      <w:r w:rsidRPr="009F52A6">
        <w:rPr>
          <w:rFonts w:ascii="Times New Roman" w:hAnsi="Times New Roman" w:cs="Times New Roman"/>
          <w:iCs/>
          <w:sz w:val="20"/>
        </w:rPr>
        <w:t>(</w:t>
      </w:r>
      <w:r w:rsidRPr="009F52A6">
        <w:rPr>
          <w:rFonts w:ascii="Times New Roman" w:hAnsi="Times New Roman" w:cs="Times New Roman"/>
          <w:sz w:val="20"/>
        </w:rPr>
        <w:t xml:space="preserve">2015) and the 32% by </w:t>
      </w:r>
      <w:proofErr w:type="spellStart"/>
      <w:r w:rsidRPr="009F52A6">
        <w:rPr>
          <w:rFonts w:ascii="Times New Roman" w:hAnsi="Times New Roman" w:cs="Times New Roman"/>
          <w:sz w:val="20"/>
        </w:rPr>
        <w:t>Chechet</w:t>
      </w:r>
      <w:proofErr w:type="spellEnd"/>
      <w:r w:rsidRPr="009F52A6">
        <w:rPr>
          <w:rFonts w:ascii="Times New Roman" w:hAnsi="Times New Roman" w:cs="Times New Roman"/>
          <w:sz w:val="20"/>
        </w:rPr>
        <w:t xml:space="preserve"> </w:t>
      </w:r>
      <w:r w:rsidRPr="009F52A6">
        <w:rPr>
          <w:rFonts w:ascii="Times New Roman" w:hAnsi="Times New Roman" w:cs="Times New Roman"/>
          <w:i/>
          <w:iCs/>
          <w:sz w:val="20"/>
        </w:rPr>
        <w:t xml:space="preserve">et al., </w:t>
      </w:r>
      <w:r w:rsidRPr="009F52A6">
        <w:rPr>
          <w:rFonts w:ascii="Times New Roman" w:hAnsi="Times New Roman" w:cs="Times New Roman"/>
          <w:iCs/>
          <w:sz w:val="20"/>
        </w:rPr>
        <w:t>(</w:t>
      </w:r>
      <w:r w:rsidRPr="009F52A6">
        <w:rPr>
          <w:rFonts w:ascii="Times New Roman" w:hAnsi="Times New Roman" w:cs="Times New Roman"/>
          <w:sz w:val="20"/>
        </w:rPr>
        <w:t xml:space="preserve">2014) among children between 5-12 years of age in </w:t>
      </w:r>
      <w:proofErr w:type="spellStart"/>
      <w:r w:rsidRPr="009F52A6">
        <w:rPr>
          <w:rFonts w:ascii="Times New Roman" w:hAnsi="Times New Roman" w:cs="Times New Roman"/>
          <w:sz w:val="20"/>
        </w:rPr>
        <w:t>Giwa</w:t>
      </w:r>
      <w:proofErr w:type="spellEnd"/>
      <w:r w:rsidRPr="009F52A6">
        <w:rPr>
          <w:rFonts w:ascii="Times New Roman" w:hAnsi="Times New Roman" w:cs="Times New Roman"/>
          <w:sz w:val="20"/>
        </w:rPr>
        <w:t>, Zaria.</w:t>
      </w:r>
    </w:p>
    <w:p w:rsidR="00FE602D" w:rsidRPr="009F52A6" w:rsidRDefault="00FE602D" w:rsidP="00322645">
      <w:pPr>
        <w:pStyle w:val="Default"/>
        <w:snapToGrid w:val="0"/>
        <w:ind w:firstLine="425"/>
        <w:jc w:val="both"/>
        <w:rPr>
          <w:rFonts w:ascii="Times New Roman" w:hAnsi="Times New Roman" w:cs="Times New Roman"/>
          <w:color w:val="auto"/>
          <w:sz w:val="20"/>
        </w:rPr>
      </w:pPr>
      <w:r w:rsidRPr="009F52A6">
        <w:rPr>
          <w:rFonts w:ascii="Times New Roman" w:hAnsi="Times New Roman" w:cs="Times New Roman"/>
          <w:color w:val="auto"/>
          <w:sz w:val="20"/>
        </w:rPr>
        <w:t xml:space="preserve">The 16.3% MV </w:t>
      </w:r>
      <w:proofErr w:type="spellStart"/>
      <w:r w:rsidRPr="009F52A6">
        <w:rPr>
          <w:rFonts w:ascii="Times New Roman" w:hAnsi="Times New Roman" w:cs="Times New Roman"/>
          <w:color w:val="auto"/>
          <w:sz w:val="20"/>
        </w:rPr>
        <w:t>IgG</w:t>
      </w:r>
      <w:proofErr w:type="spellEnd"/>
      <w:r w:rsidRPr="009F52A6">
        <w:rPr>
          <w:rFonts w:ascii="Times New Roman" w:hAnsi="Times New Roman" w:cs="Times New Roman"/>
          <w:color w:val="auto"/>
          <w:sz w:val="20"/>
        </w:rPr>
        <w:t xml:space="preserve"> positivity obtained in our study contradicts that of </w:t>
      </w:r>
      <w:proofErr w:type="spellStart"/>
      <w:r w:rsidRPr="009F52A6">
        <w:rPr>
          <w:rFonts w:ascii="Times New Roman" w:hAnsi="Times New Roman" w:cs="Times New Roman"/>
          <w:color w:val="auto"/>
          <w:sz w:val="20"/>
        </w:rPr>
        <w:t>Rafiei</w:t>
      </w:r>
      <w:proofErr w:type="spellEnd"/>
      <w:r w:rsidRPr="009F52A6">
        <w:rPr>
          <w:rFonts w:ascii="Times New Roman" w:hAnsi="Times New Roman" w:cs="Times New Roman"/>
          <w:color w:val="auto"/>
          <w:sz w:val="20"/>
        </w:rPr>
        <w:t xml:space="preserve"> </w:t>
      </w:r>
      <w:r w:rsidRPr="009F52A6">
        <w:rPr>
          <w:rFonts w:ascii="Times New Roman" w:hAnsi="Times New Roman" w:cs="Times New Roman"/>
          <w:i/>
          <w:iCs/>
          <w:color w:val="auto"/>
          <w:sz w:val="20"/>
        </w:rPr>
        <w:t>et al.</w:t>
      </w:r>
      <w:r w:rsidR="009F52A6" w:rsidRPr="009F52A6">
        <w:rPr>
          <w:rFonts w:ascii="Times New Roman" w:hAnsi="Times New Roman" w:cs="Times New Roman"/>
          <w:i/>
          <w:iCs/>
          <w:color w:val="auto"/>
          <w:sz w:val="20"/>
        </w:rPr>
        <w:t xml:space="preserve">, </w:t>
      </w:r>
      <w:r w:rsidR="009F52A6" w:rsidRPr="009F52A6">
        <w:rPr>
          <w:rFonts w:ascii="Times New Roman" w:hAnsi="Times New Roman" w:cs="Times New Roman"/>
          <w:color w:val="auto"/>
          <w:sz w:val="20"/>
        </w:rPr>
        <w:t>(</w:t>
      </w:r>
      <w:r w:rsidRPr="009F52A6">
        <w:rPr>
          <w:rFonts w:ascii="Times New Roman" w:hAnsi="Times New Roman" w:cs="Times New Roman"/>
          <w:color w:val="auto"/>
          <w:sz w:val="20"/>
        </w:rPr>
        <w:t xml:space="preserve">2013) who reported a 75.8% </w:t>
      </w:r>
      <w:proofErr w:type="spellStart"/>
      <w:r w:rsidRPr="009F52A6">
        <w:rPr>
          <w:rFonts w:ascii="Times New Roman" w:hAnsi="Times New Roman" w:cs="Times New Roman"/>
          <w:color w:val="auto"/>
          <w:sz w:val="20"/>
        </w:rPr>
        <w:t>IgG</w:t>
      </w:r>
      <w:proofErr w:type="spellEnd"/>
      <w:r w:rsidRPr="009F52A6">
        <w:rPr>
          <w:rFonts w:ascii="Times New Roman" w:hAnsi="Times New Roman" w:cs="Times New Roman"/>
          <w:color w:val="auto"/>
          <w:sz w:val="20"/>
        </w:rPr>
        <w:t xml:space="preserve"> prevalence among children who received MMR vaccines in </w:t>
      </w:r>
      <w:proofErr w:type="spellStart"/>
      <w:r w:rsidRPr="009F52A6">
        <w:rPr>
          <w:rFonts w:ascii="Times New Roman" w:hAnsi="Times New Roman" w:cs="Times New Roman"/>
          <w:color w:val="auto"/>
          <w:sz w:val="20"/>
        </w:rPr>
        <w:t>Tahran</w:t>
      </w:r>
      <w:proofErr w:type="spellEnd"/>
      <w:r w:rsidRPr="009F52A6">
        <w:rPr>
          <w:rFonts w:ascii="Times New Roman" w:hAnsi="Times New Roman" w:cs="Times New Roman"/>
          <w:color w:val="auto"/>
          <w:sz w:val="20"/>
        </w:rPr>
        <w:t xml:space="preserve">: and 56.5% prevalence among unvaccinated children in </w:t>
      </w:r>
      <w:proofErr w:type="spellStart"/>
      <w:r w:rsidRPr="009F52A6">
        <w:rPr>
          <w:rFonts w:ascii="Times New Roman" w:hAnsi="Times New Roman" w:cs="Times New Roman"/>
          <w:color w:val="auto"/>
          <w:sz w:val="20"/>
        </w:rPr>
        <w:t>Emohua</w:t>
      </w:r>
      <w:proofErr w:type="spellEnd"/>
      <w:r w:rsidRPr="009F52A6">
        <w:rPr>
          <w:rFonts w:ascii="Times New Roman" w:hAnsi="Times New Roman" w:cs="Times New Roman"/>
          <w:color w:val="auto"/>
          <w:sz w:val="20"/>
        </w:rPr>
        <w:t xml:space="preserve"> by </w:t>
      </w:r>
      <w:proofErr w:type="spellStart"/>
      <w:r w:rsidRPr="009F52A6">
        <w:rPr>
          <w:rFonts w:ascii="Times New Roman" w:hAnsi="Times New Roman" w:cs="Times New Roman"/>
          <w:color w:val="auto"/>
          <w:sz w:val="20"/>
        </w:rPr>
        <w:t>Iheanyi</w:t>
      </w:r>
      <w:proofErr w:type="spellEnd"/>
      <w:r w:rsidRPr="009F52A6">
        <w:rPr>
          <w:rFonts w:ascii="Times New Roman" w:hAnsi="Times New Roman" w:cs="Times New Roman"/>
          <w:color w:val="auto"/>
          <w:sz w:val="20"/>
        </w:rPr>
        <w:t xml:space="preserve"> and Mercy in 2017. Our findings also deviated from the 89.0 % reported by Plans </w:t>
      </w:r>
      <w:r w:rsidRPr="009F52A6">
        <w:rPr>
          <w:rFonts w:ascii="Times New Roman" w:hAnsi="Times New Roman" w:cs="Times New Roman"/>
          <w:i/>
          <w:iCs/>
          <w:color w:val="auto"/>
          <w:sz w:val="20"/>
        </w:rPr>
        <w:t>et al</w:t>
      </w:r>
      <w:r w:rsidRPr="009F52A6">
        <w:rPr>
          <w:rFonts w:ascii="Times New Roman" w:hAnsi="Times New Roman" w:cs="Times New Roman"/>
          <w:color w:val="auto"/>
          <w:sz w:val="20"/>
        </w:rPr>
        <w:t xml:space="preserve">., (2010) among non-vaccinated individuals; the 98.6 % reported by </w:t>
      </w:r>
      <w:proofErr w:type="spellStart"/>
      <w:r w:rsidRPr="009F52A6">
        <w:rPr>
          <w:rFonts w:ascii="Times New Roman" w:hAnsi="Times New Roman" w:cs="Times New Roman"/>
          <w:color w:val="auto"/>
          <w:sz w:val="20"/>
        </w:rPr>
        <w:t>Condorelli</w:t>
      </w:r>
      <w:proofErr w:type="spellEnd"/>
      <w:r w:rsidRPr="009F52A6">
        <w:rPr>
          <w:rFonts w:ascii="Times New Roman" w:hAnsi="Times New Roman" w:cs="Times New Roman"/>
          <w:color w:val="auto"/>
          <w:sz w:val="20"/>
        </w:rPr>
        <w:t xml:space="preserve"> </w:t>
      </w:r>
      <w:r w:rsidRPr="009F52A6">
        <w:rPr>
          <w:rFonts w:ascii="Times New Roman" w:hAnsi="Times New Roman" w:cs="Times New Roman"/>
          <w:i/>
          <w:iCs/>
          <w:color w:val="auto"/>
          <w:sz w:val="20"/>
        </w:rPr>
        <w:t>et al</w:t>
      </w:r>
      <w:r w:rsidRPr="009F52A6">
        <w:rPr>
          <w:rFonts w:ascii="Times New Roman" w:hAnsi="Times New Roman" w:cs="Times New Roman"/>
          <w:color w:val="auto"/>
          <w:sz w:val="20"/>
        </w:rPr>
        <w:t xml:space="preserve">. 1994; the 97.6 % reported by </w:t>
      </w:r>
      <w:proofErr w:type="spellStart"/>
      <w:r w:rsidRPr="009F52A6">
        <w:rPr>
          <w:rFonts w:ascii="Times New Roman" w:hAnsi="Times New Roman" w:cs="Times New Roman"/>
          <w:color w:val="auto"/>
          <w:sz w:val="20"/>
        </w:rPr>
        <w:t>Shilpi</w:t>
      </w:r>
      <w:proofErr w:type="spellEnd"/>
      <w:r w:rsidRPr="009F52A6">
        <w:rPr>
          <w:rFonts w:ascii="Times New Roman" w:hAnsi="Times New Roman" w:cs="Times New Roman"/>
          <w:color w:val="auto"/>
          <w:sz w:val="20"/>
        </w:rPr>
        <w:t xml:space="preserve"> </w:t>
      </w:r>
      <w:r w:rsidRPr="009F52A6">
        <w:rPr>
          <w:rFonts w:ascii="Times New Roman" w:hAnsi="Times New Roman" w:cs="Times New Roman"/>
          <w:i/>
          <w:iCs/>
          <w:color w:val="auto"/>
          <w:sz w:val="20"/>
        </w:rPr>
        <w:t>et al</w:t>
      </w:r>
      <w:r w:rsidRPr="009F52A6">
        <w:rPr>
          <w:rFonts w:ascii="Times New Roman" w:hAnsi="Times New Roman" w:cs="Times New Roman"/>
          <w:color w:val="auto"/>
          <w:sz w:val="20"/>
        </w:rPr>
        <w:t xml:space="preserve">., 2009 and the 98.5 % reported by Plans </w:t>
      </w:r>
      <w:r w:rsidRPr="009F52A6">
        <w:rPr>
          <w:rFonts w:ascii="Times New Roman" w:hAnsi="Times New Roman" w:cs="Times New Roman"/>
          <w:i/>
          <w:iCs/>
          <w:color w:val="auto"/>
          <w:sz w:val="20"/>
        </w:rPr>
        <w:t>et al</w:t>
      </w:r>
      <w:r w:rsidRPr="009F52A6">
        <w:rPr>
          <w:rFonts w:ascii="Times New Roman" w:hAnsi="Times New Roman" w:cs="Times New Roman"/>
          <w:color w:val="auto"/>
          <w:sz w:val="20"/>
        </w:rPr>
        <w:t xml:space="preserve">., 2010. These differences in MV </w:t>
      </w:r>
      <w:proofErr w:type="spellStart"/>
      <w:r w:rsidRPr="009F52A6">
        <w:rPr>
          <w:rFonts w:ascii="Times New Roman" w:hAnsi="Times New Roman" w:cs="Times New Roman"/>
          <w:color w:val="auto"/>
          <w:sz w:val="20"/>
        </w:rPr>
        <w:t>IgG</w:t>
      </w:r>
      <w:proofErr w:type="spellEnd"/>
      <w:r w:rsidRPr="009F52A6">
        <w:rPr>
          <w:rFonts w:ascii="Times New Roman" w:hAnsi="Times New Roman" w:cs="Times New Roman"/>
          <w:color w:val="auto"/>
          <w:sz w:val="20"/>
        </w:rPr>
        <w:t xml:space="preserve"> occurrence is suspected to be due to inadequate routine vaccination </w:t>
      </w:r>
      <w:proofErr w:type="spellStart"/>
      <w:r w:rsidRPr="009F52A6">
        <w:rPr>
          <w:rFonts w:ascii="Times New Roman" w:hAnsi="Times New Roman" w:cs="Times New Roman"/>
          <w:color w:val="auto"/>
          <w:sz w:val="20"/>
        </w:rPr>
        <w:t>programmes</w:t>
      </w:r>
      <w:proofErr w:type="spellEnd"/>
      <w:r w:rsidRPr="009F52A6">
        <w:rPr>
          <w:rFonts w:ascii="Times New Roman" w:hAnsi="Times New Roman" w:cs="Times New Roman"/>
          <w:color w:val="auto"/>
          <w:sz w:val="20"/>
        </w:rPr>
        <w:t xml:space="preserve"> around Port Harcourt as children only receive measles vaccination at nine (9) months of age after which they are </w:t>
      </w:r>
      <w:proofErr w:type="spellStart"/>
      <w:r w:rsidRPr="009F52A6">
        <w:rPr>
          <w:rFonts w:ascii="Times New Roman" w:hAnsi="Times New Roman" w:cs="Times New Roman"/>
          <w:color w:val="auto"/>
          <w:sz w:val="20"/>
        </w:rPr>
        <w:t>opportuned</w:t>
      </w:r>
      <w:proofErr w:type="spellEnd"/>
      <w:r w:rsidRPr="009F52A6">
        <w:rPr>
          <w:rFonts w:ascii="Times New Roman" w:hAnsi="Times New Roman" w:cs="Times New Roman"/>
          <w:color w:val="auto"/>
          <w:sz w:val="20"/>
        </w:rPr>
        <w:t xml:space="preserve"> to have a booster dose only during massive campaigns against measles which is irregular within the study area.</w:t>
      </w:r>
      <w:r w:rsidR="009F52A6" w:rsidRPr="009F52A6">
        <w:rPr>
          <w:rFonts w:ascii="Times New Roman" w:hAnsi="Times New Roman" w:cs="Times New Roman"/>
          <w:color w:val="auto"/>
          <w:sz w:val="20"/>
        </w:rPr>
        <w:t xml:space="preserve"> </w:t>
      </w:r>
    </w:p>
    <w:p w:rsidR="00FE602D" w:rsidRPr="009F52A6" w:rsidRDefault="00FE602D" w:rsidP="00322645">
      <w:pPr>
        <w:tabs>
          <w:tab w:val="num" w:pos="720"/>
        </w:tabs>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Having recorded the highest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prevalence of 15.8% among children age 4-6years and the lowest occurrence of 7.7% among children age 1-3years in our study, our findings agrees with </w:t>
      </w:r>
      <w:proofErr w:type="spellStart"/>
      <w:r w:rsidRPr="009F52A6">
        <w:rPr>
          <w:rFonts w:ascii="Times New Roman" w:hAnsi="Times New Roman" w:cs="Times New Roman"/>
          <w:sz w:val="20"/>
          <w:szCs w:val="24"/>
        </w:rPr>
        <w:t>Chechet</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009F52A6" w:rsidRPr="009F52A6">
        <w:rPr>
          <w:rFonts w:ascii="Times New Roman" w:hAnsi="Times New Roman" w:cs="Times New Roman"/>
          <w:i/>
          <w:iCs/>
          <w:sz w:val="20"/>
          <w:szCs w:val="24"/>
        </w:rPr>
        <w:t xml:space="preserve">, </w:t>
      </w:r>
      <w:r w:rsidR="009F52A6" w:rsidRPr="009F52A6">
        <w:rPr>
          <w:rFonts w:ascii="Times New Roman" w:hAnsi="Times New Roman" w:cs="Times New Roman"/>
          <w:iCs/>
          <w:sz w:val="20"/>
          <w:szCs w:val="24"/>
        </w:rPr>
        <w:t>(</w:t>
      </w:r>
      <w:r w:rsidRPr="009F52A6">
        <w:rPr>
          <w:rFonts w:ascii="Times New Roman" w:hAnsi="Times New Roman" w:cs="Times New Roman"/>
          <w:iCs/>
          <w:sz w:val="20"/>
          <w:szCs w:val="24"/>
        </w:rPr>
        <w:t xml:space="preserve">2014) </w:t>
      </w:r>
      <w:r w:rsidRPr="009F52A6">
        <w:rPr>
          <w:rFonts w:ascii="Times New Roman" w:hAnsi="Times New Roman" w:cs="Times New Roman"/>
          <w:sz w:val="20"/>
          <w:szCs w:val="24"/>
        </w:rPr>
        <w:t>who reported a 16.6% occurrence among children within 5-6years and also with their 6.6%</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among age group 7-8years. However, our study disagrees with the work of </w:t>
      </w:r>
      <w:proofErr w:type="spellStart"/>
      <w:r w:rsidRPr="009F52A6">
        <w:rPr>
          <w:rFonts w:ascii="Times New Roman" w:hAnsi="Times New Roman" w:cs="Times New Roman"/>
          <w:sz w:val="20"/>
          <w:szCs w:val="24"/>
        </w:rPr>
        <w:t>Chukwu</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 xml:space="preserve">at al. </w:t>
      </w:r>
      <w:r w:rsidRPr="009F52A6">
        <w:rPr>
          <w:rFonts w:ascii="Times New Roman" w:hAnsi="Times New Roman" w:cs="Times New Roman"/>
          <w:sz w:val="20"/>
          <w:szCs w:val="24"/>
        </w:rPr>
        <w:t xml:space="preserve">(2009) who reported a higher prevalence of 31.9% between the ages of 5months-2years and the least of 10% among the 6-8years age group. Our findings also had an agreement with the 7% reported by </w:t>
      </w:r>
      <w:proofErr w:type="spellStart"/>
      <w:r w:rsidRPr="009F52A6">
        <w:rPr>
          <w:rFonts w:ascii="Times New Roman" w:hAnsi="Times New Roman" w:cs="Times New Roman"/>
          <w:sz w:val="20"/>
          <w:szCs w:val="24"/>
        </w:rPr>
        <w:t>Umeh</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Ahaneku</w:t>
      </w:r>
      <w:proofErr w:type="spellEnd"/>
      <w:r w:rsidRPr="009F52A6">
        <w:rPr>
          <w:rFonts w:ascii="Times New Roman" w:hAnsi="Times New Roman" w:cs="Times New Roman"/>
          <w:sz w:val="20"/>
          <w:szCs w:val="24"/>
        </w:rPr>
        <w:t xml:space="preserve"> (2013) among children below a year old but there was disparity within the 2-4years age group where they reported 64% prevalence as oppose our 15.8%.</w:t>
      </w:r>
    </w:p>
    <w:p w:rsidR="00FE602D" w:rsidRPr="009F52A6" w:rsidRDefault="00FE602D" w:rsidP="00322645">
      <w:pPr>
        <w:tabs>
          <w:tab w:val="num" w:pos="720"/>
        </w:tabs>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In terms of sex related prevalence, our higher 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occurrence of 10.1% among female subjects compared to 4.3% among male subjects agrees with data published by </w:t>
      </w:r>
      <w:proofErr w:type="spellStart"/>
      <w:r w:rsidRPr="009F52A6">
        <w:rPr>
          <w:rFonts w:ascii="Times New Roman" w:hAnsi="Times New Roman" w:cs="Times New Roman"/>
          <w:sz w:val="20"/>
          <w:szCs w:val="24"/>
        </w:rPr>
        <w:t>Olaitan</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xml:space="preserve">2015 who reported 27.5% </w:t>
      </w:r>
      <w:proofErr w:type="spellStart"/>
      <w:r w:rsidRPr="009F52A6">
        <w:rPr>
          <w:rFonts w:ascii="Times New Roman" w:hAnsi="Times New Roman" w:cs="Times New Roman"/>
          <w:sz w:val="20"/>
          <w:szCs w:val="24"/>
        </w:rPr>
        <w:t>detetable</w:t>
      </w:r>
      <w:proofErr w:type="spellEnd"/>
      <w:r w:rsidRPr="009F52A6">
        <w:rPr>
          <w:rFonts w:ascii="Times New Roman" w:hAnsi="Times New Roman" w:cs="Times New Roman"/>
          <w:sz w:val="20"/>
          <w:szCs w:val="24"/>
        </w:rPr>
        <w:t xml:space="preserve"> anti-measles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among female children and 16.3% among male subjects. However, there are clear differences between our findings and the results published by </w:t>
      </w:r>
      <w:proofErr w:type="spellStart"/>
      <w:r w:rsidRPr="009F52A6">
        <w:rPr>
          <w:rFonts w:ascii="Times New Roman" w:hAnsi="Times New Roman" w:cs="Times New Roman"/>
          <w:sz w:val="20"/>
          <w:szCs w:val="24"/>
        </w:rPr>
        <w:t>Chechet</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 xml:space="preserve">et </w:t>
      </w:r>
      <w:r w:rsidRPr="009F52A6">
        <w:rPr>
          <w:rFonts w:ascii="Times New Roman" w:hAnsi="Times New Roman" w:cs="Times New Roman"/>
          <w:i/>
          <w:sz w:val="20"/>
          <w:szCs w:val="24"/>
        </w:rPr>
        <w:t xml:space="preserve">al., </w:t>
      </w:r>
      <w:r w:rsidRPr="009F52A6">
        <w:rPr>
          <w:rFonts w:ascii="Times New Roman" w:hAnsi="Times New Roman" w:cs="Times New Roman"/>
          <w:sz w:val="20"/>
          <w:szCs w:val="24"/>
        </w:rPr>
        <w:t>(2014) who reported 38%</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in males and 26% in females; </w:t>
      </w:r>
      <w:proofErr w:type="spellStart"/>
      <w:r w:rsidRPr="009F52A6">
        <w:rPr>
          <w:rFonts w:ascii="Times New Roman" w:hAnsi="Times New Roman" w:cs="Times New Roman"/>
          <w:sz w:val="20"/>
          <w:szCs w:val="24"/>
        </w:rPr>
        <w:t>Chukwu</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 xml:space="preserve">et al., </w:t>
      </w:r>
      <w:r w:rsidRPr="009F52A6">
        <w:rPr>
          <w:rFonts w:ascii="Times New Roman" w:hAnsi="Times New Roman" w:cs="Times New Roman"/>
          <w:sz w:val="20"/>
          <w:szCs w:val="24"/>
        </w:rPr>
        <w:t>(2009) reporting 37.4n% in males and 33.7% in females; while</w:t>
      </w:r>
      <w:r w:rsidR="009F52A6" w:rsidRPr="009F52A6">
        <w:rPr>
          <w:rFonts w:ascii="Times New Roman" w:hAnsi="Times New Roman" w:cs="Times New Roman"/>
          <w:sz w:val="20"/>
          <w:szCs w:val="24"/>
        </w:rPr>
        <w:t xml:space="preserve"> </w:t>
      </w:r>
      <w:proofErr w:type="spellStart"/>
      <w:r w:rsidRPr="009F52A6">
        <w:rPr>
          <w:rFonts w:ascii="Times New Roman" w:hAnsi="Times New Roman" w:cs="Times New Roman"/>
          <w:sz w:val="20"/>
          <w:szCs w:val="24"/>
        </w:rPr>
        <w:t>Okonko</w:t>
      </w:r>
      <w:proofErr w:type="spellEnd"/>
      <w:r w:rsidRPr="009F52A6">
        <w:rPr>
          <w:rFonts w:ascii="Times New Roman" w:hAnsi="Times New Roman" w:cs="Times New Roman"/>
          <w:sz w:val="20"/>
          <w:szCs w:val="24"/>
        </w:rPr>
        <w:t xml:space="preserve"> and Jim-George</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reported 52.7% in male and 47.3% in female. Conversely, our study agrees with the above studies as there was no age related relationship with 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at P&lt; 0.05.</w:t>
      </w:r>
    </w:p>
    <w:p w:rsidR="00FE602D" w:rsidRPr="009F52A6" w:rsidRDefault="00FE602D" w:rsidP="00322645">
      <w:pPr>
        <w:tabs>
          <w:tab w:val="num" w:pos="720"/>
        </w:tabs>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Among all the 172 children screened for measles virus-specific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antibodies, 16.3 % (n=28) had measles virus-specific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antibodies (S/Co ratio ≥1.0 </w:t>
      </w:r>
      <w:r w:rsidRPr="009F52A6">
        <w:rPr>
          <w:rFonts w:ascii="Times New Roman" w:hAnsi="Times New Roman" w:cs="Times New Roman"/>
          <w:sz w:val="20"/>
          <w:szCs w:val="24"/>
        </w:rPr>
        <w:lastRenderedPageBreak/>
        <w:t xml:space="preserve">international standard) while the remaining 83.7 % (n=144) </w:t>
      </w:r>
      <w:r w:rsidR="00286557" w:rsidRPr="009F52A6">
        <w:rPr>
          <w:rFonts w:ascii="Times New Roman" w:hAnsi="Times New Roman" w:cs="Times New Roman"/>
          <w:sz w:val="20"/>
          <w:szCs w:val="24"/>
        </w:rPr>
        <w:t xml:space="preserve">tested negative to </w:t>
      </w:r>
      <w:r w:rsidRPr="009F52A6">
        <w:rPr>
          <w:rFonts w:ascii="Times New Roman" w:hAnsi="Times New Roman" w:cs="Times New Roman"/>
          <w:sz w:val="20"/>
          <w:szCs w:val="24"/>
        </w:rPr>
        <w:t xml:space="preserve">measles virus-specific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antibodies (S/Co ration &lt;1.0 international standard). The 16.3 %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of measles virus-specific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antibodies is lower than and disagree from 75.8 % reported by </w:t>
      </w:r>
      <w:proofErr w:type="spellStart"/>
      <w:r w:rsidRPr="009F52A6">
        <w:rPr>
          <w:rFonts w:ascii="Times New Roman" w:hAnsi="Times New Roman" w:cs="Times New Roman"/>
          <w:sz w:val="20"/>
          <w:szCs w:val="24"/>
        </w:rPr>
        <w:t>Rafiei</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xml:space="preserve">., 2013 in Tehran; the 76.0 % reported by </w:t>
      </w:r>
      <w:proofErr w:type="spellStart"/>
      <w:r w:rsidRPr="009F52A6">
        <w:rPr>
          <w:rFonts w:ascii="Times New Roman" w:hAnsi="Times New Roman" w:cs="Times New Roman"/>
          <w:sz w:val="20"/>
          <w:szCs w:val="24"/>
        </w:rPr>
        <w:t>Domínguez</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xml:space="preserve">., 2006 and Plans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xml:space="preserve">., 2010 among individuals aged &lt; 25 years; the 89.0 % reported by </w:t>
      </w:r>
      <w:proofErr w:type="spellStart"/>
      <w:r w:rsidRPr="009F52A6">
        <w:rPr>
          <w:rFonts w:ascii="Times New Roman" w:hAnsi="Times New Roman" w:cs="Times New Roman"/>
          <w:sz w:val="20"/>
          <w:szCs w:val="24"/>
        </w:rPr>
        <w:t>Domínguez</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xml:space="preserve">., 2006 and Plans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xml:space="preserve">. 2010 among non-vaccinated individuals; the 98.6 % reported by </w:t>
      </w:r>
      <w:proofErr w:type="spellStart"/>
      <w:r w:rsidRPr="009F52A6">
        <w:rPr>
          <w:rFonts w:ascii="Times New Roman" w:hAnsi="Times New Roman" w:cs="Times New Roman"/>
          <w:sz w:val="20"/>
          <w:szCs w:val="24"/>
        </w:rPr>
        <w:t>Condorelli</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xml:space="preserve">., 1994; the 98.3 % reported by </w:t>
      </w:r>
      <w:proofErr w:type="spellStart"/>
      <w:r w:rsidRPr="009F52A6">
        <w:rPr>
          <w:rFonts w:ascii="Times New Roman" w:hAnsi="Times New Roman" w:cs="Times New Roman"/>
          <w:sz w:val="20"/>
          <w:szCs w:val="24"/>
        </w:rPr>
        <w:t>Domínguez</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xml:space="preserve">. 2006; the 97.6 % reported by </w:t>
      </w:r>
      <w:proofErr w:type="spellStart"/>
      <w:r w:rsidRPr="009F52A6">
        <w:rPr>
          <w:rFonts w:ascii="Times New Roman" w:hAnsi="Times New Roman" w:cs="Times New Roman"/>
          <w:sz w:val="20"/>
          <w:szCs w:val="24"/>
        </w:rPr>
        <w:t>Shilpi</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xml:space="preserve">., 2009; the 98.5 % reported by Plans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2010</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in related studies.</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However, the 16.3 %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of measles virus-specific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antibodies reported here is comparable to the 25.0 %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of measles virus-specific </w:t>
      </w:r>
      <w:proofErr w:type="spellStart"/>
      <w:r w:rsidRPr="009F52A6">
        <w:rPr>
          <w:rFonts w:ascii="Times New Roman" w:hAnsi="Times New Roman" w:cs="Times New Roman"/>
          <w:sz w:val="20"/>
          <w:szCs w:val="24"/>
        </w:rPr>
        <w:t>IgG</w:t>
      </w:r>
      <w:proofErr w:type="spellEnd"/>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reported</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among unvaccinated children by </w:t>
      </w:r>
      <w:proofErr w:type="spellStart"/>
      <w:r w:rsidRPr="009F52A6">
        <w:rPr>
          <w:rFonts w:ascii="Times New Roman" w:hAnsi="Times New Roman" w:cs="Times New Roman"/>
          <w:sz w:val="20"/>
          <w:szCs w:val="24"/>
        </w:rPr>
        <w:t>Manirakiza</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 xml:space="preserve">et al., </w:t>
      </w:r>
      <w:r w:rsidRPr="009F52A6">
        <w:rPr>
          <w:rFonts w:ascii="Times New Roman" w:hAnsi="Times New Roman" w:cs="Times New Roman"/>
          <w:sz w:val="20"/>
          <w:szCs w:val="24"/>
        </w:rPr>
        <w:t xml:space="preserve">2011. This low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in measles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leaves the children vulnerable to indigenous measles virus transmission should an outbreak arise (</w:t>
      </w:r>
      <w:proofErr w:type="spellStart"/>
      <w:r w:rsidRPr="009F52A6">
        <w:rPr>
          <w:rFonts w:ascii="Times New Roman" w:hAnsi="Times New Roman" w:cs="Times New Roman"/>
          <w:sz w:val="20"/>
          <w:szCs w:val="24"/>
        </w:rPr>
        <w:t>Manirakiza</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 xml:space="preserve">et al., </w:t>
      </w:r>
      <w:r w:rsidRPr="009F52A6">
        <w:rPr>
          <w:rFonts w:ascii="Times New Roman" w:hAnsi="Times New Roman" w:cs="Times New Roman"/>
          <w:sz w:val="20"/>
          <w:szCs w:val="24"/>
        </w:rPr>
        <w:t xml:space="preserve">2011). The cause of this low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is not clear (</w:t>
      </w:r>
      <w:proofErr w:type="spellStart"/>
      <w:r w:rsidRPr="009F52A6">
        <w:rPr>
          <w:rFonts w:ascii="Times New Roman" w:hAnsi="Times New Roman" w:cs="Times New Roman"/>
          <w:sz w:val="20"/>
          <w:szCs w:val="24"/>
        </w:rPr>
        <w:t>Manirakiza</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 xml:space="preserve">et al., </w:t>
      </w:r>
      <w:r w:rsidRPr="009F52A6">
        <w:rPr>
          <w:rFonts w:ascii="Times New Roman" w:hAnsi="Times New Roman" w:cs="Times New Roman"/>
          <w:sz w:val="20"/>
          <w:szCs w:val="24"/>
        </w:rPr>
        <w:t xml:space="preserve">2011) but our study suspects the cause to be inadequate routine vaccination </w:t>
      </w:r>
      <w:proofErr w:type="spellStart"/>
      <w:r w:rsidRPr="009F52A6">
        <w:rPr>
          <w:rFonts w:ascii="Times New Roman" w:hAnsi="Times New Roman" w:cs="Times New Roman"/>
          <w:sz w:val="20"/>
          <w:szCs w:val="24"/>
        </w:rPr>
        <w:t>programmes</w:t>
      </w:r>
      <w:proofErr w:type="spellEnd"/>
      <w:r w:rsidRPr="009F52A6">
        <w:rPr>
          <w:rFonts w:ascii="Times New Roman" w:hAnsi="Times New Roman" w:cs="Times New Roman"/>
          <w:sz w:val="20"/>
          <w:szCs w:val="24"/>
        </w:rPr>
        <w:t xml:space="preserve"> around Port Harcourt as children only receive measles vaccination at nine (9) months of age, after which they are </w:t>
      </w:r>
      <w:proofErr w:type="spellStart"/>
      <w:r w:rsidRPr="009F52A6">
        <w:rPr>
          <w:rFonts w:ascii="Times New Roman" w:hAnsi="Times New Roman" w:cs="Times New Roman"/>
          <w:sz w:val="20"/>
          <w:szCs w:val="24"/>
        </w:rPr>
        <w:t>opportuned</w:t>
      </w:r>
      <w:proofErr w:type="spellEnd"/>
      <w:r w:rsidRPr="009F52A6">
        <w:rPr>
          <w:rFonts w:ascii="Times New Roman" w:hAnsi="Times New Roman" w:cs="Times New Roman"/>
          <w:sz w:val="20"/>
          <w:szCs w:val="24"/>
        </w:rPr>
        <w:t xml:space="preserve"> to have a booster dose only during massive campaigns against measles which is irregular within the study area. </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Of the 21 vaccinated children (10 years and above), 14.3 % (n=3) tested positive for measles virus-specific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Higher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of 23.7 % was observed in vaccinated children (aged 4-6 years) while vaccinated children (aged 1-3 years) had the least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of 11.2 %. </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Despite recording the highest 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prevalence of 27.3% in children below one year, and the least </w:t>
      </w:r>
      <w:proofErr w:type="spellStart"/>
      <w:r w:rsidRPr="009F52A6">
        <w:rPr>
          <w:rFonts w:ascii="Times New Roman" w:hAnsi="Times New Roman" w:cs="Times New Roman"/>
          <w:sz w:val="20"/>
          <w:szCs w:val="24"/>
        </w:rPr>
        <w:t>occurence</w:t>
      </w:r>
      <w:proofErr w:type="spellEnd"/>
      <w:r w:rsidRPr="009F52A6">
        <w:rPr>
          <w:rFonts w:ascii="Times New Roman" w:hAnsi="Times New Roman" w:cs="Times New Roman"/>
          <w:sz w:val="20"/>
          <w:szCs w:val="24"/>
        </w:rPr>
        <w:t xml:space="preserve"> of 11.2% among the 1-3years age group contrast data published by </w:t>
      </w:r>
      <w:proofErr w:type="spellStart"/>
      <w:r w:rsidRPr="009F52A6">
        <w:rPr>
          <w:rFonts w:ascii="Times New Roman" w:hAnsi="Times New Roman" w:cs="Times New Roman"/>
          <w:sz w:val="20"/>
          <w:szCs w:val="24"/>
        </w:rPr>
        <w:t>Manirakiza</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Pr="009F52A6">
        <w:rPr>
          <w:rFonts w:ascii="Times New Roman" w:hAnsi="Times New Roman" w:cs="Times New Roman"/>
          <w:iCs/>
          <w:sz w:val="20"/>
          <w:szCs w:val="24"/>
        </w:rPr>
        <w:t xml:space="preserve"> (2011)</w:t>
      </w:r>
      <w:r w:rsidR="009F52A6" w:rsidRPr="009F52A6">
        <w:rPr>
          <w:rFonts w:ascii="Times New Roman" w:hAnsi="Times New Roman" w:cs="Times New Roman"/>
          <w:iCs/>
          <w:sz w:val="20"/>
          <w:szCs w:val="24"/>
        </w:rPr>
        <w:t xml:space="preserve"> </w:t>
      </w:r>
      <w:r w:rsidRPr="009F52A6">
        <w:rPr>
          <w:rFonts w:ascii="Times New Roman" w:hAnsi="Times New Roman" w:cs="Times New Roman"/>
          <w:sz w:val="20"/>
          <w:szCs w:val="24"/>
        </w:rPr>
        <w:t xml:space="preserve">that 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prevalence of 57.3% was observed among </w:t>
      </w:r>
      <w:r w:rsidRPr="009F52A6">
        <w:rPr>
          <w:rFonts w:ascii="Times New Roman" w:hAnsi="Times New Roman" w:cs="Times New Roman"/>
          <w:sz w:val="20"/>
          <w:szCs w:val="24"/>
        </w:rPr>
        <w:tab/>
        <w:t>children below 5years and total absence in children below</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8months</w:t>
      </w:r>
      <w:r w:rsidR="007B21E5" w:rsidRPr="009F52A6">
        <w:rPr>
          <w:rFonts w:ascii="Times New Roman" w:hAnsi="Times New Roman" w:cs="Times New Roman"/>
          <w:sz w:val="20"/>
          <w:szCs w:val="24"/>
        </w:rPr>
        <w:t>.</w:t>
      </w:r>
      <w:r w:rsidR="007B21E5">
        <w:rPr>
          <w:rFonts w:ascii="Times New Roman" w:hAnsi="Times New Roman" w:cs="Times New Roman"/>
          <w:sz w:val="20"/>
          <w:szCs w:val="24"/>
        </w:rPr>
        <w:t xml:space="preserve"> </w:t>
      </w:r>
      <w:r w:rsidR="007B21E5" w:rsidRPr="009F52A6">
        <w:rPr>
          <w:rFonts w:ascii="Times New Roman" w:hAnsi="Times New Roman" w:cs="Times New Roman"/>
          <w:sz w:val="20"/>
          <w:szCs w:val="24"/>
        </w:rPr>
        <w:t>T</w:t>
      </w:r>
      <w:r w:rsidRPr="009F52A6">
        <w:rPr>
          <w:rFonts w:ascii="Times New Roman" w:hAnsi="Times New Roman" w:cs="Times New Roman"/>
          <w:sz w:val="20"/>
          <w:szCs w:val="24"/>
        </w:rPr>
        <w:t xml:space="preserve">he 14.3% occurrence among children between 10-13years of age also contradicts their 45.6% prevalence among children of age 10years and above. </w:t>
      </w:r>
      <w:r w:rsidRPr="009F52A6">
        <w:rPr>
          <w:rFonts w:ascii="Times New Roman" w:hAnsi="Times New Roman" w:cs="Times New Roman"/>
          <w:sz w:val="20"/>
          <w:szCs w:val="24"/>
        </w:rPr>
        <w:tab/>
      </w:r>
    </w:p>
    <w:p w:rsidR="007B21E5"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However, </w:t>
      </w:r>
      <w:proofErr w:type="spellStart"/>
      <w:r w:rsidRPr="009F52A6">
        <w:rPr>
          <w:rFonts w:ascii="Times New Roman" w:hAnsi="Times New Roman" w:cs="Times New Roman"/>
          <w:sz w:val="20"/>
          <w:szCs w:val="24"/>
        </w:rPr>
        <w:t>Iheanyi</w:t>
      </w:r>
      <w:proofErr w:type="spellEnd"/>
      <w:r w:rsidRPr="009F52A6">
        <w:rPr>
          <w:rFonts w:ascii="Times New Roman" w:hAnsi="Times New Roman" w:cs="Times New Roman"/>
          <w:sz w:val="20"/>
          <w:szCs w:val="24"/>
        </w:rPr>
        <w:t xml:space="preserve"> and Mercy reported a 19.8% 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occurrence among children of age 6-10 in </w:t>
      </w:r>
      <w:proofErr w:type="spellStart"/>
      <w:r w:rsidRPr="009F52A6">
        <w:rPr>
          <w:rFonts w:ascii="Times New Roman" w:hAnsi="Times New Roman" w:cs="Times New Roman"/>
          <w:sz w:val="20"/>
          <w:szCs w:val="24"/>
        </w:rPr>
        <w:t>Emohua</w:t>
      </w:r>
      <w:proofErr w:type="spellEnd"/>
      <w:r w:rsidRPr="009F52A6">
        <w:rPr>
          <w:rFonts w:ascii="Times New Roman" w:hAnsi="Times New Roman" w:cs="Times New Roman"/>
          <w:sz w:val="20"/>
          <w:szCs w:val="24"/>
        </w:rPr>
        <w:t xml:space="preserve">, Rivers State. In terms of sex related prevalence, a higher occurrence of 20.3% was detected among female subjects compared to the 12.9% in male. This however disagrees with </w:t>
      </w:r>
      <w:proofErr w:type="spellStart"/>
      <w:r w:rsidRPr="009F52A6">
        <w:rPr>
          <w:rFonts w:ascii="Times New Roman" w:hAnsi="Times New Roman" w:cs="Times New Roman"/>
          <w:sz w:val="20"/>
          <w:szCs w:val="24"/>
        </w:rPr>
        <w:t>Iheanyi</w:t>
      </w:r>
      <w:proofErr w:type="spellEnd"/>
      <w:r w:rsidRPr="009F52A6">
        <w:rPr>
          <w:rFonts w:ascii="Times New Roman" w:hAnsi="Times New Roman" w:cs="Times New Roman"/>
          <w:sz w:val="20"/>
          <w:szCs w:val="24"/>
        </w:rPr>
        <w:t xml:space="preserve"> and mercy who reported a 47.3% and 52.7% prevalence among female and male unvaccinated children respectivel</w:t>
      </w:r>
      <w:r w:rsidR="007B21E5" w:rsidRPr="009F52A6">
        <w:rPr>
          <w:rFonts w:ascii="Times New Roman" w:hAnsi="Times New Roman" w:cs="Times New Roman"/>
          <w:sz w:val="20"/>
          <w:szCs w:val="24"/>
        </w:rPr>
        <w:t>y</w:t>
      </w:r>
      <w:r w:rsidR="007B21E5">
        <w:rPr>
          <w:rFonts w:ascii="Times New Roman" w:hAnsi="Times New Roman" w:cs="Times New Roman"/>
          <w:sz w:val="20"/>
          <w:szCs w:val="24"/>
        </w:rPr>
        <w:t>.</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The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of measles virus-specific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increased with an increase in age, and then decreased in older children. This disagrees with </w:t>
      </w:r>
      <w:proofErr w:type="spellStart"/>
      <w:r w:rsidRPr="009F52A6">
        <w:rPr>
          <w:rFonts w:ascii="Times New Roman" w:hAnsi="Times New Roman" w:cs="Times New Roman"/>
          <w:sz w:val="20"/>
          <w:szCs w:val="24"/>
        </w:rPr>
        <w:t>Rafiei</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xml:space="preserve">. </w:t>
      </w:r>
      <w:r w:rsidRPr="009F52A6">
        <w:rPr>
          <w:rFonts w:ascii="Times New Roman" w:hAnsi="Times New Roman" w:cs="Times New Roman"/>
          <w:sz w:val="20"/>
          <w:szCs w:val="24"/>
        </w:rPr>
        <w:lastRenderedPageBreak/>
        <w:t xml:space="preserve">2013, who reported that no substantial age association with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of measles virus-specific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antibodies. This corroborates the findings of </w:t>
      </w:r>
      <w:proofErr w:type="spellStart"/>
      <w:r w:rsidRPr="009F52A6">
        <w:rPr>
          <w:rFonts w:ascii="Times New Roman" w:hAnsi="Times New Roman" w:cs="Times New Roman"/>
          <w:sz w:val="20"/>
          <w:szCs w:val="24"/>
        </w:rPr>
        <w:t>Shilpi</w:t>
      </w:r>
      <w:proofErr w:type="spellEnd"/>
      <w:r w:rsidR="009F52A6"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et al</w:t>
      </w:r>
      <w:r w:rsidRPr="009F52A6">
        <w:rPr>
          <w:rFonts w:ascii="Times New Roman" w:hAnsi="Times New Roman" w:cs="Times New Roman"/>
          <w:sz w:val="20"/>
          <w:szCs w:val="24"/>
        </w:rPr>
        <w:t>., 2009.</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b/>
          <w:sz w:val="20"/>
          <w:szCs w:val="24"/>
        </w:rPr>
      </w:pPr>
      <w:r w:rsidRPr="009F52A6">
        <w:rPr>
          <w:rFonts w:ascii="Times New Roman" w:hAnsi="Times New Roman" w:cs="Times New Roman"/>
          <w:sz w:val="20"/>
          <w:szCs w:val="24"/>
        </w:rPr>
        <w:t xml:space="preserve">Of the 172 subjects recruited, four (4) were positive for both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These four recorded the least mean ± SD of lymphocyte count of 39.5±6.2 when compared to subjects positive for only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with a mean ± SD of 45.18 ± 14.56 and 47.75 ± 14.16.</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Consequentially, the mean ± SD of </w:t>
      </w:r>
      <w:proofErr w:type="spellStart"/>
      <w:r w:rsidRPr="009F52A6">
        <w:rPr>
          <w:rFonts w:ascii="Times New Roman" w:hAnsi="Times New Roman" w:cs="Times New Roman"/>
          <w:sz w:val="20"/>
          <w:szCs w:val="24"/>
        </w:rPr>
        <w:t>neutrophils</w:t>
      </w:r>
      <w:proofErr w:type="spellEnd"/>
      <w:r w:rsidRPr="009F52A6">
        <w:rPr>
          <w:rFonts w:ascii="Times New Roman" w:hAnsi="Times New Roman" w:cs="Times New Roman"/>
          <w:sz w:val="20"/>
          <w:szCs w:val="24"/>
        </w:rPr>
        <w:t xml:space="preserve"> count for </w:t>
      </w:r>
      <w:proofErr w:type="spellStart"/>
      <w:r w:rsidRPr="009F52A6">
        <w:rPr>
          <w:rFonts w:ascii="Times New Roman" w:hAnsi="Times New Roman" w:cs="Times New Roman"/>
          <w:sz w:val="20"/>
          <w:szCs w:val="24"/>
        </w:rPr>
        <w:t>IgM/IgG</w:t>
      </w:r>
      <w:proofErr w:type="spellEnd"/>
      <w:r w:rsidRPr="009F52A6">
        <w:rPr>
          <w:rFonts w:ascii="Times New Roman" w:hAnsi="Times New Roman" w:cs="Times New Roman"/>
          <w:sz w:val="20"/>
          <w:szCs w:val="24"/>
        </w:rPr>
        <w:t xml:space="preserve"> positive subjects were higher 60.5 ± 6.2 compared to</w:t>
      </w:r>
      <w:r w:rsidR="009F52A6" w:rsidRPr="009F52A6">
        <w:rPr>
          <w:rFonts w:ascii="Times New Roman" w:hAnsi="Times New Roman" w:cs="Times New Roman"/>
          <w:sz w:val="20"/>
          <w:szCs w:val="24"/>
        </w:rPr>
        <w:t xml:space="preserve"> </w:t>
      </w:r>
      <w:r w:rsidRPr="009F52A6">
        <w:rPr>
          <w:rFonts w:ascii="Times New Roman" w:hAnsi="Times New Roman" w:cs="Times New Roman"/>
          <w:sz w:val="20"/>
          <w:szCs w:val="24"/>
        </w:rPr>
        <w:t xml:space="preserve">54.10 ± 14.39 and 52.0 ± 14.09 recorded for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positive individuals respectively. There dual positivity to both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could be due to the fact that they were vaccinated of recent and the immune response to the vaccine is still ongoing. However, reduced lymphocyte counts could be attributed to the ongoing cellular response to the vaccine.</w:t>
      </w:r>
      <w:r w:rsidR="009F52A6" w:rsidRPr="009F52A6">
        <w:rPr>
          <w:rFonts w:ascii="Times New Roman" w:hAnsi="Times New Roman" w:cs="Times New Roman"/>
          <w:sz w:val="20"/>
          <w:szCs w:val="24"/>
        </w:rPr>
        <w:t xml:space="preserve"> </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The prevalence of measles virus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with respect to sex of the children was observed to be higher in female children with the prevalence of 20.3% (16/79) for measles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and 10.1% (8/79) for measles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respectively and lowest in male children with the prevalence (12.9%:12/93), (4.3%:4/93). The </w:t>
      </w:r>
      <w:proofErr w:type="spellStart"/>
      <w:r w:rsidRPr="009F52A6">
        <w:rPr>
          <w:rFonts w:ascii="Times New Roman" w:hAnsi="Times New Roman" w:cs="Times New Roman"/>
          <w:sz w:val="20"/>
          <w:szCs w:val="24"/>
        </w:rPr>
        <w:t>seroprevalence</w:t>
      </w:r>
      <w:proofErr w:type="spellEnd"/>
      <w:r w:rsidRPr="009F52A6">
        <w:rPr>
          <w:rFonts w:ascii="Times New Roman" w:hAnsi="Times New Roman" w:cs="Times New Roman"/>
          <w:sz w:val="20"/>
          <w:szCs w:val="24"/>
        </w:rPr>
        <w:t xml:space="preserve"> of measles virus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antibodies in relation to Gender may be attributed to previous vaccination or incomplete course of routine vaccination in both sexes. This result disagrees with previous study in Nigeria (</w:t>
      </w:r>
      <w:proofErr w:type="spellStart"/>
      <w:r w:rsidRPr="009F52A6">
        <w:rPr>
          <w:rFonts w:ascii="Times New Roman" w:hAnsi="Times New Roman" w:cs="Times New Roman"/>
          <w:sz w:val="20"/>
          <w:szCs w:val="24"/>
        </w:rPr>
        <w:t>Bassey</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 xml:space="preserve">et al., </w:t>
      </w:r>
      <w:r w:rsidRPr="009F52A6">
        <w:rPr>
          <w:rFonts w:ascii="Times New Roman" w:hAnsi="Times New Roman" w:cs="Times New Roman"/>
          <w:sz w:val="20"/>
          <w:szCs w:val="24"/>
        </w:rPr>
        <w:t xml:space="preserve">2010; </w:t>
      </w:r>
      <w:proofErr w:type="spellStart"/>
      <w:r w:rsidRPr="009F52A6">
        <w:rPr>
          <w:rFonts w:ascii="Times New Roman" w:hAnsi="Times New Roman" w:cs="Times New Roman"/>
          <w:sz w:val="20"/>
          <w:szCs w:val="24"/>
        </w:rPr>
        <w:t>Aumatel</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iCs/>
          <w:sz w:val="20"/>
          <w:szCs w:val="24"/>
        </w:rPr>
        <w:t xml:space="preserve">et al., </w:t>
      </w:r>
      <w:r w:rsidRPr="009F52A6">
        <w:rPr>
          <w:rFonts w:ascii="Times New Roman" w:hAnsi="Times New Roman" w:cs="Times New Roman"/>
          <w:sz w:val="20"/>
          <w:szCs w:val="24"/>
        </w:rPr>
        <w:t xml:space="preserve">2013) which reported that measles antibody is marginally higher in male than in their female counterpart. However, this corroborates </w:t>
      </w:r>
      <w:proofErr w:type="spellStart"/>
      <w:r w:rsidRPr="009F52A6">
        <w:rPr>
          <w:rFonts w:ascii="Times New Roman" w:hAnsi="Times New Roman" w:cs="Times New Roman"/>
          <w:sz w:val="20"/>
          <w:szCs w:val="24"/>
        </w:rPr>
        <w:t>Okonko</w:t>
      </w:r>
      <w:proofErr w:type="spellEnd"/>
      <w:r w:rsidRPr="009F52A6">
        <w:rPr>
          <w:rFonts w:ascii="Times New Roman" w:hAnsi="Times New Roman" w:cs="Times New Roman"/>
          <w:sz w:val="20"/>
          <w:szCs w:val="24"/>
        </w:rPr>
        <w:t xml:space="preserve"> and Jim-George who reported no sex (p&gt;0.05) relationship with the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of anti-MV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then </w:t>
      </w:r>
      <w:proofErr w:type="spellStart"/>
      <w:r w:rsidRPr="009F52A6">
        <w:rPr>
          <w:rFonts w:ascii="Times New Roman" w:hAnsi="Times New Roman" w:cs="Times New Roman"/>
          <w:sz w:val="20"/>
          <w:szCs w:val="24"/>
        </w:rPr>
        <w:t>Okonko</w:t>
      </w:r>
      <w:proofErr w:type="spellEnd"/>
      <w:r w:rsidRPr="009F52A6">
        <w:rPr>
          <w:rFonts w:ascii="Times New Roman" w:hAnsi="Times New Roman" w:cs="Times New Roman"/>
          <w:sz w:val="20"/>
          <w:szCs w:val="24"/>
        </w:rPr>
        <w:t xml:space="preserve"> and Mercy 2017 who reported no sex (p&gt;0.05) relationship with the </w:t>
      </w: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of anti-MV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proofErr w:type="spellStart"/>
      <w:r w:rsidRPr="009F52A6">
        <w:rPr>
          <w:rFonts w:ascii="Times New Roman" w:hAnsi="Times New Roman" w:cs="Times New Roman"/>
          <w:sz w:val="20"/>
          <w:szCs w:val="24"/>
        </w:rPr>
        <w:t>Seropositivity</w:t>
      </w:r>
      <w:proofErr w:type="spellEnd"/>
      <w:r w:rsidRPr="009F52A6">
        <w:rPr>
          <w:rFonts w:ascii="Times New Roman" w:hAnsi="Times New Roman" w:cs="Times New Roman"/>
          <w:sz w:val="20"/>
          <w:szCs w:val="24"/>
        </w:rPr>
        <w:t xml:space="preserve"> of anti-MV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was only present among children who were Christian (16.2%) as no Muslim child was among participants. Communities and individuals in the United States decide on not to get vaccinated for various reasons, of which religious motives and idealistic reasons were mainly cited (</w:t>
      </w:r>
      <w:proofErr w:type="spellStart"/>
      <w:r w:rsidRPr="009F52A6">
        <w:rPr>
          <w:rFonts w:ascii="Times New Roman" w:hAnsi="Times New Roman" w:cs="Times New Roman"/>
          <w:sz w:val="20"/>
          <w:szCs w:val="24"/>
        </w:rPr>
        <w:t>Wombwell</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 xml:space="preserve">et al., </w:t>
      </w:r>
      <w:r w:rsidRPr="009F52A6">
        <w:rPr>
          <w:rFonts w:ascii="Times New Roman" w:hAnsi="Times New Roman" w:cs="Times New Roman"/>
          <w:sz w:val="20"/>
          <w:szCs w:val="24"/>
        </w:rPr>
        <w:t xml:space="preserve">2015; </w:t>
      </w:r>
      <w:proofErr w:type="spellStart"/>
      <w:r w:rsidRPr="009F52A6">
        <w:rPr>
          <w:rFonts w:ascii="Times New Roman" w:hAnsi="Times New Roman" w:cs="Times New Roman"/>
          <w:sz w:val="20"/>
          <w:szCs w:val="24"/>
        </w:rPr>
        <w:t>Okonko</w:t>
      </w:r>
      <w:proofErr w:type="spellEnd"/>
      <w:r w:rsidRPr="009F52A6">
        <w:rPr>
          <w:rFonts w:ascii="Times New Roman" w:hAnsi="Times New Roman" w:cs="Times New Roman"/>
          <w:sz w:val="20"/>
          <w:szCs w:val="24"/>
        </w:rPr>
        <w:t xml:space="preserve"> and Jim-George, 2017). Religion-based objections most frequently focused on animal-derived gelatins used in production of vaccines and aborted human fetus tissue used in the rubella constituent of the measles, mumps and rubella (MMR) combined vaccine products (</w:t>
      </w:r>
      <w:proofErr w:type="spellStart"/>
      <w:r w:rsidRPr="009F52A6">
        <w:rPr>
          <w:rFonts w:ascii="Times New Roman" w:hAnsi="Times New Roman" w:cs="Times New Roman"/>
          <w:sz w:val="20"/>
          <w:szCs w:val="24"/>
        </w:rPr>
        <w:t>Wombwell</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 xml:space="preserve">et al., </w:t>
      </w:r>
      <w:r w:rsidRPr="009F52A6">
        <w:rPr>
          <w:rFonts w:ascii="Times New Roman" w:hAnsi="Times New Roman" w:cs="Times New Roman"/>
          <w:sz w:val="20"/>
          <w:szCs w:val="24"/>
        </w:rPr>
        <w:t xml:space="preserve">2015; </w:t>
      </w:r>
      <w:proofErr w:type="spellStart"/>
      <w:r w:rsidRPr="009F52A6">
        <w:rPr>
          <w:rFonts w:ascii="Times New Roman" w:hAnsi="Times New Roman" w:cs="Times New Roman"/>
          <w:sz w:val="20"/>
          <w:szCs w:val="24"/>
        </w:rPr>
        <w:t>Okonko</w:t>
      </w:r>
      <w:proofErr w:type="spellEnd"/>
      <w:r w:rsidRPr="009F52A6">
        <w:rPr>
          <w:rFonts w:ascii="Times New Roman" w:hAnsi="Times New Roman" w:cs="Times New Roman"/>
          <w:sz w:val="20"/>
          <w:szCs w:val="24"/>
        </w:rPr>
        <w:t xml:space="preserve"> and Jim-George, 2017). These objections amongst religious groups might also not be faith-based, somewhat in some cases were anxieties connected to lack of safety and effectiveness of the vaccination (</w:t>
      </w:r>
      <w:proofErr w:type="spellStart"/>
      <w:r w:rsidRPr="009F52A6">
        <w:rPr>
          <w:rFonts w:ascii="Times New Roman" w:hAnsi="Times New Roman" w:cs="Times New Roman"/>
          <w:sz w:val="20"/>
          <w:szCs w:val="24"/>
        </w:rPr>
        <w:t>Wombwell</w:t>
      </w:r>
      <w:proofErr w:type="spellEnd"/>
      <w:r w:rsidRPr="009F52A6">
        <w:rPr>
          <w:rFonts w:ascii="Times New Roman" w:hAnsi="Times New Roman" w:cs="Times New Roman"/>
          <w:sz w:val="20"/>
          <w:szCs w:val="24"/>
        </w:rPr>
        <w:t xml:space="preserve"> </w:t>
      </w:r>
      <w:r w:rsidRPr="009F52A6">
        <w:rPr>
          <w:rFonts w:ascii="Times New Roman" w:hAnsi="Times New Roman" w:cs="Times New Roman"/>
          <w:i/>
          <w:sz w:val="20"/>
          <w:szCs w:val="24"/>
        </w:rPr>
        <w:t xml:space="preserve">et al., </w:t>
      </w:r>
      <w:r w:rsidRPr="009F52A6">
        <w:rPr>
          <w:rFonts w:ascii="Times New Roman" w:hAnsi="Times New Roman" w:cs="Times New Roman"/>
          <w:sz w:val="20"/>
          <w:szCs w:val="24"/>
        </w:rPr>
        <w:t xml:space="preserve">2015; </w:t>
      </w:r>
      <w:proofErr w:type="spellStart"/>
      <w:r w:rsidRPr="009F52A6">
        <w:rPr>
          <w:rFonts w:ascii="Times New Roman" w:hAnsi="Times New Roman" w:cs="Times New Roman"/>
          <w:sz w:val="20"/>
          <w:szCs w:val="24"/>
        </w:rPr>
        <w:t>Okonko</w:t>
      </w:r>
      <w:proofErr w:type="spellEnd"/>
      <w:r w:rsidRPr="009F52A6">
        <w:rPr>
          <w:rFonts w:ascii="Times New Roman" w:hAnsi="Times New Roman" w:cs="Times New Roman"/>
          <w:sz w:val="20"/>
          <w:szCs w:val="24"/>
        </w:rPr>
        <w:t xml:space="preserve"> and Jim-George, 2017). Ascertaining </w:t>
      </w:r>
      <w:r w:rsidRPr="009F52A6">
        <w:rPr>
          <w:rFonts w:ascii="Times New Roman" w:hAnsi="Times New Roman" w:cs="Times New Roman"/>
          <w:sz w:val="20"/>
          <w:szCs w:val="24"/>
        </w:rPr>
        <w:lastRenderedPageBreak/>
        <w:t>mothers’ knowledge of the measles virus, this study showed that 15.2 % prevalence of measles was observed in children whose mothers had previous knowledge of the disease as opposed to those without prior knowledge of the disease with a prevalence of 42.9 %.</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In all, no Statistical difference was observed in positive subjects </w:t>
      </w:r>
      <w:proofErr w:type="spellStart"/>
      <w:r w:rsidRPr="009F52A6">
        <w:rPr>
          <w:rFonts w:ascii="Times New Roman" w:hAnsi="Times New Roman" w:cs="Times New Roman"/>
          <w:sz w:val="20"/>
          <w:szCs w:val="24"/>
        </w:rPr>
        <w:t>haematological</w:t>
      </w:r>
      <w:proofErr w:type="spellEnd"/>
      <w:r w:rsidRPr="009F52A6">
        <w:rPr>
          <w:rFonts w:ascii="Times New Roman" w:hAnsi="Times New Roman" w:cs="Times New Roman"/>
          <w:sz w:val="20"/>
          <w:szCs w:val="24"/>
        </w:rPr>
        <w:t xml:space="preserve"> parameters (lymphocytes, </w:t>
      </w:r>
      <w:proofErr w:type="spellStart"/>
      <w:r w:rsidRPr="009F52A6">
        <w:rPr>
          <w:rFonts w:ascii="Times New Roman" w:hAnsi="Times New Roman" w:cs="Times New Roman"/>
          <w:sz w:val="20"/>
          <w:szCs w:val="24"/>
        </w:rPr>
        <w:t>neutrophils</w:t>
      </w:r>
      <w:proofErr w:type="spellEnd"/>
      <w:r w:rsidRPr="009F52A6">
        <w:rPr>
          <w:rFonts w:ascii="Times New Roman" w:hAnsi="Times New Roman" w:cs="Times New Roman"/>
          <w:sz w:val="20"/>
          <w:szCs w:val="24"/>
        </w:rPr>
        <w:t xml:space="preserve">, </w:t>
      </w:r>
      <w:proofErr w:type="spellStart"/>
      <w:r w:rsidRPr="009F52A6">
        <w:rPr>
          <w:rFonts w:ascii="Times New Roman" w:hAnsi="Times New Roman" w:cs="Times New Roman"/>
          <w:sz w:val="20"/>
          <w:szCs w:val="24"/>
        </w:rPr>
        <w:t>basophils</w:t>
      </w:r>
      <w:proofErr w:type="spellEnd"/>
      <w:r w:rsidRPr="009F52A6">
        <w:rPr>
          <w:rFonts w:ascii="Times New Roman" w:hAnsi="Times New Roman" w:cs="Times New Roman"/>
          <w:sz w:val="20"/>
          <w:szCs w:val="24"/>
        </w:rPr>
        <w:t xml:space="preserve">, </w:t>
      </w:r>
      <w:proofErr w:type="spellStart"/>
      <w:r w:rsidRPr="009F52A6">
        <w:rPr>
          <w:rFonts w:ascii="Times New Roman" w:hAnsi="Times New Roman" w:cs="Times New Roman"/>
          <w:sz w:val="20"/>
          <w:szCs w:val="24"/>
        </w:rPr>
        <w:t>eosinophils</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monocyte</w:t>
      </w:r>
      <w:proofErr w:type="spellEnd"/>
      <w:r w:rsidRPr="009F52A6">
        <w:rPr>
          <w:rFonts w:ascii="Times New Roman" w:hAnsi="Times New Roman" w:cs="Times New Roman"/>
          <w:sz w:val="20"/>
          <w:szCs w:val="24"/>
        </w:rPr>
        <w:t xml:space="preserve">) with (P&lt;0.05) when compared with the negative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and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subjects. This indicates that measles infection has no effect on the </w:t>
      </w:r>
      <w:proofErr w:type="spellStart"/>
      <w:r w:rsidRPr="009F52A6">
        <w:rPr>
          <w:rFonts w:ascii="Times New Roman" w:hAnsi="Times New Roman" w:cs="Times New Roman"/>
          <w:sz w:val="20"/>
          <w:szCs w:val="24"/>
        </w:rPr>
        <w:t>haematological</w:t>
      </w:r>
      <w:proofErr w:type="spellEnd"/>
      <w:r w:rsidRPr="009F52A6">
        <w:rPr>
          <w:rFonts w:ascii="Times New Roman" w:hAnsi="Times New Roman" w:cs="Times New Roman"/>
          <w:sz w:val="20"/>
          <w:szCs w:val="24"/>
        </w:rPr>
        <w:t xml:space="preserve"> development of children who have received measles vaccines. However, significant differences were noted among the mean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value of positive and negative immunoglobulin optical density values. </w:t>
      </w:r>
    </w:p>
    <w:p w:rsidR="00FE602D" w:rsidRPr="009F52A6" w:rsidRDefault="00FE602D" w:rsidP="00322645">
      <w:pPr>
        <w:autoSpaceDE w:val="0"/>
        <w:autoSpaceDN w:val="0"/>
        <w:adjustRightInd w:val="0"/>
        <w:snapToGrid w:val="0"/>
        <w:spacing w:after="0" w:line="240" w:lineRule="auto"/>
        <w:jc w:val="both"/>
        <w:rPr>
          <w:rFonts w:ascii="Times New Roman" w:hAnsi="Times New Roman" w:cs="Times New Roman"/>
          <w:b/>
          <w:sz w:val="20"/>
          <w:szCs w:val="24"/>
        </w:rPr>
      </w:pPr>
    </w:p>
    <w:p w:rsidR="00FE602D" w:rsidRPr="009F52A6" w:rsidRDefault="00D431B5" w:rsidP="00322645">
      <w:pPr>
        <w:autoSpaceDE w:val="0"/>
        <w:autoSpaceDN w:val="0"/>
        <w:adjustRightInd w:val="0"/>
        <w:snapToGrid w:val="0"/>
        <w:spacing w:after="0" w:line="240" w:lineRule="auto"/>
        <w:jc w:val="both"/>
        <w:rPr>
          <w:rFonts w:ascii="Times New Roman" w:hAnsi="Times New Roman" w:cs="Times New Roman"/>
          <w:b/>
          <w:sz w:val="20"/>
          <w:szCs w:val="24"/>
        </w:rPr>
      </w:pPr>
      <w:r w:rsidRPr="009F52A6">
        <w:rPr>
          <w:rFonts w:ascii="Times New Roman" w:hAnsi="Times New Roman" w:cs="Times New Roman"/>
          <w:b/>
          <w:sz w:val="20"/>
          <w:szCs w:val="24"/>
        </w:rPr>
        <w:t>5 Conclusions</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F52A6">
        <w:rPr>
          <w:rFonts w:ascii="Times New Roman" w:hAnsi="Times New Roman" w:cs="Times New Roman"/>
          <w:sz w:val="20"/>
          <w:szCs w:val="24"/>
        </w:rPr>
        <w:t xml:space="preserve">In conclusion, the burden of measles in Nigeria remains high despite global efforts targeted at elimination, with infants and the unvaccinated being the most susceptible. The findings in the study suggest the presence of Measles virus in children of all age groups in the Port Harcourt, South-South, Nigeria, with </w:t>
      </w:r>
      <w:proofErr w:type="spellStart"/>
      <w:r w:rsidRPr="009F52A6">
        <w:rPr>
          <w:rFonts w:ascii="Times New Roman" w:hAnsi="Times New Roman" w:cs="Times New Roman"/>
          <w:sz w:val="20"/>
          <w:szCs w:val="24"/>
        </w:rPr>
        <w:t>seroprevalence</w:t>
      </w:r>
      <w:proofErr w:type="spellEnd"/>
      <w:r w:rsidRPr="009F52A6">
        <w:rPr>
          <w:rFonts w:ascii="Times New Roman" w:hAnsi="Times New Roman" w:cs="Times New Roman"/>
          <w:sz w:val="20"/>
          <w:szCs w:val="24"/>
        </w:rPr>
        <w:t xml:space="preserve"> comparable to the rates obtained in other parts of the country. The prevalence of 6.9% was obtained for </w:t>
      </w:r>
      <w:proofErr w:type="spellStart"/>
      <w:r w:rsidRPr="009F52A6">
        <w:rPr>
          <w:rFonts w:ascii="Times New Roman" w:hAnsi="Times New Roman" w:cs="Times New Roman"/>
          <w:sz w:val="20"/>
          <w:szCs w:val="24"/>
        </w:rPr>
        <w:t>IgM</w:t>
      </w:r>
      <w:proofErr w:type="spellEnd"/>
      <w:r w:rsidRPr="009F52A6">
        <w:rPr>
          <w:rFonts w:ascii="Times New Roman" w:hAnsi="Times New Roman" w:cs="Times New Roman"/>
          <w:sz w:val="20"/>
          <w:szCs w:val="24"/>
        </w:rPr>
        <w:t xml:space="preserve"> antibody and 16.3% was obtained for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This is an indication that measles is endemic in the South-South Nigeria and still poses a public health problem, despite the availability of a safe and effective vaccine. The results obtained from this study suggests that the serological method used has a high sensitivity and specificity and are suitable for routine use; therefore ELISA techniques should be employed for routine use due to the high sensitivity and specificity of the techniques.</w:t>
      </w:r>
    </w:p>
    <w:p w:rsidR="00FE602D" w:rsidRPr="009F52A6" w:rsidRDefault="00FE602D" w:rsidP="00322645">
      <w:pPr>
        <w:autoSpaceDE w:val="0"/>
        <w:autoSpaceDN w:val="0"/>
        <w:adjustRightInd w:val="0"/>
        <w:snapToGrid w:val="0"/>
        <w:spacing w:after="0" w:line="240" w:lineRule="auto"/>
        <w:ind w:firstLine="425"/>
        <w:jc w:val="both"/>
        <w:rPr>
          <w:rFonts w:ascii="Times New Roman" w:hAnsi="Times New Roman" w:cs="Times New Roman"/>
          <w:b/>
          <w:sz w:val="20"/>
          <w:szCs w:val="24"/>
        </w:rPr>
      </w:pPr>
      <w:r w:rsidRPr="009F52A6">
        <w:rPr>
          <w:rFonts w:ascii="Times New Roman" w:hAnsi="Times New Roman" w:cs="Times New Roman"/>
          <w:sz w:val="20"/>
          <w:szCs w:val="24"/>
        </w:rPr>
        <w:t xml:space="preserve">Complementary </w:t>
      </w:r>
      <w:proofErr w:type="spellStart"/>
      <w:r w:rsidRPr="009F52A6">
        <w:rPr>
          <w:rFonts w:ascii="Times New Roman" w:hAnsi="Times New Roman" w:cs="Times New Roman"/>
          <w:sz w:val="20"/>
          <w:szCs w:val="24"/>
        </w:rPr>
        <w:t>seroepidemiological</w:t>
      </w:r>
      <w:proofErr w:type="spellEnd"/>
      <w:r w:rsidRPr="009F52A6">
        <w:rPr>
          <w:rFonts w:ascii="Times New Roman" w:hAnsi="Times New Roman" w:cs="Times New Roman"/>
          <w:sz w:val="20"/>
          <w:szCs w:val="24"/>
        </w:rPr>
        <w:t xml:space="preserve"> studies to point the changing aspects of measles virus-specific </w:t>
      </w:r>
      <w:proofErr w:type="spellStart"/>
      <w:r w:rsidRPr="009F52A6">
        <w:rPr>
          <w:rFonts w:ascii="Times New Roman" w:hAnsi="Times New Roman" w:cs="Times New Roman"/>
          <w:sz w:val="20"/>
          <w:szCs w:val="24"/>
        </w:rPr>
        <w:t>IgG</w:t>
      </w:r>
      <w:proofErr w:type="spellEnd"/>
      <w:r w:rsidRPr="009F52A6">
        <w:rPr>
          <w:rFonts w:ascii="Times New Roman" w:hAnsi="Times New Roman" w:cs="Times New Roman"/>
          <w:sz w:val="20"/>
          <w:szCs w:val="24"/>
        </w:rPr>
        <w:t xml:space="preserve"> antibodies should be carried out</w:t>
      </w:r>
      <w:r w:rsidR="00286557" w:rsidRPr="009F52A6">
        <w:rPr>
          <w:rFonts w:ascii="Times New Roman" w:hAnsi="Times New Roman" w:cs="Times New Roman"/>
          <w:sz w:val="20"/>
          <w:szCs w:val="24"/>
        </w:rPr>
        <w:t xml:space="preserve"> in other areas of Rivers State and Nigeria at large to reduce the chances</w:t>
      </w:r>
      <w:r w:rsidRPr="009F52A6">
        <w:rPr>
          <w:rFonts w:ascii="Times New Roman" w:hAnsi="Times New Roman" w:cs="Times New Roman"/>
          <w:sz w:val="20"/>
          <w:szCs w:val="24"/>
        </w:rPr>
        <w:t xml:space="preserve"> of susceptib</w:t>
      </w:r>
      <w:r w:rsidR="00286557" w:rsidRPr="009F52A6">
        <w:rPr>
          <w:rFonts w:ascii="Times New Roman" w:hAnsi="Times New Roman" w:cs="Times New Roman"/>
          <w:sz w:val="20"/>
          <w:szCs w:val="24"/>
        </w:rPr>
        <w:t xml:space="preserve">le </w:t>
      </w:r>
      <w:r w:rsidRPr="009F52A6">
        <w:rPr>
          <w:rFonts w:ascii="Times New Roman" w:hAnsi="Times New Roman" w:cs="Times New Roman"/>
          <w:sz w:val="20"/>
          <w:szCs w:val="24"/>
        </w:rPr>
        <w:t>children and</w:t>
      </w:r>
      <w:r w:rsidR="00286557" w:rsidRPr="009F52A6">
        <w:rPr>
          <w:rFonts w:ascii="Times New Roman" w:hAnsi="Times New Roman" w:cs="Times New Roman"/>
          <w:sz w:val="20"/>
          <w:szCs w:val="24"/>
        </w:rPr>
        <w:t xml:space="preserve"> improve</w:t>
      </w:r>
      <w:r w:rsidRPr="009F52A6">
        <w:rPr>
          <w:rFonts w:ascii="Times New Roman" w:hAnsi="Times New Roman" w:cs="Times New Roman"/>
          <w:sz w:val="20"/>
          <w:szCs w:val="24"/>
        </w:rPr>
        <w:t xml:space="preserve"> the immunity profile of older age groups all over the country. Consistent Campaigns of measles vaccination of at least once in each quarter of the year should be carried out in other curtail the drop in </w:t>
      </w:r>
      <w:proofErr w:type="spellStart"/>
      <w:r w:rsidRPr="009F52A6">
        <w:rPr>
          <w:rFonts w:ascii="Times New Roman" w:hAnsi="Times New Roman" w:cs="Times New Roman"/>
          <w:sz w:val="20"/>
          <w:szCs w:val="24"/>
        </w:rPr>
        <w:t>titre</w:t>
      </w:r>
      <w:proofErr w:type="spellEnd"/>
      <w:r w:rsidRPr="009F52A6">
        <w:rPr>
          <w:rFonts w:ascii="Times New Roman" w:hAnsi="Times New Roman" w:cs="Times New Roman"/>
          <w:sz w:val="20"/>
          <w:szCs w:val="24"/>
        </w:rPr>
        <w:t xml:space="preserve"> level of measles antibodies.</w:t>
      </w:r>
    </w:p>
    <w:p w:rsidR="00171788" w:rsidRDefault="00171788" w:rsidP="00322645">
      <w:pPr>
        <w:autoSpaceDE w:val="0"/>
        <w:autoSpaceDN w:val="0"/>
        <w:adjustRightInd w:val="0"/>
        <w:snapToGrid w:val="0"/>
        <w:spacing w:after="0" w:line="240" w:lineRule="auto"/>
        <w:jc w:val="both"/>
        <w:rPr>
          <w:rStyle w:val="Hyperlink"/>
          <w:rFonts w:ascii="Times New Roman" w:hAnsi="Times New Roman" w:cs="Times New Roman"/>
          <w:b/>
          <w:color w:val="auto"/>
          <w:sz w:val="20"/>
          <w:szCs w:val="24"/>
          <w:u w:val="none"/>
          <w:lang w:eastAsia="zh-CN"/>
        </w:rPr>
      </w:pPr>
    </w:p>
    <w:p w:rsidR="00EC60D9" w:rsidRPr="009F52A6" w:rsidRDefault="00EC60D9" w:rsidP="00322645">
      <w:pPr>
        <w:autoSpaceDE w:val="0"/>
        <w:autoSpaceDN w:val="0"/>
        <w:adjustRightInd w:val="0"/>
        <w:snapToGrid w:val="0"/>
        <w:spacing w:after="0" w:line="240" w:lineRule="auto"/>
        <w:jc w:val="both"/>
        <w:rPr>
          <w:rStyle w:val="Hyperlink"/>
          <w:rFonts w:ascii="Times New Roman" w:hAnsi="Times New Roman" w:cs="Times New Roman"/>
          <w:b/>
          <w:color w:val="auto"/>
          <w:sz w:val="20"/>
          <w:szCs w:val="24"/>
          <w:u w:val="none"/>
        </w:rPr>
      </w:pPr>
      <w:proofErr w:type="spellStart"/>
      <w:r w:rsidRPr="009F52A6">
        <w:rPr>
          <w:rStyle w:val="Hyperlink"/>
          <w:rFonts w:ascii="Times New Roman" w:hAnsi="Times New Roman" w:cs="Times New Roman"/>
          <w:b/>
          <w:color w:val="auto"/>
          <w:sz w:val="20"/>
          <w:szCs w:val="24"/>
          <w:u w:val="none"/>
        </w:rPr>
        <w:t>Aknowledgement</w:t>
      </w:r>
      <w:proofErr w:type="spellEnd"/>
    </w:p>
    <w:p w:rsidR="00EC60D9" w:rsidRPr="009F52A6" w:rsidRDefault="00EC60D9" w:rsidP="00322645">
      <w:pPr>
        <w:autoSpaceDE w:val="0"/>
        <w:autoSpaceDN w:val="0"/>
        <w:adjustRightInd w:val="0"/>
        <w:snapToGrid w:val="0"/>
        <w:spacing w:after="0" w:line="240" w:lineRule="auto"/>
        <w:ind w:firstLine="425"/>
        <w:jc w:val="both"/>
        <w:rPr>
          <w:rStyle w:val="Hyperlink"/>
          <w:rFonts w:ascii="Times New Roman" w:hAnsi="Times New Roman" w:cs="Times New Roman"/>
          <w:color w:val="auto"/>
          <w:sz w:val="20"/>
          <w:szCs w:val="24"/>
          <w:u w:val="none"/>
        </w:rPr>
      </w:pPr>
      <w:r w:rsidRPr="009F52A6">
        <w:rPr>
          <w:rStyle w:val="Hyperlink"/>
          <w:rFonts w:ascii="Times New Roman" w:hAnsi="Times New Roman" w:cs="Times New Roman"/>
          <w:color w:val="auto"/>
          <w:sz w:val="20"/>
          <w:szCs w:val="24"/>
          <w:u w:val="none"/>
        </w:rPr>
        <w:t xml:space="preserve">The authors are grateful to the laboratory scientist at the Primary Health Care </w:t>
      </w:r>
      <w:proofErr w:type="spellStart"/>
      <w:r w:rsidRPr="009F52A6">
        <w:rPr>
          <w:rStyle w:val="Hyperlink"/>
          <w:rFonts w:ascii="Times New Roman" w:hAnsi="Times New Roman" w:cs="Times New Roman"/>
          <w:color w:val="auto"/>
          <w:sz w:val="20"/>
          <w:szCs w:val="24"/>
          <w:u w:val="none"/>
        </w:rPr>
        <w:t>Centres</w:t>
      </w:r>
      <w:proofErr w:type="spellEnd"/>
      <w:r w:rsidRPr="009F52A6">
        <w:rPr>
          <w:rStyle w:val="Hyperlink"/>
          <w:rFonts w:ascii="Times New Roman" w:hAnsi="Times New Roman" w:cs="Times New Roman"/>
          <w:color w:val="auto"/>
          <w:sz w:val="20"/>
          <w:szCs w:val="24"/>
          <w:u w:val="none"/>
        </w:rPr>
        <w:t xml:space="preserve"> </w:t>
      </w:r>
      <w:proofErr w:type="spellStart"/>
      <w:r w:rsidRPr="009F52A6">
        <w:rPr>
          <w:rStyle w:val="Hyperlink"/>
          <w:rFonts w:ascii="Times New Roman" w:hAnsi="Times New Roman" w:cs="Times New Roman"/>
          <w:color w:val="auto"/>
          <w:sz w:val="20"/>
          <w:szCs w:val="24"/>
          <w:u w:val="none"/>
        </w:rPr>
        <w:t>Rumuigbo</w:t>
      </w:r>
      <w:proofErr w:type="spellEnd"/>
      <w:r w:rsidRPr="009F52A6">
        <w:rPr>
          <w:rStyle w:val="Hyperlink"/>
          <w:rFonts w:ascii="Times New Roman" w:hAnsi="Times New Roman" w:cs="Times New Roman"/>
          <w:color w:val="auto"/>
          <w:sz w:val="20"/>
          <w:szCs w:val="24"/>
          <w:u w:val="none"/>
        </w:rPr>
        <w:t xml:space="preserve"> and </w:t>
      </w:r>
      <w:proofErr w:type="spellStart"/>
      <w:r w:rsidRPr="009F52A6">
        <w:rPr>
          <w:rStyle w:val="Hyperlink"/>
          <w:rFonts w:ascii="Times New Roman" w:hAnsi="Times New Roman" w:cs="Times New Roman"/>
          <w:color w:val="auto"/>
          <w:sz w:val="20"/>
          <w:szCs w:val="24"/>
          <w:u w:val="none"/>
        </w:rPr>
        <w:t>Rumuprikom</w:t>
      </w:r>
      <w:proofErr w:type="spellEnd"/>
      <w:r w:rsidRPr="009F52A6">
        <w:rPr>
          <w:rStyle w:val="Hyperlink"/>
          <w:rFonts w:ascii="Times New Roman" w:hAnsi="Times New Roman" w:cs="Times New Roman"/>
          <w:color w:val="auto"/>
          <w:sz w:val="20"/>
          <w:szCs w:val="24"/>
          <w:u w:val="none"/>
        </w:rPr>
        <w:t xml:space="preserve"> in Port Harcourt. Also, to De-integrated medical diagnostic and </w:t>
      </w:r>
      <w:proofErr w:type="spellStart"/>
      <w:r w:rsidRPr="009F52A6">
        <w:rPr>
          <w:rStyle w:val="Hyperlink"/>
          <w:rFonts w:ascii="Times New Roman" w:hAnsi="Times New Roman" w:cs="Times New Roman"/>
          <w:color w:val="auto"/>
          <w:sz w:val="20"/>
          <w:szCs w:val="24"/>
          <w:u w:val="none"/>
        </w:rPr>
        <w:t>reseach</w:t>
      </w:r>
      <w:proofErr w:type="spellEnd"/>
      <w:r w:rsidRPr="009F52A6">
        <w:rPr>
          <w:rStyle w:val="Hyperlink"/>
          <w:rFonts w:ascii="Times New Roman" w:hAnsi="Times New Roman" w:cs="Times New Roman"/>
          <w:color w:val="auto"/>
          <w:sz w:val="20"/>
          <w:szCs w:val="24"/>
          <w:u w:val="none"/>
        </w:rPr>
        <w:t xml:space="preserve"> laboratory Port Harcourt. There was no external funding for this research from any institution or NGO.</w:t>
      </w:r>
    </w:p>
    <w:p w:rsidR="009F509A" w:rsidRDefault="009F509A" w:rsidP="00322645">
      <w:pPr>
        <w:autoSpaceDE w:val="0"/>
        <w:autoSpaceDN w:val="0"/>
        <w:adjustRightInd w:val="0"/>
        <w:snapToGrid w:val="0"/>
        <w:spacing w:after="0" w:line="240" w:lineRule="auto"/>
        <w:jc w:val="both"/>
        <w:rPr>
          <w:rFonts w:ascii="Times New Roman" w:hAnsi="Times New Roman" w:cs="Times New Roman"/>
          <w:b/>
          <w:sz w:val="20"/>
          <w:szCs w:val="24"/>
          <w:lang w:eastAsia="zh-CN"/>
        </w:rPr>
      </w:pPr>
    </w:p>
    <w:p w:rsidR="007B21E5" w:rsidRPr="009F52A6" w:rsidRDefault="007B21E5" w:rsidP="00322645">
      <w:pPr>
        <w:autoSpaceDE w:val="0"/>
        <w:autoSpaceDN w:val="0"/>
        <w:adjustRightInd w:val="0"/>
        <w:snapToGrid w:val="0"/>
        <w:spacing w:after="0" w:line="240" w:lineRule="auto"/>
        <w:jc w:val="both"/>
        <w:rPr>
          <w:rFonts w:ascii="Times New Roman" w:hAnsi="Times New Roman" w:cs="Times New Roman"/>
          <w:b/>
          <w:sz w:val="20"/>
          <w:szCs w:val="24"/>
          <w:lang w:eastAsia="zh-CN"/>
        </w:rPr>
      </w:pPr>
    </w:p>
    <w:p w:rsidR="009F509A" w:rsidRPr="009F52A6" w:rsidRDefault="009F509A" w:rsidP="00171788">
      <w:pPr>
        <w:snapToGrid w:val="0"/>
        <w:spacing w:after="0" w:line="240" w:lineRule="auto"/>
        <w:contextualSpacing/>
        <w:jc w:val="both"/>
        <w:rPr>
          <w:rFonts w:ascii="Times New Roman" w:hAnsi="Times New Roman" w:cs="Times New Roman"/>
          <w:b/>
          <w:sz w:val="20"/>
          <w:szCs w:val="20"/>
        </w:rPr>
      </w:pPr>
      <w:r w:rsidRPr="009F52A6">
        <w:rPr>
          <w:rFonts w:ascii="Times New Roman" w:hAnsi="Times New Roman" w:cs="Times New Roman"/>
          <w:b/>
          <w:sz w:val="20"/>
          <w:szCs w:val="20"/>
        </w:rPr>
        <w:lastRenderedPageBreak/>
        <w:t>Corresponding Author:</w:t>
      </w:r>
    </w:p>
    <w:p w:rsidR="009F509A" w:rsidRPr="009F52A6" w:rsidRDefault="009F509A" w:rsidP="00171788">
      <w:pPr>
        <w:snapToGrid w:val="0"/>
        <w:spacing w:after="0" w:line="240" w:lineRule="auto"/>
        <w:contextualSpacing/>
        <w:jc w:val="both"/>
        <w:rPr>
          <w:rFonts w:ascii="Times New Roman" w:hAnsi="Times New Roman" w:cs="Times New Roman"/>
          <w:sz w:val="20"/>
          <w:szCs w:val="20"/>
        </w:rPr>
      </w:pPr>
      <w:proofErr w:type="spellStart"/>
      <w:r w:rsidRPr="009F52A6">
        <w:rPr>
          <w:rFonts w:ascii="Times New Roman" w:hAnsi="Times New Roman" w:cs="Times New Roman"/>
          <w:sz w:val="20"/>
          <w:szCs w:val="20"/>
        </w:rPr>
        <w:t>Barine</w:t>
      </w:r>
      <w:proofErr w:type="spellEnd"/>
      <w:r w:rsidRPr="009F52A6">
        <w:rPr>
          <w:rFonts w:ascii="Times New Roman" w:hAnsi="Times New Roman" w:cs="Times New Roman"/>
          <w:sz w:val="20"/>
          <w:szCs w:val="20"/>
        </w:rPr>
        <w:t xml:space="preserve">, </w:t>
      </w:r>
      <w:proofErr w:type="spellStart"/>
      <w:r w:rsidRPr="009F52A6">
        <w:rPr>
          <w:rFonts w:ascii="Times New Roman" w:hAnsi="Times New Roman" w:cs="Times New Roman"/>
          <w:sz w:val="20"/>
          <w:szCs w:val="20"/>
        </w:rPr>
        <w:t>Barisisia</w:t>
      </w:r>
      <w:proofErr w:type="spellEnd"/>
      <w:r w:rsidRPr="009F52A6">
        <w:rPr>
          <w:rFonts w:ascii="Times New Roman" w:hAnsi="Times New Roman" w:cs="Times New Roman"/>
          <w:sz w:val="20"/>
          <w:szCs w:val="20"/>
        </w:rPr>
        <w:t xml:space="preserve"> Maxwell</w:t>
      </w:r>
    </w:p>
    <w:p w:rsidR="009F509A" w:rsidRPr="009F52A6" w:rsidRDefault="009F509A" w:rsidP="00171788">
      <w:pPr>
        <w:snapToGrid w:val="0"/>
        <w:spacing w:after="0" w:line="240" w:lineRule="auto"/>
        <w:contextualSpacing/>
        <w:jc w:val="both"/>
        <w:rPr>
          <w:rFonts w:ascii="Times New Roman" w:hAnsi="Times New Roman" w:cs="Times New Roman"/>
          <w:sz w:val="20"/>
          <w:szCs w:val="20"/>
        </w:rPr>
      </w:pPr>
      <w:r w:rsidRPr="009F52A6">
        <w:rPr>
          <w:rFonts w:ascii="Times New Roman" w:hAnsi="Times New Roman" w:cs="Times New Roman"/>
          <w:sz w:val="20"/>
          <w:szCs w:val="20"/>
        </w:rPr>
        <w:t>Department of Applied Microbiology</w:t>
      </w:r>
    </w:p>
    <w:p w:rsidR="009F509A" w:rsidRPr="009F52A6" w:rsidRDefault="009F509A" w:rsidP="00171788">
      <w:pPr>
        <w:snapToGrid w:val="0"/>
        <w:spacing w:after="0" w:line="240" w:lineRule="auto"/>
        <w:contextualSpacing/>
        <w:jc w:val="both"/>
        <w:rPr>
          <w:rFonts w:ascii="Times New Roman" w:hAnsi="Times New Roman" w:cs="Times New Roman"/>
          <w:sz w:val="20"/>
          <w:szCs w:val="20"/>
        </w:rPr>
      </w:pPr>
      <w:proofErr w:type="spellStart"/>
      <w:r w:rsidRPr="009F52A6">
        <w:rPr>
          <w:rFonts w:ascii="Times New Roman" w:hAnsi="Times New Roman" w:cs="Times New Roman"/>
          <w:sz w:val="20"/>
          <w:szCs w:val="20"/>
        </w:rPr>
        <w:t>Ebonyi</w:t>
      </w:r>
      <w:proofErr w:type="spellEnd"/>
      <w:r w:rsidRPr="009F52A6">
        <w:rPr>
          <w:rFonts w:ascii="Times New Roman" w:hAnsi="Times New Roman" w:cs="Times New Roman"/>
          <w:sz w:val="20"/>
          <w:szCs w:val="20"/>
        </w:rPr>
        <w:t xml:space="preserve"> State University </w:t>
      </w:r>
    </w:p>
    <w:p w:rsidR="009F509A" w:rsidRPr="009F52A6" w:rsidRDefault="009F509A" w:rsidP="00171788">
      <w:pPr>
        <w:snapToGrid w:val="0"/>
        <w:spacing w:after="0" w:line="240" w:lineRule="auto"/>
        <w:contextualSpacing/>
        <w:jc w:val="both"/>
        <w:rPr>
          <w:rFonts w:ascii="Times New Roman" w:hAnsi="Times New Roman" w:cs="Times New Roman"/>
          <w:sz w:val="20"/>
          <w:szCs w:val="20"/>
          <w:lang w:eastAsia="zh-CN"/>
        </w:rPr>
      </w:pPr>
      <w:proofErr w:type="spellStart"/>
      <w:r w:rsidRPr="009F52A6">
        <w:rPr>
          <w:rFonts w:ascii="Times New Roman" w:hAnsi="Times New Roman" w:cs="Times New Roman"/>
          <w:sz w:val="20"/>
          <w:szCs w:val="20"/>
        </w:rPr>
        <w:t>Abakaliki</w:t>
      </w:r>
      <w:proofErr w:type="spellEnd"/>
    </w:p>
    <w:p w:rsidR="009F509A" w:rsidRPr="009F52A6" w:rsidRDefault="009F509A" w:rsidP="00171788">
      <w:pPr>
        <w:snapToGrid w:val="0"/>
        <w:spacing w:after="0" w:line="240" w:lineRule="auto"/>
        <w:contextualSpacing/>
        <w:jc w:val="both"/>
        <w:rPr>
          <w:rFonts w:ascii="Times New Roman" w:hAnsi="Times New Roman" w:cs="Times New Roman"/>
          <w:sz w:val="20"/>
          <w:szCs w:val="20"/>
          <w:lang w:eastAsia="zh-CN"/>
        </w:rPr>
      </w:pPr>
      <w:r w:rsidRPr="009F52A6">
        <w:rPr>
          <w:rFonts w:ascii="Times New Roman" w:hAnsi="Times New Roman" w:cs="Times New Roman"/>
          <w:sz w:val="20"/>
          <w:szCs w:val="20"/>
          <w:lang w:eastAsia="zh-CN"/>
        </w:rPr>
        <w:t>Telephone:+2347035315173</w:t>
      </w:r>
    </w:p>
    <w:p w:rsidR="009F509A" w:rsidRDefault="009F509A" w:rsidP="00171788">
      <w:pPr>
        <w:snapToGrid w:val="0"/>
        <w:spacing w:after="0" w:line="240" w:lineRule="auto"/>
        <w:jc w:val="both"/>
        <w:rPr>
          <w:rFonts w:ascii="Times New Roman" w:hAnsi="Times New Roman" w:cs="Times New Roman"/>
          <w:sz w:val="20"/>
          <w:szCs w:val="20"/>
          <w:lang w:eastAsia="zh-CN"/>
        </w:rPr>
      </w:pPr>
      <w:r w:rsidRPr="009F52A6">
        <w:rPr>
          <w:rFonts w:ascii="Times New Roman" w:hAnsi="Times New Roman" w:cs="Times New Roman"/>
          <w:sz w:val="20"/>
          <w:szCs w:val="20"/>
        </w:rPr>
        <w:t xml:space="preserve">E-mail: </w:t>
      </w:r>
      <w:hyperlink r:id="rId12" w:history="1">
        <w:r w:rsidRPr="009F52A6">
          <w:rPr>
            <w:rStyle w:val="Hyperlink"/>
            <w:rFonts w:ascii="Times New Roman" w:hAnsi="Times New Roman" w:cs="Times New Roman"/>
            <w:sz w:val="20"/>
            <w:szCs w:val="20"/>
          </w:rPr>
          <w:t>barimax4u@yahoo.com</w:t>
        </w:r>
      </w:hyperlink>
      <w:r w:rsidRPr="009F52A6">
        <w:rPr>
          <w:rFonts w:ascii="Times New Roman" w:hAnsi="Times New Roman" w:cs="Times New Roman"/>
          <w:sz w:val="20"/>
          <w:szCs w:val="20"/>
        </w:rPr>
        <w:t xml:space="preserve"> </w:t>
      </w:r>
    </w:p>
    <w:p w:rsidR="00171788" w:rsidRPr="009F52A6" w:rsidRDefault="00171788" w:rsidP="00171788">
      <w:pPr>
        <w:snapToGrid w:val="0"/>
        <w:spacing w:after="0" w:line="240" w:lineRule="auto"/>
        <w:jc w:val="both"/>
        <w:rPr>
          <w:rFonts w:ascii="Times New Roman" w:hAnsi="Times New Roman" w:cs="Times New Roman"/>
          <w:sz w:val="20"/>
          <w:szCs w:val="20"/>
          <w:lang w:eastAsia="zh-CN"/>
        </w:rPr>
      </w:pPr>
    </w:p>
    <w:p w:rsidR="00FE602D" w:rsidRPr="009F52A6" w:rsidRDefault="00FE602D" w:rsidP="00322645">
      <w:pPr>
        <w:autoSpaceDE w:val="0"/>
        <w:autoSpaceDN w:val="0"/>
        <w:adjustRightInd w:val="0"/>
        <w:snapToGrid w:val="0"/>
        <w:spacing w:after="0" w:line="240" w:lineRule="auto"/>
        <w:jc w:val="both"/>
        <w:rPr>
          <w:rFonts w:ascii="Times New Roman" w:hAnsi="Times New Roman" w:cs="Times New Roman"/>
          <w:b/>
          <w:sz w:val="20"/>
          <w:szCs w:val="24"/>
        </w:rPr>
      </w:pPr>
      <w:r w:rsidRPr="009F52A6">
        <w:rPr>
          <w:rFonts w:ascii="Times New Roman" w:hAnsi="Times New Roman" w:cs="Times New Roman"/>
          <w:b/>
          <w:sz w:val="20"/>
          <w:szCs w:val="24"/>
        </w:rPr>
        <w:t>Refer</w:t>
      </w:r>
      <w:r w:rsidR="00171788">
        <w:rPr>
          <w:rFonts w:ascii="Times New Roman" w:hAnsi="Times New Roman" w:cs="Times New Roman" w:hint="eastAsia"/>
          <w:b/>
          <w:sz w:val="20"/>
          <w:szCs w:val="24"/>
          <w:lang w:eastAsia="zh-CN"/>
        </w:rPr>
        <w:t>e</w:t>
      </w:r>
      <w:r w:rsidRPr="009F52A6">
        <w:rPr>
          <w:rFonts w:ascii="Times New Roman" w:hAnsi="Times New Roman" w:cs="Times New Roman"/>
          <w:b/>
          <w:sz w:val="20"/>
          <w:szCs w:val="24"/>
        </w:rPr>
        <w:t>nces</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Onoja</w:t>
      </w:r>
      <w:proofErr w:type="spellEnd"/>
      <w:r w:rsidRPr="00171788">
        <w:rPr>
          <w:rFonts w:ascii="Times New Roman" w:hAnsi="Times New Roman" w:cs="Times New Roman"/>
          <w:sz w:val="20"/>
          <w:szCs w:val="24"/>
        </w:rPr>
        <w:t xml:space="preserve"> A. B, </w:t>
      </w:r>
      <w:proofErr w:type="spellStart"/>
      <w:r w:rsidRPr="00171788">
        <w:rPr>
          <w:rFonts w:ascii="Times New Roman" w:hAnsi="Times New Roman" w:cs="Times New Roman"/>
          <w:sz w:val="20"/>
          <w:szCs w:val="24"/>
        </w:rPr>
        <w:t>Adeniji</w:t>
      </w:r>
      <w:proofErr w:type="spellEnd"/>
      <w:r w:rsidRPr="00171788">
        <w:rPr>
          <w:rFonts w:ascii="Times New Roman" w:hAnsi="Times New Roman" w:cs="Times New Roman"/>
          <w:sz w:val="20"/>
          <w:szCs w:val="24"/>
        </w:rPr>
        <w:t xml:space="preserve"> AJ, and </w:t>
      </w:r>
      <w:proofErr w:type="spellStart"/>
      <w:r w:rsidRPr="00171788">
        <w:rPr>
          <w:rFonts w:ascii="Times New Roman" w:hAnsi="Times New Roman" w:cs="Times New Roman"/>
          <w:sz w:val="20"/>
          <w:szCs w:val="24"/>
        </w:rPr>
        <w:t>Faneye</w:t>
      </w:r>
      <w:proofErr w:type="spellEnd"/>
      <w:r w:rsidRPr="00171788">
        <w:rPr>
          <w:rFonts w:ascii="Times New Roman" w:hAnsi="Times New Roman" w:cs="Times New Roman"/>
          <w:sz w:val="20"/>
          <w:szCs w:val="24"/>
        </w:rPr>
        <w:t xml:space="preserve"> A (2013). Measles complications in a Nigerian hospital setting. </w:t>
      </w:r>
      <w:r w:rsidRPr="00171788">
        <w:rPr>
          <w:rFonts w:ascii="Times New Roman" w:hAnsi="Times New Roman" w:cs="Times New Roman"/>
          <w:i/>
          <w:sz w:val="20"/>
          <w:szCs w:val="24"/>
        </w:rPr>
        <w:t>Clinical Reviews and Opinions</w:t>
      </w:r>
      <w:r w:rsidRPr="00171788">
        <w:rPr>
          <w:rFonts w:ascii="Times New Roman" w:hAnsi="Times New Roman" w:cs="Times New Roman"/>
          <w:sz w:val="20"/>
          <w:szCs w:val="24"/>
        </w:rPr>
        <w:t>; 5:18–23.</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iCs/>
          <w:sz w:val="20"/>
          <w:szCs w:val="24"/>
        </w:rPr>
        <w:t>Preeta</w:t>
      </w:r>
      <w:proofErr w:type="spellEnd"/>
      <w:r w:rsidRPr="00171788">
        <w:rPr>
          <w:rFonts w:ascii="Times New Roman" w:hAnsi="Times New Roman" w:cs="Times New Roman"/>
          <w:iCs/>
          <w:sz w:val="20"/>
          <w:szCs w:val="24"/>
        </w:rPr>
        <w:t xml:space="preserve"> </w:t>
      </w:r>
      <w:proofErr w:type="spellStart"/>
      <w:r w:rsidRPr="00171788">
        <w:rPr>
          <w:rFonts w:ascii="Times New Roman" w:hAnsi="Times New Roman" w:cs="Times New Roman"/>
          <w:iCs/>
          <w:sz w:val="20"/>
          <w:szCs w:val="24"/>
        </w:rPr>
        <w:t>Kutty</w:t>
      </w:r>
      <w:proofErr w:type="spellEnd"/>
      <w:r w:rsidRPr="00171788">
        <w:rPr>
          <w:rFonts w:ascii="Times New Roman" w:hAnsi="Times New Roman" w:cs="Times New Roman"/>
          <w:iCs/>
          <w:sz w:val="20"/>
          <w:szCs w:val="24"/>
        </w:rPr>
        <w:t xml:space="preserve"> MD, Jennifer Rota, William Bellini, Susan B. </w:t>
      </w:r>
      <w:proofErr w:type="spellStart"/>
      <w:r w:rsidRPr="00171788">
        <w:rPr>
          <w:rFonts w:ascii="Times New Roman" w:hAnsi="Times New Roman" w:cs="Times New Roman"/>
          <w:iCs/>
          <w:sz w:val="20"/>
          <w:szCs w:val="24"/>
        </w:rPr>
        <w:t>Redd</w:t>
      </w:r>
      <w:proofErr w:type="spellEnd"/>
      <w:r w:rsidRPr="00171788">
        <w:rPr>
          <w:rFonts w:ascii="Times New Roman" w:hAnsi="Times New Roman" w:cs="Times New Roman"/>
          <w:iCs/>
          <w:sz w:val="20"/>
          <w:szCs w:val="24"/>
        </w:rPr>
        <w:t xml:space="preserve">, Albert </w:t>
      </w:r>
      <w:proofErr w:type="spellStart"/>
      <w:r w:rsidRPr="00171788">
        <w:rPr>
          <w:rFonts w:ascii="Times New Roman" w:hAnsi="Times New Roman" w:cs="Times New Roman"/>
          <w:iCs/>
          <w:sz w:val="20"/>
          <w:szCs w:val="24"/>
        </w:rPr>
        <w:t>Barskey</w:t>
      </w:r>
      <w:proofErr w:type="spellEnd"/>
      <w:r w:rsidRPr="00171788">
        <w:rPr>
          <w:rFonts w:ascii="Times New Roman" w:hAnsi="Times New Roman" w:cs="Times New Roman"/>
          <w:iCs/>
          <w:sz w:val="20"/>
          <w:szCs w:val="24"/>
        </w:rPr>
        <w:t>, Gregory Wallace (2013)</w:t>
      </w:r>
      <w:r w:rsidR="007B21E5" w:rsidRPr="00171788">
        <w:rPr>
          <w:rFonts w:ascii="Times New Roman" w:hAnsi="Times New Roman" w:cs="Times New Roman"/>
          <w:iCs/>
          <w:sz w:val="20"/>
          <w:szCs w:val="24"/>
        </w:rPr>
        <w:t>,</w:t>
      </w:r>
      <w:r w:rsidR="007B21E5">
        <w:rPr>
          <w:rFonts w:ascii="Times New Roman" w:hAnsi="Times New Roman" w:cs="Times New Roman"/>
          <w:iCs/>
          <w:sz w:val="20"/>
          <w:szCs w:val="24"/>
        </w:rPr>
        <w:t xml:space="preserve"> </w:t>
      </w:r>
      <w:r w:rsidR="007B21E5" w:rsidRPr="00171788">
        <w:rPr>
          <w:rFonts w:ascii="Times New Roman" w:hAnsi="Times New Roman" w:cs="Times New Roman"/>
          <w:bCs/>
          <w:sz w:val="20"/>
          <w:szCs w:val="24"/>
        </w:rPr>
        <w:t>M</w:t>
      </w:r>
      <w:r w:rsidRPr="00171788">
        <w:rPr>
          <w:rFonts w:ascii="Times New Roman" w:hAnsi="Times New Roman" w:cs="Times New Roman"/>
          <w:bCs/>
          <w:sz w:val="20"/>
          <w:szCs w:val="24"/>
        </w:rPr>
        <w:t>easles: VPD Surveillance Manual, 6th Edition, Chapter 7-1.</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Style w:val="Hyperlink"/>
          <w:rFonts w:ascii="Times New Roman" w:hAnsi="Times New Roman" w:cs="Times New Roman"/>
          <w:color w:val="auto"/>
          <w:sz w:val="20"/>
          <w:szCs w:val="24"/>
          <w:u w:val="none"/>
        </w:rPr>
      </w:pPr>
      <w:r w:rsidRPr="00171788">
        <w:rPr>
          <w:rFonts w:ascii="Times New Roman" w:hAnsi="Times New Roman" w:cs="Times New Roman"/>
          <w:sz w:val="20"/>
          <w:szCs w:val="24"/>
        </w:rPr>
        <w:t>World Health Organization (2011).</w:t>
      </w:r>
      <w:r w:rsidR="009F52A6" w:rsidRPr="00171788">
        <w:rPr>
          <w:rFonts w:ascii="Times New Roman" w:hAnsi="Times New Roman" w:cs="Times New Roman"/>
          <w:sz w:val="20"/>
          <w:szCs w:val="24"/>
        </w:rPr>
        <w:t xml:space="preserve"> </w:t>
      </w:r>
      <w:r w:rsidRPr="00171788">
        <w:rPr>
          <w:rFonts w:ascii="Times New Roman" w:hAnsi="Times New Roman" w:cs="Times New Roman"/>
          <w:sz w:val="20"/>
          <w:szCs w:val="24"/>
        </w:rPr>
        <w:t xml:space="preserve">Reported measles cases and incidence rates by WHO member states 2010 and 2011. WHO factsheet 2011. Available at: </w:t>
      </w:r>
      <w:hyperlink r:id="rId13" w:history="1">
        <w:r w:rsidRPr="00171788">
          <w:rPr>
            <w:rStyle w:val="Hyperlink"/>
            <w:rFonts w:ascii="Times New Roman" w:hAnsi="Times New Roman" w:cs="Times New Roman"/>
            <w:color w:val="auto"/>
            <w:sz w:val="20"/>
            <w:szCs w:val="24"/>
            <w:u w:val="none"/>
          </w:rPr>
          <w:t>http://www.who.int/immunization_monitoring/diseases/measlesreportedcasesbycountry.pdf</w:t>
        </w:r>
      </w:hyperlink>
      <w:r w:rsidRPr="00171788">
        <w:rPr>
          <w:rStyle w:val="Hyperlink"/>
          <w:rFonts w:ascii="Times New Roman" w:hAnsi="Times New Roman" w:cs="Times New Roman"/>
          <w:color w:val="auto"/>
          <w:sz w:val="20"/>
          <w:szCs w:val="24"/>
          <w:u w:val="none"/>
        </w:rPr>
        <w:t>.</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Davidkin</w:t>
      </w:r>
      <w:proofErr w:type="spellEnd"/>
      <w:r w:rsidRPr="00171788">
        <w:rPr>
          <w:rFonts w:ascii="Times New Roman" w:hAnsi="Times New Roman" w:cs="Times New Roman"/>
          <w:sz w:val="20"/>
          <w:szCs w:val="24"/>
        </w:rPr>
        <w:t xml:space="preserve"> I, </w:t>
      </w:r>
      <w:proofErr w:type="spellStart"/>
      <w:r w:rsidRPr="00171788">
        <w:rPr>
          <w:rFonts w:ascii="Times New Roman" w:hAnsi="Times New Roman" w:cs="Times New Roman"/>
          <w:sz w:val="20"/>
          <w:szCs w:val="24"/>
        </w:rPr>
        <w:t>Jokinen</w:t>
      </w:r>
      <w:proofErr w:type="spellEnd"/>
      <w:r w:rsidRPr="00171788">
        <w:rPr>
          <w:rFonts w:ascii="Times New Roman" w:hAnsi="Times New Roman" w:cs="Times New Roman"/>
          <w:sz w:val="20"/>
          <w:szCs w:val="24"/>
        </w:rPr>
        <w:t xml:space="preserve"> S, Broman M., (2008). Persistence of measles, mumps, and rubella antibodies in an MMR-vaccinated cohort: a 20-year follow-up. </w:t>
      </w:r>
      <w:r w:rsidRPr="00171788">
        <w:rPr>
          <w:rFonts w:ascii="Times New Roman" w:hAnsi="Times New Roman" w:cs="Times New Roman"/>
          <w:i/>
          <w:sz w:val="20"/>
          <w:szCs w:val="24"/>
        </w:rPr>
        <w:t>Journal of Infectious Diseases</w:t>
      </w:r>
      <w:r w:rsidRPr="00171788">
        <w:rPr>
          <w:rFonts w:ascii="Times New Roman" w:hAnsi="Times New Roman" w:cs="Times New Roman"/>
          <w:sz w:val="20"/>
          <w:szCs w:val="24"/>
        </w:rPr>
        <w:t>; 197:950–956.</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71788">
        <w:rPr>
          <w:rFonts w:ascii="Times New Roman" w:hAnsi="Times New Roman" w:cs="Times New Roman"/>
          <w:sz w:val="20"/>
          <w:szCs w:val="24"/>
        </w:rPr>
        <w:t xml:space="preserve">Isa M.B, Martinez L, </w:t>
      </w:r>
      <w:proofErr w:type="spellStart"/>
      <w:r w:rsidRPr="00171788">
        <w:rPr>
          <w:rFonts w:ascii="Times New Roman" w:hAnsi="Times New Roman" w:cs="Times New Roman"/>
          <w:sz w:val="20"/>
          <w:szCs w:val="24"/>
        </w:rPr>
        <w:t>Passegi</w:t>
      </w:r>
      <w:proofErr w:type="spellEnd"/>
      <w:r w:rsidRPr="00171788">
        <w:rPr>
          <w:rFonts w:ascii="Times New Roman" w:hAnsi="Times New Roman" w:cs="Times New Roman"/>
          <w:sz w:val="20"/>
          <w:szCs w:val="24"/>
        </w:rPr>
        <w:t xml:space="preserve"> C</w:t>
      </w:r>
      <w:r w:rsidR="009F52A6" w:rsidRPr="00171788">
        <w:rPr>
          <w:rFonts w:ascii="Times New Roman" w:hAnsi="Times New Roman" w:cs="Times New Roman"/>
          <w:sz w:val="20"/>
          <w:szCs w:val="24"/>
        </w:rPr>
        <w:t>. (</w:t>
      </w:r>
      <w:r w:rsidRPr="00171788">
        <w:rPr>
          <w:rFonts w:ascii="Times New Roman" w:hAnsi="Times New Roman" w:cs="Times New Roman"/>
          <w:sz w:val="20"/>
          <w:szCs w:val="24"/>
        </w:rPr>
        <w:t xml:space="preserve">2002). </w:t>
      </w:r>
      <w:proofErr w:type="spellStart"/>
      <w:r w:rsidRPr="00171788">
        <w:rPr>
          <w:rFonts w:ascii="Times New Roman" w:hAnsi="Times New Roman" w:cs="Times New Roman"/>
          <w:sz w:val="20"/>
          <w:szCs w:val="24"/>
        </w:rPr>
        <w:t>Comparism</w:t>
      </w:r>
      <w:proofErr w:type="spellEnd"/>
      <w:r w:rsidRPr="00171788">
        <w:rPr>
          <w:rFonts w:ascii="Times New Roman" w:hAnsi="Times New Roman" w:cs="Times New Roman"/>
          <w:sz w:val="20"/>
          <w:szCs w:val="24"/>
        </w:rPr>
        <w:t xml:space="preserve"> of immunoglobulin sub class profiles induced by measles virus in vaccinated and naturally infected individuals. Clinical Diagnosis and Laboratory Immunology; 9:693–697.</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Pomerai</w:t>
      </w:r>
      <w:proofErr w:type="spellEnd"/>
      <w:r w:rsidRPr="00171788">
        <w:rPr>
          <w:rFonts w:ascii="Times New Roman" w:hAnsi="Times New Roman" w:cs="Times New Roman"/>
          <w:sz w:val="20"/>
          <w:szCs w:val="24"/>
        </w:rPr>
        <w:t xml:space="preserve"> KW, </w:t>
      </w:r>
      <w:proofErr w:type="spellStart"/>
      <w:r w:rsidRPr="00171788">
        <w:rPr>
          <w:rFonts w:ascii="Times New Roman" w:hAnsi="Times New Roman" w:cs="Times New Roman"/>
          <w:sz w:val="20"/>
          <w:szCs w:val="24"/>
        </w:rPr>
        <w:t>Mudyiradima</w:t>
      </w:r>
      <w:proofErr w:type="spellEnd"/>
      <w:r w:rsidRPr="00171788">
        <w:rPr>
          <w:rFonts w:ascii="Times New Roman" w:hAnsi="Times New Roman" w:cs="Times New Roman"/>
          <w:sz w:val="20"/>
          <w:szCs w:val="24"/>
        </w:rPr>
        <w:t xml:space="preserve"> RF, and </w:t>
      </w:r>
      <w:proofErr w:type="spellStart"/>
      <w:r w:rsidRPr="00171788">
        <w:rPr>
          <w:rFonts w:ascii="Times New Roman" w:hAnsi="Times New Roman" w:cs="Times New Roman"/>
          <w:sz w:val="20"/>
          <w:szCs w:val="24"/>
        </w:rPr>
        <w:t>Gombe</w:t>
      </w:r>
      <w:proofErr w:type="spellEnd"/>
      <w:r w:rsidRPr="00171788">
        <w:rPr>
          <w:rFonts w:ascii="Times New Roman" w:hAnsi="Times New Roman" w:cs="Times New Roman"/>
          <w:sz w:val="20"/>
          <w:szCs w:val="24"/>
        </w:rPr>
        <w:t xml:space="preserve"> NT (2012). Measles outbreak investigation in </w:t>
      </w:r>
      <w:proofErr w:type="spellStart"/>
      <w:r w:rsidRPr="00171788">
        <w:rPr>
          <w:rFonts w:ascii="Times New Roman" w:hAnsi="Times New Roman" w:cs="Times New Roman"/>
          <w:sz w:val="20"/>
          <w:szCs w:val="24"/>
        </w:rPr>
        <w:t>Zaka</w:t>
      </w:r>
      <w:proofErr w:type="spellEnd"/>
      <w:r w:rsidRPr="00171788">
        <w:rPr>
          <w:rFonts w:ascii="Times New Roman" w:hAnsi="Times New Roman" w:cs="Times New Roman"/>
          <w:sz w:val="20"/>
          <w:szCs w:val="24"/>
        </w:rPr>
        <w:t xml:space="preserve">, </w:t>
      </w:r>
      <w:proofErr w:type="spellStart"/>
      <w:r w:rsidRPr="00171788">
        <w:rPr>
          <w:rFonts w:ascii="Times New Roman" w:hAnsi="Times New Roman" w:cs="Times New Roman"/>
          <w:sz w:val="20"/>
          <w:szCs w:val="24"/>
        </w:rPr>
        <w:t>Masvingo</w:t>
      </w:r>
      <w:proofErr w:type="spellEnd"/>
      <w:r w:rsidRPr="00171788">
        <w:rPr>
          <w:rFonts w:ascii="Times New Roman" w:hAnsi="Times New Roman" w:cs="Times New Roman"/>
          <w:sz w:val="20"/>
          <w:szCs w:val="24"/>
        </w:rPr>
        <w:t>. BMC Researches Notes</w:t>
      </w:r>
      <w:r w:rsidR="009F52A6" w:rsidRPr="00171788">
        <w:rPr>
          <w:rFonts w:ascii="Times New Roman" w:hAnsi="Times New Roman" w:cs="Times New Roman"/>
          <w:sz w:val="20"/>
          <w:szCs w:val="24"/>
        </w:rPr>
        <w:t>;</w:t>
      </w:r>
      <w:r w:rsidRPr="00171788">
        <w:rPr>
          <w:rFonts w:ascii="Times New Roman" w:hAnsi="Times New Roman" w:cs="Times New Roman"/>
          <w:sz w:val="20"/>
          <w:szCs w:val="24"/>
        </w:rPr>
        <w:t>5:1.</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71788">
        <w:rPr>
          <w:rFonts w:ascii="Times New Roman" w:hAnsi="Times New Roman" w:cs="Times New Roman"/>
          <w:sz w:val="20"/>
          <w:szCs w:val="24"/>
        </w:rPr>
        <w:t xml:space="preserve">Mohammed A, </w:t>
      </w:r>
      <w:proofErr w:type="spellStart"/>
      <w:r w:rsidRPr="00171788">
        <w:rPr>
          <w:rFonts w:ascii="Times New Roman" w:hAnsi="Times New Roman" w:cs="Times New Roman"/>
          <w:sz w:val="20"/>
          <w:szCs w:val="24"/>
        </w:rPr>
        <w:t>Nguku</w:t>
      </w:r>
      <w:proofErr w:type="spellEnd"/>
      <w:r w:rsidRPr="00171788">
        <w:rPr>
          <w:rFonts w:ascii="Times New Roman" w:hAnsi="Times New Roman" w:cs="Times New Roman"/>
          <w:sz w:val="20"/>
          <w:szCs w:val="24"/>
        </w:rPr>
        <w:t xml:space="preserve"> P, </w:t>
      </w:r>
      <w:proofErr w:type="spellStart"/>
      <w:r w:rsidRPr="00171788">
        <w:rPr>
          <w:rFonts w:ascii="Times New Roman" w:hAnsi="Times New Roman" w:cs="Times New Roman"/>
          <w:sz w:val="20"/>
          <w:szCs w:val="24"/>
        </w:rPr>
        <w:t>Abanida</w:t>
      </w:r>
      <w:proofErr w:type="spellEnd"/>
      <w:r w:rsidRPr="00171788">
        <w:rPr>
          <w:rFonts w:ascii="Times New Roman" w:hAnsi="Times New Roman" w:cs="Times New Roman"/>
          <w:sz w:val="20"/>
          <w:szCs w:val="24"/>
        </w:rPr>
        <w:t xml:space="preserve"> E, </w:t>
      </w:r>
      <w:proofErr w:type="spellStart"/>
      <w:r w:rsidRPr="00171788">
        <w:rPr>
          <w:rFonts w:ascii="Times New Roman" w:hAnsi="Times New Roman" w:cs="Times New Roman"/>
          <w:sz w:val="20"/>
          <w:szCs w:val="24"/>
        </w:rPr>
        <w:t>Sabitu</w:t>
      </w:r>
      <w:proofErr w:type="spellEnd"/>
      <w:r w:rsidRPr="00171788">
        <w:rPr>
          <w:rFonts w:ascii="Times New Roman" w:hAnsi="Times New Roman" w:cs="Times New Roman"/>
          <w:sz w:val="20"/>
          <w:szCs w:val="24"/>
        </w:rPr>
        <w:t xml:space="preserve"> K (2010). Evaluation of measles case-based surveillance system in Nigeria</w:t>
      </w:r>
      <w:r w:rsidR="007B21E5" w:rsidRPr="00171788">
        <w:rPr>
          <w:rFonts w:ascii="Times New Roman" w:hAnsi="Times New Roman" w:cs="Times New Roman"/>
          <w:sz w:val="20"/>
          <w:szCs w:val="24"/>
        </w:rPr>
        <w:t>.</w:t>
      </w:r>
      <w:r w:rsidR="007B21E5">
        <w:rPr>
          <w:rFonts w:ascii="Times New Roman" w:hAnsi="Times New Roman" w:cs="Times New Roman"/>
          <w:sz w:val="20"/>
          <w:szCs w:val="24"/>
        </w:rPr>
        <w:t xml:space="preserve"> </w:t>
      </w:r>
      <w:r w:rsidR="007B21E5" w:rsidRPr="00171788">
        <w:rPr>
          <w:rFonts w:ascii="Times New Roman" w:hAnsi="Times New Roman" w:cs="Times New Roman"/>
          <w:sz w:val="20"/>
          <w:szCs w:val="24"/>
        </w:rPr>
        <w:t>A</w:t>
      </w:r>
      <w:r w:rsidRPr="00171788">
        <w:rPr>
          <w:rFonts w:ascii="Times New Roman" w:hAnsi="Times New Roman" w:cs="Times New Roman"/>
          <w:sz w:val="20"/>
          <w:szCs w:val="24"/>
        </w:rPr>
        <w:t xml:space="preserve">vailable at </w:t>
      </w:r>
      <w:hyperlink r:id="rId14" w:history="1">
        <w:r w:rsidRPr="00171788">
          <w:rPr>
            <w:rStyle w:val="Hyperlink"/>
            <w:rFonts w:ascii="Times New Roman" w:hAnsi="Times New Roman" w:cs="Times New Roman"/>
            <w:color w:val="auto"/>
            <w:sz w:val="20"/>
            <w:szCs w:val="24"/>
          </w:rPr>
          <w:t>http://ecdc.europa.eu/en/ESCAIDE/Materials/</w:t>
        </w:r>
      </w:hyperlink>
      <w:r w:rsidRPr="00171788">
        <w:rPr>
          <w:rFonts w:ascii="Times New Roman" w:hAnsi="Times New Roman" w:cs="Times New Roman"/>
          <w:sz w:val="20"/>
          <w:szCs w:val="24"/>
        </w:rPr>
        <w:t xml:space="preserve"> Presentations/ESCAIDE2011_Session_9_5_Mohammed.pdf.</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71788">
        <w:rPr>
          <w:rFonts w:ascii="Times New Roman" w:hAnsi="Times New Roman" w:cs="Times New Roman"/>
          <w:sz w:val="20"/>
          <w:szCs w:val="24"/>
        </w:rPr>
        <w:t xml:space="preserve">Muller CP, </w:t>
      </w:r>
      <w:proofErr w:type="spellStart"/>
      <w:r w:rsidRPr="00171788">
        <w:rPr>
          <w:rFonts w:ascii="Times New Roman" w:hAnsi="Times New Roman" w:cs="Times New Roman"/>
          <w:sz w:val="20"/>
          <w:szCs w:val="24"/>
        </w:rPr>
        <w:t>Hanses</w:t>
      </w:r>
      <w:proofErr w:type="spellEnd"/>
      <w:r w:rsidRPr="00171788">
        <w:rPr>
          <w:rFonts w:ascii="Times New Roman" w:hAnsi="Times New Roman" w:cs="Times New Roman"/>
          <w:sz w:val="20"/>
          <w:szCs w:val="24"/>
        </w:rPr>
        <w:t xml:space="preserve"> F, </w:t>
      </w:r>
      <w:proofErr w:type="spellStart"/>
      <w:r w:rsidRPr="00171788">
        <w:rPr>
          <w:rFonts w:ascii="Times New Roman" w:hAnsi="Times New Roman" w:cs="Times New Roman"/>
          <w:sz w:val="20"/>
          <w:szCs w:val="24"/>
        </w:rPr>
        <w:t>Troung</w:t>
      </w:r>
      <w:proofErr w:type="spellEnd"/>
      <w:r w:rsidRPr="00171788">
        <w:rPr>
          <w:rFonts w:ascii="Times New Roman" w:hAnsi="Times New Roman" w:cs="Times New Roman"/>
          <w:sz w:val="20"/>
          <w:szCs w:val="24"/>
        </w:rPr>
        <w:t xml:space="preserve"> A, </w:t>
      </w:r>
      <w:proofErr w:type="spellStart"/>
      <w:r w:rsidRPr="00171788">
        <w:rPr>
          <w:rFonts w:ascii="Times New Roman" w:hAnsi="Times New Roman" w:cs="Times New Roman"/>
          <w:sz w:val="20"/>
          <w:szCs w:val="24"/>
        </w:rPr>
        <w:t>Ammerhan</w:t>
      </w:r>
      <w:proofErr w:type="spellEnd"/>
      <w:r w:rsidRPr="00171788">
        <w:rPr>
          <w:rFonts w:ascii="Times New Roman" w:hAnsi="Times New Roman" w:cs="Times New Roman"/>
          <w:sz w:val="20"/>
          <w:szCs w:val="24"/>
        </w:rPr>
        <w:t xml:space="preserve"> WO, </w:t>
      </w:r>
      <w:proofErr w:type="spellStart"/>
      <w:r w:rsidRPr="00171788">
        <w:rPr>
          <w:rFonts w:ascii="Times New Roman" w:hAnsi="Times New Roman" w:cs="Times New Roman"/>
          <w:sz w:val="20"/>
          <w:szCs w:val="24"/>
        </w:rPr>
        <w:t>Ikusika</w:t>
      </w:r>
      <w:proofErr w:type="spellEnd"/>
      <w:r w:rsidRPr="00171788">
        <w:rPr>
          <w:rFonts w:ascii="Times New Roman" w:hAnsi="Times New Roman" w:cs="Times New Roman"/>
          <w:sz w:val="20"/>
          <w:szCs w:val="24"/>
        </w:rPr>
        <w:t xml:space="preserve"> W, </w:t>
      </w:r>
      <w:proofErr w:type="spellStart"/>
      <w:r w:rsidRPr="00171788">
        <w:rPr>
          <w:rFonts w:ascii="Times New Roman" w:hAnsi="Times New Roman" w:cs="Times New Roman"/>
          <w:sz w:val="20"/>
          <w:szCs w:val="24"/>
        </w:rPr>
        <w:t>Adu</w:t>
      </w:r>
      <w:proofErr w:type="spellEnd"/>
      <w:r w:rsidRPr="00171788">
        <w:rPr>
          <w:rFonts w:ascii="Times New Roman" w:hAnsi="Times New Roman" w:cs="Times New Roman"/>
          <w:sz w:val="20"/>
          <w:szCs w:val="24"/>
        </w:rPr>
        <w:t xml:space="preserve"> F (1999). Molecular epidemiology of Nigerian and Ghanaian measles virus isolates reveals a genotype circulating widely in western and central Africa. Journal of General Virology; 80(4):871-877.</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Style w:val="Hyperlink"/>
          <w:rFonts w:ascii="Times New Roman" w:hAnsi="Times New Roman" w:cs="Times New Roman"/>
          <w:color w:val="auto"/>
          <w:sz w:val="20"/>
          <w:szCs w:val="24"/>
          <w:u w:val="none"/>
        </w:rPr>
      </w:pPr>
      <w:r w:rsidRPr="00171788">
        <w:rPr>
          <w:rFonts w:ascii="Times New Roman" w:hAnsi="Times New Roman" w:cs="Times New Roman"/>
          <w:sz w:val="20"/>
          <w:szCs w:val="24"/>
        </w:rPr>
        <w:t xml:space="preserve">Nigeria/Africa </w:t>
      </w:r>
      <w:proofErr w:type="spellStart"/>
      <w:r w:rsidRPr="00171788">
        <w:rPr>
          <w:rFonts w:ascii="Times New Roman" w:hAnsi="Times New Roman" w:cs="Times New Roman"/>
          <w:sz w:val="20"/>
          <w:szCs w:val="24"/>
        </w:rPr>
        <w:t>Masterweb</w:t>
      </w:r>
      <w:proofErr w:type="spellEnd"/>
      <w:r w:rsidRPr="00171788">
        <w:rPr>
          <w:rFonts w:ascii="Times New Roman" w:hAnsi="Times New Roman" w:cs="Times New Roman"/>
          <w:sz w:val="20"/>
          <w:szCs w:val="24"/>
        </w:rPr>
        <w:t xml:space="preserve"> Special Feature (NMSF) Nigeria (2006) Census Figures. South Census Figures North Census Figures FCT and Total Census Figures. A</w:t>
      </w:r>
      <w:r w:rsidR="00745C0B" w:rsidRPr="00171788">
        <w:rPr>
          <w:rFonts w:ascii="Times New Roman" w:hAnsi="Times New Roman" w:cs="Times New Roman"/>
          <w:sz w:val="20"/>
          <w:szCs w:val="24"/>
        </w:rPr>
        <w:t>vailable at:</w:t>
      </w:r>
      <w:r w:rsidR="00E8688B">
        <w:rPr>
          <w:rFonts w:ascii="Times New Roman" w:hAnsi="Times New Roman" w:cs="Times New Roman" w:hint="eastAsia"/>
          <w:sz w:val="20"/>
          <w:szCs w:val="24"/>
          <w:lang w:eastAsia="zh-CN"/>
        </w:rPr>
        <w:t xml:space="preserve"> </w:t>
      </w:r>
      <w:r w:rsidR="00190102">
        <w:fldChar w:fldCharType="begin"/>
      </w:r>
      <w:r w:rsidR="00190102">
        <w:instrText>HYPERLINK "http://www.nigeriamasterweb.com/Nigeria2006CensusFigs.html"</w:instrText>
      </w:r>
      <w:r w:rsidR="00190102">
        <w:fldChar w:fldCharType="separate"/>
      </w:r>
      <w:r w:rsidRPr="00171788">
        <w:rPr>
          <w:rStyle w:val="Hyperlink"/>
          <w:rFonts w:ascii="Times New Roman" w:hAnsi="Times New Roman" w:cs="Times New Roman"/>
          <w:color w:val="auto"/>
          <w:sz w:val="20"/>
          <w:szCs w:val="24"/>
        </w:rPr>
        <w:t>www.nigeriamasterweb.com/Nigeria2006CensusFigs.html</w:t>
      </w:r>
      <w:r w:rsidR="00190102">
        <w:fldChar w:fldCharType="end"/>
      </w:r>
      <w:r w:rsidR="00E8688B">
        <w:rPr>
          <w:rFonts w:hint="eastAsia"/>
          <w:lang w:eastAsia="zh-CN"/>
        </w:rPr>
        <w:t>.</w:t>
      </w:r>
    </w:p>
    <w:p w:rsidR="007B21E5"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71788">
        <w:rPr>
          <w:rFonts w:ascii="Times New Roman" w:hAnsi="Times New Roman" w:cs="Times New Roman"/>
          <w:sz w:val="20"/>
          <w:szCs w:val="24"/>
        </w:rPr>
        <w:t xml:space="preserve">Health Protection Agency (2011). Press release 2011: Measles cases surpass 2010 total but MMR </w:t>
      </w:r>
      <w:r w:rsidRPr="00171788">
        <w:rPr>
          <w:rFonts w:ascii="Times New Roman" w:hAnsi="Times New Roman" w:cs="Times New Roman"/>
          <w:sz w:val="20"/>
          <w:szCs w:val="24"/>
        </w:rPr>
        <w:lastRenderedPageBreak/>
        <w:t>vaccine uptake reaches 90% for the first time in 13 years. London, UK: HPA; 201</w:t>
      </w:r>
      <w:r w:rsidR="007B21E5" w:rsidRPr="00171788">
        <w:rPr>
          <w:rFonts w:ascii="Times New Roman" w:hAnsi="Times New Roman" w:cs="Times New Roman"/>
          <w:sz w:val="20"/>
          <w:szCs w:val="24"/>
        </w:rPr>
        <w:t>1</w:t>
      </w:r>
      <w:r w:rsidR="007B21E5">
        <w:rPr>
          <w:rFonts w:ascii="Times New Roman" w:hAnsi="Times New Roman" w:cs="Times New Roman"/>
          <w:sz w:val="20"/>
          <w:szCs w:val="24"/>
        </w:rPr>
        <w:t>.</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71788">
        <w:rPr>
          <w:rFonts w:ascii="Times New Roman" w:hAnsi="Times New Roman" w:cs="Times New Roman"/>
          <w:sz w:val="20"/>
          <w:szCs w:val="24"/>
        </w:rPr>
        <w:t>World Health Organization (2006). Mortality country fact sheet on Nigeria.</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Grais</w:t>
      </w:r>
      <w:proofErr w:type="spellEnd"/>
      <w:r w:rsidRPr="00171788">
        <w:rPr>
          <w:rFonts w:ascii="Times New Roman" w:hAnsi="Times New Roman" w:cs="Times New Roman"/>
          <w:sz w:val="20"/>
          <w:szCs w:val="24"/>
        </w:rPr>
        <w:t xml:space="preserve">, R. F., </w:t>
      </w:r>
      <w:proofErr w:type="spellStart"/>
      <w:r w:rsidRPr="00171788">
        <w:rPr>
          <w:rFonts w:ascii="Times New Roman" w:hAnsi="Times New Roman" w:cs="Times New Roman"/>
          <w:sz w:val="20"/>
          <w:szCs w:val="24"/>
        </w:rPr>
        <w:t>Dubray</w:t>
      </w:r>
      <w:proofErr w:type="spellEnd"/>
      <w:r w:rsidRPr="00171788">
        <w:rPr>
          <w:rFonts w:ascii="Times New Roman" w:hAnsi="Times New Roman" w:cs="Times New Roman"/>
          <w:sz w:val="20"/>
          <w:szCs w:val="24"/>
        </w:rPr>
        <w:t xml:space="preserve">, C., </w:t>
      </w:r>
      <w:proofErr w:type="spellStart"/>
      <w:r w:rsidRPr="00171788">
        <w:rPr>
          <w:rFonts w:ascii="Times New Roman" w:hAnsi="Times New Roman" w:cs="Times New Roman"/>
          <w:sz w:val="20"/>
          <w:szCs w:val="24"/>
        </w:rPr>
        <w:t>Gerstl</w:t>
      </w:r>
      <w:proofErr w:type="spellEnd"/>
      <w:r w:rsidRPr="00171788">
        <w:rPr>
          <w:rFonts w:ascii="Times New Roman" w:hAnsi="Times New Roman" w:cs="Times New Roman"/>
          <w:sz w:val="20"/>
          <w:szCs w:val="24"/>
        </w:rPr>
        <w:t xml:space="preserve">, S., </w:t>
      </w:r>
      <w:proofErr w:type="spellStart"/>
      <w:r w:rsidRPr="00171788">
        <w:rPr>
          <w:rFonts w:ascii="Times New Roman" w:hAnsi="Times New Roman" w:cs="Times New Roman"/>
          <w:sz w:val="20"/>
          <w:szCs w:val="24"/>
        </w:rPr>
        <w:t>Guthmann</w:t>
      </w:r>
      <w:proofErr w:type="spellEnd"/>
      <w:r w:rsidRPr="00171788">
        <w:rPr>
          <w:rFonts w:ascii="Times New Roman" w:hAnsi="Times New Roman" w:cs="Times New Roman"/>
          <w:sz w:val="20"/>
          <w:szCs w:val="24"/>
        </w:rPr>
        <w:t xml:space="preserve">, J. P., </w:t>
      </w:r>
      <w:proofErr w:type="spellStart"/>
      <w:r w:rsidRPr="00171788">
        <w:rPr>
          <w:rFonts w:ascii="Times New Roman" w:hAnsi="Times New Roman" w:cs="Times New Roman"/>
          <w:sz w:val="20"/>
          <w:szCs w:val="24"/>
        </w:rPr>
        <w:t>Djibo</w:t>
      </w:r>
      <w:proofErr w:type="spellEnd"/>
      <w:r w:rsidRPr="00171788">
        <w:rPr>
          <w:rFonts w:ascii="Times New Roman" w:hAnsi="Times New Roman" w:cs="Times New Roman"/>
          <w:sz w:val="20"/>
          <w:szCs w:val="24"/>
        </w:rPr>
        <w:t xml:space="preserve">, A., </w:t>
      </w:r>
      <w:proofErr w:type="spellStart"/>
      <w:r w:rsidRPr="00171788">
        <w:rPr>
          <w:rFonts w:ascii="Times New Roman" w:hAnsi="Times New Roman" w:cs="Times New Roman"/>
          <w:sz w:val="20"/>
          <w:szCs w:val="24"/>
        </w:rPr>
        <w:t>Nargaye</w:t>
      </w:r>
      <w:proofErr w:type="spellEnd"/>
      <w:r w:rsidRPr="00171788">
        <w:rPr>
          <w:rFonts w:ascii="Times New Roman" w:hAnsi="Times New Roman" w:cs="Times New Roman"/>
          <w:sz w:val="20"/>
          <w:szCs w:val="24"/>
        </w:rPr>
        <w:t xml:space="preserve">, K. D., Coker, J., </w:t>
      </w:r>
      <w:proofErr w:type="spellStart"/>
      <w:r w:rsidRPr="00171788">
        <w:rPr>
          <w:rFonts w:ascii="Times New Roman" w:hAnsi="Times New Roman" w:cs="Times New Roman"/>
          <w:sz w:val="20"/>
          <w:szCs w:val="24"/>
        </w:rPr>
        <w:t>Alberti</w:t>
      </w:r>
      <w:proofErr w:type="spellEnd"/>
      <w:r w:rsidRPr="00171788">
        <w:rPr>
          <w:rFonts w:ascii="Times New Roman" w:hAnsi="Times New Roman" w:cs="Times New Roman"/>
          <w:sz w:val="20"/>
          <w:szCs w:val="24"/>
        </w:rPr>
        <w:t xml:space="preserve">, K. P., </w:t>
      </w:r>
      <w:proofErr w:type="spellStart"/>
      <w:r w:rsidRPr="00171788">
        <w:rPr>
          <w:rFonts w:ascii="Times New Roman" w:hAnsi="Times New Roman" w:cs="Times New Roman"/>
          <w:sz w:val="20"/>
          <w:szCs w:val="24"/>
        </w:rPr>
        <w:t>Cochet</w:t>
      </w:r>
      <w:proofErr w:type="spellEnd"/>
      <w:r w:rsidRPr="00171788">
        <w:rPr>
          <w:rFonts w:ascii="Times New Roman" w:hAnsi="Times New Roman" w:cs="Times New Roman"/>
          <w:sz w:val="20"/>
          <w:szCs w:val="24"/>
        </w:rPr>
        <w:t xml:space="preserve">, A., </w:t>
      </w:r>
      <w:proofErr w:type="spellStart"/>
      <w:r w:rsidRPr="00171788">
        <w:rPr>
          <w:rFonts w:ascii="Times New Roman" w:hAnsi="Times New Roman" w:cs="Times New Roman"/>
          <w:sz w:val="20"/>
          <w:szCs w:val="24"/>
        </w:rPr>
        <w:t>Ihekweazu</w:t>
      </w:r>
      <w:proofErr w:type="spellEnd"/>
      <w:r w:rsidRPr="00171788">
        <w:rPr>
          <w:rFonts w:ascii="Times New Roman" w:hAnsi="Times New Roman" w:cs="Times New Roman"/>
          <w:sz w:val="20"/>
          <w:szCs w:val="24"/>
        </w:rPr>
        <w:t xml:space="preserve">, C., Nathan, N., Payne, L., </w:t>
      </w:r>
      <w:proofErr w:type="spellStart"/>
      <w:r w:rsidRPr="00171788">
        <w:rPr>
          <w:rFonts w:ascii="Times New Roman" w:hAnsi="Times New Roman" w:cs="Times New Roman"/>
          <w:sz w:val="20"/>
          <w:szCs w:val="24"/>
        </w:rPr>
        <w:t>Porten</w:t>
      </w:r>
      <w:proofErr w:type="spellEnd"/>
      <w:r w:rsidRPr="00171788">
        <w:rPr>
          <w:rFonts w:ascii="Times New Roman" w:hAnsi="Times New Roman" w:cs="Times New Roman"/>
          <w:sz w:val="20"/>
          <w:szCs w:val="24"/>
        </w:rPr>
        <w:t xml:space="preserve">, K., </w:t>
      </w:r>
      <w:proofErr w:type="spellStart"/>
      <w:r w:rsidRPr="00171788">
        <w:rPr>
          <w:rFonts w:ascii="Times New Roman" w:hAnsi="Times New Roman" w:cs="Times New Roman"/>
          <w:sz w:val="20"/>
          <w:szCs w:val="24"/>
        </w:rPr>
        <w:t>Sauvageot</w:t>
      </w:r>
      <w:proofErr w:type="spellEnd"/>
      <w:r w:rsidRPr="00171788">
        <w:rPr>
          <w:rFonts w:ascii="Times New Roman" w:hAnsi="Times New Roman" w:cs="Times New Roman"/>
          <w:sz w:val="20"/>
          <w:szCs w:val="24"/>
        </w:rPr>
        <w:t xml:space="preserve">, D., </w:t>
      </w:r>
      <w:proofErr w:type="spellStart"/>
      <w:r w:rsidRPr="00171788">
        <w:rPr>
          <w:rFonts w:ascii="Times New Roman" w:hAnsi="Times New Roman" w:cs="Times New Roman"/>
          <w:sz w:val="20"/>
          <w:szCs w:val="24"/>
        </w:rPr>
        <w:t>Schimmer</w:t>
      </w:r>
      <w:proofErr w:type="spellEnd"/>
      <w:r w:rsidRPr="00171788">
        <w:rPr>
          <w:rFonts w:ascii="Times New Roman" w:hAnsi="Times New Roman" w:cs="Times New Roman"/>
          <w:sz w:val="20"/>
          <w:szCs w:val="24"/>
        </w:rPr>
        <w:t xml:space="preserve">, B., </w:t>
      </w:r>
      <w:proofErr w:type="spellStart"/>
      <w:r w:rsidRPr="00171788">
        <w:rPr>
          <w:rFonts w:ascii="Times New Roman" w:hAnsi="Times New Roman" w:cs="Times New Roman"/>
          <w:sz w:val="20"/>
          <w:szCs w:val="24"/>
        </w:rPr>
        <w:t>Fermon</w:t>
      </w:r>
      <w:proofErr w:type="spellEnd"/>
      <w:r w:rsidRPr="00171788">
        <w:rPr>
          <w:rFonts w:ascii="Times New Roman" w:hAnsi="Times New Roman" w:cs="Times New Roman"/>
          <w:sz w:val="20"/>
          <w:szCs w:val="24"/>
        </w:rPr>
        <w:t xml:space="preserve">, F., </w:t>
      </w:r>
      <w:proofErr w:type="spellStart"/>
      <w:r w:rsidRPr="00171788">
        <w:rPr>
          <w:rFonts w:ascii="Times New Roman" w:hAnsi="Times New Roman" w:cs="Times New Roman"/>
          <w:sz w:val="20"/>
          <w:szCs w:val="24"/>
        </w:rPr>
        <w:t>Burny</w:t>
      </w:r>
      <w:proofErr w:type="spellEnd"/>
      <w:r w:rsidRPr="00171788">
        <w:rPr>
          <w:rFonts w:ascii="Times New Roman" w:hAnsi="Times New Roman" w:cs="Times New Roman"/>
          <w:sz w:val="20"/>
          <w:szCs w:val="24"/>
        </w:rPr>
        <w:t xml:space="preserve">, M. E., </w:t>
      </w:r>
      <w:proofErr w:type="spellStart"/>
      <w:r w:rsidRPr="00171788">
        <w:rPr>
          <w:rFonts w:ascii="Times New Roman" w:hAnsi="Times New Roman" w:cs="Times New Roman"/>
          <w:sz w:val="20"/>
          <w:szCs w:val="24"/>
        </w:rPr>
        <w:t>Hersh</w:t>
      </w:r>
      <w:proofErr w:type="spellEnd"/>
      <w:r w:rsidRPr="00171788">
        <w:rPr>
          <w:rFonts w:ascii="Times New Roman" w:hAnsi="Times New Roman" w:cs="Times New Roman"/>
          <w:sz w:val="20"/>
          <w:szCs w:val="24"/>
        </w:rPr>
        <w:t>, B. S.</w:t>
      </w:r>
      <w:r w:rsidR="009F52A6" w:rsidRPr="00171788">
        <w:rPr>
          <w:rFonts w:ascii="Times New Roman" w:hAnsi="Times New Roman" w:cs="Times New Roman"/>
          <w:sz w:val="20"/>
          <w:szCs w:val="24"/>
        </w:rPr>
        <w:t xml:space="preserve"> &amp; </w:t>
      </w:r>
      <w:r w:rsidRPr="00171788">
        <w:rPr>
          <w:rFonts w:ascii="Times New Roman" w:hAnsi="Times New Roman" w:cs="Times New Roman"/>
          <w:sz w:val="20"/>
          <w:szCs w:val="24"/>
        </w:rPr>
        <w:t xml:space="preserve">Guerin, P. J. (2007). Unacceptably high mortality related to measles epidemics in Niger, Nigeria, and Chad. </w:t>
      </w:r>
      <w:proofErr w:type="spellStart"/>
      <w:r w:rsidRPr="00171788">
        <w:rPr>
          <w:rFonts w:ascii="Times New Roman" w:hAnsi="Times New Roman" w:cs="Times New Roman"/>
          <w:i/>
          <w:iCs/>
          <w:sz w:val="20"/>
          <w:szCs w:val="24"/>
        </w:rPr>
        <w:t>PLoS</w:t>
      </w:r>
      <w:proofErr w:type="spellEnd"/>
      <w:r w:rsidRPr="00171788">
        <w:rPr>
          <w:rFonts w:ascii="Times New Roman" w:hAnsi="Times New Roman" w:cs="Times New Roman"/>
          <w:i/>
          <w:iCs/>
          <w:sz w:val="20"/>
          <w:szCs w:val="24"/>
        </w:rPr>
        <w:t xml:space="preserve"> medicine </w:t>
      </w:r>
      <w:r w:rsidRPr="00171788">
        <w:rPr>
          <w:rFonts w:ascii="Times New Roman" w:hAnsi="Times New Roman" w:cs="Times New Roman"/>
          <w:sz w:val="20"/>
          <w:szCs w:val="24"/>
        </w:rPr>
        <w:t>4, e16.</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Gagneur</w:t>
      </w:r>
      <w:proofErr w:type="spellEnd"/>
      <w:r w:rsidRPr="00171788">
        <w:rPr>
          <w:rFonts w:ascii="Times New Roman" w:hAnsi="Times New Roman" w:cs="Times New Roman"/>
          <w:sz w:val="20"/>
          <w:szCs w:val="24"/>
        </w:rPr>
        <w:t xml:space="preserve"> A, </w:t>
      </w:r>
      <w:proofErr w:type="spellStart"/>
      <w:r w:rsidRPr="00171788">
        <w:rPr>
          <w:rFonts w:ascii="Times New Roman" w:hAnsi="Times New Roman" w:cs="Times New Roman"/>
          <w:sz w:val="20"/>
          <w:szCs w:val="24"/>
        </w:rPr>
        <w:t>Pinquier</w:t>
      </w:r>
      <w:proofErr w:type="spellEnd"/>
      <w:r w:rsidRPr="00171788">
        <w:rPr>
          <w:rFonts w:ascii="Times New Roman" w:hAnsi="Times New Roman" w:cs="Times New Roman"/>
          <w:sz w:val="20"/>
          <w:szCs w:val="24"/>
        </w:rPr>
        <w:t xml:space="preserve"> D, </w:t>
      </w:r>
      <w:proofErr w:type="spellStart"/>
      <w:r w:rsidRPr="00171788">
        <w:rPr>
          <w:rFonts w:ascii="Times New Roman" w:hAnsi="Times New Roman" w:cs="Times New Roman"/>
          <w:sz w:val="20"/>
          <w:szCs w:val="24"/>
        </w:rPr>
        <w:t>Aubert</w:t>
      </w:r>
      <w:proofErr w:type="spellEnd"/>
      <w:r w:rsidRPr="00171788">
        <w:rPr>
          <w:rFonts w:ascii="Times New Roman" w:hAnsi="Times New Roman" w:cs="Times New Roman"/>
          <w:sz w:val="20"/>
          <w:szCs w:val="24"/>
        </w:rPr>
        <w:t xml:space="preserve"> M, </w:t>
      </w:r>
      <w:proofErr w:type="spellStart"/>
      <w:r w:rsidRPr="00171788">
        <w:rPr>
          <w:rFonts w:ascii="Times New Roman" w:hAnsi="Times New Roman" w:cs="Times New Roman"/>
          <w:sz w:val="20"/>
          <w:szCs w:val="24"/>
        </w:rPr>
        <w:t>Balu</w:t>
      </w:r>
      <w:proofErr w:type="spellEnd"/>
      <w:r w:rsidRPr="00171788">
        <w:rPr>
          <w:rFonts w:ascii="Times New Roman" w:hAnsi="Times New Roman" w:cs="Times New Roman"/>
          <w:sz w:val="20"/>
          <w:szCs w:val="24"/>
        </w:rPr>
        <w:t xml:space="preserve"> L, </w:t>
      </w:r>
      <w:proofErr w:type="spellStart"/>
      <w:r w:rsidRPr="00171788">
        <w:rPr>
          <w:rFonts w:ascii="Times New Roman" w:hAnsi="Times New Roman" w:cs="Times New Roman"/>
          <w:sz w:val="20"/>
          <w:szCs w:val="24"/>
        </w:rPr>
        <w:t>Brissaud</w:t>
      </w:r>
      <w:proofErr w:type="spellEnd"/>
      <w:r w:rsidRPr="00171788">
        <w:rPr>
          <w:rFonts w:ascii="Times New Roman" w:hAnsi="Times New Roman" w:cs="Times New Roman"/>
          <w:sz w:val="20"/>
          <w:szCs w:val="24"/>
        </w:rPr>
        <w:t xml:space="preserve"> O, De </w:t>
      </w:r>
      <w:proofErr w:type="spellStart"/>
      <w:r w:rsidRPr="00171788">
        <w:rPr>
          <w:rFonts w:ascii="Times New Roman" w:hAnsi="Times New Roman" w:cs="Times New Roman"/>
          <w:sz w:val="20"/>
          <w:szCs w:val="24"/>
        </w:rPr>
        <w:t>Pontual</w:t>
      </w:r>
      <w:proofErr w:type="spellEnd"/>
      <w:r w:rsidRPr="00171788">
        <w:rPr>
          <w:rFonts w:ascii="Times New Roman" w:hAnsi="Times New Roman" w:cs="Times New Roman"/>
          <w:sz w:val="20"/>
          <w:szCs w:val="24"/>
        </w:rPr>
        <w:t xml:space="preserve"> L, Gras Le </w:t>
      </w:r>
      <w:proofErr w:type="spellStart"/>
      <w:r w:rsidRPr="00171788">
        <w:rPr>
          <w:rFonts w:ascii="Times New Roman" w:hAnsi="Times New Roman" w:cs="Times New Roman"/>
          <w:sz w:val="20"/>
          <w:szCs w:val="24"/>
        </w:rPr>
        <w:t>Guen</w:t>
      </w:r>
      <w:proofErr w:type="spellEnd"/>
      <w:r w:rsidRPr="00171788">
        <w:rPr>
          <w:rFonts w:ascii="Times New Roman" w:hAnsi="Times New Roman" w:cs="Times New Roman"/>
          <w:sz w:val="20"/>
          <w:szCs w:val="24"/>
        </w:rPr>
        <w:t xml:space="preserve"> C, </w:t>
      </w:r>
      <w:proofErr w:type="spellStart"/>
      <w:r w:rsidRPr="00171788">
        <w:rPr>
          <w:rFonts w:ascii="Times New Roman" w:hAnsi="Times New Roman" w:cs="Times New Roman"/>
          <w:sz w:val="20"/>
          <w:szCs w:val="24"/>
        </w:rPr>
        <w:t>Hau-Rainsard</w:t>
      </w:r>
      <w:proofErr w:type="spellEnd"/>
      <w:r w:rsidRPr="00171788">
        <w:rPr>
          <w:rFonts w:ascii="Times New Roman" w:hAnsi="Times New Roman" w:cs="Times New Roman"/>
          <w:sz w:val="20"/>
          <w:szCs w:val="24"/>
        </w:rPr>
        <w:t xml:space="preserve"> I, </w:t>
      </w:r>
      <w:proofErr w:type="spellStart"/>
      <w:r w:rsidRPr="00171788">
        <w:rPr>
          <w:rFonts w:ascii="Times New Roman" w:hAnsi="Times New Roman" w:cs="Times New Roman"/>
          <w:sz w:val="20"/>
          <w:szCs w:val="24"/>
        </w:rPr>
        <w:t>Mory</w:t>
      </w:r>
      <w:proofErr w:type="spellEnd"/>
      <w:r w:rsidRPr="00171788">
        <w:rPr>
          <w:rFonts w:ascii="Times New Roman" w:hAnsi="Times New Roman" w:cs="Times New Roman"/>
          <w:sz w:val="20"/>
          <w:szCs w:val="24"/>
        </w:rPr>
        <w:t xml:space="preserve"> O, </w:t>
      </w:r>
      <w:proofErr w:type="spellStart"/>
      <w:r w:rsidRPr="00171788">
        <w:rPr>
          <w:rFonts w:ascii="Times New Roman" w:hAnsi="Times New Roman" w:cs="Times New Roman"/>
          <w:sz w:val="20"/>
          <w:szCs w:val="24"/>
        </w:rPr>
        <w:t>Picherot</w:t>
      </w:r>
      <w:proofErr w:type="spellEnd"/>
      <w:r w:rsidRPr="00171788">
        <w:rPr>
          <w:rFonts w:ascii="Times New Roman" w:hAnsi="Times New Roman" w:cs="Times New Roman"/>
          <w:sz w:val="20"/>
          <w:szCs w:val="24"/>
        </w:rPr>
        <w:t xml:space="preserve"> G, Stephan JL, Cohen B, </w:t>
      </w:r>
      <w:proofErr w:type="spellStart"/>
      <w:r w:rsidRPr="00171788">
        <w:rPr>
          <w:rFonts w:ascii="Times New Roman" w:hAnsi="Times New Roman" w:cs="Times New Roman"/>
          <w:sz w:val="20"/>
          <w:szCs w:val="24"/>
        </w:rPr>
        <w:t>Caulin</w:t>
      </w:r>
      <w:proofErr w:type="spellEnd"/>
      <w:r w:rsidRPr="00171788">
        <w:rPr>
          <w:rFonts w:ascii="Times New Roman" w:hAnsi="Times New Roman" w:cs="Times New Roman"/>
          <w:sz w:val="20"/>
          <w:szCs w:val="24"/>
        </w:rPr>
        <w:t xml:space="preserve"> E, </w:t>
      </w:r>
      <w:proofErr w:type="spellStart"/>
      <w:r w:rsidRPr="00171788">
        <w:rPr>
          <w:rFonts w:ascii="Times New Roman" w:hAnsi="Times New Roman" w:cs="Times New Roman"/>
          <w:sz w:val="20"/>
          <w:szCs w:val="24"/>
        </w:rPr>
        <w:t>Soubeyrand</w:t>
      </w:r>
      <w:proofErr w:type="spellEnd"/>
      <w:r w:rsidRPr="00171788">
        <w:rPr>
          <w:rFonts w:ascii="Times New Roman" w:hAnsi="Times New Roman" w:cs="Times New Roman"/>
          <w:sz w:val="20"/>
          <w:szCs w:val="24"/>
        </w:rPr>
        <w:t xml:space="preserve"> B, </w:t>
      </w:r>
      <w:proofErr w:type="spellStart"/>
      <w:r w:rsidRPr="00171788">
        <w:rPr>
          <w:rFonts w:ascii="Times New Roman" w:hAnsi="Times New Roman" w:cs="Times New Roman"/>
          <w:sz w:val="20"/>
          <w:szCs w:val="24"/>
        </w:rPr>
        <w:t>Reinert</w:t>
      </w:r>
      <w:proofErr w:type="spellEnd"/>
      <w:r w:rsidRPr="00171788">
        <w:rPr>
          <w:rFonts w:ascii="Times New Roman" w:hAnsi="Times New Roman" w:cs="Times New Roman"/>
          <w:sz w:val="20"/>
          <w:szCs w:val="24"/>
        </w:rPr>
        <w:t xml:space="preserve"> P (2008). Kinetics of decline of maternal measles virus-neutralizing antibodies in sera of infants in France in 2006. </w:t>
      </w:r>
      <w:r w:rsidRPr="00171788">
        <w:rPr>
          <w:rFonts w:ascii="Times New Roman" w:hAnsi="Times New Roman" w:cs="Times New Roman"/>
          <w:i/>
          <w:sz w:val="20"/>
          <w:szCs w:val="24"/>
        </w:rPr>
        <w:t>Clinical vaccine Immunology</w:t>
      </w:r>
      <w:r w:rsidRPr="00171788">
        <w:rPr>
          <w:rFonts w:ascii="Times New Roman" w:hAnsi="Times New Roman" w:cs="Times New Roman"/>
          <w:sz w:val="20"/>
          <w:szCs w:val="24"/>
        </w:rPr>
        <w:t>. 15(12):1845-1850.</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Aaby</w:t>
      </w:r>
      <w:proofErr w:type="spellEnd"/>
      <w:r w:rsidRPr="00171788">
        <w:rPr>
          <w:rFonts w:ascii="Times New Roman" w:hAnsi="Times New Roman" w:cs="Times New Roman"/>
          <w:sz w:val="20"/>
          <w:szCs w:val="24"/>
        </w:rPr>
        <w:t xml:space="preserve">, P., </w:t>
      </w:r>
      <w:proofErr w:type="spellStart"/>
      <w:r w:rsidRPr="00171788">
        <w:rPr>
          <w:rFonts w:ascii="Times New Roman" w:hAnsi="Times New Roman" w:cs="Times New Roman"/>
          <w:sz w:val="20"/>
          <w:szCs w:val="24"/>
        </w:rPr>
        <w:t>Bukh</w:t>
      </w:r>
      <w:proofErr w:type="spellEnd"/>
      <w:r w:rsidRPr="00171788">
        <w:rPr>
          <w:rFonts w:ascii="Times New Roman" w:hAnsi="Times New Roman" w:cs="Times New Roman"/>
          <w:sz w:val="20"/>
          <w:szCs w:val="24"/>
        </w:rPr>
        <w:t xml:space="preserve">, J and </w:t>
      </w:r>
      <w:proofErr w:type="spellStart"/>
      <w:r w:rsidRPr="00171788">
        <w:rPr>
          <w:rFonts w:ascii="Times New Roman" w:hAnsi="Times New Roman" w:cs="Times New Roman"/>
          <w:sz w:val="20"/>
          <w:szCs w:val="24"/>
        </w:rPr>
        <w:t>Leerhoy</w:t>
      </w:r>
      <w:proofErr w:type="spellEnd"/>
      <w:r w:rsidRPr="00171788">
        <w:rPr>
          <w:rFonts w:ascii="Times New Roman" w:hAnsi="Times New Roman" w:cs="Times New Roman"/>
          <w:sz w:val="20"/>
          <w:szCs w:val="24"/>
        </w:rPr>
        <w:t xml:space="preserve">, J, (1986). Vaccinated Children get Milder Measles Infection: a Community Study from Guinea-Bissau. </w:t>
      </w:r>
      <w:r w:rsidRPr="00171788">
        <w:rPr>
          <w:rFonts w:ascii="Times New Roman" w:hAnsi="Times New Roman" w:cs="Times New Roman"/>
          <w:i/>
          <w:sz w:val="20"/>
          <w:szCs w:val="24"/>
        </w:rPr>
        <w:t xml:space="preserve">Journal of Infectious Diseases. </w:t>
      </w:r>
      <w:r w:rsidRPr="00171788">
        <w:rPr>
          <w:rFonts w:ascii="Times New Roman" w:hAnsi="Times New Roman" w:cs="Times New Roman"/>
          <w:sz w:val="20"/>
          <w:szCs w:val="24"/>
        </w:rPr>
        <w:t>154:858–863.</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71788">
        <w:rPr>
          <w:rFonts w:ascii="Times New Roman" w:hAnsi="Times New Roman" w:cs="Times New Roman"/>
          <w:sz w:val="20"/>
          <w:szCs w:val="24"/>
        </w:rPr>
        <w:t>World Health Organization (WHO). Measles F</w:t>
      </w:r>
      <w:r w:rsidR="00745C0B" w:rsidRPr="00171788">
        <w:rPr>
          <w:rFonts w:ascii="Times New Roman" w:hAnsi="Times New Roman" w:cs="Times New Roman"/>
          <w:sz w:val="20"/>
          <w:szCs w:val="24"/>
        </w:rPr>
        <w:t>act sheet N°286 2015. Available</w:t>
      </w:r>
      <w:r w:rsidRPr="00171788">
        <w:rPr>
          <w:rFonts w:ascii="Times New Roman" w:hAnsi="Times New Roman" w:cs="Times New Roman"/>
          <w:sz w:val="20"/>
          <w:szCs w:val="24"/>
        </w:rPr>
        <w:t xml:space="preserve">athttp://www.who.int/mediacentre/factsheets/fs286/en. </w:t>
      </w:r>
    </w:p>
    <w:p w:rsidR="007B21E5"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71788">
        <w:rPr>
          <w:rFonts w:ascii="Times New Roman" w:hAnsi="Times New Roman" w:cs="Times New Roman"/>
          <w:sz w:val="20"/>
          <w:szCs w:val="24"/>
        </w:rPr>
        <w:t>World Health</w:t>
      </w:r>
      <w:r w:rsidR="00745C0B" w:rsidRPr="00171788">
        <w:rPr>
          <w:rFonts w:ascii="Times New Roman" w:hAnsi="Times New Roman" w:cs="Times New Roman"/>
          <w:sz w:val="20"/>
          <w:szCs w:val="24"/>
        </w:rPr>
        <w:t xml:space="preserve"> Organization. Measles vaccines </w:t>
      </w:r>
      <w:r w:rsidRPr="00171788">
        <w:rPr>
          <w:rFonts w:ascii="Times New Roman" w:hAnsi="Times New Roman" w:cs="Times New Roman"/>
          <w:sz w:val="20"/>
          <w:szCs w:val="24"/>
        </w:rPr>
        <w:t>(2004). W</w:t>
      </w:r>
      <w:r w:rsidR="00745C0B" w:rsidRPr="00171788">
        <w:rPr>
          <w:rFonts w:ascii="Times New Roman" w:hAnsi="Times New Roman" w:cs="Times New Roman"/>
          <w:sz w:val="20"/>
          <w:szCs w:val="24"/>
        </w:rPr>
        <w:t xml:space="preserve">eekly Epidemiological </w:t>
      </w:r>
      <w:r w:rsidRPr="00171788">
        <w:rPr>
          <w:rFonts w:ascii="Times New Roman" w:hAnsi="Times New Roman" w:cs="Times New Roman"/>
          <w:sz w:val="20"/>
          <w:szCs w:val="24"/>
        </w:rPr>
        <w:t>Records;79</w:t>
      </w:r>
      <w:r w:rsidR="00745C0B" w:rsidRPr="00171788">
        <w:rPr>
          <w:rFonts w:ascii="Times New Roman" w:hAnsi="Times New Roman" w:cs="Times New Roman"/>
          <w:sz w:val="20"/>
          <w:szCs w:val="24"/>
        </w:rPr>
        <w:t>:130-</w:t>
      </w:r>
      <w:r w:rsidRPr="00171788">
        <w:rPr>
          <w:rFonts w:ascii="Times New Roman" w:hAnsi="Times New Roman" w:cs="Times New Roman"/>
          <w:sz w:val="20"/>
          <w:szCs w:val="24"/>
        </w:rPr>
        <w:t>14</w:t>
      </w:r>
      <w:r w:rsidR="007B21E5" w:rsidRPr="00171788">
        <w:rPr>
          <w:rFonts w:ascii="Times New Roman" w:hAnsi="Times New Roman" w:cs="Times New Roman"/>
          <w:sz w:val="20"/>
          <w:szCs w:val="24"/>
        </w:rPr>
        <w:t>2</w:t>
      </w:r>
      <w:r w:rsidR="007B21E5">
        <w:rPr>
          <w:rFonts w:ascii="Times New Roman" w:hAnsi="Times New Roman" w:cs="Times New Roman"/>
          <w:sz w:val="20"/>
          <w:szCs w:val="24"/>
        </w:rPr>
        <w:t>.</w:t>
      </w:r>
    </w:p>
    <w:p w:rsidR="007B21E5"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71788">
        <w:rPr>
          <w:rFonts w:ascii="Times New Roman" w:hAnsi="Times New Roman" w:cs="Times New Roman"/>
          <w:sz w:val="20"/>
          <w:szCs w:val="24"/>
        </w:rPr>
        <w:t>World Health Organ</w:t>
      </w:r>
      <w:r w:rsidR="00745C0B" w:rsidRPr="00171788">
        <w:rPr>
          <w:rFonts w:ascii="Times New Roman" w:hAnsi="Times New Roman" w:cs="Times New Roman"/>
          <w:sz w:val="20"/>
          <w:szCs w:val="24"/>
        </w:rPr>
        <w:t xml:space="preserve">ization (1999). Guidelines for epidemic </w:t>
      </w:r>
      <w:r w:rsidRPr="00171788">
        <w:rPr>
          <w:rFonts w:ascii="Times New Roman" w:hAnsi="Times New Roman" w:cs="Times New Roman"/>
          <w:sz w:val="20"/>
          <w:szCs w:val="24"/>
        </w:rPr>
        <w:t>preparedness and response to measles outbreaks. Geneva:</w:t>
      </w:r>
      <w:r w:rsidR="007B21E5" w:rsidRPr="00171788">
        <w:rPr>
          <w:rFonts w:ascii="Times New Roman" w:hAnsi="Times New Roman" w:cs="Times New Roman"/>
          <w:sz w:val="20"/>
          <w:szCs w:val="24"/>
        </w:rPr>
        <w:t xml:space="preserve"> </w:t>
      </w:r>
      <w:r w:rsidR="007B21E5">
        <w:rPr>
          <w:rFonts w:ascii="Times New Roman" w:hAnsi="Times New Roman" w:cs="Times New Roman"/>
          <w:sz w:val="20"/>
          <w:szCs w:val="24"/>
        </w:rPr>
        <w:t>.</w:t>
      </w:r>
    </w:p>
    <w:p w:rsidR="007B21E5"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Goitem</w:t>
      </w:r>
      <w:proofErr w:type="spellEnd"/>
      <w:r w:rsidRPr="00171788">
        <w:rPr>
          <w:rFonts w:ascii="Times New Roman" w:hAnsi="Times New Roman" w:cs="Times New Roman"/>
          <w:sz w:val="20"/>
          <w:szCs w:val="24"/>
        </w:rPr>
        <w:t xml:space="preserve"> GW, </w:t>
      </w:r>
      <w:proofErr w:type="spellStart"/>
      <w:r w:rsidRPr="00171788">
        <w:rPr>
          <w:rFonts w:ascii="Times New Roman" w:hAnsi="Times New Roman" w:cs="Times New Roman"/>
          <w:sz w:val="20"/>
          <w:szCs w:val="24"/>
        </w:rPr>
        <w:t>Gasasira</w:t>
      </w:r>
      <w:proofErr w:type="spellEnd"/>
      <w:r w:rsidRPr="00171788">
        <w:rPr>
          <w:rFonts w:ascii="Times New Roman" w:hAnsi="Times New Roman" w:cs="Times New Roman"/>
          <w:sz w:val="20"/>
          <w:szCs w:val="24"/>
        </w:rPr>
        <w:t xml:space="preserve"> A, Harvey P, </w:t>
      </w:r>
      <w:proofErr w:type="spellStart"/>
      <w:r w:rsidRPr="00171788">
        <w:rPr>
          <w:rFonts w:ascii="Times New Roman" w:hAnsi="Times New Roman" w:cs="Times New Roman"/>
          <w:sz w:val="20"/>
          <w:szCs w:val="24"/>
        </w:rPr>
        <w:t>Masresha</w:t>
      </w:r>
      <w:proofErr w:type="spellEnd"/>
      <w:r w:rsidRPr="00171788">
        <w:rPr>
          <w:rFonts w:ascii="Times New Roman" w:hAnsi="Times New Roman" w:cs="Times New Roman"/>
          <w:sz w:val="20"/>
          <w:szCs w:val="24"/>
        </w:rPr>
        <w:t xml:space="preserve"> B, Goodson JL, Pate MA, </w:t>
      </w:r>
      <w:proofErr w:type="spellStart"/>
      <w:r w:rsidRPr="00171788">
        <w:rPr>
          <w:rFonts w:ascii="Times New Roman" w:hAnsi="Times New Roman" w:cs="Times New Roman"/>
          <w:sz w:val="20"/>
          <w:szCs w:val="24"/>
        </w:rPr>
        <w:t>Abanida</w:t>
      </w:r>
      <w:proofErr w:type="spellEnd"/>
      <w:r w:rsidRPr="00171788">
        <w:rPr>
          <w:rFonts w:ascii="Times New Roman" w:hAnsi="Times New Roman" w:cs="Times New Roman"/>
          <w:sz w:val="20"/>
          <w:szCs w:val="24"/>
        </w:rPr>
        <w:t xml:space="preserve"> E, </w:t>
      </w:r>
      <w:proofErr w:type="spellStart"/>
      <w:r w:rsidRPr="00171788">
        <w:rPr>
          <w:rFonts w:ascii="Times New Roman" w:hAnsi="Times New Roman" w:cs="Times New Roman"/>
          <w:sz w:val="20"/>
          <w:szCs w:val="24"/>
        </w:rPr>
        <w:t>Chevez</w:t>
      </w:r>
      <w:proofErr w:type="spellEnd"/>
      <w:r w:rsidRPr="00171788">
        <w:rPr>
          <w:rFonts w:ascii="Times New Roman" w:hAnsi="Times New Roman" w:cs="Times New Roman"/>
          <w:sz w:val="20"/>
          <w:szCs w:val="24"/>
        </w:rPr>
        <w:t xml:space="preserve"> A (2011). Measles resurgence following a nationwide measles vaccination campaign in Nigeria 2005-2008. </w:t>
      </w:r>
      <w:r w:rsidRPr="00171788">
        <w:rPr>
          <w:rFonts w:ascii="Times New Roman" w:hAnsi="Times New Roman" w:cs="Times New Roman"/>
          <w:i/>
          <w:sz w:val="20"/>
          <w:szCs w:val="24"/>
        </w:rPr>
        <w:t xml:space="preserve">Journal of Infectious </w:t>
      </w:r>
      <w:proofErr w:type="spellStart"/>
      <w:r w:rsidRPr="00171788">
        <w:rPr>
          <w:rFonts w:ascii="Times New Roman" w:hAnsi="Times New Roman" w:cs="Times New Roman"/>
          <w:i/>
          <w:sz w:val="20"/>
          <w:szCs w:val="24"/>
        </w:rPr>
        <w:t>Disiseases</w:t>
      </w:r>
      <w:proofErr w:type="spellEnd"/>
      <w:r w:rsidRPr="00171788">
        <w:rPr>
          <w:rFonts w:ascii="Times New Roman" w:hAnsi="Times New Roman" w:cs="Times New Roman"/>
          <w:i/>
          <w:sz w:val="20"/>
          <w:szCs w:val="24"/>
        </w:rPr>
        <w:t xml:space="preserve">; </w:t>
      </w:r>
      <w:r w:rsidRPr="00171788">
        <w:rPr>
          <w:rFonts w:ascii="Times New Roman" w:hAnsi="Times New Roman" w:cs="Times New Roman"/>
          <w:sz w:val="20"/>
          <w:szCs w:val="24"/>
        </w:rPr>
        <w:t>204:226-23</w:t>
      </w:r>
      <w:r w:rsidR="007B21E5" w:rsidRPr="00171788">
        <w:rPr>
          <w:rFonts w:ascii="Times New Roman" w:hAnsi="Times New Roman" w:cs="Times New Roman"/>
          <w:sz w:val="20"/>
          <w:szCs w:val="24"/>
        </w:rPr>
        <w:t>1</w:t>
      </w:r>
      <w:r w:rsidR="007B21E5">
        <w:rPr>
          <w:rFonts w:ascii="Times New Roman" w:hAnsi="Times New Roman" w:cs="Times New Roman"/>
          <w:sz w:val="20"/>
          <w:szCs w:val="24"/>
        </w:rPr>
        <w:t>.</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Okonko</w:t>
      </w:r>
      <w:proofErr w:type="spellEnd"/>
      <w:r w:rsidRPr="00171788">
        <w:rPr>
          <w:rFonts w:ascii="Times New Roman" w:hAnsi="Times New Roman" w:cs="Times New Roman"/>
          <w:sz w:val="20"/>
          <w:szCs w:val="24"/>
        </w:rPr>
        <w:t xml:space="preserve"> </w:t>
      </w:r>
      <w:proofErr w:type="spellStart"/>
      <w:r w:rsidRPr="00171788">
        <w:rPr>
          <w:rFonts w:ascii="Times New Roman" w:hAnsi="Times New Roman" w:cs="Times New Roman"/>
          <w:sz w:val="20"/>
          <w:szCs w:val="24"/>
        </w:rPr>
        <w:t>Iheanyi</w:t>
      </w:r>
      <w:proofErr w:type="spellEnd"/>
      <w:r w:rsidRPr="00171788">
        <w:rPr>
          <w:rFonts w:ascii="Times New Roman" w:hAnsi="Times New Roman" w:cs="Times New Roman"/>
          <w:sz w:val="20"/>
          <w:szCs w:val="24"/>
        </w:rPr>
        <w:t xml:space="preserve"> </w:t>
      </w:r>
      <w:proofErr w:type="spellStart"/>
      <w:r w:rsidRPr="00171788">
        <w:rPr>
          <w:rFonts w:ascii="Times New Roman" w:hAnsi="Times New Roman" w:cs="Times New Roman"/>
          <w:sz w:val="20"/>
          <w:szCs w:val="24"/>
        </w:rPr>
        <w:t>Omezuruike</w:t>
      </w:r>
      <w:proofErr w:type="spellEnd"/>
      <w:r w:rsidRPr="00171788">
        <w:rPr>
          <w:rFonts w:ascii="Times New Roman" w:hAnsi="Times New Roman" w:cs="Times New Roman"/>
          <w:sz w:val="20"/>
          <w:szCs w:val="24"/>
        </w:rPr>
        <w:t xml:space="preserve">, Jim George </w:t>
      </w:r>
      <w:proofErr w:type="spellStart"/>
      <w:r w:rsidRPr="00171788">
        <w:rPr>
          <w:rFonts w:ascii="Times New Roman" w:hAnsi="Times New Roman" w:cs="Times New Roman"/>
          <w:sz w:val="20"/>
          <w:szCs w:val="24"/>
        </w:rPr>
        <w:t>Onari</w:t>
      </w:r>
      <w:proofErr w:type="spellEnd"/>
      <w:r w:rsidRPr="00171788">
        <w:rPr>
          <w:rFonts w:ascii="Times New Roman" w:hAnsi="Times New Roman" w:cs="Times New Roman"/>
          <w:sz w:val="20"/>
          <w:szCs w:val="24"/>
        </w:rPr>
        <w:t xml:space="preserve">. (2017). Anti-Measles Virus (MV) </w:t>
      </w:r>
      <w:proofErr w:type="spellStart"/>
      <w:r w:rsidRPr="00171788">
        <w:rPr>
          <w:rFonts w:ascii="Times New Roman" w:hAnsi="Times New Roman" w:cs="Times New Roman"/>
          <w:sz w:val="20"/>
          <w:szCs w:val="24"/>
        </w:rPr>
        <w:t>IgM</w:t>
      </w:r>
      <w:proofErr w:type="spellEnd"/>
      <w:r w:rsidRPr="00171788">
        <w:rPr>
          <w:rFonts w:ascii="Times New Roman" w:hAnsi="Times New Roman" w:cs="Times New Roman"/>
          <w:sz w:val="20"/>
          <w:szCs w:val="24"/>
        </w:rPr>
        <w:t xml:space="preserve"> Antibodies in Unvaccinated Children Population in </w:t>
      </w:r>
      <w:proofErr w:type="spellStart"/>
      <w:r w:rsidRPr="00171788">
        <w:rPr>
          <w:rFonts w:ascii="Times New Roman" w:hAnsi="Times New Roman" w:cs="Times New Roman"/>
          <w:sz w:val="20"/>
          <w:szCs w:val="24"/>
        </w:rPr>
        <w:t>Emohua</w:t>
      </w:r>
      <w:proofErr w:type="spellEnd"/>
      <w:r w:rsidRPr="00171788">
        <w:rPr>
          <w:rFonts w:ascii="Times New Roman" w:hAnsi="Times New Roman" w:cs="Times New Roman"/>
          <w:sz w:val="20"/>
          <w:szCs w:val="24"/>
        </w:rPr>
        <w:t>, Rivers State, Nigeria. Journal of Health Science, 7(1): 1-6.</w:t>
      </w:r>
    </w:p>
    <w:p w:rsidR="007B21E5"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Chukwu</w:t>
      </w:r>
      <w:proofErr w:type="spellEnd"/>
      <w:r w:rsidRPr="00171788">
        <w:rPr>
          <w:rFonts w:ascii="Times New Roman" w:hAnsi="Times New Roman" w:cs="Times New Roman"/>
          <w:sz w:val="20"/>
          <w:szCs w:val="24"/>
        </w:rPr>
        <w:t xml:space="preserve"> O, </w:t>
      </w:r>
      <w:proofErr w:type="spellStart"/>
      <w:r w:rsidRPr="00171788">
        <w:rPr>
          <w:rFonts w:ascii="Times New Roman" w:hAnsi="Times New Roman" w:cs="Times New Roman"/>
          <w:sz w:val="20"/>
          <w:szCs w:val="24"/>
        </w:rPr>
        <w:t>Esiekpe</w:t>
      </w:r>
      <w:proofErr w:type="spellEnd"/>
      <w:r w:rsidRPr="00171788">
        <w:rPr>
          <w:rFonts w:ascii="Times New Roman" w:hAnsi="Times New Roman" w:cs="Times New Roman"/>
          <w:sz w:val="20"/>
          <w:szCs w:val="24"/>
        </w:rPr>
        <w:t xml:space="preserve"> M, </w:t>
      </w:r>
      <w:proofErr w:type="spellStart"/>
      <w:r w:rsidRPr="00171788">
        <w:rPr>
          <w:rFonts w:ascii="Times New Roman" w:hAnsi="Times New Roman" w:cs="Times New Roman"/>
          <w:sz w:val="20"/>
          <w:szCs w:val="24"/>
        </w:rPr>
        <w:t>Chukwuedo</w:t>
      </w:r>
      <w:proofErr w:type="spellEnd"/>
      <w:r w:rsidRPr="00171788">
        <w:rPr>
          <w:rFonts w:ascii="Times New Roman" w:hAnsi="Times New Roman" w:cs="Times New Roman"/>
          <w:sz w:val="20"/>
          <w:szCs w:val="24"/>
        </w:rPr>
        <w:t xml:space="preserve"> A. (2009) Detection of measles </w:t>
      </w:r>
      <w:proofErr w:type="spellStart"/>
      <w:r w:rsidRPr="00171788">
        <w:rPr>
          <w:rFonts w:ascii="Times New Roman" w:hAnsi="Times New Roman" w:cs="Times New Roman"/>
          <w:sz w:val="20"/>
          <w:szCs w:val="24"/>
        </w:rPr>
        <w:t>IgM</w:t>
      </w:r>
      <w:proofErr w:type="spellEnd"/>
      <w:r w:rsidRPr="00171788">
        <w:rPr>
          <w:rFonts w:ascii="Times New Roman" w:hAnsi="Times New Roman" w:cs="Times New Roman"/>
          <w:sz w:val="20"/>
          <w:szCs w:val="24"/>
        </w:rPr>
        <w:t xml:space="preserve"> antibodies in children at Kaduna Metropolis, Nigeria. </w:t>
      </w:r>
      <w:r w:rsidRPr="00171788">
        <w:rPr>
          <w:rFonts w:ascii="Times New Roman" w:hAnsi="Times New Roman" w:cs="Times New Roman"/>
          <w:i/>
          <w:sz w:val="20"/>
          <w:szCs w:val="24"/>
        </w:rPr>
        <w:t>International Journal of Natural and Applied Sciences</w:t>
      </w:r>
      <w:r w:rsidRPr="00171788">
        <w:rPr>
          <w:rFonts w:ascii="Times New Roman" w:hAnsi="Times New Roman" w:cs="Times New Roman"/>
          <w:sz w:val="20"/>
          <w:szCs w:val="24"/>
        </w:rPr>
        <w:t>; 5(1): 3-</w:t>
      </w:r>
      <w:r w:rsidR="007B21E5" w:rsidRPr="00171788">
        <w:rPr>
          <w:rFonts w:ascii="Times New Roman" w:hAnsi="Times New Roman" w:cs="Times New Roman"/>
          <w:sz w:val="20"/>
          <w:szCs w:val="24"/>
        </w:rPr>
        <w:t>9</w:t>
      </w:r>
      <w:r w:rsidR="007B21E5">
        <w:rPr>
          <w:rFonts w:ascii="Times New Roman" w:hAnsi="Times New Roman" w:cs="Times New Roman"/>
          <w:sz w:val="20"/>
          <w:szCs w:val="24"/>
        </w:rPr>
        <w:t>.</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Chechet</w:t>
      </w:r>
      <w:proofErr w:type="spellEnd"/>
      <w:r w:rsidRPr="00171788">
        <w:rPr>
          <w:rFonts w:ascii="Times New Roman" w:hAnsi="Times New Roman" w:cs="Times New Roman"/>
          <w:sz w:val="20"/>
          <w:szCs w:val="24"/>
        </w:rPr>
        <w:t xml:space="preserve"> J, Ella EE, </w:t>
      </w:r>
      <w:proofErr w:type="spellStart"/>
      <w:r w:rsidRPr="00171788">
        <w:rPr>
          <w:rFonts w:ascii="Times New Roman" w:hAnsi="Times New Roman" w:cs="Times New Roman"/>
          <w:sz w:val="20"/>
          <w:szCs w:val="24"/>
        </w:rPr>
        <w:t>Ige</w:t>
      </w:r>
      <w:proofErr w:type="spellEnd"/>
      <w:r w:rsidRPr="00171788">
        <w:rPr>
          <w:rFonts w:ascii="Times New Roman" w:hAnsi="Times New Roman" w:cs="Times New Roman"/>
          <w:sz w:val="20"/>
          <w:szCs w:val="24"/>
        </w:rPr>
        <w:t xml:space="preserve"> SO. (2014). </w:t>
      </w:r>
      <w:proofErr w:type="spellStart"/>
      <w:r w:rsidRPr="00171788">
        <w:rPr>
          <w:rFonts w:ascii="Times New Roman" w:hAnsi="Times New Roman" w:cs="Times New Roman"/>
          <w:sz w:val="20"/>
          <w:szCs w:val="24"/>
        </w:rPr>
        <w:t>Seroprevalence</w:t>
      </w:r>
      <w:proofErr w:type="spellEnd"/>
      <w:r w:rsidRPr="00171788">
        <w:rPr>
          <w:rFonts w:ascii="Times New Roman" w:hAnsi="Times New Roman" w:cs="Times New Roman"/>
          <w:sz w:val="20"/>
          <w:szCs w:val="24"/>
        </w:rPr>
        <w:t xml:space="preserve"> of measles </w:t>
      </w:r>
      <w:proofErr w:type="spellStart"/>
      <w:r w:rsidRPr="00171788">
        <w:rPr>
          <w:rFonts w:ascii="Times New Roman" w:hAnsi="Times New Roman" w:cs="Times New Roman"/>
          <w:sz w:val="20"/>
          <w:szCs w:val="24"/>
        </w:rPr>
        <w:t>IgM</w:t>
      </w:r>
      <w:proofErr w:type="spellEnd"/>
      <w:r w:rsidRPr="00171788">
        <w:rPr>
          <w:rFonts w:ascii="Times New Roman" w:hAnsi="Times New Roman" w:cs="Times New Roman"/>
          <w:sz w:val="20"/>
          <w:szCs w:val="24"/>
        </w:rPr>
        <w:t xml:space="preserve"> in children 5-12 years from selected primary schools in </w:t>
      </w:r>
      <w:proofErr w:type="spellStart"/>
      <w:r w:rsidRPr="00171788">
        <w:rPr>
          <w:rFonts w:ascii="Times New Roman" w:hAnsi="Times New Roman" w:cs="Times New Roman"/>
          <w:sz w:val="20"/>
          <w:szCs w:val="24"/>
        </w:rPr>
        <w:t>Giwa</w:t>
      </w:r>
      <w:proofErr w:type="spellEnd"/>
      <w:r w:rsidRPr="00171788">
        <w:rPr>
          <w:rFonts w:ascii="Times New Roman" w:hAnsi="Times New Roman" w:cs="Times New Roman"/>
          <w:sz w:val="20"/>
          <w:szCs w:val="24"/>
        </w:rPr>
        <w:t xml:space="preserve"> Local Government Area, Zaria, Kaduna State. </w:t>
      </w:r>
      <w:r w:rsidRPr="00171788">
        <w:rPr>
          <w:rFonts w:ascii="Times New Roman" w:hAnsi="Times New Roman" w:cs="Times New Roman"/>
          <w:i/>
          <w:iCs/>
          <w:sz w:val="20"/>
          <w:szCs w:val="24"/>
        </w:rPr>
        <w:t>Scientific Journal of Microbiology</w:t>
      </w:r>
      <w:r w:rsidRPr="00171788">
        <w:rPr>
          <w:rFonts w:ascii="Times New Roman" w:hAnsi="Times New Roman" w:cs="Times New Roman"/>
          <w:sz w:val="20"/>
          <w:szCs w:val="24"/>
        </w:rPr>
        <w:t>; 3(2) 19-24.</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lastRenderedPageBreak/>
        <w:t>Olaitan</w:t>
      </w:r>
      <w:proofErr w:type="spellEnd"/>
      <w:r w:rsidRPr="00171788">
        <w:rPr>
          <w:rFonts w:ascii="Times New Roman" w:hAnsi="Times New Roman" w:cs="Times New Roman"/>
          <w:sz w:val="20"/>
          <w:szCs w:val="24"/>
        </w:rPr>
        <w:t xml:space="preserve"> AE, Ella EE, </w:t>
      </w:r>
      <w:proofErr w:type="spellStart"/>
      <w:r w:rsidRPr="00171788">
        <w:rPr>
          <w:rFonts w:ascii="Times New Roman" w:hAnsi="Times New Roman" w:cs="Times New Roman"/>
          <w:sz w:val="20"/>
          <w:szCs w:val="24"/>
        </w:rPr>
        <w:t>Ameh</w:t>
      </w:r>
      <w:proofErr w:type="spellEnd"/>
      <w:r w:rsidRPr="00171788">
        <w:rPr>
          <w:rFonts w:ascii="Times New Roman" w:hAnsi="Times New Roman" w:cs="Times New Roman"/>
          <w:sz w:val="20"/>
          <w:szCs w:val="24"/>
        </w:rPr>
        <w:t xml:space="preserve"> JB. (2015). Comparative </w:t>
      </w:r>
      <w:proofErr w:type="spellStart"/>
      <w:r w:rsidRPr="00171788">
        <w:rPr>
          <w:rFonts w:ascii="Times New Roman" w:hAnsi="Times New Roman" w:cs="Times New Roman"/>
          <w:sz w:val="20"/>
          <w:szCs w:val="24"/>
        </w:rPr>
        <w:t>seroprevalence</w:t>
      </w:r>
      <w:proofErr w:type="spellEnd"/>
      <w:r w:rsidRPr="00171788">
        <w:rPr>
          <w:rFonts w:ascii="Times New Roman" w:hAnsi="Times New Roman" w:cs="Times New Roman"/>
          <w:sz w:val="20"/>
          <w:szCs w:val="24"/>
        </w:rPr>
        <w:t xml:space="preserve"> of measles virus immunoglobulin M antibodies in children aged 0–8 months and a control population aged 9–23 months presenting with measles-like symptoms in selected hospitals in Kaduna State. International Journal of General Medicine; 8: 101–108.</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Rafiei</w:t>
      </w:r>
      <w:proofErr w:type="spellEnd"/>
      <w:r w:rsidRPr="00171788">
        <w:rPr>
          <w:rFonts w:ascii="Times New Roman" w:hAnsi="Times New Roman" w:cs="Times New Roman"/>
          <w:sz w:val="20"/>
          <w:szCs w:val="24"/>
        </w:rPr>
        <w:t xml:space="preserve"> TS, </w:t>
      </w:r>
      <w:proofErr w:type="spellStart"/>
      <w:r w:rsidRPr="00171788">
        <w:rPr>
          <w:rFonts w:ascii="Times New Roman" w:hAnsi="Times New Roman" w:cs="Times New Roman"/>
          <w:sz w:val="20"/>
          <w:szCs w:val="24"/>
        </w:rPr>
        <w:t>Esteghamati</w:t>
      </w:r>
      <w:proofErr w:type="spellEnd"/>
      <w:r w:rsidRPr="00171788">
        <w:rPr>
          <w:rFonts w:ascii="Times New Roman" w:hAnsi="Times New Roman" w:cs="Times New Roman"/>
          <w:sz w:val="20"/>
          <w:szCs w:val="24"/>
        </w:rPr>
        <w:t xml:space="preserve"> AR, Shiva F. (2013). Detection of serum antibodies against measles, mumps and rubella after primary measles, mumps and rubella (MMR) vaccination in children. </w:t>
      </w:r>
      <w:r w:rsidRPr="00171788">
        <w:rPr>
          <w:rFonts w:ascii="Times New Roman" w:hAnsi="Times New Roman" w:cs="Times New Roman"/>
          <w:i/>
          <w:iCs/>
          <w:sz w:val="20"/>
          <w:szCs w:val="24"/>
        </w:rPr>
        <w:t xml:space="preserve">Arch Iran Medicine; </w:t>
      </w:r>
      <w:r w:rsidRPr="00171788">
        <w:rPr>
          <w:rFonts w:ascii="Times New Roman" w:hAnsi="Times New Roman" w:cs="Times New Roman"/>
          <w:iCs/>
          <w:sz w:val="20"/>
          <w:szCs w:val="24"/>
        </w:rPr>
        <w:t>12</w:t>
      </w:r>
      <w:r w:rsidRPr="00171788">
        <w:rPr>
          <w:rFonts w:ascii="Times New Roman" w:hAnsi="Times New Roman" w:cs="Times New Roman"/>
          <w:sz w:val="20"/>
          <w:szCs w:val="24"/>
        </w:rPr>
        <w:t xml:space="preserve"> (1):38-41.</w:t>
      </w:r>
    </w:p>
    <w:p w:rsidR="007B21E5"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bCs/>
          <w:sz w:val="20"/>
          <w:szCs w:val="24"/>
        </w:rPr>
        <w:t>Iheanyi</w:t>
      </w:r>
      <w:proofErr w:type="spellEnd"/>
      <w:r w:rsidRPr="00171788">
        <w:rPr>
          <w:rFonts w:ascii="Times New Roman" w:hAnsi="Times New Roman" w:cs="Times New Roman"/>
          <w:bCs/>
          <w:sz w:val="20"/>
          <w:szCs w:val="24"/>
        </w:rPr>
        <w:t xml:space="preserve"> </w:t>
      </w:r>
      <w:proofErr w:type="spellStart"/>
      <w:r w:rsidRPr="00171788">
        <w:rPr>
          <w:rFonts w:ascii="Times New Roman" w:hAnsi="Times New Roman" w:cs="Times New Roman"/>
          <w:bCs/>
          <w:sz w:val="20"/>
          <w:szCs w:val="24"/>
        </w:rPr>
        <w:t>Omezuruike</w:t>
      </w:r>
      <w:proofErr w:type="spellEnd"/>
      <w:r w:rsidRPr="00171788">
        <w:rPr>
          <w:rFonts w:ascii="Times New Roman" w:hAnsi="Times New Roman" w:cs="Times New Roman"/>
          <w:bCs/>
          <w:sz w:val="20"/>
          <w:szCs w:val="24"/>
        </w:rPr>
        <w:t xml:space="preserve"> </w:t>
      </w:r>
      <w:proofErr w:type="spellStart"/>
      <w:r w:rsidRPr="00171788">
        <w:rPr>
          <w:rFonts w:ascii="Times New Roman" w:hAnsi="Times New Roman" w:cs="Times New Roman"/>
          <w:bCs/>
          <w:sz w:val="20"/>
          <w:szCs w:val="24"/>
        </w:rPr>
        <w:t>Okonko</w:t>
      </w:r>
      <w:proofErr w:type="spellEnd"/>
      <w:r w:rsidRPr="00171788">
        <w:rPr>
          <w:rFonts w:ascii="Times New Roman" w:hAnsi="Times New Roman" w:cs="Times New Roman"/>
          <w:bCs/>
          <w:sz w:val="20"/>
          <w:szCs w:val="24"/>
        </w:rPr>
        <w:t xml:space="preserve">, Mercy </w:t>
      </w:r>
      <w:proofErr w:type="spellStart"/>
      <w:r w:rsidRPr="00171788">
        <w:rPr>
          <w:rFonts w:ascii="Times New Roman" w:hAnsi="Times New Roman" w:cs="Times New Roman"/>
          <w:bCs/>
          <w:sz w:val="20"/>
          <w:szCs w:val="24"/>
        </w:rPr>
        <w:t>Elenwo</w:t>
      </w:r>
      <w:proofErr w:type="spellEnd"/>
      <w:r w:rsidRPr="00171788">
        <w:rPr>
          <w:rFonts w:ascii="Times New Roman" w:hAnsi="Times New Roman" w:cs="Times New Roman"/>
          <w:bCs/>
          <w:sz w:val="20"/>
          <w:szCs w:val="24"/>
        </w:rPr>
        <w:t xml:space="preserve"> (2017); </w:t>
      </w:r>
      <w:proofErr w:type="spellStart"/>
      <w:r w:rsidRPr="00171788">
        <w:rPr>
          <w:rFonts w:ascii="Times New Roman" w:hAnsi="Times New Roman" w:cs="Times New Roman"/>
          <w:bCs/>
          <w:sz w:val="20"/>
          <w:szCs w:val="24"/>
        </w:rPr>
        <w:t>Seropositivity</w:t>
      </w:r>
      <w:proofErr w:type="spellEnd"/>
      <w:r w:rsidRPr="00171788">
        <w:rPr>
          <w:rFonts w:ascii="Times New Roman" w:hAnsi="Times New Roman" w:cs="Times New Roman"/>
          <w:bCs/>
          <w:sz w:val="20"/>
          <w:szCs w:val="24"/>
        </w:rPr>
        <w:t xml:space="preserve"> of </w:t>
      </w:r>
      <w:proofErr w:type="spellStart"/>
      <w:r w:rsidRPr="00171788">
        <w:rPr>
          <w:rFonts w:ascii="Times New Roman" w:hAnsi="Times New Roman" w:cs="Times New Roman"/>
          <w:bCs/>
          <w:sz w:val="20"/>
          <w:szCs w:val="24"/>
        </w:rPr>
        <w:t>IgG</w:t>
      </w:r>
      <w:proofErr w:type="spellEnd"/>
      <w:r w:rsidRPr="00171788">
        <w:rPr>
          <w:rFonts w:ascii="Times New Roman" w:hAnsi="Times New Roman" w:cs="Times New Roman"/>
          <w:bCs/>
          <w:sz w:val="20"/>
          <w:szCs w:val="24"/>
        </w:rPr>
        <w:t xml:space="preserve"> Antibodies against Measles Virus in Unvaccinated Children Population of </w:t>
      </w:r>
      <w:proofErr w:type="spellStart"/>
      <w:r w:rsidRPr="00171788">
        <w:rPr>
          <w:rFonts w:ascii="Times New Roman" w:hAnsi="Times New Roman" w:cs="Times New Roman"/>
          <w:bCs/>
          <w:sz w:val="20"/>
          <w:szCs w:val="24"/>
        </w:rPr>
        <w:t>Emohua</w:t>
      </w:r>
      <w:proofErr w:type="spellEnd"/>
      <w:r w:rsidRPr="00171788">
        <w:rPr>
          <w:rFonts w:ascii="Times New Roman" w:hAnsi="Times New Roman" w:cs="Times New Roman"/>
          <w:bCs/>
          <w:sz w:val="20"/>
          <w:szCs w:val="24"/>
        </w:rPr>
        <w:t xml:space="preserve"> in Rivers State, Nigeria. </w:t>
      </w:r>
      <w:r w:rsidRPr="00171788">
        <w:rPr>
          <w:rFonts w:ascii="Times New Roman" w:hAnsi="Times New Roman" w:cs="Times New Roman"/>
          <w:i/>
          <w:sz w:val="20"/>
          <w:szCs w:val="24"/>
        </w:rPr>
        <w:t>American Journal of Medicine and Medical Sciences;</w:t>
      </w:r>
      <w:r w:rsidRPr="00171788">
        <w:rPr>
          <w:rFonts w:ascii="Times New Roman" w:hAnsi="Times New Roman" w:cs="Times New Roman"/>
          <w:sz w:val="20"/>
          <w:szCs w:val="24"/>
        </w:rPr>
        <w:t xml:space="preserve"> 7(1): 29-3</w:t>
      </w:r>
      <w:r w:rsidR="007B21E5" w:rsidRPr="00171788">
        <w:rPr>
          <w:rFonts w:ascii="Times New Roman" w:hAnsi="Times New Roman" w:cs="Times New Roman"/>
          <w:sz w:val="20"/>
          <w:szCs w:val="24"/>
        </w:rPr>
        <w:t>5</w:t>
      </w:r>
      <w:r w:rsidR="007B21E5">
        <w:rPr>
          <w:rFonts w:ascii="Times New Roman" w:hAnsi="Times New Roman" w:cs="Times New Roman"/>
          <w:sz w:val="20"/>
          <w:szCs w:val="24"/>
        </w:rPr>
        <w:t>.</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71788">
        <w:rPr>
          <w:rFonts w:ascii="Times New Roman" w:hAnsi="Times New Roman" w:cs="Times New Roman"/>
          <w:sz w:val="20"/>
          <w:szCs w:val="24"/>
        </w:rPr>
        <w:t xml:space="preserve">Plans P, Costa J, </w:t>
      </w:r>
      <w:proofErr w:type="spellStart"/>
      <w:r w:rsidRPr="00171788">
        <w:rPr>
          <w:rFonts w:ascii="Times New Roman" w:hAnsi="Times New Roman" w:cs="Times New Roman"/>
          <w:sz w:val="20"/>
          <w:szCs w:val="24"/>
        </w:rPr>
        <w:t>Domínguez</w:t>
      </w:r>
      <w:proofErr w:type="spellEnd"/>
      <w:r w:rsidRPr="00171788">
        <w:rPr>
          <w:rFonts w:ascii="Times New Roman" w:hAnsi="Times New Roman" w:cs="Times New Roman"/>
          <w:sz w:val="20"/>
          <w:szCs w:val="24"/>
        </w:rPr>
        <w:t xml:space="preserve"> A, </w:t>
      </w:r>
      <w:proofErr w:type="spellStart"/>
      <w:r w:rsidRPr="00171788">
        <w:rPr>
          <w:rFonts w:ascii="Times New Roman" w:hAnsi="Times New Roman" w:cs="Times New Roman"/>
          <w:sz w:val="20"/>
          <w:szCs w:val="24"/>
        </w:rPr>
        <w:t>Torner</w:t>
      </w:r>
      <w:proofErr w:type="spellEnd"/>
      <w:r w:rsidRPr="00171788">
        <w:rPr>
          <w:rFonts w:ascii="Times New Roman" w:hAnsi="Times New Roman" w:cs="Times New Roman"/>
          <w:sz w:val="20"/>
          <w:szCs w:val="24"/>
        </w:rPr>
        <w:t xml:space="preserve"> N, </w:t>
      </w:r>
      <w:proofErr w:type="spellStart"/>
      <w:r w:rsidRPr="00171788">
        <w:rPr>
          <w:rFonts w:ascii="Times New Roman" w:hAnsi="Times New Roman" w:cs="Times New Roman"/>
          <w:sz w:val="20"/>
          <w:szCs w:val="24"/>
        </w:rPr>
        <w:t>Borras</w:t>
      </w:r>
      <w:proofErr w:type="spellEnd"/>
      <w:r w:rsidRPr="00171788">
        <w:rPr>
          <w:rFonts w:ascii="Times New Roman" w:hAnsi="Times New Roman" w:cs="Times New Roman"/>
          <w:sz w:val="20"/>
          <w:szCs w:val="24"/>
        </w:rPr>
        <w:t xml:space="preserve"> E and </w:t>
      </w:r>
      <w:proofErr w:type="spellStart"/>
      <w:r w:rsidRPr="00171788">
        <w:rPr>
          <w:rFonts w:ascii="Times New Roman" w:hAnsi="Times New Roman" w:cs="Times New Roman"/>
          <w:sz w:val="20"/>
          <w:szCs w:val="24"/>
        </w:rPr>
        <w:t>Antoni</w:t>
      </w:r>
      <w:proofErr w:type="spellEnd"/>
      <w:r w:rsidRPr="00171788">
        <w:rPr>
          <w:rFonts w:ascii="Times New Roman" w:hAnsi="Times New Roman" w:cs="Times New Roman"/>
          <w:sz w:val="20"/>
          <w:szCs w:val="24"/>
        </w:rPr>
        <w:t xml:space="preserve"> </w:t>
      </w:r>
      <w:proofErr w:type="spellStart"/>
      <w:r w:rsidRPr="00171788">
        <w:rPr>
          <w:rFonts w:ascii="Times New Roman" w:hAnsi="Times New Roman" w:cs="Times New Roman"/>
          <w:sz w:val="20"/>
          <w:szCs w:val="24"/>
        </w:rPr>
        <w:t>Plasència</w:t>
      </w:r>
      <w:proofErr w:type="spellEnd"/>
      <w:r w:rsidRPr="00171788">
        <w:rPr>
          <w:rFonts w:ascii="Times New Roman" w:hAnsi="Times New Roman" w:cs="Times New Roman"/>
          <w:sz w:val="20"/>
          <w:szCs w:val="24"/>
        </w:rPr>
        <w:t xml:space="preserve"> (2010). Prevalence of Protective Measles Virus Antibody Levels in Umbilical Cord Blood Samples in Catalonia, Spain. </w:t>
      </w:r>
      <w:proofErr w:type="spellStart"/>
      <w:r w:rsidRPr="00171788">
        <w:rPr>
          <w:rFonts w:ascii="Times New Roman" w:hAnsi="Times New Roman" w:cs="Times New Roman"/>
          <w:sz w:val="20"/>
          <w:szCs w:val="24"/>
        </w:rPr>
        <w:t>Clin</w:t>
      </w:r>
      <w:proofErr w:type="spellEnd"/>
      <w:r w:rsidRPr="00171788">
        <w:rPr>
          <w:rFonts w:ascii="Times New Roman" w:hAnsi="Times New Roman" w:cs="Times New Roman"/>
          <w:sz w:val="20"/>
          <w:szCs w:val="24"/>
        </w:rPr>
        <w:t xml:space="preserve"> Vaccine </w:t>
      </w:r>
      <w:proofErr w:type="spellStart"/>
      <w:r w:rsidRPr="00171788">
        <w:rPr>
          <w:rFonts w:ascii="Times New Roman" w:hAnsi="Times New Roman" w:cs="Times New Roman"/>
          <w:sz w:val="20"/>
          <w:szCs w:val="24"/>
        </w:rPr>
        <w:t>Immunol</w:t>
      </w:r>
      <w:proofErr w:type="spellEnd"/>
      <w:r w:rsidRPr="00171788">
        <w:rPr>
          <w:rFonts w:ascii="Times New Roman" w:hAnsi="Times New Roman" w:cs="Times New Roman"/>
          <w:sz w:val="20"/>
          <w:szCs w:val="24"/>
        </w:rPr>
        <w:t>. 2010</w:t>
      </w:r>
      <w:r w:rsidRPr="00171788">
        <w:rPr>
          <w:rFonts w:ascii="Times New Roman" w:hAnsi="Times New Roman" w:cs="Times New Roman"/>
          <w:i/>
          <w:iCs/>
          <w:sz w:val="20"/>
          <w:szCs w:val="24"/>
        </w:rPr>
        <w:t xml:space="preserve">; </w:t>
      </w:r>
      <w:r w:rsidRPr="00171788">
        <w:rPr>
          <w:rFonts w:ascii="Times New Roman" w:hAnsi="Times New Roman" w:cs="Times New Roman"/>
          <w:sz w:val="20"/>
          <w:szCs w:val="24"/>
        </w:rPr>
        <w:t>17(4): 691–694.</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Condorelli</w:t>
      </w:r>
      <w:proofErr w:type="spellEnd"/>
      <w:r w:rsidRPr="00171788">
        <w:rPr>
          <w:rFonts w:ascii="Times New Roman" w:hAnsi="Times New Roman" w:cs="Times New Roman"/>
          <w:sz w:val="20"/>
          <w:szCs w:val="24"/>
        </w:rPr>
        <w:t xml:space="preserve">, F., G. Scalia, A. </w:t>
      </w:r>
      <w:proofErr w:type="spellStart"/>
      <w:r w:rsidRPr="00171788">
        <w:rPr>
          <w:rFonts w:ascii="Times New Roman" w:hAnsi="Times New Roman" w:cs="Times New Roman"/>
          <w:sz w:val="20"/>
          <w:szCs w:val="24"/>
        </w:rPr>
        <w:t>Stivala</w:t>
      </w:r>
      <w:proofErr w:type="spellEnd"/>
      <w:r w:rsidRPr="00171788">
        <w:rPr>
          <w:rFonts w:ascii="Times New Roman" w:hAnsi="Times New Roman" w:cs="Times New Roman"/>
          <w:sz w:val="20"/>
          <w:szCs w:val="24"/>
        </w:rPr>
        <w:t xml:space="preserve">, R. Gallo, A. Marino, C. M. </w:t>
      </w:r>
      <w:proofErr w:type="spellStart"/>
      <w:r w:rsidRPr="00171788">
        <w:rPr>
          <w:rFonts w:ascii="Times New Roman" w:hAnsi="Times New Roman" w:cs="Times New Roman"/>
          <w:sz w:val="20"/>
          <w:szCs w:val="24"/>
        </w:rPr>
        <w:t>Battaglini</w:t>
      </w:r>
      <w:proofErr w:type="spellEnd"/>
      <w:r w:rsidRPr="00171788">
        <w:rPr>
          <w:rFonts w:ascii="Times New Roman" w:hAnsi="Times New Roman" w:cs="Times New Roman"/>
          <w:sz w:val="20"/>
          <w:szCs w:val="24"/>
        </w:rPr>
        <w:t xml:space="preserve">, and A. Castro. (1994). Detection of immunoglobulin G to measles virus, rubella virus, and mumps virus in serum samples and in </w:t>
      </w:r>
      <w:proofErr w:type="spellStart"/>
      <w:r w:rsidRPr="00171788">
        <w:rPr>
          <w:rFonts w:ascii="Times New Roman" w:hAnsi="Times New Roman" w:cs="Times New Roman"/>
          <w:sz w:val="20"/>
          <w:szCs w:val="24"/>
        </w:rPr>
        <w:t>microquantities</w:t>
      </w:r>
      <w:proofErr w:type="spellEnd"/>
      <w:r w:rsidRPr="00171788">
        <w:rPr>
          <w:rFonts w:ascii="Times New Roman" w:hAnsi="Times New Roman" w:cs="Times New Roman"/>
          <w:sz w:val="20"/>
          <w:szCs w:val="24"/>
        </w:rPr>
        <w:t xml:space="preserve"> of whole blood dried on filter paper. J. </w:t>
      </w:r>
      <w:proofErr w:type="spellStart"/>
      <w:r w:rsidRPr="00171788">
        <w:rPr>
          <w:rFonts w:ascii="Times New Roman" w:hAnsi="Times New Roman" w:cs="Times New Roman"/>
          <w:sz w:val="20"/>
          <w:szCs w:val="24"/>
        </w:rPr>
        <w:t>Virol</w:t>
      </w:r>
      <w:proofErr w:type="spellEnd"/>
      <w:r w:rsidRPr="00171788">
        <w:rPr>
          <w:rFonts w:ascii="Times New Roman" w:hAnsi="Times New Roman" w:cs="Times New Roman"/>
          <w:sz w:val="20"/>
          <w:szCs w:val="24"/>
        </w:rPr>
        <w:t>. Methods 49:25–36.</w:t>
      </w:r>
    </w:p>
    <w:p w:rsidR="007B21E5"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lastRenderedPageBreak/>
        <w:t>Shilpi</w:t>
      </w:r>
      <w:proofErr w:type="spellEnd"/>
      <w:r w:rsidRPr="00171788">
        <w:rPr>
          <w:rFonts w:ascii="Times New Roman" w:hAnsi="Times New Roman" w:cs="Times New Roman"/>
          <w:sz w:val="20"/>
          <w:szCs w:val="24"/>
        </w:rPr>
        <w:t xml:space="preserve">, T., </w:t>
      </w:r>
      <w:proofErr w:type="spellStart"/>
      <w:r w:rsidRPr="00171788">
        <w:rPr>
          <w:rFonts w:ascii="Times New Roman" w:hAnsi="Times New Roman" w:cs="Times New Roman"/>
          <w:sz w:val="20"/>
          <w:szCs w:val="24"/>
        </w:rPr>
        <w:t>Sattar</w:t>
      </w:r>
      <w:proofErr w:type="spellEnd"/>
      <w:r w:rsidRPr="00171788">
        <w:rPr>
          <w:rFonts w:ascii="Times New Roman" w:hAnsi="Times New Roman" w:cs="Times New Roman"/>
          <w:sz w:val="20"/>
          <w:szCs w:val="24"/>
        </w:rPr>
        <w:t xml:space="preserve">, H., and </w:t>
      </w:r>
      <w:proofErr w:type="spellStart"/>
      <w:r w:rsidRPr="00171788">
        <w:rPr>
          <w:rFonts w:ascii="Times New Roman" w:hAnsi="Times New Roman" w:cs="Times New Roman"/>
          <w:sz w:val="20"/>
          <w:szCs w:val="24"/>
        </w:rPr>
        <w:t>Miah</w:t>
      </w:r>
      <w:proofErr w:type="spellEnd"/>
      <w:r w:rsidRPr="00171788">
        <w:rPr>
          <w:rFonts w:ascii="Times New Roman" w:hAnsi="Times New Roman" w:cs="Times New Roman"/>
          <w:sz w:val="20"/>
          <w:szCs w:val="24"/>
        </w:rPr>
        <w:t>, M.R. (2009). Determining infants' age for measles vaccination based on persistence of protective level of maternal measles antibody. Bangladesh Medical Research Council Bulletin, 35(3): 101-10</w:t>
      </w:r>
      <w:r w:rsidR="007B21E5" w:rsidRPr="00171788">
        <w:rPr>
          <w:rFonts w:ascii="Times New Roman" w:hAnsi="Times New Roman" w:cs="Times New Roman"/>
          <w:sz w:val="20"/>
          <w:szCs w:val="24"/>
        </w:rPr>
        <w:t>4</w:t>
      </w:r>
      <w:r w:rsidR="007B21E5">
        <w:rPr>
          <w:rFonts w:ascii="Times New Roman" w:hAnsi="Times New Roman" w:cs="Times New Roman"/>
          <w:sz w:val="20"/>
          <w:szCs w:val="24"/>
        </w:rPr>
        <w:t>.</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Umeh</w:t>
      </w:r>
      <w:proofErr w:type="spellEnd"/>
      <w:r w:rsidRPr="00171788">
        <w:rPr>
          <w:rFonts w:ascii="Times New Roman" w:hAnsi="Times New Roman" w:cs="Times New Roman"/>
          <w:sz w:val="20"/>
          <w:szCs w:val="24"/>
        </w:rPr>
        <w:t xml:space="preserve"> CA, </w:t>
      </w:r>
      <w:proofErr w:type="spellStart"/>
      <w:r w:rsidRPr="00171788">
        <w:rPr>
          <w:rFonts w:ascii="Times New Roman" w:hAnsi="Times New Roman" w:cs="Times New Roman"/>
          <w:sz w:val="20"/>
          <w:szCs w:val="24"/>
        </w:rPr>
        <w:t>Ahaneku</w:t>
      </w:r>
      <w:proofErr w:type="spellEnd"/>
      <w:r w:rsidRPr="00171788">
        <w:rPr>
          <w:rFonts w:ascii="Times New Roman" w:hAnsi="Times New Roman" w:cs="Times New Roman"/>
          <w:sz w:val="20"/>
          <w:szCs w:val="24"/>
        </w:rPr>
        <w:t xml:space="preserve"> H.P</w:t>
      </w:r>
      <w:r w:rsidR="009F52A6" w:rsidRPr="00171788">
        <w:rPr>
          <w:rFonts w:ascii="Times New Roman" w:hAnsi="Times New Roman" w:cs="Times New Roman"/>
          <w:sz w:val="20"/>
          <w:szCs w:val="24"/>
        </w:rPr>
        <w:t>. (</w:t>
      </w:r>
      <w:r w:rsidRPr="00171788">
        <w:rPr>
          <w:rFonts w:ascii="Times New Roman" w:hAnsi="Times New Roman" w:cs="Times New Roman"/>
          <w:sz w:val="20"/>
          <w:szCs w:val="24"/>
        </w:rPr>
        <w:t>2013).</w:t>
      </w:r>
      <w:r w:rsidR="009F52A6" w:rsidRPr="00171788">
        <w:rPr>
          <w:rFonts w:ascii="Times New Roman" w:hAnsi="Times New Roman" w:cs="Times New Roman"/>
          <w:sz w:val="20"/>
          <w:szCs w:val="24"/>
        </w:rPr>
        <w:t xml:space="preserve"> </w:t>
      </w:r>
      <w:r w:rsidRPr="00171788">
        <w:rPr>
          <w:rFonts w:ascii="Times New Roman" w:hAnsi="Times New Roman" w:cs="Times New Roman"/>
          <w:sz w:val="20"/>
          <w:szCs w:val="24"/>
        </w:rPr>
        <w:t xml:space="preserve">The impact of declining vaccination coverage on measles control: a case study of </w:t>
      </w:r>
      <w:proofErr w:type="spellStart"/>
      <w:r w:rsidRPr="00171788">
        <w:rPr>
          <w:rFonts w:ascii="Times New Roman" w:hAnsi="Times New Roman" w:cs="Times New Roman"/>
          <w:sz w:val="20"/>
          <w:szCs w:val="24"/>
        </w:rPr>
        <w:t>Abia</w:t>
      </w:r>
      <w:proofErr w:type="spellEnd"/>
      <w:r w:rsidRPr="00171788">
        <w:rPr>
          <w:rFonts w:ascii="Times New Roman" w:hAnsi="Times New Roman" w:cs="Times New Roman"/>
          <w:sz w:val="20"/>
          <w:szCs w:val="24"/>
        </w:rPr>
        <w:t xml:space="preserve"> State Nigeria. </w:t>
      </w:r>
      <w:r w:rsidRPr="00171788">
        <w:rPr>
          <w:rFonts w:ascii="Times New Roman" w:hAnsi="Times New Roman" w:cs="Times New Roman"/>
          <w:i/>
          <w:iCs/>
          <w:sz w:val="20"/>
          <w:szCs w:val="24"/>
        </w:rPr>
        <w:t>Pan African Medical J</w:t>
      </w:r>
      <w:r w:rsidRPr="00171788">
        <w:rPr>
          <w:rFonts w:ascii="Times New Roman" w:hAnsi="Times New Roman" w:cs="Times New Roman"/>
          <w:sz w:val="20"/>
          <w:szCs w:val="24"/>
        </w:rPr>
        <w:t>ournal; 15:105.</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Domínguez</w:t>
      </w:r>
      <w:proofErr w:type="spellEnd"/>
      <w:r w:rsidRPr="00171788">
        <w:rPr>
          <w:rFonts w:ascii="Times New Roman" w:hAnsi="Times New Roman" w:cs="Times New Roman"/>
          <w:sz w:val="20"/>
          <w:szCs w:val="24"/>
        </w:rPr>
        <w:t xml:space="preserve"> A, Plans P, Costa J, </w:t>
      </w:r>
      <w:proofErr w:type="spellStart"/>
      <w:r w:rsidRPr="00171788">
        <w:rPr>
          <w:rFonts w:ascii="Times New Roman" w:hAnsi="Times New Roman" w:cs="Times New Roman"/>
          <w:sz w:val="20"/>
          <w:szCs w:val="24"/>
        </w:rPr>
        <w:t>Torner</w:t>
      </w:r>
      <w:proofErr w:type="spellEnd"/>
      <w:r w:rsidRPr="00171788">
        <w:rPr>
          <w:rFonts w:ascii="Times New Roman" w:hAnsi="Times New Roman" w:cs="Times New Roman"/>
          <w:sz w:val="20"/>
          <w:szCs w:val="24"/>
        </w:rPr>
        <w:t xml:space="preserve"> N, </w:t>
      </w:r>
      <w:proofErr w:type="spellStart"/>
      <w:r w:rsidRPr="00171788">
        <w:rPr>
          <w:rFonts w:ascii="Times New Roman" w:hAnsi="Times New Roman" w:cs="Times New Roman"/>
          <w:sz w:val="20"/>
          <w:szCs w:val="24"/>
        </w:rPr>
        <w:t>Cardenosa</w:t>
      </w:r>
      <w:proofErr w:type="spellEnd"/>
      <w:r w:rsidRPr="00171788">
        <w:rPr>
          <w:rFonts w:ascii="Times New Roman" w:hAnsi="Times New Roman" w:cs="Times New Roman"/>
          <w:sz w:val="20"/>
          <w:szCs w:val="24"/>
        </w:rPr>
        <w:t xml:space="preserve"> N, </w:t>
      </w:r>
      <w:proofErr w:type="spellStart"/>
      <w:r w:rsidRPr="00171788">
        <w:rPr>
          <w:rFonts w:ascii="Times New Roman" w:hAnsi="Times New Roman" w:cs="Times New Roman"/>
          <w:sz w:val="20"/>
          <w:szCs w:val="24"/>
        </w:rPr>
        <w:t>Batalla</w:t>
      </w:r>
      <w:proofErr w:type="spellEnd"/>
      <w:r w:rsidRPr="00171788">
        <w:rPr>
          <w:rFonts w:ascii="Times New Roman" w:hAnsi="Times New Roman" w:cs="Times New Roman"/>
          <w:sz w:val="20"/>
          <w:szCs w:val="24"/>
        </w:rPr>
        <w:t xml:space="preserve"> J, </w:t>
      </w:r>
      <w:proofErr w:type="spellStart"/>
      <w:r w:rsidRPr="00171788">
        <w:rPr>
          <w:rFonts w:ascii="Times New Roman" w:hAnsi="Times New Roman" w:cs="Times New Roman"/>
          <w:sz w:val="20"/>
          <w:szCs w:val="24"/>
        </w:rPr>
        <w:t>Plasencia</w:t>
      </w:r>
      <w:proofErr w:type="spellEnd"/>
      <w:r w:rsidRPr="00171788">
        <w:rPr>
          <w:rFonts w:ascii="Times New Roman" w:hAnsi="Times New Roman" w:cs="Times New Roman"/>
          <w:sz w:val="20"/>
          <w:szCs w:val="24"/>
        </w:rPr>
        <w:t xml:space="preserve"> A, </w:t>
      </w:r>
      <w:proofErr w:type="spellStart"/>
      <w:r w:rsidRPr="00171788">
        <w:rPr>
          <w:rFonts w:ascii="Times New Roman" w:hAnsi="Times New Roman" w:cs="Times New Roman"/>
          <w:sz w:val="20"/>
          <w:szCs w:val="24"/>
        </w:rPr>
        <w:t>Salleras</w:t>
      </w:r>
      <w:proofErr w:type="spellEnd"/>
      <w:r w:rsidRPr="00171788">
        <w:rPr>
          <w:rFonts w:ascii="Times New Roman" w:hAnsi="Times New Roman" w:cs="Times New Roman"/>
          <w:sz w:val="20"/>
          <w:szCs w:val="24"/>
        </w:rPr>
        <w:t xml:space="preserve"> L</w:t>
      </w:r>
      <w:r w:rsidR="009F52A6" w:rsidRPr="00171788">
        <w:rPr>
          <w:rFonts w:ascii="Times New Roman" w:hAnsi="Times New Roman" w:cs="Times New Roman"/>
          <w:sz w:val="20"/>
          <w:szCs w:val="24"/>
        </w:rPr>
        <w:t>. (</w:t>
      </w:r>
      <w:r w:rsidRPr="00171788">
        <w:rPr>
          <w:rFonts w:ascii="Times New Roman" w:hAnsi="Times New Roman" w:cs="Times New Roman"/>
          <w:sz w:val="20"/>
          <w:szCs w:val="24"/>
        </w:rPr>
        <w:t xml:space="preserve">2006). </w:t>
      </w:r>
      <w:proofErr w:type="spellStart"/>
      <w:r w:rsidRPr="00171788">
        <w:rPr>
          <w:rFonts w:ascii="Times New Roman" w:hAnsi="Times New Roman" w:cs="Times New Roman"/>
          <w:sz w:val="20"/>
          <w:szCs w:val="24"/>
        </w:rPr>
        <w:t>Seroprevalence</w:t>
      </w:r>
      <w:proofErr w:type="spellEnd"/>
      <w:r w:rsidRPr="00171788">
        <w:rPr>
          <w:rFonts w:ascii="Times New Roman" w:hAnsi="Times New Roman" w:cs="Times New Roman"/>
          <w:sz w:val="20"/>
          <w:szCs w:val="24"/>
        </w:rPr>
        <w:t xml:space="preserve"> of measles, rubella, and mumps antibodies in Catalonia, Spain: results of a cross-sectional study. </w:t>
      </w:r>
      <w:proofErr w:type="spellStart"/>
      <w:r w:rsidRPr="00171788">
        <w:rPr>
          <w:rFonts w:ascii="Times New Roman" w:hAnsi="Times New Roman" w:cs="Times New Roman"/>
          <w:i/>
          <w:iCs/>
          <w:sz w:val="20"/>
          <w:szCs w:val="24"/>
        </w:rPr>
        <w:t>Eur</w:t>
      </w:r>
      <w:proofErr w:type="spellEnd"/>
      <w:r w:rsidRPr="00171788">
        <w:rPr>
          <w:rFonts w:ascii="Times New Roman" w:hAnsi="Times New Roman" w:cs="Times New Roman"/>
          <w:i/>
          <w:iCs/>
          <w:sz w:val="20"/>
          <w:szCs w:val="24"/>
        </w:rPr>
        <w:t xml:space="preserve"> J </w:t>
      </w:r>
      <w:proofErr w:type="spellStart"/>
      <w:r w:rsidRPr="00171788">
        <w:rPr>
          <w:rFonts w:ascii="Times New Roman" w:hAnsi="Times New Roman" w:cs="Times New Roman"/>
          <w:i/>
          <w:iCs/>
          <w:sz w:val="20"/>
          <w:szCs w:val="24"/>
        </w:rPr>
        <w:t>Clin</w:t>
      </w:r>
      <w:proofErr w:type="spellEnd"/>
      <w:r w:rsidRPr="00171788">
        <w:rPr>
          <w:rFonts w:ascii="Times New Roman" w:hAnsi="Times New Roman" w:cs="Times New Roman"/>
          <w:i/>
          <w:iCs/>
          <w:sz w:val="20"/>
          <w:szCs w:val="24"/>
        </w:rPr>
        <w:t xml:space="preserve"> </w:t>
      </w:r>
      <w:proofErr w:type="spellStart"/>
      <w:r w:rsidRPr="00171788">
        <w:rPr>
          <w:rFonts w:ascii="Times New Roman" w:hAnsi="Times New Roman" w:cs="Times New Roman"/>
          <w:i/>
          <w:iCs/>
          <w:sz w:val="20"/>
          <w:szCs w:val="24"/>
        </w:rPr>
        <w:t>Microbiol</w:t>
      </w:r>
      <w:proofErr w:type="spellEnd"/>
      <w:r w:rsidRPr="00171788">
        <w:rPr>
          <w:rFonts w:ascii="Times New Roman" w:hAnsi="Times New Roman" w:cs="Times New Roman"/>
          <w:i/>
          <w:iCs/>
          <w:sz w:val="20"/>
          <w:szCs w:val="24"/>
        </w:rPr>
        <w:t xml:space="preserve"> Infect</w:t>
      </w:r>
      <w:r w:rsidRPr="00171788">
        <w:rPr>
          <w:rFonts w:ascii="Times New Roman" w:hAnsi="Times New Roman" w:cs="Times New Roman"/>
          <w:sz w:val="20"/>
          <w:szCs w:val="24"/>
        </w:rPr>
        <w:t xml:space="preserve"> </w:t>
      </w:r>
      <w:r w:rsidRPr="00171788">
        <w:rPr>
          <w:rFonts w:ascii="Times New Roman" w:hAnsi="Times New Roman" w:cs="Times New Roman"/>
          <w:i/>
          <w:iCs/>
          <w:sz w:val="20"/>
          <w:szCs w:val="24"/>
        </w:rPr>
        <w:t>Dis</w:t>
      </w:r>
      <w:r w:rsidRPr="00171788">
        <w:rPr>
          <w:rFonts w:ascii="Times New Roman" w:hAnsi="Times New Roman" w:cs="Times New Roman"/>
          <w:sz w:val="20"/>
          <w:szCs w:val="24"/>
        </w:rPr>
        <w:t>.; 25(5):310-317.</w:t>
      </w:r>
    </w:p>
    <w:p w:rsidR="007B21E5"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Manirakiza</w:t>
      </w:r>
      <w:proofErr w:type="spellEnd"/>
      <w:r w:rsidRPr="00171788">
        <w:rPr>
          <w:rFonts w:ascii="Times New Roman" w:hAnsi="Times New Roman" w:cs="Times New Roman"/>
          <w:sz w:val="20"/>
          <w:szCs w:val="24"/>
        </w:rPr>
        <w:t xml:space="preserve"> A, </w:t>
      </w:r>
      <w:proofErr w:type="spellStart"/>
      <w:r w:rsidRPr="00171788">
        <w:rPr>
          <w:rFonts w:ascii="Times New Roman" w:hAnsi="Times New Roman" w:cs="Times New Roman"/>
          <w:sz w:val="20"/>
          <w:szCs w:val="24"/>
        </w:rPr>
        <w:t>Kipela</w:t>
      </w:r>
      <w:proofErr w:type="spellEnd"/>
      <w:r w:rsidRPr="00171788">
        <w:rPr>
          <w:rFonts w:ascii="Times New Roman" w:hAnsi="Times New Roman" w:cs="Times New Roman"/>
          <w:sz w:val="20"/>
          <w:szCs w:val="24"/>
        </w:rPr>
        <w:t xml:space="preserve">, JM, </w:t>
      </w:r>
      <w:proofErr w:type="spellStart"/>
      <w:r w:rsidRPr="00171788">
        <w:rPr>
          <w:rFonts w:ascii="Times New Roman" w:hAnsi="Times New Roman" w:cs="Times New Roman"/>
          <w:sz w:val="20"/>
          <w:szCs w:val="24"/>
        </w:rPr>
        <w:t>Sosler</w:t>
      </w:r>
      <w:proofErr w:type="spellEnd"/>
      <w:r w:rsidRPr="00171788">
        <w:rPr>
          <w:rFonts w:ascii="Times New Roman" w:hAnsi="Times New Roman" w:cs="Times New Roman"/>
          <w:sz w:val="20"/>
          <w:szCs w:val="24"/>
        </w:rPr>
        <w:t xml:space="preserve"> S. (2011). </w:t>
      </w:r>
      <w:proofErr w:type="spellStart"/>
      <w:r w:rsidRPr="00171788">
        <w:rPr>
          <w:rFonts w:ascii="Times New Roman" w:hAnsi="Times New Roman" w:cs="Times New Roman"/>
          <w:sz w:val="20"/>
          <w:szCs w:val="24"/>
        </w:rPr>
        <w:t>Seroprevalence</w:t>
      </w:r>
      <w:proofErr w:type="spellEnd"/>
      <w:r w:rsidRPr="00171788">
        <w:rPr>
          <w:rFonts w:ascii="Times New Roman" w:hAnsi="Times New Roman" w:cs="Times New Roman"/>
          <w:sz w:val="20"/>
          <w:szCs w:val="24"/>
        </w:rPr>
        <w:t xml:space="preserve"> of Measles and Natural Rubella Antibodies among children in Bangui, Central African Republic. </w:t>
      </w:r>
      <w:r w:rsidRPr="00171788">
        <w:rPr>
          <w:rFonts w:ascii="Times New Roman" w:hAnsi="Times New Roman" w:cs="Times New Roman"/>
          <w:i/>
          <w:iCs/>
          <w:sz w:val="20"/>
          <w:szCs w:val="24"/>
        </w:rPr>
        <w:t>BMC Public Health</w:t>
      </w:r>
      <w:r w:rsidRPr="00171788">
        <w:rPr>
          <w:rFonts w:ascii="Times New Roman" w:hAnsi="Times New Roman" w:cs="Times New Roman"/>
          <w:sz w:val="20"/>
          <w:szCs w:val="24"/>
        </w:rPr>
        <w:t>.,; 11: 327 – 33</w:t>
      </w:r>
      <w:r w:rsidR="007B21E5" w:rsidRPr="00171788">
        <w:rPr>
          <w:rFonts w:ascii="Times New Roman" w:hAnsi="Times New Roman" w:cs="Times New Roman"/>
          <w:sz w:val="20"/>
          <w:szCs w:val="24"/>
        </w:rPr>
        <w:t>2</w:t>
      </w:r>
      <w:r w:rsidR="007B21E5">
        <w:rPr>
          <w:rFonts w:ascii="Times New Roman" w:hAnsi="Times New Roman" w:cs="Times New Roman"/>
          <w:sz w:val="20"/>
          <w:szCs w:val="24"/>
        </w:rPr>
        <w:t>.</w:t>
      </w:r>
      <w:r w:rsidR="007B21E5">
        <w:rPr>
          <w:rFonts w:ascii="Times New Roman" w:hAnsi="Times New Roman" w:cs="Times New Roman" w:hint="eastAsia"/>
          <w:sz w:val="20"/>
          <w:szCs w:val="24"/>
          <w:lang w:eastAsia="zh-CN"/>
        </w:rPr>
        <w:t xml:space="preserve"> </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Bassey</w:t>
      </w:r>
      <w:proofErr w:type="spellEnd"/>
      <w:r w:rsidRPr="00171788">
        <w:rPr>
          <w:rFonts w:ascii="Times New Roman" w:hAnsi="Times New Roman" w:cs="Times New Roman"/>
          <w:sz w:val="20"/>
          <w:szCs w:val="24"/>
        </w:rPr>
        <w:t xml:space="preserve"> E.B, Moses A.E, </w:t>
      </w:r>
      <w:proofErr w:type="spellStart"/>
      <w:r w:rsidRPr="00171788">
        <w:rPr>
          <w:rFonts w:ascii="Times New Roman" w:hAnsi="Times New Roman" w:cs="Times New Roman"/>
          <w:sz w:val="20"/>
          <w:szCs w:val="24"/>
        </w:rPr>
        <w:t>Udo</w:t>
      </w:r>
      <w:proofErr w:type="spellEnd"/>
      <w:r w:rsidRPr="00171788">
        <w:rPr>
          <w:rFonts w:ascii="Times New Roman" w:hAnsi="Times New Roman" w:cs="Times New Roman"/>
          <w:sz w:val="20"/>
          <w:szCs w:val="24"/>
        </w:rPr>
        <w:t xml:space="preserve"> S.U, (2010). The Impact of Immunization Control activities on Measles in </w:t>
      </w:r>
      <w:proofErr w:type="spellStart"/>
      <w:r w:rsidRPr="00171788">
        <w:rPr>
          <w:rFonts w:ascii="Times New Roman" w:hAnsi="Times New Roman" w:cs="Times New Roman"/>
          <w:sz w:val="20"/>
          <w:szCs w:val="24"/>
        </w:rPr>
        <w:t>Akwa</w:t>
      </w:r>
      <w:proofErr w:type="spellEnd"/>
      <w:r w:rsidRPr="00171788">
        <w:rPr>
          <w:rFonts w:ascii="Times New Roman" w:hAnsi="Times New Roman" w:cs="Times New Roman"/>
          <w:sz w:val="20"/>
          <w:szCs w:val="24"/>
        </w:rPr>
        <w:t xml:space="preserve"> </w:t>
      </w:r>
      <w:proofErr w:type="spellStart"/>
      <w:r w:rsidRPr="00171788">
        <w:rPr>
          <w:rFonts w:ascii="Times New Roman" w:hAnsi="Times New Roman" w:cs="Times New Roman"/>
          <w:sz w:val="20"/>
          <w:szCs w:val="24"/>
        </w:rPr>
        <w:t>Ibom</w:t>
      </w:r>
      <w:proofErr w:type="spellEnd"/>
      <w:r w:rsidRPr="00171788">
        <w:rPr>
          <w:rFonts w:ascii="Times New Roman" w:hAnsi="Times New Roman" w:cs="Times New Roman"/>
          <w:sz w:val="20"/>
          <w:szCs w:val="24"/>
        </w:rPr>
        <w:t xml:space="preserve"> State. </w:t>
      </w:r>
      <w:r w:rsidRPr="00171788">
        <w:rPr>
          <w:rFonts w:ascii="Times New Roman" w:hAnsi="Times New Roman" w:cs="Times New Roman"/>
          <w:i/>
          <w:iCs/>
          <w:sz w:val="20"/>
          <w:szCs w:val="24"/>
        </w:rPr>
        <w:t xml:space="preserve">Online Journal of Health and Allied Science; </w:t>
      </w:r>
      <w:r w:rsidRPr="00171788">
        <w:rPr>
          <w:rFonts w:ascii="Times New Roman" w:hAnsi="Times New Roman" w:cs="Times New Roman"/>
          <w:sz w:val="20"/>
          <w:szCs w:val="24"/>
        </w:rPr>
        <w:t>9(1): 3 – 8.</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Aumatell</w:t>
      </w:r>
      <w:proofErr w:type="spellEnd"/>
      <w:r w:rsidRPr="00171788">
        <w:rPr>
          <w:rFonts w:ascii="Times New Roman" w:hAnsi="Times New Roman" w:cs="Times New Roman"/>
          <w:sz w:val="20"/>
          <w:szCs w:val="24"/>
        </w:rPr>
        <w:t xml:space="preserve">, C.M., Ramon – </w:t>
      </w:r>
      <w:proofErr w:type="spellStart"/>
      <w:r w:rsidRPr="00171788">
        <w:rPr>
          <w:rFonts w:ascii="Times New Roman" w:hAnsi="Times New Roman" w:cs="Times New Roman"/>
          <w:sz w:val="20"/>
          <w:szCs w:val="24"/>
        </w:rPr>
        <w:t>Torrell</w:t>
      </w:r>
      <w:proofErr w:type="spellEnd"/>
      <w:r w:rsidRPr="00171788">
        <w:rPr>
          <w:rFonts w:ascii="Times New Roman" w:hAnsi="Times New Roman" w:cs="Times New Roman"/>
          <w:sz w:val="20"/>
          <w:szCs w:val="24"/>
        </w:rPr>
        <w:t xml:space="preserve">, J.M., </w:t>
      </w:r>
      <w:proofErr w:type="spellStart"/>
      <w:r w:rsidRPr="00171788">
        <w:rPr>
          <w:rFonts w:ascii="Times New Roman" w:hAnsi="Times New Roman" w:cs="Times New Roman"/>
          <w:sz w:val="20"/>
          <w:szCs w:val="24"/>
        </w:rPr>
        <w:t>Rituerto</w:t>
      </w:r>
      <w:proofErr w:type="spellEnd"/>
      <w:r w:rsidRPr="00171788">
        <w:rPr>
          <w:rFonts w:ascii="Times New Roman" w:hAnsi="Times New Roman" w:cs="Times New Roman"/>
          <w:sz w:val="20"/>
          <w:szCs w:val="24"/>
        </w:rPr>
        <w:t xml:space="preserve">, A.C Navarro, M.B </w:t>
      </w:r>
      <w:proofErr w:type="spellStart"/>
      <w:r w:rsidRPr="00171788">
        <w:rPr>
          <w:rFonts w:ascii="Times New Roman" w:hAnsi="Times New Roman" w:cs="Times New Roman"/>
          <w:sz w:val="20"/>
          <w:szCs w:val="24"/>
        </w:rPr>
        <w:t>Gamboa</w:t>
      </w:r>
      <w:proofErr w:type="spellEnd"/>
      <w:r w:rsidRPr="00171788">
        <w:rPr>
          <w:rFonts w:ascii="Times New Roman" w:hAnsi="Times New Roman" w:cs="Times New Roman"/>
          <w:sz w:val="20"/>
          <w:szCs w:val="24"/>
        </w:rPr>
        <w:t xml:space="preserve"> </w:t>
      </w:r>
      <w:proofErr w:type="spellStart"/>
      <w:r w:rsidRPr="00171788">
        <w:rPr>
          <w:rFonts w:ascii="Times New Roman" w:hAnsi="Times New Roman" w:cs="Times New Roman"/>
          <w:sz w:val="20"/>
          <w:szCs w:val="24"/>
        </w:rPr>
        <w:t>Mdel</w:t>
      </w:r>
      <w:proofErr w:type="spellEnd"/>
      <w:r w:rsidRPr="00171788">
        <w:rPr>
          <w:rFonts w:ascii="Times New Roman" w:hAnsi="Times New Roman" w:cs="Times New Roman"/>
          <w:sz w:val="20"/>
          <w:szCs w:val="24"/>
        </w:rPr>
        <w:t xml:space="preserve">, R.D., Rodriguez, S.L. (2013). Measles in Bolivia a honeymoon period Vaccine 31:2097 – 2012. </w:t>
      </w:r>
    </w:p>
    <w:p w:rsidR="00171788" w:rsidRPr="00171788" w:rsidRDefault="00FE602D" w:rsidP="0017178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171788">
        <w:rPr>
          <w:rFonts w:ascii="Times New Roman" w:hAnsi="Times New Roman" w:cs="Times New Roman"/>
          <w:sz w:val="20"/>
          <w:szCs w:val="24"/>
        </w:rPr>
        <w:t>Wombwell</w:t>
      </w:r>
      <w:proofErr w:type="spellEnd"/>
      <w:r w:rsidRPr="00171788">
        <w:rPr>
          <w:rFonts w:ascii="Times New Roman" w:hAnsi="Times New Roman" w:cs="Times New Roman"/>
          <w:sz w:val="20"/>
          <w:szCs w:val="24"/>
        </w:rPr>
        <w:t xml:space="preserve"> E, </w:t>
      </w:r>
      <w:proofErr w:type="spellStart"/>
      <w:r w:rsidRPr="00171788">
        <w:rPr>
          <w:rFonts w:ascii="Times New Roman" w:hAnsi="Times New Roman" w:cs="Times New Roman"/>
          <w:sz w:val="20"/>
          <w:szCs w:val="24"/>
        </w:rPr>
        <w:t>Fangman</w:t>
      </w:r>
      <w:proofErr w:type="spellEnd"/>
      <w:r w:rsidRPr="00171788">
        <w:rPr>
          <w:rFonts w:ascii="Times New Roman" w:hAnsi="Times New Roman" w:cs="Times New Roman"/>
          <w:sz w:val="20"/>
          <w:szCs w:val="24"/>
        </w:rPr>
        <w:t xml:space="preserve"> MT, Yoder AK</w:t>
      </w:r>
      <w:r w:rsidR="009F52A6" w:rsidRPr="00171788">
        <w:rPr>
          <w:rFonts w:ascii="Times New Roman" w:hAnsi="Times New Roman" w:cs="Times New Roman"/>
          <w:sz w:val="20"/>
          <w:szCs w:val="24"/>
        </w:rPr>
        <w:t>. (</w:t>
      </w:r>
      <w:r w:rsidRPr="00171788">
        <w:rPr>
          <w:rFonts w:ascii="Times New Roman" w:hAnsi="Times New Roman" w:cs="Times New Roman"/>
          <w:sz w:val="20"/>
          <w:szCs w:val="24"/>
        </w:rPr>
        <w:t>2015). Religious Barriers to Measles Vaccination. J Community Health,; 40(3): 597-604.</w:t>
      </w:r>
    </w:p>
    <w:p w:rsidR="00171788" w:rsidRPr="00171788" w:rsidRDefault="00171788" w:rsidP="00171788">
      <w:pPr>
        <w:autoSpaceDE w:val="0"/>
        <w:autoSpaceDN w:val="0"/>
        <w:adjustRightInd w:val="0"/>
        <w:snapToGrid w:val="0"/>
        <w:spacing w:after="0" w:line="240" w:lineRule="auto"/>
        <w:ind w:left="425" w:hanging="425"/>
        <w:jc w:val="both"/>
        <w:rPr>
          <w:rFonts w:ascii="Times New Roman" w:hAnsi="Times New Roman" w:cs="Times New Roman"/>
          <w:bCs/>
          <w:sz w:val="20"/>
          <w:szCs w:val="24"/>
        </w:rPr>
        <w:sectPr w:rsidR="00171788" w:rsidRPr="00171788" w:rsidSect="00171788">
          <w:type w:val="continuous"/>
          <w:pgSz w:w="12240" w:h="15840" w:code="1"/>
          <w:pgMar w:top="1440" w:right="1440" w:bottom="1440" w:left="1440" w:header="720" w:footer="720" w:gutter="0"/>
          <w:cols w:num="2" w:space="550"/>
          <w:docGrid w:linePitch="360"/>
        </w:sectPr>
      </w:pPr>
    </w:p>
    <w:p w:rsidR="00171788" w:rsidRDefault="00171788" w:rsidP="00171788">
      <w:pPr>
        <w:autoSpaceDE w:val="0"/>
        <w:autoSpaceDN w:val="0"/>
        <w:adjustRightInd w:val="0"/>
        <w:snapToGrid w:val="0"/>
        <w:spacing w:after="0" w:line="240" w:lineRule="auto"/>
        <w:ind w:left="425" w:hanging="425"/>
        <w:jc w:val="both"/>
        <w:rPr>
          <w:rFonts w:ascii="Times New Roman" w:hAnsi="Times New Roman" w:cs="Times New Roman"/>
          <w:bCs/>
          <w:sz w:val="20"/>
          <w:szCs w:val="24"/>
          <w:lang w:eastAsia="zh-CN"/>
        </w:rPr>
      </w:pPr>
    </w:p>
    <w:p w:rsidR="00171788" w:rsidRPr="00171788" w:rsidRDefault="00171788" w:rsidP="00171788">
      <w:pPr>
        <w:autoSpaceDE w:val="0"/>
        <w:autoSpaceDN w:val="0"/>
        <w:adjustRightInd w:val="0"/>
        <w:snapToGrid w:val="0"/>
        <w:spacing w:after="0" w:line="240" w:lineRule="auto"/>
        <w:ind w:left="425" w:hanging="425"/>
        <w:jc w:val="both"/>
        <w:rPr>
          <w:rFonts w:ascii="Times New Roman" w:hAnsi="Times New Roman" w:cs="Times New Roman"/>
          <w:bCs/>
          <w:sz w:val="20"/>
          <w:szCs w:val="24"/>
          <w:lang w:eastAsia="zh-CN"/>
        </w:rPr>
      </w:pPr>
    </w:p>
    <w:p w:rsidR="009F52A6" w:rsidRPr="009F52A6" w:rsidRDefault="009F52A6" w:rsidP="00171788">
      <w:pPr>
        <w:snapToGrid w:val="0"/>
        <w:spacing w:after="0" w:line="240" w:lineRule="auto"/>
        <w:ind w:left="425" w:hanging="425"/>
        <w:jc w:val="both"/>
        <w:rPr>
          <w:rFonts w:ascii="Times New Roman" w:hAnsi="Times New Roman" w:cs="Times New Roman"/>
          <w:sz w:val="20"/>
        </w:rPr>
      </w:pPr>
    </w:p>
    <w:p w:rsidR="00AC387B" w:rsidRPr="009F52A6" w:rsidRDefault="009F52A6" w:rsidP="00171788">
      <w:pPr>
        <w:snapToGrid w:val="0"/>
        <w:spacing w:after="0" w:line="240" w:lineRule="auto"/>
        <w:ind w:left="425" w:hanging="425"/>
        <w:jc w:val="both"/>
        <w:rPr>
          <w:rFonts w:ascii="Times New Roman" w:hAnsi="Times New Roman" w:cs="Times New Roman"/>
          <w:sz w:val="20"/>
        </w:rPr>
      </w:pPr>
      <w:r w:rsidRPr="009F52A6">
        <w:rPr>
          <w:rFonts w:ascii="Times New Roman" w:hAnsi="Times New Roman" w:cs="Times New Roman"/>
          <w:sz w:val="20"/>
        </w:rPr>
        <w:t>3/20/2019</w:t>
      </w:r>
    </w:p>
    <w:sectPr w:rsidR="00AC387B" w:rsidRPr="009F52A6" w:rsidSect="009F52A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74" w:rsidRDefault="00CE3674">
      <w:pPr>
        <w:spacing w:after="0" w:line="240" w:lineRule="auto"/>
      </w:pPr>
      <w:r>
        <w:separator/>
      </w:r>
    </w:p>
  </w:endnote>
  <w:endnote w:type="continuationSeparator" w:id="0">
    <w:p w:rsidR="00CE3674" w:rsidRDefault="00CE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45" w:rsidRPr="00FF2591" w:rsidRDefault="00190102" w:rsidP="00FF2591">
    <w:pPr>
      <w:spacing w:after="0" w:line="240" w:lineRule="auto"/>
      <w:jc w:val="center"/>
      <w:rPr>
        <w:rFonts w:ascii="Times New Roman" w:hAnsi="Times New Roman" w:cs="Times New Roman"/>
        <w:sz w:val="20"/>
      </w:rPr>
    </w:pPr>
    <w:r w:rsidRPr="00FF2591">
      <w:rPr>
        <w:rFonts w:ascii="Times New Roman" w:hAnsi="Times New Roman" w:cs="Times New Roman"/>
        <w:sz w:val="20"/>
      </w:rPr>
      <w:fldChar w:fldCharType="begin"/>
    </w:r>
    <w:r w:rsidR="00FF2591" w:rsidRPr="00FF2591">
      <w:rPr>
        <w:rFonts w:ascii="Times New Roman" w:hAnsi="Times New Roman" w:cs="Times New Roman"/>
        <w:sz w:val="20"/>
      </w:rPr>
      <w:instrText xml:space="preserve"> page </w:instrText>
    </w:r>
    <w:r w:rsidRPr="00FF2591">
      <w:rPr>
        <w:rFonts w:ascii="Times New Roman" w:hAnsi="Times New Roman" w:cs="Times New Roman"/>
        <w:sz w:val="20"/>
      </w:rPr>
      <w:fldChar w:fldCharType="separate"/>
    </w:r>
    <w:r w:rsidR="00E8688B">
      <w:rPr>
        <w:rFonts w:ascii="Times New Roman" w:hAnsi="Times New Roman" w:cs="Times New Roman"/>
        <w:noProof/>
        <w:sz w:val="20"/>
      </w:rPr>
      <w:t>42</w:t>
    </w:r>
    <w:r w:rsidRPr="00FF259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74" w:rsidRDefault="00CE3674">
      <w:pPr>
        <w:spacing w:after="0" w:line="240" w:lineRule="auto"/>
      </w:pPr>
      <w:r>
        <w:separator/>
      </w:r>
    </w:p>
  </w:footnote>
  <w:footnote w:type="continuationSeparator" w:id="0">
    <w:p w:rsidR="00CE3674" w:rsidRDefault="00CE3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91" w:rsidRPr="00FF2591" w:rsidRDefault="00FF2591" w:rsidP="00FF259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F2591">
      <w:rPr>
        <w:rFonts w:ascii="Times New Roman" w:hAnsi="Times New Roman" w:cs="Times New Roman" w:hint="eastAsia"/>
        <w:sz w:val="20"/>
        <w:szCs w:val="20"/>
      </w:rPr>
      <w:tab/>
    </w:r>
    <w:r w:rsidRPr="00FF2591">
      <w:rPr>
        <w:rFonts w:ascii="Times New Roman" w:hAnsi="Times New Roman" w:cs="Times New Roman"/>
        <w:sz w:val="20"/>
        <w:szCs w:val="20"/>
      </w:rPr>
      <w:t>New York Science Journal 201</w:t>
    </w:r>
    <w:r w:rsidRPr="00FF2591">
      <w:rPr>
        <w:rFonts w:ascii="Times New Roman" w:hAnsi="Times New Roman" w:cs="Times New Roman" w:hint="eastAsia"/>
        <w:sz w:val="20"/>
        <w:szCs w:val="20"/>
      </w:rPr>
      <w:t>9</w:t>
    </w:r>
    <w:r w:rsidRPr="00FF2591">
      <w:rPr>
        <w:rFonts w:ascii="Times New Roman" w:hAnsi="Times New Roman" w:cs="Times New Roman"/>
        <w:sz w:val="20"/>
        <w:szCs w:val="20"/>
      </w:rPr>
      <w:t>;</w:t>
    </w:r>
    <w:r w:rsidRPr="00FF2591">
      <w:rPr>
        <w:rFonts w:ascii="Times New Roman" w:hAnsi="Times New Roman" w:cs="Times New Roman" w:hint="eastAsia"/>
        <w:sz w:val="20"/>
        <w:szCs w:val="20"/>
      </w:rPr>
      <w:t>12</w:t>
    </w:r>
    <w:r w:rsidRPr="00FF2591">
      <w:rPr>
        <w:rFonts w:ascii="Times New Roman" w:hAnsi="Times New Roman" w:cs="Times New Roman"/>
        <w:sz w:val="20"/>
        <w:szCs w:val="20"/>
      </w:rPr>
      <w:t>(</w:t>
    </w:r>
    <w:r w:rsidRPr="00FF2591">
      <w:rPr>
        <w:rFonts w:ascii="Times New Roman" w:hAnsi="Times New Roman" w:cs="Times New Roman" w:hint="eastAsia"/>
        <w:sz w:val="20"/>
        <w:szCs w:val="20"/>
      </w:rPr>
      <w:t>3</w:t>
    </w:r>
    <w:r w:rsidRPr="00FF2591">
      <w:rPr>
        <w:rFonts w:ascii="Times New Roman" w:hAnsi="Times New Roman" w:cs="Times New Roman"/>
        <w:sz w:val="20"/>
        <w:szCs w:val="20"/>
      </w:rPr>
      <w:t>)</w:t>
    </w:r>
    <w:r w:rsidRPr="00FF2591">
      <w:rPr>
        <w:rFonts w:ascii="Times New Roman" w:hAnsi="Times New Roman" w:cs="Times New Roman"/>
        <w:iCs/>
        <w:sz w:val="20"/>
        <w:szCs w:val="20"/>
      </w:rPr>
      <w:t xml:space="preserve">     </w:t>
    </w:r>
    <w:r w:rsidRPr="00FF2591">
      <w:rPr>
        <w:rFonts w:ascii="Times New Roman" w:hAnsi="Times New Roman" w:cs="Times New Roman" w:hint="eastAsia"/>
        <w:iCs/>
        <w:sz w:val="20"/>
        <w:szCs w:val="20"/>
      </w:rPr>
      <w:tab/>
    </w:r>
    <w:r w:rsidRPr="00FF2591">
      <w:rPr>
        <w:rFonts w:ascii="Times New Roman" w:hAnsi="Times New Roman" w:cs="Times New Roman"/>
        <w:iCs/>
        <w:sz w:val="20"/>
        <w:szCs w:val="20"/>
      </w:rPr>
      <w:t xml:space="preserve"> </w:t>
    </w:r>
    <w:r w:rsidRPr="00FF2591">
      <w:rPr>
        <w:rFonts w:ascii="Times New Roman" w:hAnsi="Times New Roman" w:cs="Times New Roman" w:hint="eastAsia"/>
        <w:iCs/>
        <w:sz w:val="20"/>
        <w:szCs w:val="20"/>
      </w:rPr>
      <w:t xml:space="preserve"> </w:t>
    </w:r>
    <w:r w:rsidRPr="00FF2591">
      <w:rPr>
        <w:rFonts w:ascii="Times New Roman" w:hAnsi="Times New Roman" w:cs="Times New Roman"/>
        <w:iCs/>
        <w:sz w:val="20"/>
        <w:szCs w:val="20"/>
      </w:rPr>
      <w:t xml:space="preserve">   </w:t>
    </w:r>
    <w:hyperlink r:id="rId1" w:history="1">
      <w:r w:rsidRPr="00FF2591">
        <w:rPr>
          <w:rStyle w:val="Hyperlink"/>
          <w:rFonts w:ascii="Times New Roman" w:hAnsi="Times New Roman" w:cs="Times New Roman"/>
          <w:sz w:val="20"/>
          <w:szCs w:val="20"/>
        </w:rPr>
        <w:t>http://www.sciencepub.net/newyork</w:t>
      </w:r>
    </w:hyperlink>
  </w:p>
  <w:p w:rsidR="00FF2591" w:rsidRPr="00FF2591" w:rsidRDefault="00FF2591" w:rsidP="00FF259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75C"/>
    <w:multiLevelType w:val="multilevel"/>
    <w:tmpl w:val="B442D58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585959"/>
    <w:multiLevelType w:val="multilevel"/>
    <w:tmpl w:val="C5A4965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BF3ACA"/>
    <w:multiLevelType w:val="multilevel"/>
    <w:tmpl w:val="4ED0D3D2"/>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9A75CEC"/>
    <w:multiLevelType w:val="multilevel"/>
    <w:tmpl w:val="314CB6E4"/>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FB05E5"/>
    <w:multiLevelType w:val="multilevel"/>
    <w:tmpl w:val="8EC8314E"/>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2D3C5F"/>
    <w:multiLevelType w:val="multilevel"/>
    <w:tmpl w:val="8154FA52"/>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CAA3E01"/>
    <w:multiLevelType w:val="multilevel"/>
    <w:tmpl w:val="C18A70F2"/>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2F22B25"/>
    <w:multiLevelType w:val="multilevel"/>
    <w:tmpl w:val="C2AE385E"/>
    <w:lvl w:ilvl="0">
      <w:start w:val="3"/>
      <w:numFmt w:val="decimal"/>
      <w:lvlText w:val="%1"/>
      <w:lvlJc w:val="left"/>
      <w:pPr>
        <w:ind w:left="360" w:hanging="360"/>
      </w:pPr>
      <w:rPr>
        <w:rFonts w:hint="default"/>
      </w:rPr>
    </w:lvl>
    <w:lvl w:ilvl="1">
      <w:start w:val="9"/>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34AD10C9"/>
    <w:multiLevelType w:val="multilevel"/>
    <w:tmpl w:val="4F7A843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5355488"/>
    <w:multiLevelType w:val="multilevel"/>
    <w:tmpl w:val="49828B5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64C0D5D"/>
    <w:multiLevelType w:val="multilevel"/>
    <w:tmpl w:val="9E665D80"/>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A55F66"/>
    <w:multiLevelType w:val="multilevel"/>
    <w:tmpl w:val="4E2672F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DB660D9"/>
    <w:multiLevelType w:val="multilevel"/>
    <w:tmpl w:val="71BA7482"/>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DD046B5"/>
    <w:multiLevelType w:val="multilevel"/>
    <w:tmpl w:val="B2B0B26C"/>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DE73D6"/>
    <w:multiLevelType w:val="hybridMultilevel"/>
    <w:tmpl w:val="7E7CCEA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9076C"/>
    <w:multiLevelType w:val="multilevel"/>
    <w:tmpl w:val="ED28A27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FB668BD"/>
    <w:multiLevelType w:val="multilevel"/>
    <w:tmpl w:val="CE622A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C018CB"/>
    <w:multiLevelType w:val="multilevel"/>
    <w:tmpl w:val="A7F612B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8E54BF0"/>
    <w:multiLevelType w:val="hybridMultilevel"/>
    <w:tmpl w:val="5DDE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0"/>
  </w:num>
  <w:num w:numId="5">
    <w:abstractNumId w:val="11"/>
  </w:num>
  <w:num w:numId="6">
    <w:abstractNumId w:val="2"/>
  </w:num>
  <w:num w:numId="7">
    <w:abstractNumId w:val="9"/>
  </w:num>
  <w:num w:numId="8">
    <w:abstractNumId w:val="5"/>
  </w:num>
  <w:num w:numId="9">
    <w:abstractNumId w:val="6"/>
  </w:num>
  <w:num w:numId="10">
    <w:abstractNumId w:val="3"/>
  </w:num>
  <w:num w:numId="11">
    <w:abstractNumId w:val="13"/>
  </w:num>
  <w:num w:numId="12">
    <w:abstractNumId w:val="10"/>
  </w:num>
  <w:num w:numId="13">
    <w:abstractNumId w:val="15"/>
  </w:num>
  <w:num w:numId="14">
    <w:abstractNumId w:val="17"/>
  </w:num>
  <w:num w:numId="15">
    <w:abstractNumId w:val="1"/>
  </w:num>
  <w:num w:numId="16">
    <w:abstractNumId w:val="8"/>
  </w:num>
  <w:num w:numId="17">
    <w:abstractNumId w:val="4"/>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FE602D"/>
    <w:rsid w:val="00077996"/>
    <w:rsid w:val="000A5DFB"/>
    <w:rsid w:val="000E1E88"/>
    <w:rsid w:val="00164212"/>
    <w:rsid w:val="00171788"/>
    <w:rsid w:val="00190102"/>
    <w:rsid w:val="001935DC"/>
    <w:rsid w:val="001A49A2"/>
    <w:rsid w:val="001F0D73"/>
    <w:rsid w:val="00286557"/>
    <w:rsid w:val="00322645"/>
    <w:rsid w:val="003B0D6B"/>
    <w:rsid w:val="003B69E9"/>
    <w:rsid w:val="004145B6"/>
    <w:rsid w:val="0052598F"/>
    <w:rsid w:val="005A1B19"/>
    <w:rsid w:val="0063287E"/>
    <w:rsid w:val="00677748"/>
    <w:rsid w:val="00724CAD"/>
    <w:rsid w:val="00745C0B"/>
    <w:rsid w:val="0079545A"/>
    <w:rsid w:val="007B21E5"/>
    <w:rsid w:val="007C3732"/>
    <w:rsid w:val="008067AF"/>
    <w:rsid w:val="00815D05"/>
    <w:rsid w:val="0088235C"/>
    <w:rsid w:val="008975F4"/>
    <w:rsid w:val="008A1729"/>
    <w:rsid w:val="008D4EEA"/>
    <w:rsid w:val="00901411"/>
    <w:rsid w:val="0095021F"/>
    <w:rsid w:val="00965FF3"/>
    <w:rsid w:val="009850F5"/>
    <w:rsid w:val="009A5999"/>
    <w:rsid w:val="009F509A"/>
    <w:rsid w:val="009F52A6"/>
    <w:rsid w:val="00A440F0"/>
    <w:rsid w:val="00A60058"/>
    <w:rsid w:val="00AA7BAC"/>
    <w:rsid w:val="00AC387B"/>
    <w:rsid w:val="00AD1E00"/>
    <w:rsid w:val="00B015BE"/>
    <w:rsid w:val="00B241A1"/>
    <w:rsid w:val="00B27EDC"/>
    <w:rsid w:val="00B3290C"/>
    <w:rsid w:val="00B449A4"/>
    <w:rsid w:val="00B54C25"/>
    <w:rsid w:val="00BF2D0E"/>
    <w:rsid w:val="00C21FB7"/>
    <w:rsid w:val="00C431B2"/>
    <w:rsid w:val="00CE3674"/>
    <w:rsid w:val="00D431B5"/>
    <w:rsid w:val="00DA4EAD"/>
    <w:rsid w:val="00E8688B"/>
    <w:rsid w:val="00E96E61"/>
    <w:rsid w:val="00EC60D9"/>
    <w:rsid w:val="00EE0243"/>
    <w:rsid w:val="00F449C9"/>
    <w:rsid w:val="00F461DC"/>
    <w:rsid w:val="00FE602D"/>
    <w:rsid w:val="00FF2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E602D"/>
    <w:rPr>
      <w:color w:val="0000FF"/>
      <w:u w:val="single"/>
    </w:rPr>
  </w:style>
  <w:style w:type="paragraph" w:styleId="ListParagraph">
    <w:name w:val="List Paragraph"/>
    <w:basedOn w:val="Normal"/>
    <w:link w:val="ListParagraphChar"/>
    <w:uiPriority w:val="34"/>
    <w:qFormat/>
    <w:rsid w:val="00FE602D"/>
    <w:pPr>
      <w:ind w:left="720"/>
      <w:contextualSpacing/>
    </w:pPr>
  </w:style>
  <w:style w:type="character" w:customStyle="1" w:styleId="citation">
    <w:name w:val="citation"/>
    <w:basedOn w:val="DefaultParagraphFont"/>
    <w:rsid w:val="00FE602D"/>
  </w:style>
  <w:style w:type="paragraph" w:styleId="NormalWeb">
    <w:name w:val="Normal (Web)"/>
    <w:basedOn w:val="Normal"/>
    <w:uiPriority w:val="99"/>
    <w:unhideWhenUsed/>
    <w:rsid w:val="00FE60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6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2D"/>
    <w:rPr>
      <w:rFonts w:eastAsiaTheme="minorEastAsia"/>
    </w:rPr>
  </w:style>
  <w:style w:type="paragraph" w:customStyle="1" w:styleId="Default">
    <w:name w:val="Default"/>
    <w:rsid w:val="00FE60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E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2D"/>
    <w:rPr>
      <w:rFonts w:ascii="Tahoma" w:eastAsiaTheme="minorEastAsia" w:hAnsi="Tahoma" w:cs="Tahoma"/>
      <w:sz w:val="16"/>
      <w:szCs w:val="16"/>
    </w:rPr>
  </w:style>
  <w:style w:type="paragraph" w:styleId="NoSpacing">
    <w:name w:val="No Spacing"/>
    <w:link w:val="NoSpacingChar"/>
    <w:uiPriority w:val="1"/>
    <w:qFormat/>
    <w:rsid w:val="00FE602D"/>
    <w:pPr>
      <w:spacing w:after="0" w:line="240" w:lineRule="auto"/>
    </w:pPr>
    <w:rPr>
      <w:rFonts w:ascii="Times New Roman" w:eastAsia="Calibri" w:hAnsi="Times New Roman" w:cs="Times New Roman"/>
      <w:sz w:val="24"/>
      <w:szCs w:val="24"/>
      <w:lang w:val="en-GB"/>
    </w:rPr>
  </w:style>
  <w:style w:type="character" w:customStyle="1" w:styleId="NoSpacingChar">
    <w:name w:val="No Spacing Char"/>
    <w:basedOn w:val="DefaultParagraphFont"/>
    <w:link w:val="NoSpacing"/>
    <w:uiPriority w:val="1"/>
    <w:locked/>
    <w:rsid w:val="00FE602D"/>
    <w:rPr>
      <w:rFonts w:ascii="Times New Roman" w:eastAsia="Calibri" w:hAnsi="Times New Roman" w:cs="Times New Roman"/>
      <w:sz w:val="24"/>
      <w:szCs w:val="24"/>
      <w:lang w:val="en-GB"/>
    </w:rPr>
  </w:style>
  <w:style w:type="character" w:customStyle="1" w:styleId="ListParagraphChar">
    <w:name w:val="List Paragraph Char"/>
    <w:basedOn w:val="DefaultParagraphFont"/>
    <w:link w:val="ListParagraph"/>
    <w:uiPriority w:val="34"/>
    <w:rsid w:val="00FE602D"/>
    <w:rPr>
      <w:rFonts w:eastAsiaTheme="minorEastAsia"/>
    </w:rPr>
  </w:style>
  <w:style w:type="paragraph" w:styleId="Footer">
    <w:name w:val="footer"/>
    <w:basedOn w:val="Normal"/>
    <w:link w:val="FooterChar"/>
    <w:uiPriority w:val="99"/>
    <w:unhideWhenUsed/>
    <w:rsid w:val="00FE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2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02D"/>
    <w:rPr>
      <w:color w:val="0000FF"/>
      <w:u w:val="single"/>
    </w:rPr>
  </w:style>
  <w:style w:type="paragraph" w:styleId="ListParagraph">
    <w:name w:val="List Paragraph"/>
    <w:basedOn w:val="Normal"/>
    <w:link w:val="ListParagraphChar"/>
    <w:uiPriority w:val="34"/>
    <w:qFormat/>
    <w:rsid w:val="00FE602D"/>
    <w:pPr>
      <w:ind w:left="720"/>
      <w:contextualSpacing/>
    </w:pPr>
  </w:style>
  <w:style w:type="character" w:customStyle="1" w:styleId="citation">
    <w:name w:val="citation"/>
    <w:basedOn w:val="DefaultParagraphFont"/>
    <w:rsid w:val="00FE602D"/>
  </w:style>
  <w:style w:type="paragraph" w:styleId="NormalWeb">
    <w:name w:val="Normal (Web)"/>
    <w:basedOn w:val="Normal"/>
    <w:uiPriority w:val="99"/>
    <w:unhideWhenUsed/>
    <w:rsid w:val="00FE60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602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2D"/>
    <w:rPr>
      <w:rFonts w:eastAsiaTheme="minorEastAsia"/>
    </w:rPr>
  </w:style>
  <w:style w:type="paragraph" w:customStyle="1" w:styleId="Default">
    <w:name w:val="Default"/>
    <w:rsid w:val="00FE602D"/>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FE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2D"/>
    <w:rPr>
      <w:rFonts w:ascii="Tahoma" w:eastAsiaTheme="minorEastAsia" w:hAnsi="Tahoma" w:cs="Tahoma"/>
      <w:sz w:val="16"/>
      <w:szCs w:val="16"/>
    </w:rPr>
  </w:style>
  <w:style w:type="paragraph" w:styleId="NoSpacing">
    <w:name w:val="No Spacing"/>
    <w:link w:val="NoSpacingChar"/>
    <w:uiPriority w:val="1"/>
    <w:qFormat/>
    <w:rsid w:val="00FE602D"/>
    <w:pPr>
      <w:spacing w:after="0" w:line="240" w:lineRule="auto"/>
    </w:pPr>
    <w:rPr>
      <w:rFonts w:ascii="Times New Roman" w:eastAsia="Calibri" w:hAnsi="Times New Roman" w:cs="Times New Roman"/>
      <w:sz w:val="24"/>
      <w:szCs w:val="24"/>
      <w:lang w:val="en-GB"/>
    </w:rPr>
  </w:style>
  <w:style w:type="character" w:customStyle="1" w:styleId="NoSpacingChar">
    <w:name w:val="No Spacing Char"/>
    <w:basedOn w:val="DefaultParagraphFont"/>
    <w:link w:val="NoSpacing"/>
    <w:uiPriority w:val="1"/>
    <w:locked/>
    <w:rsid w:val="00FE602D"/>
    <w:rPr>
      <w:rFonts w:ascii="Times New Roman" w:eastAsia="Calibri" w:hAnsi="Times New Roman" w:cs="Times New Roman"/>
      <w:sz w:val="24"/>
      <w:szCs w:val="24"/>
      <w:lang w:val="en-GB"/>
    </w:rPr>
  </w:style>
  <w:style w:type="character" w:customStyle="1" w:styleId="ListParagraphChar">
    <w:name w:val="List Paragraph Char"/>
    <w:basedOn w:val="DefaultParagraphFont"/>
    <w:link w:val="ListParagraph"/>
    <w:uiPriority w:val="34"/>
    <w:rsid w:val="00FE602D"/>
    <w:rPr>
      <w:rFonts w:eastAsiaTheme="minorEastAsia"/>
    </w:rPr>
  </w:style>
  <w:style w:type="paragraph" w:styleId="Footer">
    <w:name w:val="footer"/>
    <w:basedOn w:val="Normal"/>
    <w:link w:val="FooterChar"/>
    <w:uiPriority w:val="99"/>
    <w:unhideWhenUsed/>
    <w:rsid w:val="00FE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2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who.int/immunization_monitoring/diseases/measlesreportedcasesbycountry.pdf" TargetMode="External"/><Relationship Id="rId3" Type="http://schemas.openxmlformats.org/officeDocument/2006/relationships/settings" Target="settings.xml"/><Relationship Id="rId7" Type="http://schemas.openxmlformats.org/officeDocument/2006/relationships/hyperlink" Target="mailto:barimax4u@yahoo.com;" TargetMode="External"/><Relationship Id="rId12" Type="http://schemas.openxmlformats.org/officeDocument/2006/relationships/hyperlink" Target="mailto:barimax4u@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319.06" TargetMode="External"/><Relationship Id="rId14" Type="http://schemas.openxmlformats.org/officeDocument/2006/relationships/hyperlink" Target="http://ecdc.europa.eu/en/ESCAIDE/Materials/"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5998</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 2019;12(x)                                                http://www.sciencepub.net/newyork</dc:title>
  <dc:creator>MAXWELL</dc:creator>
  <cp:lastModifiedBy>Administrator</cp:lastModifiedBy>
  <cp:revision>3</cp:revision>
  <dcterms:created xsi:type="dcterms:W3CDTF">2019-03-26T13:47:00Z</dcterms:created>
  <dcterms:modified xsi:type="dcterms:W3CDTF">2019-03-27T01:34:00Z</dcterms:modified>
</cp:coreProperties>
</file>