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59" w:rsidRPr="00DF2AD3" w:rsidRDefault="009F0D3D" w:rsidP="00D47065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Screening of Acute Kidney Injury </w:t>
      </w:r>
      <w:r w:rsidR="00076519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among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Critically Ill Patients (Based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On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RIFLE,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KDIGO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and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AKIN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Criteria)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In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ICU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Patients</w:t>
      </w:r>
    </w:p>
    <w:p w:rsidR="00CC2459" w:rsidRPr="00DF2AD3" w:rsidRDefault="00CC2459" w:rsidP="00D47065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</w:pPr>
    </w:p>
    <w:p w:rsidR="00CC2459" w:rsidRPr="00DF2AD3" w:rsidRDefault="009F0D3D" w:rsidP="00D47065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 w:bidi="ar-EG"/>
        </w:rPr>
      </w:pPr>
      <w:r w:rsidRPr="00DF2AD3">
        <w:rPr>
          <w:rFonts w:ascii="Times New Roman" w:hAnsi="Times New Roman" w:cs="Times New Roman"/>
          <w:sz w:val="20"/>
          <w:szCs w:val="20"/>
        </w:rPr>
        <w:t>Prof.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Dr</w:t>
      </w:r>
      <w:r w:rsidR="00D47065" w:rsidRPr="00DF2AD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D47065" w:rsidRPr="00DF2AD3">
        <w:rPr>
          <w:rFonts w:ascii="Times New Roman" w:hAnsi="Times New Roman" w:cs="Times New Roman"/>
          <w:sz w:val="20"/>
          <w:szCs w:val="20"/>
          <w:lang w:bidi="ar-EG"/>
        </w:rPr>
        <w:t>N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ashwa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Mohammed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DF2AD3">
        <w:rPr>
          <w:rFonts w:ascii="Times New Roman" w:hAnsi="Times New Roman" w:cs="Times New Roman"/>
          <w:sz w:val="20"/>
          <w:szCs w:val="20"/>
          <w:lang w:bidi="ar-EG"/>
        </w:rPr>
        <w:t>Nour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Din</w:t>
      </w:r>
      <w:r w:rsidR="00076519" w:rsidRPr="00DF2AD3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1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Prof.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Dr</w:t>
      </w:r>
      <w:r w:rsidR="00D47065" w:rsidRPr="00DF2AD3">
        <w:rPr>
          <w:rFonts w:ascii="Times New Roman" w:hAnsi="Times New Roman" w:cs="Times New Roman"/>
          <w:sz w:val="20"/>
          <w:szCs w:val="20"/>
        </w:rPr>
        <w:t>. Y</w:t>
      </w:r>
      <w:r w:rsidRPr="00DF2AD3">
        <w:rPr>
          <w:rFonts w:ascii="Times New Roman" w:hAnsi="Times New Roman" w:cs="Times New Roman"/>
          <w:sz w:val="20"/>
          <w:szCs w:val="20"/>
        </w:rPr>
        <w:t>asser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F2AD3">
        <w:rPr>
          <w:rFonts w:ascii="Times New Roman" w:hAnsi="Times New Roman" w:cs="Times New Roman"/>
          <w:sz w:val="20"/>
          <w:szCs w:val="20"/>
        </w:rPr>
        <w:t>Moustafa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Hafez</w:t>
      </w:r>
      <w:r w:rsidR="00076519" w:rsidRPr="00DF2AD3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1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Prof.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Dr.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F2AD3">
        <w:rPr>
          <w:rFonts w:ascii="Times New Roman" w:hAnsi="Times New Roman" w:cs="Times New Roman"/>
          <w:sz w:val="20"/>
          <w:szCs w:val="20"/>
        </w:rPr>
        <w:t>Gamalat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Mohammed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Ali</w:t>
      </w:r>
      <w:r w:rsidR="00076519" w:rsidRPr="00DF2AD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F2AD3">
        <w:rPr>
          <w:rFonts w:ascii="Times New Roman" w:hAnsi="Times New Roman" w:cs="Times New Roman"/>
          <w:sz w:val="20"/>
          <w:szCs w:val="20"/>
        </w:rPr>
        <w:t>,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Hussein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Farouk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Hussein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Osman</w:t>
      </w:r>
      <w:r w:rsidR="00076519" w:rsidRPr="00DF2AD3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1</w:t>
      </w:r>
    </w:p>
    <w:p w:rsidR="00CC2459" w:rsidRPr="00DF2AD3" w:rsidRDefault="00CC2459" w:rsidP="00D47065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 w:bidi="ar-EG"/>
        </w:rPr>
      </w:pPr>
    </w:p>
    <w:p w:rsidR="009F0D3D" w:rsidRPr="00DF2AD3" w:rsidRDefault="009F0D3D" w:rsidP="00D47065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1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Internal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Medicine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Department,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Faculty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Medicine</w:t>
      </w:r>
      <w:r w:rsidR="00D47065" w:rsidRPr="00DF2AD3">
        <w:rPr>
          <w:rFonts w:ascii="Times New Roman" w:hAnsi="Times New Roman" w:cs="Times New Roman"/>
          <w:sz w:val="20"/>
          <w:szCs w:val="20"/>
          <w:lang w:bidi="ar-EG"/>
        </w:rPr>
        <w:t>, T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anta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University,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Egypt</w:t>
      </w:r>
    </w:p>
    <w:p w:rsidR="009F0D3D" w:rsidRPr="00DF2AD3" w:rsidRDefault="009F0D3D" w:rsidP="00D47065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2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Internal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Medicine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Department,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Faculty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Medicine</w:t>
      </w:r>
      <w:r w:rsidR="00D47065" w:rsidRPr="00DF2AD3">
        <w:rPr>
          <w:rFonts w:ascii="Times New Roman" w:hAnsi="Times New Roman" w:cs="Times New Roman"/>
          <w:sz w:val="20"/>
          <w:szCs w:val="20"/>
          <w:lang w:bidi="ar-EG"/>
        </w:rPr>
        <w:t>, T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anta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University,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Egypt</w:t>
      </w:r>
    </w:p>
    <w:p w:rsidR="00CC2459" w:rsidRPr="00DF2AD3" w:rsidRDefault="00A87DBA" w:rsidP="00D47065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hyperlink r:id="rId8" w:history="1">
        <w:r w:rsidR="009F0D3D" w:rsidRPr="00DF2AD3">
          <w:rPr>
            <w:rStyle w:val="Hyperlink"/>
            <w:rFonts w:ascii="Times New Roman" w:hAnsi="Times New Roman" w:cs="Times New Roman"/>
            <w:sz w:val="20"/>
            <w:szCs w:val="20"/>
            <w:u w:val="none"/>
            <w:lang w:bidi="ar-EG"/>
          </w:rPr>
          <w:t>Sona_eg@hotmail.com</w:t>
        </w:r>
      </w:hyperlink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CC2459" w:rsidRPr="00DF2AD3" w:rsidRDefault="00CC2459" w:rsidP="00D47065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</w:p>
    <w:p w:rsidR="00F523FF" w:rsidRPr="00DF2AD3" w:rsidRDefault="00F523FF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Abstract</w:t>
      </w:r>
      <w:r w:rsidR="0007651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: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Background: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now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well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known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affecting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large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number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ICU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variable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incidence,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which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increases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risk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death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especially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who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need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RRT.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Aim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work: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This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study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aims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to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screen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critically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ill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admitted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to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El-Sahel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Teaching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Hospital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cardiac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medical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ICUs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acute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kidney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injury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based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on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RIFLE,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KDIGO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AKIN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criteria.</w:t>
      </w:r>
      <w:r w:rsidR="00CC2459" w:rsidRPr="00DF2A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b/>
          <w:bCs/>
          <w:sz w:val="20"/>
          <w:szCs w:val="20"/>
        </w:rPr>
        <w:t>Patients</w:t>
      </w:r>
      <w:r w:rsidR="00CC2459" w:rsidRPr="00DF2A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 w:rsidR="00CC2459" w:rsidRPr="00DF2A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b/>
          <w:bCs/>
          <w:sz w:val="20"/>
          <w:szCs w:val="20"/>
        </w:rPr>
        <w:t>Methods:</w:t>
      </w:r>
      <w:r w:rsidR="00CC2459" w:rsidRPr="00DF2A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In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cross-sectional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study,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screened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AKI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during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interval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May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2017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to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May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2018,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using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RIFLE,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KDIGO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AKIN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criteria.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All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enrolled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in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study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have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subjected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to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full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history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taking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thorough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clinical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examination.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severity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illness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admitted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ICUs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assessed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using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SOFA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score.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Results: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Hospital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acquired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ICU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documented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73.26%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(200/273).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most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independent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risk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factor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developing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AKI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was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sepsis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according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multivariate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logistic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analysis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(p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value: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0.001,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estimated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odds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ratio: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0.217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confidence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interval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between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0.086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0.547).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Dehydration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comes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the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second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place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(p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value: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0.020,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estimated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odds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ratio: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0.424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confidence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interval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between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0.205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0.874).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Regarding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outcome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AKI,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71/200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(35.5%)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show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improvement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ranging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from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less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severe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(RIFLE,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AKIN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KDIGO)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class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to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baseline;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40/200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(20%)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discharged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with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full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renal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recovery,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31/200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(15.5%)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discharged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with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partial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renal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recovery.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69/200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(34.5%)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received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RRT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23/200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(11.5%)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were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discharged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chronic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hemodialysis</w:t>
      </w:r>
      <w:proofErr w:type="spellEnd"/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for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further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follow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up.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Mortality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with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AKI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was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106/200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(53%)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(10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class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or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stage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1,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30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class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or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stage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66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class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F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or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stage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3)</w:t>
      </w:r>
      <w:r w:rsidR="00D4706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 O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other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hand,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mortality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without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AKI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was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43/73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(58.9%).</w:t>
      </w:r>
    </w:p>
    <w:p w:rsidR="00F523FF" w:rsidRPr="00DF2AD3" w:rsidRDefault="00F523FF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2AD3">
        <w:rPr>
          <w:rFonts w:ascii="Times New Roman" w:hAnsi="Times New Roman" w:cs="Times New Roman"/>
          <w:b/>
          <w:sz w:val="20"/>
          <w:szCs w:val="20"/>
        </w:rPr>
        <w:t>Conclusion:</w:t>
      </w:r>
      <w:r w:rsidR="00CC2459" w:rsidRPr="00DF2A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AKI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incidence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El-Sahel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Teaching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Hospital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ICU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is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73.26%.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The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most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independent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risk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factor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AKI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ICU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is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sepsis.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AKI,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especially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class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F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or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stage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3,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has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a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significant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risk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mortality.</w:t>
      </w:r>
      <w:bookmarkStart w:id="0" w:name="_GoBack"/>
      <w:bookmarkEnd w:id="0"/>
    </w:p>
    <w:p w:rsidR="00384B9E" w:rsidRPr="00DF2AD3" w:rsidRDefault="00076519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[</w:t>
      </w:r>
      <w:proofErr w:type="spellStart"/>
      <w:r w:rsidRPr="00DF2AD3">
        <w:rPr>
          <w:rFonts w:ascii="Times New Roman" w:hAnsi="Times New Roman" w:cs="Times New Roman"/>
          <w:sz w:val="20"/>
          <w:szCs w:val="20"/>
          <w:lang w:bidi="ar-EG"/>
        </w:rPr>
        <w:t>Nashwa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Mohammed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DF2AD3">
        <w:rPr>
          <w:rFonts w:ascii="Times New Roman" w:hAnsi="Times New Roman" w:cs="Times New Roman"/>
          <w:sz w:val="20"/>
          <w:szCs w:val="20"/>
          <w:lang w:bidi="ar-EG"/>
        </w:rPr>
        <w:t>Nour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Din,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Yasser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F2AD3">
        <w:rPr>
          <w:rFonts w:ascii="Times New Roman" w:hAnsi="Times New Roman" w:cs="Times New Roman"/>
          <w:sz w:val="20"/>
          <w:szCs w:val="20"/>
        </w:rPr>
        <w:t>Moustafa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Hafez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F2AD3">
        <w:rPr>
          <w:rFonts w:ascii="Times New Roman" w:hAnsi="Times New Roman" w:cs="Times New Roman"/>
          <w:sz w:val="20"/>
          <w:szCs w:val="20"/>
        </w:rPr>
        <w:t>Gamalat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Mohammed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Ali,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Hussein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Farouk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Hussein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DF2AD3">
        <w:rPr>
          <w:rFonts w:ascii="Times New Roman" w:hAnsi="Times New Roman" w:cs="Times New Roman"/>
          <w:sz w:val="20"/>
          <w:szCs w:val="20"/>
          <w:lang w:bidi="ar-EG"/>
        </w:rPr>
        <w:t>Osman</w:t>
      </w:r>
      <w:proofErr w:type="spellEnd"/>
      <w:r w:rsidR="00D47065" w:rsidRPr="00DF2AD3">
        <w:rPr>
          <w:rFonts w:ascii="Times New Roman" w:hAnsi="Times New Roman" w:cs="Times New Roman" w:hint="eastAsia"/>
          <w:sz w:val="20"/>
          <w:szCs w:val="20"/>
          <w:lang w:eastAsia="zh-CN" w:bidi="ar-EG"/>
        </w:rPr>
        <w:t>.</w:t>
      </w:r>
      <w:r w:rsidR="00CC2459" w:rsidRPr="00DF2AD3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Screening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of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Acute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Kidney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Injury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among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Critically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Ill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Patients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(Based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On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EF3607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Rifle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,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proofErr w:type="spellStart"/>
      <w:r w:rsidR="00EF3607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Kdigo</w:t>
      </w:r>
      <w:proofErr w:type="spellEnd"/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and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EF3607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Akin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Criteria)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In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ICU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Patients</w:t>
      </w:r>
      <w:r w:rsidR="00384B9E" w:rsidRPr="00DF2AD3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384B9E" w:rsidRPr="00DF2AD3">
        <w:rPr>
          <w:rFonts w:ascii="Times New Roman" w:hAnsi="Times New Roman" w:cs="Times New Roman"/>
          <w:bCs/>
          <w:i/>
          <w:sz w:val="20"/>
          <w:szCs w:val="20"/>
        </w:rPr>
        <w:t xml:space="preserve"> N Y </w:t>
      </w:r>
      <w:proofErr w:type="spellStart"/>
      <w:r w:rsidR="00384B9E" w:rsidRPr="00DF2AD3">
        <w:rPr>
          <w:rFonts w:ascii="Times New Roman" w:hAnsi="Times New Roman" w:cs="Times New Roman"/>
          <w:bCs/>
          <w:i/>
          <w:sz w:val="20"/>
          <w:szCs w:val="20"/>
        </w:rPr>
        <w:t>Sci</w:t>
      </w:r>
      <w:proofErr w:type="spellEnd"/>
      <w:r w:rsidR="00384B9E" w:rsidRPr="00DF2AD3">
        <w:rPr>
          <w:rFonts w:ascii="Times New Roman" w:hAnsi="Times New Roman" w:cs="Times New Roman"/>
          <w:bCs/>
          <w:i/>
          <w:sz w:val="20"/>
          <w:szCs w:val="20"/>
        </w:rPr>
        <w:t xml:space="preserve"> J</w:t>
      </w:r>
      <w:r w:rsidR="00384B9E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84B9E" w:rsidRPr="00DF2AD3">
        <w:rPr>
          <w:rFonts w:ascii="Times New Roman" w:hAnsi="Times New Roman" w:cs="Times New Roman"/>
          <w:sz w:val="20"/>
          <w:szCs w:val="20"/>
        </w:rPr>
        <w:t>201</w:t>
      </w:r>
      <w:r w:rsidR="00384B9E" w:rsidRPr="00DF2AD3">
        <w:rPr>
          <w:rFonts w:ascii="Times New Roman" w:hAnsi="Times New Roman" w:cs="Times New Roman" w:hint="eastAsia"/>
          <w:sz w:val="20"/>
          <w:szCs w:val="20"/>
        </w:rPr>
        <w:t>8</w:t>
      </w:r>
      <w:r w:rsidR="00384B9E" w:rsidRPr="00DF2AD3">
        <w:rPr>
          <w:rFonts w:ascii="Times New Roman" w:hAnsi="Times New Roman" w:cs="Times New Roman"/>
          <w:sz w:val="20"/>
          <w:szCs w:val="20"/>
        </w:rPr>
        <w:t>;</w:t>
      </w:r>
      <w:r w:rsidR="00384B9E" w:rsidRPr="00DF2AD3">
        <w:rPr>
          <w:rFonts w:ascii="Times New Roman" w:hAnsi="Times New Roman" w:cs="Times New Roman" w:hint="eastAsia"/>
          <w:sz w:val="20"/>
          <w:szCs w:val="20"/>
        </w:rPr>
        <w:t>11</w:t>
      </w:r>
      <w:r w:rsidR="00384B9E" w:rsidRPr="00DF2AD3">
        <w:rPr>
          <w:rFonts w:ascii="Times New Roman" w:hAnsi="Times New Roman" w:cs="Times New Roman"/>
          <w:sz w:val="20"/>
          <w:szCs w:val="20"/>
        </w:rPr>
        <w:t>(</w:t>
      </w:r>
      <w:r w:rsidR="00384B9E" w:rsidRPr="00DF2AD3">
        <w:rPr>
          <w:rFonts w:ascii="Times New Roman" w:hAnsi="Times New Roman" w:cs="Times New Roman" w:hint="eastAsia"/>
          <w:sz w:val="20"/>
          <w:szCs w:val="20"/>
        </w:rPr>
        <w:t>12</w:t>
      </w:r>
      <w:r w:rsidR="00384B9E" w:rsidRPr="00DF2AD3">
        <w:rPr>
          <w:rFonts w:ascii="Times New Roman" w:hAnsi="Times New Roman" w:cs="Times New Roman"/>
          <w:sz w:val="20"/>
          <w:szCs w:val="20"/>
        </w:rPr>
        <w:t>):</w:t>
      </w:r>
      <w:r w:rsidR="00FC4D24" w:rsidRPr="00DF2AD3">
        <w:rPr>
          <w:rFonts w:ascii="Times New Roman" w:hAnsi="Times New Roman" w:cs="Times New Roman"/>
          <w:noProof/>
          <w:color w:val="000000"/>
          <w:sz w:val="20"/>
          <w:szCs w:val="20"/>
        </w:rPr>
        <w:t>75-84</w:t>
      </w:r>
      <w:r w:rsidR="00384B9E" w:rsidRPr="00DF2AD3">
        <w:rPr>
          <w:rFonts w:ascii="Times New Roman" w:hAnsi="Times New Roman" w:cs="Times New Roman"/>
          <w:sz w:val="20"/>
          <w:szCs w:val="20"/>
        </w:rPr>
        <w:t xml:space="preserve">]. </w:t>
      </w:r>
      <w:r w:rsidR="00384B9E" w:rsidRPr="00DF2AD3">
        <w:rPr>
          <w:rFonts w:ascii="Times New Roman" w:hAnsi="Times New Roman" w:cs="Times New Roman"/>
          <w:iCs/>
          <w:color w:val="000000"/>
          <w:sz w:val="20"/>
          <w:szCs w:val="20"/>
        </w:rPr>
        <w:t>ISSN 1554-0200 (print); ISSN 2375-723X (online)</w:t>
      </w:r>
      <w:r w:rsidR="00384B9E" w:rsidRPr="00DF2AD3">
        <w:rPr>
          <w:rFonts w:ascii="Times New Roman" w:hAnsi="Times New Roman" w:cs="Times New Roman"/>
          <w:sz w:val="20"/>
          <w:szCs w:val="20"/>
        </w:rPr>
        <w:t xml:space="preserve">. </w:t>
      </w:r>
      <w:hyperlink r:id="rId9" w:history="1">
        <w:r w:rsidR="00384B9E" w:rsidRPr="00DF2AD3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http://www.sciencepub.net/newyork</w:t>
        </w:r>
      </w:hyperlink>
      <w:r w:rsidR="00384B9E" w:rsidRPr="00DF2AD3">
        <w:rPr>
          <w:rFonts w:ascii="Times New Roman" w:hAnsi="Times New Roman" w:cs="Times New Roman"/>
          <w:sz w:val="20"/>
          <w:szCs w:val="20"/>
        </w:rPr>
        <w:t xml:space="preserve">. </w:t>
      </w:r>
      <w:r w:rsidR="00D47065" w:rsidRPr="00DF2AD3">
        <w:rPr>
          <w:rFonts w:ascii="Times New Roman" w:hAnsi="Times New Roman" w:cs="Times New Roman" w:hint="eastAsia"/>
          <w:sz w:val="20"/>
          <w:szCs w:val="20"/>
          <w:lang w:eastAsia="zh-CN"/>
        </w:rPr>
        <w:t>8</w:t>
      </w:r>
      <w:r w:rsidR="00384B9E" w:rsidRPr="00DF2AD3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="00384B9E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="00384B9E" w:rsidRPr="00DF2AD3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</w:t>
        </w:r>
        <w:r w:rsidR="00384B9E" w:rsidRPr="00DF2AD3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nys111218.</w:t>
        </w:r>
        <w:r w:rsidR="00384B9E" w:rsidRPr="00DF2AD3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0</w:t>
        </w:r>
        <w:r w:rsidR="00D47065" w:rsidRPr="00DF2AD3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8</w:t>
        </w:r>
      </w:hyperlink>
      <w:r w:rsidR="00384B9E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131CDE" w:rsidRPr="00DF2AD3" w:rsidRDefault="00131CDE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31CDE" w:rsidRPr="00DF2AD3" w:rsidRDefault="00131CDE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  <w:r w:rsidRPr="00DF2AD3">
        <w:rPr>
          <w:rFonts w:ascii="Times New Roman" w:hAnsi="Times New Roman" w:cs="Times New Roman" w:hint="eastAsia"/>
          <w:b/>
          <w:sz w:val="20"/>
          <w:szCs w:val="20"/>
          <w:lang w:eastAsia="zh-CN"/>
        </w:rPr>
        <w:t>Keywords:</w:t>
      </w:r>
      <w:r w:rsidR="00CC2459" w:rsidRPr="00DF2AD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  <w:lang w:eastAsia="ar-SA"/>
        </w:rPr>
        <w:t>Screening</w:t>
      </w:r>
      <w:r w:rsidRPr="00DF2AD3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  <w:lang w:eastAsia="ar-SA"/>
        </w:rPr>
        <w:t>Acute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  <w:lang w:eastAsia="ar-SA"/>
        </w:rPr>
        <w:t>Kidney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  <w:lang w:eastAsia="ar-SA"/>
        </w:rPr>
        <w:t>Injury</w:t>
      </w:r>
      <w:r w:rsidRPr="00DF2AD3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  <w:lang w:eastAsia="ar-SA"/>
        </w:rPr>
        <w:t>Patient</w:t>
      </w:r>
      <w:r w:rsidRPr="00DF2AD3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;</w:t>
      </w:r>
      <w:r w:rsidR="00CC2459" w:rsidRPr="00DF2AD3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Mortality</w:t>
      </w:r>
    </w:p>
    <w:p w:rsidR="00D47065" w:rsidRPr="00DF2AD3" w:rsidRDefault="00CC2459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  <w:sectPr w:rsidR="00D47065" w:rsidRPr="00DF2AD3" w:rsidSect="00FC4D24">
          <w:headerReference w:type="default" r:id="rId11"/>
          <w:footerReference w:type="default" r:id="rId12"/>
          <w:type w:val="continuous"/>
          <w:pgSz w:w="12242" w:h="15842" w:code="1"/>
          <w:pgMar w:top="1440" w:right="1440" w:bottom="1440" w:left="1440" w:header="720" w:footer="720" w:gutter="0"/>
          <w:pgNumType w:start="75"/>
          <w:cols w:space="720"/>
          <w:bidi/>
          <w:docGrid w:linePitch="360"/>
        </w:sectPr>
      </w:pP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cr/>
      </w:r>
    </w:p>
    <w:p w:rsidR="00023694" w:rsidRPr="00DF2AD3" w:rsidRDefault="00076519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lastRenderedPageBreak/>
        <w:t>1.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023694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Introduction</w:t>
      </w:r>
    </w:p>
    <w:p w:rsidR="00C471ED" w:rsidRPr="00DF2AD3" w:rsidRDefault="00C471ED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injury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(AKI)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is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syndrome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that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affects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marked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proportion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critically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ill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is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associated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high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consumption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healthcare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resources,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particularly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when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renal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replacement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therapy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(RRT)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is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administered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  <w:vertAlign w:val="superscript"/>
          <w:lang w:bidi="ar-EG"/>
        </w:rPr>
        <w:t>(1)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C471ED" w:rsidRPr="00DF2AD3" w:rsidRDefault="00C471ED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is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associated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90-day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mortality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up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34%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an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increased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mortality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attributable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persists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up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10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years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after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hospital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discharge.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Even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mild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is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associated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markedly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increased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long-term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mortality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479F4" w:rsidRPr="00DF2AD3">
        <w:rPr>
          <w:rFonts w:ascii="Times New Roman" w:eastAsia="Times New Roman" w:hAnsi="Times New Roman" w:cs="Times New Roman"/>
          <w:sz w:val="20"/>
          <w:szCs w:val="20"/>
          <w:vertAlign w:val="superscript"/>
          <w:lang w:bidi="ar-EG"/>
        </w:rPr>
        <w:t>(2,3</w:t>
      </w:r>
      <w:r w:rsidRPr="00DF2AD3">
        <w:rPr>
          <w:rFonts w:ascii="Times New Roman" w:eastAsia="Times New Roman" w:hAnsi="Times New Roman" w:cs="Times New Roman"/>
          <w:sz w:val="20"/>
          <w:szCs w:val="20"/>
          <w:vertAlign w:val="superscript"/>
          <w:lang w:bidi="ar-EG"/>
        </w:rPr>
        <w:t>)</w:t>
      </w:r>
      <w:r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>.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</w:t>
      </w:r>
    </w:p>
    <w:p w:rsidR="009479F4" w:rsidRPr="00DF2AD3" w:rsidRDefault="009479F4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AD3">
        <w:rPr>
          <w:rFonts w:ascii="Times New Roman" w:eastAsia="Times New Roman" w:hAnsi="Times New Roman" w:cs="Times New Roman"/>
          <w:sz w:val="20"/>
          <w:szCs w:val="20"/>
        </w:rPr>
        <w:t>Generally,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AKI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is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syndrome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arising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rapid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fall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in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kidney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filtration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ability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(over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hours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to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days).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It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is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characterized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by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retention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of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both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nitrogenous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(including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urea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2AD3">
        <w:rPr>
          <w:rFonts w:ascii="Times New Roman" w:eastAsia="Times New Roman" w:hAnsi="Times New Roman" w:cs="Times New Roman"/>
          <w:sz w:val="20"/>
          <w:szCs w:val="20"/>
        </w:rPr>
        <w:t>creatinine</w:t>
      </w:r>
      <w:proofErr w:type="spellEnd"/>
      <w:r w:rsidRPr="00DF2AD3">
        <w:rPr>
          <w:rFonts w:ascii="Times New Roman" w:eastAsia="Times New Roman" w:hAnsi="Times New Roman" w:cs="Times New Roman"/>
          <w:sz w:val="20"/>
          <w:szCs w:val="20"/>
        </w:rPr>
        <w:t>)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non-nitrogenous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waste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products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of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metabolism,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well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disordered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electrolyte,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acid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base,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fluid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homeostasis.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It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may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occur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either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preceding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normal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renal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functions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or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pre-existing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renal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disease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acute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on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top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of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chronic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(4,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5)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20F30" w:rsidRPr="00DF2AD3" w:rsidRDefault="00C471ED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A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spectrum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conditions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susceptible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identified,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including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cardiovascular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disease,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infections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sepsis,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complications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from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medical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care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injury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479F4" w:rsidRPr="00DF2AD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(6,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9479F4" w:rsidRPr="00DF2AD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 w:rsidRPr="00DF2AD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.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Thus,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we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may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have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benefit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better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identification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modifiable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risk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factors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prevent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development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renal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failure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critically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ill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after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studying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rationalities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intensive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care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units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56A5" w:rsidRPr="00DF2AD3">
        <w:rPr>
          <w:rFonts w:ascii="Times New Roman" w:hAnsi="Times New Roman" w:cs="Times New Roman"/>
          <w:sz w:val="20"/>
          <w:szCs w:val="20"/>
          <w:lang w:bidi="ar-EG"/>
        </w:rPr>
        <w:t>(ICUs).</w:t>
      </w:r>
    </w:p>
    <w:p w:rsidR="00C471ED" w:rsidRPr="00DF2AD3" w:rsidRDefault="00C471ED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DF2AD3">
        <w:rPr>
          <w:rFonts w:ascii="Times New Roman" w:eastAsia="Times New Roman" w:hAnsi="Times New Roman" w:cs="Times New Roman"/>
          <w:sz w:val="20"/>
          <w:szCs w:val="20"/>
        </w:rPr>
        <w:t>Major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key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elements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have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been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fulfilled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which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only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one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criterion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needs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to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be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to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define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AKI.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These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elements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include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increase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in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serum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2AD3">
        <w:rPr>
          <w:rFonts w:ascii="Times New Roman" w:eastAsia="Times New Roman" w:hAnsi="Times New Roman" w:cs="Times New Roman"/>
          <w:sz w:val="20"/>
          <w:szCs w:val="20"/>
        </w:rPr>
        <w:t>creatinine</w:t>
      </w:r>
      <w:proofErr w:type="spellEnd"/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more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than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or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equal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to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0.3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mg/dl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within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48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hour,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increase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in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serum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2AD3">
        <w:rPr>
          <w:rFonts w:ascii="Times New Roman" w:eastAsia="Times New Roman" w:hAnsi="Times New Roman" w:cs="Times New Roman"/>
          <w:sz w:val="20"/>
          <w:szCs w:val="20"/>
        </w:rPr>
        <w:t>creatinine</w:t>
      </w:r>
      <w:proofErr w:type="spellEnd"/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more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than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or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equal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to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1.5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fold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baseline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decrease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urine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volume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less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than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0.5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ml/kg/hr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6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hour</w:t>
      </w:r>
      <w:r w:rsidR="00620F30" w:rsidRPr="00DF2AD3">
        <w:rPr>
          <w:rFonts w:ascii="Times New Roman" w:eastAsia="Times New Roman" w:hAnsi="Times New Roman" w:cs="Times New Roman"/>
          <w:sz w:val="20"/>
          <w:szCs w:val="20"/>
        </w:rPr>
        <w:t>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479F4" w:rsidRPr="00DF2AD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(8</w:t>
      </w:r>
      <w:r w:rsidRPr="00DF2AD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 w:rsidR="00620F30" w:rsidRPr="00DF2AD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.</w:t>
      </w:r>
    </w:p>
    <w:p w:rsidR="00C471ED" w:rsidRPr="00DF2AD3" w:rsidRDefault="00C471ED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F2AD3">
        <w:rPr>
          <w:rFonts w:ascii="Times New Roman" w:eastAsia="Times New Roman" w:hAnsi="Times New Roman" w:cs="Times New Roman"/>
          <w:sz w:val="20"/>
          <w:szCs w:val="20"/>
        </w:rPr>
        <w:t>Acute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tubular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necrosis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(ATN)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is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commonest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diagnosis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in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AKI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especially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in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critically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ill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principal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contributing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factors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ischemia,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2AD3">
        <w:rPr>
          <w:rFonts w:ascii="Times New Roman" w:eastAsia="Times New Roman" w:hAnsi="Times New Roman" w:cs="Times New Roman"/>
          <w:sz w:val="20"/>
          <w:szCs w:val="20"/>
        </w:rPr>
        <w:t>nephrotoxic</w:t>
      </w:r>
      <w:proofErr w:type="spellEnd"/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medications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sepsis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479F4" w:rsidRPr="00DF2AD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(9</w:t>
      </w:r>
      <w:r w:rsidRPr="00DF2AD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 w:rsidR="00620F30" w:rsidRPr="00DF2AD3">
        <w:rPr>
          <w:rFonts w:ascii="Times New Roman" w:hAnsi="Times New Roman" w:cs="Times New Roman"/>
          <w:sz w:val="20"/>
          <w:szCs w:val="20"/>
        </w:rPr>
        <w:t>.</w:t>
      </w:r>
    </w:p>
    <w:p w:rsidR="00DF2AD3" w:rsidRDefault="00DF2AD3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</w:pPr>
    </w:p>
    <w:p w:rsidR="00DF2AD3" w:rsidRDefault="00DF2AD3" w:rsidP="00DF2AD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</w:pPr>
    </w:p>
    <w:p w:rsidR="006B2410" w:rsidRPr="00DF2AD3" w:rsidRDefault="00D35FD7" w:rsidP="00DF2AD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lastRenderedPageBreak/>
        <w:t>Aim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Work</w:t>
      </w:r>
    </w:p>
    <w:p w:rsidR="00D35FD7" w:rsidRPr="00DF2AD3" w:rsidRDefault="00D35FD7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This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study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aims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screen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critically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ill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admitted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El-Sahel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Teaching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Hospital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cardiac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medical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ICUs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injury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based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834DD" w:rsidRPr="00DF2AD3">
        <w:rPr>
          <w:rFonts w:ascii="Times New Roman" w:hAnsi="Times New Roman" w:cs="Times New Roman"/>
          <w:sz w:val="20"/>
          <w:szCs w:val="20"/>
          <w:lang w:bidi="ar-EG"/>
        </w:rPr>
        <w:t>RIFLE,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834DD" w:rsidRPr="00DF2AD3">
        <w:rPr>
          <w:rFonts w:ascii="Times New Roman" w:hAnsi="Times New Roman" w:cs="Times New Roman"/>
          <w:sz w:val="20"/>
          <w:szCs w:val="20"/>
          <w:lang w:bidi="ar-EG"/>
        </w:rPr>
        <w:t>KDIGO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834DD"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834DD" w:rsidRPr="00DF2AD3">
        <w:rPr>
          <w:rFonts w:ascii="Times New Roman" w:hAnsi="Times New Roman" w:cs="Times New Roman"/>
          <w:sz w:val="20"/>
          <w:szCs w:val="20"/>
          <w:lang w:bidi="ar-EG"/>
        </w:rPr>
        <w:t>AKIN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834DD" w:rsidRPr="00DF2AD3">
        <w:rPr>
          <w:rFonts w:ascii="Times New Roman" w:hAnsi="Times New Roman" w:cs="Times New Roman"/>
          <w:sz w:val="20"/>
          <w:szCs w:val="20"/>
          <w:lang w:bidi="ar-EG"/>
        </w:rPr>
        <w:t>criteria,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834DD" w:rsidRPr="00DF2AD3">
        <w:rPr>
          <w:rFonts w:ascii="Times New Roman" w:hAnsi="Times New Roman" w:cs="Times New Roman"/>
          <w:sz w:val="20"/>
          <w:szCs w:val="20"/>
          <w:lang w:bidi="ar-EG"/>
        </w:rPr>
        <w:t>thus,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8219E" w:rsidRPr="00DF2AD3">
        <w:rPr>
          <w:rFonts w:ascii="Times New Roman" w:hAnsi="Times New Roman" w:cs="Times New Roman"/>
          <w:sz w:val="20"/>
          <w:szCs w:val="20"/>
          <w:lang w:bidi="ar-EG"/>
        </w:rPr>
        <w:t>we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8219E" w:rsidRPr="00DF2AD3">
        <w:rPr>
          <w:rFonts w:ascii="Times New Roman" w:hAnsi="Times New Roman" w:cs="Times New Roman"/>
          <w:sz w:val="20"/>
          <w:szCs w:val="20"/>
          <w:lang w:bidi="ar-EG"/>
        </w:rPr>
        <w:t>may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8219E" w:rsidRPr="00DF2AD3">
        <w:rPr>
          <w:rFonts w:ascii="Times New Roman" w:hAnsi="Times New Roman" w:cs="Times New Roman"/>
          <w:sz w:val="20"/>
          <w:szCs w:val="20"/>
          <w:lang w:bidi="ar-EG"/>
        </w:rPr>
        <w:t>have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8219E" w:rsidRPr="00DF2AD3">
        <w:rPr>
          <w:rFonts w:ascii="Times New Roman" w:hAnsi="Times New Roman" w:cs="Times New Roman"/>
          <w:sz w:val="20"/>
          <w:szCs w:val="20"/>
          <w:lang w:bidi="ar-EG"/>
        </w:rPr>
        <w:t>benefit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8219E" w:rsidRPr="00DF2AD3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8219E" w:rsidRPr="00DF2AD3">
        <w:rPr>
          <w:rFonts w:ascii="Times New Roman" w:hAnsi="Times New Roman" w:cs="Times New Roman"/>
          <w:sz w:val="20"/>
          <w:szCs w:val="20"/>
          <w:lang w:bidi="ar-EG"/>
        </w:rPr>
        <w:t>better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8219E" w:rsidRPr="00DF2AD3">
        <w:rPr>
          <w:rFonts w:ascii="Times New Roman" w:hAnsi="Times New Roman" w:cs="Times New Roman"/>
          <w:sz w:val="20"/>
          <w:szCs w:val="20"/>
          <w:lang w:bidi="ar-EG"/>
        </w:rPr>
        <w:t>identification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8219E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8219E" w:rsidRPr="00DF2AD3">
        <w:rPr>
          <w:rFonts w:ascii="Times New Roman" w:hAnsi="Times New Roman" w:cs="Times New Roman"/>
          <w:sz w:val="20"/>
          <w:szCs w:val="20"/>
          <w:lang w:bidi="ar-EG"/>
        </w:rPr>
        <w:t>modifiable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8219E" w:rsidRPr="00DF2AD3">
        <w:rPr>
          <w:rFonts w:ascii="Times New Roman" w:hAnsi="Times New Roman" w:cs="Times New Roman"/>
          <w:sz w:val="20"/>
          <w:szCs w:val="20"/>
          <w:lang w:bidi="ar-EG"/>
        </w:rPr>
        <w:t>risk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8219E" w:rsidRPr="00DF2AD3">
        <w:rPr>
          <w:rFonts w:ascii="Times New Roman" w:hAnsi="Times New Roman" w:cs="Times New Roman"/>
          <w:sz w:val="20"/>
          <w:szCs w:val="20"/>
          <w:lang w:bidi="ar-EG"/>
        </w:rPr>
        <w:t>factors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8219E"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8219E" w:rsidRPr="00DF2AD3">
        <w:rPr>
          <w:rFonts w:ascii="Times New Roman" w:hAnsi="Times New Roman" w:cs="Times New Roman"/>
          <w:sz w:val="20"/>
          <w:szCs w:val="20"/>
          <w:lang w:bidi="ar-EG"/>
        </w:rPr>
        <w:t>prevent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8219E"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8219E" w:rsidRPr="00DF2AD3">
        <w:rPr>
          <w:rFonts w:ascii="Times New Roman" w:hAnsi="Times New Roman" w:cs="Times New Roman"/>
          <w:sz w:val="20"/>
          <w:szCs w:val="20"/>
          <w:lang w:bidi="ar-EG"/>
        </w:rPr>
        <w:t>development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8219E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8219E" w:rsidRPr="00DF2AD3">
        <w:rPr>
          <w:rFonts w:ascii="Times New Roman" w:hAnsi="Times New Roman" w:cs="Times New Roman"/>
          <w:sz w:val="20"/>
          <w:szCs w:val="20"/>
          <w:lang w:bidi="ar-EG"/>
        </w:rPr>
        <w:t>renal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8219E" w:rsidRPr="00DF2AD3">
        <w:rPr>
          <w:rFonts w:ascii="Times New Roman" w:hAnsi="Times New Roman" w:cs="Times New Roman"/>
          <w:sz w:val="20"/>
          <w:szCs w:val="20"/>
          <w:lang w:bidi="ar-EG"/>
        </w:rPr>
        <w:t>failure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8219E"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8219E" w:rsidRPr="00DF2AD3">
        <w:rPr>
          <w:rFonts w:ascii="Times New Roman" w:hAnsi="Times New Roman" w:cs="Times New Roman"/>
          <w:sz w:val="20"/>
          <w:szCs w:val="20"/>
          <w:lang w:bidi="ar-EG"/>
        </w:rPr>
        <w:t>critically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8219E" w:rsidRPr="00DF2AD3">
        <w:rPr>
          <w:rFonts w:ascii="Times New Roman" w:hAnsi="Times New Roman" w:cs="Times New Roman"/>
          <w:sz w:val="20"/>
          <w:szCs w:val="20"/>
          <w:lang w:bidi="ar-EG"/>
        </w:rPr>
        <w:t>ill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8219E" w:rsidRPr="00DF2AD3">
        <w:rPr>
          <w:rFonts w:ascii="Times New Roman" w:hAnsi="Times New Roman" w:cs="Times New Roman"/>
          <w:sz w:val="20"/>
          <w:szCs w:val="20"/>
          <w:lang w:bidi="ar-EG"/>
        </w:rPr>
        <w:t>patients.</w:t>
      </w:r>
    </w:p>
    <w:p w:rsidR="005B78BC" w:rsidRPr="00DF2AD3" w:rsidRDefault="005B78BC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</w:p>
    <w:p w:rsidR="00F75629" w:rsidRPr="00DF2AD3" w:rsidRDefault="00076519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336E3" w:rsidRPr="00DF2AD3">
        <w:rPr>
          <w:rFonts w:ascii="Times New Roman" w:hAnsi="Times New Roman" w:cs="Times New Roman"/>
          <w:b/>
          <w:bCs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336E3" w:rsidRPr="00DF2AD3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336E3" w:rsidRPr="00DF2AD3">
        <w:rPr>
          <w:rFonts w:ascii="Times New Roman" w:hAnsi="Times New Roman" w:cs="Times New Roman"/>
          <w:b/>
          <w:bCs/>
          <w:sz w:val="20"/>
          <w:szCs w:val="20"/>
        </w:rPr>
        <w:t>Methods</w:t>
      </w:r>
    </w:p>
    <w:p w:rsidR="00F75629" w:rsidRPr="00DF2AD3" w:rsidRDefault="00F75629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</w:rPr>
        <w:t>Study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</w:rPr>
        <w:t>setting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</w:rPr>
        <w:t>sampling: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F75629" w:rsidRPr="00DF2AD3" w:rsidRDefault="00F75629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This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study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conducted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273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admitted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El-Sahel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Teaching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Hospital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cardiac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medical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intensive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care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units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(CICU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ICUs)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during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twelve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months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duration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(from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May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2017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May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2018).</w:t>
      </w:r>
    </w:p>
    <w:p w:rsidR="00F75629" w:rsidRPr="00DF2AD3" w:rsidRDefault="00F75629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</w:rPr>
        <w:t>Study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</w:rPr>
        <w:t>subject:</w:t>
      </w:r>
    </w:p>
    <w:p w:rsidR="00F75629" w:rsidRPr="00DF2AD3" w:rsidRDefault="00F75629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F2AD3">
        <w:rPr>
          <w:rFonts w:ascii="Times New Roman" w:hAnsi="Times New Roman" w:cs="Times New Roman"/>
          <w:sz w:val="20"/>
          <w:szCs w:val="20"/>
        </w:rPr>
        <w:t>All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subjects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study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during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twelve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months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period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will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be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screened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for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during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hospitalization.</w:t>
      </w:r>
    </w:p>
    <w:p w:rsidR="00F75629" w:rsidRPr="00DF2AD3" w:rsidRDefault="00F75629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</w:rPr>
        <w:t>Study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</w:rPr>
        <w:t>design:</w:t>
      </w:r>
    </w:p>
    <w:p w:rsidR="00F75629" w:rsidRPr="00DF2AD3" w:rsidRDefault="00F75629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F2AD3">
        <w:rPr>
          <w:rFonts w:ascii="Times New Roman" w:hAnsi="Times New Roman" w:cs="Times New Roman"/>
          <w:sz w:val="20"/>
          <w:szCs w:val="20"/>
        </w:rPr>
        <w:t>This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study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is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cross-sectional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one.</w:t>
      </w:r>
    </w:p>
    <w:p w:rsidR="00F75629" w:rsidRPr="00DF2AD3" w:rsidRDefault="00F75629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</w:rPr>
        <w:t>Data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</w:rPr>
        <w:t>collection:</w:t>
      </w:r>
    </w:p>
    <w:p w:rsidR="00F75629" w:rsidRPr="00DF2AD3" w:rsidRDefault="00F75629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All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enrolled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this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study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will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undergo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following;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</w:p>
    <w:p w:rsidR="00F75629" w:rsidRPr="00DF2AD3" w:rsidRDefault="00F75629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-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Complete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present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past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histo</w:t>
      </w:r>
      <w:r w:rsidR="00C36F40" w:rsidRPr="00DF2AD3">
        <w:rPr>
          <w:rFonts w:ascii="Times New Roman" w:hAnsi="Times New Roman" w:cs="Times New Roman"/>
          <w:sz w:val="20"/>
          <w:szCs w:val="20"/>
          <w:lang w:bidi="ar-EG"/>
        </w:rPr>
        <w:t>ry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36F40" w:rsidRPr="00DF2AD3">
        <w:rPr>
          <w:rFonts w:ascii="Times New Roman" w:hAnsi="Times New Roman" w:cs="Times New Roman"/>
          <w:sz w:val="20"/>
          <w:szCs w:val="20"/>
          <w:lang w:bidi="ar-EG"/>
        </w:rPr>
        <w:t>from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36F40" w:rsidRPr="00DF2AD3">
        <w:rPr>
          <w:rFonts w:ascii="Times New Roman" w:hAnsi="Times New Roman" w:cs="Times New Roman"/>
          <w:sz w:val="20"/>
          <w:szCs w:val="20"/>
          <w:lang w:bidi="ar-EG"/>
        </w:rPr>
        <w:t>patient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36F40" w:rsidRPr="00DF2AD3">
        <w:rPr>
          <w:rFonts w:ascii="Times New Roman" w:hAnsi="Times New Roman" w:cs="Times New Roman"/>
          <w:sz w:val="20"/>
          <w:szCs w:val="20"/>
          <w:lang w:bidi="ar-EG"/>
        </w:rPr>
        <w:t>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36F40"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36F40" w:rsidRPr="00DF2AD3">
        <w:rPr>
          <w:rFonts w:ascii="Times New Roman" w:hAnsi="Times New Roman" w:cs="Times New Roman"/>
          <w:sz w:val="20"/>
          <w:szCs w:val="20"/>
          <w:lang w:bidi="ar-EG"/>
        </w:rPr>
        <w:t>relative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36F40" w:rsidRPr="00DF2AD3">
        <w:rPr>
          <w:rFonts w:ascii="Times New Roman" w:hAnsi="Times New Roman" w:cs="Times New Roman"/>
          <w:sz w:val="20"/>
          <w:szCs w:val="20"/>
          <w:lang w:bidi="ar-EG"/>
        </w:rPr>
        <w:t>for: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F75629" w:rsidRPr="00DF2AD3" w:rsidRDefault="00F75629" w:rsidP="00D47065">
      <w:pPr>
        <w:pStyle w:val="ListParagraph"/>
        <w:numPr>
          <w:ilvl w:val="0"/>
          <w:numId w:val="26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Cardiac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morbidity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(old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recent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cardiac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events).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F75629" w:rsidRPr="00DF2AD3" w:rsidRDefault="00F75629" w:rsidP="00D47065">
      <w:pPr>
        <w:pStyle w:val="ListParagraph"/>
        <w:numPr>
          <w:ilvl w:val="0"/>
          <w:numId w:val="26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Surgical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medical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history.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F75629" w:rsidRPr="00DF2AD3" w:rsidRDefault="00F75629" w:rsidP="00D47065">
      <w:pPr>
        <w:pStyle w:val="ListParagraph"/>
        <w:numPr>
          <w:ilvl w:val="0"/>
          <w:numId w:val="26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Medication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history.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CC2459" w:rsidRPr="00DF2AD3" w:rsidRDefault="00F75629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-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General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local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examination.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F75629" w:rsidRPr="00DF2AD3" w:rsidRDefault="00CC2459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- </w:t>
      </w:r>
      <w:r w:rsidR="00F75629" w:rsidRPr="00DF2AD3">
        <w:rPr>
          <w:rFonts w:ascii="Times New Roman" w:hAnsi="Times New Roman" w:cs="Times New Roman"/>
          <w:sz w:val="20"/>
          <w:szCs w:val="20"/>
          <w:lang w:bidi="ar-EG"/>
        </w:rPr>
        <w:t>Severity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75629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75629" w:rsidRPr="00DF2AD3">
        <w:rPr>
          <w:rFonts w:ascii="Times New Roman" w:hAnsi="Times New Roman" w:cs="Times New Roman"/>
          <w:sz w:val="20"/>
          <w:szCs w:val="20"/>
          <w:lang w:bidi="ar-EG"/>
        </w:rPr>
        <w:t>illness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75629"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75629" w:rsidRPr="00DF2AD3">
        <w:rPr>
          <w:rFonts w:ascii="Times New Roman" w:hAnsi="Times New Roman" w:cs="Times New Roman"/>
          <w:sz w:val="20"/>
          <w:szCs w:val="20"/>
          <w:lang w:bidi="ar-EG"/>
        </w:rPr>
        <w:t>ICU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75629"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75629" w:rsidRPr="00DF2AD3">
        <w:rPr>
          <w:rFonts w:ascii="Times New Roman" w:hAnsi="Times New Roman" w:cs="Times New Roman"/>
          <w:sz w:val="20"/>
          <w:szCs w:val="20"/>
          <w:lang w:bidi="ar-EG"/>
        </w:rPr>
        <w:t>will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75629" w:rsidRPr="00DF2AD3">
        <w:rPr>
          <w:rFonts w:ascii="Times New Roman" w:hAnsi="Times New Roman" w:cs="Times New Roman"/>
          <w:sz w:val="20"/>
          <w:szCs w:val="20"/>
          <w:lang w:bidi="ar-EG"/>
        </w:rPr>
        <w:t>be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75629" w:rsidRPr="00DF2AD3">
        <w:rPr>
          <w:rFonts w:ascii="Times New Roman" w:hAnsi="Times New Roman" w:cs="Times New Roman"/>
          <w:sz w:val="20"/>
          <w:szCs w:val="20"/>
          <w:lang w:bidi="ar-EG"/>
        </w:rPr>
        <w:t>assessed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75629" w:rsidRPr="00DF2AD3">
        <w:rPr>
          <w:rFonts w:ascii="Times New Roman" w:hAnsi="Times New Roman" w:cs="Times New Roman"/>
          <w:sz w:val="20"/>
          <w:szCs w:val="20"/>
          <w:lang w:bidi="ar-EG"/>
        </w:rPr>
        <w:t>using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75629"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75629" w:rsidRPr="00DF2AD3">
        <w:rPr>
          <w:rFonts w:ascii="Times New Roman" w:hAnsi="Times New Roman" w:cs="Times New Roman"/>
          <w:sz w:val="20"/>
          <w:szCs w:val="20"/>
          <w:lang w:bidi="ar-EG"/>
        </w:rPr>
        <w:t>Sequential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75629" w:rsidRPr="00DF2AD3">
        <w:rPr>
          <w:rFonts w:ascii="Times New Roman" w:hAnsi="Times New Roman" w:cs="Times New Roman"/>
          <w:sz w:val="20"/>
          <w:szCs w:val="20"/>
          <w:lang w:bidi="ar-EG"/>
        </w:rPr>
        <w:t>Organ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75629" w:rsidRPr="00DF2AD3">
        <w:rPr>
          <w:rFonts w:ascii="Times New Roman" w:hAnsi="Times New Roman" w:cs="Times New Roman"/>
          <w:sz w:val="20"/>
          <w:szCs w:val="20"/>
          <w:lang w:bidi="ar-EG"/>
        </w:rPr>
        <w:t>Failure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75629" w:rsidRPr="00DF2AD3">
        <w:rPr>
          <w:rFonts w:ascii="Times New Roman" w:hAnsi="Times New Roman" w:cs="Times New Roman"/>
          <w:sz w:val="20"/>
          <w:szCs w:val="20"/>
          <w:lang w:bidi="ar-EG"/>
        </w:rPr>
        <w:t>Assessment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75629" w:rsidRPr="00DF2AD3">
        <w:rPr>
          <w:rFonts w:ascii="Times New Roman" w:hAnsi="Times New Roman" w:cs="Times New Roman"/>
          <w:sz w:val="20"/>
          <w:szCs w:val="20"/>
          <w:lang w:bidi="ar-EG"/>
        </w:rPr>
        <w:t>(SOFA)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75629" w:rsidRPr="00DF2AD3">
        <w:rPr>
          <w:rFonts w:ascii="Times New Roman" w:hAnsi="Times New Roman" w:cs="Times New Roman"/>
          <w:sz w:val="20"/>
          <w:szCs w:val="20"/>
          <w:lang w:bidi="ar-EG"/>
        </w:rPr>
        <w:t>score.</w:t>
      </w:r>
    </w:p>
    <w:p w:rsidR="00F75629" w:rsidRPr="00DF2AD3" w:rsidRDefault="00F75629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</w:rPr>
        <w:t>5.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</w:rPr>
        <w:t>Screening: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F75629" w:rsidRPr="00DF2AD3" w:rsidRDefault="00F75629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Screening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will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evaluated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using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RIFLE,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KDIGO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criteria.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</w:p>
    <w:p w:rsidR="00F75629" w:rsidRPr="00DF2AD3" w:rsidRDefault="00F75629" w:rsidP="00D47065">
      <w:pPr>
        <w:pStyle w:val="ListParagraph"/>
        <w:numPr>
          <w:ilvl w:val="0"/>
          <w:numId w:val="33"/>
        </w:numPr>
        <w:bidi w:val="0"/>
        <w:snapToGri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Serum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proofErr w:type="spellStart"/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creatinine</w:t>
      </w:r>
      <w:proofErr w:type="spellEnd"/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:</w:t>
      </w:r>
    </w:p>
    <w:p w:rsidR="004D2323" w:rsidRPr="00DF2AD3" w:rsidRDefault="00F75629" w:rsidP="00D47065">
      <w:pPr>
        <w:pStyle w:val="ListParagraph"/>
        <w:numPr>
          <w:ilvl w:val="0"/>
          <w:numId w:val="56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Serum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DF2AD3">
        <w:rPr>
          <w:rFonts w:ascii="Times New Roman" w:hAnsi="Times New Roman" w:cs="Times New Roman"/>
          <w:sz w:val="20"/>
          <w:szCs w:val="20"/>
          <w:lang w:bidi="ar-EG"/>
        </w:rPr>
        <w:t>creatinine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done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Kinetic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colorimetric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method.</w:t>
      </w:r>
    </w:p>
    <w:p w:rsidR="00F75629" w:rsidRPr="00DF2AD3" w:rsidRDefault="00F75629" w:rsidP="00D47065">
      <w:pPr>
        <w:pStyle w:val="ListParagraph"/>
        <w:numPr>
          <w:ilvl w:val="0"/>
          <w:numId w:val="56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Its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reference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values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  <w:highlight w:val="yellow"/>
          <w:vertAlign w:val="superscript"/>
        </w:rPr>
        <w:t>(</w:t>
      </w:r>
      <w:r w:rsidR="009F0D3D" w:rsidRPr="00DF2AD3">
        <w:rPr>
          <w:rFonts w:ascii="Times New Roman" w:eastAsia="Times New Roman" w:hAnsi="Times New Roman" w:cs="Times New Roman"/>
          <w:sz w:val="20"/>
          <w:szCs w:val="20"/>
          <w:highlight w:val="yellow"/>
          <w:vertAlign w:val="superscript"/>
        </w:rPr>
        <w:t>10</w:t>
      </w:r>
      <w:r w:rsidRPr="00DF2AD3">
        <w:rPr>
          <w:rFonts w:ascii="Times New Roman" w:eastAsia="Times New Roman" w:hAnsi="Times New Roman" w:cs="Times New Roman"/>
          <w:sz w:val="20"/>
          <w:szCs w:val="20"/>
          <w:highlight w:val="yellow"/>
          <w:vertAlign w:val="superscript"/>
        </w:rPr>
        <w:t>)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:</w:t>
      </w:r>
    </w:p>
    <w:p w:rsidR="00F75629" w:rsidRPr="00DF2AD3" w:rsidRDefault="00F75629" w:rsidP="00D47065">
      <w:pPr>
        <w:pStyle w:val="ListParagraph"/>
        <w:numPr>
          <w:ilvl w:val="0"/>
          <w:numId w:val="57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Adult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male: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0.6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-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1.4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mg/dl</w:t>
      </w:r>
    </w:p>
    <w:p w:rsidR="00F75629" w:rsidRPr="00DF2AD3" w:rsidRDefault="00F75629" w:rsidP="00D47065">
      <w:pPr>
        <w:pStyle w:val="ListParagraph"/>
        <w:numPr>
          <w:ilvl w:val="0"/>
          <w:numId w:val="57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Adult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female: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0.5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–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1.1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mg/dl</w:t>
      </w:r>
    </w:p>
    <w:p w:rsidR="00F75629" w:rsidRPr="00DF2AD3" w:rsidRDefault="00F75629" w:rsidP="00D47065">
      <w:pPr>
        <w:pStyle w:val="ListParagraph"/>
        <w:numPr>
          <w:ilvl w:val="0"/>
          <w:numId w:val="33"/>
        </w:numPr>
        <w:bidi w:val="0"/>
        <w:snapToGri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proofErr w:type="spellStart"/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Glomerular</w:t>
      </w:r>
      <w:proofErr w:type="spellEnd"/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filtration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rate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(GFR)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:</w:t>
      </w:r>
    </w:p>
    <w:p w:rsidR="00F75629" w:rsidRPr="00DF2AD3" w:rsidRDefault="00F75629" w:rsidP="00D47065">
      <w:pPr>
        <w:pStyle w:val="ListParagraph"/>
        <w:numPr>
          <w:ilvl w:val="0"/>
          <w:numId w:val="56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GFR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calculated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modification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diet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renal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disease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(MDRD)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formula</w:t>
      </w:r>
    </w:p>
    <w:p w:rsidR="00F75629" w:rsidRPr="00DF2AD3" w:rsidRDefault="00F75629" w:rsidP="00D47065">
      <w:pPr>
        <w:pStyle w:val="ListParagraph"/>
        <w:numPr>
          <w:ilvl w:val="0"/>
          <w:numId w:val="57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GFR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=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B13CB" w:rsidRPr="00DF2AD3">
        <w:rPr>
          <w:rFonts w:ascii="Times New Roman" w:hAnsi="Times New Roman" w:cs="Times New Roman"/>
          <w:sz w:val="20"/>
          <w:szCs w:val="20"/>
          <w:lang w:bidi="ar-EG"/>
        </w:rPr>
        <w:t>186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B13CB" w:rsidRPr="00DF2AD3">
        <w:rPr>
          <w:rFonts w:ascii="Times New Roman" w:hAnsi="Times New Roman" w:cs="Times New Roman"/>
          <w:sz w:val="20"/>
          <w:szCs w:val="20"/>
          <w:lang w:bidi="ar-EG"/>
        </w:rPr>
        <w:t>x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B13CB" w:rsidRPr="00DF2AD3">
        <w:rPr>
          <w:rFonts w:ascii="Times New Roman" w:hAnsi="Times New Roman" w:cs="Times New Roman"/>
          <w:sz w:val="20"/>
          <w:szCs w:val="20"/>
          <w:lang w:bidi="ar-EG"/>
        </w:rPr>
        <w:t>(</w:t>
      </w:r>
      <w:proofErr w:type="spellStart"/>
      <w:r w:rsidR="005B13CB" w:rsidRPr="00DF2AD3">
        <w:rPr>
          <w:rFonts w:ascii="Times New Roman" w:hAnsi="Times New Roman" w:cs="Times New Roman"/>
          <w:sz w:val="20"/>
          <w:szCs w:val="20"/>
          <w:lang w:bidi="ar-EG"/>
        </w:rPr>
        <w:t>seum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5B13CB" w:rsidRPr="00DF2AD3">
        <w:rPr>
          <w:rFonts w:ascii="Times New Roman" w:hAnsi="Times New Roman" w:cs="Times New Roman"/>
          <w:sz w:val="20"/>
          <w:szCs w:val="20"/>
          <w:lang w:bidi="ar-EG"/>
        </w:rPr>
        <w:t>creatinine</w:t>
      </w:r>
      <w:proofErr w:type="spellEnd"/>
      <w:r w:rsidRPr="00DF2AD3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–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1.154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x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(Age)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–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0.203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x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(0.742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female)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x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(1.210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black)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highlight w:val="yellow"/>
          <w:vertAlign w:val="superscript"/>
          <w:lang w:bidi="ar-EG"/>
        </w:rPr>
        <w:t>(</w:t>
      </w:r>
      <w:r w:rsidR="0057101E" w:rsidRPr="00DF2AD3">
        <w:rPr>
          <w:rFonts w:ascii="Times New Roman" w:hAnsi="Times New Roman" w:cs="Times New Roman"/>
          <w:sz w:val="20"/>
          <w:szCs w:val="20"/>
          <w:highlight w:val="yellow"/>
          <w:vertAlign w:val="superscript"/>
          <w:lang w:bidi="ar-EG"/>
        </w:rPr>
        <w:t>1</w:t>
      </w:r>
      <w:r w:rsidR="009F0D3D" w:rsidRPr="00DF2AD3">
        <w:rPr>
          <w:rFonts w:ascii="Times New Roman" w:hAnsi="Times New Roman" w:cs="Times New Roman"/>
          <w:sz w:val="20"/>
          <w:szCs w:val="20"/>
          <w:highlight w:val="yellow"/>
          <w:vertAlign w:val="superscript"/>
          <w:lang w:bidi="ar-EG"/>
        </w:rPr>
        <w:t>1</w:t>
      </w:r>
      <w:r w:rsidRPr="00DF2AD3">
        <w:rPr>
          <w:rFonts w:ascii="Times New Roman" w:hAnsi="Times New Roman" w:cs="Times New Roman"/>
          <w:sz w:val="20"/>
          <w:szCs w:val="20"/>
          <w:highlight w:val="yellow"/>
          <w:vertAlign w:val="superscript"/>
          <w:lang w:bidi="ar-EG"/>
        </w:rPr>
        <w:t>)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F75629" w:rsidRPr="00DF2AD3" w:rsidRDefault="00F75629" w:rsidP="00D47065">
      <w:pPr>
        <w:pStyle w:val="ListParagraph"/>
        <w:numPr>
          <w:ilvl w:val="0"/>
          <w:numId w:val="56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Its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reference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values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highlight w:val="yellow"/>
          <w:vertAlign w:val="superscript"/>
          <w:lang w:bidi="ar-EG"/>
        </w:rPr>
        <w:t>(</w:t>
      </w:r>
      <w:r w:rsidR="0057101E" w:rsidRPr="00DF2AD3">
        <w:rPr>
          <w:rFonts w:ascii="Times New Roman" w:hAnsi="Times New Roman" w:cs="Times New Roman"/>
          <w:sz w:val="20"/>
          <w:szCs w:val="20"/>
          <w:highlight w:val="yellow"/>
          <w:vertAlign w:val="superscript"/>
          <w:lang w:bidi="ar-EG"/>
        </w:rPr>
        <w:t>1</w:t>
      </w:r>
      <w:r w:rsidR="009F0D3D" w:rsidRPr="00DF2AD3">
        <w:rPr>
          <w:rFonts w:ascii="Times New Roman" w:hAnsi="Times New Roman" w:cs="Times New Roman"/>
          <w:sz w:val="20"/>
          <w:szCs w:val="20"/>
          <w:highlight w:val="yellow"/>
          <w:vertAlign w:val="superscript"/>
          <w:lang w:bidi="ar-EG"/>
        </w:rPr>
        <w:t>2</w:t>
      </w:r>
      <w:r w:rsidRPr="00DF2AD3">
        <w:rPr>
          <w:rFonts w:ascii="Times New Roman" w:hAnsi="Times New Roman" w:cs="Times New Roman"/>
          <w:sz w:val="20"/>
          <w:szCs w:val="20"/>
          <w:highlight w:val="yellow"/>
          <w:vertAlign w:val="superscript"/>
          <w:lang w:bidi="ar-EG"/>
        </w:rPr>
        <w:t>)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:</w:t>
      </w:r>
    </w:p>
    <w:p w:rsidR="00D36675" w:rsidRPr="00DF2AD3" w:rsidRDefault="00F75629" w:rsidP="00D47065">
      <w:pPr>
        <w:pStyle w:val="ListParagraph"/>
        <w:numPr>
          <w:ilvl w:val="0"/>
          <w:numId w:val="57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Normal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GFR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values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observed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young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healthy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adult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populations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approximately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100–110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mL/min/1.73m</w:t>
      </w:r>
      <w:r w:rsidR="00D36675" w:rsidRPr="00DF2AD3">
        <w:rPr>
          <w:rFonts w:ascii="Times New Roman" w:hAnsi="Times New Roman" w:cs="Times New Roman"/>
          <w:sz w:val="20"/>
          <w:szCs w:val="20"/>
          <w:lang w:bidi="ar-EG"/>
        </w:rPr>
        <w:t>2.</w:t>
      </w:r>
    </w:p>
    <w:p w:rsidR="00F75629" w:rsidRPr="00DF2AD3" w:rsidRDefault="00F75629" w:rsidP="00D47065">
      <w:pPr>
        <w:pStyle w:val="ListParagraph"/>
        <w:numPr>
          <w:ilvl w:val="0"/>
          <w:numId w:val="57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Females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have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less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GFR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than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males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same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DF2AD3">
        <w:rPr>
          <w:rFonts w:ascii="Times New Roman" w:hAnsi="Times New Roman" w:cs="Times New Roman"/>
          <w:sz w:val="20"/>
          <w:szCs w:val="20"/>
          <w:lang w:bidi="ar-EG"/>
        </w:rPr>
        <w:t>creatinine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level.</w:t>
      </w:r>
    </w:p>
    <w:p w:rsidR="00F75629" w:rsidRPr="00DF2AD3" w:rsidRDefault="00F75629" w:rsidP="00D47065">
      <w:pPr>
        <w:pStyle w:val="ListParagraph"/>
        <w:numPr>
          <w:ilvl w:val="0"/>
          <w:numId w:val="57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lastRenderedPageBreak/>
        <w:t>Caucasians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have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less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GFR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than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African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Americans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same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DF2AD3">
        <w:rPr>
          <w:rFonts w:ascii="Times New Roman" w:hAnsi="Times New Roman" w:cs="Times New Roman"/>
          <w:sz w:val="20"/>
          <w:szCs w:val="20"/>
          <w:lang w:bidi="ar-EG"/>
        </w:rPr>
        <w:t>creatinine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level.</w:t>
      </w:r>
    </w:p>
    <w:p w:rsidR="00F75629" w:rsidRPr="00DF2AD3" w:rsidRDefault="00F75629" w:rsidP="00D47065">
      <w:pPr>
        <w:pStyle w:val="ListParagraph"/>
        <w:numPr>
          <w:ilvl w:val="0"/>
          <w:numId w:val="57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GFR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increases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pregnant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females.</w:t>
      </w:r>
    </w:p>
    <w:p w:rsidR="00F75629" w:rsidRPr="00DF2AD3" w:rsidRDefault="00F75629" w:rsidP="00D47065">
      <w:pPr>
        <w:pStyle w:val="ListParagraph"/>
        <w:numPr>
          <w:ilvl w:val="0"/>
          <w:numId w:val="57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GFR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normally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DF2AD3">
        <w:rPr>
          <w:rFonts w:ascii="Times New Roman" w:hAnsi="Times New Roman" w:cs="Times New Roman"/>
          <w:sz w:val="20"/>
          <w:szCs w:val="20"/>
          <w:lang w:bidi="ar-EG"/>
        </w:rPr>
        <w:t>decreses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about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0.5-1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age.</w:t>
      </w:r>
    </w:p>
    <w:p w:rsidR="00F75629" w:rsidRPr="00DF2AD3" w:rsidRDefault="00F75629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</w:rPr>
        <w:t>6.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</w:rPr>
        <w:t>Exclusion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</w:rPr>
        <w:t>criteria:</w:t>
      </w:r>
    </w:p>
    <w:p w:rsidR="00F75629" w:rsidRPr="00DF2AD3" w:rsidRDefault="00F75629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All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have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following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will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be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excluded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from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this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study:</w:t>
      </w:r>
    </w:p>
    <w:p w:rsidR="00F75629" w:rsidRPr="00DF2AD3" w:rsidRDefault="00F75629" w:rsidP="00D47065">
      <w:pPr>
        <w:pStyle w:val="ListParagraph"/>
        <w:numPr>
          <w:ilvl w:val="0"/>
          <w:numId w:val="33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Chronic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disease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(CKD)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based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medical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records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and/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laboratory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results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showing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DF2AD3">
        <w:rPr>
          <w:rFonts w:ascii="Times New Roman" w:hAnsi="Times New Roman" w:cs="Times New Roman"/>
          <w:sz w:val="20"/>
          <w:szCs w:val="20"/>
          <w:lang w:bidi="ar-EG"/>
        </w:rPr>
        <w:t>glomerular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filtration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rate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less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than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60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DF2AD3">
        <w:rPr>
          <w:rFonts w:ascii="Times New Roman" w:hAnsi="Times New Roman" w:cs="Times New Roman"/>
          <w:sz w:val="20"/>
          <w:szCs w:val="20"/>
          <w:lang w:bidi="ar-EG"/>
        </w:rPr>
        <w:t>mL</w:t>
      </w:r>
      <w:proofErr w:type="spellEnd"/>
      <w:r w:rsidRPr="00DF2AD3">
        <w:rPr>
          <w:rFonts w:ascii="Times New Roman" w:hAnsi="Times New Roman" w:cs="Times New Roman"/>
          <w:sz w:val="20"/>
          <w:szCs w:val="20"/>
          <w:lang w:bidi="ar-EG"/>
        </w:rPr>
        <w:t>/min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per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1.73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m2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least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3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months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before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ICU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admission.</w:t>
      </w:r>
    </w:p>
    <w:p w:rsidR="00D36675" w:rsidRPr="00DF2AD3" w:rsidRDefault="00F75629" w:rsidP="00D47065">
      <w:pPr>
        <w:pStyle w:val="ListParagraph"/>
        <w:numPr>
          <w:ilvl w:val="0"/>
          <w:numId w:val="33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less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than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24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hours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stay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IC</w:t>
      </w:r>
      <w:r w:rsidR="00D36675" w:rsidRPr="00DF2AD3">
        <w:rPr>
          <w:rFonts w:ascii="Times New Roman" w:hAnsi="Times New Roman" w:cs="Times New Roman"/>
          <w:sz w:val="20"/>
          <w:szCs w:val="20"/>
          <w:lang w:bidi="ar-EG"/>
        </w:rPr>
        <w:t>U.</w:t>
      </w:r>
    </w:p>
    <w:p w:rsidR="00F75629" w:rsidRPr="00DF2AD3" w:rsidRDefault="00F75629" w:rsidP="00D47065">
      <w:pPr>
        <w:pStyle w:val="ListParagraph"/>
        <w:numPr>
          <w:ilvl w:val="0"/>
          <w:numId w:val="33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End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stage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renal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disease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(ESRD)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dialysis.</w:t>
      </w:r>
    </w:p>
    <w:p w:rsidR="00F75629" w:rsidRPr="00DF2AD3" w:rsidRDefault="00F75629" w:rsidP="00D47065">
      <w:pPr>
        <w:pStyle w:val="ListParagraph"/>
        <w:numPr>
          <w:ilvl w:val="0"/>
          <w:numId w:val="33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Renal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Transplantation.</w:t>
      </w:r>
    </w:p>
    <w:p w:rsidR="00F75629" w:rsidRPr="00DF2AD3" w:rsidRDefault="00F75629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</w:rPr>
        <w:t>7.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</w:rPr>
        <w:t>Ethical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</w:rPr>
        <w:t>considerations:</w:t>
      </w:r>
    </w:p>
    <w:p w:rsidR="00CC2459" w:rsidRPr="00DF2AD3" w:rsidRDefault="00F75629" w:rsidP="00D47065">
      <w:pPr>
        <w:pStyle w:val="ListParagraph"/>
        <w:numPr>
          <w:ilvl w:val="0"/>
          <w:numId w:val="33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After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explanation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risk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benefits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this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study,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written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consent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will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obtained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from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all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patients.</w:t>
      </w:r>
    </w:p>
    <w:p w:rsidR="00F75629" w:rsidRPr="00DF2AD3" w:rsidRDefault="00CC2459" w:rsidP="00D47065">
      <w:pPr>
        <w:pStyle w:val="ListParagraph"/>
        <w:numPr>
          <w:ilvl w:val="0"/>
          <w:numId w:val="33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P</w:t>
      </w:r>
      <w:r w:rsidR="00F75629" w:rsidRPr="00DF2AD3">
        <w:rPr>
          <w:rFonts w:ascii="Times New Roman" w:hAnsi="Times New Roman" w:cs="Times New Roman"/>
          <w:sz w:val="20"/>
          <w:szCs w:val="20"/>
          <w:lang w:bidi="ar-EG"/>
        </w:rPr>
        <w:t>rivacy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75629" w:rsidRPr="00DF2AD3">
        <w:rPr>
          <w:rFonts w:ascii="Times New Roman" w:hAnsi="Times New Roman" w:cs="Times New Roman"/>
          <w:sz w:val="20"/>
          <w:szCs w:val="20"/>
          <w:lang w:bidi="ar-EG"/>
        </w:rPr>
        <w:t>insurance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75629"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75629" w:rsidRPr="00DF2AD3">
        <w:rPr>
          <w:rFonts w:ascii="Times New Roman" w:hAnsi="Times New Roman" w:cs="Times New Roman"/>
          <w:sz w:val="20"/>
          <w:szCs w:val="20"/>
          <w:lang w:bidi="ar-EG"/>
        </w:rPr>
        <w:t>complete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75629" w:rsidRPr="00DF2AD3">
        <w:rPr>
          <w:rFonts w:ascii="Times New Roman" w:hAnsi="Times New Roman" w:cs="Times New Roman"/>
          <w:sz w:val="20"/>
          <w:szCs w:val="20"/>
          <w:lang w:bidi="ar-EG"/>
        </w:rPr>
        <w:t>confidential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75629" w:rsidRPr="00DF2AD3">
        <w:rPr>
          <w:rFonts w:ascii="Times New Roman" w:hAnsi="Times New Roman" w:cs="Times New Roman"/>
          <w:sz w:val="20"/>
          <w:szCs w:val="20"/>
          <w:lang w:bidi="ar-EG"/>
        </w:rPr>
        <w:t>data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75629" w:rsidRPr="00DF2AD3">
        <w:rPr>
          <w:rFonts w:ascii="Times New Roman" w:hAnsi="Times New Roman" w:cs="Times New Roman"/>
          <w:sz w:val="20"/>
          <w:szCs w:val="20"/>
          <w:lang w:bidi="ar-EG"/>
        </w:rPr>
        <w:t>will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75629" w:rsidRPr="00DF2AD3">
        <w:rPr>
          <w:rFonts w:ascii="Times New Roman" w:hAnsi="Times New Roman" w:cs="Times New Roman"/>
          <w:sz w:val="20"/>
          <w:szCs w:val="20"/>
          <w:lang w:bidi="ar-EG"/>
        </w:rPr>
        <w:t>be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75629" w:rsidRPr="00DF2AD3">
        <w:rPr>
          <w:rFonts w:ascii="Times New Roman" w:hAnsi="Times New Roman" w:cs="Times New Roman"/>
          <w:sz w:val="20"/>
          <w:szCs w:val="20"/>
          <w:lang w:bidi="ar-EG"/>
        </w:rPr>
        <w:t>obtained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75629" w:rsidRPr="00DF2AD3">
        <w:rPr>
          <w:rFonts w:ascii="Times New Roman" w:hAnsi="Times New Roman" w:cs="Times New Roman"/>
          <w:sz w:val="20"/>
          <w:szCs w:val="20"/>
          <w:lang w:bidi="ar-EG"/>
        </w:rPr>
        <w:t>from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75629" w:rsidRPr="00DF2AD3">
        <w:rPr>
          <w:rFonts w:ascii="Times New Roman" w:hAnsi="Times New Roman" w:cs="Times New Roman"/>
          <w:sz w:val="20"/>
          <w:szCs w:val="20"/>
          <w:lang w:bidi="ar-EG"/>
        </w:rPr>
        <w:t>patients.</w:t>
      </w:r>
    </w:p>
    <w:p w:rsidR="00F75629" w:rsidRPr="00DF2AD3" w:rsidRDefault="00F75629" w:rsidP="00D47065">
      <w:pPr>
        <w:pStyle w:val="ListParagraph"/>
        <w:numPr>
          <w:ilvl w:val="0"/>
          <w:numId w:val="33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Every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file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will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have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code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number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which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contains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all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investigations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complete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clinical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data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collected.</w:t>
      </w:r>
    </w:p>
    <w:p w:rsidR="00F75629" w:rsidRPr="00DF2AD3" w:rsidRDefault="00F75629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</w:rPr>
        <w:t>8.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</w:rPr>
        <w:t>Statistical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</w:rPr>
        <w:t>analysis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7101E" w:rsidRPr="00DF2AD3">
        <w:rPr>
          <w:rFonts w:ascii="Times New Roman" w:hAnsi="Times New Roman" w:cs="Times New Roman"/>
          <w:b/>
          <w:bCs/>
          <w:sz w:val="20"/>
          <w:szCs w:val="20"/>
          <w:highlight w:val="yellow"/>
          <w:vertAlign w:val="superscript"/>
        </w:rPr>
        <w:t>(1</w:t>
      </w:r>
      <w:r w:rsidR="009F0D3D" w:rsidRPr="00DF2AD3">
        <w:rPr>
          <w:rFonts w:ascii="Times New Roman" w:hAnsi="Times New Roman" w:cs="Times New Roman"/>
          <w:b/>
          <w:bCs/>
          <w:sz w:val="20"/>
          <w:szCs w:val="20"/>
          <w:highlight w:val="yellow"/>
          <w:vertAlign w:val="superscript"/>
        </w:rPr>
        <w:t>3</w:t>
      </w:r>
      <w:r w:rsidRPr="00DF2AD3">
        <w:rPr>
          <w:rFonts w:ascii="Times New Roman" w:hAnsi="Times New Roman" w:cs="Times New Roman"/>
          <w:b/>
          <w:bCs/>
          <w:sz w:val="20"/>
          <w:szCs w:val="20"/>
          <w:highlight w:val="yellow"/>
          <w:vertAlign w:val="superscript"/>
        </w:rPr>
        <w:t>)</w:t>
      </w:r>
      <w:r w:rsidRPr="00DF2AD3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:</w:t>
      </w:r>
    </w:p>
    <w:p w:rsidR="00F75629" w:rsidRPr="00DF2AD3" w:rsidRDefault="00F75629" w:rsidP="00D47065">
      <w:pPr>
        <w:pStyle w:val="ListParagraph"/>
        <w:numPr>
          <w:ilvl w:val="0"/>
          <w:numId w:val="33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collected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data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were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organized,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tabulated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statistically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analyzed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using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SPSS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software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(Statistical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Package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Social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Sciences,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version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19,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SPSS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Inc.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Chicago,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IL,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USA).</w:t>
      </w:r>
    </w:p>
    <w:p w:rsidR="00F75629" w:rsidRPr="00DF2AD3" w:rsidRDefault="00F75629" w:rsidP="00D47065">
      <w:pPr>
        <w:pStyle w:val="ListParagraph"/>
        <w:numPr>
          <w:ilvl w:val="0"/>
          <w:numId w:val="33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quantitative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data,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range,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mean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standard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deviation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were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calculated.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DF2AD3">
        <w:rPr>
          <w:rFonts w:ascii="Times New Roman" w:hAnsi="Times New Roman" w:cs="Times New Roman"/>
          <w:sz w:val="20"/>
          <w:szCs w:val="20"/>
          <w:lang w:bidi="ar-EG"/>
        </w:rPr>
        <w:t>Boxplots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were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performed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illustrate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median,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first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third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quartiles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quantitative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data.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F75629" w:rsidRPr="00DF2AD3" w:rsidRDefault="00F75629" w:rsidP="00D47065">
      <w:pPr>
        <w:pStyle w:val="ListParagraph"/>
        <w:numPr>
          <w:ilvl w:val="0"/>
          <w:numId w:val="33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qualitative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data,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which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describe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categorical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set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data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frequency,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percentage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proportion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each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category,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comparison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two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groups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more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done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using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Chi-square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test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sym w:font="Symbol" w:char="F063"/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2).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F75629" w:rsidRPr="00DF2AD3" w:rsidRDefault="00F75629" w:rsidP="00D47065">
      <w:pPr>
        <w:pStyle w:val="ListParagraph"/>
        <w:numPr>
          <w:ilvl w:val="0"/>
          <w:numId w:val="33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comparison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means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two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groups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parametric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data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independent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samples,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student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t-test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used.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F75629" w:rsidRPr="00DF2AD3" w:rsidRDefault="00F75629" w:rsidP="00D47065">
      <w:pPr>
        <w:pStyle w:val="ListParagraph"/>
        <w:numPr>
          <w:ilvl w:val="0"/>
          <w:numId w:val="33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comparison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means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two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groups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non-parametric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data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independent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samples,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Z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value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Mann-</w:t>
      </w:r>
      <w:proofErr w:type="spellStart"/>
      <w:r w:rsidRPr="00DF2AD3">
        <w:rPr>
          <w:rFonts w:ascii="Times New Roman" w:hAnsi="Times New Roman" w:cs="Times New Roman"/>
          <w:sz w:val="20"/>
          <w:szCs w:val="20"/>
          <w:lang w:bidi="ar-EG"/>
        </w:rPr>
        <w:t>whitney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test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used.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F75629" w:rsidRPr="00DF2AD3" w:rsidRDefault="00F75629" w:rsidP="00D47065">
      <w:pPr>
        <w:pStyle w:val="ListParagraph"/>
        <w:numPr>
          <w:ilvl w:val="0"/>
          <w:numId w:val="33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comparison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more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than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two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means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parametric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data,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value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ANOVA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test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calculated.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F75629" w:rsidRPr="00DF2AD3" w:rsidRDefault="00F75629" w:rsidP="00D47065">
      <w:pPr>
        <w:pStyle w:val="ListParagraph"/>
        <w:numPr>
          <w:ilvl w:val="0"/>
          <w:numId w:val="33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Multiple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regression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analysis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done,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where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Logistic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regression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coefficients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(B)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calculated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used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estimate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Odds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ratios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(EXP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(B))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different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independent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factors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predictors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diagnosis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injury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(AKI)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among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admitted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cardiac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medical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intensive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care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units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(ICU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>s (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BA29C4" w:rsidRDefault="00BA29C4" w:rsidP="00D47065">
      <w:pPr>
        <w:pStyle w:val="ListParagraph"/>
        <w:bidi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 w:hint="eastAsia"/>
          <w:sz w:val="20"/>
          <w:szCs w:val="20"/>
          <w:lang w:eastAsia="zh-CN" w:bidi="ar-EG"/>
        </w:rPr>
      </w:pPr>
    </w:p>
    <w:p w:rsidR="00DF2AD3" w:rsidRPr="00DF2AD3" w:rsidRDefault="00DF2AD3" w:rsidP="00DF2AD3">
      <w:pPr>
        <w:pStyle w:val="ListParagraph"/>
        <w:bidi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 w:hint="eastAsia"/>
          <w:sz w:val="20"/>
          <w:szCs w:val="20"/>
          <w:lang w:eastAsia="zh-CN" w:bidi="ar-EG"/>
        </w:rPr>
      </w:pPr>
    </w:p>
    <w:p w:rsidR="00BA29C4" w:rsidRPr="00DF2AD3" w:rsidRDefault="00076519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lastRenderedPageBreak/>
        <w:t>3.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BA29C4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Results</w:t>
      </w:r>
    </w:p>
    <w:p w:rsidR="00BA29C4" w:rsidRPr="00DF2AD3" w:rsidRDefault="00BA29C4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This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study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conducted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273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recruited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from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El-Sahel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Teaching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Hospital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cardiac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medical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ICUs.</w:t>
      </w:r>
    </w:p>
    <w:p w:rsidR="00BA29C4" w:rsidRPr="00DF2AD3" w:rsidRDefault="00BA29C4" w:rsidP="00D47065">
      <w:pPr>
        <w:bidi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F2AD3">
        <w:rPr>
          <w:rFonts w:ascii="Times New Roman" w:eastAsia="Times New Roman" w:hAnsi="Times New Roman" w:cs="Times New Roman"/>
          <w:b/>
          <w:bCs/>
          <w:sz w:val="20"/>
          <w:szCs w:val="20"/>
        </w:rPr>
        <w:t>Analysis</w:t>
      </w:r>
      <w:r w:rsidR="00CC2459" w:rsidRPr="00DF2A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 w:rsidR="00CC2459" w:rsidRPr="00DF2A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 w:rsidR="00CC2459" w:rsidRPr="00DF2A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b/>
          <w:bCs/>
          <w:sz w:val="20"/>
          <w:szCs w:val="20"/>
        </w:rPr>
        <w:t>results</w:t>
      </w:r>
    </w:p>
    <w:p w:rsidR="00BA29C4" w:rsidRPr="00DF2AD3" w:rsidRDefault="0057101E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273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A29C4"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A29C4" w:rsidRPr="00DF2AD3">
        <w:rPr>
          <w:rFonts w:ascii="Times New Roman" w:hAnsi="Times New Roman" w:cs="Times New Roman"/>
          <w:sz w:val="20"/>
          <w:szCs w:val="20"/>
          <w:lang w:bidi="ar-EG"/>
        </w:rPr>
        <w:t>were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A29C4" w:rsidRPr="00DF2AD3">
        <w:rPr>
          <w:rFonts w:ascii="Times New Roman" w:hAnsi="Times New Roman" w:cs="Times New Roman"/>
          <w:sz w:val="20"/>
          <w:szCs w:val="20"/>
          <w:lang w:bidi="ar-EG"/>
        </w:rPr>
        <w:t>admitted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A29C4"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A29C4" w:rsidRPr="00DF2AD3">
        <w:rPr>
          <w:rFonts w:ascii="Times New Roman" w:eastAsia="Times New Roman" w:hAnsi="Times New Roman" w:cs="Times New Roman"/>
          <w:sz w:val="20"/>
          <w:szCs w:val="20"/>
        </w:rPr>
        <w:t>El-Sahel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A29C4" w:rsidRPr="00DF2AD3">
        <w:rPr>
          <w:rFonts w:ascii="Times New Roman" w:eastAsia="Times New Roman" w:hAnsi="Times New Roman" w:cs="Times New Roman"/>
          <w:sz w:val="20"/>
          <w:szCs w:val="20"/>
        </w:rPr>
        <w:t>Teaching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A29C4" w:rsidRPr="00DF2AD3">
        <w:rPr>
          <w:rFonts w:ascii="Times New Roman" w:eastAsia="Times New Roman" w:hAnsi="Times New Roman" w:cs="Times New Roman"/>
          <w:sz w:val="20"/>
          <w:szCs w:val="20"/>
        </w:rPr>
        <w:t>Hospital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A29C4" w:rsidRPr="00DF2AD3">
        <w:rPr>
          <w:rFonts w:ascii="Times New Roman" w:eastAsia="Times New Roman" w:hAnsi="Times New Roman" w:cs="Times New Roman"/>
          <w:sz w:val="20"/>
          <w:szCs w:val="20"/>
        </w:rPr>
        <w:t>cardiac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A29C4" w:rsidRPr="00DF2AD3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A29C4" w:rsidRPr="00DF2AD3">
        <w:rPr>
          <w:rFonts w:ascii="Times New Roman" w:eastAsia="Times New Roman" w:hAnsi="Times New Roman" w:cs="Times New Roman"/>
          <w:sz w:val="20"/>
          <w:szCs w:val="20"/>
        </w:rPr>
        <w:t>medical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A29C4" w:rsidRPr="00DF2AD3">
        <w:rPr>
          <w:rFonts w:ascii="Times New Roman" w:eastAsia="Times New Roman" w:hAnsi="Times New Roman" w:cs="Times New Roman"/>
          <w:sz w:val="20"/>
          <w:szCs w:val="20"/>
        </w:rPr>
        <w:t>ICUs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A29C4" w:rsidRPr="00DF2AD3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A29C4" w:rsidRPr="00DF2AD3">
        <w:rPr>
          <w:rFonts w:ascii="Times New Roman" w:hAnsi="Times New Roman" w:cs="Times New Roman"/>
          <w:sz w:val="20"/>
          <w:szCs w:val="20"/>
          <w:lang w:bidi="ar-EG"/>
        </w:rPr>
        <w:t>May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A29C4" w:rsidRPr="00DF2AD3">
        <w:rPr>
          <w:rFonts w:ascii="Times New Roman" w:hAnsi="Times New Roman" w:cs="Times New Roman"/>
          <w:sz w:val="20"/>
          <w:szCs w:val="20"/>
          <w:lang w:bidi="ar-EG"/>
        </w:rPr>
        <w:t>2017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A29C4"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A29C4" w:rsidRPr="00DF2AD3">
        <w:rPr>
          <w:rFonts w:ascii="Times New Roman" w:hAnsi="Times New Roman" w:cs="Times New Roman"/>
          <w:sz w:val="20"/>
          <w:szCs w:val="20"/>
          <w:lang w:bidi="ar-EG"/>
        </w:rPr>
        <w:t>May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A29C4" w:rsidRPr="00DF2AD3">
        <w:rPr>
          <w:rFonts w:ascii="Times New Roman" w:hAnsi="Times New Roman" w:cs="Times New Roman"/>
          <w:sz w:val="20"/>
          <w:szCs w:val="20"/>
          <w:lang w:bidi="ar-EG"/>
        </w:rPr>
        <w:t>2018,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A29C4"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A29C4" w:rsidRPr="00DF2AD3">
        <w:rPr>
          <w:rFonts w:ascii="Times New Roman" w:hAnsi="Times New Roman" w:cs="Times New Roman"/>
          <w:sz w:val="20"/>
          <w:szCs w:val="20"/>
          <w:lang w:bidi="ar-EG"/>
        </w:rPr>
        <w:t>incidence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A29C4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A29C4" w:rsidRPr="00DF2AD3">
        <w:rPr>
          <w:rFonts w:ascii="Times New Roman" w:hAnsi="Times New Roman" w:cs="Times New Roman"/>
          <w:sz w:val="20"/>
          <w:szCs w:val="20"/>
          <w:lang w:bidi="ar-EG"/>
        </w:rPr>
        <w:t>hospital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A29C4" w:rsidRPr="00DF2AD3">
        <w:rPr>
          <w:rFonts w:ascii="Times New Roman" w:hAnsi="Times New Roman" w:cs="Times New Roman"/>
          <w:sz w:val="20"/>
          <w:szCs w:val="20"/>
          <w:lang w:bidi="ar-EG"/>
        </w:rPr>
        <w:t>acquired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A29C4"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A29C4"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A29C4" w:rsidRPr="00DF2AD3">
        <w:rPr>
          <w:rFonts w:ascii="Times New Roman" w:hAnsi="Times New Roman" w:cs="Times New Roman"/>
          <w:sz w:val="20"/>
          <w:szCs w:val="20"/>
          <w:lang w:bidi="ar-EG"/>
        </w:rPr>
        <w:t>73.26%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A29C4" w:rsidRPr="00DF2AD3">
        <w:rPr>
          <w:rFonts w:ascii="Times New Roman" w:hAnsi="Times New Roman" w:cs="Times New Roman"/>
          <w:sz w:val="20"/>
          <w:szCs w:val="20"/>
          <w:lang w:bidi="ar-EG"/>
        </w:rPr>
        <w:t>(200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AA0681"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BA29C4" w:rsidRPr="00DF2AD3">
        <w:rPr>
          <w:rFonts w:ascii="Times New Roman" w:hAnsi="Times New Roman" w:cs="Times New Roman"/>
          <w:sz w:val="20"/>
          <w:szCs w:val="20"/>
          <w:lang w:bidi="ar-EG"/>
        </w:rPr>
        <w:t>).</w:t>
      </w:r>
    </w:p>
    <w:p w:rsidR="00BA29C4" w:rsidRPr="00DF2AD3" w:rsidRDefault="00BA29C4" w:rsidP="00D47065">
      <w:pPr>
        <w:pStyle w:val="ListParagraph"/>
        <w:numPr>
          <w:ilvl w:val="0"/>
          <w:numId w:val="31"/>
        </w:numPr>
        <w:bidi w:val="0"/>
        <w:snapToGri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lastRenderedPageBreak/>
        <w:t>Demographic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data</w:t>
      </w:r>
    </w:p>
    <w:p w:rsidR="0052273D" w:rsidRPr="00DF2AD3" w:rsidRDefault="0052273D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Concerning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age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without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ranged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17-93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years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mean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(±SD)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58.78±14.67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28-84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years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mean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(±SD)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61.26±13.36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respectively.</w:t>
      </w:r>
    </w:p>
    <w:p w:rsidR="00CC2459" w:rsidRPr="00DF2AD3" w:rsidRDefault="0052273D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Comparison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two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groups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showed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difference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statistically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insignificant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(P-value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0.208).</w:t>
      </w:r>
    </w:p>
    <w:p w:rsidR="00D47065" w:rsidRPr="00DF2AD3" w:rsidRDefault="00D47065" w:rsidP="00D47065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  <w:sectPr w:rsidR="00D47065" w:rsidRPr="00DF2AD3" w:rsidSect="00D47065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076519" w:rsidRPr="00DF2AD3" w:rsidRDefault="00076519" w:rsidP="00D47065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76519" w:rsidRPr="00DF2AD3" w:rsidRDefault="00076519" w:rsidP="00D47065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</w:rPr>
        <w:t>Table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</w:rPr>
        <w:t>(1):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Demographic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data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studied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(with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without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injury)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(n=273).</w:t>
      </w:r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196"/>
        <w:gridCol w:w="1564"/>
        <w:gridCol w:w="1751"/>
        <w:gridCol w:w="1471"/>
        <w:gridCol w:w="2172"/>
        <w:gridCol w:w="661"/>
        <w:gridCol w:w="661"/>
      </w:tblGrid>
      <w:tr w:rsidR="00BA29C4" w:rsidRPr="00DF2AD3" w:rsidTr="00CC2459">
        <w:trPr>
          <w:jc w:val="center"/>
        </w:trPr>
        <w:tc>
          <w:tcPr>
            <w:tcW w:w="63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Variables</w:t>
            </w:r>
          </w:p>
        </w:tc>
        <w:tc>
          <w:tcPr>
            <w:tcW w:w="3670" w:type="pct"/>
            <w:gridSpan w:val="4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The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studied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patients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admitted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ICUs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(n=273)</w:t>
            </w:r>
          </w:p>
        </w:tc>
        <w:tc>
          <w:tcPr>
            <w:tcW w:w="34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χ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bidi="ar-EG"/>
              </w:rPr>
              <w:t>2</w:t>
            </w:r>
          </w:p>
        </w:tc>
        <w:tc>
          <w:tcPr>
            <w:tcW w:w="34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P</w:t>
            </w:r>
          </w:p>
        </w:tc>
      </w:tr>
      <w:tr w:rsidR="00BA29C4" w:rsidRPr="00DF2AD3" w:rsidTr="00CC2459">
        <w:trPr>
          <w:jc w:val="center"/>
        </w:trPr>
        <w:tc>
          <w:tcPr>
            <w:tcW w:w="63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With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acute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kidney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injury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(AKI)</w:t>
            </w:r>
          </w:p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(n=200)</w:t>
            </w:r>
          </w:p>
        </w:tc>
        <w:tc>
          <w:tcPr>
            <w:tcW w:w="1921" w:type="pct"/>
            <w:gridSpan w:val="2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Without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acute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kidney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injury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(AKI)</w:t>
            </w:r>
          </w:p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(n=73)</w:t>
            </w:r>
          </w:p>
        </w:tc>
        <w:tc>
          <w:tcPr>
            <w:tcW w:w="34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4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2459" w:rsidRPr="00DF2AD3" w:rsidTr="00CC2459">
        <w:trPr>
          <w:jc w:val="center"/>
        </w:trPr>
        <w:tc>
          <w:tcPr>
            <w:tcW w:w="63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825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</w:t>
            </w:r>
          </w:p>
        </w:tc>
        <w:tc>
          <w:tcPr>
            <w:tcW w:w="92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%</w:t>
            </w:r>
          </w:p>
        </w:tc>
        <w:tc>
          <w:tcPr>
            <w:tcW w:w="776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</w:t>
            </w:r>
          </w:p>
        </w:tc>
        <w:tc>
          <w:tcPr>
            <w:tcW w:w="1146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%</w:t>
            </w:r>
          </w:p>
        </w:tc>
        <w:tc>
          <w:tcPr>
            <w:tcW w:w="34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4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2459" w:rsidRPr="00DF2AD3" w:rsidTr="00CC2459">
        <w:trPr>
          <w:jc w:val="center"/>
        </w:trPr>
        <w:tc>
          <w:tcPr>
            <w:tcW w:w="63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Sex:</w:t>
            </w:r>
          </w:p>
        </w:tc>
        <w:tc>
          <w:tcPr>
            <w:tcW w:w="825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92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46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4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4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2459" w:rsidRPr="00DF2AD3" w:rsidTr="00CC2459">
        <w:trPr>
          <w:jc w:val="center"/>
        </w:trPr>
        <w:tc>
          <w:tcPr>
            <w:tcW w:w="63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Males</w:t>
            </w:r>
          </w:p>
        </w:tc>
        <w:tc>
          <w:tcPr>
            <w:tcW w:w="825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106</w:t>
            </w:r>
          </w:p>
        </w:tc>
        <w:tc>
          <w:tcPr>
            <w:tcW w:w="92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53.0</w:t>
            </w:r>
          </w:p>
        </w:tc>
        <w:tc>
          <w:tcPr>
            <w:tcW w:w="776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39</w:t>
            </w:r>
          </w:p>
        </w:tc>
        <w:tc>
          <w:tcPr>
            <w:tcW w:w="1146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53.4</w:t>
            </w:r>
          </w:p>
        </w:tc>
        <w:tc>
          <w:tcPr>
            <w:tcW w:w="34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0.004</w:t>
            </w:r>
          </w:p>
        </w:tc>
        <w:tc>
          <w:tcPr>
            <w:tcW w:w="34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0.950</w:t>
            </w:r>
          </w:p>
        </w:tc>
      </w:tr>
      <w:tr w:rsidR="00CC2459" w:rsidRPr="00DF2AD3" w:rsidTr="00CC2459">
        <w:trPr>
          <w:jc w:val="center"/>
        </w:trPr>
        <w:tc>
          <w:tcPr>
            <w:tcW w:w="63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Females</w:t>
            </w:r>
          </w:p>
        </w:tc>
        <w:tc>
          <w:tcPr>
            <w:tcW w:w="825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94</w:t>
            </w:r>
          </w:p>
        </w:tc>
        <w:tc>
          <w:tcPr>
            <w:tcW w:w="92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47.0</w:t>
            </w:r>
          </w:p>
        </w:tc>
        <w:tc>
          <w:tcPr>
            <w:tcW w:w="776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34</w:t>
            </w:r>
          </w:p>
        </w:tc>
        <w:tc>
          <w:tcPr>
            <w:tcW w:w="1146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46.6</w:t>
            </w:r>
          </w:p>
        </w:tc>
        <w:tc>
          <w:tcPr>
            <w:tcW w:w="34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34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CC2459" w:rsidRPr="00DF2AD3" w:rsidTr="00CC2459">
        <w:trPr>
          <w:jc w:val="center"/>
        </w:trPr>
        <w:tc>
          <w:tcPr>
            <w:tcW w:w="63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Age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years:</w:t>
            </w:r>
          </w:p>
        </w:tc>
        <w:tc>
          <w:tcPr>
            <w:tcW w:w="825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92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46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4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4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A29C4" w:rsidRPr="00DF2AD3" w:rsidTr="00CC2459">
        <w:trPr>
          <w:jc w:val="center"/>
        </w:trPr>
        <w:tc>
          <w:tcPr>
            <w:tcW w:w="63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Range</w:t>
            </w:r>
          </w:p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proofErr w:type="spellStart"/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Mean±SD</w:t>
            </w:r>
            <w:proofErr w:type="spellEnd"/>
          </w:p>
        </w:tc>
        <w:tc>
          <w:tcPr>
            <w:tcW w:w="1749" w:type="pct"/>
            <w:gridSpan w:val="2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17.00-93.00</w:t>
            </w:r>
          </w:p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58.78±14.67</w:t>
            </w:r>
          </w:p>
        </w:tc>
        <w:tc>
          <w:tcPr>
            <w:tcW w:w="1921" w:type="pct"/>
            <w:gridSpan w:val="2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28.00-84.00</w:t>
            </w:r>
          </w:p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61.26±13.36</w:t>
            </w:r>
          </w:p>
        </w:tc>
        <w:tc>
          <w:tcPr>
            <w:tcW w:w="34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34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BA29C4" w:rsidRPr="00DF2AD3" w:rsidTr="00CC2459">
        <w:trPr>
          <w:jc w:val="center"/>
        </w:trPr>
        <w:tc>
          <w:tcPr>
            <w:tcW w:w="63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t-test</w:t>
            </w:r>
          </w:p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</w:t>
            </w:r>
          </w:p>
        </w:tc>
        <w:tc>
          <w:tcPr>
            <w:tcW w:w="3670" w:type="pct"/>
            <w:gridSpan w:val="4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1.263</w:t>
            </w:r>
          </w:p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0.208</w:t>
            </w:r>
          </w:p>
        </w:tc>
        <w:tc>
          <w:tcPr>
            <w:tcW w:w="34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34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</w:tbl>
    <w:p w:rsidR="00076519" w:rsidRPr="00DF2AD3" w:rsidRDefault="00076519" w:rsidP="00D47065">
      <w:pPr>
        <w:pStyle w:val="ListParagraph"/>
        <w:bidi w:val="0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D47065" w:rsidRPr="00DF2AD3" w:rsidRDefault="00D47065" w:rsidP="00D47065">
      <w:pPr>
        <w:pStyle w:val="ListParagraph"/>
        <w:numPr>
          <w:ilvl w:val="0"/>
          <w:numId w:val="31"/>
        </w:numPr>
        <w:bidi w:val="0"/>
        <w:snapToGri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  <w:sectPr w:rsidR="00D47065" w:rsidRPr="00DF2AD3" w:rsidSect="00CC2459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BA29C4" w:rsidRPr="00DF2AD3" w:rsidRDefault="009E2B52" w:rsidP="00D47065">
      <w:pPr>
        <w:pStyle w:val="ListParagraph"/>
        <w:numPr>
          <w:ilvl w:val="0"/>
          <w:numId w:val="31"/>
        </w:numPr>
        <w:bidi w:val="0"/>
        <w:snapToGri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lastRenderedPageBreak/>
        <w:t>Assessment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at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Presentation:</w:t>
      </w:r>
    </w:p>
    <w:p w:rsidR="00B461A6" w:rsidRPr="00DF2AD3" w:rsidRDefault="00B461A6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F2AD3">
        <w:rPr>
          <w:rFonts w:ascii="Times New Roman" w:hAnsi="Times New Roman" w:cs="Times New Roman"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AKI,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most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common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risk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factors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were;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overlapping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(95%),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hypertension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(74.5%),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diabetes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mellitus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(44.5%),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cardiac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disease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(39%)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dehydration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(32.5%).</w:t>
      </w:r>
    </w:p>
    <w:p w:rsidR="00CC2459" w:rsidRPr="00DF2AD3" w:rsidRDefault="00B461A6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lastRenderedPageBreak/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most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independent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risk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factor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sepsis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which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showed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statistically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significant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value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(P-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value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0.007).</w:t>
      </w:r>
    </w:p>
    <w:p w:rsidR="00D47065" w:rsidRPr="00DF2AD3" w:rsidRDefault="00D47065" w:rsidP="00D47065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  <w:sectPr w:rsidR="00D47065" w:rsidRPr="00DF2AD3" w:rsidSect="00D47065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076519" w:rsidRPr="00DF2AD3" w:rsidRDefault="00076519" w:rsidP="00D47065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076519" w:rsidRPr="00DF2AD3" w:rsidRDefault="00076519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Table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(2):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Risk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factors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affecting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renal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functions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studied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(with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without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injury)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(n=273).</w:t>
      </w:r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042"/>
        <w:gridCol w:w="1558"/>
        <w:gridCol w:w="1744"/>
        <w:gridCol w:w="1173"/>
        <w:gridCol w:w="1730"/>
        <w:gridCol w:w="565"/>
        <w:gridCol w:w="664"/>
      </w:tblGrid>
      <w:tr w:rsidR="00BA29C4" w:rsidRPr="00DF2AD3" w:rsidTr="00CC2459">
        <w:trPr>
          <w:jc w:val="center"/>
        </w:trPr>
        <w:tc>
          <w:tcPr>
            <w:tcW w:w="107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Medical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data</w:t>
            </w:r>
          </w:p>
        </w:tc>
        <w:tc>
          <w:tcPr>
            <w:tcW w:w="3274" w:type="pct"/>
            <w:gridSpan w:val="4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The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studied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patients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admitted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ICUs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(n=273)</w:t>
            </w:r>
          </w:p>
        </w:tc>
        <w:tc>
          <w:tcPr>
            <w:tcW w:w="29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χ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bidi="ar-EG"/>
              </w:rPr>
              <w:t>2</w:t>
            </w:r>
          </w:p>
        </w:tc>
        <w:tc>
          <w:tcPr>
            <w:tcW w:w="35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P</w:t>
            </w:r>
          </w:p>
        </w:tc>
      </w:tr>
      <w:tr w:rsidR="00BA29C4" w:rsidRPr="00DF2AD3" w:rsidTr="00CC2459">
        <w:trPr>
          <w:jc w:val="center"/>
        </w:trPr>
        <w:tc>
          <w:tcPr>
            <w:tcW w:w="107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42" w:type="pct"/>
            <w:gridSpan w:val="2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With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acute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kidney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injury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(AKI)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(n=200)</w:t>
            </w:r>
          </w:p>
        </w:tc>
        <w:tc>
          <w:tcPr>
            <w:tcW w:w="1532" w:type="pct"/>
            <w:gridSpan w:val="2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Without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acute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kidney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injury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(AKI)</w:t>
            </w:r>
          </w:p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(n=73)</w:t>
            </w:r>
          </w:p>
        </w:tc>
        <w:tc>
          <w:tcPr>
            <w:tcW w:w="29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5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2459" w:rsidRPr="00DF2AD3" w:rsidTr="00CC2459">
        <w:trPr>
          <w:jc w:val="center"/>
        </w:trPr>
        <w:tc>
          <w:tcPr>
            <w:tcW w:w="107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82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</w:t>
            </w:r>
          </w:p>
        </w:tc>
        <w:tc>
          <w:tcPr>
            <w:tcW w:w="9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%</w:t>
            </w:r>
          </w:p>
        </w:tc>
        <w:tc>
          <w:tcPr>
            <w:tcW w:w="61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</w:t>
            </w:r>
          </w:p>
        </w:tc>
        <w:tc>
          <w:tcPr>
            <w:tcW w:w="913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%</w:t>
            </w:r>
          </w:p>
        </w:tc>
        <w:tc>
          <w:tcPr>
            <w:tcW w:w="29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5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2459" w:rsidRPr="00DF2AD3" w:rsidTr="00CC2459">
        <w:trPr>
          <w:jc w:val="center"/>
        </w:trPr>
        <w:tc>
          <w:tcPr>
            <w:tcW w:w="107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Overlap</w:t>
            </w:r>
          </w:p>
        </w:tc>
        <w:tc>
          <w:tcPr>
            <w:tcW w:w="82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190</w:t>
            </w:r>
          </w:p>
        </w:tc>
        <w:tc>
          <w:tcPr>
            <w:tcW w:w="9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95.0</w:t>
            </w:r>
          </w:p>
        </w:tc>
        <w:tc>
          <w:tcPr>
            <w:tcW w:w="61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66</w:t>
            </w:r>
          </w:p>
        </w:tc>
        <w:tc>
          <w:tcPr>
            <w:tcW w:w="913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90.4</w:t>
            </w:r>
          </w:p>
        </w:tc>
        <w:tc>
          <w:tcPr>
            <w:tcW w:w="29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1.929</w:t>
            </w:r>
          </w:p>
        </w:tc>
        <w:tc>
          <w:tcPr>
            <w:tcW w:w="35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0.165</w:t>
            </w:r>
          </w:p>
        </w:tc>
      </w:tr>
      <w:tr w:rsidR="00CC2459" w:rsidRPr="00DF2AD3" w:rsidTr="00CC2459">
        <w:trPr>
          <w:jc w:val="center"/>
        </w:trPr>
        <w:tc>
          <w:tcPr>
            <w:tcW w:w="107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Hypertension</w:t>
            </w:r>
          </w:p>
        </w:tc>
        <w:tc>
          <w:tcPr>
            <w:tcW w:w="82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149</w:t>
            </w:r>
          </w:p>
        </w:tc>
        <w:tc>
          <w:tcPr>
            <w:tcW w:w="9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74.5</w:t>
            </w:r>
          </w:p>
        </w:tc>
        <w:tc>
          <w:tcPr>
            <w:tcW w:w="61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48</w:t>
            </w:r>
          </w:p>
        </w:tc>
        <w:tc>
          <w:tcPr>
            <w:tcW w:w="913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65.8</w:t>
            </w:r>
          </w:p>
        </w:tc>
        <w:tc>
          <w:tcPr>
            <w:tcW w:w="29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2.037</w:t>
            </w:r>
          </w:p>
        </w:tc>
        <w:tc>
          <w:tcPr>
            <w:tcW w:w="35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0.154</w:t>
            </w:r>
          </w:p>
        </w:tc>
      </w:tr>
      <w:tr w:rsidR="00CC2459" w:rsidRPr="00DF2AD3" w:rsidTr="00CC2459">
        <w:trPr>
          <w:jc w:val="center"/>
        </w:trPr>
        <w:tc>
          <w:tcPr>
            <w:tcW w:w="107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Diabetes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mellitus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(DM)</w:t>
            </w:r>
          </w:p>
        </w:tc>
        <w:tc>
          <w:tcPr>
            <w:tcW w:w="82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89</w:t>
            </w:r>
          </w:p>
        </w:tc>
        <w:tc>
          <w:tcPr>
            <w:tcW w:w="9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44.5</w:t>
            </w:r>
          </w:p>
        </w:tc>
        <w:tc>
          <w:tcPr>
            <w:tcW w:w="61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36</w:t>
            </w:r>
          </w:p>
        </w:tc>
        <w:tc>
          <w:tcPr>
            <w:tcW w:w="913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49.3</w:t>
            </w:r>
          </w:p>
        </w:tc>
        <w:tc>
          <w:tcPr>
            <w:tcW w:w="29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0.500</w:t>
            </w:r>
          </w:p>
        </w:tc>
        <w:tc>
          <w:tcPr>
            <w:tcW w:w="35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0.480</w:t>
            </w:r>
          </w:p>
        </w:tc>
      </w:tr>
      <w:tr w:rsidR="00CC2459" w:rsidRPr="00DF2AD3" w:rsidTr="00CC2459">
        <w:trPr>
          <w:jc w:val="center"/>
        </w:trPr>
        <w:tc>
          <w:tcPr>
            <w:tcW w:w="107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Cardiac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disease</w:t>
            </w:r>
          </w:p>
        </w:tc>
        <w:tc>
          <w:tcPr>
            <w:tcW w:w="82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78</w:t>
            </w:r>
          </w:p>
        </w:tc>
        <w:tc>
          <w:tcPr>
            <w:tcW w:w="9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39.0</w:t>
            </w:r>
          </w:p>
        </w:tc>
        <w:tc>
          <w:tcPr>
            <w:tcW w:w="61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27</w:t>
            </w:r>
          </w:p>
        </w:tc>
        <w:tc>
          <w:tcPr>
            <w:tcW w:w="913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37.0</w:t>
            </w:r>
          </w:p>
        </w:tc>
        <w:tc>
          <w:tcPr>
            <w:tcW w:w="29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0.092</w:t>
            </w:r>
          </w:p>
        </w:tc>
        <w:tc>
          <w:tcPr>
            <w:tcW w:w="35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0.762</w:t>
            </w:r>
          </w:p>
        </w:tc>
      </w:tr>
      <w:tr w:rsidR="00CC2459" w:rsidRPr="00DF2AD3" w:rsidTr="00CC2459">
        <w:trPr>
          <w:jc w:val="center"/>
        </w:trPr>
        <w:tc>
          <w:tcPr>
            <w:tcW w:w="107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Dehydration</w:t>
            </w:r>
          </w:p>
        </w:tc>
        <w:tc>
          <w:tcPr>
            <w:tcW w:w="82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65</w:t>
            </w:r>
          </w:p>
        </w:tc>
        <w:tc>
          <w:tcPr>
            <w:tcW w:w="9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32.5</w:t>
            </w:r>
          </w:p>
        </w:tc>
        <w:tc>
          <w:tcPr>
            <w:tcW w:w="61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18</w:t>
            </w:r>
          </w:p>
        </w:tc>
        <w:tc>
          <w:tcPr>
            <w:tcW w:w="913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24.7</w:t>
            </w:r>
          </w:p>
        </w:tc>
        <w:tc>
          <w:tcPr>
            <w:tcW w:w="29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1.554</w:t>
            </w:r>
          </w:p>
        </w:tc>
        <w:tc>
          <w:tcPr>
            <w:tcW w:w="35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0.212</w:t>
            </w:r>
          </w:p>
        </w:tc>
      </w:tr>
      <w:tr w:rsidR="00CC2459" w:rsidRPr="00DF2AD3" w:rsidTr="00CC2459">
        <w:trPr>
          <w:jc w:val="center"/>
        </w:trPr>
        <w:tc>
          <w:tcPr>
            <w:tcW w:w="107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Sepsis</w:t>
            </w:r>
          </w:p>
        </w:tc>
        <w:tc>
          <w:tcPr>
            <w:tcW w:w="82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49</w:t>
            </w:r>
          </w:p>
        </w:tc>
        <w:tc>
          <w:tcPr>
            <w:tcW w:w="9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24.5</w:t>
            </w:r>
          </w:p>
        </w:tc>
        <w:tc>
          <w:tcPr>
            <w:tcW w:w="61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7</w:t>
            </w:r>
          </w:p>
        </w:tc>
        <w:tc>
          <w:tcPr>
            <w:tcW w:w="913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9.6</w:t>
            </w:r>
          </w:p>
        </w:tc>
        <w:tc>
          <w:tcPr>
            <w:tcW w:w="29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7.293</w:t>
            </w:r>
          </w:p>
        </w:tc>
        <w:tc>
          <w:tcPr>
            <w:tcW w:w="35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0.007*</w:t>
            </w:r>
          </w:p>
        </w:tc>
      </w:tr>
      <w:tr w:rsidR="00CC2459" w:rsidRPr="00DF2AD3" w:rsidTr="00CC2459">
        <w:trPr>
          <w:jc w:val="center"/>
        </w:trPr>
        <w:tc>
          <w:tcPr>
            <w:tcW w:w="107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Drugs</w:t>
            </w:r>
          </w:p>
        </w:tc>
        <w:tc>
          <w:tcPr>
            <w:tcW w:w="82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35</w:t>
            </w:r>
          </w:p>
        </w:tc>
        <w:tc>
          <w:tcPr>
            <w:tcW w:w="9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17.5</w:t>
            </w:r>
          </w:p>
        </w:tc>
        <w:tc>
          <w:tcPr>
            <w:tcW w:w="61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7</w:t>
            </w:r>
          </w:p>
        </w:tc>
        <w:tc>
          <w:tcPr>
            <w:tcW w:w="913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9.6</w:t>
            </w:r>
          </w:p>
        </w:tc>
        <w:tc>
          <w:tcPr>
            <w:tcW w:w="29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2.571</w:t>
            </w:r>
          </w:p>
        </w:tc>
        <w:tc>
          <w:tcPr>
            <w:tcW w:w="35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0.109</w:t>
            </w:r>
          </w:p>
        </w:tc>
      </w:tr>
      <w:tr w:rsidR="00CC2459" w:rsidRPr="00DF2AD3" w:rsidTr="00CC2459">
        <w:trPr>
          <w:jc w:val="center"/>
        </w:trPr>
        <w:tc>
          <w:tcPr>
            <w:tcW w:w="107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Chest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disease</w:t>
            </w:r>
          </w:p>
        </w:tc>
        <w:tc>
          <w:tcPr>
            <w:tcW w:w="82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30</w:t>
            </w:r>
          </w:p>
        </w:tc>
        <w:tc>
          <w:tcPr>
            <w:tcW w:w="9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15.0</w:t>
            </w:r>
          </w:p>
        </w:tc>
        <w:tc>
          <w:tcPr>
            <w:tcW w:w="61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</w:t>
            </w:r>
          </w:p>
        </w:tc>
        <w:tc>
          <w:tcPr>
            <w:tcW w:w="913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12.3</w:t>
            </w:r>
          </w:p>
        </w:tc>
        <w:tc>
          <w:tcPr>
            <w:tcW w:w="29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0.312</w:t>
            </w:r>
          </w:p>
        </w:tc>
        <w:tc>
          <w:tcPr>
            <w:tcW w:w="35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0.577</w:t>
            </w:r>
          </w:p>
        </w:tc>
      </w:tr>
      <w:tr w:rsidR="00CC2459" w:rsidRPr="00DF2AD3" w:rsidTr="00CC2459">
        <w:trPr>
          <w:jc w:val="center"/>
        </w:trPr>
        <w:tc>
          <w:tcPr>
            <w:tcW w:w="107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Anemia</w:t>
            </w:r>
          </w:p>
        </w:tc>
        <w:tc>
          <w:tcPr>
            <w:tcW w:w="82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26</w:t>
            </w:r>
          </w:p>
        </w:tc>
        <w:tc>
          <w:tcPr>
            <w:tcW w:w="9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13.0</w:t>
            </w:r>
          </w:p>
        </w:tc>
        <w:tc>
          <w:tcPr>
            <w:tcW w:w="61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12</w:t>
            </w:r>
          </w:p>
        </w:tc>
        <w:tc>
          <w:tcPr>
            <w:tcW w:w="913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16.4</w:t>
            </w:r>
          </w:p>
        </w:tc>
        <w:tc>
          <w:tcPr>
            <w:tcW w:w="29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0.528</w:t>
            </w:r>
          </w:p>
        </w:tc>
        <w:tc>
          <w:tcPr>
            <w:tcW w:w="35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0.468</w:t>
            </w:r>
          </w:p>
        </w:tc>
      </w:tr>
      <w:tr w:rsidR="00CC2459" w:rsidRPr="00DF2AD3" w:rsidTr="00CC2459">
        <w:trPr>
          <w:jc w:val="center"/>
        </w:trPr>
        <w:tc>
          <w:tcPr>
            <w:tcW w:w="107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Urinary</w:t>
            </w:r>
          </w:p>
        </w:tc>
        <w:tc>
          <w:tcPr>
            <w:tcW w:w="82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21</w:t>
            </w:r>
          </w:p>
        </w:tc>
        <w:tc>
          <w:tcPr>
            <w:tcW w:w="9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10.5</w:t>
            </w:r>
          </w:p>
        </w:tc>
        <w:tc>
          <w:tcPr>
            <w:tcW w:w="61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</w:t>
            </w:r>
          </w:p>
        </w:tc>
        <w:tc>
          <w:tcPr>
            <w:tcW w:w="913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6.8</w:t>
            </w:r>
          </w:p>
        </w:tc>
        <w:tc>
          <w:tcPr>
            <w:tcW w:w="29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0.827</w:t>
            </w:r>
          </w:p>
        </w:tc>
        <w:tc>
          <w:tcPr>
            <w:tcW w:w="35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0.363</w:t>
            </w:r>
          </w:p>
        </w:tc>
      </w:tr>
      <w:tr w:rsidR="00CC2459" w:rsidRPr="00DF2AD3" w:rsidTr="00CC2459">
        <w:trPr>
          <w:jc w:val="center"/>
        </w:trPr>
        <w:tc>
          <w:tcPr>
            <w:tcW w:w="107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Liver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disease</w:t>
            </w:r>
          </w:p>
        </w:tc>
        <w:tc>
          <w:tcPr>
            <w:tcW w:w="82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20</w:t>
            </w:r>
          </w:p>
        </w:tc>
        <w:tc>
          <w:tcPr>
            <w:tcW w:w="9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10.0</w:t>
            </w:r>
          </w:p>
        </w:tc>
        <w:tc>
          <w:tcPr>
            <w:tcW w:w="61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</w:t>
            </w:r>
          </w:p>
        </w:tc>
        <w:tc>
          <w:tcPr>
            <w:tcW w:w="913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8.2</w:t>
            </w:r>
          </w:p>
        </w:tc>
        <w:tc>
          <w:tcPr>
            <w:tcW w:w="29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0.197</w:t>
            </w:r>
          </w:p>
        </w:tc>
        <w:tc>
          <w:tcPr>
            <w:tcW w:w="35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0.657</w:t>
            </w:r>
          </w:p>
        </w:tc>
      </w:tr>
      <w:tr w:rsidR="00CC2459" w:rsidRPr="00DF2AD3" w:rsidTr="00CC2459">
        <w:trPr>
          <w:jc w:val="center"/>
        </w:trPr>
        <w:tc>
          <w:tcPr>
            <w:tcW w:w="107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Surgery</w:t>
            </w:r>
          </w:p>
        </w:tc>
        <w:tc>
          <w:tcPr>
            <w:tcW w:w="82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</w:t>
            </w:r>
          </w:p>
        </w:tc>
        <w:tc>
          <w:tcPr>
            <w:tcW w:w="9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4.5</w:t>
            </w:r>
          </w:p>
        </w:tc>
        <w:tc>
          <w:tcPr>
            <w:tcW w:w="61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</w:t>
            </w:r>
          </w:p>
        </w:tc>
        <w:tc>
          <w:tcPr>
            <w:tcW w:w="913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13.7</w:t>
            </w:r>
          </w:p>
        </w:tc>
        <w:tc>
          <w:tcPr>
            <w:tcW w:w="29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6.988</w:t>
            </w:r>
          </w:p>
        </w:tc>
        <w:tc>
          <w:tcPr>
            <w:tcW w:w="35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0.008*</w:t>
            </w:r>
          </w:p>
        </w:tc>
      </w:tr>
      <w:tr w:rsidR="00CC2459" w:rsidRPr="00DF2AD3" w:rsidTr="00CC2459">
        <w:trPr>
          <w:jc w:val="center"/>
        </w:trPr>
        <w:tc>
          <w:tcPr>
            <w:tcW w:w="107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Renal</w:t>
            </w:r>
          </w:p>
        </w:tc>
        <w:tc>
          <w:tcPr>
            <w:tcW w:w="82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8</w:t>
            </w:r>
          </w:p>
        </w:tc>
        <w:tc>
          <w:tcPr>
            <w:tcW w:w="9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4.0</w:t>
            </w:r>
          </w:p>
        </w:tc>
        <w:tc>
          <w:tcPr>
            <w:tcW w:w="61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</w:t>
            </w:r>
          </w:p>
        </w:tc>
        <w:tc>
          <w:tcPr>
            <w:tcW w:w="913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</w:t>
            </w:r>
          </w:p>
        </w:tc>
        <w:tc>
          <w:tcPr>
            <w:tcW w:w="29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3.008</w:t>
            </w:r>
          </w:p>
        </w:tc>
        <w:tc>
          <w:tcPr>
            <w:tcW w:w="35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0.083</w:t>
            </w:r>
          </w:p>
        </w:tc>
      </w:tr>
      <w:tr w:rsidR="00CC2459" w:rsidRPr="00DF2AD3" w:rsidTr="00CC2459">
        <w:trPr>
          <w:jc w:val="center"/>
        </w:trPr>
        <w:tc>
          <w:tcPr>
            <w:tcW w:w="107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Contrast</w:t>
            </w:r>
          </w:p>
        </w:tc>
        <w:tc>
          <w:tcPr>
            <w:tcW w:w="82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</w:t>
            </w:r>
          </w:p>
        </w:tc>
        <w:tc>
          <w:tcPr>
            <w:tcW w:w="9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3.0</w:t>
            </w:r>
          </w:p>
        </w:tc>
        <w:tc>
          <w:tcPr>
            <w:tcW w:w="61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</w:t>
            </w:r>
          </w:p>
        </w:tc>
        <w:tc>
          <w:tcPr>
            <w:tcW w:w="913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</w:t>
            </w:r>
          </w:p>
        </w:tc>
        <w:tc>
          <w:tcPr>
            <w:tcW w:w="29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2.239</w:t>
            </w:r>
          </w:p>
        </w:tc>
        <w:tc>
          <w:tcPr>
            <w:tcW w:w="35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0.135</w:t>
            </w:r>
          </w:p>
        </w:tc>
      </w:tr>
      <w:tr w:rsidR="00CC2459" w:rsidRPr="00DF2AD3" w:rsidTr="00CC2459">
        <w:trPr>
          <w:jc w:val="center"/>
        </w:trPr>
        <w:tc>
          <w:tcPr>
            <w:tcW w:w="107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Rhabdomyolysis</w:t>
            </w:r>
            <w:proofErr w:type="spellEnd"/>
          </w:p>
        </w:tc>
        <w:tc>
          <w:tcPr>
            <w:tcW w:w="82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</w:t>
            </w:r>
          </w:p>
        </w:tc>
        <w:tc>
          <w:tcPr>
            <w:tcW w:w="9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2.0</w:t>
            </w:r>
          </w:p>
        </w:tc>
        <w:tc>
          <w:tcPr>
            <w:tcW w:w="619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</w:t>
            </w:r>
          </w:p>
        </w:tc>
        <w:tc>
          <w:tcPr>
            <w:tcW w:w="913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5.5</w:t>
            </w:r>
          </w:p>
        </w:tc>
        <w:tc>
          <w:tcPr>
            <w:tcW w:w="29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2.276</w:t>
            </w:r>
          </w:p>
        </w:tc>
        <w:tc>
          <w:tcPr>
            <w:tcW w:w="35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0.131</w:t>
            </w:r>
          </w:p>
        </w:tc>
      </w:tr>
    </w:tbl>
    <w:p w:rsidR="00BA29C4" w:rsidRPr="00DF2AD3" w:rsidRDefault="00BA29C4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</w:rPr>
        <w:t>*Significant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</w:rPr>
        <w:t>(P&lt;0.05)</w:t>
      </w:r>
    </w:p>
    <w:p w:rsidR="00D47065" w:rsidRDefault="00D47065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DF2AD3" w:rsidRPr="00DF2AD3" w:rsidRDefault="00DF2AD3" w:rsidP="00DF2AD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D47065" w:rsidRPr="00DF2AD3" w:rsidRDefault="00D47065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  <w:sectPr w:rsidR="00D47065" w:rsidRPr="00DF2AD3" w:rsidSect="00CC2459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D93381" w:rsidRPr="00DF2AD3" w:rsidRDefault="00D93381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F2AD3">
        <w:rPr>
          <w:rFonts w:ascii="Times New Roman" w:hAnsi="Times New Roman" w:cs="Times New Roman"/>
          <w:sz w:val="20"/>
          <w:szCs w:val="20"/>
        </w:rPr>
        <w:lastRenderedPageBreak/>
        <w:t>There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were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different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causes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ICU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admission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both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non-AKI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groups.</w:t>
      </w:r>
    </w:p>
    <w:p w:rsidR="00D93381" w:rsidRPr="00DF2AD3" w:rsidRDefault="00D93381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F2AD3">
        <w:rPr>
          <w:rFonts w:ascii="Times New Roman" w:hAnsi="Times New Roman" w:cs="Times New Roman"/>
          <w:sz w:val="20"/>
          <w:szCs w:val="20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most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common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causes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admission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group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were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F2AD3">
        <w:rPr>
          <w:rFonts w:ascii="Times New Roman" w:hAnsi="Times New Roman" w:cs="Times New Roman"/>
          <w:sz w:val="20"/>
          <w:szCs w:val="20"/>
        </w:rPr>
        <w:t>cardiogenic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shock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(25%),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sepsis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(21.5%),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F2AD3">
        <w:rPr>
          <w:rFonts w:ascii="Times New Roman" w:hAnsi="Times New Roman" w:cs="Times New Roman"/>
          <w:sz w:val="20"/>
          <w:szCs w:val="20"/>
        </w:rPr>
        <w:t>hypovolemic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shock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(15%),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intracranial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hemorrhage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stroke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(10%),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while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non-AKI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group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were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F2AD3">
        <w:rPr>
          <w:rFonts w:ascii="Times New Roman" w:hAnsi="Times New Roman" w:cs="Times New Roman"/>
          <w:sz w:val="20"/>
          <w:szCs w:val="20"/>
        </w:rPr>
        <w:lastRenderedPageBreak/>
        <w:t>cardiogenic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shock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(32.9%),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hepatic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encephalopathy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(27.8%),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diabetic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F2AD3">
        <w:rPr>
          <w:rFonts w:ascii="Times New Roman" w:hAnsi="Times New Roman" w:cs="Times New Roman"/>
          <w:sz w:val="20"/>
          <w:szCs w:val="20"/>
        </w:rPr>
        <w:t>ketoacidosis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(16.4%)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surgery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(9.6%).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3381" w:rsidRPr="00DF2AD3" w:rsidRDefault="00D93381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F2AD3">
        <w:rPr>
          <w:rFonts w:ascii="Times New Roman" w:hAnsi="Times New Roman" w:cs="Times New Roman"/>
          <w:sz w:val="20"/>
          <w:szCs w:val="20"/>
        </w:rPr>
        <w:t>Comparison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between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these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causes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showed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statistically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significant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value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(P-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value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0.0001).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7065" w:rsidRPr="00DF2AD3" w:rsidRDefault="00D47065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  <w:sectPr w:rsidR="00D47065" w:rsidRPr="00DF2AD3" w:rsidSect="00D47065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CC2459" w:rsidRPr="00DF2AD3" w:rsidRDefault="00CC2459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076519" w:rsidRPr="00DF2AD3" w:rsidRDefault="00076519" w:rsidP="00D47065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Table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(3):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Causes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admission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studied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without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(n=273).</w:t>
      </w:r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243"/>
        <w:gridCol w:w="1198"/>
        <w:gridCol w:w="1772"/>
        <w:gridCol w:w="1315"/>
        <w:gridCol w:w="1948"/>
      </w:tblGrid>
      <w:tr w:rsidR="00BA29C4" w:rsidRPr="00DF2AD3" w:rsidTr="00CC2459">
        <w:trPr>
          <w:jc w:val="center"/>
        </w:trPr>
        <w:tc>
          <w:tcPr>
            <w:tcW w:w="171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Causes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of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admission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at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ICU</w:t>
            </w:r>
          </w:p>
        </w:tc>
        <w:tc>
          <w:tcPr>
            <w:tcW w:w="3289" w:type="pct"/>
            <w:gridSpan w:val="4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The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studied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patients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admitted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ICUs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</w:p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(n=273)</w:t>
            </w:r>
          </w:p>
        </w:tc>
      </w:tr>
      <w:tr w:rsidR="00BA29C4" w:rsidRPr="00DF2AD3" w:rsidTr="00CC2459">
        <w:trPr>
          <w:jc w:val="center"/>
        </w:trPr>
        <w:tc>
          <w:tcPr>
            <w:tcW w:w="171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567" w:type="pct"/>
            <w:gridSpan w:val="2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With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acute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kidney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injury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(AKI)</w:t>
            </w:r>
          </w:p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(n=200)</w:t>
            </w:r>
          </w:p>
        </w:tc>
        <w:tc>
          <w:tcPr>
            <w:tcW w:w="1721" w:type="pct"/>
            <w:gridSpan w:val="2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Without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acute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kidney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injury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(AKI)</w:t>
            </w:r>
          </w:p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(n=73)</w:t>
            </w:r>
          </w:p>
        </w:tc>
      </w:tr>
      <w:tr w:rsidR="00CC2459" w:rsidRPr="00DF2AD3" w:rsidTr="00CC2459">
        <w:trPr>
          <w:jc w:val="center"/>
        </w:trPr>
        <w:tc>
          <w:tcPr>
            <w:tcW w:w="171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3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</w:t>
            </w:r>
          </w:p>
        </w:tc>
        <w:tc>
          <w:tcPr>
            <w:tcW w:w="935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%</w:t>
            </w:r>
          </w:p>
        </w:tc>
        <w:tc>
          <w:tcPr>
            <w:tcW w:w="69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</w:t>
            </w:r>
          </w:p>
        </w:tc>
        <w:tc>
          <w:tcPr>
            <w:tcW w:w="1027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%</w:t>
            </w:r>
          </w:p>
        </w:tc>
      </w:tr>
      <w:tr w:rsidR="00CC2459" w:rsidRPr="00DF2AD3" w:rsidTr="00CC2459">
        <w:trPr>
          <w:jc w:val="center"/>
        </w:trPr>
        <w:tc>
          <w:tcPr>
            <w:tcW w:w="171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Cardiogenic</w:t>
            </w:r>
            <w:proofErr w:type="spellEnd"/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shock</w:t>
            </w:r>
          </w:p>
        </w:tc>
        <w:tc>
          <w:tcPr>
            <w:tcW w:w="63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50</w:t>
            </w:r>
          </w:p>
        </w:tc>
        <w:tc>
          <w:tcPr>
            <w:tcW w:w="935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25.0</w:t>
            </w:r>
          </w:p>
        </w:tc>
        <w:tc>
          <w:tcPr>
            <w:tcW w:w="69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24</w:t>
            </w:r>
          </w:p>
        </w:tc>
        <w:tc>
          <w:tcPr>
            <w:tcW w:w="1027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32.9</w:t>
            </w:r>
          </w:p>
        </w:tc>
      </w:tr>
      <w:tr w:rsidR="00CC2459" w:rsidRPr="00DF2AD3" w:rsidTr="00CC2459">
        <w:trPr>
          <w:jc w:val="center"/>
        </w:trPr>
        <w:tc>
          <w:tcPr>
            <w:tcW w:w="171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Sepsis</w:t>
            </w:r>
          </w:p>
        </w:tc>
        <w:tc>
          <w:tcPr>
            <w:tcW w:w="63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43</w:t>
            </w:r>
          </w:p>
        </w:tc>
        <w:tc>
          <w:tcPr>
            <w:tcW w:w="935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21.5</w:t>
            </w:r>
          </w:p>
        </w:tc>
        <w:tc>
          <w:tcPr>
            <w:tcW w:w="69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</w:t>
            </w:r>
          </w:p>
        </w:tc>
        <w:tc>
          <w:tcPr>
            <w:tcW w:w="1027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6.8</w:t>
            </w:r>
          </w:p>
        </w:tc>
      </w:tr>
      <w:tr w:rsidR="00CC2459" w:rsidRPr="00DF2AD3" w:rsidTr="00CC2459">
        <w:trPr>
          <w:jc w:val="center"/>
        </w:trPr>
        <w:tc>
          <w:tcPr>
            <w:tcW w:w="171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Hypovolemic</w:t>
            </w:r>
            <w:proofErr w:type="spellEnd"/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shock</w:t>
            </w:r>
          </w:p>
        </w:tc>
        <w:tc>
          <w:tcPr>
            <w:tcW w:w="63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30</w:t>
            </w:r>
          </w:p>
        </w:tc>
        <w:tc>
          <w:tcPr>
            <w:tcW w:w="935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15.0</w:t>
            </w:r>
          </w:p>
        </w:tc>
        <w:tc>
          <w:tcPr>
            <w:tcW w:w="69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</w:t>
            </w:r>
          </w:p>
        </w:tc>
        <w:tc>
          <w:tcPr>
            <w:tcW w:w="1027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5.5</w:t>
            </w:r>
          </w:p>
        </w:tc>
      </w:tr>
      <w:tr w:rsidR="00CC2459" w:rsidRPr="00DF2AD3" w:rsidTr="00CC2459">
        <w:trPr>
          <w:jc w:val="center"/>
        </w:trPr>
        <w:tc>
          <w:tcPr>
            <w:tcW w:w="171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Intracranial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hemorrhage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&amp;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Stroke</w:t>
            </w:r>
          </w:p>
        </w:tc>
        <w:tc>
          <w:tcPr>
            <w:tcW w:w="63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20</w:t>
            </w:r>
          </w:p>
        </w:tc>
        <w:tc>
          <w:tcPr>
            <w:tcW w:w="935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10.0</w:t>
            </w:r>
          </w:p>
        </w:tc>
        <w:tc>
          <w:tcPr>
            <w:tcW w:w="69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</w:t>
            </w:r>
          </w:p>
        </w:tc>
        <w:tc>
          <w:tcPr>
            <w:tcW w:w="1027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6.8</w:t>
            </w:r>
          </w:p>
        </w:tc>
      </w:tr>
      <w:tr w:rsidR="00CC2459" w:rsidRPr="00DF2AD3" w:rsidTr="00CC2459">
        <w:trPr>
          <w:jc w:val="center"/>
        </w:trPr>
        <w:tc>
          <w:tcPr>
            <w:tcW w:w="171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Hypertensive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emergency</w:t>
            </w:r>
          </w:p>
        </w:tc>
        <w:tc>
          <w:tcPr>
            <w:tcW w:w="63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15</w:t>
            </w:r>
          </w:p>
        </w:tc>
        <w:tc>
          <w:tcPr>
            <w:tcW w:w="935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7.5</w:t>
            </w:r>
          </w:p>
        </w:tc>
        <w:tc>
          <w:tcPr>
            <w:tcW w:w="69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</w:t>
            </w:r>
          </w:p>
        </w:tc>
        <w:tc>
          <w:tcPr>
            <w:tcW w:w="1027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1.4</w:t>
            </w:r>
          </w:p>
        </w:tc>
      </w:tr>
      <w:tr w:rsidR="00CC2459" w:rsidRPr="00DF2AD3" w:rsidTr="00CC2459">
        <w:trPr>
          <w:jc w:val="center"/>
        </w:trPr>
        <w:tc>
          <w:tcPr>
            <w:tcW w:w="171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Hepatic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encephalopathy</w:t>
            </w:r>
          </w:p>
        </w:tc>
        <w:tc>
          <w:tcPr>
            <w:tcW w:w="63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13</w:t>
            </w:r>
          </w:p>
        </w:tc>
        <w:tc>
          <w:tcPr>
            <w:tcW w:w="935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6.5</w:t>
            </w:r>
          </w:p>
        </w:tc>
        <w:tc>
          <w:tcPr>
            <w:tcW w:w="69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</w:t>
            </w:r>
          </w:p>
        </w:tc>
        <w:tc>
          <w:tcPr>
            <w:tcW w:w="1027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27.8</w:t>
            </w:r>
          </w:p>
        </w:tc>
      </w:tr>
      <w:tr w:rsidR="00CC2459" w:rsidRPr="00DF2AD3" w:rsidTr="00CC2459">
        <w:trPr>
          <w:jc w:val="center"/>
        </w:trPr>
        <w:tc>
          <w:tcPr>
            <w:tcW w:w="171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Diabetic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proofErr w:type="spellStart"/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ketoacidosis</w:t>
            </w:r>
            <w:proofErr w:type="spellEnd"/>
          </w:p>
        </w:tc>
        <w:tc>
          <w:tcPr>
            <w:tcW w:w="63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</w:t>
            </w:r>
          </w:p>
        </w:tc>
        <w:tc>
          <w:tcPr>
            <w:tcW w:w="935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5.0</w:t>
            </w:r>
          </w:p>
        </w:tc>
        <w:tc>
          <w:tcPr>
            <w:tcW w:w="69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12</w:t>
            </w:r>
          </w:p>
        </w:tc>
        <w:tc>
          <w:tcPr>
            <w:tcW w:w="1027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16.4</w:t>
            </w:r>
          </w:p>
        </w:tc>
      </w:tr>
      <w:tr w:rsidR="00CC2459" w:rsidRPr="00DF2AD3" w:rsidTr="00CC2459">
        <w:trPr>
          <w:jc w:val="center"/>
        </w:trPr>
        <w:tc>
          <w:tcPr>
            <w:tcW w:w="171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Anaphylactic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shock</w:t>
            </w:r>
          </w:p>
        </w:tc>
        <w:tc>
          <w:tcPr>
            <w:tcW w:w="63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</w:t>
            </w:r>
          </w:p>
        </w:tc>
        <w:tc>
          <w:tcPr>
            <w:tcW w:w="935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3.0</w:t>
            </w:r>
          </w:p>
        </w:tc>
        <w:tc>
          <w:tcPr>
            <w:tcW w:w="69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</w:t>
            </w:r>
          </w:p>
        </w:tc>
        <w:tc>
          <w:tcPr>
            <w:tcW w:w="1027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</w:t>
            </w:r>
          </w:p>
        </w:tc>
      </w:tr>
      <w:tr w:rsidR="00CC2459" w:rsidRPr="00DF2AD3" w:rsidTr="00CC2459">
        <w:trPr>
          <w:jc w:val="center"/>
        </w:trPr>
        <w:tc>
          <w:tcPr>
            <w:tcW w:w="171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Surgery</w:t>
            </w:r>
          </w:p>
        </w:tc>
        <w:tc>
          <w:tcPr>
            <w:tcW w:w="63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</w:t>
            </w:r>
          </w:p>
        </w:tc>
        <w:tc>
          <w:tcPr>
            <w:tcW w:w="935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3.0</w:t>
            </w:r>
          </w:p>
        </w:tc>
        <w:tc>
          <w:tcPr>
            <w:tcW w:w="69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7</w:t>
            </w:r>
          </w:p>
        </w:tc>
        <w:tc>
          <w:tcPr>
            <w:tcW w:w="1027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9.6</w:t>
            </w:r>
          </w:p>
        </w:tc>
      </w:tr>
      <w:tr w:rsidR="00CC2459" w:rsidRPr="00DF2AD3" w:rsidTr="00CC2459">
        <w:trPr>
          <w:jc w:val="center"/>
        </w:trPr>
        <w:tc>
          <w:tcPr>
            <w:tcW w:w="171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Respiratory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failure</w:t>
            </w:r>
          </w:p>
        </w:tc>
        <w:tc>
          <w:tcPr>
            <w:tcW w:w="63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</w:t>
            </w:r>
          </w:p>
        </w:tc>
        <w:tc>
          <w:tcPr>
            <w:tcW w:w="935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2.5</w:t>
            </w:r>
          </w:p>
        </w:tc>
        <w:tc>
          <w:tcPr>
            <w:tcW w:w="69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</w:t>
            </w:r>
          </w:p>
        </w:tc>
        <w:tc>
          <w:tcPr>
            <w:tcW w:w="1027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6.8</w:t>
            </w:r>
          </w:p>
        </w:tc>
      </w:tr>
      <w:tr w:rsidR="00CC2459" w:rsidRPr="00DF2AD3" w:rsidTr="00CC2459">
        <w:trPr>
          <w:jc w:val="center"/>
        </w:trPr>
        <w:tc>
          <w:tcPr>
            <w:tcW w:w="171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Brain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abscess</w:t>
            </w:r>
          </w:p>
        </w:tc>
        <w:tc>
          <w:tcPr>
            <w:tcW w:w="63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</w:t>
            </w:r>
          </w:p>
        </w:tc>
        <w:tc>
          <w:tcPr>
            <w:tcW w:w="935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0.5</w:t>
            </w:r>
          </w:p>
        </w:tc>
        <w:tc>
          <w:tcPr>
            <w:tcW w:w="69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</w:t>
            </w:r>
          </w:p>
        </w:tc>
        <w:tc>
          <w:tcPr>
            <w:tcW w:w="1027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</w:t>
            </w:r>
          </w:p>
        </w:tc>
      </w:tr>
      <w:tr w:rsidR="00CC2459" w:rsidRPr="00DF2AD3" w:rsidTr="00CC2459">
        <w:trPr>
          <w:jc w:val="center"/>
        </w:trPr>
        <w:tc>
          <w:tcPr>
            <w:tcW w:w="1711" w:type="pct"/>
            <w:vAlign w:val="center"/>
          </w:tcPr>
          <w:p w:rsidR="00BA29C4" w:rsidRPr="00DF2AD3" w:rsidRDefault="008B0FF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Accident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63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</w:t>
            </w:r>
          </w:p>
        </w:tc>
        <w:tc>
          <w:tcPr>
            <w:tcW w:w="935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0.5</w:t>
            </w:r>
          </w:p>
        </w:tc>
        <w:tc>
          <w:tcPr>
            <w:tcW w:w="69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</w:t>
            </w:r>
          </w:p>
        </w:tc>
        <w:tc>
          <w:tcPr>
            <w:tcW w:w="1027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6.8</w:t>
            </w:r>
          </w:p>
        </w:tc>
      </w:tr>
      <w:tr w:rsidR="00BA29C4" w:rsidRPr="00DF2AD3" w:rsidTr="00CC2459">
        <w:trPr>
          <w:jc w:val="center"/>
        </w:trPr>
        <w:tc>
          <w:tcPr>
            <w:tcW w:w="171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χ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bidi="ar-EG"/>
              </w:rPr>
              <w:t>2</w:t>
            </w:r>
          </w:p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P</w:t>
            </w:r>
          </w:p>
        </w:tc>
        <w:tc>
          <w:tcPr>
            <w:tcW w:w="3289" w:type="pct"/>
            <w:gridSpan w:val="4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44.349</w:t>
            </w:r>
          </w:p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0.0001*</w:t>
            </w:r>
          </w:p>
        </w:tc>
      </w:tr>
    </w:tbl>
    <w:p w:rsidR="00471881" w:rsidRPr="00DF2AD3" w:rsidRDefault="00BA29C4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</w:rPr>
        <w:t>*Significant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</w:rPr>
        <w:t>(P&lt;0.05)</w:t>
      </w:r>
    </w:p>
    <w:p w:rsidR="00D47065" w:rsidRPr="00DF2AD3" w:rsidRDefault="00D47065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D47065" w:rsidRPr="00DF2AD3" w:rsidRDefault="00D47065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  <w:sectPr w:rsidR="00D47065" w:rsidRPr="00DF2AD3" w:rsidSect="00CC2459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6C18D5" w:rsidRPr="00DF2AD3" w:rsidRDefault="006C18D5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lastRenderedPageBreak/>
        <w:t>Concerning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serum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DF2AD3">
        <w:rPr>
          <w:rFonts w:ascii="Times New Roman" w:hAnsi="Times New Roman" w:cs="Times New Roman"/>
          <w:sz w:val="20"/>
          <w:szCs w:val="20"/>
          <w:lang w:bidi="ar-EG"/>
        </w:rPr>
        <w:t>creatinine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without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ranged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0.70-9.80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mg/dl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mean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(±SD)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3.73±2.03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0.4-1.3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mg/dl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mean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(±SD)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0.84±0.25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respectively.</w:t>
      </w:r>
    </w:p>
    <w:p w:rsidR="00D47065" w:rsidRPr="00DF2AD3" w:rsidRDefault="006C18D5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  <w:sectPr w:rsidR="00D47065" w:rsidRPr="00DF2AD3" w:rsidSect="00D47065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lastRenderedPageBreak/>
        <w:t>Comparison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two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groups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showed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difference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statistically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significant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(P-value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0.0001).</w:t>
      </w:r>
    </w:p>
    <w:p w:rsidR="006C18D5" w:rsidRPr="00DF2AD3" w:rsidRDefault="006C18D5" w:rsidP="00D47065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</w:p>
    <w:p w:rsidR="00076519" w:rsidRPr="00DF2AD3" w:rsidRDefault="00076519" w:rsidP="00D47065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</w:rPr>
        <w:t>Table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</w:rPr>
        <w:t>(4):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Serum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DF2AD3">
        <w:rPr>
          <w:rFonts w:ascii="Times New Roman" w:hAnsi="Times New Roman" w:cs="Times New Roman"/>
          <w:sz w:val="20"/>
          <w:szCs w:val="20"/>
          <w:lang w:bidi="ar-EG"/>
        </w:rPr>
        <w:t>creatinine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studied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(with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without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injury)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(n=273).</w:t>
      </w:r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669"/>
        <w:gridCol w:w="1626"/>
        <w:gridCol w:w="1619"/>
        <w:gridCol w:w="1781"/>
        <w:gridCol w:w="1781"/>
      </w:tblGrid>
      <w:tr w:rsidR="00BA29C4" w:rsidRPr="00DF2AD3" w:rsidTr="00CC2459">
        <w:trPr>
          <w:jc w:val="center"/>
        </w:trPr>
        <w:tc>
          <w:tcPr>
            <w:tcW w:w="140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Variables</w:t>
            </w:r>
          </w:p>
        </w:tc>
        <w:tc>
          <w:tcPr>
            <w:tcW w:w="3592" w:type="pct"/>
            <w:gridSpan w:val="4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The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studied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patients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admitted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ICUs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</w:p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(n=273)</w:t>
            </w:r>
          </w:p>
        </w:tc>
      </w:tr>
      <w:tr w:rsidR="00BA29C4" w:rsidRPr="00DF2AD3" w:rsidTr="00CC2459">
        <w:trPr>
          <w:jc w:val="center"/>
        </w:trPr>
        <w:tc>
          <w:tcPr>
            <w:tcW w:w="140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12" w:type="pct"/>
            <w:gridSpan w:val="2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With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acute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kidney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injury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(AKI)</w:t>
            </w:r>
          </w:p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(n=200)</w:t>
            </w:r>
          </w:p>
        </w:tc>
        <w:tc>
          <w:tcPr>
            <w:tcW w:w="1880" w:type="pct"/>
            <w:gridSpan w:val="2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Without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acute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kidney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injury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(AKI)</w:t>
            </w:r>
          </w:p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(n=73)</w:t>
            </w:r>
          </w:p>
        </w:tc>
      </w:tr>
      <w:tr w:rsidR="00BA29C4" w:rsidRPr="00DF2AD3" w:rsidTr="00CC2459">
        <w:trPr>
          <w:jc w:val="center"/>
        </w:trPr>
        <w:tc>
          <w:tcPr>
            <w:tcW w:w="140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Serum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proofErr w:type="spellStart"/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creatinine</w:t>
            </w:r>
            <w:proofErr w:type="spellEnd"/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(mg/dl):</w:t>
            </w:r>
          </w:p>
        </w:tc>
        <w:tc>
          <w:tcPr>
            <w:tcW w:w="85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85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94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94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A29C4" w:rsidRPr="00DF2AD3" w:rsidTr="00CC2459">
        <w:trPr>
          <w:jc w:val="center"/>
        </w:trPr>
        <w:tc>
          <w:tcPr>
            <w:tcW w:w="140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Range</w:t>
            </w:r>
          </w:p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proofErr w:type="spellStart"/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Mean±SD</w:t>
            </w:r>
            <w:proofErr w:type="spellEnd"/>
          </w:p>
        </w:tc>
        <w:tc>
          <w:tcPr>
            <w:tcW w:w="1712" w:type="pct"/>
            <w:gridSpan w:val="2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0.70-9.80</w:t>
            </w:r>
          </w:p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3.73±2.03</w:t>
            </w:r>
          </w:p>
        </w:tc>
        <w:tc>
          <w:tcPr>
            <w:tcW w:w="1880" w:type="pct"/>
            <w:gridSpan w:val="2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0.40-1.30</w:t>
            </w:r>
          </w:p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0.84±0.25</w:t>
            </w:r>
          </w:p>
        </w:tc>
      </w:tr>
      <w:tr w:rsidR="00BA29C4" w:rsidRPr="00DF2AD3" w:rsidTr="00CC2459">
        <w:trPr>
          <w:jc w:val="center"/>
        </w:trPr>
        <w:tc>
          <w:tcPr>
            <w:tcW w:w="140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t-test</w:t>
            </w:r>
          </w:p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</w:t>
            </w:r>
          </w:p>
        </w:tc>
        <w:tc>
          <w:tcPr>
            <w:tcW w:w="3592" w:type="pct"/>
            <w:gridSpan w:val="4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12.132</w:t>
            </w:r>
          </w:p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0.0001*</w:t>
            </w:r>
          </w:p>
        </w:tc>
      </w:tr>
    </w:tbl>
    <w:p w:rsidR="00BA29C4" w:rsidRPr="00DF2AD3" w:rsidRDefault="00BA29C4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*Significant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(P&lt;0.05)</w:t>
      </w:r>
    </w:p>
    <w:p w:rsidR="00CC2459" w:rsidRPr="00DF2AD3" w:rsidRDefault="00CC2459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</w:p>
    <w:p w:rsidR="00D47065" w:rsidRPr="00DF2AD3" w:rsidRDefault="00D47065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  <w:sectPr w:rsidR="00D47065" w:rsidRPr="00DF2AD3" w:rsidSect="00CC2459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75374F" w:rsidRPr="00DF2AD3" w:rsidRDefault="0075374F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lastRenderedPageBreak/>
        <w:t>Concerning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GFR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without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ranged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4.8-106.7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ml/min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per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</w:t>
      </w:r>
      <w:r w:rsidRPr="00DF2AD3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2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mean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(±SD)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23.73±17.18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50.3-196.6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ml/min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per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</w:t>
      </w:r>
      <w:r w:rsidRPr="00DF2AD3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2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mean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(±SD)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97.79±37.28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respectively.</w:t>
      </w:r>
    </w:p>
    <w:p w:rsidR="00076519" w:rsidRPr="00DF2AD3" w:rsidRDefault="0075374F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lastRenderedPageBreak/>
        <w:t>Comparison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two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groups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showed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difference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statistically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significant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(P-value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0.0001).</w:t>
      </w:r>
    </w:p>
    <w:p w:rsidR="00D47065" w:rsidRPr="00DF2AD3" w:rsidRDefault="00D47065" w:rsidP="00D47065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D47065" w:rsidRPr="00DF2AD3" w:rsidSect="00D47065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D47065" w:rsidRDefault="00D47065" w:rsidP="00D47065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</w:p>
    <w:p w:rsidR="00DF2AD3" w:rsidRDefault="00DF2AD3" w:rsidP="00DF2AD3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</w:p>
    <w:p w:rsidR="00DF2AD3" w:rsidRPr="00DF2AD3" w:rsidRDefault="00DF2AD3" w:rsidP="00DF2AD3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076519" w:rsidRPr="00DF2AD3" w:rsidRDefault="00076519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</w:rPr>
        <w:t>(5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):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proofErr w:type="spellStart"/>
      <w:r w:rsidRPr="00DF2AD3">
        <w:rPr>
          <w:rFonts w:ascii="Times New Roman" w:hAnsi="Times New Roman" w:cs="Times New Roman"/>
          <w:sz w:val="20"/>
          <w:szCs w:val="20"/>
          <w:lang w:bidi="ar-EG"/>
        </w:rPr>
        <w:t>Glomerular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filtration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rate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(GFR)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among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studied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(with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without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injury)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(n=273).</w:t>
      </w:r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020"/>
        <w:gridCol w:w="1418"/>
        <w:gridCol w:w="1412"/>
        <w:gridCol w:w="1554"/>
        <w:gridCol w:w="1554"/>
        <w:gridCol w:w="754"/>
        <w:gridCol w:w="764"/>
      </w:tblGrid>
      <w:tr w:rsidR="00BA29C4" w:rsidRPr="00DF2AD3" w:rsidTr="00CC2459">
        <w:trPr>
          <w:jc w:val="center"/>
        </w:trPr>
        <w:tc>
          <w:tcPr>
            <w:tcW w:w="1066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Variables</w:t>
            </w:r>
          </w:p>
        </w:tc>
        <w:tc>
          <w:tcPr>
            <w:tcW w:w="3133" w:type="pct"/>
            <w:gridSpan w:val="4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The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studied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patients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admitted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ICUs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</w:p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(n=273)</w:t>
            </w:r>
          </w:p>
        </w:tc>
        <w:tc>
          <w:tcPr>
            <w:tcW w:w="39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Z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value</w:t>
            </w:r>
          </w:p>
        </w:tc>
        <w:tc>
          <w:tcPr>
            <w:tcW w:w="40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P</w:t>
            </w:r>
          </w:p>
        </w:tc>
      </w:tr>
      <w:tr w:rsidR="00BA29C4" w:rsidRPr="00DF2AD3" w:rsidTr="00CC2459">
        <w:trPr>
          <w:jc w:val="center"/>
        </w:trPr>
        <w:tc>
          <w:tcPr>
            <w:tcW w:w="1066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493" w:type="pct"/>
            <w:gridSpan w:val="2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With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acute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kidney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injury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(AKI)</w:t>
            </w:r>
          </w:p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(n=200)</w:t>
            </w:r>
          </w:p>
        </w:tc>
        <w:tc>
          <w:tcPr>
            <w:tcW w:w="1640" w:type="pct"/>
            <w:gridSpan w:val="2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Without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acute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kidney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injury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(AKI)</w:t>
            </w:r>
          </w:p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(n=73)</w:t>
            </w:r>
          </w:p>
        </w:tc>
        <w:tc>
          <w:tcPr>
            <w:tcW w:w="39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0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2459" w:rsidRPr="00DF2AD3" w:rsidTr="00CC2459">
        <w:trPr>
          <w:jc w:val="center"/>
        </w:trPr>
        <w:tc>
          <w:tcPr>
            <w:tcW w:w="1066" w:type="pct"/>
            <w:vAlign w:val="center"/>
          </w:tcPr>
          <w:p w:rsidR="00D16417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GFR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(ml/min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per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m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bidi="ar-EG"/>
              </w:rPr>
              <w:t>2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):</w:t>
            </w:r>
          </w:p>
        </w:tc>
        <w:tc>
          <w:tcPr>
            <w:tcW w:w="74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45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8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8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98" w:type="pct"/>
            <w:vAlign w:val="center"/>
          </w:tcPr>
          <w:p w:rsidR="00D16417" w:rsidRPr="00DF2AD3" w:rsidRDefault="00D1641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0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A29C4" w:rsidRPr="00DF2AD3" w:rsidTr="00CC2459">
        <w:trPr>
          <w:jc w:val="center"/>
        </w:trPr>
        <w:tc>
          <w:tcPr>
            <w:tcW w:w="1066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Range</w:t>
            </w:r>
          </w:p>
          <w:p w:rsidR="00D16417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proofErr w:type="spellStart"/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Mean±SD</w:t>
            </w:r>
            <w:proofErr w:type="spellEnd"/>
          </w:p>
        </w:tc>
        <w:tc>
          <w:tcPr>
            <w:tcW w:w="1493" w:type="pct"/>
            <w:gridSpan w:val="2"/>
            <w:vAlign w:val="center"/>
          </w:tcPr>
          <w:p w:rsidR="00D16417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4.80-106.70</w:t>
            </w:r>
          </w:p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23.73±17.18</w:t>
            </w:r>
          </w:p>
        </w:tc>
        <w:tc>
          <w:tcPr>
            <w:tcW w:w="1640" w:type="pct"/>
            <w:gridSpan w:val="2"/>
            <w:vAlign w:val="center"/>
          </w:tcPr>
          <w:p w:rsidR="00D16417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50.30-196.60</w:t>
            </w:r>
          </w:p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97.79±37.28</w:t>
            </w:r>
          </w:p>
        </w:tc>
        <w:tc>
          <w:tcPr>
            <w:tcW w:w="398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12.224</w:t>
            </w:r>
          </w:p>
        </w:tc>
        <w:tc>
          <w:tcPr>
            <w:tcW w:w="40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0.0001*</w:t>
            </w:r>
          </w:p>
        </w:tc>
      </w:tr>
    </w:tbl>
    <w:p w:rsidR="00BA29C4" w:rsidRPr="00DF2AD3" w:rsidRDefault="00BA29C4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*Significant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(P&lt;0.05)</w:t>
      </w:r>
    </w:p>
    <w:p w:rsidR="00D47065" w:rsidRPr="00DF2AD3" w:rsidRDefault="00D47065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  <w:sectPr w:rsidR="00D47065" w:rsidRPr="00DF2AD3" w:rsidSect="00CC2459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F5302A" w:rsidRPr="00DF2AD3" w:rsidRDefault="00F5302A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lastRenderedPageBreak/>
        <w:t>Severity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illness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ICU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without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assessed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using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Sequential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Organ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Failure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Assessment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(SOFA)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Score.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ranged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0-15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mean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(±SD)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6.17±3.73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lastRenderedPageBreak/>
        <w:t>between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0-11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mean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(±SD)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4.7±3.53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respectively.</w:t>
      </w:r>
    </w:p>
    <w:p w:rsidR="00CC2459" w:rsidRPr="00DF2AD3" w:rsidRDefault="00F5302A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Comparison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two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groups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showed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difference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statistically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significant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(P-value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0.004)</w:t>
      </w:r>
      <w:r w:rsidR="00D47065" w:rsidRPr="00DF2AD3">
        <w:rPr>
          <w:rFonts w:ascii="Times New Roman" w:hAnsi="Times New Roman" w:cs="Times New Roman" w:hint="eastAsia"/>
          <w:sz w:val="20"/>
          <w:szCs w:val="20"/>
          <w:lang w:eastAsia="zh-CN" w:bidi="ar-EG"/>
        </w:rPr>
        <w:t>.</w:t>
      </w:r>
    </w:p>
    <w:p w:rsidR="00D47065" w:rsidRPr="00DF2AD3" w:rsidRDefault="00D47065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  <w:sectPr w:rsidR="00D47065" w:rsidRPr="00DF2AD3" w:rsidSect="00D47065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F5302A" w:rsidRPr="00DF2AD3" w:rsidRDefault="00F5302A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</w:p>
    <w:p w:rsidR="00076519" w:rsidRPr="00DF2AD3" w:rsidRDefault="00076519" w:rsidP="00D47065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</w:rPr>
        <w:t>Table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</w:rPr>
        <w:t>(6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):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SOFA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Scores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among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studied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(with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without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injury)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(n=273).</w:t>
      </w:r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049"/>
        <w:gridCol w:w="3053"/>
        <w:gridCol w:w="4012"/>
        <w:gridCol w:w="646"/>
        <w:gridCol w:w="716"/>
      </w:tblGrid>
      <w:tr w:rsidR="00425543" w:rsidRPr="00DF2AD3" w:rsidTr="00CC2459">
        <w:trPr>
          <w:jc w:val="center"/>
        </w:trPr>
        <w:tc>
          <w:tcPr>
            <w:tcW w:w="553" w:type="pct"/>
            <w:vAlign w:val="center"/>
          </w:tcPr>
          <w:p w:rsidR="00425543" w:rsidRPr="00DF2AD3" w:rsidRDefault="00425543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Variables</w:t>
            </w:r>
          </w:p>
        </w:tc>
        <w:tc>
          <w:tcPr>
            <w:tcW w:w="3728" w:type="pct"/>
            <w:gridSpan w:val="2"/>
            <w:vAlign w:val="center"/>
          </w:tcPr>
          <w:p w:rsidR="00425543" w:rsidRPr="00DF2AD3" w:rsidRDefault="00425543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The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studied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patients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admitted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ICUs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="00D47065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(n=273)</w:t>
            </w:r>
          </w:p>
        </w:tc>
        <w:tc>
          <w:tcPr>
            <w:tcW w:w="341" w:type="pct"/>
            <w:vAlign w:val="center"/>
          </w:tcPr>
          <w:p w:rsidR="00425543" w:rsidRPr="00DF2AD3" w:rsidRDefault="00425543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t-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test</w:t>
            </w:r>
          </w:p>
        </w:tc>
        <w:tc>
          <w:tcPr>
            <w:tcW w:w="379" w:type="pct"/>
            <w:vAlign w:val="center"/>
          </w:tcPr>
          <w:p w:rsidR="00425543" w:rsidRPr="00DF2AD3" w:rsidRDefault="00425543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P</w:t>
            </w:r>
          </w:p>
        </w:tc>
      </w:tr>
      <w:tr w:rsidR="00CC2459" w:rsidRPr="00DF2AD3" w:rsidTr="00CC2459">
        <w:trPr>
          <w:jc w:val="center"/>
        </w:trPr>
        <w:tc>
          <w:tcPr>
            <w:tcW w:w="553" w:type="pct"/>
            <w:vAlign w:val="center"/>
          </w:tcPr>
          <w:p w:rsidR="00425543" w:rsidRPr="00DF2AD3" w:rsidRDefault="00425543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11" w:type="pct"/>
            <w:vAlign w:val="center"/>
          </w:tcPr>
          <w:p w:rsidR="00425543" w:rsidRPr="00DF2AD3" w:rsidRDefault="00425543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With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acute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kidney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injury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(AKI)</w:t>
            </w:r>
            <w:r w:rsidR="00D47065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(n=200)</w:t>
            </w:r>
          </w:p>
        </w:tc>
        <w:tc>
          <w:tcPr>
            <w:tcW w:w="2117" w:type="pct"/>
            <w:vAlign w:val="center"/>
          </w:tcPr>
          <w:p w:rsidR="00425543" w:rsidRPr="00DF2AD3" w:rsidRDefault="00425543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Without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acute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kidney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injury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(AKI)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(n=73)</w:t>
            </w:r>
          </w:p>
        </w:tc>
        <w:tc>
          <w:tcPr>
            <w:tcW w:w="341" w:type="pct"/>
            <w:vAlign w:val="center"/>
          </w:tcPr>
          <w:p w:rsidR="00425543" w:rsidRPr="00DF2AD3" w:rsidRDefault="00425543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79" w:type="pct"/>
            <w:vAlign w:val="center"/>
          </w:tcPr>
          <w:p w:rsidR="00425543" w:rsidRPr="00DF2AD3" w:rsidRDefault="00425543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E5520D" w:rsidRPr="00DF2AD3" w:rsidTr="00CC2459">
        <w:trPr>
          <w:jc w:val="center"/>
        </w:trPr>
        <w:tc>
          <w:tcPr>
            <w:tcW w:w="5000" w:type="pct"/>
            <w:gridSpan w:val="5"/>
            <w:vAlign w:val="center"/>
          </w:tcPr>
          <w:p w:rsidR="00E5520D" w:rsidRPr="00DF2AD3" w:rsidRDefault="00E5520D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SOFA:</w:t>
            </w:r>
          </w:p>
        </w:tc>
      </w:tr>
      <w:tr w:rsidR="00CC2459" w:rsidRPr="00DF2AD3" w:rsidTr="00CC2459">
        <w:trPr>
          <w:jc w:val="center"/>
        </w:trPr>
        <w:tc>
          <w:tcPr>
            <w:tcW w:w="553" w:type="pct"/>
            <w:vAlign w:val="center"/>
          </w:tcPr>
          <w:p w:rsidR="00425543" w:rsidRPr="00DF2AD3" w:rsidRDefault="00425543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Range</w:t>
            </w:r>
            <w:r w:rsidR="00D47065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proofErr w:type="spellStart"/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Mean±SD</w:t>
            </w:r>
            <w:proofErr w:type="spellEnd"/>
          </w:p>
        </w:tc>
        <w:tc>
          <w:tcPr>
            <w:tcW w:w="1611" w:type="pct"/>
            <w:vAlign w:val="center"/>
          </w:tcPr>
          <w:p w:rsidR="00425543" w:rsidRPr="00DF2AD3" w:rsidRDefault="00425543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0.00-15.00</w:t>
            </w:r>
            <w:r w:rsidR="00D47065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6.17±3.73</w:t>
            </w:r>
          </w:p>
        </w:tc>
        <w:tc>
          <w:tcPr>
            <w:tcW w:w="2117" w:type="pct"/>
            <w:vAlign w:val="center"/>
          </w:tcPr>
          <w:p w:rsidR="00425543" w:rsidRPr="00DF2AD3" w:rsidRDefault="00425543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0.00-11.00</w:t>
            </w:r>
            <w:r w:rsidR="00D47065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4.70±3.53</w:t>
            </w:r>
          </w:p>
        </w:tc>
        <w:tc>
          <w:tcPr>
            <w:tcW w:w="341" w:type="pct"/>
            <w:vAlign w:val="center"/>
          </w:tcPr>
          <w:p w:rsidR="00425543" w:rsidRPr="00DF2AD3" w:rsidRDefault="00425543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2.927</w:t>
            </w:r>
          </w:p>
        </w:tc>
        <w:tc>
          <w:tcPr>
            <w:tcW w:w="379" w:type="pct"/>
            <w:vAlign w:val="center"/>
          </w:tcPr>
          <w:p w:rsidR="00425543" w:rsidRPr="00DF2AD3" w:rsidRDefault="00425543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0.004*</w:t>
            </w:r>
          </w:p>
        </w:tc>
      </w:tr>
    </w:tbl>
    <w:p w:rsidR="00CC2459" w:rsidRPr="00DF2AD3" w:rsidRDefault="00425543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*Significant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(P&lt;0.05)</w:t>
      </w:r>
    </w:p>
    <w:p w:rsidR="00CC2459" w:rsidRPr="00DF2AD3" w:rsidRDefault="00CC2459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CE52D0" w:rsidRPr="00DF2AD3" w:rsidRDefault="00CE52D0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According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RIFLE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classification,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most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during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admission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had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138A2" w:rsidRPr="00DF2AD3">
        <w:rPr>
          <w:rFonts w:ascii="Times New Roman" w:hAnsi="Times New Roman" w:cs="Times New Roman"/>
          <w:sz w:val="20"/>
          <w:szCs w:val="20"/>
          <w:lang w:bidi="ar-EG"/>
        </w:rPr>
        <w:t>failure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criteria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(57.5%).</w:t>
      </w:r>
    </w:p>
    <w:p w:rsidR="00076519" w:rsidRPr="00DF2AD3" w:rsidRDefault="00076519" w:rsidP="00D47065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076519" w:rsidRPr="00DF2AD3" w:rsidRDefault="00076519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Table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(7):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RIFLE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classification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renal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dysfunction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among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studied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injury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(AKI)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during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admission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ICUs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(n=200).</w:t>
      </w:r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854"/>
        <w:gridCol w:w="3036"/>
        <w:gridCol w:w="3404"/>
        <w:gridCol w:w="182"/>
      </w:tblGrid>
      <w:tr w:rsidR="00E1588D" w:rsidRPr="00DF2AD3" w:rsidTr="00CC2459">
        <w:trPr>
          <w:gridAfter w:val="1"/>
          <w:wAfter w:w="96" w:type="pct"/>
          <w:jc w:val="center"/>
        </w:trPr>
        <w:tc>
          <w:tcPr>
            <w:tcW w:w="1506" w:type="pct"/>
            <w:vAlign w:val="center"/>
          </w:tcPr>
          <w:p w:rsidR="00E1588D" w:rsidRPr="00DF2AD3" w:rsidRDefault="00E1588D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Variables</w:t>
            </w:r>
            <w:r w:rsidR="00D47065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3398" w:type="pct"/>
            <w:gridSpan w:val="2"/>
            <w:vAlign w:val="center"/>
          </w:tcPr>
          <w:p w:rsidR="00E1588D" w:rsidRPr="00DF2AD3" w:rsidRDefault="00E1588D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The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studied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patients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admitted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ICUs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with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AKI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="00D47065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(n=200)</w:t>
            </w:r>
          </w:p>
        </w:tc>
      </w:tr>
      <w:tr w:rsidR="00E1588D" w:rsidRPr="00DF2AD3" w:rsidTr="00CC2459">
        <w:trPr>
          <w:jc w:val="center"/>
        </w:trPr>
        <w:tc>
          <w:tcPr>
            <w:tcW w:w="1506" w:type="pct"/>
            <w:vAlign w:val="center"/>
          </w:tcPr>
          <w:p w:rsidR="00E1588D" w:rsidRPr="00DF2AD3" w:rsidRDefault="002F68CB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RIFLE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classification</w:t>
            </w:r>
          </w:p>
        </w:tc>
        <w:tc>
          <w:tcPr>
            <w:tcW w:w="3398" w:type="pct"/>
            <w:gridSpan w:val="2"/>
            <w:vAlign w:val="center"/>
          </w:tcPr>
          <w:p w:rsidR="00E1588D" w:rsidRPr="00DF2AD3" w:rsidRDefault="00E1588D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During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admission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at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ICUs</w:t>
            </w:r>
          </w:p>
        </w:tc>
        <w:tc>
          <w:tcPr>
            <w:tcW w:w="96" w:type="pct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E1588D" w:rsidRPr="00DF2AD3" w:rsidRDefault="00E1588D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E1588D" w:rsidRPr="00DF2AD3" w:rsidTr="00CC2459">
        <w:trPr>
          <w:jc w:val="center"/>
        </w:trPr>
        <w:tc>
          <w:tcPr>
            <w:tcW w:w="1506" w:type="pct"/>
            <w:vAlign w:val="center"/>
          </w:tcPr>
          <w:p w:rsidR="00E1588D" w:rsidRPr="00DF2AD3" w:rsidRDefault="00E1588D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2" w:type="pct"/>
            <w:vAlign w:val="center"/>
          </w:tcPr>
          <w:p w:rsidR="00E1588D" w:rsidRPr="00DF2AD3" w:rsidRDefault="00E1588D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</w:t>
            </w:r>
          </w:p>
        </w:tc>
        <w:tc>
          <w:tcPr>
            <w:tcW w:w="1796" w:type="pct"/>
            <w:vAlign w:val="center"/>
          </w:tcPr>
          <w:p w:rsidR="00E1588D" w:rsidRPr="00DF2AD3" w:rsidRDefault="00E1588D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%</w:t>
            </w:r>
          </w:p>
        </w:tc>
        <w:tc>
          <w:tcPr>
            <w:tcW w:w="96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E1588D" w:rsidRPr="00DF2AD3" w:rsidRDefault="00E1588D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E1588D" w:rsidRPr="00DF2AD3" w:rsidTr="00CC2459">
        <w:trPr>
          <w:jc w:val="center"/>
        </w:trPr>
        <w:tc>
          <w:tcPr>
            <w:tcW w:w="1506" w:type="pct"/>
            <w:vAlign w:val="center"/>
          </w:tcPr>
          <w:p w:rsidR="00E1588D" w:rsidRPr="00DF2AD3" w:rsidRDefault="00E1588D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Normal</w:t>
            </w:r>
          </w:p>
        </w:tc>
        <w:tc>
          <w:tcPr>
            <w:tcW w:w="1602" w:type="pct"/>
            <w:vAlign w:val="center"/>
          </w:tcPr>
          <w:p w:rsidR="00E1588D" w:rsidRPr="00DF2AD3" w:rsidRDefault="00E1588D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</w:t>
            </w:r>
          </w:p>
        </w:tc>
        <w:tc>
          <w:tcPr>
            <w:tcW w:w="1796" w:type="pct"/>
            <w:vAlign w:val="center"/>
          </w:tcPr>
          <w:p w:rsidR="00E1588D" w:rsidRPr="00DF2AD3" w:rsidRDefault="00E1588D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</w:t>
            </w:r>
          </w:p>
        </w:tc>
        <w:tc>
          <w:tcPr>
            <w:tcW w:w="96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E1588D" w:rsidRPr="00DF2AD3" w:rsidRDefault="00E1588D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E1588D" w:rsidRPr="00DF2AD3" w:rsidTr="00CC2459">
        <w:trPr>
          <w:jc w:val="center"/>
        </w:trPr>
        <w:tc>
          <w:tcPr>
            <w:tcW w:w="1506" w:type="pct"/>
            <w:vAlign w:val="center"/>
          </w:tcPr>
          <w:p w:rsidR="00E1588D" w:rsidRPr="00DF2AD3" w:rsidRDefault="00E1588D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Risk</w:t>
            </w:r>
          </w:p>
        </w:tc>
        <w:tc>
          <w:tcPr>
            <w:tcW w:w="1602" w:type="pct"/>
            <w:vAlign w:val="center"/>
          </w:tcPr>
          <w:p w:rsidR="00E1588D" w:rsidRPr="00DF2AD3" w:rsidRDefault="00E1588D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28</w:t>
            </w:r>
          </w:p>
        </w:tc>
        <w:tc>
          <w:tcPr>
            <w:tcW w:w="1796" w:type="pct"/>
            <w:vAlign w:val="center"/>
          </w:tcPr>
          <w:p w:rsidR="00E1588D" w:rsidRPr="00DF2AD3" w:rsidRDefault="00E1588D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14.0</w:t>
            </w:r>
          </w:p>
        </w:tc>
        <w:tc>
          <w:tcPr>
            <w:tcW w:w="96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E1588D" w:rsidRPr="00DF2AD3" w:rsidRDefault="00E1588D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E1588D" w:rsidRPr="00DF2AD3" w:rsidTr="00CC2459">
        <w:trPr>
          <w:jc w:val="center"/>
        </w:trPr>
        <w:tc>
          <w:tcPr>
            <w:tcW w:w="1506" w:type="pct"/>
            <w:vAlign w:val="center"/>
          </w:tcPr>
          <w:p w:rsidR="00E1588D" w:rsidRPr="00DF2AD3" w:rsidRDefault="00E1588D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Injury</w:t>
            </w:r>
          </w:p>
        </w:tc>
        <w:tc>
          <w:tcPr>
            <w:tcW w:w="1602" w:type="pct"/>
            <w:vAlign w:val="center"/>
          </w:tcPr>
          <w:p w:rsidR="00E1588D" w:rsidRPr="00DF2AD3" w:rsidRDefault="00E1588D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57</w:t>
            </w:r>
          </w:p>
        </w:tc>
        <w:tc>
          <w:tcPr>
            <w:tcW w:w="1796" w:type="pct"/>
            <w:vAlign w:val="center"/>
          </w:tcPr>
          <w:p w:rsidR="00E1588D" w:rsidRPr="00DF2AD3" w:rsidRDefault="00E1588D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28.5</w:t>
            </w:r>
          </w:p>
        </w:tc>
        <w:tc>
          <w:tcPr>
            <w:tcW w:w="96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E1588D" w:rsidRPr="00DF2AD3" w:rsidRDefault="00E1588D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E1588D" w:rsidRPr="00DF2AD3" w:rsidTr="00CC2459">
        <w:trPr>
          <w:jc w:val="center"/>
        </w:trPr>
        <w:tc>
          <w:tcPr>
            <w:tcW w:w="1506" w:type="pct"/>
            <w:vAlign w:val="center"/>
          </w:tcPr>
          <w:p w:rsidR="00E1588D" w:rsidRPr="00DF2AD3" w:rsidRDefault="00E1588D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Failure</w:t>
            </w:r>
          </w:p>
        </w:tc>
        <w:tc>
          <w:tcPr>
            <w:tcW w:w="1602" w:type="pct"/>
            <w:vAlign w:val="center"/>
          </w:tcPr>
          <w:p w:rsidR="00E1588D" w:rsidRPr="00DF2AD3" w:rsidRDefault="00E1588D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115</w:t>
            </w:r>
          </w:p>
        </w:tc>
        <w:tc>
          <w:tcPr>
            <w:tcW w:w="1796" w:type="pct"/>
            <w:vAlign w:val="center"/>
          </w:tcPr>
          <w:p w:rsidR="00E1588D" w:rsidRPr="00DF2AD3" w:rsidRDefault="00E1588D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57.5</w:t>
            </w:r>
          </w:p>
        </w:tc>
        <w:tc>
          <w:tcPr>
            <w:tcW w:w="96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E1588D" w:rsidRPr="00DF2AD3" w:rsidRDefault="00E1588D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</w:tbl>
    <w:p w:rsidR="00BA29C4" w:rsidRPr="00DF2AD3" w:rsidRDefault="00BA29C4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2AD3">
        <w:rPr>
          <w:rFonts w:ascii="Times New Roman" w:hAnsi="Times New Roman" w:cs="Times New Roman"/>
          <w:sz w:val="20"/>
          <w:szCs w:val="20"/>
        </w:rPr>
        <w:t>*Significant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(P&lt;0.05)</w:t>
      </w:r>
    </w:p>
    <w:p w:rsidR="00CE52D0" w:rsidRPr="00DF2AD3" w:rsidRDefault="00CE52D0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E52D0" w:rsidRPr="00DF2AD3" w:rsidRDefault="00CE52D0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According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KDIGO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classifications,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most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during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admission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had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stage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3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criteria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(57.5%).</w:t>
      </w:r>
    </w:p>
    <w:p w:rsidR="006A695B" w:rsidRPr="00DF2AD3" w:rsidRDefault="006A695B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5448E7" w:rsidRPr="00DF2AD3" w:rsidRDefault="005448E7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Table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(8):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KDIGO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classifications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renal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dysfunction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among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studied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injury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(AKI)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during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admission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ICUs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(n=200).</w:t>
      </w:r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487"/>
        <w:gridCol w:w="2758"/>
        <w:gridCol w:w="3091"/>
        <w:gridCol w:w="140"/>
      </w:tblGrid>
      <w:tr w:rsidR="005448E7" w:rsidRPr="00DF2AD3" w:rsidTr="00D47065">
        <w:trPr>
          <w:gridAfter w:val="1"/>
          <w:wAfter w:w="74" w:type="pct"/>
          <w:jc w:val="center"/>
        </w:trPr>
        <w:tc>
          <w:tcPr>
            <w:tcW w:w="1840" w:type="pct"/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Variables</w:t>
            </w:r>
          </w:p>
        </w:tc>
        <w:tc>
          <w:tcPr>
            <w:tcW w:w="3086" w:type="pct"/>
            <w:gridSpan w:val="2"/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The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studied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patients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admitted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ICUs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with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AKI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="00D47065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(n=200)</w:t>
            </w:r>
          </w:p>
        </w:tc>
      </w:tr>
      <w:tr w:rsidR="005448E7" w:rsidRPr="00DF2AD3" w:rsidTr="00D47065">
        <w:trPr>
          <w:jc w:val="center"/>
        </w:trPr>
        <w:tc>
          <w:tcPr>
            <w:tcW w:w="1840" w:type="pct"/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KDIGO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and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AKIN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classifications</w:t>
            </w:r>
          </w:p>
        </w:tc>
        <w:tc>
          <w:tcPr>
            <w:tcW w:w="3086" w:type="pct"/>
            <w:gridSpan w:val="2"/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During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admission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at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ICUs</w:t>
            </w:r>
          </w:p>
        </w:tc>
        <w:tc>
          <w:tcPr>
            <w:tcW w:w="74" w:type="pct"/>
            <w:vMerge w:val="restart"/>
            <w:tcBorders>
              <w:top w:val="nil"/>
              <w:right w:val="nil"/>
            </w:tcBorders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5448E7" w:rsidRPr="00DF2AD3" w:rsidTr="00D47065">
        <w:trPr>
          <w:jc w:val="center"/>
        </w:trPr>
        <w:tc>
          <w:tcPr>
            <w:tcW w:w="1840" w:type="pct"/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455" w:type="pct"/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</w:t>
            </w:r>
          </w:p>
        </w:tc>
        <w:tc>
          <w:tcPr>
            <w:tcW w:w="1631" w:type="pct"/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%</w:t>
            </w:r>
          </w:p>
        </w:tc>
        <w:tc>
          <w:tcPr>
            <w:tcW w:w="74" w:type="pct"/>
            <w:vMerge/>
            <w:tcBorders>
              <w:top w:val="nil"/>
              <w:right w:val="nil"/>
            </w:tcBorders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5448E7" w:rsidRPr="00DF2AD3" w:rsidTr="00D47065">
        <w:trPr>
          <w:jc w:val="center"/>
        </w:trPr>
        <w:tc>
          <w:tcPr>
            <w:tcW w:w="1840" w:type="pct"/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Normal</w:t>
            </w:r>
          </w:p>
        </w:tc>
        <w:tc>
          <w:tcPr>
            <w:tcW w:w="1455" w:type="pct"/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</w:t>
            </w:r>
          </w:p>
        </w:tc>
        <w:tc>
          <w:tcPr>
            <w:tcW w:w="1631" w:type="pct"/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</w:t>
            </w:r>
          </w:p>
        </w:tc>
        <w:tc>
          <w:tcPr>
            <w:tcW w:w="74" w:type="pct"/>
            <w:vMerge/>
            <w:tcBorders>
              <w:top w:val="nil"/>
              <w:right w:val="nil"/>
            </w:tcBorders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5448E7" w:rsidRPr="00DF2AD3" w:rsidTr="00D47065">
        <w:trPr>
          <w:jc w:val="center"/>
        </w:trPr>
        <w:tc>
          <w:tcPr>
            <w:tcW w:w="1840" w:type="pct"/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Stage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</w:t>
            </w:r>
          </w:p>
        </w:tc>
        <w:tc>
          <w:tcPr>
            <w:tcW w:w="1455" w:type="pct"/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28</w:t>
            </w:r>
          </w:p>
        </w:tc>
        <w:tc>
          <w:tcPr>
            <w:tcW w:w="1631" w:type="pct"/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14.0</w:t>
            </w:r>
          </w:p>
        </w:tc>
        <w:tc>
          <w:tcPr>
            <w:tcW w:w="74" w:type="pct"/>
            <w:vMerge/>
            <w:tcBorders>
              <w:top w:val="nil"/>
              <w:right w:val="nil"/>
            </w:tcBorders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5448E7" w:rsidRPr="00DF2AD3" w:rsidTr="00D47065">
        <w:trPr>
          <w:jc w:val="center"/>
        </w:trPr>
        <w:tc>
          <w:tcPr>
            <w:tcW w:w="1840" w:type="pct"/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Stage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</w:t>
            </w:r>
          </w:p>
        </w:tc>
        <w:tc>
          <w:tcPr>
            <w:tcW w:w="1455" w:type="pct"/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57</w:t>
            </w:r>
          </w:p>
        </w:tc>
        <w:tc>
          <w:tcPr>
            <w:tcW w:w="1631" w:type="pct"/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28.5</w:t>
            </w:r>
          </w:p>
        </w:tc>
        <w:tc>
          <w:tcPr>
            <w:tcW w:w="74" w:type="pct"/>
            <w:vMerge/>
            <w:tcBorders>
              <w:top w:val="nil"/>
              <w:right w:val="nil"/>
            </w:tcBorders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5448E7" w:rsidRPr="00DF2AD3" w:rsidTr="00D47065">
        <w:trPr>
          <w:jc w:val="center"/>
        </w:trPr>
        <w:tc>
          <w:tcPr>
            <w:tcW w:w="1840" w:type="pct"/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Stage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</w:t>
            </w:r>
          </w:p>
        </w:tc>
        <w:tc>
          <w:tcPr>
            <w:tcW w:w="1455" w:type="pct"/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115</w:t>
            </w:r>
          </w:p>
        </w:tc>
        <w:tc>
          <w:tcPr>
            <w:tcW w:w="1631" w:type="pct"/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57.5</w:t>
            </w:r>
          </w:p>
        </w:tc>
        <w:tc>
          <w:tcPr>
            <w:tcW w:w="74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</w:tbl>
    <w:p w:rsidR="005448E7" w:rsidRPr="00DF2AD3" w:rsidRDefault="005448E7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*Significant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(P&lt;0.05)</w:t>
      </w:r>
    </w:p>
    <w:p w:rsidR="005448E7" w:rsidRPr="00DF2AD3" w:rsidRDefault="005448E7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47065" w:rsidRPr="00DF2AD3" w:rsidRDefault="00D47065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D47065" w:rsidRPr="00DF2AD3" w:rsidSect="00CC2459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6A695B" w:rsidRPr="00DF2AD3" w:rsidRDefault="005448E7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</w:rPr>
        <w:lastRenderedPageBreak/>
        <w:t>III.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8405A" w:rsidRPr="00DF2AD3">
        <w:rPr>
          <w:rFonts w:ascii="Times New Roman" w:hAnsi="Times New Roman" w:cs="Times New Roman"/>
          <w:b/>
          <w:bCs/>
          <w:sz w:val="20"/>
          <w:szCs w:val="20"/>
        </w:rPr>
        <w:t>Follow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8405A" w:rsidRPr="00DF2AD3">
        <w:rPr>
          <w:rFonts w:ascii="Times New Roman" w:hAnsi="Times New Roman" w:cs="Times New Roman"/>
          <w:b/>
          <w:bCs/>
          <w:sz w:val="20"/>
          <w:szCs w:val="20"/>
        </w:rPr>
        <w:t>up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8405A" w:rsidRPr="00DF2AD3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8405A" w:rsidRPr="00DF2AD3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8405A" w:rsidRPr="00DF2AD3">
        <w:rPr>
          <w:rFonts w:ascii="Times New Roman" w:hAnsi="Times New Roman" w:cs="Times New Roman"/>
          <w:b/>
          <w:bCs/>
          <w:sz w:val="20"/>
          <w:szCs w:val="20"/>
        </w:rPr>
        <w:t>Studied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8405A" w:rsidRPr="00DF2AD3">
        <w:rPr>
          <w:rFonts w:ascii="Times New Roman" w:hAnsi="Times New Roman" w:cs="Times New Roman"/>
          <w:b/>
          <w:bCs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8405A" w:rsidRPr="00DF2AD3">
        <w:rPr>
          <w:rFonts w:ascii="Times New Roman" w:hAnsi="Times New Roman" w:cs="Times New Roman"/>
          <w:b/>
          <w:bCs/>
          <w:sz w:val="20"/>
          <w:szCs w:val="20"/>
        </w:rPr>
        <w:t>with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8405A" w:rsidRPr="00DF2AD3">
        <w:rPr>
          <w:rFonts w:ascii="Times New Roman" w:hAnsi="Times New Roman" w:cs="Times New Roman"/>
          <w:b/>
          <w:bCs/>
          <w:sz w:val="20"/>
          <w:szCs w:val="20"/>
        </w:rPr>
        <w:t>Acute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8405A" w:rsidRPr="00DF2AD3">
        <w:rPr>
          <w:rFonts w:ascii="Times New Roman" w:hAnsi="Times New Roman" w:cs="Times New Roman"/>
          <w:b/>
          <w:bCs/>
          <w:sz w:val="20"/>
          <w:szCs w:val="20"/>
        </w:rPr>
        <w:t>Kidney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8405A" w:rsidRPr="00DF2AD3">
        <w:rPr>
          <w:rFonts w:ascii="Times New Roman" w:hAnsi="Times New Roman" w:cs="Times New Roman"/>
          <w:b/>
          <w:bCs/>
          <w:sz w:val="20"/>
          <w:szCs w:val="20"/>
        </w:rPr>
        <w:t>Injury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8405A" w:rsidRPr="00DF2AD3">
        <w:rPr>
          <w:rFonts w:ascii="Times New Roman" w:hAnsi="Times New Roman" w:cs="Times New Roman"/>
          <w:b/>
          <w:bCs/>
          <w:sz w:val="20"/>
          <w:szCs w:val="20"/>
        </w:rPr>
        <w:t>(AKI)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8405A" w:rsidRPr="00DF2AD3">
        <w:rPr>
          <w:rFonts w:ascii="Times New Roman" w:hAnsi="Times New Roman" w:cs="Times New Roman"/>
          <w:b/>
          <w:bCs/>
          <w:sz w:val="20"/>
          <w:szCs w:val="20"/>
        </w:rPr>
        <w:t>Admitted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8405A" w:rsidRPr="00DF2AD3">
        <w:rPr>
          <w:rFonts w:ascii="Times New Roman" w:hAnsi="Times New Roman" w:cs="Times New Roman"/>
          <w:b/>
          <w:bCs/>
          <w:sz w:val="20"/>
          <w:szCs w:val="20"/>
        </w:rPr>
        <w:t>to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8405A" w:rsidRPr="00DF2AD3">
        <w:rPr>
          <w:rFonts w:ascii="Times New Roman" w:hAnsi="Times New Roman" w:cs="Times New Roman"/>
          <w:b/>
          <w:bCs/>
          <w:sz w:val="20"/>
          <w:szCs w:val="20"/>
        </w:rPr>
        <w:t>ICUs:</w:t>
      </w:r>
    </w:p>
    <w:p w:rsidR="006A695B" w:rsidRPr="00DF2AD3" w:rsidRDefault="006A695B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Concerning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LOS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without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ranged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2-29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days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mean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lastRenderedPageBreak/>
        <w:t>(±SD)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9.68±6.05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2-18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days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mean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(±SD)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6.83±3.65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respectively.</w:t>
      </w:r>
    </w:p>
    <w:p w:rsidR="006A695B" w:rsidRPr="00DF2AD3" w:rsidRDefault="006A695B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Comparison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two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groups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showed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difference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statistically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significant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(P-value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0.0001).</w:t>
      </w:r>
    </w:p>
    <w:p w:rsidR="00D47065" w:rsidRPr="00DF2AD3" w:rsidRDefault="00D47065" w:rsidP="00D47065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D47065" w:rsidRPr="00DF2AD3" w:rsidSect="00D47065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5448E7" w:rsidRPr="00DF2AD3" w:rsidRDefault="005448E7" w:rsidP="00D47065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48E7" w:rsidRPr="00DF2AD3" w:rsidRDefault="005448E7" w:rsidP="00D47065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</w:rPr>
        <w:t>Table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</w:rPr>
        <w:t>(9):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Length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stay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(LOS)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ICU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studied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without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(n=273).</w:t>
      </w:r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999"/>
        <w:gridCol w:w="3618"/>
        <w:gridCol w:w="3859"/>
      </w:tblGrid>
      <w:tr w:rsidR="005448E7" w:rsidRPr="00DF2AD3" w:rsidTr="00CC2459">
        <w:trPr>
          <w:jc w:val="center"/>
        </w:trPr>
        <w:tc>
          <w:tcPr>
            <w:tcW w:w="1055" w:type="pct"/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Variables</w:t>
            </w:r>
          </w:p>
        </w:tc>
        <w:tc>
          <w:tcPr>
            <w:tcW w:w="3945" w:type="pct"/>
            <w:gridSpan w:val="2"/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The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studied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patients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admitted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ICUs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="00D47065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(n=273)</w:t>
            </w:r>
          </w:p>
        </w:tc>
      </w:tr>
      <w:tr w:rsidR="005448E7" w:rsidRPr="00DF2AD3" w:rsidTr="00CC2459">
        <w:trPr>
          <w:jc w:val="center"/>
        </w:trPr>
        <w:tc>
          <w:tcPr>
            <w:tcW w:w="1055" w:type="pct"/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09" w:type="pct"/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With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acute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kidney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injury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(AKI)</w:t>
            </w:r>
            <w:r w:rsidR="00D47065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(n=200)</w:t>
            </w:r>
          </w:p>
        </w:tc>
        <w:tc>
          <w:tcPr>
            <w:tcW w:w="2036" w:type="pct"/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Without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acute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kidney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injury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(AKI)</w:t>
            </w:r>
            <w:r w:rsidR="00D47065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(n=73)</w:t>
            </w:r>
          </w:p>
        </w:tc>
      </w:tr>
      <w:tr w:rsidR="005448E7" w:rsidRPr="00DF2AD3" w:rsidTr="00CC2459">
        <w:trPr>
          <w:jc w:val="center"/>
        </w:trPr>
        <w:tc>
          <w:tcPr>
            <w:tcW w:w="5000" w:type="pct"/>
            <w:gridSpan w:val="3"/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Length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of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stay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at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ICU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in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days:</w:t>
            </w:r>
          </w:p>
        </w:tc>
      </w:tr>
      <w:tr w:rsidR="005448E7" w:rsidRPr="00DF2AD3" w:rsidTr="00CC2459">
        <w:trPr>
          <w:jc w:val="center"/>
        </w:trPr>
        <w:tc>
          <w:tcPr>
            <w:tcW w:w="1055" w:type="pct"/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Range</w:t>
            </w:r>
            <w:r w:rsidR="00D47065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proofErr w:type="spellStart"/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Mean±SD</w:t>
            </w:r>
            <w:proofErr w:type="spellEnd"/>
          </w:p>
        </w:tc>
        <w:tc>
          <w:tcPr>
            <w:tcW w:w="1909" w:type="pct"/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2.00-29.00</w:t>
            </w:r>
            <w:r w:rsidR="00D47065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9.68±6.05</w:t>
            </w:r>
          </w:p>
        </w:tc>
        <w:tc>
          <w:tcPr>
            <w:tcW w:w="2036" w:type="pct"/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2.00-18.00</w:t>
            </w:r>
            <w:r w:rsidR="00D47065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6.83±3.65</w:t>
            </w:r>
          </w:p>
        </w:tc>
      </w:tr>
      <w:tr w:rsidR="005448E7" w:rsidRPr="00DF2AD3" w:rsidTr="00CC2459">
        <w:trPr>
          <w:jc w:val="center"/>
        </w:trPr>
        <w:tc>
          <w:tcPr>
            <w:tcW w:w="1055" w:type="pct"/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t-test</w:t>
            </w:r>
            <w:r w:rsidR="00D47065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</w:t>
            </w:r>
          </w:p>
        </w:tc>
        <w:tc>
          <w:tcPr>
            <w:tcW w:w="3945" w:type="pct"/>
            <w:gridSpan w:val="2"/>
            <w:vAlign w:val="center"/>
          </w:tcPr>
          <w:p w:rsidR="005448E7" w:rsidRPr="00DF2AD3" w:rsidRDefault="005448E7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3.769</w:t>
            </w:r>
            <w:r w:rsidR="00D47065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0.0001*</w:t>
            </w:r>
          </w:p>
        </w:tc>
      </w:tr>
    </w:tbl>
    <w:p w:rsidR="005448E7" w:rsidRPr="00DF2AD3" w:rsidRDefault="005448E7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*Significant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(P&lt;0.05)</w:t>
      </w:r>
    </w:p>
    <w:p w:rsidR="005448E7" w:rsidRPr="00DF2AD3" w:rsidRDefault="005448E7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D47065" w:rsidRPr="00DF2AD3" w:rsidRDefault="00D47065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  <w:sectPr w:rsidR="00D47065" w:rsidRPr="00DF2AD3" w:rsidSect="00CC2459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5448E7" w:rsidRPr="00DF2AD3" w:rsidRDefault="005448E7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lastRenderedPageBreak/>
        <w:t>According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RIFLE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classification;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most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during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admission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had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failure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criteria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(57.5%).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other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hand,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discharge;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40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(20%)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had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normal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renal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functions,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31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(15.5%)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chronic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disease,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23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(11.5%)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discharged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end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lastRenderedPageBreak/>
        <w:t>stage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renal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disease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regular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DF2AD3">
        <w:rPr>
          <w:rFonts w:ascii="Times New Roman" w:hAnsi="Times New Roman" w:cs="Times New Roman"/>
          <w:sz w:val="20"/>
          <w:szCs w:val="20"/>
          <w:lang w:bidi="ar-EG"/>
        </w:rPr>
        <w:t>hemodialysis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106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(53%)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died.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5448E7" w:rsidRPr="00DF2AD3" w:rsidRDefault="005448E7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Comparison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classification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items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showed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difference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statistically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significant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(P-value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0.0001).</w:t>
      </w:r>
    </w:p>
    <w:p w:rsidR="00D47065" w:rsidRPr="00DF2AD3" w:rsidRDefault="00D47065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  <w:sectPr w:rsidR="00D47065" w:rsidRPr="00DF2AD3" w:rsidSect="00D47065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5448E7" w:rsidRPr="00DF2AD3" w:rsidRDefault="005448E7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076519" w:rsidRPr="00DF2AD3" w:rsidRDefault="00076519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Table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(10):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RIFLE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classification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renal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dysfunction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among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studied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injury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(AKI)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during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admission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ICUs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at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discharge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(n=200).</w:t>
      </w:r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255"/>
        <w:gridCol w:w="1344"/>
        <w:gridCol w:w="1507"/>
        <w:gridCol w:w="1241"/>
        <w:gridCol w:w="1393"/>
        <w:gridCol w:w="807"/>
        <w:gridCol w:w="929"/>
      </w:tblGrid>
      <w:tr w:rsidR="002138A2" w:rsidRPr="00DF2AD3" w:rsidTr="00CC2459">
        <w:trPr>
          <w:jc w:val="center"/>
        </w:trPr>
        <w:tc>
          <w:tcPr>
            <w:tcW w:w="1190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Variables</w:t>
            </w:r>
          </w:p>
        </w:tc>
        <w:tc>
          <w:tcPr>
            <w:tcW w:w="2894" w:type="pct"/>
            <w:gridSpan w:val="4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The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studied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patients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admitted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ICUs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with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AKI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(n=200)</w:t>
            </w:r>
          </w:p>
        </w:tc>
        <w:tc>
          <w:tcPr>
            <w:tcW w:w="426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χ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bidi="ar-EG"/>
              </w:rPr>
              <w:t>2</w:t>
            </w:r>
          </w:p>
        </w:tc>
        <w:tc>
          <w:tcPr>
            <w:tcW w:w="490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P</w:t>
            </w:r>
          </w:p>
        </w:tc>
      </w:tr>
      <w:tr w:rsidR="00CC2459" w:rsidRPr="00DF2AD3" w:rsidTr="00CC2459">
        <w:trPr>
          <w:jc w:val="center"/>
        </w:trPr>
        <w:tc>
          <w:tcPr>
            <w:tcW w:w="1190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504" w:type="pct"/>
            <w:gridSpan w:val="2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During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admission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at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ICUs</w:t>
            </w:r>
          </w:p>
        </w:tc>
        <w:tc>
          <w:tcPr>
            <w:tcW w:w="1389" w:type="pct"/>
            <w:gridSpan w:val="2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At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discharge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from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ICUs</w:t>
            </w:r>
          </w:p>
        </w:tc>
        <w:tc>
          <w:tcPr>
            <w:tcW w:w="426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0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2459" w:rsidRPr="00DF2AD3" w:rsidTr="00CC2459">
        <w:trPr>
          <w:jc w:val="center"/>
        </w:trPr>
        <w:tc>
          <w:tcPr>
            <w:tcW w:w="1190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9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</w:t>
            </w:r>
          </w:p>
        </w:tc>
        <w:tc>
          <w:tcPr>
            <w:tcW w:w="795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%</w:t>
            </w:r>
          </w:p>
        </w:tc>
        <w:tc>
          <w:tcPr>
            <w:tcW w:w="655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</w:t>
            </w:r>
          </w:p>
        </w:tc>
        <w:tc>
          <w:tcPr>
            <w:tcW w:w="734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%</w:t>
            </w:r>
          </w:p>
        </w:tc>
        <w:tc>
          <w:tcPr>
            <w:tcW w:w="426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0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2459" w:rsidRPr="00DF2AD3" w:rsidTr="00CC2459">
        <w:trPr>
          <w:jc w:val="center"/>
        </w:trPr>
        <w:tc>
          <w:tcPr>
            <w:tcW w:w="1190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RIFLE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proofErr w:type="spellStart"/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lassification</w:t>
            </w:r>
            <w:proofErr w:type="spellEnd"/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:</w:t>
            </w:r>
          </w:p>
        </w:tc>
        <w:tc>
          <w:tcPr>
            <w:tcW w:w="709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5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55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34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26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90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2459" w:rsidRPr="00DF2AD3" w:rsidTr="00CC2459">
        <w:trPr>
          <w:jc w:val="center"/>
        </w:trPr>
        <w:tc>
          <w:tcPr>
            <w:tcW w:w="1190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Normal</w:t>
            </w:r>
          </w:p>
        </w:tc>
        <w:tc>
          <w:tcPr>
            <w:tcW w:w="709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</w:t>
            </w:r>
          </w:p>
        </w:tc>
        <w:tc>
          <w:tcPr>
            <w:tcW w:w="795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</w:t>
            </w:r>
          </w:p>
        </w:tc>
        <w:tc>
          <w:tcPr>
            <w:tcW w:w="655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40</w:t>
            </w:r>
          </w:p>
        </w:tc>
        <w:tc>
          <w:tcPr>
            <w:tcW w:w="734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20.0</w:t>
            </w:r>
          </w:p>
        </w:tc>
        <w:tc>
          <w:tcPr>
            <w:tcW w:w="426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232.73</w:t>
            </w:r>
          </w:p>
        </w:tc>
        <w:tc>
          <w:tcPr>
            <w:tcW w:w="490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0.0001*</w:t>
            </w:r>
          </w:p>
        </w:tc>
      </w:tr>
      <w:tr w:rsidR="00CC2459" w:rsidRPr="00DF2AD3" w:rsidTr="00CC2459">
        <w:trPr>
          <w:jc w:val="center"/>
        </w:trPr>
        <w:tc>
          <w:tcPr>
            <w:tcW w:w="1190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Risk</w:t>
            </w:r>
          </w:p>
        </w:tc>
        <w:tc>
          <w:tcPr>
            <w:tcW w:w="709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28</w:t>
            </w:r>
          </w:p>
        </w:tc>
        <w:tc>
          <w:tcPr>
            <w:tcW w:w="795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14.0</w:t>
            </w:r>
          </w:p>
        </w:tc>
        <w:tc>
          <w:tcPr>
            <w:tcW w:w="655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12</w:t>
            </w:r>
          </w:p>
        </w:tc>
        <w:tc>
          <w:tcPr>
            <w:tcW w:w="734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6.0</w:t>
            </w:r>
          </w:p>
        </w:tc>
        <w:tc>
          <w:tcPr>
            <w:tcW w:w="426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490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CC2459" w:rsidRPr="00DF2AD3" w:rsidTr="00CC2459">
        <w:trPr>
          <w:jc w:val="center"/>
        </w:trPr>
        <w:tc>
          <w:tcPr>
            <w:tcW w:w="1190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Injury</w:t>
            </w:r>
          </w:p>
        </w:tc>
        <w:tc>
          <w:tcPr>
            <w:tcW w:w="709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57</w:t>
            </w:r>
          </w:p>
        </w:tc>
        <w:tc>
          <w:tcPr>
            <w:tcW w:w="795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28.5</w:t>
            </w:r>
          </w:p>
        </w:tc>
        <w:tc>
          <w:tcPr>
            <w:tcW w:w="655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19</w:t>
            </w:r>
          </w:p>
        </w:tc>
        <w:tc>
          <w:tcPr>
            <w:tcW w:w="734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9.5</w:t>
            </w:r>
          </w:p>
        </w:tc>
        <w:tc>
          <w:tcPr>
            <w:tcW w:w="426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490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CC2459" w:rsidRPr="00DF2AD3" w:rsidTr="00CC2459">
        <w:trPr>
          <w:jc w:val="center"/>
        </w:trPr>
        <w:tc>
          <w:tcPr>
            <w:tcW w:w="1190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Failure</w:t>
            </w:r>
          </w:p>
        </w:tc>
        <w:tc>
          <w:tcPr>
            <w:tcW w:w="709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115</w:t>
            </w:r>
          </w:p>
        </w:tc>
        <w:tc>
          <w:tcPr>
            <w:tcW w:w="795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57.5</w:t>
            </w:r>
          </w:p>
        </w:tc>
        <w:tc>
          <w:tcPr>
            <w:tcW w:w="655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23</w:t>
            </w:r>
          </w:p>
        </w:tc>
        <w:tc>
          <w:tcPr>
            <w:tcW w:w="734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11.5</w:t>
            </w:r>
          </w:p>
        </w:tc>
        <w:tc>
          <w:tcPr>
            <w:tcW w:w="426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490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CC2459" w:rsidRPr="00DF2AD3" w:rsidTr="00CC2459">
        <w:trPr>
          <w:jc w:val="center"/>
        </w:trPr>
        <w:tc>
          <w:tcPr>
            <w:tcW w:w="1190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Died</w:t>
            </w:r>
          </w:p>
        </w:tc>
        <w:tc>
          <w:tcPr>
            <w:tcW w:w="709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</w:t>
            </w:r>
          </w:p>
        </w:tc>
        <w:tc>
          <w:tcPr>
            <w:tcW w:w="795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</w:t>
            </w:r>
          </w:p>
        </w:tc>
        <w:tc>
          <w:tcPr>
            <w:tcW w:w="655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106</w:t>
            </w:r>
          </w:p>
        </w:tc>
        <w:tc>
          <w:tcPr>
            <w:tcW w:w="734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53.0</w:t>
            </w:r>
          </w:p>
        </w:tc>
        <w:tc>
          <w:tcPr>
            <w:tcW w:w="426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490" w:type="pct"/>
            <w:vAlign w:val="center"/>
          </w:tcPr>
          <w:p w:rsidR="002138A2" w:rsidRPr="00DF2AD3" w:rsidRDefault="002138A2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</w:tbl>
    <w:p w:rsidR="002138A2" w:rsidRPr="00DF2AD3" w:rsidRDefault="002138A2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</w:rPr>
        <w:t>*Significant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</w:rPr>
        <w:t>(P&lt;0.05)</w:t>
      </w:r>
    </w:p>
    <w:p w:rsidR="00CC2459" w:rsidRPr="00DF2AD3" w:rsidRDefault="00CC2459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D47065" w:rsidRPr="00DF2AD3" w:rsidRDefault="00D47065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D47065" w:rsidRPr="00DF2AD3" w:rsidSect="00CC2459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E455AB" w:rsidRPr="00DF2AD3" w:rsidRDefault="00E455AB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F2AD3">
        <w:rPr>
          <w:rFonts w:ascii="Times New Roman" w:hAnsi="Times New Roman" w:cs="Times New Roman"/>
          <w:sz w:val="20"/>
          <w:szCs w:val="20"/>
        </w:rPr>
        <w:lastRenderedPageBreak/>
        <w:t>Concerning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assessment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RIFLE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classification;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most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discharged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on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normal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functions,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had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risk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criteria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during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admission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(19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out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40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patients).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455AB" w:rsidRPr="00DF2AD3" w:rsidRDefault="00E455AB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F2AD3">
        <w:rPr>
          <w:rFonts w:ascii="Times New Roman" w:hAnsi="Times New Roman" w:cs="Times New Roman"/>
          <w:sz w:val="20"/>
          <w:szCs w:val="20"/>
        </w:rPr>
        <w:lastRenderedPageBreak/>
        <w:t>Also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most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discharged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on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chronic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disease,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had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failure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criteria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during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admission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(19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out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31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patients).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7065" w:rsidRPr="00DF2AD3" w:rsidRDefault="00D47065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  <w:sectPr w:rsidR="00D47065" w:rsidRPr="00DF2AD3" w:rsidSect="00D47065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CC2459" w:rsidRPr="00DF2AD3" w:rsidRDefault="00CC2459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076519" w:rsidRPr="00DF2AD3" w:rsidRDefault="00076519" w:rsidP="00D47065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Table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(11):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Assessment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RIFLE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classification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among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studied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injury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(AKI)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(n=200).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025"/>
        <w:gridCol w:w="2570"/>
        <w:gridCol w:w="2881"/>
      </w:tblGrid>
      <w:tr w:rsidR="00BA29C4" w:rsidRPr="00DF2AD3" w:rsidTr="00CC2459">
        <w:trPr>
          <w:jc w:val="center"/>
        </w:trPr>
        <w:tc>
          <w:tcPr>
            <w:tcW w:w="2124" w:type="pct"/>
            <w:vMerge w:val="restar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Variables</w:t>
            </w:r>
          </w:p>
        </w:tc>
        <w:tc>
          <w:tcPr>
            <w:tcW w:w="2876" w:type="pct"/>
            <w:gridSpan w:val="2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The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studied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patients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admitted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ICUs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with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AKI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(n=200)</w:t>
            </w:r>
          </w:p>
        </w:tc>
      </w:tr>
      <w:tr w:rsidR="00BA29C4" w:rsidRPr="00DF2AD3" w:rsidTr="00CC2459">
        <w:trPr>
          <w:jc w:val="center"/>
        </w:trPr>
        <w:tc>
          <w:tcPr>
            <w:tcW w:w="2124" w:type="pct"/>
            <w:vMerge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356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</w:t>
            </w:r>
          </w:p>
        </w:tc>
        <w:tc>
          <w:tcPr>
            <w:tcW w:w="15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%</w:t>
            </w:r>
          </w:p>
        </w:tc>
      </w:tr>
      <w:tr w:rsidR="00BA29C4" w:rsidRPr="00DF2AD3" w:rsidTr="00CC2459">
        <w:trPr>
          <w:jc w:val="center"/>
        </w:trPr>
        <w:tc>
          <w:tcPr>
            <w:tcW w:w="2124" w:type="pct"/>
            <w:vAlign w:val="center"/>
          </w:tcPr>
          <w:p w:rsidR="00BA29C4" w:rsidRPr="00DF2AD3" w:rsidRDefault="00E455AB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Assessment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="00BA29C4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of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="00BA29C4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RIFLE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="00BA29C4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at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="00BA29C4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discharge: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1356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5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A29C4" w:rsidRPr="00DF2AD3" w:rsidTr="00CC2459">
        <w:trPr>
          <w:jc w:val="center"/>
        </w:trPr>
        <w:tc>
          <w:tcPr>
            <w:tcW w:w="212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Failure</w:t>
            </w:r>
          </w:p>
        </w:tc>
        <w:tc>
          <w:tcPr>
            <w:tcW w:w="1356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23</w:t>
            </w:r>
          </w:p>
        </w:tc>
        <w:tc>
          <w:tcPr>
            <w:tcW w:w="15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11.5</w:t>
            </w:r>
          </w:p>
        </w:tc>
      </w:tr>
      <w:tr w:rsidR="00BA29C4" w:rsidRPr="00DF2AD3" w:rsidTr="00CC2459">
        <w:trPr>
          <w:jc w:val="center"/>
        </w:trPr>
        <w:tc>
          <w:tcPr>
            <w:tcW w:w="212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Improvement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of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failure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cases:</w:t>
            </w:r>
          </w:p>
        </w:tc>
        <w:tc>
          <w:tcPr>
            <w:tcW w:w="1356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15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BA29C4" w:rsidRPr="00DF2AD3" w:rsidTr="00CC2459">
        <w:trPr>
          <w:jc w:val="center"/>
        </w:trPr>
        <w:tc>
          <w:tcPr>
            <w:tcW w:w="212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Failure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to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injury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(F-I)</w:t>
            </w:r>
          </w:p>
        </w:tc>
        <w:tc>
          <w:tcPr>
            <w:tcW w:w="1356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19</w:t>
            </w:r>
          </w:p>
        </w:tc>
        <w:tc>
          <w:tcPr>
            <w:tcW w:w="15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9.5</w:t>
            </w:r>
          </w:p>
        </w:tc>
      </w:tr>
      <w:tr w:rsidR="00BA29C4" w:rsidRPr="00DF2AD3" w:rsidTr="00CC2459">
        <w:trPr>
          <w:jc w:val="center"/>
        </w:trPr>
        <w:tc>
          <w:tcPr>
            <w:tcW w:w="212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Failure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to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risk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(F-R)</w:t>
            </w:r>
          </w:p>
        </w:tc>
        <w:tc>
          <w:tcPr>
            <w:tcW w:w="1356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</w:t>
            </w:r>
          </w:p>
        </w:tc>
        <w:tc>
          <w:tcPr>
            <w:tcW w:w="15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1.0</w:t>
            </w:r>
          </w:p>
        </w:tc>
      </w:tr>
      <w:tr w:rsidR="00BA29C4" w:rsidRPr="00DF2AD3" w:rsidTr="00CC2459">
        <w:trPr>
          <w:jc w:val="center"/>
        </w:trPr>
        <w:tc>
          <w:tcPr>
            <w:tcW w:w="212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Failure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to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normal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(F-N)</w:t>
            </w:r>
          </w:p>
        </w:tc>
        <w:tc>
          <w:tcPr>
            <w:tcW w:w="1356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</w:t>
            </w:r>
          </w:p>
        </w:tc>
        <w:tc>
          <w:tcPr>
            <w:tcW w:w="15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2.0</w:t>
            </w:r>
          </w:p>
        </w:tc>
      </w:tr>
      <w:tr w:rsidR="00BA29C4" w:rsidRPr="00DF2AD3" w:rsidTr="00CC2459">
        <w:trPr>
          <w:jc w:val="center"/>
        </w:trPr>
        <w:tc>
          <w:tcPr>
            <w:tcW w:w="212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Improvement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of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injury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cases:</w:t>
            </w:r>
          </w:p>
        </w:tc>
        <w:tc>
          <w:tcPr>
            <w:tcW w:w="1356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15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BA29C4" w:rsidRPr="00DF2AD3" w:rsidTr="00CC2459">
        <w:trPr>
          <w:jc w:val="center"/>
        </w:trPr>
        <w:tc>
          <w:tcPr>
            <w:tcW w:w="212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Injury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to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risk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(I-R)</w:t>
            </w:r>
          </w:p>
        </w:tc>
        <w:tc>
          <w:tcPr>
            <w:tcW w:w="1356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</w:t>
            </w:r>
          </w:p>
        </w:tc>
        <w:tc>
          <w:tcPr>
            <w:tcW w:w="15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5.0</w:t>
            </w:r>
          </w:p>
        </w:tc>
      </w:tr>
      <w:tr w:rsidR="00BA29C4" w:rsidRPr="00DF2AD3" w:rsidTr="00CC2459">
        <w:trPr>
          <w:jc w:val="center"/>
        </w:trPr>
        <w:tc>
          <w:tcPr>
            <w:tcW w:w="212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Injury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to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normal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(I-N)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1356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17</w:t>
            </w:r>
          </w:p>
        </w:tc>
        <w:tc>
          <w:tcPr>
            <w:tcW w:w="15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8.5</w:t>
            </w:r>
          </w:p>
        </w:tc>
      </w:tr>
      <w:tr w:rsidR="00BA29C4" w:rsidRPr="00DF2AD3" w:rsidTr="00CC2459">
        <w:trPr>
          <w:jc w:val="center"/>
        </w:trPr>
        <w:tc>
          <w:tcPr>
            <w:tcW w:w="212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Improvement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of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risk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cases:</w:t>
            </w:r>
          </w:p>
        </w:tc>
        <w:tc>
          <w:tcPr>
            <w:tcW w:w="1356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15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BA29C4" w:rsidRPr="00DF2AD3" w:rsidTr="00CC2459">
        <w:trPr>
          <w:jc w:val="center"/>
        </w:trPr>
        <w:tc>
          <w:tcPr>
            <w:tcW w:w="212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Risk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to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normal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(R-N)</w:t>
            </w:r>
          </w:p>
        </w:tc>
        <w:tc>
          <w:tcPr>
            <w:tcW w:w="1356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19</w:t>
            </w:r>
          </w:p>
        </w:tc>
        <w:tc>
          <w:tcPr>
            <w:tcW w:w="15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9.5</w:t>
            </w:r>
          </w:p>
        </w:tc>
      </w:tr>
      <w:tr w:rsidR="00BA29C4" w:rsidRPr="00DF2AD3" w:rsidTr="00CC2459">
        <w:trPr>
          <w:jc w:val="center"/>
        </w:trPr>
        <w:tc>
          <w:tcPr>
            <w:tcW w:w="2124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Died</w:t>
            </w:r>
          </w:p>
        </w:tc>
        <w:tc>
          <w:tcPr>
            <w:tcW w:w="1356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106</w:t>
            </w:r>
          </w:p>
        </w:tc>
        <w:tc>
          <w:tcPr>
            <w:tcW w:w="1520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53.0</w:t>
            </w:r>
          </w:p>
        </w:tc>
      </w:tr>
    </w:tbl>
    <w:p w:rsidR="00CC2459" w:rsidRPr="00DF2AD3" w:rsidRDefault="00CC2459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</w:p>
    <w:p w:rsidR="00D47065" w:rsidRPr="00DF2AD3" w:rsidRDefault="00D47065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  <w:sectPr w:rsidR="00D47065" w:rsidRPr="00DF2AD3" w:rsidSect="00CC2459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E86653" w:rsidRPr="00DF2AD3" w:rsidRDefault="00E86653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lastRenderedPageBreak/>
        <w:t>According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KDIGO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classifications;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most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during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admission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had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stage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3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criteria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(57.5%).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other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hand,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discharge;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40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(20%)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had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normal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renal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functions,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31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(15.5%)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chronic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disease,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23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(11.5%)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lastRenderedPageBreak/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discharged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end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stage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renal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disease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regular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DF2AD3">
        <w:rPr>
          <w:rFonts w:ascii="Times New Roman" w:hAnsi="Times New Roman" w:cs="Times New Roman"/>
          <w:sz w:val="20"/>
          <w:szCs w:val="20"/>
          <w:lang w:bidi="ar-EG"/>
        </w:rPr>
        <w:t>hemodialysis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106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(53%)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died.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E86653" w:rsidRPr="00DF2AD3" w:rsidRDefault="00E86653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Comparison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classification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items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showed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difference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statistically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significant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(P-value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0.0001).</w:t>
      </w:r>
    </w:p>
    <w:p w:rsidR="00D47065" w:rsidRPr="00DF2AD3" w:rsidRDefault="00D47065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  <w:sectPr w:rsidR="00D47065" w:rsidRPr="00DF2AD3" w:rsidSect="00D47065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CC2459" w:rsidRPr="00DF2AD3" w:rsidRDefault="00CC2459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076519" w:rsidRPr="00DF2AD3" w:rsidRDefault="00076519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lastRenderedPageBreak/>
        <w:t>Table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(12):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KDIGO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classifications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renal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dysfunction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among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studied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during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admission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ICUs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discharge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(n=200).</w:t>
      </w:r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990"/>
        <w:gridCol w:w="958"/>
        <w:gridCol w:w="1070"/>
        <w:gridCol w:w="958"/>
        <w:gridCol w:w="1072"/>
        <w:gridCol w:w="664"/>
        <w:gridCol w:w="764"/>
      </w:tblGrid>
      <w:tr w:rsidR="008D1E26" w:rsidRPr="00DF2AD3" w:rsidTr="00D47065">
        <w:trPr>
          <w:jc w:val="center"/>
        </w:trPr>
        <w:tc>
          <w:tcPr>
            <w:tcW w:w="2124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KDIGO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and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AKIN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classifications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of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renal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dysfunction</w:t>
            </w:r>
          </w:p>
        </w:tc>
        <w:tc>
          <w:tcPr>
            <w:tcW w:w="2215" w:type="pct"/>
            <w:gridSpan w:val="4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The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studied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patients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admitted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ICUs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with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AKI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(n=200)</w:t>
            </w:r>
          </w:p>
        </w:tc>
        <w:tc>
          <w:tcPr>
            <w:tcW w:w="309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χ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bidi="ar-EG"/>
              </w:rPr>
              <w:t>2</w:t>
            </w:r>
          </w:p>
        </w:tc>
        <w:tc>
          <w:tcPr>
            <w:tcW w:w="353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P</w:t>
            </w:r>
          </w:p>
        </w:tc>
      </w:tr>
      <w:tr w:rsidR="00CC2459" w:rsidRPr="00DF2AD3" w:rsidTr="00D47065">
        <w:trPr>
          <w:jc w:val="center"/>
        </w:trPr>
        <w:tc>
          <w:tcPr>
            <w:tcW w:w="2124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07" w:type="pct"/>
            <w:gridSpan w:val="2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During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admission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at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ICUs</w:t>
            </w:r>
          </w:p>
        </w:tc>
        <w:tc>
          <w:tcPr>
            <w:tcW w:w="1107" w:type="pct"/>
            <w:gridSpan w:val="2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At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discharge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from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ICUs</w:t>
            </w:r>
          </w:p>
        </w:tc>
        <w:tc>
          <w:tcPr>
            <w:tcW w:w="309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53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2459" w:rsidRPr="00DF2AD3" w:rsidTr="00D47065">
        <w:trPr>
          <w:jc w:val="center"/>
        </w:trPr>
        <w:tc>
          <w:tcPr>
            <w:tcW w:w="2124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24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</w:t>
            </w:r>
          </w:p>
        </w:tc>
        <w:tc>
          <w:tcPr>
            <w:tcW w:w="583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%</w:t>
            </w:r>
          </w:p>
        </w:tc>
        <w:tc>
          <w:tcPr>
            <w:tcW w:w="524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</w:t>
            </w:r>
          </w:p>
        </w:tc>
        <w:tc>
          <w:tcPr>
            <w:tcW w:w="583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%</w:t>
            </w:r>
          </w:p>
        </w:tc>
        <w:tc>
          <w:tcPr>
            <w:tcW w:w="309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353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2459" w:rsidRPr="00DF2AD3" w:rsidTr="00D47065">
        <w:trPr>
          <w:jc w:val="center"/>
        </w:trPr>
        <w:tc>
          <w:tcPr>
            <w:tcW w:w="2124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Normal</w:t>
            </w:r>
          </w:p>
        </w:tc>
        <w:tc>
          <w:tcPr>
            <w:tcW w:w="524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</w:t>
            </w:r>
          </w:p>
        </w:tc>
        <w:tc>
          <w:tcPr>
            <w:tcW w:w="583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</w:t>
            </w:r>
          </w:p>
        </w:tc>
        <w:tc>
          <w:tcPr>
            <w:tcW w:w="524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40</w:t>
            </w:r>
          </w:p>
        </w:tc>
        <w:tc>
          <w:tcPr>
            <w:tcW w:w="583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20</w:t>
            </w:r>
          </w:p>
        </w:tc>
        <w:tc>
          <w:tcPr>
            <w:tcW w:w="309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232.73</w:t>
            </w:r>
          </w:p>
        </w:tc>
        <w:tc>
          <w:tcPr>
            <w:tcW w:w="353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0.0001*</w:t>
            </w:r>
          </w:p>
        </w:tc>
      </w:tr>
      <w:tr w:rsidR="00CC2459" w:rsidRPr="00DF2AD3" w:rsidTr="00D47065">
        <w:trPr>
          <w:jc w:val="center"/>
        </w:trPr>
        <w:tc>
          <w:tcPr>
            <w:tcW w:w="2124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Stage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</w:t>
            </w:r>
          </w:p>
        </w:tc>
        <w:tc>
          <w:tcPr>
            <w:tcW w:w="524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28</w:t>
            </w:r>
          </w:p>
        </w:tc>
        <w:tc>
          <w:tcPr>
            <w:tcW w:w="583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14.0</w:t>
            </w:r>
          </w:p>
        </w:tc>
        <w:tc>
          <w:tcPr>
            <w:tcW w:w="524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12</w:t>
            </w:r>
          </w:p>
        </w:tc>
        <w:tc>
          <w:tcPr>
            <w:tcW w:w="583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</w:t>
            </w:r>
          </w:p>
        </w:tc>
        <w:tc>
          <w:tcPr>
            <w:tcW w:w="309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353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CC2459" w:rsidRPr="00DF2AD3" w:rsidTr="00D47065">
        <w:trPr>
          <w:jc w:val="center"/>
        </w:trPr>
        <w:tc>
          <w:tcPr>
            <w:tcW w:w="2124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Stage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</w:t>
            </w:r>
          </w:p>
        </w:tc>
        <w:tc>
          <w:tcPr>
            <w:tcW w:w="524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57</w:t>
            </w:r>
          </w:p>
        </w:tc>
        <w:tc>
          <w:tcPr>
            <w:tcW w:w="583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28.5</w:t>
            </w:r>
          </w:p>
        </w:tc>
        <w:tc>
          <w:tcPr>
            <w:tcW w:w="524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19</w:t>
            </w:r>
          </w:p>
        </w:tc>
        <w:tc>
          <w:tcPr>
            <w:tcW w:w="583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9.5</w:t>
            </w:r>
          </w:p>
        </w:tc>
        <w:tc>
          <w:tcPr>
            <w:tcW w:w="309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353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CC2459" w:rsidRPr="00DF2AD3" w:rsidTr="00D47065">
        <w:trPr>
          <w:jc w:val="center"/>
        </w:trPr>
        <w:tc>
          <w:tcPr>
            <w:tcW w:w="2124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Stage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</w:t>
            </w:r>
          </w:p>
        </w:tc>
        <w:tc>
          <w:tcPr>
            <w:tcW w:w="524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115</w:t>
            </w:r>
          </w:p>
        </w:tc>
        <w:tc>
          <w:tcPr>
            <w:tcW w:w="583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57.5</w:t>
            </w:r>
          </w:p>
        </w:tc>
        <w:tc>
          <w:tcPr>
            <w:tcW w:w="524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23</w:t>
            </w:r>
          </w:p>
        </w:tc>
        <w:tc>
          <w:tcPr>
            <w:tcW w:w="583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11.5</w:t>
            </w:r>
          </w:p>
        </w:tc>
        <w:tc>
          <w:tcPr>
            <w:tcW w:w="309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353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CC2459" w:rsidRPr="00DF2AD3" w:rsidTr="00D47065">
        <w:trPr>
          <w:jc w:val="center"/>
        </w:trPr>
        <w:tc>
          <w:tcPr>
            <w:tcW w:w="2124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Died</w:t>
            </w:r>
          </w:p>
        </w:tc>
        <w:tc>
          <w:tcPr>
            <w:tcW w:w="524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</w:t>
            </w:r>
          </w:p>
        </w:tc>
        <w:tc>
          <w:tcPr>
            <w:tcW w:w="583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</w:t>
            </w:r>
          </w:p>
        </w:tc>
        <w:tc>
          <w:tcPr>
            <w:tcW w:w="524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106</w:t>
            </w:r>
          </w:p>
        </w:tc>
        <w:tc>
          <w:tcPr>
            <w:tcW w:w="583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53.0</w:t>
            </w:r>
          </w:p>
        </w:tc>
        <w:tc>
          <w:tcPr>
            <w:tcW w:w="309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353" w:type="pct"/>
            <w:vAlign w:val="center"/>
          </w:tcPr>
          <w:p w:rsidR="008D1E26" w:rsidRPr="00DF2AD3" w:rsidRDefault="008D1E26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</w:tbl>
    <w:p w:rsidR="008D1E26" w:rsidRPr="00DF2AD3" w:rsidRDefault="008D1E26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*Significant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(P&lt;0.05)</w:t>
      </w:r>
    </w:p>
    <w:p w:rsidR="00D47065" w:rsidRPr="00DF2AD3" w:rsidRDefault="00D47065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D47065" w:rsidRPr="00DF2AD3" w:rsidSect="00CC2459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8C4258" w:rsidRPr="00DF2AD3" w:rsidRDefault="008C4258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F2AD3">
        <w:rPr>
          <w:rFonts w:ascii="Times New Roman" w:hAnsi="Times New Roman" w:cs="Times New Roman"/>
          <w:sz w:val="20"/>
          <w:szCs w:val="20"/>
        </w:rPr>
        <w:lastRenderedPageBreak/>
        <w:t>Concerning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assessment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KDIGO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AKIN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classifications;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most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discharged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on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normal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functions,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had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stage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1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criteria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during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admission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(19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out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40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patients).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4258" w:rsidRPr="00DF2AD3" w:rsidRDefault="008C4258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F2AD3">
        <w:rPr>
          <w:rFonts w:ascii="Times New Roman" w:hAnsi="Times New Roman" w:cs="Times New Roman"/>
          <w:sz w:val="20"/>
          <w:szCs w:val="20"/>
        </w:rPr>
        <w:lastRenderedPageBreak/>
        <w:t>Also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most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discharged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on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chronic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disease,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had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stage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3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criteria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during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admission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(19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out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31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patients).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7065" w:rsidRPr="00DF2AD3" w:rsidRDefault="00D47065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  <w:sectPr w:rsidR="00D47065" w:rsidRPr="00DF2AD3" w:rsidSect="00D47065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CC2459" w:rsidRPr="00DF2AD3" w:rsidRDefault="00CC2459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076519" w:rsidRPr="00DF2AD3" w:rsidRDefault="00076519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Table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(13):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Assessment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KDIGO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classifications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among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studied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injury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</w:rPr>
        <w:t>(AKI)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(n=200).</w:t>
      </w:r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325"/>
        <w:gridCol w:w="2428"/>
        <w:gridCol w:w="2723"/>
      </w:tblGrid>
      <w:tr w:rsidR="00BA29C4" w:rsidRPr="00DF2AD3" w:rsidTr="00D47065">
        <w:trPr>
          <w:jc w:val="center"/>
        </w:trPr>
        <w:tc>
          <w:tcPr>
            <w:tcW w:w="2282" w:type="pct"/>
            <w:vMerge w:val="restar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Variables</w:t>
            </w:r>
          </w:p>
        </w:tc>
        <w:tc>
          <w:tcPr>
            <w:tcW w:w="2718" w:type="pct"/>
            <w:gridSpan w:val="2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The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studied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patients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admitted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ICUs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with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AKI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(n=200)</w:t>
            </w:r>
          </w:p>
        </w:tc>
      </w:tr>
      <w:tr w:rsidR="00BA29C4" w:rsidRPr="00DF2AD3" w:rsidTr="00D47065">
        <w:trPr>
          <w:jc w:val="center"/>
        </w:trPr>
        <w:tc>
          <w:tcPr>
            <w:tcW w:w="2282" w:type="pct"/>
            <w:vMerge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28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</w:t>
            </w:r>
          </w:p>
        </w:tc>
        <w:tc>
          <w:tcPr>
            <w:tcW w:w="1437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%</w:t>
            </w:r>
          </w:p>
        </w:tc>
      </w:tr>
      <w:tr w:rsidR="00BA29C4" w:rsidRPr="00DF2AD3" w:rsidTr="00D47065">
        <w:trPr>
          <w:jc w:val="center"/>
        </w:trPr>
        <w:tc>
          <w:tcPr>
            <w:tcW w:w="2282" w:type="pct"/>
            <w:vAlign w:val="center"/>
          </w:tcPr>
          <w:p w:rsidR="00BA29C4" w:rsidRPr="00DF2AD3" w:rsidRDefault="008C4258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Assessment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="00BA29C4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of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="00BA29C4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KDIGO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and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AKIN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="00BA29C4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at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="00BA29C4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discharge: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128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437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A29C4" w:rsidRPr="00DF2AD3" w:rsidTr="00D47065">
        <w:trPr>
          <w:jc w:val="center"/>
        </w:trPr>
        <w:tc>
          <w:tcPr>
            <w:tcW w:w="228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Stage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not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improved</w:t>
            </w:r>
          </w:p>
        </w:tc>
        <w:tc>
          <w:tcPr>
            <w:tcW w:w="128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23</w:t>
            </w:r>
          </w:p>
        </w:tc>
        <w:tc>
          <w:tcPr>
            <w:tcW w:w="1437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11.5</w:t>
            </w:r>
          </w:p>
        </w:tc>
      </w:tr>
      <w:tr w:rsidR="00BA29C4" w:rsidRPr="00DF2AD3" w:rsidTr="00D47065">
        <w:trPr>
          <w:jc w:val="center"/>
        </w:trPr>
        <w:tc>
          <w:tcPr>
            <w:tcW w:w="228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Improvement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of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stage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cases:</w:t>
            </w:r>
          </w:p>
        </w:tc>
        <w:tc>
          <w:tcPr>
            <w:tcW w:w="128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1437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BA29C4" w:rsidRPr="00DF2AD3" w:rsidTr="00D47065">
        <w:trPr>
          <w:jc w:val="center"/>
        </w:trPr>
        <w:tc>
          <w:tcPr>
            <w:tcW w:w="228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Stage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to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normal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(1-N)</w:t>
            </w:r>
          </w:p>
        </w:tc>
        <w:tc>
          <w:tcPr>
            <w:tcW w:w="128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19</w:t>
            </w:r>
          </w:p>
        </w:tc>
        <w:tc>
          <w:tcPr>
            <w:tcW w:w="1437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9.5</w:t>
            </w:r>
          </w:p>
        </w:tc>
      </w:tr>
      <w:tr w:rsidR="00BA29C4" w:rsidRPr="00DF2AD3" w:rsidTr="00D47065">
        <w:trPr>
          <w:jc w:val="center"/>
        </w:trPr>
        <w:tc>
          <w:tcPr>
            <w:tcW w:w="228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Improvement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of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stage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cases:</w:t>
            </w:r>
          </w:p>
        </w:tc>
        <w:tc>
          <w:tcPr>
            <w:tcW w:w="128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1437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BA29C4" w:rsidRPr="00DF2AD3" w:rsidTr="00D47065">
        <w:trPr>
          <w:jc w:val="center"/>
        </w:trPr>
        <w:tc>
          <w:tcPr>
            <w:tcW w:w="228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Stage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to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normal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(2-N)</w:t>
            </w:r>
          </w:p>
        </w:tc>
        <w:tc>
          <w:tcPr>
            <w:tcW w:w="128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17</w:t>
            </w:r>
          </w:p>
        </w:tc>
        <w:tc>
          <w:tcPr>
            <w:tcW w:w="1437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8.5</w:t>
            </w:r>
          </w:p>
        </w:tc>
      </w:tr>
      <w:tr w:rsidR="00BA29C4" w:rsidRPr="00DF2AD3" w:rsidTr="00D47065">
        <w:trPr>
          <w:jc w:val="center"/>
        </w:trPr>
        <w:tc>
          <w:tcPr>
            <w:tcW w:w="228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Stage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to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stage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(2-1)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128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</w:t>
            </w:r>
          </w:p>
        </w:tc>
        <w:tc>
          <w:tcPr>
            <w:tcW w:w="1437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5.0</w:t>
            </w:r>
          </w:p>
        </w:tc>
      </w:tr>
      <w:tr w:rsidR="00BA29C4" w:rsidRPr="00DF2AD3" w:rsidTr="00D47065">
        <w:trPr>
          <w:jc w:val="center"/>
        </w:trPr>
        <w:tc>
          <w:tcPr>
            <w:tcW w:w="228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Improvement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of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stage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</w:t>
            </w:r>
            <w:r w:rsidR="00CC2459"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cases:</w:t>
            </w:r>
          </w:p>
        </w:tc>
        <w:tc>
          <w:tcPr>
            <w:tcW w:w="128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1437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BA29C4" w:rsidRPr="00DF2AD3" w:rsidTr="00D47065">
        <w:trPr>
          <w:jc w:val="center"/>
        </w:trPr>
        <w:tc>
          <w:tcPr>
            <w:tcW w:w="228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Stage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to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normal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(3-N)</w:t>
            </w:r>
          </w:p>
        </w:tc>
        <w:tc>
          <w:tcPr>
            <w:tcW w:w="128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</w:t>
            </w:r>
          </w:p>
        </w:tc>
        <w:tc>
          <w:tcPr>
            <w:tcW w:w="1437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2.0</w:t>
            </w:r>
          </w:p>
        </w:tc>
      </w:tr>
      <w:tr w:rsidR="00BA29C4" w:rsidRPr="00DF2AD3" w:rsidTr="00D47065">
        <w:trPr>
          <w:jc w:val="center"/>
        </w:trPr>
        <w:tc>
          <w:tcPr>
            <w:tcW w:w="228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Stage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to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stage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(3-1)</w:t>
            </w:r>
          </w:p>
        </w:tc>
        <w:tc>
          <w:tcPr>
            <w:tcW w:w="128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</w:t>
            </w:r>
          </w:p>
        </w:tc>
        <w:tc>
          <w:tcPr>
            <w:tcW w:w="1437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1.0</w:t>
            </w:r>
          </w:p>
        </w:tc>
      </w:tr>
      <w:tr w:rsidR="00BA29C4" w:rsidRPr="00DF2AD3" w:rsidTr="00D47065">
        <w:trPr>
          <w:jc w:val="center"/>
        </w:trPr>
        <w:tc>
          <w:tcPr>
            <w:tcW w:w="228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Stage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to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stage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</w:t>
            </w:r>
            <w:r w:rsidR="00CC2459"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(3-2)</w:t>
            </w:r>
          </w:p>
        </w:tc>
        <w:tc>
          <w:tcPr>
            <w:tcW w:w="128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19</w:t>
            </w:r>
          </w:p>
        </w:tc>
        <w:tc>
          <w:tcPr>
            <w:tcW w:w="1437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9.5</w:t>
            </w:r>
          </w:p>
        </w:tc>
      </w:tr>
      <w:tr w:rsidR="00BA29C4" w:rsidRPr="00DF2AD3" w:rsidTr="00D47065">
        <w:trPr>
          <w:jc w:val="center"/>
        </w:trPr>
        <w:tc>
          <w:tcPr>
            <w:tcW w:w="2282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Died</w:t>
            </w:r>
          </w:p>
        </w:tc>
        <w:tc>
          <w:tcPr>
            <w:tcW w:w="1281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106</w:t>
            </w:r>
          </w:p>
        </w:tc>
        <w:tc>
          <w:tcPr>
            <w:tcW w:w="1437" w:type="pct"/>
            <w:vAlign w:val="center"/>
          </w:tcPr>
          <w:p w:rsidR="00BA29C4" w:rsidRPr="00DF2AD3" w:rsidRDefault="00BA29C4" w:rsidP="00D47065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DF2AD3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53.0</w:t>
            </w:r>
          </w:p>
        </w:tc>
      </w:tr>
    </w:tbl>
    <w:p w:rsidR="00CC2459" w:rsidRPr="00DF2AD3" w:rsidRDefault="00CC2459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D47065" w:rsidRPr="00DF2AD3" w:rsidRDefault="00D47065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  <w:sectPr w:rsidR="00D47065" w:rsidRPr="00DF2AD3" w:rsidSect="00CC2459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2938A6" w:rsidRPr="00DF2AD3" w:rsidRDefault="00076519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lastRenderedPageBreak/>
        <w:t>4.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797368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Discussion</w:t>
      </w:r>
    </w:p>
    <w:p w:rsidR="002938A6" w:rsidRPr="00DF2AD3" w:rsidRDefault="002938A6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Critical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care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nephrology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emerging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multidisciplinary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science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which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competences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different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specialists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merged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provide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unified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diagnostic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therapeutic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approach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critically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ill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6D12FD" w:rsidRPr="00DF2AD3">
        <w:rPr>
          <w:rFonts w:ascii="Times New Roman" w:hAnsi="Times New Roman" w:cs="Times New Roman"/>
          <w:sz w:val="20"/>
          <w:szCs w:val="20"/>
          <w:highlight w:val="yellow"/>
          <w:vertAlign w:val="superscript"/>
          <w:lang w:bidi="ar-EG"/>
        </w:rPr>
        <w:t>(1</w:t>
      </w:r>
      <w:r w:rsidR="009F0D3D" w:rsidRPr="00DF2AD3">
        <w:rPr>
          <w:rFonts w:ascii="Times New Roman" w:hAnsi="Times New Roman" w:cs="Times New Roman"/>
          <w:sz w:val="20"/>
          <w:szCs w:val="20"/>
          <w:highlight w:val="yellow"/>
          <w:vertAlign w:val="superscript"/>
          <w:lang w:bidi="ar-EG"/>
        </w:rPr>
        <w:t>4</w:t>
      </w:r>
      <w:r w:rsidRPr="00DF2AD3">
        <w:rPr>
          <w:rFonts w:ascii="Times New Roman" w:hAnsi="Times New Roman" w:cs="Times New Roman"/>
          <w:sz w:val="20"/>
          <w:szCs w:val="20"/>
          <w:highlight w:val="yellow"/>
          <w:vertAlign w:val="superscript"/>
          <w:lang w:bidi="ar-EG"/>
        </w:rPr>
        <w:t>)</w:t>
      </w:r>
      <w:r w:rsidRPr="00DF2AD3">
        <w:rPr>
          <w:rFonts w:ascii="Times New Roman" w:hAnsi="Times New Roman" w:cs="Times New Roman"/>
          <w:sz w:val="20"/>
          <w:szCs w:val="20"/>
          <w:highlight w:val="yellow"/>
          <w:lang w:bidi="ar-EG"/>
        </w:rPr>
        <w:t>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injury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(AKI)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estimated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occur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about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20–200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per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mill</w:t>
      </w:r>
      <w:r w:rsidR="004C578F" w:rsidRPr="00DF2AD3">
        <w:rPr>
          <w:rFonts w:ascii="Times New Roman" w:hAnsi="Times New Roman" w:cs="Times New Roman"/>
          <w:sz w:val="20"/>
          <w:szCs w:val="20"/>
          <w:lang w:bidi="ar-EG"/>
        </w:rPr>
        <w:t>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4C578F" w:rsidRPr="00DF2AD3">
        <w:rPr>
          <w:rFonts w:ascii="Times New Roman" w:hAnsi="Times New Roman" w:cs="Times New Roman"/>
          <w:sz w:val="20"/>
          <w:szCs w:val="20"/>
          <w:lang w:bidi="ar-EG"/>
        </w:rPr>
        <w:t>population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4C578F"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7–18%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hospital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6D12FD" w:rsidRPr="00DF2AD3">
        <w:rPr>
          <w:rFonts w:ascii="Times New Roman" w:hAnsi="Times New Roman" w:cs="Times New Roman"/>
          <w:sz w:val="20"/>
          <w:szCs w:val="20"/>
          <w:highlight w:val="yellow"/>
          <w:vertAlign w:val="superscript"/>
          <w:lang w:bidi="ar-EG"/>
        </w:rPr>
        <w:t>(1</w:t>
      </w:r>
      <w:r w:rsidR="009F0D3D" w:rsidRPr="00DF2AD3">
        <w:rPr>
          <w:rFonts w:ascii="Times New Roman" w:hAnsi="Times New Roman" w:cs="Times New Roman"/>
          <w:sz w:val="20"/>
          <w:szCs w:val="20"/>
          <w:highlight w:val="yellow"/>
          <w:vertAlign w:val="superscript"/>
          <w:lang w:bidi="ar-EG"/>
        </w:rPr>
        <w:t>5</w:t>
      </w:r>
      <w:r w:rsidRPr="00DF2AD3">
        <w:rPr>
          <w:rFonts w:ascii="Times New Roman" w:hAnsi="Times New Roman" w:cs="Times New Roman"/>
          <w:sz w:val="20"/>
          <w:szCs w:val="20"/>
          <w:highlight w:val="yellow"/>
          <w:vertAlign w:val="superscript"/>
          <w:lang w:bidi="ar-EG"/>
        </w:rPr>
        <w:t>)</w:t>
      </w:r>
      <w:r w:rsidRPr="00DF2AD3">
        <w:rPr>
          <w:rFonts w:ascii="Times New Roman" w:hAnsi="Times New Roman" w:cs="Times New Roman"/>
          <w:sz w:val="20"/>
          <w:szCs w:val="20"/>
          <w:highlight w:val="yellow"/>
          <w:lang w:bidi="ar-EG"/>
        </w:rPr>
        <w:t>.</w:t>
      </w:r>
    </w:p>
    <w:p w:rsidR="002938A6" w:rsidRPr="00DF2AD3" w:rsidRDefault="002938A6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associated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increase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hospitalization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costs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increase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length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hospital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stay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compared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without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also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increased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requiring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dialysis.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associated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higher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hospitalization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costs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than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myocardial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infarction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gastrointestinal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bleeding,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costs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were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comparable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those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stroke,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pancreatitis,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pneumoni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a </w:t>
      </w:r>
      <w:r w:rsidR="00CC2459" w:rsidRPr="00DF2AD3">
        <w:rPr>
          <w:rFonts w:ascii="Times New Roman" w:hAnsi="Times New Roman" w:cs="Times New Roman"/>
          <w:sz w:val="20"/>
          <w:szCs w:val="20"/>
          <w:highlight w:val="yellow"/>
          <w:vertAlign w:val="superscript"/>
          <w:lang w:bidi="ar-EG"/>
        </w:rPr>
        <w:t>(</w:t>
      </w:r>
      <w:r w:rsidR="006D12FD" w:rsidRPr="00DF2AD3">
        <w:rPr>
          <w:rFonts w:ascii="Times New Roman" w:hAnsi="Times New Roman" w:cs="Times New Roman"/>
          <w:sz w:val="20"/>
          <w:szCs w:val="20"/>
          <w:highlight w:val="yellow"/>
          <w:vertAlign w:val="superscript"/>
          <w:lang w:bidi="ar-EG"/>
        </w:rPr>
        <w:t>1</w:t>
      </w:r>
      <w:r w:rsidR="009F0D3D" w:rsidRPr="00DF2AD3">
        <w:rPr>
          <w:rFonts w:ascii="Times New Roman" w:hAnsi="Times New Roman" w:cs="Times New Roman"/>
          <w:sz w:val="20"/>
          <w:szCs w:val="20"/>
          <w:highlight w:val="yellow"/>
          <w:vertAlign w:val="superscript"/>
          <w:lang w:bidi="ar-EG"/>
        </w:rPr>
        <w:t>6</w:t>
      </w:r>
      <w:r w:rsidRPr="00DF2AD3">
        <w:rPr>
          <w:rFonts w:ascii="Times New Roman" w:hAnsi="Times New Roman" w:cs="Times New Roman"/>
          <w:sz w:val="20"/>
          <w:szCs w:val="20"/>
          <w:highlight w:val="yellow"/>
          <w:vertAlign w:val="superscript"/>
          <w:lang w:bidi="ar-EG"/>
        </w:rPr>
        <w:t>)</w:t>
      </w:r>
      <w:r w:rsidRPr="00DF2AD3">
        <w:rPr>
          <w:rFonts w:ascii="Times New Roman" w:hAnsi="Times New Roman" w:cs="Times New Roman"/>
          <w:sz w:val="20"/>
          <w:szCs w:val="20"/>
          <w:highlight w:val="yellow"/>
          <w:lang w:bidi="ar-EG"/>
        </w:rPr>
        <w:t>.</w:t>
      </w:r>
    </w:p>
    <w:p w:rsidR="002938A6" w:rsidRPr="00DF2AD3" w:rsidRDefault="00792657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eastAsia="Times New Roman" w:hAnsi="Times New Roman" w:cs="Times New Roman"/>
          <w:sz w:val="20"/>
          <w:szCs w:val="20"/>
        </w:rPr>
        <w:t>This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study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aims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to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screen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critically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ill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admitted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to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El-Sahel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Teaching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Hospital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cardiac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medical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ICUs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acute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kidney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injury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based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on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RIFLE,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KDIGO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AKIN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criteria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>total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>273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lastRenderedPageBreak/>
        <w:t>patients,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>regarding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>risk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>factors,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>mortality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>length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>hospital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>stay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>(LOS)</w:t>
      </w:r>
      <w:r w:rsidRPr="00DF2AD3">
        <w:rPr>
          <w:rFonts w:ascii="Times New Roman" w:hAnsi="Times New Roman" w:cs="Times New Roman"/>
          <w:sz w:val="20"/>
          <w:szCs w:val="20"/>
        </w:rPr>
        <w:t>,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thus,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may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have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benefit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better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identification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modifiable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risk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factors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prevent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development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renal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failure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critically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ill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patients.</w:t>
      </w:r>
    </w:p>
    <w:p w:rsidR="002938A6" w:rsidRPr="00DF2AD3" w:rsidRDefault="002938A6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>our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>study,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</w:t>
      </w:r>
      <w:r w:rsidR="00792657"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>273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</w:t>
      </w:r>
      <w:r w:rsidR="00792657"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>were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>admitted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El-Sahel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Teaching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Hospital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cardiac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medical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sz w:val="20"/>
          <w:szCs w:val="20"/>
        </w:rPr>
        <w:t>ICUs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</w:t>
      </w:r>
      <w:r w:rsidR="00792657" w:rsidRPr="00DF2AD3">
        <w:rPr>
          <w:rFonts w:ascii="Times New Roman" w:hAnsi="Times New Roman" w:cs="Times New Roman"/>
          <w:sz w:val="20"/>
          <w:szCs w:val="20"/>
          <w:lang w:bidi="ar-EG"/>
        </w:rPr>
        <w:t>rom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92657" w:rsidRPr="00DF2AD3">
        <w:rPr>
          <w:rFonts w:ascii="Times New Roman" w:hAnsi="Times New Roman" w:cs="Times New Roman"/>
          <w:sz w:val="20"/>
          <w:szCs w:val="20"/>
          <w:lang w:bidi="ar-EG"/>
        </w:rPr>
        <w:t>May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92657" w:rsidRPr="00DF2AD3">
        <w:rPr>
          <w:rFonts w:ascii="Times New Roman" w:hAnsi="Times New Roman" w:cs="Times New Roman"/>
          <w:sz w:val="20"/>
          <w:szCs w:val="20"/>
          <w:lang w:bidi="ar-EG"/>
        </w:rPr>
        <w:t>2017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92657"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92657" w:rsidRPr="00DF2AD3">
        <w:rPr>
          <w:rFonts w:ascii="Times New Roman" w:hAnsi="Times New Roman" w:cs="Times New Roman"/>
          <w:sz w:val="20"/>
          <w:szCs w:val="20"/>
          <w:lang w:bidi="ar-EG"/>
        </w:rPr>
        <w:t>May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92657" w:rsidRPr="00DF2AD3">
        <w:rPr>
          <w:rFonts w:ascii="Times New Roman" w:hAnsi="Times New Roman" w:cs="Times New Roman"/>
          <w:sz w:val="20"/>
          <w:szCs w:val="20"/>
          <w:lang w:bidi="ar-EG"/>
        </w:rPr>
        <w:t>2018,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92657" w:rsidRPr="00DF2AD3">
        <w:rPr>
          <w:rFonts w:ascii="Times New Roman" w:hAnsi="Times New Roman" w:cs="Times New Roman"/>
          <w:sz w:val="20"/>
          <w:szCs w:val="20"/>
          <w:lang w:bidi="ar-EG"/>
        </w:rPr>
        <w:t>200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92657" w:rsidRPr="00DF2AD3">
        <w:rPr>
          <w:rFonts w:ascii="Times New Roman" w:hAnsi="Times New Roman" w:cs="Times New Roman"/>
          <w:sz w:val="20"/>
          <w:szCs w:val="20"/>
          <w:lang w:bidi="ar-EG"/>
        </w:rPr>
        <w:t>(73.26%)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92657"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develo</w:t>
      </w:r>
      <w:r w:rsidR="00663C90" w:rsidRPr="00DF2AD3">
        <w:rPr>
          <w:rFonts w:ascii="Times New Roman" w:hAnsi="Times New Roman" w:cs="Times New Roman"/>
          <w:sz w:val="20"/>
          <w:szCs w:val="20"/>
          <w:lang w:bidi="ar-EG"/>
        </w:rPr>
        <w:t>ped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663C90"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663C90" w:rsidRPr="00DF2AD3">
        <w:rPr>
          <w:rFonts w:ascii="Times New Roman" w:hAnsi="Times New Roman" w:cs="Times New Roman"/>
          <w:sz w:val="20"/>
          <w:szCs w:val="20"/>
          <w:lang w:bidi="ar-EG"/>
        </w:rPr>
        <w:t>during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663C90" w:rsidRPr="00DF2AD3">
        <w:rPr>
          <w:rFonts w:ascii="Times New Roman" w:hAnsi="Times New Roman" w:cs="Times New Roman"/>
          <w:sz w:val="20"/>
          <w:szCs w:val="20"/>
          <w:lang w:bidi="ar-EG"/>
        </w:rPr>
        <w:t>hospitalization.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These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results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consistent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those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Kellum</w:t>
      </w:r>
      <w:proofErr w:type="spellEnd"/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et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al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6D12FD" w:rsidRPr="00DF2AD3">
        <w:rPr>
          <w:rFonts w:ascii="Times New Roman" w:hAnsi="Times New Roman" w:cs="Times New Roman"/>
          <w:b/>
          <w:bCs/>
          <w:sz w:val="20"/>
          <w:szCs w:val="20"/>
          <w:highlight w:val="yellow"/>
          <w:vertAlign w:val="superscript"/>
          <w:lang w:bidi="ar-EG"/>
        </w:rPr>
        <w:t>(1</w:t>
      </w:r>
      <w:r w:rsidR="001E22B4" w:rsidRPr="00DF2AD3">
        <w:rPr>
          <w:rFonts w:ascii="Times New Roman" w:hAnsi="Times New Roman" w:cs="Times New Roman"/>
          <w:b/>
          <w:bCs/>
          <w:sz w:val="20"/>
          <w:szCs w:val="20"/>
          <w:highlight w:val="yellow"/>
          <w:vertAlign w:val="superscript"/>
          <w:lang w:bidi="ar-EG"/>
        </w:rPr>
        <w:t>7</w:t>
      </w:r>
      <w:r w:rsidRPr="00DF2AD3">
        <w:rPr>
          <w:rFonts w:ascii="Times New Roman" w:hAnsi="Times New Roman" w:cs="Times New Roman"/>
          <w:b/>
          <w:bCs/>
          <w:sz w:val="20"/>
          <w:szCs w:val="20"/>
          <w:highlight w:val="yellow"/>
          <w:vertAlign w:val="superscript"/>
          <w:lang w:bidi="ar-EG"/>
        </w:rPr>
        <w:t>)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vertAlign w:val="superscript"/>
          <w:lang w:bidi="ar-EG"/>
        </w:rPr>
        <w:t xml:space="preserve"> </w:t>
      </w:r>
      <w:r w:rsidR="00663C90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663C90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2014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95367" w:rsidRPr="00DF2AD3">
        <w:rPr>
          <w:rFonts w:ascii="Times New Roman" w:hAnsi="Times New Roman" w:cs="Times New Roman"/>
          <w:sz w:val="20"/>
          <w:szCs w:val="20"/>
          <w:lang w:bidi="ar-EG"/>
        </w:rPr>
        <w:t>they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performed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retrospective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study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made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during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8-year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period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attending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eight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ICUs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University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Pittsburgh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Medical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Center,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Pennsylvania,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United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States.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defined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levels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serum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DF2AD3">
        <w:rPr>
          <w:rFonts w:ascii="Times New Roman" w:hAnsi="Times New Roman" w:cs="Times New Roman"/>
          <w:sz w:val="20"/>
          <w:szCs w:val="20"/>
          <w:lang w:bidi="ar-EG"/>
        </w:rPr>
        <w:t>creatinine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and/or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urine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output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according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maximum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KDIGO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criteria.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were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23,866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(74.5%)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developed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this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study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from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total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admissions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hospital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32,045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patients.</w:t>
      </w:r>
    </w:p>
    <w:p w:rsidR="002938A6" w:rsidRPr="00DF2AD3" w:rsidRDefault="002938A6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Meanwhile,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proofErr w:type="spellStart"/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Luo</w:t>
      </w:r>
      <w:proofErr w:type="spellEnd"/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et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al,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Levi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et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al,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Reddy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et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al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proofErr w:type="spellStart"/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Wlodzimirow</w:t>
      </w:r>
      <w:proofErr w:type="spellEnd"/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et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al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FD07B9" w:rsidRPr="00DF2AD3">
        <w:rPr>
          <w:rFonts w:ascii="Times New Roman" w:hAnsi="Times New Roman" w:cs="Times New Roman"/>
          <w:b/>
          <w:bCs/>
          <w:sz w:val="20"/>
          <w:szCs w:val="20"/>
          <w:highlight w:val="yellow"/>
          <w:vertAlign w:val="superscript"/>
          <w:lang w:bidi="ar-EG"/>
        </w:rPr>
        <w:t>(1</w:t>
      </w:r>
      <w:r w:rsidR="001E22B4" w:rsidRPr="00DF2AD3">
        <w:rPr>
          <w:rFonts w:ascii="Times New Roman" w:hAnsi="Times New Roman" w:cs="Times New Roman"/>
          <w:b/>
          <w:bCs/>
          <w:sz w:val="20"/>
          <w:szCs w:val="20"/>
          <w:highlight w:val="yellow"/>
          <w:vertAlign w:val="superscript"/>
          <w:lang w:bidi="ar-EG"/>
        </w:rPr>
        <w:t>8</w:t>
      </w:r>
      <w:r w:rsidR="00FD07B9" w:rsidRPr="00DF2AD3">
        <w:rPr>
          <w:rFonts w:ascii="Times New Roman" w:hAnsi="Times New Roman" w:cs="Times New Roman"/>
          <w:b/>
          <w:bCs/>
          <w:sz w:val="20"/>
          <w:szCs w:val="20"/>
          <w:highlight w:val="yellow"/>
          <w:vertAlign w:val="superscript"/>
          <w:lang w:bidi="ar-EG"/>
        </w:rPr>
        <w:t>-</w:t>
      </w:r>
      <w:r w:rsidR="001E22B4" w:rsidRPr="00DF2AD3">
        <w:rPr>
          <w:rFonts w:ascii="Times New Roman" w:hAnsi="Times New Roman" w:cs="Times New Roman"/>
          <w:b/>
          <w:bCs/>
          <w:sz w:val="20"/>
          <w:szCs w:val="20"/>
          <w:highlight w:val="yellow"/>
          <w:vertAlign w:val="superscript"/>
          <w:lang w:bidi="ar-EG"/>
        </w:rPr>
        <w:t>21</w:t>
      </w:r>
      <w:r w:rsidRPr="00DF2AD3">
        <w:rPr>
          <w:rFonts w:ascii="Times New Roman" w:hAnsi="Times New Roman" w:cs="Times New Roman"/>
          <w:b/>
          <w:bCs/>
          <w:sz w:val="20"/>
          <w:szCs w:val="20"/>
          <w:highlight w:val="yellow"/>
          <w:vertAlign w:val="superscript"/>
          <w:lang w:bidi="ar-EG"/>
        </w:rPr>
        <w:t>)</w:t>
      </w:r>
      <w:r w:rsidR="00CC2459" w:rsidRPr="00DF2AD3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 xml:space="preserve"> </w:t>
      </w:r>
      <w:r w:rsidR="00663C90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663C90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2014,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663C90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2013,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663C90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2014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663C90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lastRenderedPageBreak/>
        <w:t>and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663C90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2012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663C90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respectively,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reported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incidence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ICUs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51%,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63%,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46%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81%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respectively,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which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show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wide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variability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from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our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study.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Incidence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ICUs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may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influenced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several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factors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including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population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demographics,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population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served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hospital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numerous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definitions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663C90" w:rsidRPr="00DF2AD3">
        <w:rPr>
          <w:rFonts w:ascii="Times New Roman" w:hAnsi="Times New Roman" w:cs="Times New Roman"/>
          <w:sz w:val="20"/>
          <w:szCs w:val="20"/>
          <w:lang w:bidi="ar-EG"/>
        </w:rPr>
        <w:t>according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663C90"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663C90" w:rsidRPr="00DF2AD3">
        <w:rPr>
          <w:rFonts w:ascii="Times New Roman" w:hAnsi="Times New Roman" w:cs="Times New Roman"/>
          <w:sz w:val="20"/>
          <w:szCs w:val="20"/>
          <w:lang w:bidi="ar-EG"/>
        </w:rPr>
        <w:t>RIFLE,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663C90" w:rsidRPr="00DF2AD3">
        <w:rPr>
          <w:rFonts w:ascii="Times New Roman" w:hAnsi="Times New Roman" w:cs="Times New Roman"/>
          <w:sz w:val="20"/>
          <w:szCs w:val="20"/>
          <w:lang w:bidi="ar-EG"/>
        </w:rPr>
        <w:t>AKIN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663C90"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663C90" w:rsidRPr="00DF2AD3">
        <w:rPr>
          <w:rFonts w:ascii="Times New Roman" w:hAnsi="Times New Roman" w:cs="Times New Roman"/>
          <w:sz w:val="20"/>
          <w:szCs w:val="20"/>
          <w:lang w:bidi="ar-EG"/>
        </w:rPr>
        <w:t>KDIGO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663C90" w:rsidRPr="00DF2AD3">
        <w:rPr>
          <w:rFonts w:ascii="Times New Roman" w:hAnsi="Times New Roman" w:cs="Times New Roman"/>
          <w:sz w:val="20"/>
          <w:szCs w:val="20"/>
          <w:lang w:bidi="ar-EG"/>
        </w:rPr>
        <w:t>criteria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D07B9" w:rsidRPr="00DF2AD3">
        <w:rPr>
          <w:rFonts w:ascii="Times New Roman" w:hAnsi="Times New Roman" w:cs="Times New Roman"/>
          <w:sz w:val="20"/>
          <w:szCs w:val="20"/>
          <w:highlight w:val="yellow"/>
          <w:vertAlign w:val="superscript"/>
          <w:lang w:bidi="ar-EG"/>
        </w:rPr>
        <w:t>(</w:t>
      </w:r>
      <w:r w:rsidR="001E22B4" w:rsidRPr="00DF2AD3">
        <w:rPr>
          <w:rFonts w:ascii="Times New Roman" w:hAnsi="Times New Roman" w:cs="Times New Roman"/>
          <w:sz w:val="20"/>
          <w:szCs w:val="20"/>
          <w:highlight w:val="yellow"/>
          <w:vertAlign w:val="superscript"/>
          <w:lang w:bidi="ar-EG"/>
        </w:rPr>
        <w:t>22</w:t>
      </w:r>
      <w:r w:rsidRPr="00DF2AD3">
        <w:rPr>
          <w:rFonts w:ascii="Times New Roman" w:hAnsi="Times New Roman" w:cs="Times New Roman"/>
          <w:sz w:val="20"/>
          <w:szCs w:val="20"/>
          <w:highlight w:val="yellow"/>
          <w:vertAlign w:val="superscript"/>
          <w:lang w:bidi="ar-EG"/>
        </w:rPr>
        <w:t>)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2938A6" w:rsidRPr="00DF2AD3" w:rsidRDefault="002938A6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our</w:t>
      </w:r>
      <w:r w:rsidR="00CC2459" w:rsidRPr="00DF2AD3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study,</w:t>
      </w:r>
      <w:r w:rsidR="00CC2459" w:rsidRPr="00DF2AD3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risk</w:t>
      </w:r>
      <w:r w:rsidR="00CC2459" w:rsidRPr="00DF2AD3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factors</w:t>
      </w:r>
      <w:r w:rsidR="00CC2459" w:rsidRPr="00DF2AD3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for</w:t>
      </w:r>
      <w:r w:rsidR="00CC2459" w:rsidRPr="00DF2AD3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developing</w:t>
      </w:r>
      <w:r w:rsidR="00CC2459" w:rsidRPr="00DF2AD3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ICUs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during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hospitalization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were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hypertension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(74.5%),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diabetes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mellitus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(44.5%),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cardiac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diseases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(39%),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dehydration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(32.5%),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sepsis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(24.5%),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DF2AD3">
        <w:rPr>
          <w:rFonts w:ascii="Times New Roman" w:hAnsi="Times New Roman" w:cs="Times New Roman"/>
          <w:sz w:val="20"/>
          <w:szCs w:val="20"/>
          <w:lang w:bidi="ar-EG"/>
        </w:rPr>
        <w:t>nephrotoxic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drugs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(17.5%),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chest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diseases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(15%),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anemia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(13%),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urinary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diseases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(10.5%),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liver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diseases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(10%),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major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surgery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(4.5%),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renal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diseases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(4%),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contrast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(3%)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DF2AD3">
        <w:rPr>
          <w:rFonts w:ascii="Times New Roman" w:hAnsi="Times New Roman" w:cs="Times New Roman"/>
          <w:sz w:val="20"/>
          <w:szCs w:val="20"/>
          <w:lang w:bidi="ar-EG"/>
        </w:rPr>
        <w:t>rhabdomyolysis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(2%).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300B3" w:rsidRPr="00DF2AD3">
        <w:rPr>
          <w:rFonts w:ascii="Times New Roman" w:hAnsi="Times New Roman" w:cs="Times New Roman"/>
          <w:sz w:val="20"/>
          <w:szCs w:val="20"/>
          <w:lang w:bidi="ar-EG"/>
        </w:rPr>
        <w:t>Overlap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300B3" w:rsidRPr="00DF2AD3">
        <w:rPr>
          <w:rFonts w:ascii="Times New Roman" w:hAnsi="Times New Roman" w:cs="Times New Roman"/>
          <w:sz w:val="20"/>
          <w:szCs w:val="20"/>
          <w:lang w:bidi="ar-EG"/>
        </w:rPr>
        <w:t>risk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300B3" w:rsidRPr="00DF2AD3">
        <w:rPr>
          <w:rFonts w:ascii="Times New Roman" w:hAnsi="Times New Roman" w:cs="Times New Roman"/>
          <w:sz w:val="20"/>
          <w:szCs w:val="20"/>
          <w:lang w:bidi="ar-EG"/>
        </w:rPr>
        <w:t>factors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300B3" w:rsidRPr="00DF2AD3">
        <w:rPr>
          <w:rFonts w:ascii="Times New Roman" w:hAnsi="Times New Roman" w:cs="Times New Roman"/>
          <w:sz w:val="20"/>
          <w:szCs w:val="20"/>
          <w:lang w:bidi="ar-EG"/>
        </w:rPr>
        <w:t>were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(95%)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patients.</w:t>
      </w:r>
    </w:p>
    <w:p w:rsidR="00C300B3" w:rsidRPr="00DF2AD3" w:rsidRDefault="00C300B3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These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results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were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comparable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those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938A6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Levi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2938A6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et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2938A6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al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FD07B9" w:rsidRPr="00DF2AD3">
        <w:rPr>
          <w:rFonts w:ascii="Times New Roman" w:hAnsi="Times New Roman" w:cs="Times New Roman"/>
          <w:b/>
          <w:bCs/>
          <w:sz w:val="20"/>
          <w:szCs w:val="20"/>
          <w:highlight w:val="yellow"/>
          <w:vertAlign w:val="superscript"/>
          <w:lang w:bidi="ar-EG"/>
        </w:rPr>
        <w:t>(19</w:t>
      </w:r>
      <w:r w:rsidR="002938A6" w:rsidRPr="00DF2AD3">
        <w:rPr>
          <w:rFonts w:ascii="Times New Roman" w:hAnsi="Times New Roman" w:cs="Times New Roman"/>
          <w:b/>
          <w:bCs/>
          <w:sz w:val="20"/>
          <w:szCs w:val="20"/>
          <w:highlight w:val="yellow"/>
          <w:vertAlign w:val="superscript"/>
          <w:lang w:bidi="ar-EG"/>
        </w:rPr>
        <w:t>)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2013</w:t>
      </w:r>
      <w:r w:rsidR="002938A6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who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conducted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prospective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cohort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study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determine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incidence,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etiology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outcome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Hospital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Santo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DF2AD3">
        <w:rPr>
          <w:rFonts w:ascii="Times New Roman" w:hAnsi="Times New Roman" w:cs="Times New Roman"/>
          <w:sz w:val="20"/>
          <w:szCs w:val="20"/>
          <w:lang w:bidi="ar-EG"/>
        </w:rPr>
        <w:t>Antônio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ICUs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northeastern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Brazil,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January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1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December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31,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2011.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defined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according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RIFLE,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KDIGO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definitions.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reported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risk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factors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were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hypertension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(65.8%),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cardiac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diseases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(46.8%),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sepsis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(42%),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diabetes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mellitus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(33%).</w:t>
      </w:r>
    </w:p>
    <w:p w:rsidR="00056BBD" w:rsidRPr="00DF2AD3" w:rsidRDefault="002938A6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Also,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our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results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were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comparable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those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Eswarappa</w:t>
      </w:r>
      <w:proofErr w:type="spellEnd"/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et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al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FD07B9" w:rsidRPr="00DF2AD3">
        <w:rPr>
          <w:rFonts w:ascii="Times New Roman" w:hAnsi="Times New Roman" w:cs="Times New Roman"/>
          <w:b/>
          <w:bCs/>
          <w:sz w:val="20"/>
          <w:szCs w:val="20"/>
          <w:highlight w:val="yellow"/>
          <w:vertAlign w:val="superscript"/>
          <w:lang w:bidi="ar-EG"/>
        </w:rPr>
        <w:t>(</w:t>
      </w:r>
      <w:r w:rsidR="001E22B4" w:rsidRPr="00DF2AD3">
        <w:rPr>
          <w:rFonts w:ascii="Times New Roman" w:hAnsi="Times New Roman" w:cs="Times New Roman"/>
          <w:b/>
          <w:bCs/>
          <w:sz w:val="20"/>
          <w:szCs w:val="20"/>
          <w:highlight w:val="yellow"/>
          <w:vertAlign w:val="superscript"/>
          <w:lang w:bidi="ar-EG"/>
        </w:rPr>
        <w:t>23</w:t>
      </w:r>
      <w:r w:rsidRPr="00DF2AD3">
        <w:rPr>
          <w:rFonts w:ascii="Times New Roman" w:hAnsi="Times New Roman" w:cs="Times New Roman"/>
          <w:b/>
          <w:bCs/>
          <w:sz w:val="20"/>
          <w:szCs w:val="20"/>
          <w:highlight w:val="yellow"/>
          <w:vertAlign w:val="superscript"/>
          <w:lang w:bidi="ar-EG"/>
        </w:rPr>
        <w:t>)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2014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who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conducted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retrospective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study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determine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incidence,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etiology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outcome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teaching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hospital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is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South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India,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from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May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2011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October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2012.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defined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whose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serum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creatinine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and/or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urine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output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fulfilled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RIFLE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criteria.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They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reported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risk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factor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were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sepsis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(38.6%),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diabetes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mellitus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(30.6%),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hypertension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(29.2%)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cardiac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diseases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6BBD" w:rsidRPr="00DF2AD3">
        <w:rPr>
          <w:rFonts w:ascii="Times New Roman" w:hAnsi="Times New Roman" w:cs="Times New Roman"/>
          <w:sz w:val="20"/>
          <w:szCs w:val="20"/>
          <w:lang w:bidi="ar-EG"/>
        </w:rPr>
        <w:t>(11.4%)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056BBD" w:rsidRPr="00DF2AD3" w:rsidRDefault="00056BBD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Also,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our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results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were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agreement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with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that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Abd</w:t>
      </w:r>
      <w:proofErr w:type="spellEnd"/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proofErr w:type="spellStart"/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ElHafeez</w:t>
      </w:r>
      <w:proofErr w:type="spellEnd"/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et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al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FD07B9" w:rsidRPr="00DF2AD3">
        <w:rPr>
          <w:rFonts w:ascii="Times New Roman" w:hAnsi="Times New Roman" w:cs="Times New Roman"/>
          <w:b/>
          <w:bCs/>
          <w:sz w:val="20"/>
          <w:szCs w:val="20"/>
          <w:highlight w:val="yellow"/>
          <w:vertAlign w:val="superscript"/>
          <w:lang w:bidi="ar-EG"/>
        </w:rPr>
        <w:t>(</w:t>
      </w:r>
      <w:r w:rsidR="001E22B4" w:rsidRPr="00DF2AD3">
        <w:rPr>
          <w:rFonts w:ascii="Times New Roman" w:hAnsi="Times New Roman" w:cs="Times New Roman"/>
          <w:b/>
          <w:bCs/>
          <w:sz w:val="20"/>
          <w:szCs w:val="20"/>
          <w:highlight w:val="yellow"/>
          <w:vertAlign w:val="superscript"/>
          <w:lang w:bidi="ar-EG"/>
        </w:rPr>
        <w:t>24</w:t>
      </w:r>
      <w:r w:rsidRPr="00DF2AD3">
        <w:rPr>
          <w:rFonts w:ascii="Times New Roman" w:hAnsi="Times New Roman" w:cs="Times New Roman"/>
          <w:b/>
          <w:bCs/>
          <w:sz w:val="20"/>
          <w:szCs w:val="20"/>
          <w:highlight w:val="yellow"/>
          <w:vertAlign w:val="superscript"/>
          <w:lang w:bidi="ar-EG"/>
        </w:rPr>
        <w:t>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2017,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who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conducted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multicenter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prospective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cohort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study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determine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incidence,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etiology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outcome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four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Alexandria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Teaching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Hospitals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ICUs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between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February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1st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August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1st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2016.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defined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according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KDIGO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definition,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using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serum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DF2AD3">
        <w:rPr>
          <w:rFonts w:ascii="Times New Roman" w:hAnsi="Times New Roman" w:cs="Times New Roman"/>
          <w:sz w:val="20"/>
          <w:szCs w:val="20"/>
          <w:lang w:bidi="ar-EG"/>
        </w:rPr>
        <w:t>creatinine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measurements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urine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output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criteria.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had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declared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Sepsis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(36%)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dehydration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(22%)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were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most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frequent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reported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etiologies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ICU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admission.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CB5E03" w:rsidRPr="00DF2AD3" w:rsidRDefault="002938A6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Another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report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found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study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Wijewickrama</w:t>
      </w:r>
      <w:proofErr w:type="spellEnd"/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et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al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FD07B9" w:rsidRPr="00DF2AD3">
        <w:rPr>
          <w:rFonts w:ascii="Times New Roman" w:hAnsi="Times New Roman" w:cs="Times New Roman"/>
          <w:b/>
          <w:bCs/>
          <w:sz w:val="20"/>
          <w:szCs w:val="20"/>
          <w:highlight w:val="yellow"/>
          <w:vertAlign w:val="superscript"/>
          <w:lang w:bidi="ar-EG"/>
        </w:rPr>
        <w:t>(</w:t>
      </w:r>
      <w:r w:rsidR="001E22B4" w:rsidRPr="00DF2AD3">
        <w:rPr>
          <w:rFonts w:ascii="Times New Roman" w:hAnsi="Times New Roman" w:cs="Times New Roman"/>
          <w:b/>
          <w:bCs/>
          <w:sz w:val="20"/>
          <w:szCs w:val="20"/>
          <w:highlight w:val="yellow"/>
          <w:vertAlign w:val="superscript"/>
          <w:lang w:bidi="ar-EG"/>
        </w:rPr>
        <w:t>25</w:t>
      </w:r>
      <w:r w:rsidRPr="00DF2AD3">
        <w:rPr>
          <w:rFonts w:ascii="Times New Roman" w:hAnsi="Times New Roman" w:cs="Times New Roman"/>
          <w:b/>
          <w:bCs/>
          <w:sz w:val="20"/>
          <w:szCs w:val="20"/>
          <w:highlight w:val="yellow"/>
          <w:vertAlign w:val="superscript"/>
          <w:lang w:bidi="ar-EG"/>
        </w:rPr>
        <w:t>)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2014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who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tested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incidence,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risk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factors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outcomes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among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admitted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medical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ICU,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National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Hospital,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Colombo,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Sri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Lanka.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Diagnosis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based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AKIN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criteria.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They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prospectively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studied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108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admitted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ICU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over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period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6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months.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They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reported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significant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risk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factors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lastRenderedPageBreak/>
        <w:t>are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diabetes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mellitus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(70.4%),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hypertension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(64.7%),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cardiac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diseases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(64.7%)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sepsis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B5E03" w:rsidRPr="00DF2AD3">
        <w:rPr>
          <w:rFonts w:ascii="Times New Roman" w:hAnsi="Times New Roman" w:cs="Times New Roman"/>
          <w:sz w:val="20"/>
          <w:szCs w:val="20"/>
          <w:lang w:bidi="ar-EG"/>
        </w:rPr>
        <w:t>(45.4%).</w:t>
      </w:r>
    </w:p>
    <w:p w:rsidR="00B07D8C" w:rsidRPr="00DF2AD3" w:rsidRDefault="002938A6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Our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results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were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not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comparable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those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Brito</w:t>
      </w:r>
      <w:proofErr w:type="spellEnd"/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et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al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FD07B9" w:rsidRPr="00DF2AD3">
        <w:rPr>
          <w:rFonts w:ascii="Times New Roman" w:hAnsi="Times New Roman" w:cs="Times New Roman"/>
          <w:b/>
          <w:bCs/>
          <w:sz w:val="20"/>
          <w:szCs w:val="20"/>
          <w:highlight w:val="yellow"/>
          <w:vertAlign w:val="superscript"/>
          <w:lang w:bidi="ar-EG"/>
        </w:rPr>
        <w:t>(</w:t>
      </w:r>
      <w:r w:rsidR="001E22B4" w:rsidRPr="00DF2AD3">
        <w:rPr>
          <w:rFonts w:ascii="Times New Roman" w:hAnsi="Times New Roman" w:cs="Times New Roman"/>
          <w:b/>
          <w:bCs/>
          <w:sz w:val="20"/>
          <w:szCs w:val="20"/>
          <w:highlight w:val="yellow"/>
          <w:vertAlign w:val="superscript"/>
          <w:lang w:bidi="ar-EG"/>
        </w:rPr>
        <w:t>26</w:t>
      </w:r>
      <w:r w:rsidRPr="00DF2AD3">
        <w:rPr>
          <w:rFonts w:ascii="Times New Roman" w:hAnsi="Times New Roman" w:cs="Times New Roman"/>
          <w:b/>
          <w:bCs/>
          <w:sz w:val="20"/>
          <w:szCs w:val="20"/>
          <w:highlight w:val="yellow"/>
          <w:vertAlign w:val="superscript"/>
          <w:lang w:bidi="ar-EG"/>
        </w:rPr>
        <w:t>)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2009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sz w:val="20"/>
          <w:szCs w:val="20"/>
          <w:lang w:bidi="ar-EG"/>
        </w:rPr>
        <w:t>who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sz w:val="20"/>
          <w:szCs w:val="20"/>
          <w:lang w:bidi="ar-EG"/>
        </w:rPr>
        <w:t>conducted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sz w:val="20"/>
          <w:szCs w:val="20"/>
          <w:lang w:bidi="ar-EG"/>
        </w:rPr>
        <w:t>prospective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sz w:val="20"/>
          <w:szCs w:val="20"/>
          <w:lang w:bidi="ar-EG"/>
        </w:rPr>
        <w:t>study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sz w:val="20"/>
          <w:szCs w:val="20"/>
          <w:lang w:bidi="ar-EG"/>
        </w:rPr>
        <w:t>involved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sz w:val="20"/>
          <w:szCs w:val="20"/>
          <w:lang w:bidi="ar-EG"/>
        </w:rPr>
        <w:t>admitted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sz w:val="20"/>
          <w:szCs w:val="20"/>
          <w:lang w:bidi="ar-EG"/>
        </w:rPr>
        <w:t>ICU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sz w:val="20"/>
          <w:szCs w:val="20"/>
          <w:lang w:bidi="ar-EG"/>
        </w:rPr>
        <w:t>during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sz w:val="20"/>
          <w:szCs w:val="20"/>
          <w:lang w:bidi="ar-EG"/>
        </w:rPr>
        <w:t>period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sz w:val="20"/>
          <w:szCs w:val="20"/>
          <w:lang w:bidi="ar-EG"/>
        </w:rPr>
        <w:t>from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sz w:val="20"/>
          <w:szCs w:val="20"/>
          <w:lang w:bidi="ar-EG"/>
        </w:rPr>
        <w:t>January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sz w:val="20"/>
          <w:szCs w:val="20"/>
          <w:lang w:bidi="ar-EG"/>
        </w:rPr>
        <w:t>2003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sz w:val="20"/>
          <w:szCs w:val="20"/>
          <w:lang w:bidi="ar-EG"/>
        </w:rPr>
        <w:t>June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sz w:val="20"/>
          <w:szCs w:val="20"/>
          <w:lang w:bidi="ar-EG"/>
        </w:rPr>
        <w:t>2006.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sz w:val="20"/>
          <w:szCs w:val="20"/>
          <w:lang w:bidi="ar-EG"/>
        </w:rPr>
        <w:t>has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sz w:val="20"/>
          <w:szCs w:val="20"/>
          <w:lang w:bidi="ar-EG"/>
        </w:rPr>
        <w:t>been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sz w:val="20"/>
          <w:szCs w:val="20"/>
          <w:lang w:bidi="ar-EG"/>
        </w:rPr>
        <w:t>defined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sz w:val="20"/>
          <w:szCs w:val="20"/>
          <w:lang w:bidi="ar-EG"/>
        </w:rPr>
        <w:t>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sz w:val="20"/>
          <w:szCs w:val="20"/>
          <w:lang w:bidi="ar-EG"/>
        </w:rPr>
        <w:t>an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sz w:val="20"/>
          <w:szCs w:val="20"/>
          <w:lang w:bidi="ar-EG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sz w:val="20"/>
          <w:szCs w:val="20"/>
          <w:lang w:bidi="ar-EG"/>
        </w:rPr>
        <w:t>increase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hAnsi="Times New Roman" w:cs="Times New Roman"/>
          <w:sz w:val="20"/>
          <w:szCs w:val="20"/>
          <w:lang w:bidi="ar-EG"/>
        </w:rPr>
        <w:t>serum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B07D8C" w:rsidRPr="00DF2AD3">
        <w:rPr>
          <w:rFonts w:ascii="Times New Roman" w:hAnsi="Times New Roman" w:cs="Times New Roman"/>
          <w:sz w:val="20"/>
          <w:szCs w:val="20"/>
          <w:lang w:bidi="ar-EG"/>
        </w:rPr>
        <w:t>creatinine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&gt;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0.5 mg/dl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from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baseline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if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creatinine</w:t>
      </w:r>
      <w:proofErr w:type="spellEnd"/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&lt;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1.3 mg/dl,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or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need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RRT.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They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found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significant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risk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factors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AKI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included;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cardiac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diseases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(71.4%),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hypertension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(66.7%)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diabetes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mellitus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(29.6%).</w:t>
      </w:r>
    </w:p>
    <w:p w:rsidR="002938A6" w:rsidRPr="00DF2AD3" w:rsidRDefault="002938A6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Also,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our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results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were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not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comparable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results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F2A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Chawla</w:t>
      </w:r>
      <w:proofErr w:type="spellEnd"/>
      <w:r w:rsidR="00CC2459" w:rsidRPr="00DF2A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et</w:t>
      </w:r>
      <w:r w:rsidR="00CC2459" w:rsidRPr="00DF2A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al</w:t>
      </w:r>
      <w:r w:rsidR="00CC2459" w:rsidRPr="00DF2A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FD07B9" w:rsidRPr="00DF2A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yellow"/>
          <w:vertAlign w:val="superscript"/>
        </w:rPr>
        <w:t>(2</w:t>
      </w:r>
      <w:r w:rsidR="001E22B4" w:rsidRPr="00DF2A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yellow"/>
          <w:vertAlign w:val="superscript"/>
        </w:rPr>
        <w:t>7</w:t>
      </w:r>
      <w:r w:rsidRPr="00DF2A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yellow"/>
          <w:vertAlign w:val="superscript"/>
        </w:rPr>
        <w:t>)</w:t>
      </w:r>
      <w:r w:rsidR="00CC2459" w:rsidRPr="00DF2A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</w:t>
      </w:r>
      <w:r w:rsidR="00CC2459" w:rsidRPr="00DF2A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2005</w:t>
      </w:r>
      <w:r w:rsidRPr="00DF2A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who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conducted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pilot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study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ICU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patients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from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August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2002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April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2003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George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Washington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University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Hospital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ICU,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United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States.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criteria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AKI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defined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increase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serum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creatinine</w:t>
      </w:r>
      <w:proofErr w:type="spellEnd"/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&gt;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75%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from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baseline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if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creatinine</w:t>
      </w:r>
      <w:proofErr w:type="spellEnd"/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≤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2 mg/dl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or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creatinine</w:t>
      </w:r>
      <w:proofErr w:type="spellEnd"/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&gt;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50%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from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baseline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if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creatinine</w:t>
      </w:r>
      <w:proofErr w:type="spellEnd"/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&gt;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2 mg/dl.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35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they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found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contributing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factors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AKI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were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diabetes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mellitus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(36.6%),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cardiac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diseases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(30.4%)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chronic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kidney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disease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7D8C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(18%).</w:t>
      </w:r>
    </w:p>
    <w:p w:rsidR="00B07D8C" w:rsidRPr="00DF2AD3" w:rsidRDefault="00B07D8C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From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previous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studies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most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common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risk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factors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developing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AKI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ICUs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were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HTN</w:t>
      </w:r>
      <w:r w:rsidR="00D47065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, c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ardiac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DM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but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percent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cases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differed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from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one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study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another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may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be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due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number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subjects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involved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study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different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definition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AKI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used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methodology</w:t>
      </w:r>
      <w:r w:rsidR="00D47065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. A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lso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sepsis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had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high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percent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some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studies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Abd</w:t>
      </w:r>
      <w:proofErr w:type="spellEnd"/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proofErr w:type="spellStart"/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ElHafeez</w:t>
      </w:r>
      <w:proofErr w:type="spellEnd"/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et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al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FD07B9" w:rsidRPr="00DF2AD3">
        <w:rPr>
          <w:rFonts w:ascii="Times New Roman" w:hAnsi="Times New Roman" w:cs="Times New Roman"/>
          <w:b/>
          <w:bCs/>
          <w:sz w:val="20"/>
          <w:szCs w:val="20"/>
          <w:highlight w:val="yellow"/>
          <w:vertAlign w:val="superscript"/>
          <w:lang w:bidi="ar-EG"/>
        </w:rPr>
        <w:t>(</w:t>
      </w:r>
      <w:r w:rsidR="001E22B4" w:rsidRPr="00DF2AD3">
        <w:rPr>
          <w:rFonts w:ascii="Times New Roman" w:hAnsi="Times New Roman" w:cs="Times New Roman"/>
          <w:b/>
          <w:bCs/>
          <w:sz w:val="20"/>
          <w:szCs w:val="20"/>
          <w:highlight w:val="yellow"/>
          <w:vertAlign w:val="superscript"/>
          <w:lang w:bidi="ar-EG"/>
        </w:rPr>
        <w:t>24</w:t>
      </w:r>
      <w:r w:rsidRPr="00DF2AD3">
        <w:rPr>
          <w:rFonts w:ascii="Times New Roman" w:hAnsi="Times New Roman" w:cs="Times New Roman"/>
          <w:b/>
          <w:bCs/>
          <w:sz w:val="20"/>
          <w:szCs w:val="20"/>
          <w:highlight w:val="yellow"/>
          <w:vertAlign w:val="superscript"/>
          <w:lang w:bidi="ar-EG"/>
        </w:rPr>
        <w:t>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2017</w:t>
      </w:r>
      <w:r w:rsidR="007E5621"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E5621" w:rsidRPr="00DF2AD3">
        <w:rPr>
          <w:rFonts w:ascii="Times New Roman" w:hAnsi="Times New Roman" w:cs="Times New Roman"/>
          <w:sz w:val="20"/>
          <w:szCs w:val="20"/>
          <w:lang w:bidi="ar-EG"/>
        </w:rPr>
        <w:t>which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E5621" w:rsidRPr="00DF2AD3">
        <w:rPr>
          <w:rFonts w:ascii="Times New Roman" w:hAnsi="Times New Roman" w:cs="Times New Roman"/>
          <w:sz w:val="20"/>
          <w:szCs w:val="20"/>
          <w:lang w:bidi="ar-EG"/>
        </w:rPr>
        <w:t>may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E5621" w:rsidRPr="00DF2AD3">
        <w:rPr>
          <w:rFonts w:ascii="Times New Roman" w:hAnsi="Times New Roman" w:cs="Times New Roman"/>
          <w:sz w:val="20"/>
          <w:szCs w:val="20"/>
          <w:lang w:bidi="ar-EG"/>
        </w:rPr>
        <w:t>give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E5621" w:rsidRPr="00DF2AD3">
        <w:rPr>
          <w:rFonts w:ascii="Times New Roman" w:hAnsi="Times New Roman" w:cs="Times New Roman"/>
          <w:sz w:val="20"/>
          <w:szCs w:val="20"/>
          <w:lang w:bidi="ar-EG"/>
        </w:rPr>
        <w:t>an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E5621" w:rsidRPr="00DF2AD3">
        <w:rPr>
          <w:rFonts w:ascii="Times New Roman" w:hAnsi="Times New Roman" w:cs="Times New Roman"/>
          <w:sz w:val="20"/>
          <w:szCs w:val="20"/>
          <w:lang w:bidi="ar-EG"/>
        </w:rPr>
        <w:t>idea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E5621" w:rsidRPr="00DF2AD3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E5621"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E5621" w:rsidRPr="00DF2AD3">
        <w:rPr>
          <w:rFonts w:ascii="Times New Roman" w:hAnsi="Times New Roman" w:cs="Times New Roman"/>
          <w:sz w:val="20"/>
          <w:szCs w:val="20"/>
          <w:lang w:bidi="ar-EG"/>
        </w:rPr>
        <w:t>risk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E5621" w:rsidRPr="00DF2AD3">
        <w:rPr>
          <w:rFonts w:ascii="Times New Roman" w:hAnsi="Times New Roman" w:cs="Times New Roman"/>
          <w:sz w:val="20"/>
          <w:szCs w:val="20"/>
          <w:lang w:bidi="ar-EG"/>
        </w:rPr>
        <w:t>factor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E5621" w:rsidRPr="00DF2AD3">
        <w:rPr>
          <w:rFonts w:ascii="Times New Roman" w:hAnsi="Times New Roman" w:cs="Times New Roman"/>
          <w:sz w:val="20"/>
          <w:szCs w:val="20"/>
          <w:lang w:bidi="ar-EG"/>
        </w:rPr>
        <w:t>(Sepsis)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E5621" w:rsidRPr="00DF2AD3">
        <w:rPr>
          <w:rFonts w:ascii="Times New Roman" w:hAnsi="Times New Roman" w:cs="Times New Roman"/>
          <w:sz w:val="20"/>
          <w:szCs w:val="20"/>
          <w:lang w:bidi="ar-EG"/>
        </w:rPr>
        <w:t>may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E5621" w:rsidRPr="00DF2AD3">
        <w:rPr>
          <w:rFonts w:ascii="Times New Roman" w:hAnsi="Times New Roman" w:cs="Times New Roman"/>
          <w:sz w:val="20"/>
          <w:szCs w:val="20"/>
          <w:lang w:bidi="ar-EG"/>
        </w:rPr>
        <w:t>be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E5621" w:rsidRPr="00DF2AD3">
        <w:rPr>
          <w:rFonts w:ascii="Times New Roman" w:hAnsi="Times New Roman" w:cs="Times New Roman"/>
          <w:sz w:val="20"/>
          <w:szCs w:val="20"/>
          <w:lang w:bidi="ar-EG"/>
        </w:rPr>
        <w:t>influenced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E5621" w:rsidRPr="00DF2AD3">
        <w:rPr>
          <w:rFonts w:ascii="Times New Roman" w:hAnsi="Times New Roman" w:cs="Times New Roman"/>
          <w:sz w:val="20"/>
          <w:szCs w:val="20"/>
          <w:lang w:bidi="ar-EG"/>
        </w:rPr>
        <w:t>by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E5621" w:rsidRPr="00DF2AD3">
        <w:rPr>
          <w:rFonts w:ascii="Times New Roman" w:hAnsi="Times New Roman" w:cs="Times New Roman"/>
          <w:sz w:val="20"/>
          <w:szCs w:val="20"/>
          <w:lang w:bidi="ar-EG"/>
        </w:rPr>
        <w:t>community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E5621" w:rsidRPr="00DF2AD3">
        <w:rPr>
          <w:rFonts w:ascii="Times New Roman" w:hAnsi="Times New Roman" w:cs="Times New Roman"/>
          <w:sz w:val="20"/>
          <w:szCs w:val="20"/>
          <w:lang w:bidi="ar-EG"/>
        </w:rPr>
        <w:t>health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E5621" w:rsidRPr="00DF2AD3">
        <w:rPr>
          <w:rFonts w:ascii="Times New Roman" w:hAnsi="Times New Roman" w:cs="Times New Roman"/>
          <w:sz w:val="20"/>
          <w:szCs w:val="20"/>
          <w:lang w:bidi="ar-EG"/>
        </w:rPr>
        <w:t>education,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E5621" w:rsidRPr="00DF2AD3">
        <w:rPr>
          <w:rFonts w:ascii="Times New Roman" w:hAnsi="Times New Roman" w:cs="Times New Roman"/>
          <w:sz w:val="20"/>
          <w:szCs w:val="20"/>
          <w:lang w:bidi="ar-EG"/>
        </w:rPr>
        <w:t>anti-</w:t>
      </w:r>
      <w:proofErr w:type="spellStart"/>
      <w:r w:rsidR="007E5621" w:rsidRPr="00DF2AD3">
        <w:rPr>
          <w:rFonts w:ascii="Times New Roman" w:hAnsi="Times New Roman" w:cs="Times New Roman"/>
          <w:sz w:val="20"/>
          <w:szCs w:val="20"/>
          <w:lang w:bidi="ar-EG"/>
        </w:rPr>
        <w:t>biotics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E5621" w:rsidRPr="00DF2AD3">
        <w:rPr>
          <w:rFonts w:ascii="Times New Roman" w:hAnsi="Times New Roman" w:cs="Times New Roman"/>
          <w:sz w:val="20"/>
          <w:szCs w:val="20"/>
          <w:lang w:bidi="ar-EG"/>
        </w:rPr>
        <w:t>abuse,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E5621" w:rsidRPr="00DF2AD3">
        <w:rPr>
          <w:rFonts w:ascii="Times New Roman" w:hAnsi="Times New Roman" w:cs="Times New Roman"/>
          <w:sz w:val="20"/>
          <w:szCs w:val="20"/>
          <w:lang w:bidi="ar-EG"/>
        </w:rPr>
        <w:t>hygienic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E5621"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E5621" w:rsidRPr="00DF2AD3">
        <w:rPr>
          <w:rFonts w:ascii="Times New Roman" w:hAnsi="Times New Roman" w:cs="Times New Roman"/>
          <w:sz w:val="20"/>
          <w:szCs w:val="20"/>
          <w:lang w:bidi="ar-EG"/>
        </w:rPr>
        <w:t>infection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E5621" w:rsidRPr="00DF2AD3">
        <w:rPr>
          <w:rFonts w:ascii="Times New Roman" w:hAnsi="Times New Roman" w:cs="Times New Roman"/>
          <w:sz w:val="20"/>
          <w:szCs w:val="20"/>
          <w:lang w:bidi="ar-EG"/>
        </w:rPr>
        <w:t>control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E5621" w:rsidRPr="00DF2AD3">
        <w:rPr>
          <w:rFonts w:ascii="Times New Roman" w:hAnsi="Times New Roman" w:cs="Times New Roman"/>
          <w:sz w:val="20"/>
          <w:szCs w:val="20"/>
          <w:lang w:bidi="ar-EG"/>
        </w:rPr>
        <w:t>measures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E5621"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E5621" w:rsidRPr="00DF2AD3">
        <w:rPr>
          <w:rFonts w:ascii="Times New Roman" w:hAnsi="Times New Roman" w:cs="Times New Roman"/>
          <w:sz w:val="20"/>
          <w:szCs w:val="20"/>
          <w:lang w:bidi="ar-EG"/>
        </w:rPr>
        <w:t>Egypt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E5621" w:rsidRPr="00DF2AD3">
        <w:rPr>
          <w:rFonts w:ascii="Times New Roman" w:hAnsi="Times New Roman" w:cs="Times New Roman"/>
          <w:sz w:val="20"/>
          <w:szCs w:val="20"/>
          <w:lang w:bidi="ar-EG"/>
        </w:rPr>
        <w:t>hospitals.</w:t>
      </w:r>
    </w:p>
    <w:p w:rsidR="002938A6" w:rsidRPr="00DF2AD3" w:rsidRDefault="007E5621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Deficits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recognition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management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have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led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practice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guidance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calling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improved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risk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assessment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according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'exposures'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(such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as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sepsis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circulatory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shock)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'susceptibilities'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(such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diabetes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mellitus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volume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depletion),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which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point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interventions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could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most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beneficial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better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prognosis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D07B9" w:rsidRPr="00DF2AD3">
        <w:rPr>
          <w:rFonts w:ascii="Times New Roman" w:hAnsi="Times New Roman" w:cs="Times New Roman"/>
          <w:sz w:val="20"/>
          <w:szCs w:val="20"/>
          <w:highlight w:val="yellow"/>
          <w:vertAlign w:val="superscript"/>
          <w:lang w:bidi="ar-EG"/>
        </w:rPr>
        <w:t>(</w:t>
      </w:r>
      <w:r w:rsidR="001E22B4" w:rsidRPr="00DF2AD3">
        <w:rPr>
          <w:rFonts w:ascii="Times New Roman" w:hAnsi="Times New Roman" w:cs="Times New Roman"/>
          <w:sz w:val="20"/>
          <w:szCs w:val="20"/>
          <w:highlight w:val="yellow"/>
          <w:vertAlign w:val="superscript"/>
          <w:lang w:bidi="ar-EG"/>
        </w:rPr>
        <w:t>28</w:t>
      </w:r>
      <w:r w:rsidRPr="00DF2AD3">
        <w:rPr>
          <w:rFonts w:ascii="Times New Roman" w:hAnsi="Times New Roman" w:cs="Times New Roman"/>
          <w:sz w:val="20"/>
          <w:szCs w:val="20"/>
          <w:highlight w:val="yellow"/>
          <w:vertAlign w:val="superscript"/>
          <w:lang w:bidi="ar-EG"/>
        </w:rPr>
        <w:t>)</w:t>
      </w:r>
      <w:r w:rsidRPr="00DF2AD3">
        <w:rPr>
          <w:rFonts w:ascii="Times New Roman" w:hAnsi="Times New Roman" w:cs="Times New Roman"/>
          <w:sz w:val="20"/>
          <w:szCs w:val="20"/>
          <w:highlight w:val="yellow"/>
          <w:lang w:bidi="ar-EG"/>
        </w:rPr>
        <w:t>.</w:t>
      </w:r>
    </w:p>
    <w:p w:rsidR="002938A6" w:rsidRPr="00DF2AD3" w:rsidRDefault="002938A6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our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study,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we</w:t>
      </w:r>
      <w:r w:rsidR="00CC2459" w:rsidRPr="00DF2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found</w:t>
      </w:r>
      <w:r w:rsidR="00CC2459" w:rsidRPr="00DF2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that</w:t>
      </w:r>
      <w:r w:rsidR="00CC2459" w:rsidRPr="00DF2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the</w:t>
      </w:r>
      <w:r w:rsidR="00CC2459" w:rsidRPr="00DF2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most</w:t>
      </w:r>
      <w:r w:rsidR="00CC2459" w:rsidRPr="00DF2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independent</w:t>
      </w:r>
      <w:r w:rsidR="00CC2459" w:rsidRPr="00DF2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risk</w:t>
      </w:r>
      <w:r w:rsidR="00CC2459" w:rsidRPr="00DF2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factor</w:t>
      </w:r>
      <w:r w:rsidR="00CC2459" w:rsidRPr="00DF2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for</w:t>
      </w:r>
      <w:r w:rsidR="00CC2459" w:rsidRPr="00DF2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developing</w:t>
      </w:r>
      <w:r w:rsidR="00CC2459" w:rsidRPr="00DF2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AKI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was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sepsis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according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multivariate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logistic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analysis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(p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value: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0.001,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estimated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odds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ratio: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0.217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confidence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interval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between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0.086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0.547).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Dehydration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comes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the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second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place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(p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value: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0.020,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estimated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odds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ratio: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0.424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confidence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interval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between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0.205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0.874).</w:t>
      </w:r>
    </w:p>
    <w:p w:rsidR="002938A6" w:rsidRPr="00DF2AD3" w:rsidRDefault="002938A6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DF2AD3">
        <w:rPr>
          <w:rFonts w:ascii="Times New Roman" w:hAnsi="Times New Roman" w:cs="Times New Roman"/>
          <w:bCs/>
          <w:sz w:val="20"/>
          <w:szCs w:val="20"/>
        </w:rPr>
        <w:t>On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the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other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sz w:val="20"/>
          <w:szCs w:val="20"/>
        </w:rPr>
        <w:t>hand,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F2AD3">
        <w:rPr>
          <w:rFonts w:ascii="Times New Roman" w:hAnsi="Times New Roman" w:cs="Times New Roman"/>
          <w:b/>
          <w:sz w:val="20"/>
          <w:szCs w:val="20"/>
        </w:rPr>
        <w:t>Cely</w:t>
      </w:r>
      <w:proofErr w:type="spellEnd"/>
      <w:r w:rsidR="00CC2459" w:rsidRPr="00DF2A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sz w:val="20"/>
          <w:szCs w:val="20"/>
        </w:rPr>
        <w:t>et</w:t>
      </w:r>
      <w:r w:rsidR="00CC2459" w:rsidRPr="00DF2A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sz w:val="20"/>
          <w:szCs w:val="20"/>
        </w:rPr>
        <w:t>al</w:t>
      </w:r>
      <w:r w:rsidR="00CC2459" w:rsidRPr="00DF2A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07B9" w:rsidRPr="00DF2AD3">
        <w:rPr>
          <w:rFonts w:ascii="Times New Roman" w:hAnsi="Times New Roman" w:cs="Times New Roman"/>
          <w:b/>
          <w:sz w:val="20"/>
          <w:szCs w:val="20"/>
          <w:highlight w:val="yellow"/>
          <w:vertAlign w:val="superscript"/>
        </w:rPr>
        <w:t>(</w:t>
      </w:r>
      <w:r w:rsidR="001E22B4" w:rsidRPr="00DF2AD3">
        <w:rPr>
          <w:rFonts w:ascii="Times New Roman" w:hAnsi="Times New Roman" w:cs="Times New Roman"/>
          <w:b/>
          <w:sz w:val="20"/>
          <w:szCs w:val="20"/>
          <w:highlight w:val="yellow"/>
          <w:vertAlign w:val="superscript"/>
        </w:rPr>
        <w:t>29</w:t>
      </w:r>
      <w:r w:rsidRPr="00DF2AD3">
        <w:rPr>
          <w:rFonts w:ascii="Times New Roman" w:hAnsi="Times New Roman" w:cs="Times New Roman"/>
          <w:b/>
          <w:sz w:val="20"/>
          <w:szCs w:val="20"/>
          <w:highlight w:val="yellow"/>
          <w:vertAlign w:val="superscript"/>
        </w:rPr>
        <w:t>)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/>
          <w:sz w:val="20"/>
          <w:szCs w:val="20"/>
        </w:rPr>
        <w:t>2017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,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who</w:t>
      </w:r>
      <w:r w:rsidR="00CC2459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B503A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conducted</w:t>
      </w:r>
      <w:r w:rsidR="00CC2459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B503A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</w:t>
      </w:r>
      <w:r w:rsidR="00CC2459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B503A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prospective</w:t>
      </w:r>
      <w:r w:rsidR="00CC2459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B503A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cohort</w:t>
      </w:r>
      <w:r w:rsidR="00CC2459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B503A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study</w:t>
      </w:r>
      <w:r w:rsidR="00CC2459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B503A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at</w:t>
      </w:r>
      <w:r w:rsidR="00CC2459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B503A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r w:rsidR="00CC2459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B503A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San</w:t>
      </w:r>
      <w:r w:rsidR="00CC2459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B503A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Jose</w:t>
      </w:r>
      <w:r w:rsidR="00CC2459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B503A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Hospital</w:t>
      </w:r>
      <w:r w:rsidR="00CC2459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B503A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ICU</w:t>
      </w:r>
      <w:r w:rsidR="00CC2459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B503A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</w:t>
      </w:r>
      <w:r w:rsidR="00CC2459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B503A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Bogota</w:t>
      </w:r>
      <w:r w:rsidR="00CC2459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B503A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Colombia,</w:t>
      </w:r>
      <w:r w:rsidR="00CC2459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B503A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from</w:t>
      </w:r>
      <w:r w:rsidR="00CC2459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B503A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September</w:t>
      </w:r>
      <w:r w:rsidR="00CC2459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B503A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2015</w:t>
      </w:r>
      <w:r w:rsidR="00CC2459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B503A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to</w:t>
      </w:r>
      <w:r w:rsidR="00CC2459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B503A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April</w:t>
      </w:r>
      <w:r w:rsidR="00CC2459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B503A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2016</w:t>
      </w:r>
      <w:r w:rsidR="00CC2459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B503A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on</w:t>
      </w:r>
      <w:r w:rsidR="00CC2459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B503A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400</w:t>
      </w:r>
      <w:r w:rsidR="00CC2459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B503A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patients,</w:t>
      </w:r>
      <w:r w:rsidR="00CC2459" w:rsidRPr="00DF2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stated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that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the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associated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risk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factors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were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pre-hospital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treatment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with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B503A" w:rsidRPr="00DF2AD3">
        <w:rPr>
          <w:rFonts w:ascii="Times New Roman" w:hAnsi="Times New Roman" w:cs="Times New Roman"/>
          <w:bCs/>
          <w:sz w:val="20"/>
          <w:szCs w:val="20"/>
        </w:rPr>
        <w:t>nephrotoxic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drugs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(2.21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odds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B503A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ratio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;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95%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confidence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B503A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interval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between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1.12–4.36,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p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=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0.022),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chronic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kidney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disease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(CKD)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(3.56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odds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B503A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ratio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;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95%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confidence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B503A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interval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between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1.55–8.18,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p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&lt;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0.003),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venous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B503A" w:rsidRPr="00DF2AD3">
        <w:rPr>
          <w:rFonts w:ascii="Times New Roman" w:hAnsi="Times New Roman" w:cs="Times New Roman"/>
          <w:bCs/>
          <w:sz w:val="20"/>
          <w:szCs w:val="20"/>
        </w:rPr>
        <w:t>thromboembolism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(5.05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odds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B503A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ratio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;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95%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confidence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B503A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interval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between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1.59–16.0,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p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&lt;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0.006).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our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study,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B503A" w:rsidRPr="00DF2AD3">
        <w:rPr>
          <w:rFonts w:ascii="Times New Roman" w:hAnsi="Times New Roman" w:cs="Times New Roman"/>
          <w:bCs/>
          <w:sz w:val="20"/>
          <w:szCs w:val="20"/>
        </w:rPr>
        <w:t>nephrotoxic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drugs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show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non-significant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results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(p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value: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0.069,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estimated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B503A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odds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B503A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ratio: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0.416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confidence</w:t>
      </w:r>
      <w:r w:rsidR="00CC2459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B503A" w:rsidRPr="00DF2AD3">
        <w:rPr>
          <w:rFonts w:ascii="Times New Roman" w:eastAsia="Times New Roman" w:hAnsi="Times New Roman" w:cs="Times New Roman"/>
          <w:color w:val="000000"/>
          <w:sz w:val="20"/>
          <w:szCs w:val="20"/>
        </w:rPr>
        <w:t>interval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between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0.162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503A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1.071).</w:t>
      </w:r>
    </w:p>
    <w:p w:rsidR="000A7631" w:rsidRPr="00DF2AD3" w:rsidRDefault="000A7631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RIFLE,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KDIGO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criteria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recently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developed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international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consensuses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classifications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detect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different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outcomes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critically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ill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this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light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appear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sensitive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classify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clinical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history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D07B9" w:rsidRPr="00DF2AD3">
        <w:rPr>
          <w:rFonts w:ascii="Times New Roman" w:hAnsi="Times New Roman" w:cs="Times New Roman"/>
          <w:sz w:val="20"/>
          <w:szCs w:val="20"/>
          <w:highlight w:val="yellow"/>
          <w:vertAlign w:val="superscript"/>
          <w:lang w:bidi="ar-EG"/>
        </w:rPr>
        <w:t>(</w:t>
      </w:r>
      <w:r w:rsidR="001E22B4" w:rsidRPr="00DF2AD3">
        <w:rPr>
          <w:rFonts w:ascii="Times New Roman" w:hAnsi="Times New Roman" w:cs="Times New Roman"/>
          <w:sz w:val="20"/>
          <w:szCs w:val="20"/>
          <w:highlight w:val="yellow"/>
          <w:vertAlign w:val="superscript"/>
          <w:lang w:bidi="ar-EG"/>
        </w:rPr>
        <w:t>30</w:t>
      </w:r>
      <w:r w:rsidRPr="00DF2AD3">
        <w:rPr>
          <w:rFonts w:ascii="Times New Roman" w:hAnsi="Times New Roman" w:cs="Times New Roman"/>
          <w:sz w:val="20"/>
          <w:szCs w:val="20"/>
          <w:highlight w:val="yellow"/>
          <w:vertAlign w:val="superscript"/>
          <w:lang w:bidi="ar-EG"/>
        </w:rPr>
        <w:t>)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9A351B" w:rsidRPr="00DF2AD3" w:rsidRDefault="009A351B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DF2AD3">
        <w:rPr>
          <w:rFonts w:ascii="Times New Roman" w:hAnsi="Times New Roman" w:cs="Times New Roman"/>
          <w:b/>
          <w:i/>
          <w:iCs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i/>
          <w:iCs/>
          <w:sz w:val="20"/>
          <w:szCs w:val="20"/>
        </w:rPr>
        <w:t>our</w:t>
      </w:r>
      <w:r w:rsidR="00CC2459" w:rsidRPr="00DF2AD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i/>
          <w:iCs/>
          <w:sz w:val="20"/>
          <w:szCs w:val="20"/>
        </w:rPr>
        <w:t>study,</w:t>
      </w:r>
      <w:r w:rsidR="00CC2459"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>numbers</w:t>
      </w:r>
      <w:r w:rsidR="00CC2459"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>developed</w:t>
      </w:r>
      <w:r w:rsidR="00CC2459"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>during</w:t>
      </w:r>
      <w:r w:rsidR="00CC2459"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>hospitalization</w:t>
      </w:r>
      <w:r w:rsidR="00CC2459"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>(200</w:t>
      </w:r>
      <w:r w:rsidR="00CC2459"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>patients)</w:t>
      </w:r>
      <w:r w:rsidR="00CC2459"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>were</w:t>
      </w:r>
      <w:r w:rsidR="00CC2459"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>same</w:t>
      </w:r>
      <w:r w:rsidR="00CC2459"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>each</w:t>
      </w:r>
      <w:r w:rsidR="00CC2459"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>stage</w:t>
      </w:r>
      <w:r w:rsidR="00CC2459"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>when</w:t>
      </w:r>
      <w:r w:rsidR="00CC2459"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>we</w:t>
      </w:r>
      <w:r w:rsidR="00CC2459"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>conducted</w:t>
      </w:r>
      <w:r w:rsidR="00CC2459"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>RIFLE,</w:t>
      </w:r>
      <w:r w:rsidR="00CC2459"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>AKIN</w:t>
      </w:r>
      <w:r w:rsidR="00CC2459"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>KDIGO</w:t>
      </w:r>
      <w:r w:rsidR="00CC2459"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>classifications</w:t>
      </w:r>
      <w:r w:rsidR="00CC2459"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b/>
          <w:i/>
          <w:iCs/>
          <w:sz w:val="20"/>
          <w:szCs w:val="20"/>
          <w:lang w:bidi="ar-EG"/>
        </w:rPr>
        <w:t>AKI,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i.e.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among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studied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who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had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renal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dysfunction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during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admission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ICU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CCU,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28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(14%)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were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under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risk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(R)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class,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57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(28.5%)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were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injury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(I)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class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115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(57.5%)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were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failure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(F).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These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results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were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almost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same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when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used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AKIN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KDIGO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classifications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AKI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same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group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patients;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28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(14%)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were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stage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1,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57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(28.5%)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were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stage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115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(57.5%)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were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stage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3.</w:t>
      </w:r>
    </w:p>
    <w:p w:rsidR="009A351B" w:rsidRPr="00DF2AD3" w:rsidRDefault="002938A6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These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results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were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comparable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with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those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study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Levi</w:t>
      </w:r>
      <w:r w:rsidR="00CC2459" w:rsidRPr="00DF2A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et</w:t>
      </w:r>
      <w:r w:rsidR="00CC2459" w:rsidRPr="00DF2A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al</w:t>
      </w:r>
      <w:r w:rsidR="00CC2459" w:rsidRPr="00DF2A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FD07B9" w:rsidRPr="00DF2AD3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vertAlign w:val="superscript"/>
        </w:rPr>
        <w:t>(</w:t>
      </w:r>
      <w:r w:rsidR="001E22B4" w:rsidRPr="00DF2AD3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vertAlign w:val="superscript"/>
        </w:rPr>
        <w:t>19</w:t>
      </w:r>
      <w:r w:rsidRPr="00DF2AD3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vertAlign w:val="superscript"/>
        </w:rPr>
        <w:t>)</w:t>
      </w:r>
      <w:r w:rsidR="00CC2459" w:rsidRPr="00DF2A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9A351B" w:rsidRPr="00DF2A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9A351B" w:rsidRPr="00DF2A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2013</w:t>
      </w:r>
      <w:r w:rsidRPr="00DF2A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</w:t>
      </w:r>
      <w:r w:rsidR="00CC2459" w:rsidRPr="00DF2A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compared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all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three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definitions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190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patients.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AKI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incidences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wer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63%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for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all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three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definitions.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</w:p>
    <w:p w:rsidR="00476BB5" w:rsidRPr="00DF2AD3" w:rsidRDefault="00761191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But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comparison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distribution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different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AKI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classes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was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follows;</w:t>
      </w:r>
    </w:p>
    <w:p w:rsidR="00476BB5" w:rsidRPr="00DF2AD3" w:rsidRDefault="002938A6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RIFLE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classification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;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30%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under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risk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(R)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class,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14%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were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injury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(I)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class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17%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were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failure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(F).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AKIN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classificatio</w:t>
      </w:r>
      <w:proofErr w:type="spellEnd"/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;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37%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had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AKI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stage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1,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7%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had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AKI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stage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17%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had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AKI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tage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3.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KDIGO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classification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;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37%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had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AKI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stage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1,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7%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had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AKI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stage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8%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patients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had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AKI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stage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3,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but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with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no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significant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difference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between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meta-analysis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different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76BB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classes.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B737A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These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B737A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results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B737A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may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B737A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show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B737A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that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B737A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AKIN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B737A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B737A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KDIGO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B737A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classifications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B737A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may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B737A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diagnose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B737A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more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B737A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AKI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B737A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cases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B737A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due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B737A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to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B737A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smaller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B737A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serum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="003B737A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creatinine</w:t>
      </w:r>
      <w:proofErr w:type="spellEnd"/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B737A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changes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B737A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considered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B737A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B737A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these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B737A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classifications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B737A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than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B737A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RIFLE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classification</w:t>
      </w:r>
      <w:r w:rsidR="003B737A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other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hand,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this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distribution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different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AKI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classes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was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not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comparable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to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our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study</w:t>
      </w:r>
      <w:r w:rsidR="00D4706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 T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his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may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be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due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to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lack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accurate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laboratory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methods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to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detect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smaller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changes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serum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creatinine</w:t>
      </w:r>
      <w:proofErr w:type="spellEnd"/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(0.3</w:t>
      </w:r>
      <w:r w:rsidR="00CC2459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44695" w:rsidRPr="00DF2A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mg/dl).</w:t>
      </w:r>
    </w:p>
    <w:p w:rsidR="001E22B4" w:rsidRPr="00DF2AD3" w:rsidRDefault="001E22B4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866D18" w:rsidRPr="00DF2AD3" w:rsidRDefault="00866D18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Conclusion</w:t>
      </w:r>
    </w:p>
    <w:p w:rsidR="00866D18" w:rsidRPr="00DF2AD3" w:rsidRDefault="00C049FE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Based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our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presented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results,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favor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conclude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that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hospital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acquired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ICUs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major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complication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patients.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incidence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this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study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(73.26%).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most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common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risk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factors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developing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ICUs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DF2AD3">
        <w:rPr>
          <w:rFonts w:ascii="Times New Roman" w:hAnsi="Times New Roman" w:cs="Times New Roman"/>
          <w:sz w:val="20"/>
          <w:szCs w:val="20"/>
          <w:lang w:bidi="ar-EG"/>
        </w:rPr>
        <w:t>were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C110B" w:rsidRPr="00DF2AD3">
        <w:rPr>
          <w:rFonts w:ascii="Times New Roman" w:hAnsi="Times New Roman" w:cs="Times New Roman"/>
          <w:sz w:val="20"/>
          <w:szCs w:val="20"/>
          <w:lang w:bidi="ar-EG"/>
        </w:rPr>
        <w:t>hypertension,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C110B" w:rsidRPr="00DF2AD3">
        <w:rPr>
          <w:rFonts w:ascii="Times New Roman" w:hAnsi="Times New Roman" w:cs="Times New Roman"/>
          <w:sz w:val="20"/>
          <w:szCs w:val="20"/>
          <w:lang w:bidi="ar-EG"/>
        </w:rPr>
        <w:t>diabetes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C110B" w:rsidRPr="00DF2AD3">
        <w:rPr>
          <w:rFonts w:ascii="Times New Roman" w:hAnsi="Times New Roman" w:cs="Times New Roman"/>
          <w:sz w:val="20"/>
          <w:szCs w:val="20"/>
          <w:lang w:bidi="ar-EG"/>
        </w:rPr>
        <w:t>mellitus,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C110B" w:rsidRPr="00DF2AD3">
        <w:rPr>
          <w:rFonts w:ascii="Times New Roman" w:hAnsi="Times New Roman" w:cs="Times New Roman"/>
          <w:sz w:val="20"/>
          <w:szCs w:val="20"/>
          <w:lang w:bidi="ar-EG"/>
        </w:rPr>
        <w:t>cardiac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C110B" w:rsidRPr="00DF2AD3">
        <w:rPr>
          <w:rFonts w:ascii="Times New Roman" w:hAnsi="Times New Roman" w:cs="Times New Roman"/>
          <w:sz w:val="20"/>
          <w:szCs w:val="20"/>
          <w:lang w:bidi="ar-EG"/>
        </w:rPr>
        <w:t>disease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C110B"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C110B" w:rsidRPr="00DF2AD3">
        <w:rPr>
          <w:rFonts w:ascii="Times New Roman" w:hAnsi="Times New Roman" w:cs="Times New Roman"/>
          <w:sz w:val="20"/>
          <w:szCs w:val="20"/>
          <w:lang w:bidi="ar-EG"/>
        </w:rPr>
        <w:t>dehydration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C110B"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C110B" w:rsidRPr="00DF2AD3">
        <w:rPr>
          <w:rFonts w:ascii="Times New Roman" w:hAnsi="Times New Roman" w:cs="Times New Roman"/>
          <w:sz w:val="20"/>
          <w:szCs w:val="20"/>
          <w:lang w:bidi="ar-EG"/>
        </w:rPr>
        <w:t>sepsis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C110B" w:rsidRPr="00DF2AD3">
        <w:rPr>
          <w:rFonts w:ascii="Times New Roman" w:hAnsi="Times New Roman" w:cs="Times New Roman"/>
          <w:sz w:val="20"/>
          <w:szCs w:val="20"/>
          <w:lang w:bidi="ar-EG"/>
        </w:rPr>
        <w:t>being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C110B"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C110B" w:rsidRPr="00DF2AD3">
        <w:rPr>
          <w:rFonts w:ascii="Times New Roman" w:hAnsi="Times New Roman" w:cs="Times New Roman"/>
          <w:sz w:val="20"/>
          <w:szCs w:val="20"/>
          <w:lang w:bidi="ar-EG"/>
        </w:rPr>
        <w:t>most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C110B" w:rsidRPr="00DF2AD3">
        <w:rPr>
          <w:rFonts w:ascii="Times New Roman" w:hAnsi="Times New Roman" w:cs="Times New Roman"/>
          <w:sz w:val="20"/>
          <w:szCs w:val="20"/>
          <w:lang w:bidi="ar-EG"/>
        </w:rPr>
        <w:t>independent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C110B" w:rsidRPr="00DF2AD3">
        <w:rPr>
          <w:rFonts w:ascii="Times New Roman" w:hAnsi="Times New Roman" w:cs="Times New Roman"/>
          <w:sz w:val="20"/>
          <w:szCs w:val="20"/>
          <w:lang w:bidi="ar-EG"/>
        </w:rPr>
        <w:t>one.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C110B" w:rsidRPr="00DF2AD3">
        <w:rPr>
          <w:rFonts w:ascii="Times New Roman" w:hAnsi="Times New Roman" w:cs="Times New Roman"/>
          <w:sz w:val="20"/>
          <w:szCs w:val="20"/>
          <w:lang w:bidi="ar-EG"/>
        </w:rPr>
        <w:t>AKI,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C110B" w:rsidRPr="00DF2AD3">
        <w:rPr>
          <w:rFonts w:ascii="Times New Roman" w:hAnsi="Times New Roman" w:cs="Times New Roman"/>
          <w:sz w:val="20"/>
          <w:szCs w:val="20"/>
          <w:lang w:bidi="ar-EG"/>
        </w:rPr>
        <w:lastRenderedPageBreak/>
        <w:t>especially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C110B" w:rsidRPr="00DF2AD3">
        <w:rPr>
          <w:rFonts w:ascii="Times New Roman" w:hAnsi="Times New Roman" w:cs="Times New Roman"/>
          <w:sz w:val="20"/>
          <w:szCs w:val="20"/>
          <w:lang w:bidi="ar-EG"/>
        </w:rPr>
        <w:t>class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C110B" w:rsidRPr="00DF2AD3">
        <w:rPr>
          <w:rFonts w:ascii="Times New Roman" w:hAnsi="Times New Roman" w:cs="Times New Roman"/>
          <w:sz w:val="20"/>
          <w:szCs w:val="20"/>
          <w:lang w:bidi="ar-EG"/>
        </w:rPr>
        <w:t>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C110B" w:rsidRPr="00DF2AD3">
        <w:rPr>
          <w:rFonts w:ascii="Times New Roman" w:hAnsi="Times New Roman" w:cs="Times New Roman"/>
          <w:sz w:val="20"/>
          <w:szCs w:val="20"/>
          <w:lang w:bidi="ar-EG"/>
        </w:rPr>
        <w:t>(stage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C110B" w:rsidRPr="00DF2AD3">
        <w:rPr>
          <w:rFonts w:ascii="Times New Roman" w:hAnsi="Times New Roman" w:cs="Times New Roman"/>
          <w:sz w:val="20"/>
          <w:szCs w:val="20"/>
          <w:lang w:bidi="ar-EG"/>
        </w:rPr>
        <w:t>3),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C110B" w:rsidRPr="00DF2AD3">
        <w:rPr>
          <w:rFonts w:ascii="Times New Roman" w:hAnsi="Times New Roman" w:cs="Times New Roman"/>
          <w:sz w:val="20"/>
          <w:szCs w:val="20"/>
          <w:lang w:bidi="ar-EG"/>
        </w:rPr>
        <w:t>has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C110B"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C110B" w:rsidRPr="00DF2AD3">
        <w:rPr>
          <w:rFonts w:ascii="Times New Roman" w:hAnsi="Times New Roman" w:cs="Times New Roman"/>
          <w:sz w:val="20"/>
          <w:szCs w:val="20"/>
          <w:lang w:bidi="ar-EG"/>
        </w:rPr>
        <w:t>significant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C110B" w:rsidRPr="00DF2AD3">
        <w:rPr>
          <w:rFonts w:ascii="Times New Roman" w:hAnsi="Times New Roman" w:cs="Times New Roman"/>
          <w:sz w:val="20"/>
          <w:szCs w:val="20"/>
          <w:lang w:bidi="ar-EG"/>
        </w:rPr>
        <w:t>risk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C110B"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C110B" w:rsidRPr="00DF2AD3">
        <w:rPr>
          <w:rFonts w:ascii="Times New Roman" w:hAnsi="Times New Roman" w:cs="Times New Roman"/>
          <w:sz w:val="20"/>
          <w:szCs w:val="20"/>
          <w:lang w:bidi="ar-EG"/>
        </w:rPr>
        <w:t>mortality.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32A39" w:rsidRPr="00DF2AD3">
        <w:rPr>
          <w:rFonts w:ascii="Times New Roman" w:hAnsi="Times New Roman" w:cs="Times New Roman"/>
          <w:sz w:val="20"/>
          <w:szCs w:val="20"/>
          <w:lang w:bidi="ar-EG"/>
        </w:rPr>
        <w:t>Early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32A39" w:rsidRPr="00DF2AD3">
        <w:rPr>
          <w:rFonts w:ascii="Times New Roman" w:hAnsi="Times New Roman" w:cs="Times New Roman"/>
          <w:sz w:val="20"/>
          <w:szCs w:val="20"/>
          <w:lang w:bidi="ar-EG"/>
        </w:rPr>
        <w:t>treatment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32A39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32A39" w:rsidRPr="00DF2AD3">
        <w:rPr>
          <w:rFonts w:ascii="Times New Roman" w:hAnsi="Times New Roman" w:cs="Times New Roman"/>
          <w:sz w:val="20"/>
          <w:szCs w:val="20"/>
          <w:lang w:bidi="ar-EG"/>
        </w:rPr>
        <w:t>hypertension,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32A39" w:rsidRPr="00DF2AD3">
        <w:rPr>
          <w:rFonts w:ascii="Times New Roman" w:hAnsi="Times New Roman" w:cs="Times New Roman"/>
          <w:sz w:val="20"/>
          <w:szCs w:val="20"/>
          <w:lang w:bidi="ar-EG"/>
        </w:rPr>
        <w:t>diabetes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32A39" w:rsidRPr="00DF2AD3">
        <w:rPr>
          <w:rFonts w:ascii="Times New Roman" w:hAnsi="Times New Roman" w:cs="Times New Roman"/>
          <w:sz w:val="20"/>
          <w:szCs w:val="20"/>
          <w:lang w:bidi="ar-EG"/>
        </w:rPr>
        <w:t>mellitus,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32A39" w:rsidRPr="00DF2AD3">
        <w:rPr>
          <w:rFonts w:ascii="Times New Roman" w:hAnsi="Times New Roman" w:cs="Times New Roman"/>
          <w:sz w:val="20"/>
          <w:szCs w:val="20"/>
          <w:lang w:bidi="ar-EG"/>
        </w:rPr>
        <w:t>cardiac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32A39" w:rsidRPr="00DF2AD3">
        <w:rPr>
          <w:rFonts w:ascii="Times New Roman" w:hAnsi="Times New Roman" w:cs="Times New Roman"/>
          <w:sz w:val="20"/>
          <w:szCs w:val="20"/>
          <w:lang w:bidi="ar-EG"/>
        </w:rPr>
        <w:t>disease,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32A39" w:rsidRPr="00DF2AD3">
        <w:rPr>
          <w:rFonts w:ascii="Times New Roman" w:hAnsi="Times New Roman" w:cs="Times New Roman"/>
          <w:sz w:val="20"/>
          <w:szCs w:val="20"/>
          <w:lang w:bidi="ar-EG"/>
        </w:rPr>
        <w:t>dehydration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32A39"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32A39" w:rsidRPr="00DF2AD3">
        <w:rPr>
          <w:rFonts w:ascii="Times New Roman" w:hAnsi="Times New Roman" w:cs="Times New Roman"/>
          <w:sz w:val="20"/>
          <w:szCs w:val="20"/>
          <w:lang w:bidi="ar-EG"/>
        </w:rPr>
        <w:t>control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32A39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32A39" w:rsidRPr="00DF2AD3">
        <w:rPr>
          <w:rFonts w:ascii="Times New Roman" w:hAnsi="Times New Roman" w:cs="Times New Roman"/>
          <w:sz w:val="20"/>
          <w:szCs w:val="20"/>
          <w:lang w:bidi="ar-EG"/>
        </w:rPr>
        <w:t>sepsis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32A39" w:rsidRPr="00DF2AD3">
        <w:rPr>
          <w:rFonts w:ascii="Times New Roman" w:hAnsi="Times New Roman" w:cs="Times New Roman"/>
          <w:sz w:val="20"/>
          <w:szCs w:val="20"/>
          <w:lang w:bidi="ar-EG"/>
        </w:rPr>
        <w:t>may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32A39" w:rsidRPr="00DF2AD3">
        <w:rPr>
          <w:rFonts w:ascii="Times New Roman" w:hAnsi="Times New Roman" w:cs="Times New Roman"/>
          <w:sz w:val="20"/>
          <w:szCs w:val="20"/>
          <w:lang w:bidi="ar-EG"/>
        </w:rPr>
        <w:t>strongly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32A39" w:rsidRPr="00DF2AD3">
        <w:rPr>
          <w:rFonts w:ascii="Times New Roman" w:hAnsi="Times New Roman" w:cs="Times New Roman"/>
          <w:sz w:val="20"/>
          <w:szCs w:val="20"/>
          <w:lang w:bidi="ar-EG"/>
        </w:rPr>
        <w:t>influence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32A39" w:rsidRPr="00DF2AD3">
        <w:rPr>
          <w:rFonts w:ascii="Times New Roman" w:hAnsi="Times New Roman" w:cs="Times New Roman"/>
          <w:sz w:val="20"/>
          <w:szCs w:val="20"/>
          <w:lang w:bidi="ar-EG"/>
        </w:rPr>
        <w:t>outcome.</w:t>
      </w:r>
    </w:p>
    <w:p w:rsidR="00D8063B" w:rsidRPr="00DF2AD3" w:rsidRDefault="00D8063B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D47065" w:rsidRPr="00DF2AD3" w:rsidRDefault="00797368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/>
          <w:bCs/>
          <w:sz w:val="20"/>
          <w:szCs w:val="20"/>
          <w:lang w:bidi="ar-EG"/>
        </w:rPr>
        <w:t>References</w:t>
      </w:r>
    </w:p>
    <w:p w:rsidR="00D4706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P</w:t>
      </w:r>
      <w:r w:rsidR="00E8035F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oukkanen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E8035F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M,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8035F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Reinikainen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E8035F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M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8035F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Vaara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E8035F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ST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et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al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Predicting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one-year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mortality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critically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ill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8035F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8035F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early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8035F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8035F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8035F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injury</w:t>
      </w:r>
      <w:r w:rsidR="005244D5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06328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Finnaki</w:t>
      </w:r>
      <w:proofErr w:type="spellEnd"/>
      <w:r w:rsidR="00CC245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study,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06328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Crit</w:t>
      </w:r>
      <w:proofErr w:type="spellEnd"/>
      <w:r w:rsidR="00CC245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Care</w:t>
      </w:r>
      <w:r w:rsidR="00E8035F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8035F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2015;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19:12</w:t>
      </w:r>
      <w:r w:rsidR="00E8035F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="005244D5" w:rsidRPr="00DF2AD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706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C</w:t>
      </w:r>
      <w:r w:rsidR="00E8035F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hertow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E8035F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GM,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8035F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Muntner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E8035F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P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Wang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HE,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et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al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injury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mor</w:t>
      </w:r>
      <w:r w:rsidR="00E8035F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tality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8035F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8035F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hospitalized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8035F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patients</w:t>
      </w:r>
      <w:r w:rsidR="005244D5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Am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J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06328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Nephrol</w:t>
      </w:r>
      <w:proofErr w:type="spellEnd"/>
      <w:r w:rsidR="00E8035F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8035F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2012;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35</w:t>
      </w:r>
      <w:r w:rsidR="00E8035F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(4)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:349-355.</w:t>
      </w:r>
    </w:p>
    <w:p w:rsidR="00D4706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2AD3">
        <w:rPr>
          <w:rFonts w:ascii="Times New Roman" w:eastAsia="Times New Roman" w:hAnsi="Times New Roman" w:cs="Times New Roman"/>
          <w:bCs/>
          <w:sz w:val="20"/>
          <w:szCs w:val="20"/>
        </w:rPr>
        <w:t>C</w:t>
      </w:r>
      <w:r w:rsidR="00063289" w:rsidRPr="00DF2AD3">
        <w:rPr>
          <w:rFonts w:ascii="Times New Roman" w:eastAsia="Times New Roman" w:hAnsi="Times New Roman" w:cs="Times New Roman"/>
          <w:bCs/>
          <w:sz w:val="20"/>
          <w:szCs w:val="20"/>
        </w:rPr>
        <w:t>owie</w:t>
      </w:r>
      <w:proofErr w:type="spellEnd"/>
      <w:r w:rsidR="00CC2459" w:rsidRPr="00DF2AD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063289" w:rsidRPr="00DF2AD3">
        <w:rPr>
          <w:rFonts w:ascii="Times New Roman" w:eastAsia="Times New Roman" w:hAnsi="Times New Roman" w:cs="Times New Roman"/>
          <w:bCs/>
          <w:sz w:val="20"/>
          <w:szCs w:val="20"/>
        </w:rPr>
        <w:t>MR,</w:t>
      </w:r>
      <w:r w:rsidR="00CC2459" w:rsidRPr="00DF2AD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063289" w:rsidRPr="00DF2AD3">
        <w:rPr>
          <w:rFonts w:ascii="Times New Roman" w:eastAsia="Times New Roman" w:hAnsi="Times New Roman" w:cs="Times New Roman"/>
          <w:bCs/>
          <w:sz w:val="20"/>
          <w:szCs w:val="20"/>
        </w:rPr>
        <w:t>Dar</w:t>
      </w:r>
      <w:r w:rsidR="00CC2459" w:rsidRPr="00DF2AD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063289" w:rsidRPr="00DF2AD3">
        <w:rPr>
          <w:rFonts w:ascii="Times New Roman" w:eastAsia="Times New Roman" w:hAnsi="Times New Roman" w:cs="Times New Roman"/>
          <w:bCs/>
          <w:sz w:val="20"/>
          <w:szCs w:val="20"/>
        </w:rPr>
        <w:t>O</w:t>
      </w:r>
      <w:r w:rsidR="00063289" w:rsidRPr="00DF2AD3">
        <w:rPr>
          <w:rFonts w:ascii="Times New Roman" w:eastAsia="Times New Roman" w:hAnsi="Times New Roman" w:cs="Times New Roman"/>
          <w:sz w:val="20"/>
          <w:szCs w:val="20"/>
        </w:rPr>
        <w:t>: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eastAsia="Times New Roman" w:hAnsi="Times New Roman" w:cs="Times New Roman"/>
          <w:sz w:val="20"/>
          <w:szCs w:val="20"/>
        </w:rPr>
        <w:t>Acute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eastAsia="Times New Roman" w:hAnsi="Times New Roman" w:cs="Times New Roman"/>
          <w:sz w:val="20"/>
          <w:szCs w:val="20"/>
        </w:rPr>
        <w:t>heart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eastAsia="Times New Roman" w:hAnsi="Times New Roman" w:cs="Times New Roman"/>
          <w:sz w:val="20"/>
          <w:szCs w:val="20"/>
        </w:rPr>
        <w:t>fai</w:t>
      </w:r>
      <w:r w:rsidR="00E8035F" w:rsidRPr="00DF2AD3">
        <w:rPr>
          <w:rFonts w:ascii="Times New Roman" w:eastAsia="Times New Roman" w:hAnsi="Times New Roman" w:cs="Times New Roman"/>
          <w:sz w:val="20"/>
          <w:szCs w:val="20"/>
        </w:rPr>
        <w:t>lure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8035F" w:rsidRPr="00DF2AD3">
        <w:rPr>
          <w:rFonts w:ascii="Times New Roman" w:eastAsia="Times New Roman" w:hAnsi="Times New Roman" w:cs="Times New Roman"/>
          <w:sz w:val="20"/>
          <w:szCs w:val="20"/>
        </w:rPr>
        <w:t>in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8035F" w:rsidRPr="00DF2AD3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8035F" w:rsidRPr="00DF2AD3">
        <w:rPr>
          <w:rFonts w:ascii="Times New Roman" w:eastAsia="Times New Roman" w:hAnsi="Times New Roman" w:cs="Times New Roman"/>
          <w:sz w:val="20"/>
          <w:szCs w:val="20"/>
        </w:rPr>
        <w:t>intensive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8035F" w:rsidRPr="00DF2AD3">
        <w:rPr>
          <w:rFonts w:ascii="Times New Roman" w:eastAsia="Times New Roman" w:hAnsi="Times New Roman" w:cs="Times New Roman"/>
          <w:sz w:val="20"/>
          <w:szCs w:val="20"/>
        </w:rPr>
        <w:t>care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8035F" w:rsidRPr="00DF2AD3">
        <w:rPr>
          <w:rFonts w:ascii="Times New Roman" w:eastAsia="Times New Roman" w:hAnsi="Times New Roman" w:cs="Times New Roman"/>
          <w:sz w:val="20"/>
          <w:szCs w:val="20"/>
        </w:rPr>
        <w:t>unit</w:t>
      </w:r>
      <w:r w:rsidR="005244D5" w:rsidRPr="00DF2AD3">
        <w:rPr>
          <w:rFonts w:ascii="Times New Roman" w:eastAsia="Times New Roman" w:hAnsi="Times New Roman" w:cs="Times New Roman"/>
          <w:sz w:val="20"/>
          <w:szCs w:val="20"/>
        </w:rPr>
        <w:t>.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289" w:rsidRPr="00DF2AD3">
        <w:rPr>
          <w:rFonts w:ascii="Times New Roman" w:eastAsia="Times New Roman" w:hAnsi="Times New Roman" w:cs="Times New Roman"/>
          <w:i/>
          <w:iCs/>
          <w:sz w:val="20"/>
          <w:szCs w:val="20"/>
        </w:rPr>
        <w:t>Crit</w:t>
      </w:r>
      <w:proofErr w:type="spellEnd"/>
      <w:r w:rsidR="00CC2459" w:rsidRPr="00DF2AD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063289" w:rsidRPr="00DF2AD3">
        <w:rPr>
          <w:rFonts w:ascii="Times New Roman" w:eastAsia="Times New Roman" w:hAnsi="Times New Roman" w:cs="Times New Roman"/>
          <w:i/>
          <w:iCs/>
          <w:sz w:val="20"/>
          <w:szCs w:val="20"/>
        </w:rPr>
        <w:t>Care</w:t>
      </w:r>
      <w:r w:rsidR="00CC2459" w:rsidRPr="00DF2AD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063289" w:rsidRPr="00DF2AD3">
        <w:rPr>
          <w:rFonts w:ascii="Times New Roman" w:eastAsia="Times New Roman" w:hAnsi="Times New Roman" w:cs="Times New Roman"/>
          <w:i/>
          <w:iCs/>
          <w:sz w:val="20"/>
          <w:szCs w:val="20"/>
        </w:rPr>
        <w:t>Med</w:t>
      </w:r>
      <w:r w:rsidR="005244D5" w:rsidRPr="00DF2AD3">
        <w:rPr>
          <w:rFonts w:ascii="Times New Roman" w:eastAsia="Times New Roman" w:hAnsi="Times New Roman" w:cs="Times New Roman"/>
          <w:sz w:val="20"/>
          <w:szCs w:val="20"/>
        </w:rPr>
        <w:t>.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244D5" w:rsidRPr="00DF2AD3">
        <w:rPr>
          <w:rFonts w:ascii="Times New Roman" w:eastAsia="Times New Roman" w:hAnsi="Times New Roman" w:cs="Times New Roman"/>
          <w:sz w:val="20"/>
          <w:szCs w:val="20"/>
        </w:rPr>
        <w:t>2008;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B5357" w:rsidRPr="00DF2AD3">
        <w:rPr>
          <w:rFonts w:ascii="Times New Roman" w:eastAsia="Times New Roman" w:hAnsi="Times New Roman" w:cs="Times New Roman"/>
          <w:sz w:val="20"/>
          <w:szCs w:val="20"/>
        </w:rPr>
        <w:t>36</w:t>
      </w:r>
      <w:r w:rsidR="005244D5" w:rsidRPr="00DF2AD3">
        <w:rPr>
          <w:rFonts w:ascii="Times New Roman" w:eastAsia="Times New Roman" w:hAnsi="Times New Roman" w:cs="Times New Roman"/>
          <w:sz w:val="20"/>
          <w:szCs w:val="20"/>
        </w:rPr>
        <w:t>(1</w:t>
      </w:r>
      <w:r w:rsidR="00BB5357" w:rsidRPr="00DF2AD3">
        <w:rPr>
          <w:rFonts w:ascii="Times New Roman" w:eastAsia="Times New Roman" w:hAnsi="Times New Roman" w:cs="Times New Roman"/>
          <w:sz w:val="20"/>
          <w:szCs w:val="20"/>
        </w:rPr>
        <w:t>):</w:t>
      </w:r>
      <w:r w:rsidR="005244D5" w:rsidRPr="00DF2AD3">
        <w:rPr>
          <w:rFonts w:ascii="Times New Roman" w:eastAsia="Times New Roman" w:hAnsi="Times New Roman" w:cs="Times New Roman"/>
          <w:sz w:val="20"/>
          <w:szCs w:val="20"/>
        </w:rPr>
        <w:t>S3–</w:t>
      </w:r>
      <w:r w:rsidR="00063289" w:rsidRPr="00DF2AD3">
        <w:rPr>
          <w:rFonts w:ascii="Times New Roman" w:eastAsia="Times New Roman" w:hAnsi="Times New Roman" w:cs="Times New Roman"/>
          <w:sz w:val="20"/>
          <w:szCs w:val="20"/>
        </w:rPr>
        <w:t>8.</w:t>
      </w:r>
    </w:p>
    <w:p w:rsidR="00D4706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B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laine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C,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Dawnay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A,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Thomas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ME,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et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al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definition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B5357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injury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B5357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B5357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its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B5357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use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B5357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B5357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practice.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Kidney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I</w:t>
      </w:r>
      <w:r w:rsidR="00BB5357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n.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B5357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2015;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87</w:t>
      </w:r>
      <w:r w:rsidR="00BB5357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(1)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:62-73.</w:t>
      </w:r>
    </w:p>
    <w:p w:rsidR="00D3667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C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hertow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GM,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Marsden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PA,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Palevsky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PM,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Sharfuddin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AA,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Taal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MW,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Weisbord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SD,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et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al: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injury</w:t>
      </w:r>
      <w:r w:rsidR="00794FD7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Brenner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and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Rector's</w:t>
      </w:r>
      <w:r w:rsidR="00794FD7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,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The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Kidney,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9th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ed.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Philadelphia,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PA: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Saunders</w:t>
      </w:r>
      <w:r w:rsidR="00927994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2012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>;</w:t>
      </w:r>
      <w:r w:rsidR="00794FD7" w:rsidRPr="00DF2AD3">
        <w:rPr>
          <w:rFonts w:ascii="Times New Roman" w:eastAsia="Times New Roman" w:hAnsi="Times New Roman" w:cs="Times New Roman"/>
          <w:sz w:val="20"/>
          <w:szCs w:val="20"/>
        </w:rPr>
        <w:t>825(1):81-81</w:t>
      </w:r>
      <w:r w:rsidR="00D36675" w:rsidRPr="00DF2AD3">
        <w:rPr>
          <w:rFonts w:ascii="Times New Roman" w:eastAsia="Times New Roman" w:hAnsi="Times New Roman" w:cs="Times New Roman"/>
          <w:sz w:val="20"/>
          <w:szCs w:val="20"/>
        </w:rPr>
        <w:t>9.</w:t>
      </w:r>
    </w:p>
    <w:p w:rsidR="00D4706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T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sagalis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G.et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al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: </w:t>
      </w:r>
      <w:r w:rsidR="00063289" w:rsidRPr="00DF2AD3">
        <w:rPr>
          <w:rFonts w:ascii="Times New Roman" w:hAnsi="Times New Roman" w:cs="Times New Roman"/>
          <w:sz w:val="20"/>
          <w:szCs w:val="20"/>
        </w:rPr>
        <w:t>Update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</w:rPr>
        <w:t>injury: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</w:rPr>
        <w:t>intensive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</w:rPr>
        <w:t>care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</w:rPr>
        <w:t>nephrology</w:t>
      </w:r>
      <w:r w:rsidR="00927994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06328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Hippokratia</w:t>
      </w:r>
      <w:proofErr w:type="spellEnd"/>
      <w:r w:rsidR="00927994" w:rsidRPr="00DF2AD3">
        <w:rPr>
          <w:rFonts w:ascii="Times New Roman" w:hAnsi="Times New Roman" w:cs="Times New Roman"/>
          <w:sz w:val="20"/>
          <w:szCs w:val="20"/>
        </w:rPr>
        <w:t>.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="00927994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2011;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27994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15(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1):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53–68.</w:t>
      </w:r>
    </w:p>
    <w:p w:rsidR="00D4706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B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astin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AJ,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Diller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GP,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Evans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TW,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Finney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SJ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, </w:t>
      </w:r>
      <w:proofErr w:type="spellStart"/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Ostermann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M,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Slack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AJ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: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injury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after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cardiac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surgery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according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Risk/Injury/Failure/Loss/End-stage,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Injury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Network,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Disease: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Improving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27994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Global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27994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Outcomes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27994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classifications.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J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06328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Crit</w:t>
      </w:r>
      <w:proofErr w:type="spellEnd"/>
      <w:r w:rsidR="00CC245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Care</w:t>
      </w:r>
      <w:r w:rsidR="00927994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27994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2013;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28</w:t>
      </w:r>
      <w:r w:rsidR="00927994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(4)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389-396.</w:t>
      </w:r>
    </w:p>
    <w:p w:rsidR="00D4706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B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agshaw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SM,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Bellomo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R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,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George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C: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comparison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RIFLE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AKIN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criteria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for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injury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critically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ill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patient</w:t>
      </w:r>
      <w:r w:rsidR="00590EDE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s.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063289" w:rsidRPr="00DF2AD3">
        <w:rPr>
          <w:rStyle w:val="ref-journal"/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Nephrol</w:t>
      </w:r>
      <w:proofErr w:type="spellEnd"/>
      <w:r w:rsidR="00CC2459" w:rsidRPr="00DF2AD3">
        <w:rPr>
          <w:rStyle w:val="ref-journal"/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Style w:val="ref-journal"/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Dial</w:t>
      </w:r>
      <w:r w:rsidR="00CC2459" w:rsidRPr="00DF2AD3">
        <w:rPr>
          <w:rStyle w:val="ref-journal"/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Style w:val="ref-journal"/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Transplant</w:t>
      </w:r>
      <w:r w:rsidR="00590EDE" w:rsidRPr="00DF2AD3">
        <w:rPr>
          <w:rStyle w:val="ref-journal"/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CC2459" w:rsidRPr="00DF2AD3">
        <w:rPr>
          <w:rStyle w:val="ref-journal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2008</w:t>
      </w:r>
      <w:r w:rsidR="00590EDE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3289" w:rsidRPr="00DF2AD3">
        <w:rPr>
          <w:rStyle w:val="ref-vol"/>
          <w:rFonts w:ascii="Times New Roman" w:hAnsi="Times New Roman" w:cs="Times New Roman"/>
          <w:sz w:val="20"/>
          <w:szCs w:val="20"/>
          <w:shd w:val="clear" w:color="auto" w:fill="FFFFFF"/>
        </w:rPr>
        <w:t>23</w:t>
      </w:r>
      <w:r w:rsidR="0006328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(5):1569–1574.</w:t>
      </w:r>
    </w:p>
    <w:p w:rsidR="00D4706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L</w:t>
      </w:r>
      <w:r w:rsidR="00826C25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ex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A951D4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DJ</w:t>
      </w:r>
      <w:r w:rsidR="00826C25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826C25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Tóth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A951D4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R</w:t>
      </w:r>
      <w:r w:rsidR="00826C25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826C25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et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826C25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al: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826C25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26C25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comparison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26C25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26C25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26C25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systems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26C25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for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26C25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26C25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identification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26C25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26C25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postoperative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26C25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26C25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26C25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injury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26C25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26C25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pediatric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26C25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cardiac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26C25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patients.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6C25" w:rsidRPr="00DF2AD3">
        <w:rPr>
          <w:rFonts w:ascii="Times New Roman" w:eastAsia="Times New Roman" w:hAnsi="Times New Roman" w:cs="Times New Roman"/>
          <w:i/>
          <w:iCs/>
          <w:sz w:val="20"/>
          <w:szCs w:val="20"/>
        </w:rPr>
        <w:t>Ann</w:t>
      </w:r>
      <w:r w:rsidR="00CC2459" w:rsidRPr="00DF2AD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26C25" w:rsidRPr="00DF2AD3">
        <w:rPr>
          <w:rFonts w:ascii="Times New Roman" w:eastAsia="Times New Roman" w:hAnsi="Times New Roman" w:cs="Times New Roman"/>
          <w:i/>
          <w:iCs/>
          <w:sz w:val="20"/>
          <w:szCs w:val="20"/>
        </w:rPr>
        <w:t>Thorac</w:t>
      </w:r>
      <w:proofErr w:type="spellEnd"/>
      <w:r w:rsidR="00CC2459" w:rsidRPr="00DF2AD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826C25" w:rsidRPr="00DF2AD3">
        <w:rPr>
          <w:rFonts w:ascii="Times New Roman" w:eastAsia="Times New Roman" w:hAnsi="Times New Roman" w:cs="Times New Roman"/>
          <w:i/>
          <w:iCs/>
          <w:sz w:val="20"/>
          <w:szCs w:val="20"/>
        </w:rPr>
        <w:t>Surg</w:t>
      </w:r>
      <w:r w:rsidR="00826C25" w:rsidRPr="00DF2AD3">
        <w:rPr>
          <w:rFonts w:ascii="Times New Roman" w:eastAsia="Times New Roman" w:hAnsi="Times New Roman" w:cs="Times New Roman"/>
          <w:sz w:val="20"/>
          <w:szCs w:val="20"/>
        </w:rPr>
        <w:t>.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6C25" w:rsidRPr="00DF2AD3">
        <w:rPr>
          <w:rFonts w:ascii="Times New Roman" w:eastAsia="Times New Roman" w:hAnsi="Times New Roman" w:cs="Times New Roman"/>
          <w:sz w:val="20"/>
          <w:szCs w:val="20"/>
        </w:rPr>
        <w:t>2014;</w:t>
      </w:r>
      <w:r w:rsidR="00CC2459" w:rsidRPr="00DF2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6C25" w:rsidRPr="00DF2AD3">
        <w:rPr>
          <w:rFonts w:ascii="Times New Roman" w:eastAsia="Times New Roman" w:hAnsi="Times New Roman" w:cs="Times New Roman"/>
          <w:sz w:val="20"/>
          <w:szCs w:val="20"/>
        </w:rPr>
        <w:t>97(1):202-210.</w:t>
      </w:r>
    </w:p>
    <w:p w:rsidR="00D4706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2AD3">
        <w:rPr>
          <w:rFonts w:ascii="Times New Roman" w:hAnsi="Times New Roman" w:cs="Times New Roman"/>
          <w:bCs/>
          <w:sz w:val="20"/>
          <w:szCs w:val="20"/>
        </w:rPr>
        <w:t>D</w:t>
      </w:r>
      <w:r w:rsidR="00BF04E0" w:rsidRPr="00DF2AD3">
        <w:rPr>
          <w:rFonts w:ascii="Times New Roman" w:hAnsi="Times New Roman" w:cs="Times New Roman"/>
          <w:bCs/>
          <w:sz w:val="20"/>
          <w:szCs w:val="20"/>
        </w:rPr>
        <w:t>elanaye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F04E0" w:rsidRPr="00DF2AD3">
        <w:rPr>
          <w:rFonts w:ascii="Times New Roman" w:hAnsi="Times New Roman" w:cs="Times New Roman"/>
          <w:bCs/>
          <w:sz w:val="20"/>
          <w:szCs w:val="20"/>
        </w:rPr>
        <w:t>PA,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F04E0" w:rsidRPr="00DF2AD3">
        <w:rPr>
          <w:rFonts w:ascii="Times New Roman" w:hAnsi="Times New Roman" w:cs="Times New Roman"/>
          <w:bCs/>
          <w:sz w:val="20"/>
          <w:szCs w:val="20"/>
        </w:rPr>
        <w:t>Cavalier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F04E0" w:rsidRPr="00DF2AD3">
        <w:rPr>
          <w:rFonts w:ascii="Times New Roman" w:hAnsi="Times New Roman" w:cs="Times New Roman"/>
          <w:bCs/>
          <w:sz w:val="20"/>
          <w:szCs w:val="20"/>
        </w:rPr>
        <w:t>EB,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F04E0" w:rsidRPr="00DF2AD3">
        <w:rPr>
          <w:rFonts w:ascii="Times New Roman" w:hAnsi="Times New Roman" w:cs="Times New Roman"/>
          <w:bCs/>
          <w:sz w:val="20"/>
          <w:szCs w:val="20"/>
        </w:rPr>
        <w:t>Pottel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F04E0" w:rsidRPr="00DF2AD3">
        <w:rPr>
          <w:rFonts w:ascii="Times New Roman" w:hAnsi="Times New Roman" w:cs="Times New Roman"/>
          <w:bCs/>
          <w:sz w:val="20"/>
          <w:szCs w:val="20"/>
        </w:rPr>
        <w:t>HC</w:t>
      </w:r>
      <w:r w:rsidR="00063289" w:rsidRPr="00DF2AD3">
        <w:rPr>
          <w:rFonts w:ascii="Times New Roman" w:hAnsi="Times New Roman" w:cs="Times New Roman"/>
          <w:bCs/>
          <w:sz w:val="20"/>
          <w:szCs w:val="20"/>
        </w:rPr>
        <w:t>,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</w:rPr>
        <w:t>et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</w:rPr>
        <w:t>al: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</w:rPr>
        <w:t>Serum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3289" w:rsidRPr="00DF2AD3">
        <w:rPr>
          <w:rFonts w:ascii="Times New Roman" w:hAnsi="Times New Roman" w:cs="Times New Roman"/>
          <w:sz w:val="20"/>
          <w:szCs w:val="20"/>
        </w:rPr>
        <w:t>Creatinine</w:t>
      </w:r>
      <w:proofErr w:type="spellEnd"/>
      <w:r w:rsidR="00063289" w:rsidRPr="00DF2AD3">
        <w:rPr>
          <w:rFonts w:ascii="Times New Roman" w:hAnsi="Times New Roman" w:cs="Times New Roman"/>
          <w:sz w:val="20"/>
          <w:szCs w:val="20"/>
        </w:rPr>
        <w:t>: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</w:rPr>
        <w:t>Not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</w:rPr>
        <w:t>So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</w:rPr>
        <w:t>Simple!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3289" w:rsidRPr="00DF2AD3">
        <w:rPr>
          <w:rFonts w:ascii="Times New Roman" w:hAnsi="Times New Roman" w:cs="Times New Roman"/>
          <w:i/>
          <w:iCs/>
          <w:sz w:val="20"/>
          <w:szCs w:val="20"/>
        </w:rPr>
        <w:t>Nephron</w:t>
      </w:r>
      <w:proofErr w:type="spellEnd"/>
      <w:r w:rsidR="001E64E7" w:rsidRPr="00DF2AD3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</w:rPr>
        <w:t>2017;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</w:rPr>
        <w:t>136</w:t>
      </w:r>
      <w:r w:rsidR="001E64E7" w:rsidRPr="00DF2AD3">
        <w:rPr>
          <w:rFonts w:ascii="Times New Roman" w:hAnsi="Times New Roman" w:cs="Times New Roman"/>
          <w:sz w:val="20"/>
          <w:szCs w:val="20"/>
        </w:rPr>
        <w:t>(4)</w:t>
      </w:r>
      <w:r w:rsidR="00063289" w:rsidRPr="00DF2AD3">
        <w:rPr>
          <w:rFonts w:ascii="Times New Roman" w:hAnsi="Times New Roman" w:cs="Times New Roman"/>
          <w:sz w:val="20"/>
          <w:szCs w:val="20"/>
        </w:rPr>
        <w:t>:302-308.</w:t>
      </w:r>
    </w:p>
    <w:p w:rsidR="00D4706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S</w:t>
      </w:r>
      <w:r w:rsidR="00AD0613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chwandt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BF04E0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</w:t>
      </w:r>
      <w:r w:rsidR="00AD0613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AD0613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Denkinger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BF04E0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M</w:t>
      </w:r>
      <w:r w:rsidR="00AD0613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AD0613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Fasching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BF04E0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P</w:t>
      </w:r>
      <w:r w:rsidR="00AD0613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AD0613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et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AD0613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al:</w:t>
      </w:r>
      <w:r w:rsidR="00CC2459" w:rsidRPr="00DF2AD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AD0613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Comparison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D0613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D0613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MDRD,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D0613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CKD-EPI,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D0613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D0613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Cockcroft-</w:t>
      </w:r>
      <w:proofErr w:type="spellStart"/>
      <w:r w:rsidR="00AD0613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Gault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D0613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equation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D0613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D0613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relation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D0613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D0613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measured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AD0613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glomerular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D0613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filtration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D0613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rate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D0613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among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D0613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D0613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large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D0613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cohort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D0613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D0613" w:rsidRPr="00DF2AD3">
        <w:rPr>
          <w:rFonts w:ascii="Times New Roman" w:hAnsi="Times New Roman" w:cs="Times New Roman"/>
          <w:sz w:val="20"/>
          <w:szCs w:val="20"/>
          <w:shd w:val="clear" w:color="auto" w:fill="FFFFFF"/>
        </w:rPr>
        <w:t>diabetes</w:t>
      </w:r>
      <w:r w:rsidR="00AD0613" w:rsidRPr="00DF2AD3">
        <w:rPr>
          <w:rFonts w:ascii="Times New Roman" w:hAnsi="Times New Roman" w:cs="Times New Roman"/>
          <w:sz w:val="20"/>
          <w:szCs w:val="20"/>
        </w:rPr>
        <w:t>.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AD0613" w:rsidRPr="00DF2AD3">
        <w:rPr>
          <w:rFonts w:ascii="Times New Roman" w:hAnsi="Times New Roman" w:cs="Times New Roman"/>
          <w:i/>
          <w:iCs/>
          <w:sz w:val="20"/>
          <w:szCs w:val="20"/>
        </w:rPr>
        <w:t>J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D0613" w:rsidRPr="00DF2AD3">
        <w:rPr>
          <w:rFonts w:ascii="Times New Roman" w:hAnsi="Times New Roman" w:cs="Times New Roman"/>
          <w:i/>
          <w:iCs/>
          <w:sz w:val="20"/>
          <w:szCs w:val="20"/>
        </w:rPr>
        <w:t>Diabetes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D0613" w:rsidRPr="00DF2AD3">
        <w:rPr>
          <w:rFonts w:ascii="Times New Roman" w:hAnsi="Times New Roman" w:cs="Times New Roman"/>
          <w:i/>
          <w:iCs/>
          <w:sz w:val="20"/>
          <w:szCs w:val="20"/>
        </w:rPr>
        <w:t>Complications.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AD0613" w:rsidRPr="00DF2AD3">
        <w:rPr>
          <w:rFonts w:ascii="Times New Roman" w:hAnsi="Times New Roman" w:cs="Times New Roman"/>
          <w:sz w:val="20"/>
          <w:szCs w:val="20"/>
        </w:rPr>
        <w:t>2017;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AD0613" w:rsidRPr="00DF2AD3">
        <w:rPr>
          <w:rFonts w:ascii="Times New Roman" w:hAnsi="Times New Roman" w:cs="Times New Roman"/>
          <w:sz w:val="20"/>
          <w:szCs w:val="20"/>
        </w:rPr>
        <w:t>31(9):1376-1383.</w:t>
      </w:r>
    </w:p>
    <w:p w:rsidR="00D4706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F2AD3">
        <w:rPr>
          <w:rFonts w:ascii="Times New Roman" w:hAnsi="Times New Roman" w:cs="Times New Roman"/>
          <w:bCs/>
          <w:sz w:val="20"/>
          <w:szCs w:val="20"/>
        </w:rPr>
        <w:t>D</w:t>
      </w:r>
      <w:r w:rsidR="00063289" w:rsidRPr="00DF2AD3">
        <w:rPr>
          <w:rFonts w:ascii="Times New Roman" w:hAnsi="Times New Roman" w:cs="Times New Roman"/>
          <w:bCs/>
          <w:sz w:val="20"/>
          <w:szCs w:val="20"/>
        </w:rPr>
        <w:t>elanaye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D25A0" w:rsidRPr="00DF2AD3">
        <w:rPr>
          <w:rFonts w:ascii="Times New Roman" w:hAnsi="Times New Roman" w:cs="Times New Roman"/>
          <w:bCs/>
          <w:sz w:val="20"/>
          <w:szCs w:val="20"/>
        </w:rPr>
        <w:t>P,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63289" w:rsidRPr="00DF2AD3">
        <w:rPr>
          <w:rFonts w:ascii="Times New Roman" w:hAnsi="Times New Roman" w:cs="Times New Roman"/>
          <w:bCs/>
          <w:sz w:val="20"/>
          <w:szCs w:val="20"/>
        </w:rPr>
        <w:t>Glassock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D25A0" w:rsidRPr="00DF2AD3">
        <w:rPr>
          <w:rFonts w:ascii="Times New Roman" w:hAnsi="Times New Roman" w:cs="Times New Roman"/>
          <w:bCs/>
          <w:sz w:val="20"/>
          <w:szCs w:val="20"/>
        </w:rPr>
        <w:t>RJ,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63289" w:rsidRPr="00DF2AD3">
        <w:rPr>
          <w:rFonts w:ascii="Times New Roman" w:hAnsi="Times New Roman" w:cs="Times New Roman"/>
          <w:bCs/>
          <w:sz w:val="20"/>
          <w:szCs w:val="20"/>
        </w:rPr>
        <w:t>Pottel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D25A0" w:rsidRPr="00DF2AD3">
        <w:rPr>
          <w:rFonts w:ascii="Times New Roman" w:hAnsi="Times New Roman" w:cs="Times New Roman"/>
          <w:bCs/>
          <w:sz w:val="20"/>
          <w:szCs w:val="20"/>
        </w:rPr>
        <w:t>H</w:t>
      </w:r>
      <w:r w:rsidR="00063289" w:rsidRPr="00DF2AD3">
        <w:rPr>
          <w:rFonts w:ascii="Times New Roman" w:hAnsi="Times New Roman" w:cs="Times New Roman"/>
          <w:bCs/>
          <w:sz w:val="20"/>
          <w:szCs w:val="20"/>
        </w:rPr>
        <w:t>,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</w:rPr>
        <w:t>et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bCs/>
          <w:sz w:val="20"/>
          <w:szCs w:val="20"/>
        </w:rPr>
        <w:t>al: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3289" w:rsidRPr="00DF2AD3">
        <w:rPr>
          <w:rFonts w:ascii="Times New Roman" w:hAnsi="Times New Roman" w:cs="Times New Roman"/>
          <w:i/>
          <w:iCs/>
          <w:sz w:val="20"/>
          <w:szCs w:val="20"/>
        </w:rPr>
        <w:t>Clin</w:t>
      </w:r>
      <w:proofErr w:type="spellEnd"/>
      <w:r w:rsidR="00CC2459" w:rsidRPr="00DF2AD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63289" w:rsidRPr="00DF2AD3">
        <w:rPr>
          <w:rFonts w:ascii="Times New Roman" w:hAnsi="Times New Roman" w:cs="Times New Roman"/>
          <w:i/>
          <w:iCs/>
          <w:sz w:val="20"/>
          <w:szCs w:val="20"/>
        </w:rPr>
        <w:t>Biochem</w:t>
      </w:r>
      <w:proofErr w:type="spellEnd"/>
      <w:r w:rsidR="00CC2459" w:rsidRPr="00DF2AD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i/>
          <w:iCs/>
          <w:sz w:val="20"/>
          <w:szCs w:val="20"/>
        </w:rPr>
        <w:t>Rev</w:t>
      </w:r>
      <w:r w:rsidR="00AD0613" w:rsidRPr="00DF2AD3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AD0613" w:rsidRPr="00DF2AD3">
        <w:rPr>
          <w:rFonts w:ascii="Times New Roman" w:hAnsi="Times New Roman" w:cs="Times New Roman"/>
          <w:sz w:val="20"/>
          <w:szCs w:val="20"/>
        </w:rPr>
        <w:t>2016;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AD0613" w:rsidRPr="00DF2AD3">
        <w:rPr>
          <w:rFonts w:ascii="Times New Roman" w:hAnsi="Times New Roman" w:cs="Times New Roman"/>
          <w:sz w:val="20"/>
          <w:szCs w:val="20"/>
        </w:rPr>
        <w:t>37(1):</w:t>
      </w:r>
      <w:r w:rsidR="00063289" w:rsidRPr="00DF2AD3">
        <w:rPr>
          <w:rFonts w:ascii="Times New Roman" w:hAnsi="Times New Roman" w:cs="Times New Roman"/>
          <w:sz w:val="20"/>
          <w:szCs w:val="20"/>
        </w:rPr>
        <w:t>17–26.</w:t>
      </w:r>
    </w:p>
    <w:p w:rsidR="00D4706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F2AD3">
        <w:rPr>
          <w:rFonts w:ascii="Times New Roman" w:hAnsi="Times New Roman" w:cs="Times New Roman"/>
          <w:bCs/>
          <w:sz w:val="20"/>
          <w:szCs w:val="20"/>
        </w:rPr>
        <w:t>D</w:t>
      </w:r>
      <w:r w:rsidR="002D25A0" w:rsidRPr="00DF2AD3">
        <w:rPr>
          <w:rFonts w:ascii="Times New Roman" w:hAnsi="Times New Roman" w:cs="Times New Roman"/>
          <w:bCs/>
          <w:sz w:val="20"/>
          <w:szCs w:val="20"/>
        </w:rPr>
        <w:t>awson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D25A0" w:rsidRPr="00DF2AD3">
        <w:rPr>
          <w:rFonts w:ascii="Times New Roman" w:hAnsi="Times New Roman" w:cs="Times New Roman"/>
          <w:bCs/>
          <w:sz w:val="20"/>
          <w:szCs w:val="20"/>
        </w:rPr>
        <w:t>BD,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D25A0" w:rsidRPr="00DF2AD3">
        <w:rPr>
          <w:rFonts w:ascii="Times New Roman" w:hAnsi="Times New Roman" w:cs="Times New Roman"/>
          <w:bCs/>
          <w:sz w:val="20"/>
          <w:szCs w:val="20"/>
        </w:rPr>
        <w:t>Trapp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D25A0" w:rsidRPr="00DF2AD3">
        <w:rPr>
          <w:rFonts w:ascii="Times New Roman" w:hAnsi="Times New Roman" w:cs="Times New Roman"/>
          <w:bCs/>
          <w:sz w:val="20"/>
          <w:szCs w:val="20"/>
        </w:rPr>
        <w:t>R</w:t>
      </w:r>
      <w:r w:rsidR="00063289" w:rsidRPr="00DF2AD3">
        <w:rPr>
          <w:rFonts w:ascii="Times New Roman" w:hAnsi="Times New Roman" w:cs="Times New Roman"/>
          <w:bCs/>
          <w:sz w:val="20"/>
          <w:szCs w:val="20"/>
        </w:rPr>
        <w:t>G</w:t>
      </w:r>
      <w:r w:rsidR="002D25A0" w:rsidRPr="00DF2AD3">
        <w:rPr>
          <w:rFonts w:ascii="Times New Roman" w:hAnsi="Times New Roman" w:cs="Times New Roman"/>
          <w:bCs/>
          <w:sz w:val="20"/>
          <w:szCs w:val="20"/>
        </w:rPr>
        <w:t>,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D25A0" w:rsidRPr="00DF2AD3">
        <w:rPr>
          <w:rFonts w:ascii="Times New Roman" w:hAnsi="Times New Roman" w:cs="Times New Roman"/>
          <w:bCs/>
          <w:sz w:val="20"/>
          <w:szCs w:val="20"/>
        </w:rPr>
        <w:t>et</w:t>
      </w:r>
      <w:r w:rsidR="00CC2459" w:rsidRPr="00DF2A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D25A0" w:rsidRPr="00DF2AD3">
        <w:rPr>
          <w:rFonts w:ascii="Times New Roman" w:hAnsi="Times New Roman" w:cs="Times New Roman"/>
          <w:bCs/>
          <w:sz w:val="20"/>
          <w:szCs w:val="20"/>
        </w:rPr>
        <w:t>al</w:t>
      </w:r>
      <w:r w:rsidR="00063289" w:rsidRPr="00DF2AD3">
        <w:rPr>
          <w:rFonts w:ascii="Times New Roman" w:hAnsi="Times New Roman" w:cs="Times New Roman"/>
          <w:bCs/>
          <w:sz w:val="20"/>
          <w:szCs w:val="20"/>
        </w:rPr>
        <w:t>: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</w:rPr>
        <w:t>Reading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</w:rPr>
        <w:t>medical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</w:rPr>
        <w:t>literature: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</w:rPr>
        <w:t>Basic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&amp; </w:t>
      </w:r>
      <w:r w:rsidR="00063289" w:rsidRPr="00DF2AD3">
        <w:rPr>
          <w:rFonts w:ascii="Times New Roman" w:hAnsi="Times New Roman" w:cs="Times New Roman"/>
          <w:sz w:val="20"/>
          <w:szCs w:val="20"/>
        </w:rPr>
        <w:t>Clinical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</w:rPr>
        <w:t>Biostatistics.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</w:rPr>
        <w:lastRenderedPageBreak/>
        <w:t>Lange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</w:rPr>
        <w:t>Medical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</w:rPr>
        <w:t>Book/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</w:rPr>
        <w:t>McGraw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</w:rPr>
        <w:t>–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</w:rPr>
        <w:t>Hill.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i/>
          <w:iCs/>
          <w:sz w:val="20"/>
          <w:szCs w:val="20"/>
        </w:rPr>
        <w:t>Medical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i/>
          <w:iCs/>
          <w:sz w:val="20"/>
          <w:szCs w:val="20"/>
        </w:rPr>
        <w:t>Publication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i/>
          <w:iCs/>
          <w:sz w:val="20"/>
          <w:szCs w:val="20"/>
        </w:rPr>
        <w:t>Division,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i/>
          <w:iCs/>
          <w:sz w:val="20"/>
          <w:szCs w:val="20"/>
        </w:rPr>
        <w:t>New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i/>
          <w:iCs/>
          <w:sz w:val="20"/>
          <w:szCs w:val="20"/>
        </w:rPr>
        <w:t>York.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D0613" w:rsidRPr="00DF2AD3">
        <w:rPr>
          <w:rFonts w:ascii="Times New Roman" w:hAnsi="Times New Roman" w:cs="Times New Roman"/>
          <w:sz w:val="20"/>
          <w:szCs w:val="20"/>
        </w:rPr>
        <w:t>200</w:t>
      </w:r>
      <w:r w:rsidR="00FA0EF4" w:rsidRPr="00DF2AD3">
        <w:rPr>
          <w:rFonts w:ascii="Times New Roman" w:hAnsi="Times New Roman" w:cs="Times New Roman"/>
          <w:sz w:val="20"/>
          <w:szCs w:val="20"/>
        </w:rPr>
        <w:t>1</w:t>
      </w:r>
      <w:r w:rsidR="00AD0613" w:rsidRPr="00DF2AD3">
        <w:rPr>
          <w:rFonts w:ascii="Times New Roman" w:hAnsi="Times New Roman" w:cs="Times New Roman"/>
          <w:sz w:val="20"/>
          <w:szCs w:val="20"/>
        </w:rPr>
        <w:t>;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</w:rPr>
        <w:t>3rd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063289" w:rsidRPr="00DF2AD3">
        <w:rPr>
          <w:rFonts w:ascii="Times New Roman" w:hAnsi="Times New Roman" w:cs="Times New Roman"/>
          <w:sz w:val="20"/>
          <w:szCs w:val="20"/>
        </w:rPr>
        <w:t>ed.,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AD0613" w:rsidRPr="00DF2AD3">
        <w:rPr>
          <w:rFonts w:ascii="Times New Roman" w:hAnsi="Times New Roman" w:cs="Times New Roman"/>
          <w:sz w:val="20"/>
          <w:szCs w:val="20"/>
        </w:rPr>
        <w:t>Ch.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AD0613" w:rsidRPr="00DF2AD3">
        <w:rPr>
          <w:rFonts w:ascii="Times New Roman" w:hAnsi="Times New Roman" w:cs="Times New Roman"/>
          <w:sz w:val="20"/>
          <w:szCs w:val="20"/>
        </w:rPr>
        <w:t>7-9</w:t>
      </w:r>
      <w:r w:rsidR="009D1142" w:rsidRPr="00DF2AD3">
        <w:rPr>
          <w:rFonts w:ascii="Times New Roman" w:hAnsi="Times New Roman" w:cs="Times New Roman"/>
          <w:sz w:val="20"/>
          <w:szCs w:val="20"/>
        </w:rPr>
        <w:t>:</w:t>
      </w:r>
      <w:r w:rsidR="00063289" w:rsidRPr="00DF2AD3">
        <w:rPr>
          <w:rFonts w:ascii="Times New Roman" w:hAnsi="Times New Roman" w:cs="Times New Roman"/>
          <w:sz w:val="20"/>
          <w:szCs w:val="20"/>
        </w:rPr>
        <w:t>161-</w:t>
      </w:r>
      <w:r w:rsidR="009D1142" w:rsidRPr="00DF2AD3">
        <w:rPr>
          <w:rFonts w:ascii="Times New Roman" w:hAnsi="Times New Roman" w:cs="Times New Roman"/>
          <w:sz w:val="20"/>
          <w:szCs w:val="20"/>
        </w:rPr>
        <w:t>218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9D1142" w:rsidRPr="00DF2AD3">
        <w:rPr>
          <w:rFonts w:ascii="Times New Roman" w:hAnsi="Times New Roman" w:cs="Times New Roman"/>
          <w:sz w:val="20"/>
          <w:szCs w:val="20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9D1142" w:rsidRPr="00DF2AD3">
        <w:rPr>
          <w:rFonts w:ascii="Times New Roman" w:hAnsi="Times New Roman" w:cs="Times New Roman"/>
          <w:sz w:val="20"/>
          <w:szCs w:val="20"/>
        </w:rPr>
        <w:t>Ch.</w:t>
      </w:r>
      <w:r w:rsidR="00CC2459" w:rsidRPr="00DF2AD3">
        <w:rPr>
          <w:rFonts w:ascii="Times New Roman" w:hAnsi="Times New Roman" w:cs="Times New Roman"/>
          <w:sz w:val="20"/>
          <w:szCs w:val="20"/>
        </w:rPr>
        <w:t xml:space="preserve"> </w:t>
      </w:r>
      <w:r w:rsidR="009D1142" w:rsidRPr="00DF2AD3">
        <w:rPr>
          <w:rFonts w:ascii="Times New Roman" w:hAnsi="Times New Roman" w:cs="Times New Roman"/>
          <w:sz w:val="20"/>
          <w:szCs w:val="20"/>
        </w:rPr>
        <w:t>13:</w:t>
      </w:r>
      <w:r w:rsidR="00AD0613" w:rsidRPr="00DF2AD3">
        <w:rPr>
          <w:rFonts w:ascii="Times New Roman" w:hAnsi="Times New Roman" w:cs="Times New Roman"/>
          <w:sz w:val="20"/>
          <w:szCs w:val="20"/>
        </w:rPr>
        <w:t>305-314</w:t>
      </w:r>
      <w:r w:rsidR="00063289" w:rsidRPr="00DF2AD3">
        <w:rPr>
          <w:rFonts w:ascii="Times New Roman" w:hAnsi="Times New Roman" w:cs="Times New Roman"/>
          <w:sz w:val="20"/>
          <w:szCs w:val="20"/>
        </w:rPr>
        <w:t>.</w:t>
      </w:r>
    </w:p>
    <w:p w:rsidR="00D4706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  <w:lang w:bidi="ar-EG"/>
        </w:rPr>
      </w:pPr>
      <w:proofErr w:type="spellStart"/>
      <w:r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K</w:t>
      </w:r>
      <w:r w:rsidR="00FA0EF4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ingma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2D25A0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JG,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FA0EF4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Simard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2D25A0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D,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FA0EF4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Rouleau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2D25A0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JR</w:t>
      </w:r>
      <w:r w:rsidR="00FA0EF4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FA0EF4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et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FA0EF4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al: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FA0EF4"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A0EF4" w:rsidRPr="00DF2AD3">
        <w:rPr>
          <w:rFonts w:ascii="Times New Roman" w:hAnsi="Times New Roman" w:cs="Times New Roman"/>
          <w:sz w:val="20"/>
          <w:szCs w:val="20"/>
          <w:lang w:bidi="ar-EG"/>
        </w:rPr>
        <w:t>Physiopathology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A0EF4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FA0EF4" w:rsidRPr="00DF2AD3">
        <w:rPr>
          <w:rFonts w:ascii="Times New Roman" w:hAnsi="Times New Roman" w:cs="Times New Roman"/>
          <w:sz w:val="20"/>
          <w:szCs w:val="20"/>
          <w:lang w:bidi="ar-EG"/>
        </w:rPr>
        <w:t>Cardiorenal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A0EF4" w:rsidRPr="00DF2AD3">
        <w:rPr>
          <w:rFonts w:ascii="Times New Roman" w:hAnsi="Times New Roman" w:cs="Times New Roman"/>
          <w:sz w:val="20"/>
          <w:szCs w:val="20"/>
          <w:lang w:bidi="ar-EG"/>
        </w:rPr>
        <w:t>Syndrome: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A0EF4"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A0EF4" w:rsidRPr="00DF2AD3">
        <w:rPr>
          <w:rFonts w:ascii="Times New Roman" w:hAnsi="Times New Roman" w:cs="Times New Roman"/>
          <w:sz w:val="20"/>
          <w:szCs w:val="20"/>
          <w:lang w:bidi="ar-EG"/>
        </w:rPr>
        <w:t>Review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A0EF4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A0EF4"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A0EF4" w:rsidRPr="00DF2AD3">
        <w:rPr>
          <w:rFonts w:ascii="Times New Roman" w:hAnsi="Times New Roman" w:cs="Times New Roman"/>
          <w:sz w:val="20"/>
          <w:szCs w:val="20"/>
          <w:lang w:bidi="ar-EG"/>
        </w:rPr>
        <w:t>Potential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A0EF4" w:rsidRPr="00DF2AD3">
        <w:rPr>
          <w:rFonts w:ascii="Times New Roman" w:hAnsi="Times New Roman" w:cs="Times New Roman"/>
          <w:sz w:val="20"/>
          <w:szCs w:val="20"/>
          <w:lang w:bidi="ar-EG"/>
        </w:rPr>
        <w:t>Contributions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A0EF4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A0EF4" w:rsidRPr="00DF2AD3">
        <w:rPr>
          <w:rFonts w:ascii="Times New Roman" w:hAnsi="Times New Roman" w:cs="Times New Roman"/>
          <w:sz w:val="20"/>
          <w:szCs w:val="20"/>
          <w:lang w:bidi="ar-EG"/>
        </w:rPr>
        <w:t>Inflammation</w:t>
      </w:r>
      <w:r w:rsidR="00FA0EF4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.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FA0EF4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J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proofErr w:type="spellStart"/>
      <w:r w:rsidR="00FA0EF4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Cardiovasc</w:t>
      </w:r>
      <w:proofErr w:type="spellEnd"/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FA0EF4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Dev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FA0EF4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Dis.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A0EF4" w:rsidRPr="00DF2AD3">
        <w:rPr>
          <w:rFonts w:ascii="Times New Roman" w:hAnsi="Times New Roman" w:cs="Times New Roman"/>
          <w:sz w:val="20"/>
          <w:szCs w:val="20"/>
          <w:lang w:bidi="ar-EG"/>
        </w:rPr>
        <w:t>2017;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A0EF4" w:rsidRPr="00DF2AD3">
        <w:rPr>
          <w:rFonts w:ascii="Times New Roman" w:hAnsi="Times New Roman" w:cs="Times New Roman"/>
          <w:sz w:val="20"/>
          <w:szCs w:val="20"/>
          <w:lang w:bidi="ar-EG"/>
        </w:rPr>
        <w:t>4(4):21.</w:t>
      </w:r>
    </w:p>
    <w:p w:rsidR="00D4706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C</w:t>
      </w:r>
      <w:r w:rsidR="00DE34D3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hawla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SL,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DE34D3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Forni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L</w:t>
      </w:r>
      <w:r w:rsidR="00DE34D3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et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al: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disease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renal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recovery: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consensus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report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Disease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Quality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Initiative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(ADQI)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16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Workgroup.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Nature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Reviews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Nephrology</w:t>
      </w:r>
      <w:r w:rsidR="00D27932" w:rsidRPr="00DF2AD3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27932" w:rsidRPr="00DF2AD3">
        <w:rPr>
          <w:rFonts w:ascii="Times New Roman" w:hAnsi="Times New Roman" w:cs="Times New Roman"/>
          <w:sz w:val="20"/>
          <w:szCs w:val="20"/>
          <w:lang w:bidi="ar-EG"/>
        </w:rPr>
        <w:t>2017;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27932" w:rsidRPr="00DF2AD3">
        <w:rPr>
          <w:rFonts w:ascii="Times New Roman" w:hAnsi="Times New Roman" w:cs="Times New Roman"/>
          <w:sz w:val="20"/>
          <w:szCs w:val="20"/>
          <w:lang w:bidi="ar-EG"/>
        </w:rPr>
        <w:t>13(4):241-257.</w:t>
      </w:r>
    </w:p>
    <w:p w:rsidR="00D4706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S</w:t>
      </w:r>
      <w:r w:rsidR="00C50F3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ilver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SA,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C50F3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Long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J,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C50F3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Zheng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Y</w:t>
      </w:r>
      <w:r w:rsidR="00C50F3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C50F3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et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C50F3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al: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50F32" w:rsidRPr="00DF2AD3">
        <w:rPr>
          <w:rFonts w:ascii="Times New Roman" w:hAnsi="Times New Roman" w:cs="Times New Roman"/>
          <w:sz w:val="20"/>
          <w:szCs w:val="20"/>
          <w:lang w:bidi="ar-EG"/>
        </w:rPr>
        <w:t>Cost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50F32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50F32" w:rsidRPr="00DF2AD3">
        <w:rPr>
          <w:rFonts w:ascii="Times New Roman" w:hAnsi="Times New Roman" w:cs="Times New Roman"/>
          <w:sz w:val="20"/>
          <w:szCs w:val="20"/>
          <w:lang w:bidi="ar-EG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50F32" w:rsidRPr="00DF2AD3">
        <w:rPr>
          <w:rFonts w:ascii="Times New Roman" w:hAnsi="Times New Roman" w:cs="Times New Roman"/>
          <w:sz w:val="20"/>
          <w:szCs w:val="20"/>
          <w:lang w:bidi="ar-EG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50F32" w:rsidRPr="00DF2AD3">
        <w:rPr>
          <w:rFonts w:ascii="Times New Roman" w:hAnsi="Times New Roman" w:cs="Times New Roman"/>
          <w:sz w:val="20"/>
          <w:szCs w:val="20"/>
          <w:lang w:bidi="ar-EG"/>
        </w:rPr>
        <w:t>injury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50F32"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50F32" w:rsidRPr="00DF2AD3">
        <w:rPr>
          <w:rFonts w:ascii="Times New Roman" w:hAnsi="Times New Roman" w:cs="Times New Roman"/>
          <w:sz w:val="20"/>
          <w:szCs w:val="20"/>
          <w:lang w:bidi="ar-EG"/>
        </w:rPr>
        <w:t>hospitalized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50F32" w:rsidRPr="00DF2AD3">
        <w:rPr>
          <w:rFonts w:ascii="Times New Roman" w:hAnsi="Times New Roman" w:cs="Times New Roman"/>
          <w:sz w:val="20"/>
          <w:szCs w:val="20"/>
          <w:lang w:bidi="ar-EG"/>
        </w:rPr>
        <w:t>patients.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50F32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J.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C50F32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Hosp.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C50F32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Med</w:t>
      </w:r>
      <w:r w:rsidR="00D27932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.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D27932" w:rsidRPr="00DF2AD3">
        <w:rPr>
          <w:rFonts w:ascii="Times New Roman" w:hAnsi="Times New Roman" w:cs="Times New Roman"/>
          <w:sz w:val="20"/>
          <w:szCs w:val="20"/>
          <w:lang w:bidi="ar-EG"/>
        </w:rPr>
        <w:t>2017</w:t>
      </w:r>
      <w:r w:rsidR="00C50F32" w:rsidRPr="00DF2AD3">
        <w:rPr>
          <w:rFonts w:ascii="Times New Roman" w:hAnsi="Times New Roman" w:cs="Times New Roman"/>
          <w:sz w:val="20"/>
          <w:szCs w:val="20"/>
          <w:lang w:bidi="ar-EG"/>
        </w:rPr>
        <w:t>;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50F32" w:rsidRPr="00DF2AD3">
        <w:rPr>
          <w:rFonts w:ascii="Times New Roman" w:hAnsi="Times New Roman" w:cs="Times New Roman"/>
          <w:sz w:val="20"/>
          <w:szCs w:val="20"/>
          <w:lang w:bidi="ar-EG"/>
        </w:rPr>
        <w:t>12(2)</w:t>
      </w:r>
      <w:r w:rsidR="00D27932" w:rsidRPr="00DF2AD3">
        <w:rPr>
          <w:rFonts w:ascii="Times New Roman" w:hAnsi="Times New Roman" w:cs="Times New Roman"/>
          <w:sz w:val="20"/>
          <w:szCs w:val="20"/>
          <w:lang w:bidi="ar-EG"/>
        </w:rPr>
        <w:t>:</w:t>
      </w:r>
      <w:r w:rsidR="00C50F32" w:rsidRPr="00DF2AD3">
        <w:rPr>
          <w:rFonts w:ascii="Times New Roman" w:hAnsi="Times New Roman" w:cs="Times New Roman"/>
          <w:sz w:val="20"/>
          <w:szCs w:val="20"/>
          <w:lang w:bidi="ar-EG"/>
        </w:rPr>
        <w:t>70-76.</w:t>
      </w:r>
    </w:p>
    <w:p w:rsidR="00D4706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K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ellum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JA,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Sileanu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FE,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Murugan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R,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et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al: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Classifying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by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urine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output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versus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serum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creatinine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level.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J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Am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Soc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proofErr w:type="spellStart"/>
      <w:r w:rsidR="000A5AB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Nephrol</w:t>
      </w:r>
      <w:proofErr w:type="spellEnd"/>
      <w:r w:rsidR="000A5AB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.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E34AF0" w:rsidRPr="00DF2AD3">
        <w:rPr>
          <w:rFonts w:ascii="Times New Roman" w:hAnsi="Times New Roman" w:cs="Times New Roman"/>
          <w:sz w:val="20"/>
          <w:szCs w:val="20"/>
          <w:lang w:bidi="ar-EG"/>
        </w:rPr>
        <w:t>2014;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26</w:t>
      </w:r>
      <w:r w:rsidR="00D27932" w:rsidRPr="00DF2AD3">
        <w:rPr>
          <w:rFonts w:ascii="Times New Roman" w:hAnsi="Times New Roman" w:cs="Times New Roman"/>
          <w:sz w:val="20"/>
          <w:szCs w:val="20"/>
          <w:lang w:bidi="ar-EG"/>
        </w:rPr>
        <w:t>(9)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:2231–</w:t>
      </w:r>
      <w:r w:rsidR="00D27932" w:rsidRPr="00DF2AD3">
        <w:rPr>
          <w:rFonts w:ascii="Times New Roman" w:hAnsi="Times New Roman" w:cs="Times New Roman"/>
          <w:sz w:val="20"/>
          <w:szCs w:val="20"/>
          <w:lang w:bidi="ar-EG"/>
        </w:rPr>
        <w:t>2238.</w:t>
      </w:r>
    </w:p>
    <w:p w:rsidR="00D4706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L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uo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X,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Jiang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L,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Du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B,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Wen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Y,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Wang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M,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Xi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X,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et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al: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comparison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different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diagnostic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criteria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injury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critically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ill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patients.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0A5AB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Crit</w:t>
      </w:r>
      <w:proofErr w:type="spellEnd"/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Care</w:t>
      </w:r>
      <w:r w:rsidR="00A05BF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.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2014;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1</w:t>
      </w:r>
      <w:r w:rsidR="00A05BFC" w:rsidRPr="00DF2AD3">
        <w:rPr>
          <w:rFonts w:ascii="Times New Roman" w:hAnsi="Times New Roman" w:cs="Times New Roman"/>
          <w:sz w:val="20"/>
          <w:szCs w:val="20"/>
          <w:lang w:bidi="ar-EG"/>
        </w:rPr>
        <w:t>8(4):R144.</w:t>
      </w:r>
    </w:p>
    <w:p w:rsidR="00D4706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L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evi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TM,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d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e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Souza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SP,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de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Magalhaes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JG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et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al: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Comparison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RIFLE,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AKIN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KDIGO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criteria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predict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mortality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critically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ill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patients.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Rev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Bras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proofErr w:type="spellStart"/>
      <w:r w:rsidR="000A5AB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Ter</w:t>
      </w:r>
      <w:proofErr w:type="spellEnd"/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proofErr w:type="spellStart"/>
      <w:r w:rsidR="000A5AB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Intensiva</w:t>
      </w:r>
      <w:proofErr w:type="spellEnd"/>
      <w:r w:rsidR="000A5AB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A05BFC" w:rsidRPr="00DF2AD3">
        <w:rPr>
          <w:rFonts w:ascii="Times New Roman" w:hAnsi="Times New Roman" w:cs="Times New Roman"/>
          <w:sz w:val="20"/>
          <w:szCs w:val="20"/>
          <w:lang w:bidi="ar-EG"/>
        </w:rPr>
        <w:t>2013;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A05BFC" w:rsidRPr="00DF2AD3">
        <w:rPr>
          <w:rFonts w:ascii="Times New Roman" w:hAnsi="Times New Roman" w:cs="Times New Roman"/>
          <w:sz w:val="20"/>
          <w:szCs w:val="20"/>
          <w:lang w:bidi="ar-EG"/>
        </w:rPr>
        <w:t>25(4):290–6.</w:t>
      </w:r>
    </w:p>
    <w:p w:rsidR="00D4706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R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eddy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NP,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Ravi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KP,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Dhanalakshmi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P,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Annigeri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R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et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al: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Epidemiology,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outcomes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validation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RIFLE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AKIN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criteria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injury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(AKI)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critically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ill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patients: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Indian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perspective.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0A5AB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Ren</w:t>
      </w:r>
      <w:proofErr w:type="spellEnd"/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Fail.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2014;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36(6):831–7.</w:t>
      </w:r>
    </w:p>
    <w:p w:rsidR="00D4706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W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lodzimirow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KA,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Abu-Hanna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A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Slabbekoorn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M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et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al: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comparison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RIFLE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without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urine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output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criteria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injury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critically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ill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patients.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0A5AB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Crit</w:t>
      </w:r>
      <w:proofErr w:type="spellEnd"/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Care.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2012;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1</w:t>
      </w:r>
      <w:r w:rsidR="00B072B7" w:rsidRPr="00DF2AD3">
        <w:rPr>
          <w:rFonts w:ascii="Times New Roman" w:hAnsi="Times New Roman" w:cs="Times New Roman"/>
          <w:sz w:val="20"/>
          <w:szCs w:val="20"/>
          <w:lang w:bidi="ar-EG"/>
        </w:rPr>
        <w:t>6(5):R200.</w:t>
      </w:r>
    </w:p>
    <w:p w:rsidR="00D4706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K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oeze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J,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Dieperink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W,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Zijlstra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JG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et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al: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Incidence,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timing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outcome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AKI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critically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ill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varies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definition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lastRenderedPageBreak/>
        <w:t>used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addition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urine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output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criteria.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BMC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proofErr w:type="spellStart"/>
      <w:r w:rsidR="000A5AB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Nephrol</w:t>
      </w:r>
      <w:proofErr w:type="spellEnd"/>
      <w:r w:rsidR="000A5AB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E013DC" w:rsidRPr="00DF2AD3">
        <w:rPr>
          <w:rFonts w:ascii="Times New Roman" w:hAnsi="Times New Roman" w:cs="Times New Roman"/>
          <w:sz w:val="20"/>
          <w:szCs w:val="20"/>
          <w:lang w:bidi="ar-EG"/>
        </w:rPr>
        <w:t>2017;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E013DC" w:rsidRPr="00DF2AD3">
        <w:rPr>
          <w:rFonts w:ascii="Times New Roman" w:hAnsi="Times New Roman" w:cs="Times New Roman"/>
          <w:sz w:val="20"/>
          <w:szCs w:val="20"/>
          <w:lang w:bidi="ar-EG"/>
        </w:rPr>
        <w:t>18(1):70.</w:t>
      </w:r>
    </w:p>
    <w:p w:rsidR="00D4706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E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swarappa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M,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Ravi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V,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Kumar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D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et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al: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Spectrum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injury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critically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ill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patients: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single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center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study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from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South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India.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Indian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J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proofErr w:type="spellStart"/>
      <w:r w:rsidR="000A5AB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Nephrol</w:t>
      </w:r>
      <w:proofErr w:type="spellEnd"/>
      <w:r w:rsidR="000A5AB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4E578A" w:rsidRPr="00DF2AD3">
        <w:rPr>
          <w:rFonts w:ascii="Times New Roman" w:hAnsi="Times New Roman" w:cs="Times New Roman"/>
          <w:sz w:val="20"/>
          <w:szCs w:val="20"/>
          <w:lang w:bidi="ar-EG"/>
        </w:rPr>
        <w:t>2014;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4E578A" w:rsidRPr="00DF2AD3">
        <w:rPr>
          <w:rFonts w:ascii="Times New Roman" w:hAnsi="Times New Roman" w:cs="Times New Roman"/>
          <w:sz w:val="20"/>
          <w:szCs w:val="20"/>
          <w:lang w:bidi="ar-EG"/>
        </w:rPr>
        <w:t>24(5):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280–285.</w:t>
      </w:r>
    </w:p>
    <w:p w:rsidR="00D4706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A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bd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E</w:t>
      </w:r>
      <w:r w:rsidR="00D36675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l </w:t>
      </w:r>
      <w:proofErr w:type="spellStart"/>
      <w:r w:rsidR="00D36675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H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afeez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S,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Tripepi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G,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Quinn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R,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Naga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Y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et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al: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Risk,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Predictors,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Outcomes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Injury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Admitted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Intensive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Care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Units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Egypt.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Scientific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Reports</w:t>
      </w:r>
      <w:r w:rsidR="00705FC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.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705FC9" w:rsidRPr="00DF2AD3">
        <w:rPr>
          <w:rFonts w:ascii="Times New Roman" w:hAnsi="Times New Roman" w:cs="Times New Roman"/>
          <w:sz w:val="20"/>
          <w:szCs w:val="20"/>
          <w:lang w:bidi="ar-EG"/>
        </w:rPr>
        <w:t>2017;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05FC9" w:rsidRPr="00DF2AD3">
        <w:rPr>
          <w:rFonts w:ascii="Times New Roman" w:hAnsi="Times New Roman" w:cs="Times New Roman"/>
          <w:sz w:val="20"/>
          <w:szCs w:val="20"/>
          <w:lang w:bidi="ar-EG"/>
        </w:rPr>
        <w:t>7(1):17163.</w:t>
      </w:r>
    </w:p>
    <w:p w:rsidR="00D4706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W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ijewickrama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ES,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Ratnayake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M,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Sheriff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R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et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al: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Incidences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clinical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outcomes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injury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ICU: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prospective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observational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study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Sri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Lanka.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BMC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Res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Notes.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14329" w:rsidRPr="00DF2AD3">
        <w:rPr>
          <w:rFonts w:ascii="Times New Roman" w:hAnsi="Times New Roman" w:cs="Times New Roman"/>
          <w:sz w:val="20"/>
          <w:szCs w:val="20"/>
          <w:lang w:bidi="ar-EG"/>
        </w:rPr>
        <w:t>2014;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14329" w:rsidRPr="00DF2AD3">
        <w:rPr>
          <w:rFonts w:ascii="Times New Roman" w:hAnsi="Times New Roman" w:cs="Times New Roman"/>
          <w:sz w:val="20"/>
          <w:szCs w:val="20"/>
          <w:lang w:bidi="ar-EG"/>
        </w:rPr>
        <w:t>7</w:t>
      </w:r>
      <w:r w:rsidR="00263D6B" w:rsidRPr="00DF2AD3">
        <w:rPr>
          <w:rFonts w:ascii="Times New Roman" w:hAnsi="Times New Roman" w:cs="Times New Roman"/>
          <w:sz w:val="20"/>
          <w:szCs w:val="20"/>
          <w:lang w:bidi="ar-EG"/>
        </w:rPr>
        <w:t>(1)</w:t>
      </w:r>
      <w:r w:rsidR="00B14329" w:rsidRPr="00DF2AD3">
        <w:rPr>
          <w:rFonts w:ascii="Times New Roman" w:hAnsi="Times New Roman" w:cs="Times New Roman"/>
          <w:sz w:val="20"/>
          <w:szCs w:val="20"/>
          <w:lang w:bidi="ar-EG"/>
        </w:rPr>
        <w:t>: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305.</w:t>
      </w:r>
    </w:p>
    <w:p w:rsidR="00D4706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 w:hint="eastAsia"/>
          <w:bCs/>
          <w:sz w:val="20"/>
          <w:szCs w:val="20"/>
          <w:lang w:eastAsia="zh-CN" w:bidi="ar-EG"/>
        </w:rPr>
        <w:t>D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e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Araújo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Brito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DJ,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Nina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9D114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VJ</w:t>
      </w:r>
      <w:r w:rsidR="00E47CF5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S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et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al: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“Prevalence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risk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factors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renal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failure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postoperative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coronary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artery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bypass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grafting”.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Brazilian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J</w:t>
      </w:r>
      <w:r w:rsidR="00DC4D93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ournal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DC4D93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DC4D93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Cardiovascular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DC4D93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Surgery.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D71E92" w:rsidRPr="00DF2AD3">
        <w:rPr>
          <w:rFonts w:ascii="Times New Roman" w:hAnsi="Times New Roman" w:cs="Times New Roman"/>
          <w:sz w:val="20"/>
          <w:szCs w:val="20"/>
          <w:lang w:bidi="ar-EG"/>
        </w:rPr>
        <w:t>2009;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71E92" w:rsidRPr="00DF2AD3">
        <w:rPr>
          <w:rFonts w:ascii="Times New Roman" w:hAnsi="Times New Roman" w:cs="Times New Roman"/>
          <w:sz w:val="20"/>
          <w:szCs w:val="20"/>
          <w:lang w:bidi="ar-EG"/>
        </w:rPr>
        <w:t>3(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24</w:t>
      </w:r>
      <w:r w:rsidR="00D71E92" w:rsidRPr="00DF2AD3">
        <w:rPr>
          <w:rFonts w:ascii="Times New Roman" w:hAnsi="Times New Roman" w:cs="Times New Roman"/>
          <w:sz w:val="20"/>
          <w:szCs w:val="20"/>
          <w:lang w:bidi="ar-EG"/>
        </w:rPr>
        <w:t>):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297–304.</w:t>
      </w:r>
    </w:p>
    <w:p w:rsidR="00D4706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C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hawla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A27565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LS,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Abell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A27565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L,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Mazhari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A27565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R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et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al: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“Identifying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critically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ill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high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risk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developing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renal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failure: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pilot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stu</w:t>
      </w:r>
      <w:r w:rsidR="0033425B" w:rsidRPr="00DF2AD3">
        <w:rPr>
          <w:rFonts w:ascii="Times New Roman" w:hAnsi="Times New Roman" w:cs="Times New Roman"/>
          <w:sz w:val="20"/>
          <w:szCs w:val="20"/>
          <w:lang w:bidi="ar-EG"/>
        </w:rPr>
        <w:t>dy,”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3425B" w:rsidRPr="00DF2AD3">
        <w:rPr>
          <w:rFonts w:ascii="Times New Roman" w:hAnsi="Times New Roman" w:cs="Times New Roman"/>
          <w:sz w:val="20"/>
          <w:szCs w:val="20"/>
          <w:lang w:bidi="ar-EG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3425B" w:rsidRPr="00DF2AD3">
        <w:rPr>
          <w:rFonts w:ascii="Times New Roman" w:hAnsi="Times New Roman" w:cs="Times New Roman"/>
          <w:sz w:val="20"/>
          <w:szCs w:val="20"/>
          <w:lang w:bidi="ar-EG"/>
        </w:rPr>
        <w:t>International,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3425B" w:rsidRPr="00DF2AD3">
        <w:rPr>
          <w:rFonts w:ascii="Times New Roman" w:hAnsi="Times New Roman" w:cs="Times New Roman"/>
          <w:sz w:val="20"/>
          <w:szCs w:val="20"/>
          <w:lang w:bidi="ar-EG"/>
        </w:rPr>
        <w:t>2005;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3425B" w:rsidRPr="00DF2AD3">
        <w:rPr>
          <w:rFonts w:ascii="Times New Roman" w:hAnsi="Times New Roman" w:cs="Times New Roman"/>
          <w:sz w:val="20"/>
          <w:szCs w:val="20"/>
          <w:lang w:bidi="ar-EG"/>
        </w:rPr>
        <w:t>5(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68</w:t>
      </w:r>
      <w:r w:rsidR="0033425B" w:rsidRPr="00DF2AD3">
        <w:rPr>
          <w:rFonts w:ascii="Times New Roman" w:hAnsi="Times New Roman" w:cs="Times New Roman"/>
          <w:sz w:val="20"/>
          <w:szCs w:val="20"/>
          <w:lang w:bidi="ar-EG"/>
        </w:rPr>
        <w:t>):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2274–2280.</w:t>
      </w:r>
    </w:p>
    <w:p w:rsidR="00D4706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H</w:t>
      </w:r>
      <w:r w:rsidR="00DE34D3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odgson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A27565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LE,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DE34D3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Sarnowski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A27565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A,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Roderick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A27565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PJ</w:t>
      </w:r>
      <w:r w:rsidR="00DE34D3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et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al: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Systematic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review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prognostic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prediction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models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injury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(AKI)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general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hospital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populations.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BMJ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Open</w:t>
      </w:r>
      <w:r w:rsidR="0033425B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2017;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7(9):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e016591.</w:t>
      </w:r>
    </w:p>
    <w:p w:rsidR="00D4706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C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ely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A27565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JE,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Mendoza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A27565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EJ,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Olivares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A27565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CR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et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al: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Incidence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Risk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Factors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Early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Injury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Nonsurgical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Patients: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3425B"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3425B" w:rsidRPr="00DF2AD3">
        <w:rPr>
          <w:rFonts w:ascii="Times New Roman" w:hAnsi="Times New Roman" w:cs="Times New Roman"/>
          <w:sz w:val="20"/>
          <w:szCs w:val="20"/>
          <w:lang w:bidi="ar-EG"/>
        </w:rPr>
        <w:t>Cohort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3425B" w:rsidRPr="00DF2AD3">
        <w:rPr>
          <w:rFonts w:ascii="Times New Roman" w:hAnsi="Times New Roman" w:cs="Times New Roman"/>
          <w:sz w:val="20"/>
          <w:szCs w:val="20"/>
          <w:lang w:bidi="ar-EG"/>
        </w:rPr>
        <w:t>Study.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33425B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Int</w:t>
      </w:r>
      <w:proofErr w:type="spellEnd"/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33425B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J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proofErr w:type="spellStart"/>
      <w:r w:rsidR="0033425B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Nephrol</w:t>
      </w:r>
      <w:proofErr w:type="spellEnd"/>
      <w:r w:rsidR="0033425B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2017;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3425B" w:rsidRPr="00DF2AD3">
        <w:rPr>
          <w:rFonts w:ascii="Times New Roman" w:hAnsi="Times New Roman" w:cs="Times New Roman"/>
          <w:sz w:val="20"/>
          <w:szCs w:val="20"/>
          <w:lang w:bidi="ar-EG"/>
        </w:rPr>
        <w:t>2017:</w:t>
      </w:r>
      <w:r w:rsidR="000A5ABC" w:rsidRPr="00DF2AD3">
        <w:rPr>
          <w:rFonts w:ascii="Times New Roman" w:hAnsi="Times New Roman" w:cs="Times New Roman"/>
          <w:sz w:val="20"/>
          <w:szCs w:val="20"/>
          <w:lang w:bidi="ar-EG"/>
        </w:rPr>
        <w:t>5241482.</w:t>
      </w:r>
    </w:p>
    <w:p w:rsidR="00D4706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R</w:t>
      </w:r>
      <w:r w:rsidR="00B36650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oy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AK,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Mc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B36650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Gorrian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C,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B36650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Treacy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C,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et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al: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sz w:val="20"/>
          <w:szCs w:val="20"/>
          <w:lang w:bidi="ar-EG"/>
        </w:rPr>
        <w:t>Comparison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sz w:val="20"/>
          <w:szCs w:val="20"/>
          <w:lang w:bidi="ar-EG"/>
        </w:rPr>
        <w:t>Traditional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sz w:val="20"/>
          <w:szCs w:val="20"/>
          <w:lang w:bidi="ar-EG"/>
        </w:rPr>
        <w:t>Novel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sz w:val="20"/>
          <w:szCs w:val="20"/>
          <w:lang w:bidi="ar-EG"/>
        </w:rPr>
        <w:t>Definitions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sz w:val="20"/>
          <w:szCs w:val="20"/>
          <w:lang w:bidi="ar-EG"/>
        </w:rPr>
        <w:t>(RIFLE,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sz w:val="20"/>
          <w:szCs w:val="20"/>
          <w:lang w:bidi="ar-EG"/>
        </w:rPr>
        <w:t>AKIN,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sz w:val="20"/>
          <w:szCs w:val="20"/>
          <w:lang w:bidi="ar-EG"/>
        </w:rPr>
        <w:t>KDIGO)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sz w:val="20"/>
          <w:szCs w:val="20"/>
          <w:lang w:bidi="ar-EG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sz w:val="20"/>
          <w:szCs w:val="20"/>
          <w:lang w:bidi="ar-EG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sz w:val="20"/>
          <w:szCs w:val="20"/>
          <w:lang w:bidi="ar-EG"/>
        </w:rPr>
        <w:t>Injury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sz w:val="20"/>
          <w:szCs w:val="20"/>
          <w:lang w:bidi="ar-EG"/>
        </w:rPr>
        <w:t>Prediction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sz w:val="20"/>
          <w:szCs w:val="20"/>
          <w:lang w:bidi="ar-EG"/>
        </w:rPr>
        <w:t>Outcomes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sz w:val="20"/>
          <w:szCs w:val="20"/>
          <w:lang w:bidi="ar-EG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B36650" w:rsidRPr="00DF2AD3">
        <w:rPr>
          <w:rFonts w:ascii="Times New Roman" w:hAnsi="Times New Roman" w:cs="Times New Roman"/>
          <w:sz w:val="20"/>
          <w:szCs w:val="20"/>
          <w:lang w:bidi="ar-EG"/>
        </w:rPr>
        <w:t>Decompensated</w:t>
      </w:r>
      <w:proofErr w:type="spellEnd"/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sz w:val="20"/>
          <w:szCs w:val="20"/>
          <w:lang w:bidi="ar-EG"/>
        </w:rPr>
        <w:t>Heart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sz w:val="20"/>
          <w:szCs w:val="20"/>
          <w:lang w:bidi="ar-EG"/>
        </w:rPr>
        <w:t>Failure.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B36650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Cardiorenal</w:t>
      </w:r>
      <w:proofErr w:type="spellEnd"/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Med</w:t>
      </w:r>
      <w:r w:rsidR="0033425B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.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33425B" w:rsidRPr="00DF2AD3">
        <w:rPr>
          <w:rFonts w:ascii="Times New Roman" w:hAnsi="Times New Roman" w:cs="Times New Roman"/>
          <w:sz w:val="20"/>
          <w:szCs w:val="20"/>
          <w:lang w:bidi="ar-EG"/>
        </w:rPr>
        <w:t>2013;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36650" w:rsidRPr="00DF2AD3">
        <w:rPr>
          <w:rFonts w:ascii="Times New Roman" w:hAnsi="Times New Roman" w:cs="Times New Roman"/>
          <w:sz w:val="20"/>
          <w:szCs w:val="20"/>
          <w:lang w:bidi="ar-EG"/>
        </w:rPr>
        <w:t>3(1):26-37.</w:t>
      </w:r>
    </w:p>
    <w:p w:rsidR="00D47065" w:rsidRPr="00DF2AD3" w:rsidRDefault="00D47065" w:rsidP="00D47065">
      <w:pPr>
        <w:pStyle w:val="ListParagraph"/>
        <w:numPr>
          <w:ilvl w:val="1"/>
          <w:numId w:val="59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  <w:sectPr w:rsidR="00D47065" w:rsidRPr="00DF2AD3" w:rsidSect="00D47065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  <w:proofErr w:type="spellStart"/>
      <w:r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D</w:t>
      </w:r>
      <w:r w:rsidR="00DE34D3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rolz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FF152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A,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DE34D3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Horvatits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FF152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T,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proofErr w:type="spellStart"/>
      <w:r w:rsidR="00DE34D3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Roedl</w:t>
      </w:r>
      <w:proofErr w:type="spellEnd"/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FF1522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K</w:t>
      </w:r>
      <w:r w:rsidR="00DE34D3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,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et</w:t>
      </w:r>
      <w:r w:rsidR="00CC2459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bCs/>
          <w:sz w:val="20"/>
          <w:szCs w:val="20"/>
          <w:lang w:bidi="ar-EG"/>
        </w:rPr>
        <w:t>al: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Outcome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features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acute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kidney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injury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complicating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hypoxic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hepatitis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at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medical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intensive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care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unit.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Annals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of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Intensive</w:t>
      </w:r>
      <w:r w:rsidR="00CC2459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Care</w:t>
      </w:r>
      <w:r w:rsidR="0033425B" w:rsidRPr="00DF2AD3">
        <w:rPr>
          <w:rFonts w:ascii="Times New Roman" w:hAnsi="Times New Roman" w:cs="Times New Roman"/>
          <w:i/>
          <w:iCs/>
          <w:sz w:val="20"/>
          <w:szCs w:val="20"/>
          <w:lang w:bidi="ar-EG"/>
        </w:rPr>
        <w:t>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E34D3" w:rsidRPr="00DF2AD3">
        <w:rPr>
          <w:rFonts w:ascii="Times New Roman" w:hAnsi="Times New Roman" w:cs="Times New Roman"/>
          <w:sz w:val="20"/>
          <w:szCs w:val="20"/>
          <w:lang w:bidi="ar-EG"/>
        </w:rPr>
        <w:t>20</w:t>
      </w:r>
      <w:r w:rsidR="0033425B" w:rsidRPr="00DF2AD3">
        <w:rPr>
          <w:rFonts w:ascii="Times New Roman" w:hAnsi="Times New Roman" w:cs="Times New Roman"/>
          <w:sz w:val="20"/>
          <w:szCs w:val="20"/>
          <w:lang w:bidi="ar-EG"/>
        </w:rPr>
        <w:t>16;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3425B" w:rsidRPr="00DF2AD3">
        <w:rPr>
          <w:rFonts w:ascii="Times New Roman" w:hAnsi="Times New Roman" w:cs="Times New Roman"/>
          <w:sz w:val="20"/>
          <w:szCs w:val="20"/>
          <w:lang w:bidi="ar-EG"/>
        </w:rPr>
        <w:t>6(1):61.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C2459" w:rsidRPr="00DF2AD3">
        <w:rPr>
          <w:rFonts w:ascii="Times New Roman" w:hAnsi="Times New Roman" w:cs="Times New Roman"/>
          <w:sz w:val="20"/>
          <w:szCs w:val="20"/>
          <w:lang w:bidi="ar-EG"/>
        </w:rPr>
        <w:cr/>
      </w:r>
    </w:p>
    <w:p w:rsidR="00CC2459" w:rsidRPr="00DF2AD3" w:rsidRDefault="00CC2459" w:rsidP="00D47065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D47065" w:rsidRPr="00DF2AD3" w:rsidRDefault="00D47065" w:rsidP="00D47065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D47065" w:rsidRPr="00DF2AD3" w:rsidRDefault="00D47065" w:rsidP="00D47065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1C282D" w:rsidRPr="00DF2AD3" w:rsidRDefault="00CC2459" w:rsidP="00D47065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F2AD3">
        <w:rPr>
          <w:rFonts w:ascii="Times New Roman" w:hAnsi="Times New Roman" w:cs="Times New Roman"/>
          <w:sz w:val="20"/>
          <w:szCs w:val="20"/>
          <w:lang w:bidi="ar-EG"/>
        </w:rPr>
        <w:t>12/8/2018</w:t>
      </w:r>
    </w:p>
    <w:sectPr w:rsidR="001C282D" w:rsidRPr="00DF2AD3" w:rsidSect="00CC2459">
      <w:type w:val="continuous"/>
      <w:pgSz w:w="12242" w:h="15842" w:code="1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6C1" w:rsidRDefault="006366C1" w:rsidP="00A1626A">
      <w:pPr>
        <w:spacing w:after="0" w:line="240" w:lineRule="auto"/>
      </w:pPr>
      <w:r>
        <w:separator/>
      </w:r>
    </w:p>
  </w:endnote>
  <w:endnote w:type="continuationSeparator" w:id="0">
    <w:p w:rsidR="006366C1" w:rsidRDefault="006366C1" w:rsidP="00A1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B9E" w:rsidRPr="00384B9E" w:rsidRDefault="00A87DBA" w:rsidP="00384B9E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384B9E">
      <w:rPr>
        <w:rFonts w:ascii="Times New Roman" w:hAnsi="Times New Roman" w:cs="Times New Roman"/>
        <w:sz w:val="20"/>
      </w:rPr>
      <w:fldChar w:fldCharType="begin"/>
    </w:r>
    <w:r w:rsidR="00384B9E" w:rsidRPr="00384B9E">
      <w:rPr>
        <w:rFonts w:ascii="Times New Roman" w:hAnsi="Times New Roman" w:cs="Times New Roman"/>
        <w:sz w:val="20"/>
      </w:rPr>
      <w:instrText xml:space="preserve"> page </w:instrText>
    </w:r>
    <w:r w:rsidRPr="00384B9E">
      <w:rPr>
        <w:rFonts w:ascii="Times New Roman" w:hAnsi="Times New Roman" w:cs="Times New Roman"/>
        <w:sz w:val="20"/>
      </w:rPr>
      <w:fldChar w:fldCharType="separate"/>
    </w:r>
    <w:r w:rsidR="00DF2AD3">
      <w:rPr>
        <w:rFonts w:ascii="Times New Roman" w:hAnsi="Times New Roman" w:cs="Times New Roman"/>
        <w:noProof/>
        <w:sz w:val="20"/>
      </w:rPr>
      <w:t>84</w:t>
    </w:r>
    <w:r w:rsidRPr="00384B9E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6C1" w:rsidRDefault="006366C1" w:rsidP="00A1626A">
      <w:pPr>
        <w:spacing w:after="0" w:line="240" w:lineRule="auto"/>
      </w:pPr>
      <w:r>
        <w:separator/>
      </w:r>
    </w:p>
  </w:footnote>
  <w:footnote w:type="continuationSeparator" w:id="0">
    <w:p w:rsidR="006366C1" w:rsidRDefault="006366C1" w:rsidP="00A16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B9E" w:rsidRPr="00384B9E" w:rsidRDefault="00384B9E" w:rsidP="00384B9E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384B9E">
      <w:rPr>
        <w:rFonts w:ascii="Times New Roman" w:hAnsi="Times New Roman" w:cs="Times New Roman" w:hint="eastAsia"/>
        <w:sz w:val="20"/>
        <w:szCs w:val="20"/>
      </w:rPr>
      <w:tab/>
    </w:r>
    <w:r w:rsidRPr="00384B9E">
      <w:rPr>
        <w:rFonts w:ascii="Times New Roman" w:hAnsi="Times New Roman" w:cs="Times New Roman"/>
        <w:sz w:val="20"/>
        <w:szCs w:val="20"/>
      </w:rPr>
      <w:t>New York Science Journal 201</w:t>
    </w:r>
    <w:r w:rsidRPr="00384B9E">
      <w:rPr>
        <w:rFonts w:ascii="Times New Roman" w:hAnsi="Times New Roman" w:cs="Times New Roman" w:hint="eastAsia"/>
        <w:sz w:val="20"/>
        <w:szCs w:val="20"/>
      </w:rPr>
      <w:t>8</w:t>
    </w:r>
    <w:r w:rsidRPr="00384B9E">
      <w:rPr>
        <w:rFonts w:ascii="Times New Roman" w:hAnsi="Times New Roman" w:cs="Times New Roman"/>
        <w:sz w:val="20"/>
        <w:szCs w:val="20"/>
      </w:rPr>
      <w:t>;</w:t>
    </w:r>
    <w:r w:rsidRPr="00384B9E">
      <w:rPr>
        <w:rFonts w:ascii="Times New Roman" w:hAnsi="Times New Roman" w:cs="Times New Roman" w:hint="eastAsia"/>
        <w:sz w:val="20"/>
        <w:szCs w:val="20"/>
      </w:rPr>
      <w:t>11</w:t>
    </w:r>
    <w:r w:rsidRPr="00384B9E">
      <w:rPr>
        <w:rFonts w:ascii="Times New Roman" w:hAnsi="Times New Roman" w:cs="Times New Roman"/>
        <w:sz w:val="20"/>
        <w:szCs w:val="20"/>
      </w:rPr>
      <w:t>(</w:t>
    </w:r>
    <w:r w:rsidRPr="00384B9E">
      <w:rPr>
        <w:rFonts w:ascii="Times New Roman" w:hAnsi="Times New Roman" w:cs="Times New Roman" w:hint="eastAsia"/>
        <w:sz w:val="20"/>
        <w:szCs w:val="20"/>
      </w:rPr>
      <w:t>12</w:t>
    </w:r>
    <w:r w:rsidRPr="00384B9E">
      <w:rPr>
        <w:rFonts w:ascii="Times New Roman" w:hAnsi="Times New Roman" w:cs="Times New Roman"/>
        <w:sz w:val="20"/>
        <w:szCs w:val="20"/>
      </w:rPr>
      <w:t>)</w:t>
    </w:r>
    <w:r w:rsidRPr="00384B9E">
      <w:rPr>
        <w:rFonts w:ascii="Times New Roman" w:hAnsi="Times New Roman" w:cs="Times New Roman"/>
        <w:iCs/>
        <w:sz w:val="20"/>
        <w:szCs w:val="20"/>
      </w:rPr>
      <w:t xml:space="preserve">     </w:t>
    </w:r>
    <w:r w:rsidRPr="00384B9E">
      <w:rPr>
        <w:rFonts w:ascii="Times New Roman" w:hAnsi="Times New Roman" w:cs="Times New Roman" w:hint="eastAsia"/>
        <w:iCs/>
        <w:sz w:val="20"/>
        <w:szCs w:val="20"/>
      </w:rPr>
      <w:tab/>
    </w:r>
    <w:r w:rsidRPr="00384B9E">
      <w:rPr>
        <w:rFonts w:ascii="Times New Roman" w:hAnsi="Times New Roman" w:cs="Times New Roman"/>
        <w:iCs/>
        <w:sz w:val="20"/>
        <w:szCs w:val="20"/>
      </w:rPr>
      <w:t xml:space="preserve"> </w:t>
    </w:r>
    <w:r w:rsidRPr="00384B9E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384B9E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384B9E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384B9E" w:rsidRPr="00384B9E" w:rsidRDefault="00384B9E" w:rsidP="00384B9E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9E7"/>
    <w:multiLevelType w:val="hybridMultilevel"/>
    <w:tmpl w:val="3F808CC8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1247FF3"/>
    <w:multiLevelType w:val="hybridMultilevel"/>
    <w:tmpl w:val="BBAC3520"/>
    <w:lvl w:ilvl="0" w:tplc="0FCA0D74">
      <w:start w:val="1"/>
      <w:numFmt w:val="upperRoman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8FA1E0A"/>
    <w:multiLevelType w:val="hybridMultilevel"/>
    <w:tmpl w:val="51C8E2D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E17839"/>
    <w:multiLevelType w:val="hybridMultilevel"/>
    <w:tmpl w:val="41224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72643"/>
    <w:multiLevelType w:val="hybridMultilevel"/>
    <w:tmpl w:val="A0623A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1E419BE"/>
    <w:multiLevelType w:val="hybridMultilevel"/>
    <w:tmpl w:val="C1544DDA"/>
    <w:lvl w:ilvl="0" w:tplc="56626D98">
      <w:start w:val="1"/>
      <w:numFmt w:val="bullet"/>
      <w:lvlText w:val=""/>
      <w:lvlJc w:val="left"/>
      <w:pPr>
        <w:ind w:left="1305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>
    <w:nsid w:val="134321E2"/>
    <w:multiLevelType w:val="hybridMultilevel"/>
    <w:tmpl w:val="6F5EE5B0"/>
    <w:lvl w:ilvl="0" w:tplc="0FCA0D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558BE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B0A33"/>
    <w:multiLevelType w:val="hybridMultilevel"/>
    <w:tmpl w:val="DA849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96A97"/>
    <w:multiLevelType w:val="hybridMultilevel"/>
    <w:tmpl w:val="CE38CCBC"/>
    <w:lvl w:ilvl="0" w:tplc="040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9">
    <w:nsid w:val="19080A3B"/>
    <w:multiLevelType w:val="hybridMultilevel"/>
    <w:tmpl w:val="740EA4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C3F6550"/>
    <w:multiLevelType w:val="hybridMultilevel"/>
    <w:tmpl w:val="D96A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66215"/>
    <w:multiLevelType w:val="hybridMultilevel"/>
    <w:tmpl w:val="06FE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73634"/>
    <w:multiLevelType w:val="hybridMultilevel"/>
    <w:tmpl w:val="4642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C3916"/>
    <w:multiLevelType w:val="hybridMultilevel"/>
    <w:tmpl w:val="CE2C1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92F1A"/>
    <w:multiLevelType w:val="hybridMultilevel"/>
    <w:tmpl w:val="8ACE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B06D7"/>
    <w:multiLevelType w:val="hybridMultilevel"/>
    <w:tmpl w:val="7026C6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9EC6B36"/>
    <w:multiLevelType w:val="hybridMultilevel"/>
    <w:tmpl w:val="3BD0F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F31602"/>
    <w:multiLevelType w:val="hybridMultilevel"/>
    <w:tmpl w:val="10328D0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2BF053C3"/>
    <w:multiLevelType w:val="hybridMultilevel"/>
    <w:tmpl w:val="543A92CE"/>
    <w:lvl w:ilvl="0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</w:abstractNum>
  <w:abstractNum w:abstractNumId="19">
    <w:nsid w:val="31140F00"/>
    <w:multiLevelType w:val="hybridMultilevel"/>
    <w:tmpl w:val="78D606DE"/>
    <w:lvl w:ilvl="0" w:tplc="F2BCB226">
      <w:start w:val="1"/>
      <w:numFmt w:val="upperLetter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AB28A3"/>
    <w:multiLevelType w:val="hybridMultilevel"/>
    <w:tmpl w:val="462A0D0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36231757"/>
    <w:multiLevelType w:val="hybridMultilevel"/>
    <w:tmpl w:val="F788D9B8"/>
    <w:lvl w:ilvl="0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36673B1E"/>
    <w:multiLevelType w:val="hybridMultilevel"/>
    <w:tmpl w:val="450C73B6"/>
    <w:lvl w:ilvl="0" w:tplc="8452BB0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3C2C49"/>
    <w:multiLevelType w:val="hybridMultilevel"/>
    <w:tmpl w:val="311A36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195431E"/>
    <w:multiLevelType w:val="hybridMultilevel"/>
    <w:tmpl w:val="CC4E72CE"/>
    <w:lvl w:ilvl="0" w:tplc="0FCA0D7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D6D8B3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2921478"/>
    <w:multiLevelType w:val="hybridMultilevel"/>
    <w:tmpl w:val="907A15CA"/>
    <w:lvl w:ilvl="0" w:tplc="32C403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36972"/>
    <w:multiLevelType w:val="hybridMultilevel"/>
    <w:tmpl w:val="F5D6C0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4A24D1C"/>
    <w:multiLevelType w:val="hybridMultilevel"/>
    <w:tmpl w:val="A99C70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D56910"/>
    <w:multiLevelType w:val="hybridMultilevel"/>
    <w:tmpl w:val="D2B8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F07AD6"/>
    <w:multiLevelType w:val="hybridMultilevel"/>
    <w:tmpl w:val="5C14BDC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942336F"/>
    <w:multiLevelType w:val="hybridMultilevel"/>
    <w:tmpl w:val="1478C1DA"/>
    <w:lvl w:ilvl="0" w:tplc="0FCA0D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B565D1"/>
    <w:multiLevelType w:val="hybridMultilevel"/>
    <w:tmpl w:val="19426E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5555C6"/>
    <w:multiLevelType w:val="hybridMultilevel"/>
    <w:tmpl w:val="C4C2E36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4E0C78EB"/>
    <w:multiLevelType w:val="hybridMultilevel"/>
    <w:tmpl w:val="5CE88BE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4F2C2143"/>
    <w:multiLevelType w:val="hybridMultilevel"/>
    <w:tmpl w:val="99700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F844F81"/>
    <w:multiLevelType w:val="hybridMultilevel"/>
    <w:tmpl w:val="A454D0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51EF0C40"/>
    <w:multiLevelType w:val="hybridMultilevel"/>
    <w:tmpl w:val="3FA635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2C3BDA"/>
    <w:multiLevelType w:val="hybridMultilevel"/>
    <w:tmpl w:val="3EC0C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5270C48"/>
    <w:multiLevelType w:val="hybridMultilevel"/>
    <w:tmpl w:val="42F8B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8A14D1"/>
    <w:multiLevelType w:val="hybridMultilevel"/>
    <w:tmpl w:val="B2087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A81D23"/>
    <w:multiLevelType w:val="hybridMultilevel"/>
    <w:tmpl w:val="DC5E96B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59751AC7"/>
    <w:multiLevelType w:val="hybridMultilevel"/>
    <w:tmpl w:val="6D18C57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5A117FB8"/>
    <w:multiLevelType w:val="hybridMultilevel"/>
    <w:tmpl w:val="2A8C8292"/>
    <w:lvl w:ilvl="0" w:tplc="0409000F">
      <w:start w:val="1"/>
      <w:numFmt w:val="decimal"/>
      <w:lvlText w:val="%1."/>
      <w:lvlJc w:val="left"/>
      <w:pPr>
        <w:ind w:left="2067" w:hanging="360"/>
      </w:pPr>
    </w:lvl>
    <w:lvl w:ilvl="1" w:tplc="04090019" w:tentative="1">
      <w:start w:val="1"/>
      <w:numFmt w:val="lowerLetter"/>
      <w:lvlText w:val="%2."/>
      <w:lvlJc w:val="left"/>
      <w:pPr>
        <w:ind w:left="2787" w:hanging="360"/>
      </w:pPr>
    </w:lvl>
    <w:lvl w:ilvl="2" w:tplc="0409001B" w:tentative="1">
      <w:start w:val="1"/>
      <w:numFmt w:val="lowerRoman"/>
      <w:lvlText w:val="%3."/>
      <w:lvlJc w:val="right"/>
      <w:pPr>
        <w:ind w:left="3507" w:hanging="180"/>
      </w:pPr>
    </w:lvl>
    <w:lvl w:ilvl="3" w:tplc="0409000F" w:tentative="1">
      <w:start w:val="1"/>
      <w:numFmt w:val="decimal"/>
      <w:lvlText w:val="%4."/>
      <w:lvlJc w:val="left"/>
      <w:pPr>
        <w:ind w:left="4227" w:hanging="360"/>
      </w:pPr>
    </w:lvl>
    <w:lvl w:ilvl="4" w:tplc="04090019" w:tentative="1">
      <w:start w:val="1"/>
      <w:numFmt w:val="lowerLetter"/>
      <w:lvlText w:val="%5."/>
      <w:lvlJc w:val="left"/>
      <w:pPr>
        <w:ind w:left="4947" w:hanging="360"/>
      </w:pPr>
    </w:lvl>
    <w:lvl w:ilvl="5" w:tplc="0409001B" w:tentative="1">
      <w:start w:val="1"/>
      <w:numFmt w:val="lowerRoman"/>
      <w:lvlText w:val="%6."/>
      <w:lvlJc w:val="right"/>
      <w:pPr>
        <w:ind w:left="5667" w:hanging="180"/>
      </w:pPr>
    </w:lvl>
    <w:lvl w:ilvl="6" w:tplc="0409000F" w:tentative="1">
      <w:start w:val="1"/>
      <w:numFmt w:val="decimal"/>
      <w:lvlText w:val="%7."/>
      <w:lvlJc w:val="left"/>
      <w:pPr>
        <w:ind w:left="6387" w:hanging="360"/>
      </w:pPr>
    </w:lvl>
    <w:lvl w:ilvl="7" w:tplc="04090019" w:tentative="1">
      <w:start w:val="1"/>
      <w:numFmt w:val="lowerLetter"/>
      <w:lvlText w:val="%8."/>
      <w:lvlJc w:val="left"/>
      <w:pPr>
        <w:ind w:left="7107" w:hanging="360"/>
      </w:pPr>
    </w:lvl>
    <w:lvl w:ilvl="8" w:tplc="0409001B" w:tentative="1">
      <w:start w:val="1"/>
      <w:numFmt w:val="lowerRoman"/>
      <w:lvlText w:val="%9."/>
      <w:lvlJc w:val="right"/>
      <w:pPr>
        <w:ind w:left="7827" w:hanging="180"/>
      </w:pPr>
    </w:lvl>
  </w:abstractNum>
  <w:abstractNum w:abstractNumId="43">
    <w:nsid w:val="5C1974F4"/>
    <w:multiLevelType w:val="hybridMultilevel"/>
    <w:tmpl w:val="08B41E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5F67420C"/>
    <w:multiLevelType w:val="hybridMultilevel"/>
    <w:tmpl w:val="319EE7F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18A47F2"/>
    <w:multiLevelType w:val="hybridMultilevel"/>
    <w:tmpl w:val="E154D91A"/>
    <w:lvl w:ilvl="0" w:tplc="93D8321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4B196C"/>
    <w:multiLevelType w:val="hybridMultilevel"/>
    <w:tmpl w:val="7754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865398D"/>
    <w:multiLevelType w:val="hybridMultilevel"/>
    <w:tmpl w:val="80640C8A"/>
    <w:lvl w:ilvl="0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8">
    <w:nsid w:val="687B1156"/>
    <w:multiLevelType w:val="hybridMultilevel"/>
    <w:tmpl w:val="757EB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9664D94"/>
    <w:multiLevelType w:val="hybridMultilevel"/>
    <w:tmpl w:val="EB387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6C292B1B"/>
    <w:multiLevelType w:val="hybridMultilevel"/>
    <w:tmpl w:val="3034C80A"/>
    <w:lvl w:ilvl="0" w:tplc="D85CFE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9E14F1B6">
      <w:start w:val="1"/>
      <w:numFmt w:val="decimal"/>
      <w:lvlText w:val="%2-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C4A2FFB"/>
    <w:multiLevelType w:val="hybridMultilevel"/>
    <w:tmpl w:val="7AAE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E580860"/>
    <w:multiLevelType w:val="hybridMultilevel"/>
    <w:tmpl w:val="FF40C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FAF4AFD"/>
    <w:multiLevelType w:val="hybridMultilevel"/>
    <w:tmpl w:val="7B9CA6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73304AE2"/>
    <w:multiLevelType w:val="hybridMultilevel"/>
    <w:tmpl w:val="FD04134C"/>
    <w:lvl w:ilvl="0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</w:abstractNum>
  <w:abstractNum w:abstractNumId="55">
    <w:nsid w:val="745525C5"/>
    <w:multiLevelType w:val="hybridMultilevel"/>
    <w:tmpl w:val="57ACDE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>
    <w:nsid w:val="78244F11"/>
    <w:multiLevelType w:val="hybridMultilevel"/>
    <w:tmpl w:val="7BAE37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C5F0E04"/>
    <w:multiLevelType w:val="hybridMultilevel"/>
    <w:tmpl w:val="56B24A5E"/>
    <w:lvl w:ilvl="0" w:tplc="7848C9EA">
      <w:start w:val="1"/>
      <w:numFmt w:val="lowerLetter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>
    <w:nsid w:val="7E2C41E7"/>
    <w:multiLevelType w:val="hybridMultilevel"/>
    <w:tmpl w:val="FD0A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5"/>
  </w:num>
  <w:num w:numId="3">
    <w:abstractNumId w:val="13"/>
  </w:num>
  <w:num w:numId="4">
    <w:abstractNumId w:val="16"/>
  </w:num>
  <w:num w:numId="5">
    <w:abstractNumId w:val="34"/>
  </w:num>
  <w:num w:numId="6">
    <w:abstractNumId w:val="15"/>
  </w:num>
  <w:num w:numId="7">
    <w:abstractNumId w:val="41"/>
  </w:num>
  <w:num w:numId="8">
    <w:abstractNumId w:val="6"/>
  </w:num>
  <w:num w:numId="9">
    <w:abstractNumId w:val="19"/>
  </w:num>
  <w:num w:numId="10">
    <w:abstractNumId w:val="4"/>
  </w:num>
  <w:num w:numId="11">
    <w:abstractNumId w:val="22"/>
  </w:num>
  <w:num w:numId="12">
    <w:abstractNumId w:val="49"/>
  </w:num>
  <w:num w:numId="13">
    <w:abstractNumId w:val="57"/>
  </w:num>
  <w:num w:numId="14">
    <w:abstractNumId w:val="43"/>
  </w:num>
  <w:num w:numId="15">
    <w:abstractNumId w:val="50"/>
  </w:num>
  <w:num w:numId="16">
    <w:abstractNumId w:val="55"/>
  </w:num>
  <w:num w:numId="17">
    <w:abstractNumId w:val="17"/>
  </w:num>
  <w:num w:numId="18">
    <w:abstractNumId w:val="48"/>
  </w:num>
  <w:num w:numId="19">
    <w:abstractNumId w:val="10"/>
  </w:num>
  <w:num w:numId="20">
    <w:abstractNumId w:val="46"/>
  </w:num>
  <w:num w:numId="21">
    <w:abstractNumId w:val="30"/>
  </w:num>
  <w:num w:numId="22">
    <w:abstractNumId w:val="24"/>
  </w:num>
  <w:num w:numId="23">
    <w:abstractNumId w:val="27"/>
  </w:num>
  <w:num w:numId="24">
    <w:abstractNumId w:val="9"/>
  </w:num>
  <w:num w:numId="25">
    <w:abstractNumId w:val="56"/>
  </w:num>
  <w:num w:numId="26">
    <w:abstractNumId w:val="37"/>
  </w:num>
  <w:num w:numId="27">
    <w:abstractNumId w:val="2"/>
  </w:num>
  <w:num w:numId="28">
    <w:abstractNumId w:val="53"/>
  </w:num>
  <w:num w:numId="29">
    <w:abstractNumId w:val="7"/>
  </w:num>
  <w:num w:numId="30">
    <w:abstractNumId w:val="52"/>
  </w:num>
  <w:num w:numId="31">
    <w:abstractNumId w:val="1"/>
  </w:num>
  <w:num w:numId="32">
    <w:abstractNumId w:val="45"/>
  </w:num>
  <w:num w:numId="33">
    <w:abstractNumId w:val="51"/>
  </w:num>
  <w:num w:numId="34">
    <w:abstractNumId w:val="14"/>
  </w:num>
  <w:num w:numId="35">
    <w:abstractNumId w:val="42"/>
  </w:num>
  <w:num w:numId="36">
    <w:abstractNumId w:val="29"/>
  </w:num>
  <w:num w:numId="37">
    <w:abstractNumId w:val="33"/>
  </w:num>
  <w:num w:numId="38">
    <w:abstractNumId w:val="0"/>
  </w:num>
  <w:num w:numId="39">
    <w:abstractNumId w:val="28"/>
  </w:num>
  <w:num w:numId="40">
    <w:abstractNumId w:val="58"/>
  </w:num>
  <w:num w:numId="41">
    <w:abstractNumId w:val="47"/>
  </w:num>
  <w:num w:numId="42">
    <w:abstractNumId w:val="11"/>
  </w:num>
  <w:num w:numId="43">
    <w:abstractNumId w:val="25"/>
  </w:num>
  <w:num w:numId="44">
    <w:abstractNumId w:val="21"/>
  </w:num>
  <w:num w:numId="45">
    <w:abstractNumId w:val="35"/>
  </w:num>
  <w:num w:numId="46">
    <w:abstractNumId w:val="3"/>
  </w:num>
  <w:num w:numId="47">
    <w:abstractNumId w:val="54"/>
  </w:num>
  <w:num w:numId="48">
    <w:abstractNumId w:val="40"/>
  </w:num>
  <w:num w:numId="49">
    <w:abstractNumId w:val="44"/>
  </w:num>
  <w:num w:numId="50">
    <w:abstractNumId w:val="12"/>
  </w:num>
  <w:num w:numId="51">
    <w:abstractNumId w:val="32"/>
  </w:num>
  <w:num w:numId="52">
    <w:abstractNumId w:val="8"/>
  </w:num>
  <w:num w:numId="53">
    <w:abstractNumId w:val="20"/>
  </w:num>
  <w:num w:numId="54">
    <w:abstractNumId w:val="18"/>
  </w:num>
  <w:num w:numId="55">
    <w:abstractNumId w:val="39"/>
  </w:num>
  <w:num w:numId="56">
    <w:abstractNumId w:val="31"/>
  </w:num>
  <w:num w:numId="57">
    <w:abstractNumId w:val="36"/>
  </w:num>
  <w:num w:numId="58">
    <w:abstractNumId w:val="23"/>
  </w:num>
  <w:num w:numId="59">
    <w:abstractNumId w:val="26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1626A"/>
    <w:rsid w:val="000028D9"/>
    <w:rsid w:val="00002F57"/>
    <w:rsid w:val="00003828"/>
    <w:rsid w:val="000046FF"/>
    <w:rsid w:val="00006DD7"/>
    <w:rsid w:val="00010051"/>
    <w:rsid w:val="000101A2"/>
    <w:rsid w:val="00013784"/>
    <w:rsid w:val="00015F81"/>
    <w:rsid w:val="0001630F"/>
    <w:rsid w:val="00023694"/>
    <w:rsid w:val="00023AC6"/>
    <w:rsid w:val="00025518"/>
    <w:rsid w:val="0002764E"/>
    <w:rsid w:val="00027BB5"/>
    <w:rsid w:val="0003076A"/>
    <w:rsid w:val="00030D27"/>
    <w:rsid w:val="0003248F"/>
    <w:rsid w:val="000331EB"/>
    <w:rsid w:val="00033AF9"/>
    <w:rsid w:val="00034265"/>
    <w:rsid w:val="00041AAC"/>
    <w:rsid w:val="00045BCF"/>
    <w:rsid w:val="0004789A"/>
    <w:rsid w:val="00050B29"/>
    <w:rsid w:val="0005298B"/>
    <w:rsid w:val="000537EE"/>
    <w:rsid w:val="00053CD5"/>
    <w:rsid w:val="00056BBD"/>
    <w:rsid w:val="0006290E"/>
    <w:rsid w:val="00062EB2"/>
    <w:rsid w:val="00063289"/>
    <w:rsid w:val="0006741A"/>
    <w:rsid w:val="00073105"/>
    <w:rsid w:val="00076519"/>
    <w:rsid w:val="000802D3"/>
    <w:rsid w:val="0008274D"/>
    <w:rsid w:val="0008405A"/>
    <w:rsid w:val="000844C4"/>
    <w:rsid w:val="00084B54"/>
    <w:rsid w:val="0009402D"/>
    <w:rsid w:val="00095C04"/>
    <w:rsid w:val="00097AF9"/>
    <w:rsid w:val="000A2366"/>
    <w:rsid w:val="000A2F74"/>
    <w:rsid w:val="000A3A30"/>
    <w:rsid w:val="000A5A79"/>
    <w:rsid w:val="000A5ABC"/>
    <w:rsid w:val="000A7631"/>
    <w:rsid w:val="000A76F8"/>
    <w:rsid w:val="000B18B4"/>
    <w:rsid w:val="000B2087"/>
    <w:rsid w:val="000B31E8"/>
    <w:rsid w:val="000B35AB"/>
    <w:rsid w:val="000B59E8"/>
    <w:rsid w:val="000C2D67"/>
    <w:rsid w:val="000C3ECA"/>
    <w:rsid w:val="000C3EE1"/>
    <w:rsid w:val="000C567B"/>
    <w:rsid w:val="000C7649"/>
    <w:rsid w:val="000C7A17"/>
    <w:rsid w:val="000D1479"/>
    <w:rsid w:val="000D1D82"/>
    <w:rsid w:val="000D22FC"/>
    <w:rsid w:val="000D3D27"/>
    <w:rsid w:val="000D4DEF"/>
    <w:rsid w:val="000E41BA"/>
    <w:rsid w:val="000E6C91"/>
    <w:rsid w:val="000E6E69"/>
    <w:rsid w:val="000F0141"/>
    <w:rsid w:val="000F3982"/>
    <w:rsid w:val="000F5FB2"/>
    <w:rsid w:val="0010009A"/>
    <w:rsid w:val="00107722"/>
    <w:rsid w:val="00114E7F"/>
    <w:rsid w:val="00116615"/>
    <w:rsid w:val="00120881"/>
    <w:rsid w:val="00120ADF"/>
    <w:rsid w:val="00122001"/>
    <w:rsid w:val="00130304"/>
    <w:rsid w:val="00131CDE"/>
    <w:rsid w:val="00135065"/>
    <w:rsid w:val="00135A15"/>
    <w:rsid w:val="001454E6"/>
    <w:rsid w:val="00151BC2"/>
    <w:rsid w:val="00152147"/>
    <w:rsid w:val="001523D6"/>
    <w:rsid w:val="001532CC"/>
    <w:rsid w:val="001535F4"/>
    <w:rsid w:val="00154A1F"/>
    <w:rsid w:val="001564AA"/>
    <w:rsid w:val="00160D5B"/>
    <w:rsid w:val="00167218"/>
    <w:rsid w:val="001705EC"/>
    <w:rsid w:val="00175C95"/>
    <w:rsid w:val="001806FD"/>
    <w:rsid w:val="001825EE"/>
    <w:rsid w:val="001834DD"/>
    <w:rsid w:val="00197914"/>
    <w:rsid w:val="001A1934"/>
    <w:rsid w:val="001A2BDF"/>
    <w:rsid w:val="001A476F"/>
    <w:rsid w:val="001B08E2"/>
    <w:rsid w:val="001B4AE0"/>
    <w:rsid w:val="001B607F"/>
    <w:rsid w:val="001B7A93"/>
    <w:rsid w:val="001C117E"/>
    <w:rsid w:val="001C282D"/>
    <w:rsid w:val="001D075A"/>
    <w:rsid w:val="001D0EC2"/>
    <w:rsid w:val="001D3149"/>
    <w:rsid w:val="001D4B00"/>
    <w:rsid w:val="001D4EB8"/>
    <w:rsid w:val="001D571C"/>
    <w:rsid w:val="001E22B4"/>
    <w:rsid w:val="001E2EF0"/>
    <w:rsid w:val="001E64E7"/>
    <w:rsid w:val="001F11FE"/>
    <w:rsid w:val="001F3639"/>
    <w:rsid w:val="001F3721"/>
    <w:rsid w:val="001F7842"/>
    <w:rsid w:val="00201950"/>
    <w:rsid w:val="00207206"/>
    <w:rsid w:val="00212586"/>
    <w:rsid w:val="002138A2"/>
    <w:rsid w:val="00221D6A"/>
    <w:rsid w:val="00223CDF"/>
    <w:rsid w:val="00224D4C"/>
    <w:rsid w:val="002254D6"/>
    <w:rsid w:val="00233994"/>
    <w:rsid w:val="002359FA"/>
    <w:rsid w:val="00236551"/>
    <w:rsid w:val="00237A19"/>
    <w:rsid w:val="00242EF2"/>
    <w:rsid w:val="00247B63"/>
    <w:rsid w:val="00250638"/>
    <w:rsid w:val="002520C9"/>
    <w:rsid w:val="00252D7E"/>
    <w:rsid w:val="00254444"/>
    <w:rsid w:val="0025770C"/>
    <w:rsid w:val="00260B8A"/>
    <w:rsid w:val="00263D6B"/>
    <w:rsid w:val="00264BEC"/>
    <w:rsid w:val="00267522"/>
    <w:rsid w:val="0027468E"/>
    <w:rsid w:val="00274AA1"/>
    <w:rsid w:val="00276ABA"/>
    <w:rsid w:val="00286DAF"/>
    <w:rsid w:val="0029001E"/>
    <w:rsid w:val="00291644"/>
    <w:rsid w:val="00291DEA"/>
    <w:rsid w:val="00292826"/>
    <w:rsid w:val="002938A6"/>
    <w:rsid w:val="00294DA8"/>
    <w:rsid w:val="00295367"/>
    <w:rsid w:val="00297070"/>
    <w:rsid w:val="002A0F59"/>
    <w:rsid w:val="002A183D"/>
    <w:rsid w:val="002A20D5"/>
    <w:rsid w:val="002A2223"/>
    <w:rsid w:val="002A47C2"/>
    <w:rsid w:val="002B07C3"/>
    <w:rsid w:val="002B19EA"/>
    <w:rsid w:val="002B27B0"/>
    <w:rsid w:val="002B587C"/>
    <w:rsid w:val="002C2944"/>
    <w:rsid w:val="002C4C08"/>
    <w:rsid w:val="002C53B2"/>
    <w:rsid w:val="002C59A2"/>
    <w:rsid w:val="002C7B83"/>
    <w:rsid w:val="002D244D"/>
    <w:rsid w:val="002D25A0"/>
    <w:rsid w:val="002D4581"/>
    <w:rsid w:val="002D4AAA"/>
    <w:rsid w:val="002D4C85"/>
    <w:rsid w:val="002D4EFF"/>
    <w:rsid w:val="002D56A5"/>
    <w:rsid w:val="002D73C5"/>
    <w:rsid w:val="002F3030"/>
    <w:rsid w:val="002F353C"/>
    <w:rsid w:val="002F44CD"/>
    <w:rsid w:val="002F6460"/>
    <w:rsid w:val="002F68CB"/>
    <w:rsid w:val="00300860"/>
    <w:rsid w:val="00301B5D"/>
    <w:rsid w:val="00304EEA"/>
    <w:rsid w:val="0030539E"/>
    <w:rsid w:val="00310671"/>
    <w:rsid w:val="003115D4"/>
    <w:rsid w:val="00312EED"/>
    <w:rsid w:val="003166FD"/>
    <w:rsid w:val="0031687F"/>
    <w:rsid w:val="003203F9"/>
    <w:rsid w:val="00321C03"/>
    <w:rsid w:val="00322997"/>
    <w:rsid w:val="003236BD"/>
    <w:rsid w:val="003257D4"/>
    <w:rsid w:val="00330CF9"/>
    <w:rsid w:val="00332106"/>
    <w:rsid w:val="0033371C"/>
    <w:rsid w:val="0033425B"/>
    <w:rsid w:val="0033454E"/>
    <w:rsid w:val="003350F9"/>
    <w:rsid w:val="003353CE"/>
    <w:rsid w:val="00342322"/>
    <w:rsid w:val="00342529"/>
    <w:rsid w:val="00342560"/>
    <w:rsid w:val="003444BC"/>
    <w:rsid w:val="00346C7E"/>
    <w:rsid w:val="003536A9"/>
    <w:rsid w:val="003549A6"/>
    <w:rsid w:val="00354DA3"/>
    <w:rsid w:val="00357E02"/>
    <w:rsid w:val="003662D1"/>
    <w:rsid w:val="00372163"/>
    <w:rsid w:val="0037290F"/>
    <w:rsid w:val="00373C32"/>
    <w:rsid w:val="00377165"/>
    <w:rsid w:val="00377BCE"/>
    <w:rsid w:val="00377C2D"/>
    <w:rsid w:val="00384B9E"/>
    <w:rsid w:val="00385913"/>
    <w:rsid w:val="003870E2"/>
    <w:rsid w:val="00394938"/>
    <w:rsid w:val="003A4ACC"/>
    <w:rsid w:val="003A4B4C"/>
    <w:rsid w:val="003A5D68"/>
    <w:rsid w:val="003A6EC0"/>
    <w:rsid w:val="003B021F"/>
    <w:rsid w:val="003B3901"/>
    <w:rsid w:val="003B3CED"/>
    <w:rsid w:val="003B3DD9"/>
    <w:rsid w:val="003B4F47"/>
    <w:rsid w:val="003B59FA"/>
    <w:rsid w:val="003B737A"/>
    <w:rsid w:val="003C064C"/>
    <w:rsid w:val="003C15AB"/>
    <w:rsid w:val="003C2BBC"/>
    <w:rsid w:val="003C2CA5"/>
    <w:rsid w:val="003C51D9"/>
    <w:rsid w:val="003C6C9F"/>
    <w:rsid w:val="003D58BF"/>
    <w:rsid w:val="003D614A"/>
    <w:rsid w:val="003E32F4"/>
    <w:rsid w:val="003E39E8"/>
    <w:rsid w:val="003E4A74"/>
    <w:rsid w:val="003E62D9"/>
    <w:rsid w:val="003E7A3B"/>
    <w:rsid w:val="003F05F8"/>
    <w:rsid w:val="003F656F"/>
    <w:rsid w:val="00402300"/>
    <w:rsid w:val="004070D5"/>
    <w:rsid w:val="00411A63"/>
    <w:rsid w:val="004125E4"/>
    <w:rsid w:val="0041538A"/>
    <w:rsid w:val="00415BDD"/>
    <w:rsid w:val="00421A4D"/>
    <w:rsid w:val="00423F1C"/>
    <w:rsid w:val="0042411E"/>
    <w:rsid w:val="00425543"/>
    <w:rsid w:val="004273C0"/>
    <w:rsid w:val="004317CE"/>
    <w:rsid w:val="0043440F"/>
    <w:rsid w:val="00442BB9"/>
    <w:rsid w:val="00445891"/>
    <w:rsid w:val="00452CF4"/>
    <w:rsid w:val="0045643B"/>
    <w:rsid w:val="004607B4"/>
    <w:rsid w:val="00461164"/>
    <w:rsid w:val="004656CF"/>
    <w:rsid w:val="0046585B"/>
    <w:rsid w:val="00465CCB"/>
    <w:rsid w:val="00471881"/>
    <w:rsid w:val="00471BE7"/>
    <w:rsid w:val="00471CD8"/>
    <w:rsid w:val="00472883"/>
    <w:rsid w:val="00475453"/>
    <w:rsid w:val="00475792"/>
    <w:rsid w:val="00476BB5"/>
    <w:rsid w:val="00476E7E"/>
    <w:rsid w:val="0047700C"/>
    <w:rsid w:val="004819E0"/>
    <w:rsid w:val="0048236A"/>
    <w:rsid w:val="0048708A"/>
    <w:rsid w:val="00493193"/>
    <w:rsid w:val="004935C6"/>
    <w:rsid w:val="00495E0C"/>
    <w:rsid w:val="00497C9D"/>
    <w:rsid w:val="004A11E6"/>
    <w:rsid w:val="004A3791"/>
    <w:rsid w:val="004B0F83"/>
    <w:rsid w:val="004B73C9"/>
    <w:rsid w:val="004C279B"/>
    <w:rsid w:val="004C3A6E"/>
    <w:rsid w:val="004C3F9A"/>
    <w:rsid w:val="004C47C4"/>
    <w:rsid w:val="004C578F"/>
    <w:rsid w:val="004C6C9A"/>
    <w:rsid w:val="004D039D"/>
    <w:rsid w:val="004D2323"/>
    <w:rsid w:val="004D587D"/>
    <w:rsid w:val="004D7CCA"/>
    <w:rsid w:val="004E578A"/>
    <w:rsid w:val="004E7817"/>
    <w:rsid w:val="004F2A95"/>
    <w:rsid w:val="004F68DB"/>
    <w:rsid w:val="004F6CBB"/>
    <w:rsid w:val="00503CEF"/>
    <w:rsid w:val="0050697C"/>
    <w:rsid w:val="0051175C"/>
    <w:rsid w:val="00514388"/>
    <w:rsid w:val="005202C6"/>
    <w:rsid w:val="005223FB"/>
    <w:rsid w:val="0052273D"/>
    <w:rsid w:val="00523CB3"/>
    <w:rsid w:val="005244D5"/>
    <w:rsid w:val="00526A3B"/>
    <w:rsid w:val="005300E4"/>
    <w:rsid w:val="00530E82"/>
    <w:rsid w:val="00533B22"/>
    <w:rsid w:val="00533CA1"/>
    <w:rsid w:val="005374BE"/>
    <w:rsid w:val="005448E7"/>
    <w:rsid w:val="00546FFE"/>
    <w:rsid w:val="0055382B"/>
    <w:rsid w:val="00555D2D"/>
    <w:rsid w:val="00556ECD"/>
    <w:rsid w:val="00556EDE"/>
    <w:rsid w:val="005619E4"/>
    <w:rsid w:val="00563ACF"/>
    <w:rsid w:val="00565421"/>
    <w:rsid w:val="005668D0"/>
    <w:rsid w:val="0057101E"/>
    <w:rsid w:val="005730B5"/>
    <w:rsid w:val="00581142"/>
    <w:rsid w:val="00586C62"/>
    <w:rsid w:val="00586D6D"/>
    <w:rsid w:val="00590EDE"/>
    <w:rsid w:val="005911CB"/>
    <w:rsid w:val="005922A3"/>
    <w:rsid w:val="005A4EF6"/>
    <w:rsid w:val="005B0A37"/>
    <w:rsid w:val="005B13CB"/>
    <w:rsid w:val="005B3970"/>
    <w:rsid w:val="005B3C4B"/>
    <w:rsid w:val="005B44EB"/>
    <w:rsid w:val="005B6393"/>
    <w:rsid w:val="005B78BC"/>
    <w:rsid w:val="005C3726"/>
    <w:rsid w:val="005C442C"/>
    <w:rsid w:val="005C5F04"/>
    <w:rsid w:val="005D0312"/>
    <w:rsid w:val="005D065B"/>
    <w:rsid w:val="005D0C28"/>
    <w:rsid w:val="005D569B"/>
    <w:rsid w:val="005D6923"/>
    <w:rsid w:val="005E0C7F"/>
    <w:rsid w:val="005E65A0"/>
    <w:rsid w:val="005E6EFE"/>
    <w:rsid w:val="005F0338"/>
    <w:rsid w:val="005F1840"/>
    <w:rsid w:val="005F2B39"/>
    <w:rsid w:val="005F3C6A"/>
    <w:rsid w:val="005F45C6"/>
    <w:rsid w:val="005F4AF4"/>
    <w:rsid w:val="005F522F"/>
    <w:rsid w:val="0060257E"/>
    <w:rsid w:val="00602FBD"/>
    <w:rsid w:val="006058D1"/>
    <w:rsid w:val="0060696D"/>
    <w:rsid w:val="00607F19"/>
    <w:rsid w:val="0061219A"/>
    <w:rsid w:val="00612BA2"/>
    <w:rsid w:val="006175C1"/>
    <w:rsid w:val="00620F30"/>
    <w:rsid w:val="00620F89"/>
    <w:rsid w:val="00622046"/>
    <w:rsid w:val="006230D9"/>
    <w:rsid w:val="00630446"/>
    <w:rsid w:val="006335AC"/>
    <w:rsid w:val="006366C1"/>
    <w:rsid w:val="00637AC4"/>
    <w:rsid w:val="006406BF"/>
    <w:rsid w:val="00640F86"/>
    <w:rsid w:val="006443A6"/>
    <w:rsid w:val="00645544"/>
    <w:rsid w:val="006460C2"/>
    <w:rsid w:val="0064748F"/>
    <w:rsid w:val="006538DB"/>
    <w:rsid w:val="0065513F"/>
    <w:rsid w:val="00661D08"/>
    <w:rsid w:val="00663302"/>
    <w:rsid w:val="00663C90"/>
    <w:rsid w:val="00665469"/>
    <w:rsid w:val="00671511"/>
    <w:rsid w:val="006721FB"/>
    <w:rsid w:val="00673090"/>
    <w:rsid w:val="0067481D"/>
    <w:rsid w:val="0069099C"/>
    <w:rsid w:val="006930B0"/>
    <w:rsid w:val="006949EA"/>
    <w:rsid w:val="00696CDA"/>
    <w:rsid w:val="0069748F"/>
    <w:rsid w:val="006A0AFE"/>
    <w:rsid w:val="006A3A8A"/>
    <w:rsid w:val="006A695B"/>
    <w:rsid w:val="006A7FF5"/>
    <w:rsid w:val="006B2410"/>
    <w:rsid w:val="006B2FE1"/>
    <w:rsid w:val="006B49E7"/>
    <w:rsid w:val="006B5C4F"/>
    <w:rsid w:val="006B6D61"/>
    <w:rsid w:val="006B7718"/>
    <w:rsid w:val="006C18D5"/>
    <w:rsid w:val="006C28CA"/>
    <w:rsid w:val="006C5E96"/>
    <w:rsid w:val="006C5F9E"/>
    <w:rsid w:val="006D0704"/>
    <w:rsid w:val="006D12FD"/>
    <w:rsid w:val="006D5C34"/>
    <w:rsid w:val="006D7CE7"/>
    <w:rsid w:val="006E69EF"/>
    <w:rsid w:val="006F2FC9"/>
    <w:rsid w:val="006F37B9"/>
    <w:rsid w:val="006F471C"/>
    <w:rsid w:val="006F7A4E"/>
    <w:rsid w:val="006F7C0C"/>
    <w:rsid w:val="007012AA"/>
    <w:rsid w:val="007040E6"/>
    <w:rsid w:val="007046B2"/>
    <w:rsid w:val="00704C7D"/>
    <w:rsid w:val="00705FC9"/>
    <w:rsid w:val="00707188"/>
    <w:rsid w:val="0070794F"/>
    <w:rsid w:val="0071294B"/>
    <w:rsid w:val="00713BCB"/>
    <w:rsid w:val="007149B5"/>
    <w:rsid w:val="00715723"/>
    <w:rsid w:val="0071780E"/>
    <w:rsid w:val="00717ABC"/>
    <w:rsid w:val="00720D1F"/>
    <w:rsid w:val="00721501"/>
    <w:rsid w:val="00722587"/>
    <w:rsid w:val="00722BF8"/>
    <w:rsid w:val="0072490E"/>
    <w:rsid w:val="00725512"/>
    <w:rsid w:val="007309AD"/>
    <w:rsid w:val="00731647"/>
    <w:rsid w:val="00732A39"/>
    <w:rsid w:val="0073322F"/>
    <w:rsid w:val="007336E3"/>
    <w:rsid w:val="00735AD1"/>
    <w:rsid w:val="00742CF9"/>
    <w:rsid w:val="00746B17"/>
    <w:rsid w:val="00747D41"/>
    <w:rsid w:val="0075374F"/>
    <w:rsid w:val="00754431"/>
    <w:rsid w:val="007610F1"/>
    <w:rsid w:val="00761191"/>
    <w:rsid w:val="00762A2C"/>
    <w:rsid w:val="00763037"/>
    <w:rsid w:val="007659B8"/>
    <w:rsid w:val="00773F23"/>
    <w:rsid w:val="00774D9F"/>
    <w:rsid w:val="00776FDE"/>
    <w:rsid w:val="00783035"/>
    <w:rsid w:val="007855C3"/>
    <w:rsid w:val="00787973"/>
    <w:rsid w:val="00792657"/>
    <w:rsid w:val="00793554"/>
    <w:rsid w:val="00794FD7"/>
    <w:rsid w:val="00795FB6"/>
    <w:rsid w:val="0079679D"/>
    <w:rsid w:val="007968A6"/>
    <w:rsid w:val="00797368"/>
    <w:rsid w:val="007A2E0F"/>
    <w:rsid w:val="007A3894"/>
    <w:rsid w:val="007A4FAD"/>
    <w:rsid w:val="007A5F88"/>
    <w:rsid w:val="007A7966"/>
    <w:rsid w:val="007B503A"/>
    <w:rsid w:val="007C495A"/>
    <w:rsid w:val="007C4ED0"/>
    <w:rsid w:val="007C6F6D"/>
    <w:rsid w:val="007D3766"/>
    <w:rsid w:val="007E018A"/>
    <w:rsid w:val="007E1037"/>
    <w:rsid w:val="007E439A"/>
    <w:rsid w:val="007E4A83"/>
    <w:rsid w:val="007E5621"/>
    <w:rsid w:val="007E5797"/>
    <w:rsid w:val="007E7CF2"/>
    <w:rsid w:val="007F2988"/>
    <w:rsid w:val="007F63D7"/>
    <w:rsid w:val="007F7253"/>
    <w:rsid w:val="00800879"/>
    <w:rsid w:val="00801D97"/>
    <w:rsid w:val="008076B0"/>
    <w:rsid w:val="0081193A"/>
    <w:rsid w:val="008123D8"/>
    <w:rsid w:val="0081568A"/>
    <w:rsid w:val="00823045"/>
    <w:rsid w:val="00826C25"/>
    <w:rsid w:val="0083453E"/>
    <w:rsid w:val="0083605E"/>
    <w:rsid w:val="008370D2"/>
    <w:rsid w:val="008423A3"/>
    <w:rsid w:val="0084616B"/>
    <w:rsid w:val="00847C9C"/>
    <w:rsid w:val="00856BE5"/>
    <w:rsid w:val="008610DF"/>
    <w:rsid w:val="00865581"/>
    <w:rsid w:val="0086681D"/>
    <w:rsid w:val="00866D18"/>
    <w:rsid w:val="00870504"/>
    <w:rsid w:val="00875757"/>
    <w:rsid w:val="00880BBC"/>
    <w:rsid w:val="0088368B"/>
    <w:rsid w:val="00891AAC"/>
    <w:rsid w:val="00891D2D"/>
    <w:rsid w:val="0089343E"/>
    <w:rsid w:val="008938B4"/>
    <w:rsid w:val="008970BE"/>
    <w:rsid w:val="00897CF1"/>
    <w:rsid w:val="008A12C8"/>
    <w:rsid w:val="008A4B69"/>
    <w:rsid w:val="008A51EB"/>
    <w:rsid w:val="008B0FF2"/>
    <w:rsid w:val="008B4020"/>
    <w:rsid w:val="008B4541"/>
    <w:rsid w:val="008B5840"/>
    <w:rsid w:val="008B5FF1"/>
    <w:rsid w:val="008B7833"/>
    <w:rsid w:val="008B7EF9"/>
    <w:rsid w:val="008C0ED5"/>
    <w:rsid w:val="008C37BE"/>
    <w:rsid w:val="008C4258"/>
    <w:rsid w:val="008C7E49"/>
    <w:rsid w:val="008D1E26"/>
    <w:rsid w:val="008D3E43"/>
    <w:rsid w:val="008E26F8"/>
    <w:rsid w:val="008E41DD"/>
    <w:rsid w:val="008E46AB"/>
    <w:rsid w:val="008F5160"/>
    <w:rsid w:val="009000E0"/>
    <w:rsid w:val="00900FB8"/>
    <w:rsid w:val="00901790"/>
    <w:rsid w:val="00903E85"/>
    <w:rsid w:val="00903F5F"/>
    <w:rsid w:val="009104B1"/>
    <w:rsid w:val="009105D0"/>
    <w:rsid w:val="009145C1"/>
    <w:rsid w:val="009166CD"/>
    <w:rsid w:val="00917786"/>
    <w:rsid w:val="00917A1F"/>
    <w:rsid w:val="00923E8D"/>
    <w:rsid w:val="00925D35"/>
    <w:rsid w:val="0092621A"/>
    <w:rsid w:val="00927994"/>
    <w:rsid w:val="00935A7F"/>
    <w:rsid w:val="009366CC"/>
    <w:rsid w:val="00937F1C"/>
    <w:rsid w:val="009467DA"/>
    <w:rsid w:val="009479F4"/>
    <w:rsid w:val="009509A1"/>
    <w:rsid w:val="00951CCE"/>
    <w:rsid w:val="00960760"/>
    <w:rsid w:val="009703C8"/>
    <w:rsid w:val="009704A8"/>
    <w:rsid w:val="00981CB0"/>
    <w:rsid w:val="00981EFB"/>
    <w:rsid w:val="00983969"/>
    <w:rsid w:val="00985A6C"/>
    <w:rsid w:val="0099161F"/>
    <w:rsid w:val="009919D0"/>
    <w:rsid w:val="00992EB9"/>
    <w:rsid w:val="009A26E2"/>
    <w:rsid w:val="009A351B"/>
    <w:rsid w:val="009B05F9"/>
    <w:rsid w:val="009B186A"/>
    <w:rsid w:val="009B780B"/>
    <w:rsid w:val="009C08B4"/>
    <w:rsid w:val="009C118F"/>
    <w:rsid w:val="009C54F6"/>
    <w:rsid w:val="009D1142"/>
    <w:rsid w:val="009D301E"/>
    <w:rsid w:val="009D47E3"/>
    <w:rsid w:val="009E2B52"/>
    <w:rsid w:val="009E3123"/>
    <w:rsid w:val="009E56FB"/>
    <w:rsid w:val="009E7D72"/>
    <w:rsid w:val="009F05B4"/>
    <w:rsid w:val="009F0D3D"/>
    <w:rsid w:val="009F41CA"/>
    <w:rsid w:val="00A00AF5"/>
    <w:rsid w:val="00A03B61"/>
    <w:rsid w:val="00A03BA3"/>
    <w:rsid w:val="00A045EC"/>
    <w:rsid w:val="00A04A50"/>
    <w:rsid w:val="00A051EC"/>
    <w:rsid w:val="00A05BFC"/>
    <w:rsid w:val="00A10DC8"/>
    <w:rsid w:val="00A1626A"/>
    <w:rsid w:val="00A27565"/>
    <w:rsid w:val="00A3359F"/>
    <w:rsid w:val="00A342FA"/>
    <w:rsid w:val="00A40535"/>
    <w:rsid w:val="00A408D4"/>
    <w:rsid w:val="00A43F7F"/>
    <w:rsid w:val="00A50AF0"/>
    <w:rsid w:val="00A52D39"/>
    <w:rsid w:val="00A55797"/>
    <w:rsid w:val="00A63140"/>
    <w:rsid w:val="00A67C82"/>
    <w:rsid w:val="00A734FD"/>
    <w:rsid w:val="00A74F04"/>
    <w:rsid w:val="00A7579D"/>
    <w:rsid w:val="00A77D15"/>
    <w:rsid w:val="00A84D49"/>
    <w:rsid w:val="00A854AF"/>
    <w:rsid w:val="00A87DBA"/>
    <w:rsid w:val="00A90514"/>
    <w:rsid w:val="00A951D4"/>
    <w:rsid w:val="00A9707E"/>
    <w:rsid w:val="00A975DD"/>
    <w:rsid w:val="00AA0369"/>
    <w:rsid w:val="00AA0681"/>
    <w:rsid w:val="00AA1CE7"/>
    <w:rsid w:val="00AA2F67"/>
    <w:rsid w:val="00AA584F"/>
    <w:rsid w:val="00AB0BA9"/>
    <w:rsid w:val="00AB162E"/>
    <w:rsid w:val="00AB1E8E"/>
    <w:rsid w:val="00AB2EC1"/>
    <w:rsid w:val="00AB6FB1"/>
    <w:rsid w:val="00AC059E"/>
    <w:rsid w:val="00AC558B"/>
    <w:rsid w:val="00AD0613"/>
    <w:rsid w:val="00AD6A70"/>
    <w:rsid w:val="00AE24CF"/>
    <w:rsid w:val="00AE3C61"/>
    <w:rsid w:val="00AE40AB"/>
    <w:rsid w:val="00AE4A38"/>
    <w:rsid w:val="00AE6C0D"/>
    <w:rsid w:val="00AF0220"/>
    <w:rsid w:val="00AF354B"/>
    <w:rsid w:val="00B05AF2"/>
    <w:rsid w:val="00B072B7"/>
    <w:rsid w:val="00B07D8C"/>
    <w:rsid w:val="00B103B9"/>
    <w:rsid w:val="00B11EF4"/>
    <w:rsid w:val="00B129E1"/>
    <w:rsid w:val="00B13730"/>
    <w:rsid w:val="00B14329"/>
    <w:rsid w:val="00B26279"/>
    <w:rsid w:val="00B26424"/>
    <w:rsid w:val="00B30A04"/>
    <w:rsid w:val="00B31EC0"/>
    <w:rsid w:val="00B320CC"/>
    <w:rsid w:val="00B32799"/>
    <w:rsid w:val="00B34760"/>
    <w:rsid w:val="00B36650"/>
    <w:rsid w:val="00B44A95"/>
    <w:rsid w:val="00B461A6"/>
    <w:rsid w:val="00B47D48"/>
    <w:rsid w:val="00B50247"/>
    <w:rsid w:val="00B50ABE"/>
    <w:rsid w:val="00B521C0"/>
    <w:rsid w:val="00B542DA"/>
    <w:rsid w:val="00B56484"/>
    <w:rsid w:val="00B56F75"/>
    <w:rsid w:val="00B61103"/>
    <w:rsid w:val="00B63F69"/>
    <w:rsid w:val="00B64303"/>
    <w:rsid w:val="00B66565"/>
    <w:rsid w:val="00B81639"/>
    <w:rsid w:val="00B8197F"/>
    <w:rsid w:val="00B843C9"/>
    <w:rsid w:val="00B8455E"/>
    <w:rsid w:val="00B9066F"/>
    <w:rsid w:val="00B952D0"/>
    <w:rsid w:val="00B965BC"/>
    <w:rsid w:val="00BA1C89"/>
    <w:rsid w:val="00BA29C4"/>
    <w:rsid w:val="00BA6D5E"/>
    <w:rsid w:val="00BB5357"/>
    <w:rsid w:val="00BB767D"/>
    <w:rsid w:val="00BC0C84"/>
    <w:rsid w:val="00BC2604"/>
    <w:rsid w:val="00BC6375"/>
    <w:rsid w:val="00BD3337"/>
    <w:rsid w:val="00BD4D25"/>
    <w:rsid w:val="00BE55B5"/>
    <w:rsid w:val="00BF04E0"/>
    <w:rsid w:val="00BF1FF3"/>
    <w:rsid w:val="00BF431D"/>
    <w:rsid w:val="00C049FE"/>
    <w:rsid w:val="00C05E68"/>
    <w:rsid w:val="00C11A40"/>
    <w:rsid w:val="00C11ECD"/>
    <w:rsid w:val="00C12666"/>
    <w:rsid w:val="00C1634B"/>
    <w:rsid w:val="00C17F9B"/>
    <w:rsid w:val="00C20B31"/>
    <w:rsid w:val="00C20BFB"/>
    <w:rsid w:val="00C21D37"/>
    <w:rsid w:val="00C21DD5"/>
    <w:rsid w:val="00C251D7"/>
    <w:rsid w:val="00C300B3"/>
    <w:rsid w:val="00C3070C"/>
    <w:rsid w:val="00C3178A"/>
    <w:rsid w:val="00C3667B"/>
    <w:rsid w:val="00C36F40"/>
    <w:rsid w:val="00C40C10"/>
    <w:rsid w:val="00C40E2F"/>
    <w:rsid w:val="00C426B5"/>
    <w:rsid w:val="00C43362"/>
    <w:rsid w:val="00C44CFE"/>
    <w:rsid w:val="00C45897"/>
    <w:rsid w:val="00C471ED"/>
    <w:rsid w:val="00C50F32"/>
    <w:rsid w:val="00C5143B"/>
    <w:rsid w:val="00C647E8"/>
    <w:rsid w:val="00C67294"/>
    <w:rsid w:val="00C67566"/>
    <w:rsid w:val="00C75EF4"/>
    <w:rsid w:val="00C8124E"/>
    <w:rsid w:val="00C84A6B"/>
    <w:rsid w:val="00C84E9D"/>
    <w:rsid w:val="00C94A59"/>
    <w:rsid w:val="00C97993"/>
    <w:rsid w:val="00C97FAA"/>
    <w:rsid w:val="00CA00C3"/>
    <w:rsid w:val="00CA2192"/>
    <w:rsid w:val="00CB02AE"/>
    <w:rsid w:val="00CB0752"/>
    <w:rsid w:val="00CB253A"/>
    <w:rsid w:val="00CB5E03"/>
    <w:rsid w:val="00CB6F57"/>
    <w:rsid w:val="00CC2459"/>
    <w:rsid w:val="00CC29B6"/>
    <w:rsid w:val="00CC34C1"/>
    <w:rsid w:val="00CC7A0E"/>
    <w:rsid w:val="00CD1371"/>
    <w:rsid w:val="00CD283A"/>
    <w:rsid w:val="00CD3472"/>
    <w:rsid w:val="00CD64D6"/>
    <w:rsid w:val="00CE0DDE"/>
    <w:rsid w:val="00CE246C"/>
    <w:rsid w:val="00CE24F1"/>
    <w:rsid w:val="00CE52D0"/>
    <w:rsid w:val="00CF19C4"/>
    <w:rsid w:val="00CF2A62"/>
    <w:rsid w:val="00CF5177"/>
    <w:rsid w:val="00D01923"/>
    <w:rsid w:val="00D04667"/>
    <w:rsid w:val="00D063FC"/>
    <w:rsid w:val="00D06ED0"/>
    <w:rsid w:val="00D129F1"/>
    <w:rsid w:val="00D1576D"/>
    <w:rsid w:val="00D15819"/>
    <w:rsid w:val="00D16417"/>
    <w:rsid w:val="00D16475"/>
    <w:rsid w:val="00D17180"/>
    <w:rsid w:val="00D21D09"/>
    <w:rsid w:val="00D251D5"/>
    <w:rsid w:val="00D26CE2"/>
    <w:rsid w:val="00D27416"/>
    <w:rsid w:val="00D27932"/>
    <w:rsid w:val="00D33D44"/>
    <w:rsid w:val="00D356E5"/>
    <w:rsid w:val="00D35FD7"/>
    <w:rsid w:val="00D36675"/>
    <w:rsid w:val="00D36AE2"/>
    <w:rsid w:val="00D40722"/>
    <w:rsid w:val="00D40C2B"/>
    <w:rsid w:val="00D41B8F"/>
    <w:rsid w:val="00D43342"/>
    <w:rsid w:val="00D44695"/>
    <w:rsid w:val="00D47065"/>
    <w:rsid w:val="00D520CF"/>
    <w:rsid w:val="00D53092"/>
    <w:rsid w:val="00D53857"/>
    <w:rsid w:val="00D576E1"/>
    <w:rsid w:val="00D63A88"/>
    <w:rsid w:val="00D641C3"/>
    <w:rsid w:val="00D65410"/>
    <w:rsid w:val="00D66AAE"/>
    <w:rsid w:val="00D71045"/>
    <w:rsid w:val="00D71E92"/>
    <w:rsid w:val="00D746EA"/>
    <w:rsid w:val="00D757C7"/>
    <w:rsid w:val="00D8057C"/>
    <w:rsid w:val="00D8063B"/>
    <w:rsid w:val="00D81B47"/>
    <w:rsid w:val="00D8219E"/>
    <w:rsid w:val="00D8247B"/>
    <w:rsid w:val="00D83297"/>
    <w:rsid w:val="00D84A8B"/>
    <w:rsid w:val="00D86DD7"/>
    <w:rsid w:val="00D91AEC"/>
    <w:rsid w:val="00D926AC"/>
    <w:rsid w:val="00D927B4"/>
    <w:rsid w:val="00D93381"/>
    <w:rsid w:val="00DA1C1B"/>
    <w:rsid w:val="00DA38DA"/>
    <w:rsid w:val="00DA6256"/>
    <w:rsid w:val="00DB4E9C"/>
    <w:rsid w:val="00DB7DA3"/>
    <w:rsid w:val="00DC1242"/>
    <w:rsid w:val="00DC1372"/>
    <w:rsid w:val="00DC4D6A"/>
    <w:rsid w:val="00DC4D93"/>
    <w:rsid w:val="00DD215E"/>
    <w:rsid w:val="00DD2690"/>
    <w:rsid w:val="00DD3A3F"/>
    <w:rsid w:val="00DD4DD0"/>
    <w:rsid w:val="00DD5980"/>
    <w:rsid w:val="00DD7052"/>
    <w:rsid w:val="00DE34D3"/>
    <w:rsid w:val="00DE3992"/>
    <w:rsid w:val="00DE72A6"/>
    <w:rsid w:val="00DF163F"/>
    <w:rsid w:val="00DF1C09"/>
    <w:rsid w:val="00DF2159"/>
    <w:rsid w:val="00DF2AD3"/>
    <w:rsid w:val="00DF2FDF"/>
    <w:rsid w:val="00DF34EA"/>
    <w:rsid w:val="00E013DC"/>
    <w:rsid w:val="00E01B35"/>
    <w:rsid w:val="00E07C27"/>
    <w:rsid w:val="00E11C5B"/>
    <w:rsid w:val="00E13745"/>
    <w:rsid w:val="00E148FA"/>
    <w:rsid w:val="00E1588D"/>
    <w:rsid w:val="00E21CEF"/>
    <w:rsid w:val="00E32A6B"/>
    <w:rsid w:val="00E33D2C"/>
    <w:rsid w:val="00E34AF0"/>
    <w:rsid w:val="00E36F88"/>
    <w:rsid w:val="00E4299E"/>
    <w:rsid w:val="00E42BB9"/>
    <w:rsid w:val="00E42D7B"/>
    <w:rsid w:val="00E455AB"/>
    <w:rsid w:val="00E47CF5"/>
    <w:rsid w:val="00E5020D"/>
    <w:rsid w:val="00E50482"/>
    <w:rsid w:val="00E53F61"/>
    <w:rsid w:val="00E5520D"/>
    <w:rsid w:val="00E61ED4"/>
    <w:rsid w:val="00E62ABE"/>
    <w:rsid w:val="00E642F1"/>
    <w:rsid w:val="00E652A2"/>
    <w:rsid w:val="00E65B4D"/>
    <w:rsid w:val="00E669DE"/>
    <w:rsid w:val="00E76CEA"/>
    <w:rsid w:val="00E8035F"/>
    <w:rsid w:val="00E81BB1"/>
    <w:rsid w:val="00E82457"/>
    <w:rsid w:val="00E83A31"/>
    <w:rsid w:val="00E83F53"/>
    <w:rsid w:val="00E86653"/>
    <w:rsid w:val="00E8747E"/>
    <w:rsid w:val="00E92D6A"/>
    <w:rsid w:val="00E947E8"/>
    <w:rsid w:val="00E95944"/>
    <w:rsid w:val="00E97FD1"/>
    <w:rsid w:val="00EA0D34"/>
    <w:rsid w:val="00EA6D34"/>
    <w:rsid w:val="00EB1CB6"/>
    <w:rsid w:val="00EB361B"/>
    <w:rsid w:val="00EB4DC4"/>
    <w:rsid w:val="00EB7205"/>
    <w:rsid w:val="00EC0C60"/>
    <w:rsid w:val="00EC2FF3"/>
    <w:rsid w:val="00EC3717"/>
    <w:rsid w:val="00EC7BBE"/>
    <w:rsid w:val="00ED0763"/>
    <w:rsid w:val="00ED6175"/>
    <w:rsid w:val="00ED6D0E"/>
    <w:rsid w:val="00ED7B53"/>
    <w:rsid w:val="00EE09DA"/>
    <w:rsid w:val="00EE37DD"/>
    <w:rsid w:val="00EE5340"/>
    <w:rsid w:val="00EE5F10"/>
    <w:rsid w:val="00EE63E6"/>
    <w:rsid w:val="00EF0FEB"/>
    <w:rsid w:val="00EF1176"/>
    <w:rsid w:val="00EF2DBF"/>
    <w:rsid w:val="00EF3607"/>
    <w:rsid w:val="00F06E3B"/>
    <w:rsid w:val="00F10083"/>
    <w:rsid w:val="00F151EA"/>
    <w:rsid w:val="00F15DE3"/>
    <w:rsid w:val="00F16FC3"/>
    <w:rsid w:val="00F216C3"/>
    <w:rsid w:val="00F21BA8"/>
    <w:rsid w:val="00F23729"/>
    <w:rsid w:val="00F30ECE"/>
    <w:rsid w:val="00F30FA6"/>
    <w:rsid w:val="00F32F66"/>
    <w:rsid w:val="00F33CEC"/>
    <w:rsid w:val="00F356B5"/>
    <w:rsid w:val="00F36C32"/>
    <w:rsid w:val="00F377DA"/>
    <w:rsid w:val="00F41ED4"/>
    <w:rsid w:val="00F422E5"/>
    <w:rsid w:val="00F42BE5"/>
    <w:rsid w:val="00F4644B"/>
    <w:rsid w:val="00F50275"/>
    <w:rsid w:val="00F50CD9"/>
    <w:rsid w:val="00F52393"/>
    <w:rsid w:val="00F523FF"/>
    <w:rsid w:val="00F5302A"/>
    <w:rsid w:val="00F55D35"/>
    <w:rsid w:val="00F65943"/>
    <w:rsid w:val="00F6598F"/>
    <w:rsid w:val="00F67996"/>
    <w:rsid w:val="00F70366"/>
    <w:rsid w:val="00F71953"/>
    <w:rsid w:val="00F73A16"/>
    <w:rsid w:val="00F73D59"/>
    <w:rsid w:val="00F75629"/>
    <w:rsid w:val="00F803C9"/>
    <w:rsid w:val="00F80983"/>
    <w:rsid w:val="00F90BF6"/>
    <w:rsid w:val="00F9367F"/>
    <w:rsid w:val="00F95A82"/>
    <w:rsid w:val="00F95C9C"/>
    <w:rsid w:val="00FA0EF4"/>
    <w:rsid w:val="00FA1D4F"/>
    <w:rsid w:val="00FA321D"/>
    <w:rsid w:val="00FA6587"/>
    <w:rsid w:val="00FA708D"/>
    <w:rsid w:val="00FA7593"/>
    <w:rsid w:val="00FB01B4"/>
    <w:rsid w:val="00FB13BB"/>
    <w:rsid w:val="00FB3187"/>
    <w:rsid w:val="00FB42F2"/>
    <w:rsid w:val="00FC110B"/>
    <w:rsid w:val="00FC411F"/>
    <w:rsid w:val="00FC462A"/>
    <w:rsid w:val="00FC4D24"/>
    <w:rsid w:val="00FC5ED8"/>
    <w:rsid w:val="00FC6C4D"/>
    <w:rsid w:val="00FC740A"/>
    <w:rsid w:val="00FC7D99"/>
    <w:rsid w:val="00FD07B9"/>
    <w:rsid w:val="00FD3E7A"/>
    <w:rsid w:val="00FD536A"/>
    <w:rsid w:val="00FE13E6"/>
    <w:rsid w:val="00FF1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26A"/>
    <w:pPr>
      <w:bidi/>
    </w:pPr>
  </w:style>
  <w:style w:type="paragraph" w:styleId="Heading1">
    <w:name w:val="heading 1"/>
    <w:basedOn w:val="Normal"/>
    <w:link w:val="Heading1Char"/>
    <w:uiPriority w:val="9"/>
    <w:qFormat/>
    <w:rsid w:val="005B78B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8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78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78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B78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8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B7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78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B78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B78B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2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2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6A"/>
  </w:style>
  <w:style w:type="paragraph" w:styleId="Footer">
    <w:name w:val="footer"/>
    <w:basedOn w:val="Normal"/>
    <w:link w:val="FooterChar"/>
    <w:uiPriority w:val="99"/>
    <w:unhideWhenUsed/>
    <w:rsid w:val="00A162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6A"/>
  </w:style>
  <w:style w:type="paragraph" w:styleId="NoSpacing">
    <w:name w:val="No Spacing"/>
    <w:uiPriority w:val="1"/>
    <w:qFormat/>
    <w:rsid w:val="003C15AB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F55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5D3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1ED"/>
    <w:rPr>
      <w:i/>
      <w:iCs/>
    </w:rPr>
  </w:style>
  <w:style w:type="character" w:customStyle="1" w:styleId="apple-converted-space">
    <w:name w:val="apple-converted-space"/>
    <w:basedOn w:val="DefaultParagraphFont"/>
    <w:rsid w:val="005B78BC"/>
  </w:style>
  <w:style w:type="character" w:customStyle="1" w:styleId="ref-journal">
    <w:name w:val="ref-journal"/>
    <w:basedOn w:val="DefaultParagraphFont"/>
    <w:rsid w:val="005B78BC"/>
  </w:style>
  <w:style w:type="character" w:customStyle="1" w:styleId="ref-vol">
    <w:name w:val="ref-vol"/>
    <w:basedOn w:val="DefaultParagraphFont"/>
    <w:rsid w:val="005B78BC"/>
  </w:style>
  <w:style w:type="character" w:customStyle="1" w:styleId="element-citation">
    <w:name w:val="element-citation"/>
    <w:basedOn w:val="DefaultParagraphFont"/>
    <w:rsid w:val="005B78BC"/>
  </w:style>
  <w:style w:type="paragraph" w:customStyle="1" w:styleId="p">
    <w:name w:val="p"/>
    <w:basedOn w:val="Normal"/>
    <w:rsid w:val="005B78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78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B78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78BC"/>
    <w:rPr>
      <w:b/>
      <w:bCs/>
    </w:rPr>
  </w:style>
  <w:style w:type="character" w:customStyle="1" w:styleId="refauthors">
    <w:name w:val="refauthors"/>
    <w:basedOn w:val="DefaultParagraphFont"/>
    <w:rsid w:val="005B78BC"/>
  </w:style>
  <w:style w:type="character" w:customStyle="1" w:styleId="reftitle">
    <w:name w:val="reftitle"/>
    <w:basedOn w:val="DefaultParagraphFont"/>
    <w:rsid w:val="005B78BC"/>
  </w:style>
  <w:style w:type="character" w:customStyle="1" w:styleId="refseriestitle">
    <w:name w:val="refseriestitle"/>
    <w:basedOn w:val="DefaultParagraphFont"/>
    <w:rsid w:val="005B78BC"/>
  </w:style>
  <w:style w:type="character" w:customStyle="1" w:styleId="refseriesdate">
    <w:name w:val="refseriesdate"/>
    <w:basedOn w:val="DefaultParagraphFont"/>
    <w:rsid w:val="005B78BC"/>
  </w:style>
  <w:style w:type="character" w:customStyle="1" w:styleId="refseriesvolume">
    <w:name w:val="refseriesvolume"/>
    <w:basedOn w:val="DefaultParagraphFont"/>
    <w:rsid w:val="005B78BC"/>
  </w:style>
  <w:style w:type="character" w:customStyle="1" w:styleId="refpages">
    <w:name w:val="refpages"/>
    <w:basedOn w:val="DefaultParagraphFont"/>
    <w:rsid w:val="005B78BC"/>
  </w:style>
  <w:style w:type="character" w:customStyle="1" w:styleId="ref-title">
    <w:name w:val="ref-title"/>
    <w:basedOn w:val="DefaultParagraphFont"/>
    <w:rsid w:val="005B78BC"/>
  </w:style>
  <w:style w:type="character" w:customStyle="1" w:styleId="ref-iss">
    <w:name w:val="ref-iss"/>
    <w:basedOn w:val="DefaultParagraphFont"/>
    <w:rsid w:val="005B78BC"/>
  </w:style>
  <w:style w:type="character" w:customStyle="1" w:styleId="small-caps">
    <w:name w:val="small-caps"/>
    <w:basedOn w:val="DefaultParagraphFont"/>
    <w:rsid w:val="005B78BC"/>
  </w:style>
  <w:style w:type="character" w:customStyle="1" w:styleId="cit">
    <w:name w:val="cit"/>
    <w:basedOn w:val="DefaultParagraphFont"/>
    <w:rsid w:val="005B78BC"/>
  </w:style>
  <w:style w:type="character" w:customStyle="1" w:styleId="doi">
    <w:name w:val="doi"/>
    <w:basedOn w:val="DefaultParagraphFont"/>
    <w:rsid w:val="005B78BC"/>
  </w:style>
  <w:style w:type="character" w:customStyle="1" w:styleId="author">
    <w:name w:val="author"/>
    <w:basedOn w:val="DefaultParagraphFont"/>
    <w:rsid w:val="005B78BC"/>
  </w:style>
  <w:style w:type="character" w:customStyle="1" w:styleId="articletitle">
    <w:name w:val="articletitle"/>
    <w:basedOn w:val="DefaultParagraphFont"/>
    <w:rsid w:val="005B78BC"/>
  </w:style>
  <w:style w:type="character" w:customStyle="1" w:styleId="journaltitle">
    <w:name w:val="journaltitle"/>
    <w:basedOn w:val="DefaultParagraphFont"/>
    <w:rsid w:val="005B78BC"/>
  </w:style>
  <w:style w:type="character" w:customStyle="1" w:styleId="pubyear">
    <w:name w:val="pubyear"/>
    <w:basedOn w:val="DefaultParagraphFont"/>
    <w:rsid w:val="005B78BC"/>
  </w:style>
  <w:style w:type="character" w:customStyle="1" w:styleId="vol">
    <w:name w:val="vol"/>
    <w:basedOn w:val="DefaultParagraphFont"/>
    <w:rsid w:val="005B78BC"/>
  </w:style>
  <w:style w:type="character" w:customStyle="1" w:styleId="pagefirst">
    <w:name w:val="pagefirst"/>
    <w:basedOn w:val="DefaultParagraphFont"/>
    <w:rsid w:val="005B78BC"/>
  </w:style>
  <w:style w:type="character" w:customStyle="1" w:styleId="pagelast">
    <w:name w:val="pagelast"/>
    <w:basedOn w:val="DefaultParagraphFont"/>
    <w:rsid w:val="005B78BC"/>
  </w:style>
  <w:style w:type="character" w:customStyle="1" w:styleId="fulltext-it">
    <w:name w:val="fulltext-it"/>
    <w:basedOn w:val="DefaultParagraphFont"/>
    <w:rsid w:val="005B78BC"/>
  </w:style>
  <w:style w:type="character" w:customStyle="1" w:styleId="hlfld-contribauthor">
    <w:name w:val="hlfld-contribauthor"/>
    <w:basedOn w:val="DefaultParagraphFont"/>
    <w:rsid w:val="005B78BC"/>
  </w:style>
  <w:style w:type="character" w:customStyle="1" w:styleId="nlmgiven-names">
    <w:name w:val="nlm_given-names"/>
    <w:basedOn w:val="DefaultParagraphFont"/>
    <w:rsid w:val="005B78BC"/>
  </w:style>
  <w:style w:type="character" w:customStyle="1" w:styleId="nlmarticle-title">
    <w:name w:val="nlm_article-title"/>
    <w:basedOn w:val="DefaultParagraphFont"/>
    <w:rsid w:val="005B78BC"/>
  </w:style>
  <w:style w:type="character" w:customStyle="1" w:styleId="nlmyear">
    <w:name w:val="nlm_year"/>
    <w:basedOn w:val="DefaultParagraphFont"/>
    <w:rsid w:val="005B78BC"/>
  </w:style>
  <w:style w:type="character" w:customStyle="1" w:styleId="nlmfpage">
    <w:name w:val="nlm_fpage"/>
    <w:basedOn w:val="DefaultParagraphFont"/>
    <w:rsid w:val="005B78BC"/>
  </w:style>
  <w:style w:type="character" w:customStyle="1" w:styleId="nlmlpage">
    <w:name w:val="nlm_lpage"/>
    <w:basedOn w:val="DefaultParagraphFont"/>
    <w:rsid w:val="005B78BC"/>
  </w:style>
  <w:style w:type="character" w:customStyle="1" w:styleId="cit-auth">
    <w:name w:val="cit-auth"/>
    <w:basedOn w:val="DefaultParagraphFont"/>
    <w:rsid w:val="005B78BC"/>
  </w:style>
  <w:style w:type="character" w:customStyle="1" w:styleId="cit-source">
    <w:name w:val="cit-source"/>
    <w:basedOn w:val="DefaultParagraphFont"/>
    <w:rsid w:val="005B78BC"/>
  </w:style>
  <w:style w:type="character" w:customStyle="1" w:styleId="cit-fpage">
    <w:name w:val="cit-fpage"/>
    <w:basedOn w:val="DefaultParagraphFont"/>
    <w:rsid w:val="005B78BC"/>
  </w:style>
  <w:style w:type="character" w:customStyle="1" w:styleId="cit-lpage">
    <w:name w:val="cit-lpage"/>
    <w:basedOn w:val="DefaultParagraphFont"/>
    <w:rsid w:val="005B78BC"/>
  </w:style>
  <w:style w:type="character" w:customStyle="1" w:styleId="cit-pub-date">
    <w:name w:val="cit-pub-date"/>
    <w:basedOn w:val="DefaultParagraphFont"/>
    <w:rsid w:val="005B78BC"/>
  </w:style>
  <w:style w:type="character" w:customStyle="1" w:styleId="figpopup-sensitive-area">
    <w:name w:val="figpopup-sensitive-area"/>
    <w:basedOn w:val="DefaultParagraphFont"/>
    <w:rsid w:val="005B78BC"/>
  </w:style>
  <w:style w:type="character" w:styleId="HTMLCite">
    <w:name w:val="HTML Cite"/>
    <w:basedOn w:val="DefaultParagraphFont"/>
    <w:uiPriority w:val="99"/>
    <w:semiHidden/>
    <w:unhideWhenUsed/>
    <w:rsid w:val="000632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a_eg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x.doi.org/10.7537/marsnys111218.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pub.net/newyor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C75F7-B274-4FE9-A3C0-BB5526E5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5272</Words>
  <Characters>30051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Hussien Farouk</dc:creator>
  <cp:lastModifiedBy>Administrator</cp:lastModifiedBy>
  <cp:revision>3</cp:revision>
  <dcterms:created xsi:type="dcterms:W3CDTF">2018-12-10T14:35:00Z</dcterms:created>
  <dcterms:modified xsi:type="dcterms:W3CDTF">2018-12-11T01:38:00Z</dcterms:modified>
</cp:coreProperties>
</file>