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emf" ContentType="image/x-emf"/>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bin" ContentType="application/vnd.openxmlformats-officedocument.oleObject"/>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E86" w:rsidRPr="00A82EB5" w:rsidRDefault="001947C9" w:rsidP="00C9296E">
      <w:pPr>
        <w:pStyle w:val="Hh1"/>
        <w:keepNext w:val="0"/>
        <w:pageBreakBefore w:val="0"/>
        <w:widowControl w:val="0"/>
        <w:snapToGrid w:val="0"/>
        <w:spacing w:after="0" w:line="240" w:lineRule="auto"/>
        <w:ind w:right="6"/>
        <w:rPr>
          <w:sz w:val="20"/>
          <w:szCs w:val="20"/>
        </w:rPr>
      </w:pPr>
      <w:r w:rsidRPr="00A82EB5">
        <w:rPr>
          <w:sz w:val="20"/>
          <w:szCs w:val="20"/>
        </w:rPr>
        <w:t>Role of measuring the endometrial thickness and assessment of sub</w:t>
      </w:r>
      <w:r w:rsidR="00B37A7D" w:rsidRPr="00A82EB5">
        <w:rPr>
          <w:sz w:val="20"/>
          <w:szCs w:val="20"/>
        </w:rPr>
        <w:t>-endometrial vascularity by power Doppler ultrasound in prediction of pregnancy rate in patients</w:t>
      </w:r>
      <w:r w:rsidR="00BB4A39" w:rsidRPr="00A82EB5">
        <w:rPr>
          <w:sz w:val="20"/>
          <w:szCs w:val="20"/>
        </w:rPr>
        <w:t xml:space="preserve"> undergoing IVF/ICSI</w:t>
      </w:r>
      <w:r w:rsidR="00E10937" w:rsidRPr="00A82EB5">
        <w:rPr>
          <w:sz w:val="20"/>
          <w:szCs w:val="20"/>
        </w:rPr>
        <w:t xml:space="preserve"> </w:t>
      </w:r>
      <w:r w:rsidR="00BB4A39" w:rsidRPr="00A82EB5">
        <w:rPr>
          <w:sz w:val="20"/>
          <w:szCs w:val="20"/>
        </w:rPr>
        <w:t>cycle</w:t>
      </w:r>
    </w:p>
    <w:p w:rsidR="005D2E86" w:rsidRPr="00A82EB5" w:rsidRDefault="005D2E86" w:rsidP="00C9296E">
      <w:pPr>
        <w:pStyle w:val="Hh1"/>
        <w:keepNext w:val="0"/>
        <w:pageBreakBefore w:val="0"/>
        <w:widowControl w:val="0"/>
        <w:snapToGrid w:val="0"/>
        <w:spacing w:after="0" w:line="240" w:lineRule="auto"/>
        <w:ind w:right="6"/>
        <w:rPr>
          <w:sz w:val="20"/>
          <w:szCs w:val="20"/>
        </w:rPr>
      </w:pPr>
    </w:p>
    <w:p w:rsidR="005D2E86" w:rsidRPr="00A82EB5" w:rsidRDefault="009C1C1B" w:rsidP="00C9296E">
      <w:pPr>
        <w:pStyle w:val="Hh1"/>
        <w:keepNext w:val="0"/>
        <w:pageBreakBefore w:val="0"/>
        <w:widowControl w:val="0"/>
        <w:snapToGrid w:val="0"/>
        <w:spacing w:after="0" w:line="240" w:lineRule="auto"/>
        <w:ind w:right="6"/>
        <w:rPr>
          <w:rFonts w:eastAsia="宋体"/>
          <w:b w:val="0"/>
          <w:bCs w:val="0"/>
          <w:sz w:val="20"/>
          <w:szCs w:val="20"/>
          <w:lang w:eastAsia="zh-CN"/>
        </w:rPr>
      </w:pPr>
      <w:r w:rsidRPr="00A82EB5">
        <w:rPr>
          <w:b w:val="0"/>
          <w:bCs w:val="0"/>
          <w:sz w:val="20"/>
          <w:szCs w:val="20"/>
        </w:rPr>
        <w:t>Abd Elmoneam Mohammed Zakria,</w:t>
      </w:r>
      <w:r w:rsidR="00E10937" w:rsidRPr="00A82EB5">
        <w:rPr>
          <w:b w:val="0"/>
          <w:bCs w:val="0"/>
          <w:sz w:val="20"/>
          <w:szCs w:val="20"/>
        </w:rPr>
        <w:t xml:space="preserve"> </w:t>
      </w:r>
      <w:r w:rsidRPr="00A82EB5">
        <w:rPr>
          <w:b w:val="0"/>
          <w:bCs w:val="0"/>
          <w:sz w:val="20"/>
          <w:szCs w:val="20"/>
        </w:rPr>
        <w:t>Sameh Said Sayed</w:t>
      </w:r>
      <w:r w:rsidR="000763A4" w:rsidRPr="00A82EB5">
        <w:rPr>
          <w:b w:val="0"/>
          <w:bCs w:val="0"/>
          <w:sz w:val="20"/>
          <w:szCs w:val="20"/>
        </w:rPr>
        <w:t xml:space="preserve">, </w:t>
      </w:r>
      <w:r w:rsidR="00E10937" w:rsidRPr="00A82EB5">
        <w:rPr>
          <w:b w:val="0"/>
          <w:bCs w:val="0"/>
          <w:sz w:val="20"/>
          <w:szCs w:val="20"/>
        </w:rPr>
        <w:t>Marwa Gamal Mohammed</w:t>
      </w:r>
    </w:p>
    <w:p w:rsidR="005D2E86" w:rsidRPr="00A82EB5" w:rsidRDefault="005D2E86" w:rsidP="00C9296E">
      <w:pPr>
        <w:pStyle w:val="Hh1"/>
        <w:keepNext w:val="0"/>
        <w:pageBreakBefore w:val="0"/>
        <w:widowControl w:val="0"/>
        <w:snapToGrid w:val="0"/>
        <w:spacing w:after="0" w:line="240" w:lineRule="auto"/>
        <w:ind w:right="6"/>
        <w:rPr>
          <w:rFonts w:eastAsia="宋体"/>
          <w:b w:val="0"/>
          <w:bCs w:val="0"/>
          <w:sz w:val="20"/>
          <w:szCs w:val="20"/>
          <w:lang w:eastAsia="zh-CN"/>
        </w:rPr>
      </w:pPr>
    </w:p>
    <w:p w:rsidR="006D2E6E" w:rsidRPr="00A82EB5" w:rsidRDefault="006D2E6E" w:rsidP="00C9296E">
      <w:pPr>
        <w:widowControl w:val="0"/>
        <w:tabs>
          <w:tab w:val="right" w:pos="8789"/>
        </w:tabs>
        <w:autoSpaceDE w:val="0"/>
        <w:autoSpaceDN w:val="0"/>
        <w:bidi w:val="0"/>
        <w:adjustRightInd w:val="0"/>
        <w:snapToGrid w:val="0"/>
        <w:ind w:right="6"/>
        <w:jc w:val="center"/>
        <w:rPr>
          <w:sz w:val="20"/>
        </w:rPr>
      </w:pPr>
      <w:r w:rsidRPr="00A82EB5">
        <w:rPr>
          <w:sz w:val="20"/>
        </w:rPr>
        <w:t>Obstetrics and Gynecology Department, Faculty of Medicine Al-Azhar University, Egypt</w:t>
      </w:r>
    </w:p>
    <w:p w:rsidR="005D2E86" w:rsidRPr="00A82EB5" w:rsidRDefault="004B2AA2" w:rsidP="00C9296E">
      <w:pPr>
        <w:pStyle w:val="Hh1"/>
        <w:keepNext w:val="0"/>
        <w:pageBreakBefore w:val="0"/>
        <w:widowControl w:val="0"/>
        <w:snapToGrid w:val="0"/>
        <w:spacing w:after="0" w:line="240" w:lineRule="auto"/>
        <w:ind w:right="6"/>
        <w:rPr>
          <w:rFonts w:eastAsia="宋体"/>
          <w:b w:val="0"/>
          <w:bCs w:val="0"/>
          <w:sz w:val="20"/>
          <w:szCs w:val="20"/>
          <w:lang w:eastAsia="zh-CN"/>
        </w:rPr>
      </w:pPr>
      <w:hyperlink r:id="rId8" w:history="1">
        <w:r w:rsidR="006D2E6E" w:rsidRPr="00A82EB5">
          <w:rPr>
            <w:rStyle w:val="Hyperlink"/>
            <w:b w:val="0"/>
            <w:bCs w:val="0"/>
            <w:sz w:val="20"/>
            <w:szCs w:val="20"/>
            <w:u w:val="none"/>
          </w:rPr>
          <w:t>Lobna_sleem@yahoo.com</w:t>
        </w:r>
      </w:hyperlink>
    </w:p>
    <w:p w:rsidR="005D2E86" w:rsidRPr="00A82EB5" w:rsidRDefault="005D2E86" w:rsidP="00C9296E">
      <w:pPr>
        <w:pStyle w:val="Hh1"/>
        <w:keepNext w:val="0"/>
        <w:pageBreakBefore w:val="0"/>
        <w:widowControl w:val="0"/>
        <w:snapToGrid w:val="0"/>
        <w:spacing w:after="0" w:line="240" w:lineRule="auto"/>
        <w:ind w:right="6"/>
        <w:rPr>
          <w:rFonts w:eastAsia="宋体"/>
          <w:b w:val="0"/>
          <w:bCs w:val="0"/>
          <w:sz w:val="20"/>
          <w:szCs w:val="20"/>
          <w:lang w:eastAsia="zh-CN"/>
        </w:rPr>
      </w:pPr>
    </w:p>
    <w:p w:rsidR="00854FA9" w:rsidRPr="00A82EB5" w:rsidRDefault="00315ABE" w:rsidP="00A82EB5">
      <w:pPr>
        <w:pStyle w:val="Hh1"/>
        <w:keepNext w:val="0"/>
        <w:pageBreakBefore w:val="0"/>
        <w:widowControl w:val="0"/>
        <w:snapToGrid w:val="0"/>
        <w:spacing w:after="0" w:line="240" w:lineRule="auto"/>
        <w:jc w:val="both"/>
        <w:rPr>
          <w:b w:val="0"/>
          <w:bCs w:val="0"/>
          <w:sz w:val="20"/>
          <w:szCs w:val="20"/>
        </w:rPr>
      </w:pPr>
      <w:r w:rsidRPr="00A82EB5">
        <w:rPr>
          <w:sz w:val="20"/>
          <w:szCs w:val="20"/>
        </w:rPr>
        <w:t>Abstract</w:t>
      </w:r>
      <w:r w:rsidR="00BF1B6A" w:rsidRPr="00A82EB5">
        <w:rPr>
          <w:sz w:val="20"/>
          <w:szCs w:val="20"/>
        </w:rPr>
        <w:t xml:space="preserve">: </w:t>
      </w:r>
      <w:r w:rsidRPr="00A82EB5">
        <w:rPr>
          <w:sz w:val="20"/>
          <w:szCs w:val="20"/>
        </w:rPr>
        <w:t xml:space="preserve">Background: </w:t>
      </w:r>
      <w:r w:rsidR="00B4224F" w:rsidRPr="00A82EB5">
        <w:rPr>
          <w:b w:val="0"/>
          <w:bCs w:val="0"/>
          <w:sz w:val="20"/>
          <w:szCs w:val="20"/>
        </w:rPr>
        <w:t>A favorable endometrial environment is necessary for successful implantation.</w:t>
      </w:r>
      <w:r w:rsidR="000B6921" w:rsidRPr="00A82EB5">
        <w:rPr>
          <w:b w:val="0"/>
          <w:bCs w:val="0"/>
          <w:sz w:val="20"/>
          <w:szCs w:val="20"/>
        </w:rPr>
        <w:t xml:space="preserve"> use</w:t>
      </w:r>
      <w:r w:rsidR="00E10937" w:rsidRPr="00A82EB5">
        <w:rPr>
          <w:b w:val="0"/>
          <w:bCs w:val="0"/>
          <w:sz w:val="20"/>
          <w:szCs w:val="20"/>
        </w:rPr>
        <w:t xml:space="preserve"> </w:t>
      </w:r>
      <w:r w:rsidR="000B6921" w:rsidRPr="00A82EB5">
        <w:rPr>
          <w:b w:val="0"/>
          <w:bCs w:val="0"/>
          <w:sz w:val="20"/>
          <w:szCs w:val="20"/>
        </w:rPr>
        <w:t>of</w:t>
      </w:r>
      <w:r w:rsidR="00E10937" w:rsidRPr="00A82EB5">
        <w:rPr>
          <w:b w:val="0"/>
          <w:bCs w:val="0"/>
          <w:sz w:val="20"/>
          <w:szCs w:val="20"/>
        </w:rPr>
        <w:t xml:space="preserve"> </w:t>
      </w:r>
      <w:r w:rsidR="000B6921" w:rsidRPr="00A82EB5">
        <w:rPr>
          <w:b w:val="0"/>
          <w:bCs w:val="0"/>
          <w:sz w:val="20"/>
          <w:szCs w:val="20"/>
        </w:rPr>
        <w:t>ultrasonic technology has increased as a way to measure possible predictors of endometrial receptivity, such</w:t>
      </w:r>
      <w:r w:rsidR="00BF1B6A" w:rsidRPr="00A82EB5">
        <w:rPr>
          <w:b w:val="0"/>
          <w:bCs w:val="0"/>
          <w:sz w:val="20"/>
          <w:szCs w:val="20"/>
        </w:rPr>
        <w:t xml:space="preserve"> </w:t>
      </w:r>
      <w:r w:rsidR="000B6921" w:rsidRPr="00A82EB5">
        <w:rPr>
          <w:b w:val="0"/>
          <w:bCs w:val="0"/>
          <w:sz w:val="20"/>
          <w:szCs w:val="20"/>
        </w:rPr>
        <w:t>as</w:t>
      </w:r>
      <w:r w:rsidR="00BF1B6A" w:rsidRPr="00A82EB5">
        <w:rPr>
          <w:b w:val="0"/>
          <w:bCs w:val="0"/>
          <w:sz w:val="20"/>
        </w:rPr>
        <w:t xml:space="preserve"> </w:t>
      </w:r>
      <w:r w:rsidR="000B6921" w:rsidRPr="00A82EB5">
        <w:rPr>
          <w:b w:val="0"/>
          <w:bCs w:val="0"/>
          <w:sz w:val="20"/>
          <w:szCs w:val="20"/>
        </w:rPr>
        <w:t>endometrial thickness endometrial blood flow and blood flow in the (sub) endometrial arteries</w:t>
      </w:r>
      <w:r w:rsidRPr="00A82EB5">
        <w:rPr>
          <w:b w:val="0"/>
          <w:bCs w:val="0"/>
          <w:i/>
          <w:iCs/>
          <w:sz w:val="20"/>
          <w:szCs w:val="20"/>
        </w:rPr>
        <w:t xml:space="preserve">. </w:t>
      </w:r>
      <w:r w:rsidRPr="00A82EB5">
        <w:rPr>
          <w:sz w:val="20"/>
          <w:szCs w:val="20"/>
        </w:rPr>
        <w:t>Aim of the Work</w:t>
      </w:r>
      <w:r w:rsidR="000B6921" w:rsidRPr="00A82EB5">
        <w:rPr>
          <w:sz w:val="20"/>
          <w:szCs w:val="20"/>
        </w:rPr>
        <w:t>:</w:t>
      </w:r>
      <w:r w:rsidR="000B6921" w:rsidRPr="00A82EB5">
        <w:rPr>
          <w:b w:val="0"/>
          <w:bCs w:val="0"/>
          <w:sz w:val="20"/>
          <w:szCs w:val="20"/>
        </w:rPr>
        <w:t xml:space="preserve"> Is to study the correlation between (endometrial thickness, and assessment of sub-endometrial vascularity, by power Doppler ultrasonography), and uterine receptivity in infertile women treated with IVF/ICSI. And the pregnancy outcome</w:t>
      </w:r>
      <w:r w:rsidR="00EE6228" w:rsidRPr="00A82EB5">
        <w:rPr>
          <w:rFonts w:eastAsia="宋体" w:hint="eastAsia"/>
          <w:b w:val="0"/>
          <w:bCs w:val="0"/>
          <w:sz w:val="20"/>
          <w:szCs w:val="20"/>
          <w:lang w:eastAsia="zh-CN"/>
        </w:rPr>
        <w:t>.</w:t>
      </w:r>
      <w:r w:rsidR="000B6921" w:rsidRPr="00A82EB5">
        <w:rPr>
          <w:b w:val="0"/>
          <w:bCs w:val="0"/>
          <w:sz w:val="20"/>
          <w:szCs w:val="20"/>
        </w:rPr>
        <w:t xml:space="preserve"> </w:t>
      </w:r>
      <w:r w:rsidR="000B6921" w:rsidRPr="00A82EB5">
        <w:rPr>
          <w:bCs w:val="0"/>
          <w:iCs/>
          <w:sz w:val="20"/>
          <w:szCs w:val="20"/>
        </w:rPr>
        <w:t xml:space="preserve">Patietns and </w:t>
      </w:r>
      <w:r w:rsidR="000B6921" w:rsidRPr="00A82EB5">
        <w:rPr>
          <w:sz w:val="20"/>
          <w:szCs w:val="20"/>
        </w:rPr>
        <w:t>Methods</w:t>
      </w:r>
      <w:r w:rsidR="00E10937" w:rsidRPr="00A82EB5">
        <w:rPr>
          <w:sz w:val="20"/>
          <w:szCs w:val="20"/>
        </w:rPr>
        <w:t>:</w:t>
      </w:r>
      <w:r w:rsidR="000B6921" w:rsidRPr="00A82EB5">
        <w:rPr>
          <w:b w:val="0"/>
          <w:bCs w:val="0"/>
          <w:sz w:val="20"/>
          <w:szCs w:val="20"/>
        </w:rPr>
        <w:t xml:space="preserve"> The study included 50 infertile patients suffering from various durations of both primary and secondary infertility, and undergoing IVF/ICSI, endometrial thickness was measured and sub-endometrial blood flow was assessed by power Doppler ultrasound on the day of hCG triggering. </w:t>
      </w:r>
      <w:r w:rsidRPr="00A82EB5">
        <w:rPr>
          <w:sz w:val="20"/>
          <w:szCs w:val="20"/>
        </w:rPr>
        <w:t>Results:</w:t>
      </w:r>
      <w:r w:rsidRPr="00A82EB5">
        <w:rPr>
          <w:b w:val="0"/>
          <w:bCs w:val="0"/>
          <w:sz w:val="20"/>
          <w:szCs w:val="20"/>
        </w:rPr>
        <w:t xml:space="preserve"> </w:t>
      </w:r>
      <w:r w:rsidR="005F2321" w:rsidRPr="00A82EB5">
        <w:rPr>
          <w:b w:val="0"/>
          <w:bCs w:val="0"/>
          <w:sz w:val="20"/>
          <w:szCs w:val="20"/>
        </w:rPr>
        <w:t xml:space="preserve">There were no significant differences between no pregnancy group and pregnancy group regarding </w:t>
      </w:r>
      <w:r w:rsidR="000E6B01" w:rsidRPr="00A82EB5">
        <w:rPr>
          <w:b w:val="0"/>
          <w:bCs w:val="0"/>
          <w:sz w:val="20"/>
          <w:szCs w:val="20"/>
        </w:rPr>
        <w:t>their age, infertility duration</w:t>
      </w:r>
      <w:r w:rsidR="00A82EB5" w:rsidRPr="00A82EB5">
        <w:rPr>
          <w:b w:val="0"/>
          <w:bCs w:val="0"/>
          <w:sz w:val="20"/>
          <w:szCs w:val="20"/>
        </w:rPr>
        <w:t>,</w:t>
      </w:r>
      <w:r w:rsidR="00A82EB5">
        <w:rPr>
          <w:b w:val="0"/>
          <w:bCs w:val="0"/>
          <w:sz w:val="20"/>
          <w:szCs w:val="20"/>
        </w:rPr>
        <w:t xml:space="preserve"> </w:t>
      </w:r>
      <w:r w:rsidR="00A82EB5" w:rsidRPr="00A82EB5">
        <w:rPr>
          <w:b w:val="0"/>
          <w:bCs w:val="0"/>
          <w:sz w:val="20"/>
          <w:szCs w:val="20"/>
        </w:rPr>
        <w:t>t</w:t>
      </w:r>
      <w:r w:rsidR="000E6B01" w:rsidRPr="00A82EB5">
        <w:rPr>
          <w:b w:val="0"/>
          <w:bCs w:val="0"/>
          <w:sz w:val="20"/>
          <w:szCs w:val="20"/>
        </w:rPr>
        <w:t xml:space="preserve">ype of infertility, level of </w:t>
      </w:r>
      <w:r w:rsidR="005F2321" w:rsidRPr="00A82EB5">
        <w:rPr>
          <w:b w:val="0"/>
          <w:bCs w:val="0"/>
          <w:sz w:val="20"/>
          <w:szCs w:val="20"/>
        </w:rPr>
        <w:t>E2</w:t>
      </w:r>
      <w:r w:rsidR="000E6B01" w:rsidRPr="00A82EB5">
        <w:rPr>
          <w:b w:val="0"/>
          <w:bCs w:val="0"/>
          <w:sz w:val="20"/>
          <w:szCs w:val="20"/>
        </w:rPr>
        <w:t xml:space="preserve"> on day of hcg</w:t>
      </w:r>
      <w:r w:rsidR="00E10937" w:rsidRPr="00A82EB5">
        <w:rPr>
          <w:b w:val="0"/>
          <w:bCs w:val="0"/>
          <w:sz w:val="20"/>
          <w:szCs w:val="20"/>
        </w:rPr>
        <w:t>,</w:t>
      </w:r>
      <w:r w:rsidR="005F2321" w:rsidRPr="00A82EB5">
        <w:rPr>
          <w:b w:val="0"/>
          <w:bCs w:val="0"/>
          <w:sz w:val="20"/>
          <w:szCs w:val="20"/>
        </w:rPr>
        <w:t xml:space="preserve"> hCG</w:t>
      </w:r>
      <w:r w:rsidR="000E6B01" w:rsidRPr="00A82EB5">
        <w:rPr>
          <w:b w:val="0"/>
          <w:bCs w:val="0"/>
          <w:sz w:val="20"/>
          <w:szCs w:val="20"/>
        </w:rPr>
        <w:t xml:space="preserve"> injection day</w:t>
      </w:r>
      <w:r w:rsidR="00E10937" w:rsidRPr="00A82EB5">
        <w:rPr>
          <w:b w:val="0"/>
          <w:bCs w:val="0"/>
          <w:sz w:val="20"/>
          <w:szCs w:val="20"/>
        </w:rPr>
        <w:t>,</w:t>
      </w:r>
      <w:r w:rsidR="005F2321" w:rsidRPr="00A82EB5">
        <w:rPr>
          <w:b w:val="0"/>
          <w:bCs w:val="0"/>
          <w:sz w:val="20"/>
          <w:szCs w:val="20"/>
        </w:rPr>
        <w:t xml:space="preserve"> number of follicles and their diameter a</w:t>
      </w:r>
      <w:r w:rsidR="000E6B01" w:rsidRPr="00A82EB5">
        <w:rPr>
          <w:b w:val="0"/>
          <w:bCs w:val="0"/>
          <w:sz w:val="20"/>
          <w:szCs w:val="20"/>
        </w:rPr>
        <w:t>l</w:t>
      </w:r>
      <w:r w:rsidR="005F2321" w:rsidRPr="00A82EB5">
        <w:rPr>
          <w:b w:val="0"/>
          <w:bCs w:val="0"/>
          <w:sz w:val="20"/>
          <w:szCs w:val="20"/>
        </w:rPr>
        <w:t>so</w:t>
      </w:r>
      <w:r w:rsidR="000E6B01" w:rsidRPr="00A82EB5">
        <w:rPr>
          <w:b w:val="0"/>
          <w:bCs w:val="0"/>
          <w:sz w:val="20"/>
          <w:szCs w:val="20"/>
        </w:rPr>
        <w:t xml:space="preserve"> there were</w:t>
      </w:r>
      <w:r w:rsidR="00822A81" w:rsidRPr="00A82EB5">
        <w:rPr>
          <w:b w:val="0"/>
          <w:bCs w:val="0"/>
          <w:sz w:val="20"/>
          <w:szCs w:val="20"/>
        </w:rPr>
        <w:t xml:space="preserve"> also</w:t>
      </w:r>
      <w:r w:rsidR="005F2321" w:rsidRPr="00A82EB5">
        <w:rPr>
          <w:b w:val="0"/>
          <w:bCs w:val="0"/>
          <w:sz w:val="20"/>
          <w:szCs w:val="20"/>
        </w:rPr>
        <w:t xml:space="preserve"> no difference</w:t>
      </w:r>
      <w:r w:rsidR="00E10937" w:rsidRPr="00A82EB5">
        <w:rPr>
          <w:b w:val="0"/>
          <w:bCs w:val="0"/>
          <w:sz w:val="20"/>
          <w:szCs w:val="20"/>
        </w:rPr>
        <w:t xml:space="preserve"> </w:t>
      </w:r>
      <w:r w:rsidR="005F2321" w:rsidRPr="00A82EB5">
        <w:rPr>
          <w:b w:val="0"/>
          <w:bCs w:val="0"/>
          <w:sz w:val="20"/>
          <w:szCs w:val="20"/>
        </w:rPr>
        <w:t>rega</w:t>
      </w:r>
      <w:r w:rsidR="00A54781" w:rsidRPr="00A82EB5">
        <w:rPr>
          <w:b w:val="0"/>
          <w:bCs w:val="0"/>
          <w:sz w:val="20"/>
          <w:szCs w:val="20"/>
        </w:rPr>
        <w:t>rding FSH, LH</w:t>
      </w:r>
      <w:r w:rsidR="005F2321" w:rsidRPr="00A82EB5">
        <w:rPr>
          <w:b w:val="0"/>
          <w:bCs w:val="0"/>
          <w:sz w:val="20"/>
          <w:szCs w:val="20"/>
        </w:rPr>
        <w:t>,</w:t>
      </w:r>
      <w:r w:rsidR="00A54781" w:rsidRPr="00A82EB5">
        <w:rPr>
          <w:b w:val="0"/>
          <w:bCs w:val="0"/>
          <w:sz w:val="20"/>
          <w:szCs w:val="20"/>
        </w:rPr>
        <w:t xml:space="preserve"> TSH</w:t>
      </w:r>
      <w:r w:rsidR="00A82EB5" w:rsidRPr="00A82EB5">
        <w:rPr>
          <w:b w:val="0"/>
          <w:bCs w:val="0"/>
          <w:sz w:val="20"/>
          <w:szCs w:val="20"/>
        </w:rPr>
        <w:t>.</w:t>
      </w:r>
      <w:r w:rsidR="002F467A" w:rsidRPr="00A82EB5">
        <w:rPr>
          <w:b w:val="0"/>
          <w:bCs w:val="0"/>
          <w:sz w:val="20"/>
          <w:szCs w:val="20"/>
        </w:rPr>
        <w:t xml:space="preserve"> There was</w:t>
      </w:r>
      <w:r w:rsidR="00E10937" w:rsidRPr="00A82EB5">
        <w:rPr>
          <w:b w:val="0"/>
          <w:bCs w:val="0"/>
          <w:sz w:val="20"/>
          <w:szCs w:val="20"/>
        </w:rPr>
        <w:t xml:space="preserve"> </w:t>
      </w:r>
      <w:r w:rsidR="002F467A" w:rsidRPr="00A82EB5">
        <w:rPr>
          <w:b w:val="0"/>
          <w:bCs w:val="0"/>
          <w:sz w:val="20"/>
          <w:szCs w:val="20"/>
        </w:rPr>
        <w:t>a statistical significant difference</w:t>
      </w:r>
      <w:r w:rsidR="00FE7A38" w:rsidRPr="00A82EB5">
        <w:rPr>
          <w:b w:val="0"/>
          <w:bCs w:val="0"/>
          <w:sz w:val="20"/>
          <w:szCs w:val="20"/>
        </w:rPr>
        <w:t xml:space="preserve"> between the two groups</w:t>
      </w:r>
      <w:r w:rsidR="00E10937" w:rsidRPr="00A82EB5">
        <w:rPr>
          <w:b w:val="0"/>
          <w:bCs w:val="0"/>
          <w:sz w:val="20"/>
          <w:szCs w:val="20"/>
        </w:rPr>
        <w:t xml:space="preserve"> </w:t>
      </w:r>
      <w:r w:rsidR="002F467A" w:rsidRPr="00A82EB5">
        <w:rPr>
          <w:b w:val="0"/>
          <w:bCs w:val="0"/>
          <w:sz w:val="20"/>
          <w:szCs w:val="20"/>
        </w:rPr>
        <w:t>regarding</w:t>
      </w:r>
      <w:r w:rsidR="00FE7A38" w:rsidRPr="00A82EB5">
        <w:rPr>
          <w:b w:val="0"/>
          <w:bCs w:val="0"/>
          <w:sz w:val="20"/>
          <w:szCs w:val="20"/>
        </w:rPr>
        <w:t>:</w:t>
      </w:r>
      <w:r w:rsidR="00E10937" w:rsidRPr="00A82EB5">
        <w:rPr>
          <w:b w:val="0"/>
          <w:bCs w:val="0"/>
          <w:sz w:val="20"/>
          <w:szCs w:val="20"/>
        </w:rPr>
        <w:t xml:space="preserve"> </w:t>
      </w:r>
      <w:r w:rsidR="002F467A" w:rsidRPr="00A82EB5">
        <w:rPr>
          <w:b w:val="0"/>
          <w:bCs w:val="0"/>
          <w:sz w:val="20"/>
          <w:szCs w:val="20"/>
        </w:rPr>
        <w:t>prolactin,</w:t>
      </w:r>
      <w:r w:rsidR="008575D6" w:rsidRPr="00A82EB5">
        <w:rPr>
          <w:b w:val="0"/>
          <w:bCs w:val="0"/>
          <w:sz w:val="20"/>
          <w:szCs w:val="20"/>
        </w:rPr>
        <w:t xml:space="preserve"> the mean RI, the mean PI, The mean S/D ratio of the subendometrial blood flow</w:t>
      </w:r>
      <w:r w:rsidR="00E10937" w:rsidRPr="00A82EB5">
        <w:rPr>
          <w:b w:val="0"/>
          <w:bCs w:val="0"/>
          <w:sz w:val="20"/>
          <w:szCs w:val="20"/>
        </w:rPr>
        <w:t>,</w:t>
      </w:r>
      <w:r w:rsidR="00EE6228" w:rsidRPr="00A82EB5">
        <w:rPr>
          <w:rFonts w:eastAsia="宋体" w:hint="eastAsia"/>
          <w:b w:val="0"/>
          <w:bCs w:val="0"/>
          <w:sz w:val="20"/>
          <w:szCs w:val="20"/>
          <w:lang w:eastAsia="zh-CN"/>
        </w:rPr>
        <w:t xml:space="preserve"> </w:t>
      </w:r>
      <w:r w:rsidR="001C29EF" w:rsidRPr="00A82EB5">
        <w:rPr>
          <w:b w:val="0"/>
          <w:bCs w:val="0"/>
          <w:sz w:val="20"/>
          <w:szCs w:val="20"/>
        </w:rPr>
        <w:t>the mean endometrial thickness</w:t>
      </w:r>
      <w:r w:rsidR="008575D6" w:rsidRPr="00A82EB5">
        <w:rPr>
          <w:b w:val="0"/>
          <w:bCs w:val="0"/>
          <w:sz w:val="20"/>
          <w:szCs w:val="20"/>
        </w:rPr>
        <w:t xml:space="preserve"> </w:t>
      </w:r>
      <w:r w:rsidR="001C29EF" w:rsidRPr="00A82EB5">
        <w:rPr>
          <w:b w:val="0"/>
          <w:bCs w:val="0"/>
          <w:sz w:val="20"/>
          <w:szCs w:val="20"/>
        </w:rPr>
        <w:t>number of oocytes and number of available and transferred embryos</w:t>
      </w:r>
      <w:r w:rsidR="00EE6228" w:rsidRPr="00A82EB5">
        <w:rPr>
          <w:rFonts w:eastAsia="宋体" w:hint="eastAsia"/>
          <w:b w:val="0"/>
          <w:bCs w:val="0"/>
          <w:sz w:val="20"/>
          <w:szCs w:val="20"/>
          <w:lang w:eastAsia="zh-CN"/>
        </w:rPr>
        <w:t>.</w:t>
      </w:r>
      <w:r w:rsidR="00E10937" w:rsidRPr="00A82EB5">
        <w:rPr>
          <w:b w:val="0"/>
          <w:bCs w:val="0"/>
          <w:i/>
          <w:iCs/>
          <w:sz w:val="20"/>
          <w:szCs w:val="20"/>
        </w:rPr>
        <w:t xml:space="preserve"> </w:t>
      </w:r>
      <w:r w:rsidRPr="00A82EB5">
        <w:rPr>
          <w:sz w:val="20"/>
          <w:szCs w:val="20"/>
        </w:rPr>
        <w:t>Conclusion:</w:t>
      </w:r>
      <w:r w:rsidRPr="00A82EB5">
        <w:rPr>
          <w:b w:val="0"/>
          <w:bCs w:val="0"/>
          <w:sz w:val="20"/>
          <w:szCs w:val="20"/>
        </w:rPr>
        <w:t xml:space="preserve"> </w:t>
      </w:r>
      <w:r w:rsidR="00BF1B6A" w:rsidRPr="00A82EB5">
        <w:rPr>
          <w:b w:val="0"/>
          <w:bCs w:val="0"/>
          <w:sz w:val="20"/>
          <w:szCs w:val="20"/>
        </w:rPr>
        <w:t>T</w:t>
      </w:r>
      <w:r w:rsidR="00854FA9" w:rsidRPr="00A82EB5">
        <w:rPr>
          <w:b w:val="0"/>
          <w:bCs w:val="0"/>
          <w:sz w:val="20"/>
          <w:szCs w:val="20"/>
        </w:rPr>
        <w:t>ransvaginal color Doppler examination of the endometrial–subendometrial blood flow distribution provides a simple and effective method to evaluate endometrial receptivity. The presence of both endometrial and subendometrial blood flow is indicative of good endometrial receptivity, whereas the absence of both represents a poor uterine environment. This approach may be helpful in deciding the number and timing of ICSI in IVF treatments.</w:t>
      </w:r>
    </w:p>
    <w:p w:rsidR="00730A09" w:rsidRPr="00A82EB5" w:rsidRDefault="00730A09" w:rsidP="00A82EB5">
      <w:pPr>
        <w:pStyle w:val="Hh1"/>
        <w:keepNext w:val="0"/>
        <w:pageBreakBefore w:val="0"/>
        <w:widowControl w:val="0"/>
        <w:snapToGrid w:val="0"/>
        <w:spacing w:after="0" w:line="240" w:lineRule="auto"/>
        <w:jc w:val="both"/>
        <w:rPr>
          <w:rFonts w:eastAsia="宋体"/>
          <w:b w:val="0"/>
          <w:bCs w:val="0"/>
          <w:sz w:val="20"/>
          <w:szCs w:val="20"/>
          <w:lang w:eastAsia="zh-CN"/>
        </w:rPr>
      </w:pPr>
      <w:r w:rsidRPr="00A82EB5">
        <w:rPr>
          <w:sz w:val="20"/>
          <w:szCs w:val="20"/>
        </w:rPr>
        <w:t>[</w:t>
      </w:r>
      <w:r w:rsidRPr="00A82EB5">
        <w:rPr>
          <w:b w:val="0"/>
          <w:bCs w:val="0"/>
          <w:sz w:val="20"/>
          <w:szCs w:val="20"/>
        </w:rPr>
        <w:t>Abd Elmoneam Mohammed Zakria, Sameh Said Sayed, Marwa Gamal Mohammed</w:t>
      </w:r>
      <w:r w:rsidRPr="00A82EB5">
        <w:rPr>
          <w:sz w:val="20"/>
          <w:szCs w:val="20"/>
        </w:rPr>
        <w:t>.</w:t>
      </w:r>
      <w:r w:rsidRPr="00A82EB5">
        <w:rPr>
          <w:rFonts w:eastAsiaTheme="minorEastAsia" w:hint="eastAsia"/>
          <w:sz w:val="20"/>
          <w:szCs w:val="20"/>
          <w:lang w:bidi="fa-IR"/>
        </w:rPr>
        <w:t xml:space="preserve"> </w:t>
      </w:r>
      <w:r w:rsidRPr="00A82EB5">
        <w:rPr>
          <w:sz w:val="20"/>
          <w:szCs w:val="20"/>
        </w:rPr>
        <w:t>Role of measuring the endometrial thickness and assessment of sub-endometrial vascularity by power Doppler ultrasound in prediction of pregnancy rate in patients undergoing IVF/ICSI cycle</w:t>
      </w:r>
      <w:r w:rsidRPr="00A82EB5">
        <w:rPr>
          <w:rFonts w:eastAsia="Times New Roman"/>
          <w:sz w:val="20"/>
          <w:szCs w:val="20"/>
          <w:lang w:bidi="fa-IR"/>
        </w:rPr>
        <w:t>.</w:t>
      </w:r>
      <w:r w:rsidRPr="00A82EB5">
        <w:rPr>
          <w:i/>
          <w:sz w:val="20"/>
          <w:szCs w:val="20"/>
        </w:rPr>
        <w:t xml:space="preserve"> </w:t>
      </w:r>
      <w:r w:rsidRPr="00A82EB5">
        <w:rPr>
          <w:b w:val="0"/>
          <w:i/>
          <w:sz w:val="20"/>
          <w:szCs w:val="20"/>
        </w:rPr>
        <w:t>N Y Sci J</w:t>
      </w:r>
      <w:r w:rsidRPr="00A82EB5">
        <w:rPr>
          <w:b w:val="0"/>
          <w:sz w:val="20"/>
          <w:szCs w:val="20"/>
        </w:rPr>
        <w:t xml:space="preserve"> 201</w:t>
      </w:r>
      <w:r w:rsidRPr="00A82EB5">
        <w:rPr>
          <w:rFonts w:hint="eastAsia"/>
          <w:b w:val="0"/>
          <w:sz w:val="20"/>
          <w:szCs w:val="20"/>
        </w:rPr>
        <w:t>7</w:t>
      </w:r>
      <w:r w:rsidRPr="00A82EB5">
        <w:rPr>
          <w:b w:val="0"/>
          <w:sz w:val="20"/>
          <w:szCs w:val="20"/>
        </w:rPr>
        <w:t>;</w:t>
      </w:r>
      <w:r w:rsidRPr="00A82EB5">
        <w:rPr>
          <w:rFonts w:hint="eastAsia"/>
          <w:b w:val="0"/>
          <w:sz w:val="20"/>
          <w:szCs w:val="20"/>
        </w:rPr>
        <w:t>10</w:t>
      </w:r>
      <w:r w:rsidRPr="00A82EB5">
        <w:rPr>
          <w:b w:val="0"/>
          <w:sz w:val="20"/>
          <w:szCs w:val="20"/>
        </w:rPr>
        <w:t>(</w:t>
      </w:r>
      <w:r w:rsidRPr="00A82EB5">
        <w:rPr>
          <w:rFonts w:hint="eastAsia"/>
          <w:b w:val="0"/>
          <w:sz w:val="20"/>
          <w:szCs w:val="20"/>
        </w:rPr>
        <w:t>8</w:t>
      </w:r>
      <w:r w:rsidRPr="00A82EB5">
        <w:rPr>
          <w:b w:val="0"/>
          <w:sz w:val="20"/>
          <w:szCs w:val="20"/>
        </w:rPr>
        <w:t>):</w:t>
      </w:r>
      <w:r w:rsidR="00B02060">
        <w:rPr>
          <w:b w:val="0"/>
          <w:color w:val="000000"/>
          <w:sz w:val="20"/>
          <w:szCs w:val="20"/>
        </w:rPr>
        <w:t>194-201</w:t>
      </w:r>
      <w:r w:rsidRPr="00A82EB5">
        <w:rPr>
          <w:b w:val="0"/>
          <w:sz w:val="20"/>
          <w:szCs w:val="20"/>
        </w:rPr>
        <w:t xml:space="preserve">]. </w:t>
      </w:r>
      <w:r w:rsidRPr="00A82EB5">
        <w:rPr>
          <w:b w:val="0"/>
          <w:iCs/>
          <w:color w:val="000000"/>
          <w:sz w:val="20"/>
          <w:szCs w:val="20"/>
        </w:rPr>
        <w:t>ISSN 1554-0200 (print); ISSN 2375-723X (online)</w:t>
      </w:r>
      <w:r w:rsidRPr="00A82EB5">
        <w:rPr>
          <w:b w:val="0"/>
          <w:sz w:val="20"/>
          <w:szCs w:val="20"/>
        </w:rPr>
        <w:t xml:space="preserve">. </w:t>
      </w:r>
      <w:hyperlink r:id="rId9" w:history="1">
        <w:r w:rsidRPr="00A82EB5">
          <w:rPr>
            <w:rStyle w:val="Hyperlink"/>
            <w:b w:val="0"/>
            <w:sz w:val="20"/>
            <w:szCs w:val="20"/>
          </w:rPr>
          <w:t>http://www.sciencepub.net/newyork</w:t>
        </w:r>
      </w:hyperlink>
      <w:r w:rsidRPr="00A82EB5">
        <w:rPr>
          <w:b w:val="0"/>
          <w:sz w:val="20"/>
          <w:szCs w:val="20"/>
        </w:rPr>
        <w:t xml:space="preserve">. </w:t>
      </w:r>
      <w:r w:rsidR="00A82EB5" w:rsidRPr="00A82EB5">
        <w:rPr>
          <w:rFonts w:eastAsiaTheme="minorEastAsia" w:hint="eastAsia"/>
          <w:b w:val="0"/>
          <w:sz w:val="20"/>
          <w:szCs w:val="20"/>
          <w:lang w:eastAsia="zh-CN"/>
        </w:rPr>
        <w:t>22</w:t>
      </w:r>
      <w:r w:rsidRPr="00A82EB5">
        <w:rPr>
          <w:rFonts w:hint="eastAsia"/>
          <w:b w:val="0"/>
          <w:sz w:val="20"/>
          <w:szCs w:val="20"/>
        </w:rPr>
        <w:t xml:space="preserve">. </w:t>
      </w:r>
      <w:r w:rsidRPr="00A82EB5">
        <w:rPr>
          <w:b w:val="0"/>
          <w:color w:val="000000"/>
          <w:sz w:val="20"/>
          <w:szCs w:val="20"/>
          <w:shd w:val="clear" w:color="auto" w:fill="FFFFFF"/>
        </w:rPr>
        <w:t>doi:</w:t>
      </w:r>
      <w:hyperlink r:id="rId10" w:history="1">
        <w:r w:rsidRPr="00A82EB5">
          <w:rPr>
            <w:rStyle w:val="Hyperlink"/>
            <w:b w:val="0"/>
            <w:sz w:val="20"/>
            <w:szCs w:val="20"/>
            <w:shd w:val="clear" w:color="auto" w:fill="FFFFFF"/>
          </w:rPr>
          <w:t>10.7537/mars</w:t>
        </w:r>
        <w:r w:rsidRPr="00A82EB5">
          <w:rPr>
            <w:rStyle w:val="Hyperlink"/>
            <w:rFonts w:hint="eastAsia"/>
            <w:b w:val="0"/>
            <w:sz w:val="20"/>
            <w:szCs w:val="20"/>
            <w:shd w:val="clear" w:color="auto" w:fill="FFFFFF"/>
          </w:rPr>
          <w:t>nys100817.</w:t>
        </w:r>
        <w:r w:rsidR="00A82EB5" w:rsidRPr="00A82EB5">
          <w:rPr>
            <w:rStyle w:val="Hyperlink"/>
            <w:rFonts w:eastAsiaTheme="minorEastAsia" w:hint="eastAsia"/>
            <w:b w:val="0"/>
            <w:sz w:val="20"/>
            <w:szCs w:val="20"/>
            <w:shd w:val="clear" w:color="auto" w:fill="FFFFFF"/>
            <w:lang w:eastAsia="zh-CN"/>
          </w:rPr>
          <w:t>22</w:t>
        </w:r>
      </w:hyperlink>
      <w:r w:rsidRPr="00A82EB5">
        <w:rPr>
          <w:b w:val="0"/>
          <w:color w:val="000000"/>
          <w:sz w:val="20"/>
          <w:szCs w:val="20"/>
          <w:shd w:val="clear" w:color="auto" w:fill="FFFFFF"/>
        </w:rPr>
        <w:t>.</w:t>
      </w:r>
    </w:p>
    <w:p w:rsidR="000763A4" w:rsidRPr="00A82EB5" w:rsidRDefault="000763A4" w:rsidP="00A82EB5">
      <w:pPr>
        <w:pStyle w:val="Hh1"/>
        <w:keepNext w:val="0"/>
        <w:pageBreakBefore w:val="0"/>
        <w:widowControl w:val="0"/>
        <w:snapToGrid w:val="0"/>
        <w:spacing w:after="0" w:line="240" w:lineRule="auto"/>
        <w:jc w:val="both"/>
        <w:rPr>
          <w:sz w:val="20"/>
          <w:szCs w:val="20"/>
        </w:rPr>
      </w:pPr>
    </w:p>
    <w:p w:rsidR="00315ABE" w:rsidRPr="00A82EB5" w:rsidRDefault="00822A81" w:rsidP="00A82EB5">
      <w:pPr>
        <w:pStyle w:val="Hh1"/>
        <w:keepNext w:val="0"/>
        <w:pageBreakBefore w:val="0"/>
        <w:widowControl w:val="0"/>
        <w:snapToGrid w:val="0"/>
        <w:spacing w:after="0" w:line="240" w:lineRule="auto"/>
        <w:jc w:val="both"/>
        <w:rPr>
          <w:b w:val="0"/>
          <w:bCs w:val="0"/>
          <w:sz w:val="20"/>
          <w:szCs w:val="20"/>
        </w:rPr>
      </w:pPr>
      <w:r w:rsidRPr="00A82EB5">
        <w:rPr>
          <w:sz w:val="20"/>
          <w:szCs w:val="20"/>
        </w:rPr>
        <w:t>Key wor</w:t>
      </w:r>
      <w:r w:rsidR="00315ABE" w:rsidRPr="00A82EB5">
        <w:rPr>
          <w:sz w:val="20"/>
          <w:szCs w:val="20"/>
        </w:rPr>
        <w:t>ds:</w:t>
      </w:r>
      <w:r w:rsidRPr="00A82EB5">
        <w:rPr>
          <w:b w:val="0"/>
          <w:bCs w:val="0"/>
          <w:sz w:val="20"/>
          <w:szCs w:val="20"/>
        </w:rPr>
        <w:t xml:space="preserve"> Power Doppler ultrasound, endometrial thickness, subendometrial vascularity</w:t>
      </w:r>
      <w:r w:rsidR="00E10937" w:rsidRPr="00A82EB5">
        <w:rPr>
          <w:b w:val="0"/>
          <w:bCs w:val="0"/>
          <w:sz w:val="20"/>
          <w:szCs w:val="20"/>
        </w:rPr>
        <w:t>,</w:t>
      </w:r>
      <w:r w:rsidRPr="00A82EB5">
        <w:rPr>
          <w:b w:val="0"/>
          <w:bCs w:val="0"/>
          <w:sz w:val="20"/>
          <w:szCs w:val="20"/>
        </w:rPr>
        <w:t xml:space="preserve"> pregnancy rate</w:t>
      </w:r>
      <w:r w:rsidR="00E10937" w:rsidRPr="00A82EB5">
        <w:rPr>
          <w:b w:val="0"/>
          <w:bCs w:val="0"/>
          <w:sz w:val="20"/>
          <w:szCs w:val="20"/>
        </w:rPr>
        <w:t>,</w:t>
      </w:r>
      <w:r w:rsidRPr="00A82EB5">
        <w:rPr>
          <w:b w:val="0"/>
          <w:bCs w:val="0"/>
          <w:sz w:val="20"/>
          <w:szCs w:val="20"/>
        </w:rPr>
        <w:t xml:space="preserve"> IVF/ICSI</w:t>
      </w:r>
    </w:p>
    <w:p w:rsidR="005D2E86" w:rsidRPr="00A82EB5" w:rsidRDefault="005D2E86" w:rsidP="00A82EB5">
      <w:pPr>
        <w:pStyle w:val="Hh1"/>
        <w:keepNext w:val="0"/>
        <w:pageBreakBefore w:val="0"/>
        <w:widowControl w:val="0"/>
        <w:snapToGrid w:val="0"/>
        <w:spacing w:after="0" w:line="240" w:lineRule="auto"/>
        <w:jc w:val="both"/>
        <w:rPr>
          <w:sz w:val="20"/>
          <w:szCs w:val="20"/>
        </w:rPr>
      </w:pPr>
    </w:p>
    <w:p w:rsidR="005D2E86" w:rsidRPr="00A82EB5" w:rsidRDefault="005D2E86" w:rsidP="00A82EB5">
      <w:pPr>
        <w:pStyle w:val="Hh1"/>
        <w:keepNext w:val="0"/>
        <w:pageBreakBefore w:val="0"/>
        <w:widowControl w:val="0"/>
        <w:snapToGrid w:val="0"/>
        <w:spacing w:after="0" w:line="240" w:lineRule="auto"/>
        <w:jc w:val="both"/>
        <w:rPr>
          <w:sz w:val="20"/>
          <w:szCs w:val="20"/>
        </w:rPr>
        <w:sectPr w:rsidR="005D2E86" w:rsidRPr="00A82EB5" w:rsidSect="00B02060">
          <w:headerReference w:type="even" r:id="rId11"/>
          <w:headerReference w:type="default" r:id="rId12"/>
          <w:footerReference w:type="even" r:id="rId13"/>
          <w:footerReference w:type="default" r:id="rId14"/>
          <w:type w:val="continuous"/>
          <w:pgSz w:w="12242" w:h="15842" w:code="1"/>
          <w:pgMar w:top="1440" w:right="1440" w:bottom="1440" w:left="1440" w:header="720" w:footer="720" w:gutter="0"/>
          <w:pgNumType w:start="194"/>
          <w:cols w:space="708"/>
          <w:bidi/>
          <w:docGrid w:linePitch="360"/>
        </w:sectPr>
      </w:pPr>
    </w:p>
    <w:p w:rsidR="00C36FEA" w:rsidRPr="00A82EB5" w:rsidRDefault="000763A4" w:rsidP="00A82EB5">
      <w:pPr>
        <w:pStyle w:val="Hh1"/>
        <w:keepNext w:val="0"/>
        <w:pageBreakBefore w:val="0"/>
        <w:widowControl w:val="0"/>
        <w:snapToGrid w:val="0"/>
        <w:spacing w:after="0" w:line="240" w:lineRule="auto"/>
        <w:jc w:val="both"/>
        <w:rPr>
          <w:sz w:val="20"/>
          <w:szCs w:val="20"/>
        </w:rPr>
      </w:pPr>
      <w:r w:rsidRPr="00A82EB5">
        <w:rPr>
          <w:sz w:val="20"/>
          <w:szCs w:val="20"/>
        </w:rPr>
        <w:lastRenderedPageBreak/>
        <w:t xml:space="preserve">1. </w:t>
      </w:r>
      <w:r w:rsidR="00C36FEA" w:rsidRPr="00A82EB5">
        <w:rPr>
          <w:sz w:val="20"/>
          <w:szCs w:val="20"/>
        </w:rPr>
        <w:t>Introduction</w:t>
      </w:r>
    </w:p>
    <w:p w:rsidR="00C36FEA" w:rsidRPr="00A82EB5" w:rsidRDefault="00C36FEA" w:rsidP="00A82EB5">
      <w:pPr>
        <w:pStyle w:val="B11"/>
        <w:widowControl w:val="0"/>
        <w:snapToGrid w:val="0"/>
        <w:spacing w:after="0" w:line="240" w:lineRule="auto"/>
        <w:ind w:firstLine="425"/>
        <w:jc w:val="both"/>
        <w:rPr>
          <w:sz w:val="20"/>
          <w:szCs w:val="20"/>
        </w:rPr>
      </w:pPr>
      <w:r w:rsidRPr="00A82EB5">
        <w:rPr>
          <w:sz w:val="20"/>
          <w:szCs w:val="20"/>
        </w:rPr>
        <w:t>Despite</w:t>
      </w:r>
      <w:r w:rsidR="00E10937" w:rsidRPr="00A82EB5">
        <w:rPr>
          <w:sz w:val="20"/>
          <w:szCs w:val="20"/>
        </w:rPr>
        <w:t xml:space="preserve"> </w:t>
      </w:r>
      <w:r w:rsidRPr="00A82EB5">
        <w:rPr>
          <w:sz w:val="20"/>
          <w:szCs w:val="20"/>
        </w:rPr>
        <w:t>recent</w:t>
      </w:r>
      <w:r w:rsidR="00E10937" w:rsidRPr="00A82EB5">
        <w:rPr>
          <w:sz w:val="20"/>
          <w:szCs w:val="20"/>
        </w:rPr>
        <w:t xml:space="preserve"> </w:t>
      </w:r>
      <w:r w:rsidRPr="00A82EB5">
        <w:rPr>
          <w:sz w:val="20"/>
          <w:szCs w:val="20"/>
        </w:rPr>
        <w:t>advances</w:t>
      </w:r>
      <w:r w:rsidR="00E10937" w:rsidRPr="00A82EB5">
        <w:rPr>
          <w:sz w:val="20"/>
          <w:szCs w:val="20"/>
        </w:rPr>
        <w:t xml:space="preserve"> </w:t>
      </w:r>
      <w:r w:rsidRPr="00A82EB5">
        <w:rPr>
          <w:sz w:val="20"/>
          <w:szCs w:val="20"/>
        </w:rPr>
        <w:t>in</w:t>
      </w:r>
      <w:r w:rsidR="00E10937" w:rsidRPr="00A82EB5">
        <w:rPr>
          <w:sz w:val="20"/>
          <w:szCs w:val="20"/>
        </w:rPr>
        <w:t xml:space="preserve"> </w:t>
      </w:r>
      <w:r w:rsidRPr="00A82EB5">
        <w:rPr>
          <w:sz w:val="20"/>
          <w:szCs w:val="20"/>
        </w:rPr>
        <w:t>IVF</w:t>
      </w:r>
      <w:r w:rsidR="00E10937" w:rsidRPr="00A82EB5">
        <w:rPr>
          <w:sz w:val="20"/>
          <w:szCs w:val="20"/>
        </w:rPr>
        <w:t xml:space="preserve"> </w:t>
      </w:r>
      <w:r w:rsidRPr="00A82EB5">
        <w:rPr>
          <w:sz w:val="20"/>
          <w:szCs w:val="20"/>
        </w:rPr>
        <w:t>technologies</w:t>
      </w:r>
      <w:r w:rsidR="00E10937" w:rsidRPr="00A82EB5">
        <w:rPr>
          <w:sz w:val="20"/>
          <w:szCs w:val="20"/>
        </w:rPr>
        <w:t xml:space="preserve"> </w:t>
      </w:r>
      <w:r w:rsidRPr="00A82EB5">
        <w:rPr>
          <w:sz w:val="20"/>
          <w:szCs w:val="20"/>
        </w:rPr>
        <w:t>and</w:t>
      </w:r>
      <w:r w:rsidR="00E10937" w:rsidRPr="00A82EB5">
        <w:rPr>
          <w:sz w:val="20"/>
          <w:szCs w:val="20"/>
        </w:rPr>
        <w:t xml:space="preserve"> </w:t>
      </w:r>
      <w:r w:rsidRPr="00A82EB5">
        <w:rPr>
          <w:sz w:val="20"/>
          <w:szCs w:val="20"/>
        </w:rPr>
        <w:t>ovarian</w:t>
      </w:r>
      <w:r w:rsidR="00E10937" w:rsidRPr="00A82EB5">
        <w:rPr>
          <w:sz w:val="20"/>
          <w:szCs w:val="20"/>
        </w:rPr>
        <w:t xml:space="preserve"> </w:t>
      </w:r>
      <w:r w:rsidRPr="00A82EB5">
        <w:rPr>
          <w:sz w:val="20"/>
          <w:szCs w:val="20"/>
        </w:rPr>
        <w:t>stimulation regimens, the pregnancy</w:t>
      </w:r>
      <w:r w:rsidR="00E10937" w:rsidRPr="00A82EB5">
        <w:rPr>
          <w:sz w:val="20"/>
          <w:szCs w:val="20"/>
        </w:rPr>
        <w:t xml:space="preserve"> </w:t>
      </w:r>
      <w:r w:rsidRPr="00A82EB5">
        <w:rPr>
          <w:sz w:val="20"/>
          <w:szCs w:val="20"/>
        </w:rPr>
        <w:t>rates have not increased accordingly, Multiple factors responsible for a successful IVF outcome have been</w:t>
      </w:r>
      <w:r w:rsidR="00E10937" w:rsidRPr="00A82EB5">
        <w:rPr>
          <w:sz w:val="20"/>
          <w:szCs w:val="20"/>
        </w:rPr>
        <w:t xml:space="preserve"> </w:t>
      </w:r>
      <w:r w:rsidRPr="00A82EB5">
        <w:rPr>
          <w:sz w:val="20"/>
          <w:szCs w:val="20"/>
        </w:rPr>
        <w:t xml:space="preserve">described, not the least of which is uterine receptivity </w:t>
      </w:r>
      <w:r w:rsidRPr="00A82EB5">
        <w:rPr>
          <w:rStyle w:val="ref"/>
          <w:sz w:val="20"/>
          <w:szCs w:val="20"/>
        </w:rPr>
        <w:t>(Coulam et al, 1994)</w:t>
      </w:r>
      <w:r w:rsidRPr="00A82EB5">
        <w:rPr>
          <w:b/>
          <w:bCs/>
          <w:sz w:val="20"/>
          <w:szCs w:val="20"/>
        </w:rPr>
        <w:t>.</w:t>
      </w:r>
    </w:p>
    <w:p w:rsidR="00C36FEA" w:rsidRPr="00A82EB5" w:rsidRDefault="00C36FEA" w:rsidP="00A82EB5">
      <w:pPr>
        <w:pStyle w:val="B11"/>
        <w:widowControl w:val="0"/>
        <w:snapToGrid w:val="0"/>
        <w:spacing w:after="0" w:line="240" w:lineRule="auto"/>
        <w:ind w:firstLine="425"/>
        <w:jc w:val="both"/>
        <w:rPr>
          <w:sz w:val="20"/>
          <w:szCs w:val="20"/>
        </w:rPr>
      </w:pPr>
      <w:r w:rsidRPr="00A82EB5">
        <w:rPr>
          <w:sz w:val="20"/>
          <w:szCs w:val="20"/>
        </w:rPr>
        <w:t>It appears that a favorable endometrial milieu is necessary for successful implantation in the menstrual cycle, the endometrium has no adhesive qualities until the implantation window phase, during</w:t>
      </w:r>
      <w:r w:rsidR="00E10937" w:rsidRPr="00A82EB5">
        <w:rPr>
          <w:sz w:val="20"/>
          <w:szCs w:val="20"/>
        </w:rPr>
        <w:t xml:space="preserve"> </w:t>
      </w:r>
      <w:r w:rsidRPr="00A82EB5">
        <w:rPr>
          <w:sz w:val="20"/>
          <w:szCs w:val="20"/>
        </w:rPr>
        <w:t>which</w:t>
      </w:r>
      <w:r w:rsidR="00E10937" w:rsidRPr="00A82EB5">
        <w:rPr>
          <w:sz w:val="20"/>
          <w:szCs w:val="20"/>
        </w:rPr>
        <w:t xml:space="preserve"> </w:t>
      </w:r>
      <w:r w:rsidRPr="00A82EB5">
        <w:rPr>
          <w:sz w:val="20"/>
          <w:szCs w:val="20"/>
        </w:rPr>
        <w:t xml:space="preserve">for a very short time, the endometrium allows the implantation of gestational sacs. This feature is referred to as endometrial receptivity </w:t>
      </w:r>
      <w:r w:rsidRPr="00A82EB5">
        <w:rPr>
          <w:rStyle w:val="ref"/>
          <w:sz w:val="20"/>
          <w:szCs w:val="20"/>
        </w:rPr>
        <w:t>(Dominguez et al, 2003)</w:t>
      </w:r>
      <w:r w:rsidRPr="00A82EB5">
        <w:rPr>
          <w:b/>
          <w:bCs/>
          <w:sz w:val="20"/>
          <w:szCs w:val="20"/>
        </w:rPr>
        <w:t>.</w:t>
      </w:r>
    </w:p>
    <w:p w:rsidR="00C36FEA" w:rsidRPr="00A82EB5" w:rsidRDefault="00C36FEA" w:rsidP="00A82EB5">
      <w:pPr>
        <w:pStyle w:val="B11"/>
        <w:widowControl w:val="0"/>
        <w:snapToGrid w:val="0"/>
        <w:spacing w:after="0" w:line="240" w:lineRule="auto"/>
        <w:ind w:firstLine="425"/>
        <w:jc w:val="both"/>
        <w:rPr>
          <w:sz w:val="20"/>
          <w:szCs w:val="20"/>
        </w:rPr>
      </w:pPr>
      <w:r w:rsidRPr="00A82EB5">
        <w:rPr>
          <w:sz w:val="20"/>
          <w:szCs w:val="20"/>
        </w:rPr>
        <w:t xml:space="preserve">With the advance of diagnostic ultrasonography, clinical use of ultrasonic technology has increased as a way to measure possible predictors of endometrial receptivity, among them are uterine predictors ofimplantation, such as endometrial thickness, in the assessment of the developmental potential of the basal layer of the endometrium. With the increased </w:t>
      </w:r>
      <w:r w:rsidRPr="00A82EB5">
        <w:rPr>
          <w:sz w:val="20"/>
          <w:szCs w:val="20"/>
        </w:rPr>
        <w:lastRenderedPageBreak/>
        <w:t xml:space="preserve">resolving power and sensitivity of ultrasonography, more studies were conducted on the use of endometrial blood flow and blood flow in the (sub) endometrial arteries in predicting endometrial receptivity </w:t>
      </w:r>
      <w:r w:rsidRPr="00A82EB5">
        <w:rPr>
          <w:rStyle w:val="ref"/>
          <w:sz w:val="20"/>
          <w:szCs w:val="20"/>
        </w:rPr>
        <w:t>(Schild et al, 2000)</w:t>
      </w:r>
      <w:r w:rsidRPr="00A82EB5">
        <w:rPr>
          <w:b/>
          <w:bCs/>
          <w:sz w:val="20"/>
          <w:szCs w:val="20"/>
        </w:rPr>
        <w:t>.</w:t>
      </w:r>
      <w:r w:rsidRPr="00A82EB5">
        <w:rPr>
          <w:sz w:val="20"/>
          <w:szCs w:val="20"/>
        </w:rPr>
        <w:t xml:space="preserve"> To date, the advantages of ultrasonography include its non-invasiveness, repeatability, real-time monitoring and predictability </w:t>
      </w:r>
      <w:r w:rsidRPr="00A82EB5">
        <w:rPr>
          <w:rStyle w:val="ref"/>
          <w:sz w:val="20"/>
          <w:szCs w:val="20"/>
        </w:rPr>
        <w:t>(Wang et al, 2010)</w:t>
      </w:r>
      <w:r w:rsidRPr="00A82EB5">
        <w:rPr>
          <w:b/>
          <w:bCs/>
          <w:sz w:val="20"/>
          <w:szCs w:val="20"/>
        </w:rPr>
        <w:t>.</w:t>
      </w:r>
    </w:p>
    <w:p w:rsidR="00C36FEA" w:rsidRPr="00A82EB5" w:rsidRDefault="00C36FEA" w:rsidP="00A82EB5">
      <w:pPr>
        <w:pStyle w:val="B11"/>
        <w:widowControl w:val="0"/>
        <w:snapToGrid w:val="0"/>
        <w:spacing w:after="0" w:line="240" w:lineRule="auto"/>
        <w:ind w:firstLine="425"/>
        <w:jc w:val="both"/>
        <w:rPr>
          <w:sz w:val="20"/>
          <w:szCs w:val="20"/>
        </w:rPr>
      </w:pPr>
      <w:r w:rsidRPr="00A82EB5">
        <w:rPr>
          <w:sz w:val="20"/>
          <w:szCs w:val="20"/>
        </w:rPr>
        <w:t xml:space="preserve">Endometrial thickness measurement is used as a clinical tool to predict implantation following ovarian stimulation for IVF. Endometrial thickness is defined as the minimal distance between the echogenic interfaces of the myometrium and endometrium measured in the plane through the central longitudinal axis of the uterine body. There is possible interaction between overall blood supply in the sub endometrial area and pregnancy rate </w:t>
      </w:r>
      <w:r w:rsidRPr="00A82EB5">
        <w:rPr>
          <w:rStyle w:val="ref"/>
          <w:sz w:val="20"/>
          <w:szCs w:val="20"/>
        </w:rPr>
        <w:t>(Yu Ng et al., 2006)</w:t>
      </w:r>
      <w:r w:rsidRPr="00A82EB5">
        <w:rPr>
          <w:b/>
          <w:bCs/>
          <w:sz w:val="20"/>
          <w:szCs w:val="20"/>
        </w:rPr>
        <w:t>.</w:t>
      </w:r>
    </w:p>
    <w:p w:rsidR="00C36FEA" w:rsidRPr="00A82EB5" w:rsidRDefault="00C36FEA" w:rsidP="00A82EB5">
      <w:pPr>
        <w:pStyle w:val="B11"/>
        <w:widowControl w:val="0"/>
        <w:snapToGrid w:val="0"/>
        <w:spacing w:after="0" w:line="240" w:lineRule="auto"/>
        <w:ind w:firstLine="425"/>
        <w:jc w:val="both"/>
        <w:rPr>
          <w:sz w:val="20"/>
          <w:szCs w:val="20"/>
        </w:rPr>
      </w:pPr>
      <w:r w:rsidRPr="00A82EB5">
        <w:rPr>
          <w:sz w:val="20"/>
          <w:szCs w:val="20"/>
        </w:rPr>
        <w:t>Using a transvaginal transducer with power</w:t>
      </w:r>
      <w:r w:rsidR="00E10937" w:rsidRPr="00A82EB5">
        <w:rPr>
          <w:sz w:val="20"/>
          <w:szCs w:val="20"/>
        </w:rPr>
        <w:t xml:space="preserve"> </w:t>
      </w:r>
      <w:r w:rsidRPr="00A82EB5">
        <w:rPr>
          <w:sz w:val="20"/>
          <w:szCs w:val="20"/>
        </w:rPr>
        <w:t>Doppler</w:t>
      </w:r>
      <w:r w:rsidR="00E10937" w:rsidRPr="00A82EB5">
        <w:rPr>
          <w:sz w:val="20"/>
          <w:szCs w:val="20"/>
        </w:rPr>
        <w:t xml:space="preserve"> </w:t>
      </w:r>
      <w:r w:rsidRPr="00A82EB5">
        <w:rPr>
          <w:sz w:val="20"/>
          <w:szCs w:val="20"/>
        </w:rPr>
        <w:t>facility,</w:t>
      </w:r>
      <w:r w:rsidR="00E10937" w:rsidRPr="00A82EB5">
        <w:rPr>
          <w:sz w:val="20"/>
          <w:szCs w:val="20"/>
        </w:rPr>
        <w:t xml:space="preserve"> </w:t>
      </w:r>
      <w:r w:rsidRPr="00A82EB5">
        <w:rPr>
          <w:sz w:val="20"/>
          <w:szCs w:val="20"/>
        </w:rPr>
        <w:t>when</w:t>
      </w:r>
      <w:r w:rsidR="00E10937" w:rsidRPr="00A82EB5">
        <w:rPr>
          <w:sz w:val="20"/>
          <w:szCs w:val="20"/>
        </w:rPr>
        <w:t xml:space="preserve"> </w:t>
      </w:r>
      <w:r w:rsidRPr="00A82EB5">
        <w:rPr>
          <w:sz w:val="20"/>
          <w:szCs w:val="20"/>
        </w:rPr>
        <w:t>a longitudinal view of the</w:t>
      </w:r>
      <w:r w:rsidR="00E10937" w:rsidRPr="00A82EB5">
        <w:rPr>
          <w:sz w:val="20"/>
          <w:szCs w:val="20"/>
        </w:rPr>
        <w:t xml:space="preserve"> </w:t>
      </w:r>
      <w:r w:rsidRPr="00A82EB5">
        <w:rPr>
          <w:sz w:val="20"/>
          <w:szCs w:val="20"/>
        </w:rPr>
        <w:t>uterus is obtained, sub-endometrial blood flow can be studied measuring the following parameters:</w:t>
      </w:r>
    </w:p>
    <w:p w:rsidR="00C36FEA" w:rsidRPr="00A82EB5" w:rsidRDefault="00C36FEA" w:rsidP="00A82EB5">
      <w:pPr>
        <w:pStyle w:val="B11"/>
        <w:widowControl w:val="0"/>
        <w:numPr>
          <w:ilvl w:val="0"/>
          <w:numId w:val="3"/>
        </w:numPr>
        <w:snapToGrid w:val="0"/>
        <w:spacing w:after="0" w:line="240" w:lineRule="auto"/>
        <w:ind w:left="0" w:firstLine="425"/>
        <w:jc w:val="both"/>
        <w:rPr>
          <w:sz w:val="20"/>
          <w:szCs w:val="20"/>
        </w:rPr>
      </w:pPr>
      <w:r w:rsidRPr="00A82EB5">
        <w:rPr>
          <w:sz w:val="20"/>
          <w:szCs w:val="20"/>
        </w:rPr>
        <w:t xml:space="preserve">Resistance index (RI) unitless and angle </w:t>
      </w:r>
      <w:r w:rsidRPr="00A82EB5">
        <w:rPr>
          <w:sz w:val="20"/>
          <w:szCs w:val="20"/>
        </w:rPr>
        <w:lastRenderedPageBreak/>
        <w:t>independent: the difference between maximal systolic blood flow and minimal diastolic flow divided by the peak systolic flow (S-D/S).</w:t>
      </w:r>
    </w:p>
    <w:p w:rsidR="00C36FEA" w:rsidRPr="00A82EB5" w:rsidRDefault="00C36FEA" w:rsidP="00A82EB5">
      <w:pPr>
        <w:pStyle w:val="B11"/>
        <w:widowControl w:val="0"/>
        <w:numPr>
          <w:ilvl w:val="0"/>
          <w:numId w:val="3"/>
        </w:numPr>
        <w:snapToGrid w:val="0"/>
        <w:spacing w:after="0" w:line="240" w:lineRule="auto"/>
        <w:ind w:left="0" w:firstLine="425"/>
        <w:jc w:val="both"/>
        <w:rPr>
          <w:sz w:val="20"/>
          <w:szCs w:val="20"/>
        </w:rPr>
      </w:pPr>
      <w:r w:rsidRPr="00A82EB5">
        <w:rPr>
          <w:sz w:val="20"/>
          <w:szCs w:val="20"/>
        </w:rPr>
        <w:t>ii.</w:t>
      </w:r>
      <w:r w:rsidRPr="00A82EB5">
        <w:rPr>
          <w:sz w:val="20"/>
          <w:szCs w:val="20"/>
        </w:rPr>
        <w:tab/>
        <w:t>Pulsatility index (PI) unitless and angle independent: the difference between maximal systolic blood flow and minimal diastolic flow divided by the mean flow throughout the cycle (S – D/ mean).</w:t>
      </w:r>
    </w:p>
    <w:p w:rsidR="00C36FEA" w:rsidRPr="00A82EB5" w:rsidRDefault="00C36FEA" w:rsidP="00A82EB5">
      <w:pPr>
        <w:pStyle w:val="B11"/>
        <w:widowControl w:val="0"/>
        <w:numPr>
          <w:ilvl w:val="0"/>
          <w:numId w:val="3"/>
        </w:numPr>
        <w:snapToGrid w:val="0"/>
        <w:spacing w:after="0" w:line="240" w:lineRule="auto"/>
        <w:ind w:left="0" w:firstLine="425"/>
        <w:jc w:val="both"/>
        <w:rPr>
          <w:sz w:val="20"/>
          <w:szCs w:val="20"/>
        </w:rPr>
      </w:pPr>
      <w:r w:rsidRPr="00A82EB5">
        <w:rPr>
          <w:sz w:val="20"/>
          <w:szCs w:val="20"/>
        </w:rPr>
        <w:t>The ratio between peak systolic flow and lowest diastolic flow (S/D).</w:t>
      </w:r>
    </w:p>
    <w:p w:rsidR="00315ABE" w:rsidRPr="00A82EB5" w:rsidRDefault="00C36FEA" w:rsidP="00A82EB5">
      <w:pPr>
        <w:pStyle w:val="B11"/>
        <w:widowControl w:val="0"/>
        <w:snapToGrid w:val="0"/>
        <w:spacing w:after="0" w:line="240" w:lineRule="auto"/>
        <w:ind w:firstLine="425"/>
        <w:jc w:val="both"/>
        <w:rPr>
          <w:sz w:val="20"/>
          <w:szCs w:val="20"/>
        </w:rPr>
      </w:pPr>
      <w:r w:rsidRPr="00A82EB5">
        <w:rPr>
          <w:sz w:val="20"/>
          <w:szCs w:val="20"/>
        </w:rPr>
        <w:t>These three parameters express the resistance to flow from the point of measurement downstream.</w:t>
      </w:r>
      <w:r w:rsidR="00E10937" w:rsidRPr="00A82EB5">
        <w:rPr>
          <w:sz w:val="20"/>
          <w:szCs w:val="20"/>
        </w:rPr>
        <w:t xml:space="preserve"> </w:t>
      </w:r>
      <w:r w:rsidRPr="00A82EB5">
        <w:rPr>
          <w:sz w:val="20"/>
          <w:szCs w:val="20"/>
        </w:rPr>
        <w:t>The value increases when resistance increases, and vice versa. The diastolic flow is considered to be influenced</w:t>
      </w:r>
      <w:r w:rsidR="00E10937" w:rsidRPr="00A82EB5">
        <w:rPr>
          <w:sz w:val="20"/>
          <w:szCs w:val="20"/>
        </w:rPr>
        <w:t xml:space="preserve"> </w:t>
      </w:r>
      <w:r w:rsidRPr="00A82EB5">
        <w:rPr>
          <w:sz w:val="20"/>
          <w:szCs w:val="20"/>
        </w:rPr>
        <w:t>by resistance to a greater extent than the systolic flow.</w:t>
      </w:r>
      <w:r w:rsidR="00E10937" w:rsidRPr="00A82EB5">
        <w:rPr>
          <w:sz w:val="20"/>
          <w:szCs w:val="20"/>
        </w:rPr>
        <w:t xml:space="preserve"> </w:t>
      </w:r>
      <w:r w:rsidRPr="00A82EB5">
        <w:rPr>
          <w:sz w:val="20"/>
          <w:szCs w:val="20"/>
        </w:rPr>
        <w:t>All parameters are also examined by using the power Doppler system.</w:t>
      </w:r>
    </w:p>
    <w:p w:rsidR="00C36FEA" w:rsidRPr="00A82EB5" w:rsidRDefault="00C36FEA" w:rsidP="00A82EB5">
      <w:pPr>
        <w:pStyle w:val="B11"/>
        <w:widowControl w:val="0"/>
        <w:snapToGrid w:val="0"/>
        <w:spacing w:after="0" w:line="240" w:lineRule="auto"/>
        <w:ind w:firstLine="0"/>
        <w:jc w:val="both"/>
        <w:rPr>
          <w:b/>
          <w:bCs/>
          <w:sz w:val="20"/>
          <w:szCs w:val="20"/>
        </w:rPr>
      </w:pPr>
      <w:r w:rsidRPr="00A82EB5">
        <w:rPr>
          <w:b/>
          <w:bCs/>
          <w:sz w:val="20"/>
          <w:szCs w:val="20"/>
        </w:rPr>
        <w:t>Aim of the work</w:t>
      </w:r>
    </w:p>
    <w:p w:rsidR="00315ABE" w:rsidRPr="00A82EB5" w:rsidRDefault="00C36FEA" w:rsidP="00A82EB5">
      <w:pPr>
        <w:pStyle w:val="B11"/>
        <w:widowControl w:val="0"/>
        <w:snapToGrid w:val="0"/>
        <w:spacing w:after="0" w:line="240" w:lineRule="auto"/>
        <w:ind w:firstLine="425"/>
        <w:jc w:val="both"/>
        <w:rPr>
          <w:sz w:val="20"/>
          <w:szCs w:val="20"/>
        </w:rPr>
      </w:pPr>
      <w:r w:rsidRPr="00A82EB5">
        <w:rPr>
          <w:sz w:val="20"/>
          <w:szCs w:val="20"/>
        </w:rPr>
        <w:t>Is to study the correlation between (endometrial thickness, and assessment of sub-endometrial vascularity, by power Doppler ultrasonography), and uterine receptivity in infertile women treated with IVF/ICSI. And the pregnancy outcome.</w:t>
      </w:r>
    </w:p>
    <w:p w:rsidR="000763A4" w:rsidRPr="00A82EB5" w:rsidRDefault="000763A4" w:rsidP="00A82EB5">
      <w:pPr>
        <w:pStyle w:val="B11"/>
        <w:widowControl w:val="0"/>
        <w:snapToGrid w:val="0"/>
        <w:spacing w:after="0" w:line="240" w:lineRule="auto"/>
        <w:ind w:firstLine="0"/>
        <w:jc w:val="both"/>
        <w:rPr>
          <w:b/>
          <w:bCs/>
          <w:sz w:val="20"/>
          <w:szCs w:val="20"/>
        </w:rPr>
      </w:pPr>
    </w:p>
    <w:p w:rsidR="00E50529" w:rsidRPr="00A82EB5" w:rsidRDefault="000763A4" w:rsidP="00A82EB5">
      <w:pPr>
        <w:pStyle w:val="B11"/>
        <w:widowControl w:val="0"/>
        <w:snapToGrid w:val="0"/>
        <w:spacing w:after="0" w:line="240" w:lineRule="auto"/>
        <w:ind w:firstLine="0"/>
        <w:jc w:val="both"/>
        <w:rPr>
          <w:b/>
          <w:bCs/>
          <w:sz w:val="20"/>
          <w:szCs w:val="20"/>
        </w:rPr>
      </w:pPr>
      <w:r w:rsidRPr="00A82EB5">
        <w:rPr>
          <w:b/>
          <w:bCs/>
          <w:sz w:val="20"/>
          <w:szCs w:val="20"/>
        </w:rPr>
        <w:t xml:space="preserve">2. </w:t>
      </w:r>
      <w:r w:rsidR="00E50529" w:rsidRPr="00A82EB5">
        <w:rPr>
          <w:b/>
          <w:bCs/>
          <w:sz w:val="20"/>
          <w:szCs w:val="20"/>
        </w:rPr>
        <w:t>Materials and methods</w:t>
      </w:r>
    </w:p>
    <w:p w:rsidR="00222183" w:rsidRPr="00A82EB5" w:rsidRDefault="00222183" w:rsidP="00A82EB5">
      <w:pPr>
        <w:pStyle w:val="Hh3"/>
        <w:keepNext w:val="0"/>
        <w:widowControl w:val="0"/>
        <w:snapToGrid w:val="0"/>
        <w:spacing w:after="0" w:line="240" w:lineRule="auto"/>
        <w:jc w:val="both"/>
        <w:rPr>
          <w:rFonts w:ascii="Times New Roman" w:hAnsi="Times New Roman"/>
          <w:i w:val="0"/>
          <w:iCs/>
          <w:sz w:val="20"/>
          <w:szCs w:val="20"/>
        </w:rPr>
      </w:pPr>
      <w:r w:rsidRPr="00A82EB5">
        <w:rPr>
          <w:rFonts w:ascii="Times New Roman" w:hAnsi="Times New Roman"/>
          <w:i w:val="0"/>
          <w:iCs/>
          <w:sz w:val="20"/>
          <w:szCs w:val="20"/>
        </w:rPr>
        <w:t>Patients’ characteristics</w:t>
      </w:r>
    </w:p>
    <w:p w:rsidR="00222183" w:rsidRPr="00A82EB5" w:rsidRDefault="00222183" w:rsidP="00A82EB5">
      <w:pPr>
        <w:pStyle w:val="B11"/>
        <w:widowControl w:val="0"/>
        <w:snapToGrid w:val="0"/>
        <w:spacing w:after="0" w:line="240" w:lineRule="auto"/>
        <w:ind w:firstLine="425"/>
        <w:jc w:val="both"/>
        <w:rPr>
          <w:sz w:val="20"/>
          <w:szCs w:val="20"/>
        </w:rPr>
      </w:pPr>
      <w:r w:rsidRPr="00A82EB5">
        <w:rPr>
          <w:sz w:val="20"/>
          <w:szCs w:val="20"/>
        </w:rPr>
        <w:t>From June 2015 to june 2016, fifty infertile patients candidate for IVF/ICSI</w:t>
      </w:r>
      <w:r w:rsidR="007A1FC9" w:rsidRPr="00A82EB5">
        <w:rPr>
          <w:sz w:val="20"/>
          <w:szCs w:val="20"/>
        </w:rPr>
        <w:t xml:space="preserve"> </w:t>
      </w:r>
      <w:r w:rsidRPr="00A82EB5">
        <w:rPr>
          <w:color w:val="000000"/>
          <w:sz w:val="20"/>
          <w:szCs w:val="20"/>
        </w:rPr>
        <w:t>treatment were recruited.</w:t>
      </w:r>
    </w:p>
    <w:p w:rsidR="00222183" w:rsidRPr="00A82EB5" w:rsidRDefault="00222183" w:rsidP="00A82EB5">
      <w:pPr>
        <w:pStyle w:val="h40"/>
        <w:keepNext w:val="0"/>
        <w:widowControl w:val="0"/>
        <w:snapToGrid w:val="0"/>
        <w:spacing w:after="0" w:line="240" w:lineRule="auto"/>
        <w:jc w:val="both"/>
        <w:rPr>
          <w:rFonts w:ascii="Times New Roman" w:hAnsi="Times New Roman"/>
          <w:sz w:val="20"/>
          <w:szCs w:val="20"/>
        </w:rPr>
      </w:pPr>
      <w:r w:rsidRPr="00A82EB5">
        <w:rPr>
          <w:rFonts w:ascii="Times New Roman" w:hAnsi="Times New Roman"/>
          <w:sz w:val="20"/>
          <w:szCs w:val="20"/>
        </w:rPr>
        <w:t>Inclusion criteria:</w:t>
      </w:r>
    </w:p>
    <w:p w:rsidR="00A82EB5" w:rsidRDefault="00222183" w:rsidP="00A82EB5">
      <w:pPr>
        <w:pStyle w:val="B11"/>
        <w:widowControl w:val="0"/>
        <w:numPr>
          <w:ilvl w:val="0"/>
          <w:numId w:val="10"/>
        </w:numPr>
        <w:snapToGrid w:val="0"/>
        <w:spacing w:after="0" w:line="240" w:lineRule="auto"/>
        <w:ind w:left="0" w:firstLine="425"/>
        <w:jc w:val="both"/>
        <w:rPr>
          <w:sz w:val="20"/>
          <w:szCs w:val="20"/>
        </w:rPr>
      </w:pPr>
      <w:r w:rsidRPr="00A82EB5">
        <w:rPr>
          <w:sz w:val="20"/>
          <w:szCs w:val="20"/>
        </w:rPr>
        <w:t>Age 25 -35 year</w:t>
      </w:r>
      <w:r w:rsidR="00A82EB5" w:rsidRPr="00A82EB5">
        <w:rPr>
          <w:sz w:val="20"/>
          <w:szCs w:val="20"/>
        </w:rPr>
        <w:t>s</w:t>
      </w:r>
      <w:r w:rsidR="00A82EB5">
        <w:rPr>
          <w:sz w:val="20"/>
          <w:szCs w:val="20"/>
        </w:rPr>
        <w:t>.</w:t>
      </w:r>
    </w:p>
    <w:p w:rsidR="00222183" w:rsidRPr="00A82EB5" w:rsidRDefault="00222183" w:rsidP="00A82EB5">
      <w:pPr>
        <w:pStyle w:val="B11"/>
        <w:widowControl w:val="0"/>
        <w:numPr>
          <w:ilvl w:val="0"/>
          <w:numId w:val="10"/>
        </w:numPr>
        <w:snapToGrid w:val="0"/>
        <w:spacing w:after="0" w:line="240" w:lineRule="auto"/>
        <w:ind w:left="0" w:firstLine="425"/>
        <w:jc w:val="both"/>
        <w:rPr>
          <w:sz w:val="20"/>
          <w:szCs w:val="20"/>
        </w:rPr>
      </w:pPr>
      <w:r w:rsidRPr="00A82EB5">
        <w:rPr>
          <w:sz w:val="20"/>
          <w:szCs w:val="20"/>
        </w:rPr>
        <w:t>Infertile patients' candidate for IVF treatment.</w:t>
      </w:r>
    </w:p>
    <w:p w:rsidR="00222183" w:rsidRPr="00A82EB5" w:rsidRDefault="00222183" w:rsidP="00A82EB5">
      <w:pPr>
        <w:pStyle w:val="B11"/>
        <w:widowControl w:val="0"/>
        <w:numPr>
          <w:ilvl w:val="0"/>
          <w:numId w:val="10"/>
        </w:numPr>
        <w:snapToGrid w:val="0"/>
        <w:spacing w:after="0" w:line="240" w:lineRule="auto"/>
        <w:ind w:left="0" w:firstLine="425"/>
        <w:jc w:val="both"/>
        <w:rPr>
          <w:sz w:val="20"/>
          <w:szCs w:val="20"/>
        </w:rPr>
      </w:pPr>
      <w:r w:rsidRPr="00A82EB5">
        <w:rPr>
          <w:sz w:val="20"/>
          <w:szCs w:val="20"/>
        </w:rPr>
        <w:t>Normal</w:t>
      </w:r>
      <w:r w:rsidR="00E10937" w:rsidRPr="00A82EB5">
        <w:rPr>
          <w:sz w:val="20"/>
          <w:szCs w:val="20"/>
        </w:rPr>
        <w:t xml:space="preserve"> </w:t>
      </w:r>
      <w:r w:rsidRPr="00A82EB5">
        <w:rPr>
          <w:sz w:val="20"/>
          <w:szCs w:val="20"/>
        </w:rPr>
        <w:t>size</w:t>
      </w:r>
      <w:r w:rsidR="00E10937" w:rsidRPr="00A82EB5">
        <w:rPr>
          <w:sz w:val="20"/>
          <w:szCs w:val="20"/>
        </w:rPr>
        <w:t xml:space="preserve"> </w:t>
      </w:r>
      <w:r w:rsidRPr="00A82EB5">
        <w:rPr>
          <w:sz w:val="20"/>
          <w:szCs w:val="20"/>
        </w:rPr>
        <w:t>and</w:t>
      </w:r>
      <w:r w:rsidR="00E10937" w:rsidRPr="00A82EB5">
        <w:rPr>
          <w:sz w:val="20"/>
          <w:szCs w:val="20"/>
        </w:rPr>
        <w:t xml:space="preserve"> </w:t>
      </w:r>
      <w:r w:rsidRPr="00A82EB5">
        <w:rPr>
          <w:sz w:val="20"/>
          <w:szCs w:val="20"/>
        </w:rPr>
        <w:t>shape</w:t>
      </w:r>
      <w:r w:rsidR="00E10937" w:rsidRPr="00A82EB5">
        <w:rPr>
          <w:sz w:val="20"/>
          <w:szCs w:val="20"/>
        </w:rPr>
        <w:t xml:space="preserve"> </w:t>
      </w:r>
      <w:r w:rsidRPr="00A82EB5">
        <w:rPr>
          <w:sz w:val="20"/>
          <w:szCs w:val="20"/>
        </w:rPr>
        <w:t>of</w:t>
      </w:r>
      <w:r w:rsidR="00E10937" w:rsidRPr="00A82EB5">
        <w:rPr>
          <w:sz w:val="20"/>
          <w:szCs w:val="20"/>
        </w:rPr>
        <w:t xml:space="preserve"> </w:t>
      </w:r>
      <w:r w:rsidRPr="00A82EB5">
        <w:rPr>
          <w:sz w:val="20"/>
          <w:szCs w:val="20"/>
        </w:rPr>
        <w:t>the</w:t>
      </w:r>
      <w:r w:rsidR="00E10937" w:rsidRPr="00A82EB5">
        <w:rPr>
          <w:sz w:val="20"/>
          <w:szCs w:val="20"/>
        </w:rPr>
        <w:t xml:space="preserve"> </w:t>
      </w:r>
      <w:r w:rsidRPr="00A82EB5">
        <w:rPr>
          <w:sz w:val="20"/>
          <w:szCs w:val="20"/>
        </w:rPr>
        <w:t>uterus,</w:t>
      </w:r>
      <w:r w:rsidR="00E10937" w:rsidRPr="00A82EB5">
        <w:rPr>
          <w:sz w:val="20"/>
          <w:szCs w:val="20"/>
        </w:rPr>
        <w:t xml:space="preserve"> </w:t>
      </w:r>
      <w:r w:rsidRPr="00A82EB5">
        <w:rPr>
          <w:sz w:val="20"/>
          <w:szCs w:val="20"/>
        </w:rPr>
        <w:t>as</w:t>
      </w:r>
      <w:r w:rsidR="00E10937" w:rsidRPr="00A82EB5">
        <w:rPr>
          <w:sz w:val="20"/>
          <w:szCs w:val="20"/>
        </w:rPr>
        <w:t xml:space="preserve"> </w:t>
      </w:r>
      <w:r w:rsidRPr="00A82EB5">
        <w:rPr>
          <w:sz w:val="20"/>
          <w:szCs w:val="20"/>
        </w:rPr>
        <w:t>evidence</w:t>
      </w:r>
      <w:r w:rsidR="00E10937" w:rsidRPr="00A82EB5">
        <w:rPr>
          <w:sz w:val="20"/>
          <w:szCs w:val="20"/>
        </w:rPr>
        <w:t xml:space="preserve"> </w:t>
      </w:r>
      <w:r w:rsidRPr="00A82EB5">
        <w:rPr>
          <w:sz w:val="20"/>
          <w:szCs w:val="20"/>
        </w:rPr>
        <w:t>by</w:t>
      </w:r>
      <w:r w:rsidR="00E10937" w:rsidRPr="00A82EB5">
        <w:rPr>
          <w:sz w:val="20"/>
          <w:szCs w:val="20"/>
        </w:rPr>
        <w:t xml:space="preserve"> </w:t>
      </w:r>
      <w:r w:rsidRPr="00A82EB5">
        <w:rPr>
          <w:sz w:val="20"/>
          <w:szCs w:val="20"/>
        </w:rPr>
        <w:t>trans-vaginal ultrasound and hysterograghy.</w:t>
      </w:r>
    </w:p>
    <w:p w:rsidR="00222183" w:rsidRPr="00A82EB5" w:rsidRDefault="00222183" w:rsidP="00A82EB5">
      <w:pPr>
        <w:pStyle w:val="h40"/>
        <w:keepNext w:val="0"/>
        <w:widowControl w:val="0"/>
        <w:snapToGrid w:val="0"/>
        <w:spacing w:after="0" w:line="240" w:lineRule="auto"/>
        <w:jc w:val="both"/>
        <w:rPr>
          <w:rFonts w:ascii="Times New Roman" w:hAnsi="Times New Roman"/>
          <w:sz w:val="20"/>
          <w:szCs w:val="20"/>
        </w:rPr>
      </w:pPr>
      <w:r w:rsidRPr="00A82EB5">
        <w:rPr>
          <w:rFonts w:ascii="Times New Roman" w:hAnsi="Times New Roman"/>
          <w:sz w:val="20"/>
          <w:szCs w:val="20"/>
        </w:rPr>
        <w:t>Exclusion criteria:</w:t>
      </w:r>
    </w:p>
    <w:p w:rsidR="00222183" w:rsidRPr="00A82EB5" w:rsidRDefault="00222183" w:rsidP="00A82EB5">
      <w:pPr>
        <w:pStyle w:val="B11"/>
        <w:widowControl w:val="0"/>
        <w:numPr>
          <w:ilvl w:val="0"/>
          <w:numId w:val="11"/>
        </w:numPr>
        <w:snapToGrid w:val="0"/>
        <w:spacing w:after="0" w:line="240" w:lineRule="auto"/>
        <w:ind w:left="0" w:firstLine="425"/>
        <w:jc w:val="both"/>
        <w:rPr>
          <w:sz w:val="20"/>
          <w:szCs w:val="20"/>
        </w:rPr>
      </w:pPr>
      <w:r w:rsidRPr="00A82EB5">
        <w:rPr>
          <w:sz w:val="20"/>
          <w:szCs w:val="20"/>
        </w:rPr>
        <w:t>Age &gt;35 years and &lt;25 years.</w:t>
      </w:r>
    </w:p>
    <w:p w:rsidR="00222183" w:rsidRPr="00A82EB5" w:rsidRDefault="00222183" w:rsidP="00A82EB5">
      <w:pPr>
        <w:pStyle w:val="B11"/>
        <w:widowControl w:val="0"/>
        <w:numPr>
          <w:ilvl w:val="0"/>
          <w:numId w:val="11"/>
        </w:numPr>
        <w:snapToGrid w:val="0"/>
        <w:spacing w:after="0" w:line="240" w:lineRule="auto"/>
        <w:ind w:left="0" w:firstLine="425"/>
        <w:jc w:val="both"/>
        <w:rPr>
          <w:sz w:val="20"/>
          <w:szCs w:val="20"/>
        </w:rPr>
      </w:pPr>
      <w:r w:rsidRPr="00A82EB5">
        <w:rPr>
          <w:sz w:val="20"/>
          <w:szCs w:val="20"/>
        </w:rPr>
        <w:t>Uterine factor of infertility, uterine myomas.</w:t>
      </w:r>
    </w:p>
    <w:p w:rsidR="00222183" w:rsidRPr="00A82EB5" w:rsidRDefault="00222183" w:rsidP="00A82EB5">
      <w:pPr>
        <w:pStyle w:val="B11"/>
        <w:widowControl w:val="0"/>
        <w:numPr>
          <w:ilvl w:val="0"/>
          <w:numId w:val="11"/>
        </w:numPr>
        <w:snapToGrid w:val="0"/>
        <w:spacing w:after="0" w:line="240" w:lineRule="auto"/>
        <w:ind w:left="0" w:firstLine="425"/>
        <w:jc w:val="both"/>
        <w:rPr>
          <w:sz w:val="20"/>
          <w:szCs w:val="20"/>
        </w:rPr>
      </w:pPr>
      <w:r w:rsidRPr="00A82EB5">
        <w:rPr>
          <w:sz w:val="20"/>
          <w:szCs w:val="20"/>
        </w:rPr>
        <w:t>Patients with history of surgical procedures involving the uterus.</w:t>
      </w:r>
    </w:p>
    <w:p w:rsidR="00222183" w:rsidRPr="00A82EB5" w:rsidRDefault="00222183" w:rsidP="00A82EB5">
      <w:pPr>
        <w:pStyle w:val="B11"/>
        <w:widowControl w:val="0"/>
        <w:numPr>
          <w:ilvl w:val="0"/>
          <w:numId w:val="11"/>
        </w:numPr>
        <w:snapToGrid w:val="0"/>
        <w:spacing w:after="0" w:line="240" w:lineRule="auto"/>
        <w:ind w:left="0" w:firstLine="425"/>
        <w:jc w:val="both"/>
        <w:rPr>
          <w:sz w:val="20"/>
          <w:szCs w:val="20"/>
        </w:rPr>
      </w:pPr>
      <w:r w:rsidRPr="00A82EB5">
        <w:rPr>
          <w:sz w:val="20"/>
          <w:szCs w:val="20"/>
        </w:rPr>
        <w:t>Excluding any Male factor of infertility.</w:t>
      </w:r>
    </w:p>
    <w:p w:rsidR="00222183" w:rsidRPr="00A82EB5" w:rsidRDefault="00222183" w:rsidP="00A82EB5">
      <w:pPr>
        <w:pStyle w:val="B11"/>
        <w:widowControl w:val="0"/>
        <w:snapToGrid w:val="0"/>
        <w:spacing w:after="0" w:line="240" w:lineRule="auto"/>
        <w:ind w:firstLine="425"/>
        <w:jc w:val="both"/>
        <w:rPr>
          <w:sz w:val="20"/>
          <w:szCs w:val="20"/>
        </w:rPr>
      </w:pPr>
      <w:r w:rsidRPr="00A82EB5">
        <w:rPr>
          <w:sz w:val="20"/>
          <w:szCs w:val="20"/>
        </w:rPr>
        <w:t>All patients were included in the study only once to avoid selection bias. The study was</w:t>
      </w:r>
      <w:r w:rsidR="00E10937" w:rsidRPr="00A82EB5">
        <w:rPr>
          <w:sz w:val="20"/>
          <w:szCs w:val="20"/>
        </w:rPr>
        <w:t xml:space="preserve"> </w:t>
      </w:r>
      <w:r w:rsidRPr="00A82EB5">
        <w:rPr>
          <w:sz w:val="20"/>
          <w:szCs w:val="20"/>
        </w:rPr>
        <w:t>approved</w:t>
      </w:r>
      <w:r w:rsidR="00E10937" w:rsidRPr="00A82EB5">
        <w:rPr>
          <w:sz w:val="20"/>
          <w:szCs w:val="20"/>
        </w:rPr>
        <w:t xml:space="preserve"> </w:t>
      </w:r>
      <w:r w:rsidRPr="00A82EB5">
        <w:rPr>
          <w:sz w:val="20"/>
          <w:szCs w:val="20"/>
        </w:rPr>
        <w:t>by</w:t>
      </w:r>
      <w:r w:rsidR="00E10937" w:rsidRPr="00A82EB5">
        <w:rPr>
          <w:sz w:val="20"/>
          <w:szCs w:val="20"/>
        </w:rPr>
        <w:t xml:space="preserve"> </w:t>
      </w:r>
      <w:r w:rsidRPr="00A82EB5">
        <w:rPr>
          <w:sz w:val="20"/>
          <w:szCs w:val="20"/>
        </w:rPr>
        <w:t>the</w:t>
      </w:r>
      <w:r w:rsidR="00E10937" w:rsidRPr="00A82EB5">
        <w:rPr>
          <w:sz w:val="20"/>
          <w:szCs w:val="20"/>
        </w:rPr>
        <w:t xml:space="preserve"> </w:t>
      </w:r>
      <w:r w:rsidRPr="00A82EB5">
        <w:rPr>
          <w:sz w:val="20"/>
          <w:szCs w:val="20"/>
        </w:rPr>
        <w:t>local</w:t>
      </w:r>
      <w:r w:rsidR="00E10937" w:rsidRPr="00A82EB5">
        <w:rPr>
          <w:sz w:val="20"/>
          <w:szCs w:val="20"/>
        </w:rPr>
        <w:t xml:space="preserve"> </w:t>
      </w:r>
      <w:r w:rsidRPr="00A82EB5">
        <w:rPr>
          <w:sz w:val="20"/>
          <w:szCs w:val="20"/>
        </w:rPr>
        <w:t>Ethical</w:t>
      </w:r>
      <w:r w:rsidR="00E10937" w:rsidRPr="00A82EB5">
        <w:rPr>
          <w:sz w:val="20"/>
          <w:szCs w:val="20"/>
        </w:rPr>
        <w:t xml:space="preserve"> </w:t>
      </w:r>
      <w:r w:rsidRPr="00A82EB5">
        <w:rPr>
          <w:sz w:val="20"/>
          <w:szCs w:val="20"/>
        </w:rPr>
        <w:t>Committee</w:t>
      </w:r>
      <w:r w:rsidR="00E10937" w:rsidRPr="00A82EB5">
        <w:rPr>
          <w:sz w:val="20"/>
          <w:szCs w:val="20"/>
        </w:rPr>
        <w:t xml:space="preserve"> </w:t>
      </w:r>
      <w:r w:rsidRPr="00A82EB5">
        <w:rPr>
          <w:sz w:val="20"/>
          <w:szCs w:val="20"/>
        </w:rPr>
        <w:t>of</w:t>
      </w:r>
      <w:r w:rsidR="00E10937" w:rsidRPr="00A82EB5">
        <w:rPr>
          <w:sz w:val="20"/>
          <w:szCs w:val="20"/>
        </w:rPr>
        <w:t xml:space="preserve"> </w:t>
      </w:r>
      <w:r w:rsidRPr="00A82EB5">
        <w:rPr>
          <w:sz w:val="20"/>
          <w:szCs w:val="20"/>
        </w:rPr>
        <w:t>Department</w:t>
      </w:r>
      <w:r w:rsidR="00E10937" w:rsidRPr="00A82EB5">
        <w:rPr>
          <w:sz w:val="20"/>
          <w:szCs w:val="20"/>
        </w:rPr>
        <w:t xml:space="preserve"> </w:t>
      </w:r>
      <w:r w:rsidRPr="00A82EB5">
        <w:rPr>
          <w:sz w:val="20"/>
          <w:szCs w:val="20"/>
        </w:rPr>
        <w:t>of</w:t>
      </w:r>
      <w:r w:rsidR="00E10937" w:rsidRPr="00A82EB5">
        <w:rPr>
          <w:sz w:val="20"/>
          <w:szCs w:val="20"/>
        </w:rPr>
        <w:t xml:space="preserve"> </w:t>
      </w:r>
      <w:r w:rsidRPr="00A82EB5">
        <w:rPr>
          <w:sz w:val="20"/>
          <w:szCs w:val="20"/>
        </w:rPr>
        <w:t>Obstetrics</w:t>
      </w:r>
      <w:r w:rsidR="00A82EB5">
        <w:rPr>
          <w:sz w:val="20"/>
          <w:szCs w:val="20"/>
        </w:rPr>
        <w:t xml:space="preserve"> </w:t>
      </w:r>
      <w:r w:rsidR="005D2E86" w:rsidRPr="00A82EB5">
        <w:rPr>
          <w:sz w:val="20"/>
          <w:szCs w:val="20"/>
        </w:rPr>
        <w:t>&amp;</w:t>
      </w:r>
      <w:r w:rsidR="00A82EB5">
        <w:rPr>
          <w:sz w:val="20"/>
          <w:szCs w:val="20"/>
        </w:rPr>
        <w:t xml:space="preserve"> </w:t>
      </w:r>
      <w:r w:rsidRPr="00A82EB5">
        <w:rPr>
          <w:sz w:val="20"/>
          <w:szCs w:val="20"/>
        </w:rPr>
        <w:t>Gynecology, Alazhar University hospital. The procedure and its safety were explained shortly,</w:t>
      </w:r>
      <w:r w:rsidR="00E7178C" w:rsidRPr="00A82EB5">
        <w:rPr>
          <w:sz w:val="20"/>
          <w:szCs w:val="20"/>
        </w:rPr>
        <w:t xml:space="preserve"> and</w:t>
      </w:r>
      <w:r w:rsidRPr="00A82EB5">
        <w:rPr>
          <w:sz w:val="20"/>
          <w:szCs w:val="20"/>
        </w:rPr>
        <w:t xml:space="preserve"> each woman gave verbal informed consent.</w:t>
      </w:r>
    </w:p>
    <w:p w:rsidR="00222183" w:rsidRPr="00A82EB5" w:rsidRDefault="00222183" w:rsidP="00A82EB5">
      <w:pPr>
        <w:pStyle w:val="Hh3"/>
        <w:keepNext w:val="0"/>
        <w:widowControl w:val="0"/>
        <w:snapToGrid w:val="0"/>
        <w:spacing w:after="0" w:line="240" w:lineRule="auto"/>
        <w:jc w:val="both"/>
        <w:rPr>
          <w:rFonts w:ascii="Times New Roman" w:hAnsi="Times New Roman"/>
          <w:sz w:val="20"/>
          <w:szCs w:val="20"/>
        </w:rPr>
      </w:pPr>
      <w:r w:rsidRPr="00A82EB5">
        <w:rPr>
          <w:rFonts w:ascii="Times New Roman" w:hAnsi="Times New Roman"/>
          <w:sz w:val="20"/>
          <w:szCs w:val="20"/>
        </w:rPr>
        <w:t>Ovarian hyperstimulation and IVF procedures:</w:t>
      </w:r>
    </w:p>
    <w:p w:rsidR="00A82EB5" w:rsidRDefault="00222183" w:rsidP="00A82EB5">
      <w:pPr>
        <w:pStyle w:val="B11"/>
        <w:widowControl w:val="0"/>
        <w:snapToGrid w:val="0"/>
        <w:spacing w:after="0" w:line="240" w:lineRule="auto"/>
        <w:ind w:firstLine="425"/>
        <w:jc w:val="both"/>
        <w:rPr>
          <w:sz w:val="20"/>
          <w:szCs w:val="20"/>
        </w:rPr>
      </w:pPr>
      <w:r w:rsidRPr="00A82EB5">
        <w:rPr>
          <w:sz w:val="20"/>
          <w:szCs w:val="20"/>
        </w:rPr>
        <w:t xml:space="preserve">In the first stage, on the basis of Long protocol, down regulation was performed using gonadotrophin releasing hormone agonist (GnRH-a): 0.1mg/day starting 7-8 days after estimated ovulation in the previous cycle, and on doses of 0.05 mg GnRHa/day, and then ovarian hyperstimulation was initiated with </w:t>
      </w:r>
      <w:r w:rsidRPr="00A82EB5">
        <w:rPr>
          <w:sz w:val="20"/>
          <w:szCs w:val="20"/>
        </w:rPr>
        <w:lastRenderedPageBreak/>
        <w:t>administration of human menopausal gonadotrophin (HMG): 150-225IU/day, on the 2nd day of the menstrual cycle,</w:t>
      </w:r>
      <w:r w:rsidRPr="00A82EB5">
        <w:rPr>
          <w:sz w:val="20"/>
          <w:szCs w:val="20"/>
        </w:rPr>
        <w:tab/>
        <w:t>ultrasound evidence of down regulated endometrium (&lt;5mm) was assessed on the 3rd or 4th day of the cycle. Serum E2 &lt;5</w:t>
      </w:r>
      <w:r w:rsidR="00A82EB5" w:rsidRPr="00A82EB5">
        <w:rPr>
          <w:sz w:val="20"/>
          <w:szCs w:val="20"/>
        </w:rPr>
        <w:t>0</w:t>
      </w:r>
      <w:r w:rsidR="00A82EB5">
        <w:rPr>
          <w:sz w:val="20"/>
          <w:szCs w:val="20"/>
        </w:rPr>
        <w:t>.</w:t>
      </w:r>
    </w:p>
    <w:p w:rsidR="00222183" w:rsidRPr="00A82EB5" w:rsidRDefault="00222183" w:rsidP="00A82EB5">
      <w:pPr>
        <w:pStyle w:val="B11"/>
        <w:widowControl w:val="0"/>
        <w:numPr>
          <w:ilvl w:val="0"/>
          <w:numId w:val="12"/>
        </w:numPr>
        <w:snapToGrid w:val="0"/>
        <w:spacing w:after="0" w:line="240" w:lineRule="auto"/>
        <w:ind w:left="0" w:firstLine="425"/>
        <w:jc w:val="both"/>
        <w:rPr>
          <w:sz w:val="20"/>
          <w:szCs w:val="20"/>
        </w:rPr>
      </w:pPr>
      <w:r w:rsidRPr="00A82EB5">
        <w:rPr>
          <w:sz w:val="20"/>
          <w:szCs w:val="20"/>
        </w:rPr>
        <w:t>History taking and pelvic examination were done.</w:t>
      </w:r>
    </w:p>
    <w:p w:rsidR="00222183" w:rsidRPr="00A82EB5" w:rsidRDefault="00222183" w:rsidP="00A82EB5">
      <w:pPr>
        <w:pStyle w:val="B11"/>
        <w:widowControl w:val="0"/>
        <w:numPr>
          <w:ilvl w:val="0"/>
          <w:numId w:val="12"/>
        </w:numPr>
        <w:snapToGrid w:val="0"/>
        <w:spacing w:after="0" w:line="240" w:lineRule="auto"/>
        <w:ind w:left="0" w:firstLine="425"/>
        <w:jc w:val="both"/>
        <w:rPr>
          <w:sz w:val="20"/>
          <w:szCs w:val="20"/>
        </w:rPr>
      </w:pPr>
      <w:r w:rsidRPr="00A82EB5">
        <w:rPr>
          <w:sz w:val="20"/>
          <w:szCs w:val="20"/>
        </w:rPr>
        <w:t>When there were at least two leading follicles, patients were examined after spontaneous emptying</w:t>
      </w:r>
      <w:r w:rsidR="00E10937" w:rsidRPr="00A82EB5">
        <w:rPr>
          <w:sz w:val="20"/>
          <w:szCs w:val="20"/>
        </w:rPr>
        <w:t xml:space="preserve"> </w:t>
      </w:r>
      <w:r w:rsidRPr="00A82EB5">
        <w:rPr>
          <w:sz w:val="20"/>
          <w:szCs w:val="20"/>
        </w:rPr>
        <w:t>of</w:t>
      </w:r>
      <w:r w:rsidR="00E10937" w:rsidRPr="00A82EB5">
        <w:rPr>
          <w:sz w:val="20"/>
          <w:szCs w:val="20"/>
        </w:rPr>
        <w:t xml:space="preserve"> </w:t>
      </w:r>
      <w:r w:rsidRPr="00A82EB5">
        <w:rPr>
          <w:sz w:val="20"/>
          <w:szCs w:val="20"/>
        </w:rPr>
        <w:t>the urinary bladder, lying supine with the knees slightly bent (lithotomy position) and with a small pillow under the buttocks, using a transvaginal transducer with power Doppler facility, when a longitudinal view of the</w:t>
      </w:r>
      <w:r w:rsidR="00E10937" w:rsidRPr="00A82EB5">
        <w:rPr>
          <w:sz w:val="20"/>
          <w:szCs w:val="20"/>
        </w:rPr>
        <w:t xml:space="preserve"> </w:t>
      </w:r>
      <w:r w:rsidRPr="00A82EB5">
        <w:rPr>
          <w:sz w:val="20"/>
          <w:szCs w:val="20"/>
        </w:rPr>
        <w:t>uterus</w:t>
      </w:r>
      <w:r w:rsidR="00E10937" w:rsidRPr="00A82EB5">
        <w:rPr>
          <w:sz w:val="20"/>
          <w:szCs w:val="20"/>
        </w:rPr>
        <w:t xml:space="preserve"> </w:t>
      </w:r>
      <w:r w:rsidRPr="00A82EB5">
        <w:rPr>
          <w:sz w:val="20"/>
          <w:szCs w:val="20"/>
        </w:rPr>
        <w:t>was</w:t>
      </w:r>
      <w:r w:rsidR="00E10937" w:rsidRPr="00A82EB5">
        <w:rPr>
          <w:sz w:val="20"/>
          <w:szCs w:val="20"/>
        </w:rPr>
        <w:t xml:space="preserve"> </w:t>
      </w:r>
      <w:r w:rsidRPr="00A82EB5">
        <w:rPr>
          <w:sz w:val="20"/>
          <w:szCs w:val="20"/>
        </w:rPr>
        <w:t>obtained,</w:t>
      </w:r>
      <w:r w:rsidR="00E10937" w:rsidRPr="00A82EB5">
        <w:rPr>
          <w:sz w:val="20"/>
          <w:szCs w:val="20"/>
        </w:rPr>
        <w:t xml:space="preserve"> </w:t>
      </w:r>
      <w:r w:rsidRPr="00A82EB5">
        <w:rPr>
          <w:sz w:val="20"/>
          <w:szCs w:val="20"/>
        </w:rPr>
        <w:t>the</w:t>
      </w:r>
      <w:r w:rsidR="00E10937" w:rsidRPr="00A82EB5">
        <w:rPr>
          <w:sz w:val="20"/>
          <w:szCs w:val="20"/>
        </w:rPr>
        <w:t xml:space="preserve"> </w:t>
      </w:r>
      <w:r w:rsidRPr="00A82EB5">
        <w:rPr>
          <w:sz w:val="20"/>
          <w:szCs w:val="20"/>
        </w:rPr>
        <w:t>Power</w:t>
      </w:r>
      <w:r w:rsidR="00E10937" w:rsidRPr="00A82EB5">
        <w:rPr>
          <w:sz w:val="20"/>
          <w:szCs w:val="20"/>
        </w:rPr>
        <w:t xml:space="preserve"> </w:t>
      </w:r>
      <w:r w:rsidRPr="00A82EB5">
        <w:rPr>
          <w:sz w:val="20"/>
          <w:szCs w:val="20"/>
        </w:rPr>
        <w:t>Doppler</w:t>
      </w:r>
      <w:r w:rsidR="00E10937" w:rsidRPr="00A82EB5">
        <w:rPr>
          <w:sz w:val="20"/>
          <w:szCs w:val="20"/>
        </w:rPr>
        <w:t xml:space="preserve"> </w:t>
      </w:r>
      <w:r w:rsidRPr="00A82EB5">
        <w:rPr>
          <w:sz w:val="20"/>
          <w:szCs w:val="20"/>
        </w:rPr>
        <w:t>mode</w:t>
      </w:r>
      <w:r w:rsidR="00E10937" w:rsidRPr="00A82EB5">
        <w:rPr>
          <w:sz w:val="20"/>
          <w:szCs w:val="20"/>
        </w:rPr>
        <w:t xml:space="preserve"> </w:t>
      </w:r>
      <w:r w:rsidRPr="00A82EB5">
        <w:rPr>
          <w:sz w:val="20"/>
          <w:szCs w:val="20"/>
        </w:rPr>
        <w:t>was</w:t>
      </w:r>
      <w:r w:rsidR="00E10937" w:rsidRPr="00A82EB5">
        <w:rPr>
          <w:sz w:val="20"/>
          <w:szCs w:val="20"/>
        </w:rPr>
        <w:t xml:space="preserve"> </w:t>
      </w:r>
      <w:r w:rsidRPr="00A82EB5">
        <w:rPr>
          <w:sz w:val="20"/>
          <w:szCs w:val="20"/>
        </w:rPr>
        <w:t>activated..</w:t>
      </w:r>
      <w:r w:rsidRPr="00A82EB5">
        <w:rPr>
          <w:sz w:val="20"/>
          <w:szCs w:val="20"/>
        </w:rPr>
        <w:tab/>
        <w:t>Sub- endometrial blood flow was studied.</w:t>
      </w:r>
    </w:p>
    <w:p w:rsidR="00222183" w:rsidRPr="00A82EB5" w:rsidRDefault="00222183" w:rsidP="00A82EB5">
      <w:pPr>
        <w:pStyle w:val="B11"/>
        <w:widowControl w:val="0"/>
        <w:numPr>
          <w:ilvl w:val="0"/>
          <w:numId w:val="12"/>
        </w:numPr>
        <w:snapToGrid w:val="0"/>
        <w:spacing w:after="0" w:line="240" w:lineRule="auto"/>
        <w:ind w:left="0" w:firstLine="425"/>
        <w:jc w:val="both"/>
        <w:rPr>
          <w:sz w:val="20"/>
          <w:szCs w:val="20"/>
        </w:rPr>
      </w:pPr>
      <w:r w:rsidRPr="00A82EB5">
        <w:rPr>
          <w:sz w:val="20"/>
          <w:szCs w:val="20"/>
        </w:rPr>
        <w:t>The parameters assessed were:</w:t>
      </w:r>
    </w:p>
    <w:p w:rsidR="00222183" w:rsidRPr="00A82EB5" w:rsidRDefault="00222183" w:rsidP="00A82EB5">
      <w:pPr>
        <w:pStyle w:val="B11"/>
        <w:widowControl w:val="0"/>
        <w:numPr>
          <w:ilvl w:val="1"/>
          <w:numId w:val="12"/>
        </w:numPr>
        <w:snapToGrid w:val="0"/>
        <w:spacing w:after="0" w:line="240" w:lineRule="auto"/>
        <w:ind w:left="0" w:firstLine="425"/>
        <w:jc w:val="both"/>
        <w:rPr>
          <w:sz w:val="20"/>
          <w:szCs w:val="20"/>
        </w:rPr>
      </w:pPr>
      <w:r w:rsidRPr="00A82EB5">
        <w:rPr>
          <w:sz w:val="20"/>
          <w:szCs w:val="20"/>
        </w:rPr>
        <w:t>Resistance index (RI): (S-D/S).</w:t>
      </w:r>
    </w:p>
    <w:p w:rsidR="00222183" w:rsidRPr="00A82EB5" w:rsidRDefault="00222183" w:rsidP="00A82EB5">
      <w:pPr>
        <w:pStyle w:val="B11"/>
        <w:widowControl w:val="0"/>
        <w:numPr>
          <w:ilvl w:val="1"/>
          <w:numId w:val="12"/>
        </w:numPr>
        <w:snapToGrid w:val="0"/>
        <w:spacing w:after="0" w:line="240" w:lineRule="auto"/>
        <w:ind w:left="0" w:firstLine="425"/>
        <w:jc w:val="both"/>
        <w:rPr>
          <w:sz w:val="20"/>
          <w:szCs w:val="20"/>
        </w:rPr>
      </w:pPr>
      <w:r w:rsidRPr="00A82EB5">
        <w:rPr>
          <w:sz w:val="20"/>
          <w:szCs w:val="20"/>
        </w:rPr>
        <w:t>Pulsatility index (PI): (S – D/ mean);</w:t>
      </w:r>
    </w:p>
    <w:p w:rsidR="00222183" w:rsidRPr="00A82EB5" w:rsidRDefault="00222183" w:rsidP="00A82EB5">
      <w:pPr>
        <w:pStyle w:val="B11"/>
        <w:widowControl w:val="0"/>
        <w:numPr>
          <w:ilvl w:val="1"/>
          <w:numId w:val="12"/>
        </w:numPr>
        <w:snapToGrid w:val="0"/>
        <w:spacing w:after="0" w:line="240" w:lineRule="auto"/>
        <w:ind w:left="0" w:firstLine="425"/>
        <w:jc w:val="both"/>
        <w:rPr>
          <w:sz w:val="20"/>
          <w:szCs w:val="20"/>
        </w:rPr>
      </w:pPr>
      <w:r w:rsidRPr="00A82EB5">
        <w:rPr>
          <w:sz w:val="20"/>
          <w:szCs w:val="20"/>
        </w:rPr>
        <w:t>The ratio between peak systolic flow and lowest diastolic flow (S/D).</w:t>
      </w:r>
    </w:p>
    <w:p w:rsidR="00222183" w:rsidRPr="00A82EB5" w:rsidRDefault="00222183" w:rsidP="00A82EB5">
      <w:pPr>
        <w:pStyle w:val="B11"/>
        <w:widowControl w:val="0"/>
        <w:numPr>
          <w:ilvl w:val="0"/>
          <w:numId w:val="12"/>
        </w:numPr>
        <w:snapToGrid w:val="0"/>
        <w:spacing w:after="0" w:line="240" w:lineRule="auto"/>
        <w:ind w:left="0" w:firstLine="425"/>
        <w:jc w:val="both"/>
        <w:rPr>
          <w:sz w:val="20"/>
          <w:szCs w:val="20"/>
        </w:rPr>
      </w:pPr>
      <w:r w:rsidRPr="00A82EB5">
        <w:rPr>
          <w:sz w:val="20"/>
          <w:szCs w:val="20"/>
        </w:rPr>
        <w:t>Endometrial thickness was measured.</w:t>
      </w:r>
    </w:p>
    <w:p w:rsidR="00222183" w:rsidRPr="00A82EB5" w:rsidRDefault="00222183" w:rsidP="00A82EB5">
      <w:pPr>
        <w:pStyle w:val="Hh3"/>
        <w:keepNext w:val="0"/>
        <w:widowControl w:val="0"/>
        <w:snapToGrid w:val="0"/>
        <w:spacing w:after="0" w:line="240" w:lineRule="auto"/>
        <w:jc w:val="both"/>
        <w:rPr>
          <w:rFonts w:ascii="Times New Roman" w:hAnsi="Times New Roman"/>
          <w:sz w:val="20"/>
          <w:szCs w:val="20"/>
        </w:rPr>
      </w:pPr>
      <w:r w:rsidRPr="00A82EB5">
        <w:rPr>
          <w:rFonts w:ascii="Times New Roman" w:hAnsi="Times New Roman"/>
          <w:sz w:val="20"/>
          <w:szCs w:val="20"/>
        </w:rPr>
        <w:t>Outcome</w:t>
      </w:r>
      <w:r w:rsidR="00E63DFE" w:rsidRPr="00A82EB5">
        <w:rPr>
          <w:rFonts w:ascii="Times New Roman" w:hAnsi="Times New Roman"/>
          <w:sz w:val="20"/>
          <w:szCs w:val="20"/>
        </w:rPr>
        <w:t>:</w:t>
      </w:r>
    </w:p>
    <w:p w:rsidR="00222183" w:rsidRPr="00A82EB5" w:rsidRDefault="00222183" w:rsidP="00A82EB5">
      <w:pPr>
        <w:pStyle w:val="B11"/>
        <w:widowControl w:val="0"/>
        <w:snapToGrid w:val="0"/>
        <w:spacing w:after="0" w:line="240" w:lineRule="auto"/>
        <w:ind w:firstLine="425"/>
        <w:jc w:val="both"/>
        <w:rPr>
          <w:sz w:val="20"/>
          <w:szCs w:val="20"/>
        </w:rPr>
      </w:pPr>
      <w:r w:rsidRPr="00A82EB5">
        <w:rPr>
          <w:sz w:val="20"/>
          <w:szCs w:val="20"/>
        </w:rPr>
        <w:t>Patients were divided into two groups:</w:t>
      </w:r>
    </w:p>
    <w:p w:rsidR="00222183" w:rsidRPr="00A82EB5" w:rsidRDefault="00222183" w:rsidP="00A82EB5">
      <w:pPr>
        <w:pStyle w:val="B11"/>
        <w:widowControl w:val="0"/>
        <w:numPr>
          <w:ilvl w:val="0"/>
          <w:numId w:val="13"/>
        </w:numPr>
        <w:snapToGrid w:val="0"/>
        <w:spacing w:after="0" w:line="240" w:lineRule="auto"/>
        <w:ind w:left="0" w:firstLine="425"/>
        <w:jc w:val="both"/>
        <w:rPr>
          <w:sz w:val="20"/>
          <w:szCs w:val="20"/>
        </w:rPr>
      </w:pPr>
      <w:r w:rsidRPr="00A82EB5">
        <w:rPr>
          <w:b/>
          <w:bCs/>
          <w:sz w:val="20"/>
          <w:szCs w:val="20"/>
        </w:rPr>
        <w:t>Grou</w:t>
      </w:r>
      <w:r w:rsidR="00A82EB5" w:rsidRPr="00A82EB5">
        <w:rPr>
          <w:b/>
          <w:bCs/>
          <w:sz w:val="20"/>
          <w:szCs w:val="20"/>
        </w:rPr>
        <w:t>p</w:t>
      </w:r>
      <w:r w:rsidR="00A82EB5">
        <w:rPr>
          <w:b/>
          <w:bCs/>
          <w:sz w:val="20"/>
          <w:szCs w:val="20"/>
        </w:rPr>
        <w:t xml:space="preserve"> </w:t>
      </w:r>
      <w:r w:rsidR="00A82EB5" w:rsidRPr="00A82EB5">
        <w:rPr>
          <w:b/>
          <w:bCs/>
          <w:sz w:val="20"/>
          <w:szCs w:val="20"/>
        </w:rPr>
        <w:t>A</w:t>
      </w:r>
      <w:r w:rsidRPr="00A82EB5">
        <w:rPr>
          <w:b/>
          <w:bCs/>
          <w:sz w:val="20"/>
          <w:szCs w:val="20"/>
        </w:rPr>
        <w:t>:</w:t>
      </w:r>
      <w:r w:rsidR="00E63DFE" w:rsidRPr="00A82EB5">
        <w:rPr>
          <w:sz w:val="20"/>
          <w:szCs w:val="20"/>
        </w:rPr>
        <w:t xml:space="preserve"> </w:t>
      </w:r>
      <w:r w:rsidRPr="00A82EB5">
        <w:rPr>
          <w:sz w:val="20"/>
          <w:szCs w:val="20"/>
        </w:rPr>
        <w:t>successful</w:t>
      </w:r>
      <w:r w:rsidR="00E63DFE" w:rsidRPr="00A82EB5">
        <w:rPr>
          <w:sz w:val="20"/>
          <w:szCs w:val="20"/>
        </w:rPr>
        <w:t xml:space="preserve"> </w:t>
      </w:r>
      <w:r w:rsidRPr="00A82EB5">
        <w:rPr>
          <w:sz w:val="20"/>
          <w:szCs w:val="20"/>
        </w:rPr>
        <w:t>outcome</w:t>
      </w:r>
      <w:r w:rsidR="00E63DFE" w:rsidRPr="00A82EB5">
        <w:rPr>
          <w:sz w:val="20"/>
          <w:szCs w:val="20"/>
        </w:rPr>
        <w:t xml:space="preserve"> </w:t>
      </w:r>
      <w:r w:rsidRPr="00A82EB5">
        <w:rPr>
          <w:sz w:val="20"/>
          <w:szCs w:val="20"/>
        </w:rPr>
        <w:t>(pregnancy),</w:t>
      </w:r>
      <w:r w:rsidR="00E63DFE" w:rsidRPr="00A82EB5">
        <w:rPr>
          <w:sz w:val="20"/>
          <w:szCs w:val="20"/>
        </w:rPr>
        <w:t xml:space="preserve"> </w:t>
      </w:r>
      <w:r w:rsidRPr="00A82EB5">
        <w:rPr>
          <w:sz w:val="20"/>
          <w:szCs w:val="20"/>
        </w:rPr>
        <w:t>documented</w:t>
      </w:r>
      <w:r w:rsidR="00E63DFE" w:rsidRPr="00A82EB5">
        <w:rPr>
          <w:sz w:val="20"/>
          <w:szCs w:val="20"/>
        </w:rPr>
        <w:t xml:space="preserve"> </w:t>
      </w:r>
      <w:r w:rsidRPr="00A82EB5">
        <w:rPr>
          <w:sz w:val="20"/>
          <w:szCs w:val="20"/>
        </w:rPr>
        <w:t>by</w:t>
      </w:r>
      <w:r w:rsidR="00E63DFE" w:rsidRPr="00A82EB5">
        <w:rPr>
          <w:sz w:val="20"/>
          <w:szCs w:val="20"/>
        </w:rPr>
        <w:t xml:space="preserve"> </w:t>
      </w:r>
      <w:r w:rsidRPr="00A82EB5">
        <w:rPr>
          <w:sz w:val="20"/>
          <w:szCs w:val="20"/>
        </w:rPr>
        <w:t>positive pregnancy test, documented by</w:t>
      </w:r>
      <w:r w:rsidR="00E63DFE" w:rsidRPr="00A82EB5">
        <w:rPr>
          <w:sz w:val="20"/>
          <w:szCs w:val="20"/>
        </w:rPr>
        <w:t xml:space="preserve"> </w:t>
      </w:r>
      <w:r w:rsidRPr="00A82EB5">
        <w:rPr>
          <w:sz w:val="20"/>
          <w:szCs w:val="20"/>
        </w:rPr>
        <w:t>Serum β-hCG levels measured 14 days after</w:t>
      </w:r>
      <w:r w:rsidR="00E10937" w:rsidRPr="00A82EB5">
        <w:rPr>
          <w:sz w:val="20"/>
          <w:szCs w:val="20"/>
        </w:rPr>
        <w:t xml:space="preserve"> </w:t>
      </w:r>
      <w:r w:rsidRPr="00A82EB5">
        <w:rPr>
          <w:sz w:val="20"/>
          <w:szCs w:val="20"/>
        </w:rPr>
        <w:t>embryo</w:t>
      </w:r>
      <w:r w:rsidR="00E10937" w:rsidRPr="00A82EB5">
        <w:rPr>
          <w:sz w:val="20"/>
          <w:szCs w:val="20"/>
        </w:rPr>
        <w:t xml:space="preserve"> </w:t>
      </w:r>
      <w:r w:rsidRPr="00A82EB5">
        <w:rPr>
          <w:sz w:val="20"/>
          <w:szCs w:val="20"/>
        </w:rPr>
        <w:t>transplantation</w:t>
      </w:r>
      <w:r w:rsidR="00E10937" w:rsidRPr="00A82EB5">
        <w:rPr>
          <w:sz w:val="20"/>
          <w:szCs w:val="20"/>
        </w:rPr>
        <w:t xml:space="preserve"> </w:t>
      </w:r>
      <w:r w:rsidRPr="00A82EB5">
        <w:rPr>
          <w:sz w:val="20"/>
          <w:szCs w:val="20"/>
        </w:rPr>
        <w:t>(ET),</w:t>
      </w:r>
      <w:r w:rsidR="00E10937" w:rsidRPr="00A82EB5">
        <w:rPr>
          <w:sz w:val="20"/>
          <w:szCs w:val="20"/>
        </w:rPr>
        <w:t xml:space="preserve"> </w:t>
      </w:r>
      <w:r w:rsidRPr="00A82EB5">
        <w:rPr>
          <w:sz w:val="20"/>
          <w:szCs w:val="20"/>
        </w:rPr>
        <w:t>and</w:t>
      </w:r>
      <w:r w:rsidR="00E10937" w:rsidRPr="00A82EB5">
        <w:rPr>
          <w:sz w:val="20"/>
          <w:szCs w:val="20"/>
        </w:rPr>
        <w:t xml:space="preserve"> </w:t>
      </w:r>
      <w:r w:rsidRPr="00A82EB5">
        <w:rPr>
          <w:sz w:val="20"/>
          <w:szCs w:val="20"/>
        </w:rPr>
        <w:t>ultrasound</w:t>
      </w:r>
      <w:r w:rsidR="00E10937" w:rsidRPr="00A82EB5">
        <w:rPr>
          <w:sz w:val="20"/>
          <w:szCs w:val="20"/>
        </w:rPr>
        <w:t xml:space="preserve"> </w:t>
      </w:r>
      <w:r w:rsidRPr="00A82EB5">
        <w:rPr>
          <w:sz w:val="20"/>
          <w:szCs w:val="20"/>
        </w:rPr>
        <w:t>showing</w:t>
      </w:r>
      <w:r w:rsidR="00E10937" w:rsidRPr="00A82EB5">
        <w:rPr>
          <w:sz w:val="20"/>
          <w:szCs w:val="20"/>
        </w:rPr>
        <w:t xml:space="preserve"> </w:t>
      </w:r>
      <w:r w:rsidRPr="00A82EB5">
        <w:rPr>
          <w:sz w:val="20"/>
          <w:szCs w:val="20"/>
        </w:rPr>
        <w:t>intrauterine gestational sac, six weeks following ET embryo transfer.</w:t>
      </w:r>
    </w:p>
    <w:p w:rsidR="00315ABE" w:rsidRPr="00A82EB5" w:rsidRDefault="00222183" w:rsidP="00A82EB5">
      <w:pPr>
        <w:pStyle w:val="B11"/>
        <w:widowControl w:val="0"/>
        <w:numPr>
          <w:ilvl w:val="0"/>
          <w:numId w:val="13"/>
        </w:numPr>
        <w:snapToGrid w:val="0"/>
        <w:spacing w:after="0" w:line="240" w:lineRule="auto"/>
        <w:ind w:left="0" w:firstLine="425"/>
        <w:jc w:val="both"/>
        <w:rPr>
          <w:sz w:val="20"/>
          <w:szCs w:val="20"/>
        </w:rPr>
      </w:pPr>
      <w:r w:rsidRPr="00A82EB5">
        <w:rPr>
          <w:sz w:val="20"/>
          <w:szCs w:val="20"/>
        </w:rPr>
        <w:t>Group B: failure of pregnancy, documented by a negative pregnancy test.</w:t>
      </w:r>
    </w:p>
    <w:p w:rsidR="00734F94" w:rsidRPr="00A82EB5" w:rsidRDefault="00734F94" w:rsidP="00A82EB5">
      <w:pPr>
        <w:pStyle w:val="Hh3"/>
        <w:keepNext w:val="0"/>
        <w:widowControl w:val="0"/>
        <w:snapToGrid w:val="0"/>
        <w:spacing w:after="0" w:line="240" w:lineRule="auto"/>
        <w:jc w:val="both"/>
        <w:rPr>
          <w:rFonts w:ascii="Times New Roman" w:hAnsi="Times New Roman"/>
          <w:sz w:val="20"/>
          <w:szCs w:val="20"/>
        </w:rPr>
      </w:pPr>
      <w:r w:rsidRPr="00A82EB5">
        <w:rPr>
          <w:rFonts w:ascii="Times New Roman" w:hAnsi="Times New Roman"/>
          <w:sz w:val="20"/>
          <w:szCs w:val="20"/>
        </w:rPr>
        <w:t>Statistical analysis</w:t>
      </w:r>
    </w:p>
    <w:p w:rsidR="00734F94" w:rsidRPr="00A82EB5" w:rsidRDefault="00734F94" w:rsidP="00A82EB5">
      <w:pPr>
        <w:pStyle w:val="Bb"/>
        <w:widowControl w:val="0"/>
        <w:snapToGrid w:val="0"/>
        <w:spacing w:after="0" w:line="240" w:lineRule="auto"/>
        <w:ind w:firstLine="425"/>
        <w:jc w:val="both"/>
        <w:rPr>
          <w:sz w:val="20"/>
          <w:szCs w:val="20"/>
        </w:rPr>
      </w:pPr>
      <w:r w:rsidRPr="00A82EB5">
        <w:rPr>
          <w:sz w:val="20"/>
          <w:szCs w:val="20"/>
        </w:rPr>
        <w:t xml:space="preserve">Data were entered checked and analyzed using Epi-Info version 6 and SPP for Windows version 8 </w:t>
      </w:r>
      <w:r w:rsidRPr="00A82EB5">
        <w:rPr>
          <w:rStyle w:val="ref"/>
          <w:sz w:val="20"/>
          <w:szCs w:val="20"/>
        </w:rPr>
        <w:t>(Dean, 2006)</w:t>
      </w:r>
      <w:r w:rsidRPr="00A82EB5">
        <w:rPr>
          <w:sz w:val="20"/>
          <w:szCs w:val="20"/>
        </w:rPr>
        <w:t>.</w:t>
      </w:r>
    </w:p>
    <w:p w:rsidR="00734F94" w:rsidRPr="00A82EB5" w:rsidRDefault="00734F94" w:rsidP="00A82EB5">
      <w:pPr>
        <w:pStyle w:val="Bb"/>
        <w:widowControl w:val="0"/>
        <w:snapToGrid w:val="0"/>
        <w:spacing w:after="0" w:line="240" w:lineRule="auto"/>
        <w:ind w:firstLine="425"/>
        <w:jc w:val="both"/>
        <w:rPr>
          <w:sz w:val="20"/>
          <w:szCs w:val="20"/>
        </w:rPr>
      </w:pPr>
      <w:r w:rsidRPr="00A82EB5">
        <w:rPr>
          <w:sz w:val="20"/>
          <w:szCs w:val="20"/>
        </w:rPr>
        <w:t>Data were summarized using:</w:t>
      </w:r>
    </w:p>
    <w:p w:rsidR="00734F94" w:rsidRPr="00A82EB5" w:rsidRDefault="00734F94" w:rsidP="00A82EB5">
      <w:pPr>
        <w:pStyle w:val="Hh3"/>
        <w:keepNext w:val="0"/>
        <w:widowControl w:val="0"/>
        <w:snapToGrid w:val="0"/>
        <w:spacing w:after="0" w:line="240" w:lineRule="auto"/>
        <w:jc w:val="both"/>
        <w:rPr>
          <w:rFonts w:ascii="Times New Roman" w:hAnsi="Times New Roman"/>
          <w:sz w:val="20"/>
          <w:szCs w:val="20"/>
        </w:rPr>
      </w:pPr>
      <w:r w:rsidRPr="00A82EB5">
        <w:rPr>
          <w:rFonts w:ascii="Times New Roman" w:hAnsi="Times New Roman"/>
          <w:sz w:val="20"/>
          <w:szCs w:val="20"/>
        </w:rPr>
        <w:t>The arithmetic mean:</w:t>
      </w:r>
    </w:p>
    <w:p w:rsidR="00734F94" w:rsidRPr="00A82EB5" w:rsidRDefault="00734F94" w:rsidP="00A82EB5">
      <w:pPr>
        <w:pStyle w:val="Bb"/>
        <w:widowControl w:val="0"/>
        <w:snapToGrid w:val="0"/>
        <w:spacing w:after="0" w:line="240" w:lineRule="auto"/>
        <w:ind w:firstLine="425"/>
        <w:jc w:val="both"/>
        <w:rPr>
          <w:sz w:val="20"/>
          <w:szCs w:val="20"/>
        </w:rPr>
      </w:pPr>
      <w:r w:rsidRPr="00A82EB5">
        <w:rPr>
          <w:sz w:val="20"/>
          <w:szCs w:val="20"/>
        </w:rPr>
        <w:t>As an average describing the central tendency of observations:</w:t>
      </w:r>
    </w:p>
    <w:p w:rsidR="00734F94" w:rsidRPr="00A82EB5" w:rsidRDefault="00A82EB5" w:rsidP="00A82EB5">
      <w:pPr>
        <w:widowControl w:val="0"/>
        <w:bidi w:val="0"/>
        <w:snapToGrid w:val="0"/>
        <w:jc w:val="center"/>
        <w:rPr>
          <w:sz w:val="20"/>
        </w:rPr>
      </w:pPr>
      <w:r w:rsidRPr="00A82EB5">
        <w:rPr>
          <w:sz w:val="20"/>
        </w:rPr>
        <w:object w:dxaOrig="9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5pt;height:25.05pt" o:ole="" fillcolor="window">
            <v:imagedata r:id="rId15" o:title=""/>
          </v:shape>
          <o:OLEObject Type="Embed" ProgID="Equation.3" ShapeID="_x0000_i1025" DrawAspect="Content" ObjectID="_1563990988" r:id="rId16"/>
        </w:object>
      </w:r>
    </w:p>
    <w:p w:rsidR="00734F94" w:rsidRPr="00A82EB5" w:rsidRDefault="00734F94" w:rsidP="00A82EB5">
      <w:pPr>
        <w:pStyle w:val="Bb"/>
        <w:widowControl w:val="0"/>
        <w:snapToGrid w:val="0"/>
        <w:spacing w:after="0" w:line="240" w:lineRule="auto"/>
        <w:ind w:firstLine="425"/>
        <w:jc w:val="both"/>
        <w:rPr>
          <w:sz w:val="20"/>
          <w:szCs w:val="20"/>
        </w:rPr>
      </w:pPr>
      <w:r w:rsidRPr="00A82EB5">
        <w:rPr>
          <w:sz w:val="20"/>
          <w:szCs w:val="20"/>
        </w:rPr>
        <w:t>Where:</w:t>
      </w:r>
    </w:p>
    <w:p w:rsidR="00734F94" w:rsidRPr="00A82EB5" w:rsidRDefault="00734F94" w:rsidP="00A82EB5">
      <w:pPr>
        <w:pStyle w:val="Bb"/>
        <w:widowControl w:val="0"/>
        <w:snapToGrid w:val="0"/>
        <w:spacing w:after="0" w:line="240" w:lineRule="auto"/>
        <w:ind w:firstLine="425"/>
        <w:jc w:val="both"/>
        <w:rPr>
          <w:sz w:val="20"/>
          <w:szCs w:val="20"/>
        </w:rPr>
      </w:pPr>
      <w:r w:rsidRPr="00A82EB5">
        <w:rPr>
          <w:sz w:val="20"/>
          <w:szCs w:val="20"/>
        </w:rPr>
        <w:sym w:font="Symbol" w:char="F053"/>
      </w:r>
      <w:r w:rsidRPr="00A82EB5">
        <w:rPr>
          <w:sz w:val="20"/>
          <w:szCs w:val="20"/>
        </w:rPr>
        <w:t xml:space="preserve"> = Sum of</w:t>
      </w:r>
    </w:p>
    <w:p w:rsidR="00734F94" w:rsidRPr="00A82EB5" w:rsidRDefault="00734F94" w:rsidP="00A82EB5">
      <w:pPr>
        <w:pStyle w:val="Bb"/>
        <w:widowControl w:val="0"/>
        <w:snapToGrid w:val="0"/>
        <w:spacing w:after="0" w:line="240" w:lineRule="auto"/>
        <w:ind w:firstLine="425"/>
        <w:jc w:val="both"/>
        <w:rPr>
          <w:sz w:val="20"/>
          <w:szCs w:val="20"/>
        </w:rPr>
      </w:pPr>
      <w:r w:rsidRPr="00A82EB5">
        <w:rPr>
          <w:sz w:val="20"/>
          <w:szCs w:val="20"/>
        </w:rPr>
        <w:t>X = Individual data</w:t>
      </w:r>
    </w:p>
    <w:p w:rsidR="00734F94" w:rsidRPr="00A82EB5" w:rsidRDefault="00734F94" w:rsidP="00A82EB5">
      <w:pPr>
        <w:pStyle w:val="Bb"/>
        <w:widowControl w:val="0"/>
        <w:snapToGrid w:val="0"/>
        <w:spacing w:after="0" w:line="240" w:lineRule="auto"/>
        <w:ind w:firstLine="425"/>
        <w:jc w:val="both"/>
        <w:rPr>
          <w:sz w:val="20"/>
          <w:szCs w:val="20"/>
        </w:rPr>
      </w:pPr>
      <w:r w:rsidRPr="00A82EB5">
        <w:rPr>
          <w:sz w:val="20"/>
          <w:szCs w:val="20"/>
        </w:rPr>
        <w:t>n = Number of individual data</w:t>
      </w:r>
    </w:p>
    <w:p w:rsidR="00734F94" w:rsidRPr="00A82EB5" w:rsidRDefault="00734F94" w:rsidP="00A82EB5">
      <w:pPr>
        <w:pStyle w:val="Hh3"/>
        <w:keepNext w:val="0"/>
        <w:widowControl w:val="0"/>
        <w:snapToGrid w:val="0"/>
        <w:spacing w:after="0" w:line="240" w:lineRule="auto"/>
        <w:jc w:val="both"/>
        <w:rPr>
          <w:rFonts w:ascii="Times New Roman" w:hAnsi="Times New Roman"/>
          <w:sz w:val="20"/>
          <w:szCs w:val="20"/>
        </w:rPr>
      </w:pPr>
      <w:r w:rsidRPr="00A82EB5">
        <w:rPr>
          <w:rFonts w:ascii="Times New Roman" w:hAnsi="Times New Roman"/>
          <w:sz w:val="20"/>
          <w:szCs w:val="20"/>
        </w:rPr>
        <w:t>The Standard Deviation (SD):</w:t>
      </w:r>
    </w:p>
    <w:p w:rsidR="00734F94" w:rsidRPr="00A82EB5" w:rsidRDefault="00734F94" w:rsidP="00A82EB5">
      <w:pPr>
        <w:pStyle w:val="Bb"/>
        <w:widowControl w:val="0"/>
        <w:snapToGrid w:val="0"/>
        <w:spacing w:after="0" w:line="240" w:lineRule="auto"/>
        <w:ind w:firstLine="425"/>
        <w:jc w:val="both"/>
        <w:rPr>
          <w:sz w:val="20"/>
          <w:szCs w:val="20"/>
        </w:rPr>
      </w:pPr>
      <w:r w:rsidRPr="00A82EB5">
        <w:rPr>
          <w:sz w:val="20"/>
          <w:szCs w:val="20"/>
        </w:rPr>
        <w:t>As</w:t>
      </w:r>
      <w:r w:rsidRPr="00A82EB5">
        <w:rPr>
          <w:b/>
          <w:bCs/>
          <w:sz w:val="20"/>
          <w:szCs w:val="20"/>
        </w:rPr>
        <w:t xml:space="preserve"> </w:t>
      </w:r>
      <w:r w:rsidRPr="00A82EB5">
        <w:rPr>
          <w:sz w:val="20"/>
          <w:szCs w:val="20"/>
        </w:rPr>
        <w:t>a measure of dispersion of the results around the mean:</w:t>
      </w:r>
    </w:p>
    <w:p w:rsidR="00734F94" w:rsidRPr="00A82EB5" w:rsidRDefault="00A82EB5" w:rsidP="00A82EB5">
      <w:pPr>
        <w:widowControl w:val="0"/>
        <w:bidi w:val="0"/>
        <w:snapToGrid w:val="0"/>
        <w:jc w:val="center"/>
        <w:rPr>
          <w:sz w:val="20"/>
        </w:rPr>
      </w:pPr>
      <w:r w:rsidRPr="00A82EB5">
        <w:rPr>
          <w:sz w:val="20"/>
        </w:rPr>
        <w:object w:dxaOrig="2160" w:dyaOrig="840">
          <v:shape id="_x0000_i1026" type="#_x0000_t75" style="width:85.15pt;height:33.2pt" o:ole="" fillcolor="window">
            <v:imagedata r:id="rId17" o:title=""/>
          </v:shape>
          <o:OLEObject Type="Embed" ProgID="Equation.3" ShapeID="_x0000_i1026" DrawAspect="Content" ObjectID="_1563990989" r:id="rId18"/>
        </w:object>
      </w:r>
    </w:p>
    <w:p w:rsidR="00734F94" w:rsidRPr="00A82EB5" w:rsidRDefault="00734F94" w:rsidP="00A82EB5">
      <w:pPr>
        <w:pStyle w:val="Hh3"/>
        <w:keepNext w:val="0"/>
        <w:widowControl w:val="0"/>
        <w:snapToGrid w:val="0"/>
        <w:spacing w:after="0" w:line="240" w:lineRule="auto"/>
        <w:jc w:val="both"/>
        <w:rPr>
          <w:rStyle w:val="4Heading4CharChar"/>
          <w:rFonts w:ascii="Times New Roman" w:hAnsi="Times New Roman"/>
          <w:i w:val="0"/>
          <w:iCs/>
          <w:sz w:val="20"/>
          <w:szCs w:val="20"/>
        </w:rPr>
      </w:pPr>
      <w:r w:rsidRPr="00A82EB5">
        <w:rPr>
          <w:rStyle w:val="4Heading4CharChar"/>
          <w:rFonts w:ascii="Times New Roman" w:hAnsi="Times New Roman"/>
          <w:i w:val="0"/>
          <w:iCs/>
          <w:sz w:val="20"/>
          <w:szCs w:val="20"/>
        </w:rPr>
        <w:t>Student t test:</w:t>
      </w:r>
    </w:p>
    <w:p w:rsidR="00734F94" w:rsidRPr="00A82EB5" w:rsidRDefault="00734F94" w:rsidP="00A82EB5">
      <w:pPr>
        <w:pStyle w:val="Bb"/>
        <w:widowControl w:val="0"/>
        <w:snapToGrid w:val="0"/>
        <w:spacing w:after="0" w:line="240" w:lineRule="auto"/>
        <w:ind w:firstLine="425"/>
        <w:jc w:val="both"/>
        <w:rPr>
          <w:sz w:val="20"/>
          <w:szCs w:val="20"/>
        </w:rPr>
      </w:pPr>
      <w:r w:rsidRPr="00A82EB5">
        <w:rPr>
          <w:sz w:val="20"/>
          <w:szCs w:val="20"/>
        </w:rPr>
        <w:t>It was used when comparing two means.</w:t>
      </w:r>
    </w:p>
    <w:p w:rsidR="00734F94" w:rsidRPr="00A82EB5" w:rsidRDefault="00A82EB5" w:rsidP="00A82EB5">
      <w:pPr>
        <w:widowControl w:val="0"/>
        <w:autoSpaceDE w:val="0"/>
        <w:autoSpaceDN w:val="0"/>
        <w:bidi w:val="0"/>
        <w:adjustRightInd w:val="0"/>
        <w:snapToGrid w:val="0"/>
        <w:jc w:val="center"/>
        <w:rPr>
          <w:color w:val="000000"/>
          <w:sz w:val="20"/>
        </w:rPr>
      </w:pPr>
      <w:r w:rsidRPr="00A82EB5">
        <w:rPr>
          <w:color w:val="000000"/>
          <w:sz w:val="20"/>
        </w:rPr>
        <w:object w:dxaOrig="1920" w:dyaOrig="1520">
          <v:shape id="_x0000_i1027" type="#_x0000_t75" style="width:62.6pt;height:49.45pt" o:ole="">
            <v:imagedata r:id="rId19" o:title=""/>
          </v:shape>
          <o:OLEObject Type="Embed" ProgID="Equation.3" ShapeID="_x0000_i1027" DrawAspect="Content" ObjectID="_1563990990" r:id="rId20"/>
        </w:object>
      </w:r>
    </w:p>
    <w:p w:rsidR="00734F94" w:rsidRPr="00A82EB5" w:rsidRDefault="00734F94" w:rsidP="00A82EB5">
      <w:pPr>
        <w:pStyle w:val="Bb"/>
        <w:widowControl w:val="0"/>
        <w:snapToGrid w:val="0"/>
        <w:spacing w:after="0" w:line="240" w:lineRule="auto"/>
        <w:ind w:firstLine="425"/>
        <w:jc w:val="both"/>
        <w:rPr>
          <w:sz w:val="20"/>
          <w:szCs w:val="20"/>
        </w:rPr>
      </w:pPr>
      <w:r w:rsidRPr="00A82EB5">
        <w:rPr>
          <w:sz w:val="20"/>
          <w:szCs w:val="20"/>
        </w:rPr>
        <w:object w:dxaOrig="220" w:dyaOrig="440">
          <v:shape id="_x0000_i1028" type="#_x0000_t75" style="width:11.25pt;height:21.9pt" o:ole="" o:bullet="t">
            <v:imagedata r:id="rId21" o:title=""/>
          </v:shape>
          <o:OLEObject Type="Embed" ProgID="Equation.3" ShapeID="_x0000_i1028" DrawAspect="Content" ObjectID="_1563990991" r:id="rId22"/>
        </w:object>
      </w:r>
      <w:r w:rsidRPr="00A82EB5">
        <w:rPr>
          <w:sz w:val="20"/>
          <w:szCs w:val="20"/>
          <w:vertAlign w:val="subscript"/>
        </w:rPr>
        <w:t>1</w:t>
      </w:r>
      <w:r w:rsidR="00E10937" w:rsidRPr="00A82EB5">
        <w:rPr>
          <w:sz w:val="20"/>
          <w:szCs w:val="20"/>
        </w:rPr>
        <w:t xml:space="preserve"> </w:t>
      </w:r>
      <w:r w:rsidRPr="00A82EB5">
        <w:rPr>
          <w:sz w:val="20"/>
          <w:szCs w:val="20"/>
        </w:rPr>
        <w:t>= Mean of group I</w:t>
      </w:r>
    </w:p>
    <w:p w:rsidR="00734F94" w:rsidRPr="00A82EB5" w:rsidRDefault="00734F94" w:rsidP="00A82EB5">
      <w:pPr>
        <w:pStyle w:val="Bb"/>
        <w:widowControl w:val="0"/>
        <w:snapToGrid w:val="0"/>
        <w:spacing w:after="0" w:line="240" w:lineRule="auto"/>
        <w:ind w:firstLine="425"/>
        <w:jc w:val="both"/>
        <w:rPr>
          <w:sz w:val="20"/>
          <w:szCs w:val="20"/>
        </w:rPr>
      </w:pPr>
      <w:r w:rsidRPr="00A82EB5">
        <w:rPr>
          <w:sz w:val="20"/>
          <w:szCs w:val="20"/>
        </w:rPr>
        <w:object w:dxaOrig="220" w:dyaOrig="440">
          <v:shape id="_x0000_i1029" type="#_x0000_t75" style="width:11.25pt;height:21.9pt" o:ole="" o:bullet="t">
            <v:imagedata r:id="rId21" o:title=""/>
          </v:shape>
          <o:OLEObject Type="Embed" ProgID="Equation.3" ShapeID="_x0000_i1029" DrawAspect="Content" ObjectID="_1563990992" r:id="rId23"/>
        </w:object>
      </w:r>
      <w:r w:rsidRPr="00A82EB5">
        <w:rPr>
          <w:sz w:val="20"/>
          <w:szCs w:val="20"/>
          <w:vertAlign w:val="subscript"/>
        </w:rPr>
        <w:t>2</w:t>
      </w:r>
      <w:r w:rsidRPr="00A82EB5">
        <w:rPr>
          <w:sz w:val="20"/>
          <w:szCs w:val="20"/>
        </w:rPr>
        <w:t xml:space="preserve"> = mean of group II</w:t>
      </w:r>
    </w:p>
    <w:p w:rsidR="00734F94" w:rsidRPr="00A82EB5" w:rsidRDefault="00734F94" w:rsidP="00A82EB5">
      <w:pPr>
        <w:pStyle w:val="Bb"/>
        <w:widowControl w:val="0"/>
        <w:snapToGrid w:val="0"/>
        <w:spacing w:after="0" w:line="240" w:lineRule="auto"/>
        <w:ind w:firstLine="425"/>
        <w:jc w:val="both"/>
        <w:rPr>
          <w:sz w:val="20"/>
          <w:szCs w:val="20"/>
        </w:rPr>
      </w:pPr>
      <w:r w:rsidRPr="00A82EB5">
        <w:rPr>
          <w:sz w:val="20"/>
          <w:szCs w:val="20"/>
        </w:rPr>
        <w:t>SD</w:t>
      </w:r>
      <w:r w:rsidRPr="00A82EB5">
        <w:rPr>
          <w:sz w:val="20"/>
          <w:szCs w:val="20"/>
          <w:vertAlign w:val="subscript"/>
        </w:rPr>
        <w:t>1</w:t>
      </w:r>
      <w:r w:rsidRPr="00A82EB5">
        <w:rPr>
          <w:sz w:val="20"/>
          <w:szCs w:val="20"/>
        </w:rPr>
        <w:t xml:space="preserve"> and SD</w:t>
      </w:r>
      <w:r w:rsidRPr="00A82EB5">
        <w:rPr>
          <w:sz w:val="20"/>
          <w:szCs w:val="20"/>
          <w:vertAlign w:val="subscript"/>
        </w:rPr>
        <w:t>2</w:t>
      </w:r>
      <w:r w:rsidRPr="00A82EB5">
        <w:rPr>
          <w:sz w:val="20"/>
          <w:szCs w:val="20"/>
        </w:rPr>
        <w:t xml:space="preserve"> = the corresponding standard deviation.</w:t>
      </w:r>
    </w:p>
    <w:p w:rsidR="00734F94" w:rsidRPr="00A82EB5" w:rsidRDefault="00734F94" w:rsidP="00A82EB5">
      <w:pPr>
        <w:pStyle w:val="Bb"/>
        <w:widowControl w:val="0"/>
        <w:snapToGrid w:val="0"/>
        <w:spacing w:after="0" w:line="240" w:lineRule="auto"/>
        <w:ind w:firstLine="425"/>
        <w:jc w:val="both"/>
        <w:rPr>
          <w:color w:val="000000"/>
          <w:sz w:val="20"/>
          <w:szCs w:val="20"/>
        </w:rPr>
      </w:pPr>
      <w:r w:rsidRPr="00A82EB5">
        <w:rPr>
          <w:color w:val="000000"/>
          <w:sz w:val="20"/>
          <w:szCs w:val="20"/>
        </w:rPr>
        <w:t>n</w:t>
      </w:r>
      <w:r w:rsidRPr="00A82EB5">
        <w:rPr>
          <w:color w:val="000000"/>
          <w:sz w:val="20"/>
          <w:szCs w:val="20"/>
          <w:vertAlign w:val="subscript"/>
        </w:rPr>
        <w:t>1</w:t>
      </w:r>
      <w:r w:rsidRPr="00A82EB5">
        <w:rPr>
          <w:color w:val="000000"/>
          <w:sz w:val="20"/>
          <w:szCs w:val="20"/>
        </w:rPr>
        <w:t xml:space="preserve"> and n</w:t>
      </w:r>
      <w:r w:rsidRPr="00A82EB5">
        <w:rPr>
          <w:color w:val="000000"/>
          <w:sz w:val="20"/>
          <w:szCs w:val="20"/>
          <w:vertAlign w:val="subscript"/>
        </w:rPr>
        <w:t>2</w:t>
      </w:r>
      <w:r w:rsidRPr="00A82EB5">
        <w:rPr>
          <w:color w:val="000000"/>
          <w:sz w:val="20"/>
          <w:szCs w:val="20"/>
        </w:rPr>
        <w:t xml:space="preserve"> = Number of observation in group I and group II respectively.</w:t>
      </w:r>
    </w:p>
    <w:p w:rsidR="00734F94" w:rsidRPr="00A82EB5" w:rsidRDefault="00734F94" w:rsidP="00A82EB5">
      <w:pPr>
        <w:pStyle w:val="Bb"/>
        <w:widowControl w:val="0"/>
        <w:snapToGrid w:val="0"/>
        <w:spacing w:after="0" w:line="240" w:lineRule="auto"/>
        <w:ind w:firstLine="425"/>
        <w:jc w:val="both"/>
        <w:rPr>
          <w:color w:val="000000"/>
          <w:sz w:val="20"/>
          <w:szCs w:val="20"/>
        </w:rPr>
      </w:pPr>
      <w:r w:rsidRPr="00A82EB5">
        <w:rPr>
          <w:b/>
          <w:bCs/>
          <w:color w:val="000000"/>
          <w:sz w:val="20"/>
          <w:szCs w:val="20"/>
        </w:rPr>
        <w:t>NB:</w:t>
      </w:r>
      <w:r w:rsidRPr="00A82EB5">
        <w:rPr>
          <w:color w:val="000000"/>
          <w:sz w:val="20"/>
          <w:szCs w:val="20"/>
        </w:rPr>
        <w:t xml:space="preserve"> Paired t test was used for comparison of paired observation.</w:t>
      </w:r>
    </w:p>
    <w:p w:rsidR="00734F94" w:rsidRPr="00A82EB5" w:rsidRDefault="00734F94" w:rsidP="00A82EB5">
      <w:pPr>
        <w:pStyle w:val="Hh3"/>
        <w:keepNext w:val="0"/>
        <w:widowControl w:val="0"/>
        <w:snapToGrid w:val="0"/>
        <w:spacing w:after="0" w:line="240" w:lineRule="auto"/>
        <w:jc w:val="both"/>
        <w:rPr>
          <w:rFonts w:ascii="Times New Roman" w:hAnsi="Times New Roman"/>
          <w:sz w:val="20"/>
          <w:szCs w:val="20"/>
        </w:rPr>
      </w:pPr>
      <w:r w:rsidRPr="00A82EB5">
        <w:rPr>
          <w:rFonts w:ascii="Times New Roman" w:hAnsi="Times New Roman"/>
          <w:sz w:val="20"/>
          <w:szCs w:val="20"/>
        </w:rPr>
        <w:t>X</w:t>
      </w:r>
      <w:r w:rsidRPr="00A82EB5">
        <w:rPr>
          <w:rFonts w:ascii="Times New Roman" w:hAnsi="Times New Roman"/>
          <w:sz w:val="20"/>
          <w:szCs w:val="20"/>
          <w:vertAlign w:val="superscript"/>
        </w:rPr>
        <w:t>2</w:t>
      </w:r>
      <w:r w:rsidRPr="00A82EB5">
        <w:rPr>
          <w:rFonts w:ascii="Times New Roman" w:hAnsi="Times New Roman"/>
          <w:sz w:val="20"/>
          <w:szCs w:val="20"/>
        </w:rPr>
        <w:t xml:space="preserve"> (chi-squared) (test of significance):</w:t>
      </w:r>
    </w:p>
    <w:p w:rsidR="005D2E86" w:rsidRPr="00A82EB5" w:rsidRDefault="005D2E86" w:rsidP="00A82EB5">
      <w:pPr>
        <w:bidi w:val="0"/>
        <w:snapToGrid w:val="0"/>
        <w:ind w:firstLine="425"/>
        <w:jc w:val="both"/>
        <w:rPr>
          <w:sz w:val="20"/>
        </w:rPr>
      </w:pPr>
      <w:r w:rsidRPr="00A82EB5">
        <w:rPr>
          <w:sz w:val="20"/>
        </w:rPr>
        <w:sym w:font="Symbol" w:char="F053"/>
      </w:r>
      <w:r w:rsidRPr="00A82EB5">
        <w:rPr>
          <w:sz w:val="20"/>
        </w:rPr>
        <w:t xml:space="preserve"> =</w:t>
      </w:r>
      <w:r w:rsidR="004B2AA2" w:rsidRPr="00A82EB5">
        <w:rPr>
          <w:sz w:val="20"/>
        </w:rPr>
        <w:fldChar w:fldCharType="begin"/>
      </w:r>
      <w:r w:rsidRPr="00A82EB5">
        <w:rPr>
          <w:sz w:val="20"/>
        </w:rPr>
        <w:instrText xml:space="preserve"> QUOTE </w:instrText>
      </w:r>
      <w:r w:rsidR="00C9296E" w:rsidRPr="004B2AA2">
        <w:rPr>
          <w:sz w:val="20"/>
        </w:rPr>
        <w:pict>
          <v:shape id="_x0000_i1030" type="#_x0000_t75" style="width:25.05pt;height:18.8pt" equationxml="&lt;">
            <v:imagedata r:id="rId24" o:title="" chromakey="white"/>
          </v:shape>
        </w:pict>
      </w:r>
      <w:r w:rsidRPr="00A82EB5">
        <w:rPr>
          <w:sz w:val="20"/>
        </w:rPr>
        <w:instrText xml:space="preserve"> </w:instrText>
      </w:r>
      <w:r w:rsidR="004B2AA2" w:rsidRPr="00A82EB5">
        <w:rPr>
          <w:sz w:val="20"/>
        </w:rPr>
        <w:fldChar w:fldCharType="separate"/>
      </w:r>
      <w:r w:rsidR="00C9296E" w:rsidRPr="004B2AA2">
        <w:rPr>
          <w:sz w:val="20"/>
        </w:rPr>
        <w:pict>
          <v:shape id="_x0000_i1031" type="#_x0000_t75" style="width:25.05pt;height:18.8pt" equationxml="&lt;">
            <v:imagedata r:id="rId24" o:title="" chromakey="white"/>
          </v:shape>
        </w:pict>
      </w:r>
      <w:r w:rsidR="004B2AA2" w:rsidRPr="00A82EB5">
        <w:rPr>
          <w:sz w:val="20"/>
        </w:rPr>
        <w:fldChar w:fldCharType="end"/>
      </w:r>
    </w:p>
    <w:p w:rsidR="00734F94" w:rsidRPr="00A82EB5" w:rsidRDefault="00734F94" w:rsidP="00A82EB5">
      <w:pPr>
        <w:pStyle w:val="Bb"/>
        <w:widowControl w:val="0"/>
        <w:snapToGrid w:val="0"/>
        <w:spacing w:after="0" w:line="240" w:lineRule="auto"/>
        <w:ind w:firstLine="425"/>
        <w:jc w:val="both"/>
        <w:rPr>
          <w:sz w:val="20"/>
          <w:szCs w:val="20"/>
        </w:rPr>
      </w:pPr>
      <w:r w:rsidRPr="00A82EB5">
        <w:rPr>
          <w:sz w:val="20"/>
          <w:szCs w:val="20"/>
        </w:rPr>
        <w:t>It is used for difference between two or more qualitative variable.</w:t>
      </w:r>
    </w:p>
    <w:p w:rsidR="00734F94" w:rsidRPr="00A82EB5" w:rsidRDefault="00734F94" w:rsidP="00A82EB5">
      <w:pPr>
        <w:pStyle w:val="Bb"/>
        <w:widowControl w:val="0"/>
        <w:snapToGrid w:val="0"/>
        <w:spacing w:after="0" w:line="240" w:lineRule="auto"/>
        <w:ind w:firstLine="425"/>
        <w:jc w:val="both"/>
        <w:rPr>
          <w:sz w:val="20"/>
          <w:szCs w:val="20"/>
        </w:rPr>
      </w:pPr>
      <w:r w:rsidRPr="00A82EB5">
        <w:rPr>
          <w:sz w:val="20"/>
          <w:szCs w:val="20"/>
        </w:rPr>
        <w:t>DF = (r – 1) (c – 1)</w:t>
      </w:r>
    </w:p>
    <w:p w:rsidR="00734F94" w:rsidRPr="00A82EB5" w:rsidRDefault="00734F94" w:rsidP="00A82EB5">
      <w:pPr>
        <w:pStyle w:val="Bb"/>
        <w:widowControl w:val="0"/>
        <w:snapToGrid w:val="0"/>
        <w:spacing w:after="0" w:line="240" w:lineRule="auto"/>
        <w:ind w:firstLine="425"/>
        <w:jc w:val="both"/>
        <w:rPr>
          <w:i/>
          <w:iCs/>
          <w:sz w:val="20"/>
          <w:szCs w:val="20"/>
        </w:rPr>
      </w:pPr>
      <w:r w:rsidRPr="00A82EB5">
        <w:rPr>
          <w:i/>
          <w:iCs/>
          <w:sz w:val="20"/>
          <w:szCs w:val="20"/>
        </w:rPr>
        <w:t>Where,</w:t>
      </w:r>
    </w:p>
    <w:p w:rsidR="00734F94" w:rsidRPr="00A82EB5" w:rsidRDefault="00734F94" w:rsidP="00A82EB5">
      <w:pPr>
        <w:pStyle w:val="Bb"/>
        <w:widowControl w:val="0"/>
        <w:snapToGrid w:val="0"/>
        <w:spacing w:after="0" w:line="240" w:lineRule="auto"/>
        <w:ind w:firstLine="425"/>
        <w:jc w:val="both"/>
        <w:rPr>
          <w:sz w:val="20"/>
          <w:szCs w:val="20"/>
        </w:rPr>
      </w:pPr>
      <w:r w:rsidRPr="00A82EB5">
        <w:rPr>
          <w:sz w:val="20"/>
          <w:szCs w:val="20"/>
        </w:rPr>
        <w:sym w:font="Symbol" w:char="F053"/>
      </w:r>
      <w:r w:rsidRPr="00A82EB5">
        <w:rPr>
          <w:sz w:val="20"/>
          <w:szCs w:val="20"/>
        </w:rPr>
        <w:t xml:space="preserve"> = The summation</w:t>
      </w:r>
    </w:p>
    <w:p w:rsidR="00734F94" w:rsidRPr="00A82EB5" w:rsidRDefault="00734F94" w:rsidP="00A82EB5">
      <w:pPr>
        <w:pStyle w:val="Bb"/>
        <w:widowControl w:val="0"/>
        <w:snapToGrid w:val="0"/>
        <w:spacing w:after="0" w:line="240" w:lineRule="auto"/>
        <w:ind w:firstLine="425"/>
        <w:jc w:val="both"/>
        <w:rPr>
          <w:sz w:val="20"/>
          <w:szCs w:val="20"/>
        </w:rPr>
      </w:pPr>
      <w:r w:rsidRPr="00A82EB5">
        <w:rPr>
          <w:sz w:val="20"/>
          <w:szCs w:val="20"/>
        </w:rPr>
        <w:t>O = Observed value</w:t>
      </w:r>
    </w:p>
    <w:p w:rsidR="00734F94" w:rsidRPr="00A82EB5" w:rsidRDefault="00734F94" w:rsidP="00A82EB5">
      <w:pPr>
        <w:pStyle w:val="Bb"/>
        <w:widowControl w:val="0"/>
        <w:snapToGrid w:val="0"/>
        <w:spacing w:after="0" w:line="240" w:lineRule="auto"/>
        <w:ind w:firstLine="425"/>
        <w:jc w:val="both"/>
        <w:rPr>
          <w:sz w:val="20"/>
          <w:szCs w:val="20"/>
        </w:rPr>
      </w:pPr>
      <w:r w:rsidRPr="00A82EB5">
        <w:rPr>
          <w:sz w:val="20"/>
          <w:szCs w:val="20"/>
        </w:rPr>
        <w:t>E = Expected value =</w:t>
      </w:r>
    </w:p>
    <w:p w:rsidR="00734F94" w:rsidRPr="00A82EB5" w:rsidRDefault="00734F94" w:rsidP="00A82EB5">
      <w:pPr>
        <w:pStyle w:val="Bb"/>
        <w:widowControl w:val="0"/>
        <w:snapToGrid w:val="0"/>
        <w:spacing w:after="0" w:line="240" w:lineRule="auto"/>
        <w:ind w:firstLine="425"/>
        <w:jc w:val="both"/>
        <w:rPr>
          <w:sz w:val="20"/>
          <w:szCs w:val="20"/>
        </w:rPr>
      </w:pPr>
      <w:r w:rsidRPr="00A82EB5">
        <w:rPr>
          <w:sz w:val="20"/>
          <w:szCs w:val="20"/>
        </w:rPr>
        <w:t>R = Row total</w:t>
      </w:r>
    </w:p>
    <w:p w:rsidR="00734F94" w:rsidRPr="00A82EB5" w:rsidRDefault="00734F94" w:rsidP="00A82EB5">
      <w:pPr>
        <w:pStyle w:val="Bb"/>
        <w:widowControl w:val="0"/>
        <w:snapToGrid w:val="0"/>
        <w:spacing w:after="0" w:line="240" w:lineRule="auto"/>
        <w:ind w:firstLine="425"/>
        <w:jc w:val="both"/>
        <w:rPr>
          <w:sz w:val="20"/>
          <w:szCs w:val="20"/>
        </w:rPr>
      </w:pPr>
      <w:r w:rsidRPr="00A82EB5">
        <w:rPr>
          <w:sz w:val="20"/>
          <w:szCs w:val="20"/>
        </w:rPr>
        <w:lastRenderedPageBreak/>
        <w:t>C = Column total</w:t>
      </w:r>
    </w:p>
    <w:p w:rsidR="00734F94" w:rsidRPr="00A82EB5" w:rsidRDefault="00734F94" w:rsidP="00A82EB5">
      <w:pPr>
        <w:pStyle w:val="Bb"/>
        <w:widowControl w:val="0"/>
        <w:snapToGrid w:val="0"/>
        <w:spacing w:after="0" w:line="240" w:lineRule="auto"/>
        <w:ind w:firstLine="425"/>
        <w:jc w:val="both"/>
        <w:rPr>
          <w:sz w:val="20"/>
          <w:szCs w:val="20"/>
        </w:rPr>
      </w:pPr>
      <w:r w:rsidRPr="00A82EB5">
        <w:rPr>
          <w:sz w:val="20"/>
          <w:szCs w:val="20"/>
        </w:rPr>
        <w:t>DF = Degree of Freedom</w:t>
      </w:r>
    </w:p>
    <w:p w:rsidR="00734F94" w:rsidRPr="00A82EB5" w:rsidRDefault="00734F94" w:rsidP="00A82EB5">
      <w:pPr>
        <w:pStyle w:val="Hh3"/>
        <w:keepNext w:val="0"/>
        <w:widowControl w:val="0"/>
        <w:snapToGrid w:val="0"/>
        <w:spacing w:after="0" w:line="240" w:lineRule="auto"/>
        <w:jc w:val="both"/>
        <w:rPr>
          <w:rFonts w:ascii="Times New Roman" w:hAnsi="Times New Roman"/>
          <w:sz w:val="20"/>
          <w:szCs w:val="20"/>
        </w:rPr>
      </w:pPr>
      <w:r w:rsidRPr="00A82EB5">
        <w:rPr>
          <w:rFonts w:ascii="Times New Roman" w:hAnsi="Times New Roman"/>
          <w:sz w:val="20"/>
          <w:szCs w:val="20"/>
        </w:rPr>
        <w:t>Level significance:</w:t>
      </w:r>
    </w:p>
    <w:p w:rsidR="00734F94" w:rsidRPr="00A82EB5" w:rsidRDefault="00734F94" w:rsidP="00A82EB5">
      <w:pPr>
        <w:pStyle w:val="Bb"/>
        <w:widowControl w:val="0"/>
        <w:snapToGrid w:val="0"/>
        <w:spacing w:after="0" w:line="240" w:lineRule="auto"/>
        <w:ind w:firstLine="425"/>
        <w:jc w:val="both"/>
        <w:rPr>
          <w:sz w:val="20"/>
          <w:szCs w:val="20"/>
        </w:rPr>
      </w:pPr>
      <w:r w:rsidRPr="00A82EB5">
        <w:rPr>
          <w:sz w:val="20"/>
          <w:szCs w:val="20"/>
        </w:rPr>
        <w:t>For all above mentioned statistical tests done, the threshold of significance is fixed at 5% level (p-value).</w:t>
      </w:r>
    </w:p>
    <w:p w:rsidR="00734F94" w:rsidRPr="00A82EB5" w:rsidRDefault="00734F94" w:rsidP="00A82EB5">
      <w:pPr>
        <w:pStyle w:val="Bb"/>
        <w:widowControl w:val="0"/>
        <w:snapToGrid w:val="0"/>
        <w:spacing w:after="0" w:line="240" w:lineRule="auto"/>
        <w:ind w:firstLine="425"/>
        <w:jc w:val="both"/>
        <w:rPr>
          <w:sz w:val="20"/>
          <w:szCs w:val="20"/>
        </w:rPr>
      </w:pPr>
      <w:r w:rsidRPr="00A82EB5">
        <w:rPr>
          <w:sz w:val="20"/>
          <w:szCs w:val="20"/>
        </w:rPr>
        <w:t>The results was considered:</w:t>
      </w:r>
    </w:p>
    <w:p w:rsidR="00734F94" w:rsidRPr="00A82EB5" w:rsidRDefault="00734F94" w:rsidP="00A82EB5">
      <w:pPr>
        <w:pStyle w:val="BodyText"/>
        <w:widowControl w:val="0"/>
        <w:numPr>
          <w:ilvl w:val="0"/>
          <w:numId w:val="14"/>
        </w:numPr>
        <w:snapToGrid w:val="0"/>
        <w:spacing w:after="0" w:line="240" w:lineRule="auto"/>
        <w:ind w:left="0" w:firstLine="425"/>
        <w:jc w:val="both"/>
        <w:rPr>
          <w:sz w:val="20"/>
          <w:szCs w:val="20"/>
        </w:rPr>
      </w:pPr>
      <w:r w:rsidRPr="00A82EB5">
        <w:rPr>
          <w:sz w:val="20"/>
          <w:szCs w:val="20"/>
        </w:rPr>
        <w:t>Significant when the probability of error is less than 5% (p &lt; 0.05).</w:t>
      </w:r>
    </w:p>
    <w:p w:rsidR="00734F94" w:rsidRPr="00A82EB5" w:rsidRDefault="00734F94" w:rsidP="00A82EB5">
      <w:pPr>
        <w:pStyle w:val="BodyText"/>
        <w:widowControl w:val="0"/>
        <w:numPr>
          <w:ilvl w:val="0"/>
          <w:numId w:val="14"/>
        </w:numPr>
        <w:snapToGrid w:val="0"/>
        <w:spacing w:after="0" w:line="240" w:lineRule="auto"/>
        <w:ind w:left="0" w:firstLine="425"/>
        <w:jc w:val="both"/>
        <w:rPr>
          <w:sz w:val="20"/>
          <w:szCs w:val="20"/>
        </w:rPr>
      </w:pPr>
      <w:r w:rsidRPr="00A82EB5">
        <w:rPr>
          <w:sz w:val="20"/>
          <w:szCs w:val="20"/>
        </w:rPr>
        <w:t>Non-significant when the probability of error is more than 5% (p &gt; 0.05).</w:t>
      </w:r>
    </w:p>
    <w:p w:rsidR="00734F94" w:rsidRPr="00A82EB5" w:rsidRDefault="00734F94" w:rsidP="00A82EB5">
      <w:pPr>
        <w:pStyle w:val="BodyText"/>
        <w:widowControl w:val="0"/>
        <w:numPr>
          <w:ilvl w:val="0"/>
          <w:numId w:val="14"/>
        </w:numPr>
        <w:snapToGrid w:val="0"/>
        <w:spacing w:after="0" w:line="240" w:lineRule="auto"/>
        <w:ind w:left="0" w:firstLine="425"/>
        <w:jc w:val="both"/>
        <w:rPr>
          <w:sz w:val="20"/>
          <w:szCs w:val="20"/>
        </w:rPr>
      </w:pPr>
      <w:r w:rsidRPr="00A82EB5">
        <w:rPr>
          <w:sz w:val="20"/>
          <w:szCs w:val="20"/>
        </w:rPr>
        <w:t>Highly significant when the probability of error is less than 0.1% (p &lt; 0.001).</w:t>
      </w:r>
    </w:p>
    <w:p w:rsidR="00315ABE" w:rsidRPr="00A82EB5" w:rsidRDefault="00734F94" w:rsidP="00A82EB5">
      <w:pPr>
        <w:pStyle w:val="Bb"/>
        <w:widowControl w:val="0"/>
        <w:snapToGrid w:val="0"/>
        <w:spacing w:after="0" w:line="240" w:lineRule="auto"/>
        <w:ind w:firstLine="425"/>
        <w:jc w:val="both"/>
        <w:rPr>
          <w:sz w:val="20"/>
          <w:szCs w:val="20"/>
        </w:rPr>
      </w:pPr>
      <w:r w:rsidRPr="00A82EB5">
        <w:rPr>
          <w:sz w:val="20"/>
          <w:szCs w:val="20"/>
        </w:rPr>
        <w:t>The smaller the p-value obtained, the more significant are the results.</w:t>
      </w:r>
    </w:p>
    <w:p w:rsidR="00C36A25" w:rsidRPr="00A82EB5" w:rsidRDefault="00C36A25" w:rsidP="00A82EB5">
      <w:pPr>
        <w:pStyle w:val="Hh3"/>
        <w:keepNext w:val="0"/>
        <w:widowControl w:val="0"/>
        <w:snapToGrid w:val="0"/>
        <w:spacing w:after="0" w:line="240" w:lineRule="auto"/>
        <w:jc w:val="both"/>
        <w:rPr>
          <w:rFonts w:ascii="Times New Roman" w:hAnsi="Times New Roman"/>
          <w:i w:val="0"/>
          <w:iCs/>
          <w:sz w:val="20"/>
          <w:szCs w:val="20"/>
        </w:rPr>
      </w:pPr>
    </w:p>
    <w:p w:rsidR="009F5A32" w:rsidRPr="00A82EB5" w:rsidRDefault="000763A4" w:rsidP="00A82EB5">
      <w:pPr>
        <w:pStyle w:val="Hh3"/>
        <w:keepNext w:val="0"/>
        <w:widowControl w:val="0"/>
        <w:snapToGrid w:val="0"/>
        <w:spacing w:after="0" w:line="240" w:lineRule="auto"/>
        <w:jc w:val="both"/>
        <w:rPr>
          <w:rFonts w:ascii="Times New Roman" w:hAnsi="Times New Roman"/>
          <w:i w:val="0"/>
          <w:iCs/>
          <w:sz w:val="20"/>
          <w:szCs w:val="20"/>
        </w:rPr>
      </w:pPr>
      <w:r w:rsidRPr="00A82EB5">
        <w:rPr>
          <w:rFonts w:ascii="Times New Roman" w:hAnsi="Times New Roman"/>
          <w:i w:val="0"/>
          <w:iCs/>
          <w:sz w:val="20"/>
          <w:szCs w:val="20"/>
        </w:rPr>
        <w:t xml:space="preserve">3. </w:t>
      </w:r>
      <w:r w:rsidR="009F5A32" w:rsidRPr="00A82EB5">
        <w:rPr>
          <w:rFonts w:ascii="Times New Roman" w:hAnsi="Times New Roman"/>
          <w:i w:val="0"/>
          <w:iCs/>
          <w:sz w:val="20"/>
          <w:szCs w:val="20"/>
        </w:rPr>
        <w:t>Results</w:t>
      </w:r>
    </w:p>
    <w:p w:rsidR="009F5A32" w:rsidRPr="00A82EB5" w:rsidRDefault="009F5A32" w:rsidP="00A82EB5">
      <w:pPr>
        <w:pStyle w:val="bbCharChar"/>
        <w:widowControl w:val="0"/>
        <w:snapToGrid w:val="0"/>
        <w:spacing w:after="0" w:line="240" w:lineRule="auto"/>
        <w:ind w:firstLine="425"/>
        <w:jc w:val="both"/>
        <w:rPr>
          <w:b/>
          <w:bCs/>
          <w:sz w:val="20"/>
        </w:rPr>
      </w:pPr>
      <w:r w:rsidRPr="00A82EB5">
        <w:rPr>
          <w:rStyle w:val="BbChar0"/>
          <w:rFonts w:eastAsia="Times New Roman"/>
          <w:noProof w:val="0"/>
          <w:sz w:val="20"/>
        </w:rPr>
        <w:t xml:space="preserve">The study included 50 infertile patients suffering from various durations of both primary and secondary infertility, and undergoing IVF/ICSI, it evaluated the role of the endometrial thickness and </w:t>
      </w:r>
      <w:proofErr w:type="spellStart"/>
      <w:r w:rsidRPr="00A82EB5">
        <w:rPr>
          <w:rStyle w:val="BbChar0"/>
          <w:rFonts w:eastAsia="Times New Roman"/>
          <w:noProof w:val="0"/>
          <w:sz w:val="20"/>
        </w:rPr>
        <w:t>subendometrial</w:t>
      </w:r>
      <w:proofErr w:type="spellEnd"/>
      <w:r w:rsidRPr="00A82EB5">
        <w:rPr>
          <w:rStyle w:val="BbChar0"/>
          <w:rFonts w:eastAsia="Times New Roman"/>
          <w:noProof w:val="0"/>
          <w:sz w:val="20"/>
        </w:rPr>
        <w:t xml:space="preserve"> blood flow measured by 2D power Doppler ultrasound performed on the day of </w:t>
      </w:r>
      <w:proofErr w:type="spellStart"/>
      <w:r w:rsidRPr="00A82EB5">
        <w:rPr>
          <w:rStyle w:val="BbChar0"/>
          <w:rFonts w:eastAsia="Times New Roman"/>
          <w:noProof w:val="0"/>
          <w:sz w:val="20"/>
        </w:rPr>
        <w:t>hCG</w:t>
      </w:r>
      <w:proofErr w:type="spellEnd"/>
      <w:r w:rsidRPr="00A82EB5">
        <w:rPr>
          <w:rStyle w:val="BbChar0"/>
          <w:rFonts w:eastAsia="Times New Roman"/>
          <w:noProof w:val="0"/>
          <w:sz w:val="20"/>
        </w:rPr>
        <w:t xml:space="preserve"> triggering in the prediction of pregnancy during IVF treatment.</w:t>
      </w:r>
    </w:p>
    <w:p w:rsidR="005D2E86" w:rsidRPr="00A82EB5" w:rsidRDefault="005D2E86" w:rsidP="00A82EB5">
      <w:pPr>
        <w:pStyle w:val="bbCharChar"/>
        <w:widowControl w:val="0"/>
        <w:snapToGrid w:val="0"/>
        <w:spacing w:after="0" w:line="240" w:lineRule="auto"/>
        <w:ind w:firstLine="0"/>
        <w:jc w:val="both"/>
        <w:rPr>
          <w:b/>
          <w:bCs/>
          <w:sz w:val="20"/>
        </w:rPr>
        <w:sectPr w:rsidR="005D2E86" w:rsidRPr="00A82EB5" w:rsidSect="00A82EB5">
          <w:headerReference w:type="even" r:id="rId25"/>
          <w:headerReference w:type="default" r:id="rId26"/>
          <w:footerReference w:type="even" r:id="rId27"/>
          <w:footerReference w:type="default" r:id="rId28"/>
          <w:type w:val="continuous"/>
          <w:pgSz w:w="12242" w:h="15842" w:code="1"/>
          <w:pgMar w:top="1440" w:right="1440" w:bottom="1440" w:left="1440" w:header="720" w:footer="720" w:gutter="0"/>
          <w:cols w:num="2" w:space="600"/>
          <w:docGrid w:linePitch="360"/>
        </w:sectPr>
      </w:pPr>
    </w:p>
    <w:p w:rsidR="000763A4" w:rsidRPr="00A82EB5" w:rsidRDefault="000763A4" w:rsidP="00A82EB5">
      <w:pPr>
        <w:pStyle w:val="bbCharChar"/>
        <w:widowControl w:val="0"/>
        <w:snapToGrid w:val="0"/>
        <w:spacing w:after="0" w:line="240" w:lineRule="auto"/>
        <w:ind w:firstLine="0"/>
        <w:jc w:val="both"/>
        <w:rPr>
          <w:b/>
          <w:bCs/>
          <w:sz w:val="20"/>
        </w:rPr>
      </w:pPr>
    </w:p>
    <w:p w:rsidR="009F5A32" w:rsidRPr="00A82EB5" w:rsidRDefault="009F5A32" w:rsidP="00A82EB5">
      <w:pPr>
        <w:pStyle w:val="bbCharChar"/>
        <w:widowControl w:val="0"/>
        <w:snapToGrid w:val="0"/>
        <w:spacing w:after="0" w:line="240" w:lineRule="auto"/>
        <w:ind w:firstLine="0"/>
        <w:jc w:val="center"/>
        <w:rPr>
          <w:sz w:val="20"/>
        </w:rPr>
      </w:pPr>
      <w:r w:rsidRPr="00A82EB5">
        <w:rPr>
          <w:b/>
          <w:bCs/>
          <w:sz w:val="20"/>
        </w:rPr>
        <w:t>Table (</w:t>
      </w:r>
      <w:r w:rsidR="00C36A25" w:rsidRPr="00A82EB5">
        <w:rPr>
          <w:b/>
          <w:bCs/>
          <w:sz w:val="20"/>
        </w:rPr>
        <w:t>1</w:t>
      </w:r>
      <w:r w:rsidRPr="00A82EB5">
        <w:rPr>
          <w:b/>
          <w:bCs/>
          <w:sz w:val="20"/>
        </w:rPr>
        <w:t xml:space="preserve">): </w:t>
      </w:r>
      <w:r w:rsidRPr="00A82EB5">
        <w:rPr>
          <w:sz w:val="20"/>
        </w:rPr>
        <w:t>Subendometrial blood flow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196"/>
        <w:gridCol w:w="2791"/>
        <w:gridCol w:w="1962"/>
        <w:gridCol w:w="986"/>
        <w:gridCol w:w="1541"/>
      </w:tblGrid>
      <w:tr w:rsidR="009F5A32" w:rsidRPr="00A82EB5" w:rsidTr="00A82EB5">
        <w:trPr>
          <w:jc w:val="center"/>
        </w:trPr>
        <w:tc>
          <w:tcPr>
            <w:tcW w:w="1159" w:type="pct"/>
            <w:tcBorders>
              <w:top w:val="thinThickSmallGap" w:sz="12" w:space="0" w:color="auto"/>
              <w:left w:val="thinThickSmallGap" w:sz="12" w:space="0" w:color="auto"/>
              <w:bottom w:val="thickThinSmallGap" w:sz="12" w:space="0" w:color="auto"/>
            </w:tcBorders>
            <w:shd w:val="clear" w:color="auto" w:fill="auto"/>
            <w:vAlign w:val="center"/>
          </w:tcPr>
          <w:p w:rsidR="009F5A32" w:rsidRPr="00A82EB5" w:rsidRDefault="009F5A32" w:rsidP="00A82EB5">
            <w:pPr>
              <w:widowControl w:val="0"/>
              <w:bidi w:val="0"/>
              <w:snapToGrid w:val="0"/>
              <w:jc w:val="both"/>
              <w:rPr>
                <w:b/>
                <w:bCs/>
                <w:sz w:val="20"/>
              </w:rPr>
            </w:pPr>
          </w:p>
        </w:tc>
        <w:tc>
          <w:tcPr>
            <w:tcW w:w="1473" w:type="pct"/>
            <w:tcBorders>
              <w:top w:val="thinThickSmallGap" w:sz="12" w:space="0" w:color="auto"/>
              <w:bottom w:val="thickThinSmallGap" w:sz="12" w:space="0" w:color="auto"/>
            </w:tcBorders>
            <w:shd w:val="clear" w:color="auto" w:fill="auto"/>
            <w:vAlign w:val="center"/>
          </w:tcPr>
          <w:p w:rsidR="009F5A32" w:rsidRPr="00A82EB5" w:rsidRDefault="009F5A32" w:rsidP="00A82EB5">
            <w:pPr>
              <w:pStyle w:val="bbCharChar"/>
              <w:widowControl w:val="0"/>
              <w:snapToGrid w:val="0"/>
              <w:spacing w:after="0" w:line="240" w:lineRule="auto"/>
              <w:ind w:firstLine="0"/>
              <w:jc w:val="both"/>
              <w:rPr>
                <w:b/>
                <w:bCs/>
                <w:noProof w:val="0"/>
                <w:sz w:val="20"/>
                <w:lang w:bidi="ar-EG"/>
              </w:rPr>
            </w:pPr>
            <w:r w:rsidRPr="00A82EB5">
              <w:rPr>
                <w:b/>
                <w:bCs/>
                <w:noProof w:val="0"/>
                <w:sz w:val="20"/>
                <w:lang w:bidi="ar-EG"/>
              </w:rPr>
              <w:t>Non-pregnant</w:t>
            </w:r>
          </w:p>
        </w:tc>
        <w:tc>
          <w:tcPr>
            <w:tcW w:w="1035" w:type="pct"/>
            <w:tcBorders>
              <w:top w:val="thinThickSmallGap" w:sz="12" w:space="0" w:color="auto"/>
              <w:bottom w:val="thickThinSmallGap" w:sz="12" w:space="0" w:color="auto"/>
            </w:tcBorders>
            <w:shd w:val="clear" w:color="auto" w:fill="auto"/>
            <w:vAlign w:val="center"/>
          </w:tcPr>
          <w:p w:rsidR="009F5A32" w:rsidRPr="00A82EB5" w:rsidRDefault="009F5A32" w:rsidP="00A82EB5">
            <w:pPr>
              <w:pStyle w:val="bbCharChar"/>
              <w:widowControl w:val="0"/>
              <w:snapToGrid w:val="0"/>
              <w:spacing w:after="0" w:line="240" w:lineRule="auto"/>
              <w:ind w:firstLine="0"/>
              <w:jc w:val="both"/>
              <w:rPr>
                <w:b/>
                <w:bCs/>
                <w:noProof w:val="0"/>
                <w:sz w:val="20"/>
                <w:lang w:bidi="ar-EG"/>
              </w:rPr>
            </w:pPr>
            <w:r w:rsidRPr="00A82EB5">
              <w:rPr>
                <w:b/>
                <w:bCs/>
                <w:noProof w:val="0"/>
                <w:sz w:val="20"/>
                <w:lang w:bidi="ar-EG"/>
              </w:rPr>
              <w:t>Pregnant</w:t>
            </w:r>
          </w:p>
        </w:tc>
        <w:tc>
          <w:tcPr>
            <w:tcW w:w="520" w:type="pct"/>
            <w:tcBorders>
              <w:top w:val="thinThickSmallGap" w:sz="12" w:space="0" w:color="auto"/>
              <w:bottom w:val="thickThinSmallGap" w:sz="12" w:space="0" w:color="auto"/>
            </w:tcBorders>
            <w:shd w:val="clear" w:color="auto" w:fill="auto"/>
            <w:vAlign w:val="center"/>
          </w:tcPr>
          <w:p w:rsidR="009F5A32" w:rsidRPr="00A82EB5" w:rsidRDefault="009F5A32" w:rsidP="00A82EB5">
            <w:pPr>
              <w:widowControl w:val="0"/>
              <w:bidi w:val="0"/>
              <w:snapToGrid w:val="0"/>
              <w:jc w:val="both"/>
              <w:rPr>
                <w:b/>
                <w:bCs/>
                <w:sz w:val="20"/>
              </w:rPr>
            </w:pPr>
            <w:r w:rsidRPr="00A82EB5">
              <w:rPr>
                <w:b/>
                <w:bCs/>
                <w:sz w:val="20"/>
              </w:rPr>
              <w:t>t</w:t>
            </w:r>
          </w:p>
        </w:tc>
        <w:tc>
          <w:tcPr>
            <w:tcW w:w="814" w:type="pct"/>
            <w:tcBorders>
              <w:top w:val="thinThickSmallGap" w:sz="12" w:space="0" w:color="auto"/>
              <w:bottom w:val="thickThinSmallGap" w:sz="12" w:space="0" w:color="auto"/>
              <w:right w:val="thickThinSmallGap" w:sz="12" w:space="0" w:color="auto"/>
            </w:tcBorders>
            <w:shd w:val="clear" w:color="auto" w:fill="auto"/>
            <w:vAlign w:val="center"/>
          </w:tcPr>
          <w:p w:rsidR="009F5A32" w:rsidRPr="00A82EB5" w:rsidRDefault="009F5A32" w:rsidP="00A82EB5">
            <w:pPr>
              <w:widowControl w:val="0"/>
              <w:bidi w:val="0"/>
              <w:snapToGrid w:val="0"/>
              <w:jc w:val="both"/>
              <w:rPr>
                <w:b/>
                <w:bCs/>
                <w:sz w:val="20"/>
              </w:rPr>
            </w:pPr>
            <w:r w:rsidRPr="00A82EB5">
              <w:rPr>
                <w:b/>
                <w:bCs/>
                <w:sz w:val="20"/>
              </w:rPr>
              <w:t>p</w:t>
            </w:r>
          </w:p>
        </w:tc>
      </w:tr>
      <w:tr w:rsidR="0020340D" w:rsidRPr="00A82EB5" w:rsidTr="00A82EB5">
        <w:trPr>
          <w:jc w:val="center"/>
        </w:trPr>
        <w:tc>
          <w:tcPr>
            <w:tcW w:w="1159" w:type="pct"/>
            <w:tcBorders>
              <w:top w:val="thickThinSmallGap" w:sz="12" w:space="0" w:color="auto"/>
              <w:left w:val="thinThickSmallGap" w:sz="12" w:space="0" w:color="auto"/>
              <w:bottom w:val="nil"/>
            </w:tcBorders>
            <w:shd w:val="clear" w:color="auto" w:fill="auto"/>
            <w:vAlign w:val="center"/>
          </w:tcPr>
          <w:p w:rsidR="0020340D" w:rsidRPr="00A82EB5" w:rsidRDefault="0020340D" w:rsidP="00A82EB5">
            <w:pPr>
              <w:widowControl w:val="0"/>
              <w:bidi w:val="0"/>
              <w:snapToGrid w:val="0"/>
              <w:jc w:val="both"/>
              <w:rPr>
                <w:sz w:val="20"/>
              </w:rPr>
            </w:pPr>
            <w:r w:rsidRPr="00A82EB5">
              <w:rPr>
                <w:b/>
                <w:bCs/>
                <w:sz w:val="20"/>
              </w:rPr>
              <w:t>RI</w:t>
            </w:r>
          </w:p>
        </w:tc>
        <w:tc>
          <w:tcPr>
            <w:tcW w:w="1473" w:type="pct"/>
            <w:tcBorders>
              <w:top w:val="thickThinSmallGap" w:sz="12" w:space="0" w:color="auto"/>
              <w:bottom w:val="nil"/>
            </w:tcBorders>
            <w:shd w:val="clear" w:color="auto" w:fill="auto"/>
            <w:vAlign w:val="center"/>
          </w:tcPr>
          <w:p w:rsidR="0020340D" w:rsidRPr="00A82EB5" w:rsidRDefault="0020340D" w:rsidP="00A82EB5">
            <w:pPr>
              <w:widowControl w:val="0"/>
              <w:bidi w:val="0"/>
              <w:snapToGrid w:val="0"/>
              <w:jc w:val="both"/>
              <w:rPr>
                <w:sz w:val="20"/>
              </w:rPr>
            </w:pPr>
          </w:p>
        </w:tc>
        <w:tc>
          <w:tcPr>
            <w:tcW w:w="1035" w:type="pct"/>
            <w:tcBorders>
              <w:top w:val="thickThinSmallGap" w:sz="12" w:space="0" w:color="auto"/>
              <w:bottom w:val="nil"/>
            </w:tcBorders>
            <w:shd w:val="clear" w:color="auto" w:fill="auto"/>
            <w:vAlign w:val="center"/>
          </w:tcPr>
          <w:p w:rsidR="0020340D" w:rsidRPr="00A82EB5" w:rsidRDefault="0020340D" w:rsidP="00A82EB5">
            <w:pPr>
              <w:widowControl w:val="0"/>
              <w:bidi w:val="0"/>
              <w:snapToGrid w:val="0"/>
              <w:jc w:val="both"/>
              <w:rPr>
                <w:sz w:val="20"/>
              </w:rPr>
            </w:pPr>
          </w:p>
        </w:tc>
        <w:tc>
          <w:tcPr>
            <w:tcW w:w="520" w:type="pct"/>
            <w:tcBorders>
              <w:top w:val="thickThinSmallGap" w:sz="12" w:space="0" w:color="auto"/>
              <w:bottom w:val="nil"/>
            </w:tcBorders>
            <w:shd w:val="clear" w:color="auto" w:fill="auto"/>
            <w:vAlign w:val="center"/>
          </w:tcPr>
          <w:p w:rsidR="0020340D" w:rsidRPr="00A82EB5" w:rsidRDefault="0020340D" w:rsidP="00A82EB5">
            <w:pPr>
              <w:widowControl w:val="0"/>
              <w:bidi w:val="0"/>
              <w:snapToGrid w:val="0"/>
              <w:jc w:val="both"/>
              <w:rPr>
                <w:sz w:val="20"/>
              </w:rPr>
            </w:pPr>
          </w:p>
        </w:tc>
        <w:tc>
          <w:tcPr>
            <w:tcW w:w="814" w:type="pct"/>
            <w:tcBorders>
              <w:top w:val="thickThinSmallGap" w:sz="12" w:space="0" w:color="auto"/>
              <w:bottom w:val="nil"/>
              <w:right w:val="thickThinSmallGap" w:sz="12" w:space="0" w:color="auto"/>
            </w:tcBorders>
            <w:shd w:val="clear" w:color="auto" w:fill="auto"/>
            <w:vAlign w:val="center"/>
          </w:tcPr>
          <w:p w:rsidR="0020340D" w:rsidRPr="00A82EB5" w:rsidRDefault="0020340D" w:rsidP="00A82EB5">
            <w:pPr>
              <w:widowControl w:val="0"/>
              <w:bidi w:val="0"/>
              <w:snapToGrid w:val="0"/>
              <w:jc w:val="both"/>
              <w:rPr>
                <w:sz w:val="20"/>
              </w:rPr>
            </w:pPr>
          </w:p>
        </w:tc>
      </w:tr>
      <w:tr w:rsidR="0020340D" w:rsidRPr="00A82EB5" w:rsidTr="00A82EB5">
        <w:trPr>
          <w:jc w:val="center"/>
        </w:trPr>
        <w:tc>
          <w:tcPr>
            <w:tcW w:w="1159" w:type="pct"/>
            <w:tcBorders>
              <w:top w:val="nil"/>
              <w:left w:val="thinThickSmallGap" w:sz="12" w:space="0" w:color="auto"/>
            </w:tcBorders>
            <w:shd w:val="clear" w:color="auto" w:fill="auto"/>
            <w:vAlign w:val="center"/>
          </w:tcPr>
          <w:p w:rsidR="0020340D" w:rsidRPr="00A82EB5" w:rsidRDefault="0020340D" w:rsidP="00A82EB5">
            <w:pPr>
              <w:widowControl w:val="0"/>
              <w:bidi w:val="0"/>
              <w:snapToGrid w:val="0"/>
              <w:jc w:val="both"/>
              <w:rPr>
                <w:sz w:val="20"/>
              </w:rPr>
            </w:pPr>
            <w:r w:rsidRPr="00A82EB5">
              <w:rPr>
                <w:sz w:val="20"/>
              </w:rPr>
              <w:t>Mean ± SD</w:t>
            </w:r>
          </w:p>
          <w:p w:rsidR="0020340D" w:rsidRPr="00A82EB5" w:rsidRDefault="0020340D" w:rsidP="00A82EB5">
            <w:pPr>
              <w:widowControl w:val="0"/>
              <w:bidi w:val="0"/>
              <w:snapToGrid w:val="0"/>
              <w:jc w:val="both"/>
              <w:rPr>
                <w:sz w:val="20"/>
              </w:rPr>
            </w:pPr>
            <w:r w:rsidRPr="00A82EB5">
              <w:rPr>
                <w:sz w:val="20"/>
              </w:rPr>
              <w:t>Range</w:t>
            </w:r>
          </w:p>
        </w:tc>
        <w:tc>
          <w:tcPr>
            <w:tcW w:w="1473" w:type="pct"/>
            <w:tcBorders>
              <w:top w:val="nil"/>
            </w:tcBorders>
            <w:shd w:val="clear" w:color="auto" w:fill="auto"/>
            <w:vAlign w:val="center"/>
          </w:tcPr>
          <w:p w:rsidR="0020340D" w:rsidRPr="00A82EB5" w:rsidRDefault="0020340D" w:rsidP="00A82EB5">
            <w:pPr>
              <w:widowControl w:val="0"/>
              <w:bidi w:val="0"/>
              <w:snapToGrid w:val="0"/>
              <w:jc w:val="both"/>
              <w:rPr>
                <w:sz w:val="20"/>
              </w:rPr>
            </w:pPr>
            <w:r w:rsidRPr="00A82EB5">
              <w:rPr>
                <w:sz w:val="20"/>
              </w:rPr>
              <w:t>0.93± 0.14</w:t>
            </w:r>
          </w:p>
          <w:p w:rsidR="0020340D" w:rsidRPr="00A82EB5" w:rsidRDefault="0020340D" w:rsidP="00A82EB5">
            <w:pPr>
              <w:widowControl w:val="0"/>
              <w:bidi w:val="0"/>
              <w:snapToGrid w:val="0"/>
              <w:jc w:val="both"/>
              <w:rPr>
                <w:sz w:val="20"/>
              </w:rPr>
            </w:pPr>
            <w:r w:rsidRPr="00A82EB5">
              <w:rPr>
                <w:sz w:val="20"/>
              </w:rPr>
              <w:t>0.65-1.1</w:t>
            </w:r>
          </w:p>
        </w:tc>
        <w:tc>
          <w:tcPr>
            <w:tcW w:w="1035" w:type="pct"/>
            <w:tcBorders>
              <w:top w:val="nil"/>
            </w:tcBorders>
            <w:shd w:val="clear" w:color="auto" w:fill="auto"/>
            <w:vAlign w:val="center"/>
          </w:tcPr>
          <w:p w:rsidR="0020340D" w:rsidRPr="00A82EB5" w:rsidRDefault="0020340D" w:rsidP="00A82EB5">
            <w:pPr>
              <w:widowControl w:val="0"/>
              <w:bidi w:val="0"/>
              <w:snapToGrid w:val="0"/>
              <w:jc w:val="both"/>
              <w:rPr>
                <w:sz w:val="20"/>
              </w:rPr>
            </w:pPr>
            <w:r w:rsidRPr="00A82EB5">
              <w:rPr>
                <w:sz w:val="20"/>
              </w:rPr>
              <w:t>0.76 ± 0.2</w:t>
            </w:r>
          </w:p>
          <w:p w:rsidR="0020340D" w:rsidRPr="00A82EB5" w:rsidRDefault="0020340D" w:rsidP="00A82EB5">
            <w:pPr>
              <w:widowControl w:val="0"/>
              <w:bidi w:val="0"/>
              <w:snapToGrid w:val="0"/>
              <w:jc w:val="both"/>
              <w:rPr>
                <w:sz w:val="20"/>
              </w:rPr>
            </w:pPr>
            <w:r w:rsidRPr="00A82EB5">
              <w:rPr>
                <w:sz w:val="20"/>
              </w:rPr>
              <w:t>0.45-1.02</w:t>
            </w:r>
          </w:p>
        </w:tc>
        <w:tc>
          <w:tcPr>
            <w:tcW w:w="520" w:type="pct"/>
            <w:tcBorders>
              <w:top w:val="nil"/>
            </w:tcBorders>
            <w:shd w:val="clear" w:color="auto" w:fill="auto"/>
            <w:vAlign w:val="center"/>
          </w:tcPr>
          <w:p w:rsidR="0020340D" w:rsidRPr="00A82EB5" w:rsidRDefault="0020340D" w:rsidP="00A82EB5">
            <w:pPr>
              <w:widowControl w:val="0"/>
              <w:bidi w:val="0"/>
              <w:snapToGrid w:val="0"/>
              <w:jc w:val="both"/>
              <w:rPr>
                <w:sz w:val="20"/>
              </w:rPr>
            </w:pPr>
            <w:r w:rsidRPr="00A82EB5">
              <w:rPr>
                <w:sz w:val="20"/>
              </w:rPr>
              <w:t>4.2</w:t>
            </w:r>
          </w:p>
        </w:tc>
        <w:tc>
          <w:tcPr>
            <w:tcW w:w="814" w:type="pct"/>
            <w:tcBorders>
              <w:top w:val="nil"/>
              <w:right w:val="thickThinSmallGap" w:sz="12" w:space="0" w:color="auto"/>
            </w:tcBorders>
            <w:shd w:val="clear" w:color="auto" w:fill="auto"/>
            <w:vAlign w:val="center"/>
          </w:tcPr>
          <w:p w:rsidR="0020340D" w:rsidRPr="00A82EB5" w:rsidRDefault="0020340D" w:rsidP="00A82EB5">
            <w:pPr>
              <w:widowControl w:val="0"/>
              <w:bidi w:val="0"/>
              <w:snapToGrid w:val="0"/>
              <w:jc w:val="both"/>
              <w:rPr>
                <w:sz w:val="20"/>
              </w:rPr>
            </w:pPr>
            <w:r w:rsidRPr="00A82EB5">
              <w:rPr>
                <w:sz w:val="20"/>
              </w:rPr>
              <w:t>&lt; 0.001</w:t>
            </w:r>
          </w:p>
          <w:p w:rsidR="0020340D" w:rsidRPr="00A82EB5" w:rsidRDefault="0020340D" w:rsidP="00A82EB5">
            <w:pPr>
              <w:widowControl w:val="0"/>
              <w:bidi w:val="0"/>
              <w:snapToGrid w:val="0"/>
              <w:jc w:val="both"/>
              <w:rPr>
                <w:sz w:val="20"/>
              </w:rPr>
            </w:pPr>
            <w:r w:rsidRPr="00A82EB5">
              <w:rPr>
                <w:sz w:val="20"/>
              </w:rPr>
              <w:t>(HS)</w:t>
            </w:r>
          </w:p>
        </w:tc>
      </w:tr>
      <w:tr w:rsidR="0020340D" w:rsidRPr="00A82EB5" w:rsidTr="00A82EB5">
        <w:trPr>
          <w:jc w:val="center"/>
        </w:trPr>
        <w:tc>
          <w:tcPr>
            <w:tcW w:w="1159" w:type="pct"/>
            <w:tcBorders>
              <w:left w:val="thinThickSmallGap" w:sz="12" w:space="0" w:color="auto"/>
              <w:bottom w:val="nil"/>
            </w:tcBorders>
            <w:shd w:val="clear" w:color="auto" w:fill="auto"/>
            <w:vAlign w:val="center"/>
          </w:tcPr>
          <w:p w:rsidR="0020340D" w:rsidRPr="00A82EB5" w:rsidRDefault="0020340D" w:rsidP="00A82EB5">
            <w:pPr>
              <w:widowControl w:val="0"/>
              <w:bidi w:val="0"/>
              <w:snapToGrid w:val="0"/>
              <w:jc w:val="both"/>
              <w:rPr>
                <w:sz w:val="20"/>
              </w:rPr>
            </w:pPr>
            <w:r w:rsidRPr="00A82EB5">
              <w:rPr>
                <w:b/>
                <w:bCs/>
                <w:sz w:val="20"/>
              </w:rPr>
              <w:t>PI</w:t>
            </w:r>
          </w:p>
        </w:tc>
        <w:tc>
          <w:tcPr>
            <w:tcW w:w="1473" w:type="pct"/>
            <w:tcBorders>
              <w:bottom w:val="nil"/>
            </w:tcBorders>
            <w:shd w:val="clear" w:color="auto" w:fill="auto"/>
            <w:vAlign w:val="center"/>
          </w:tcPr>
          <w:p w:rsidR="0020340D" w:rsidRPr="00A82EB5" w:rsidRDefault="0020340D" w:rsidP="00A82EB5">
            <w:pPr>
              <w:widowControl w:val="0"/>
              <w:bidi w:val="0"/>
              <w:snapToGrid w:val="0"/>
              <w:jc w:val="both"/>
              <w:rPr>
                <w:sz w:val="20"/>
              </w:rPr>
            </w:pPr>
          </w:p>
        </w:tc>
        <w:tc>
          <w:tcPr>
            <w:tcW w:w="1035" w:type="pct"/>
            <w:tcBorders>
              <w:bottom w:val="nil"/>
            </w:tcBorders>
            <w:shd w:val="clear" w:color="auto" w:fill="auto"/>
            <w:vAlign w:val="center"/>
          </w:tcPr>
          <w:p w:rsidR="0020340D" w:rsidRPr="00A82EB5" w:rsidRDefault="0020340D" w:rsidP="00A82EB5">
            <w:pPr>
              <w:widowControl w:val="0"/>
              <w:bidi w:val="0"/>
              <w:snapToGrid w:val="0"/>
              <w:jc w:val="both"/>
              <w:rPr>
                <w:sz w:val="20"/>
              </w:rPr>
            </w:pPr>
          </w:p>
        </w:tc>
        <w:tc>
          <w:tcPr>
            <w:tcW w:w="520" w:type="pct"/>
            <w:tcBorders>
              <w:bottom w:val="nil"/>
            </w:tcBorders>
            <w:shd w:val="clear" w:color="auto" w:fill="auto"/>
            <w:vAlign w:val="center"/>
          </w:tcPr>
          <w:p w:rsidR="0020340D" w:rsidRPr="00A82EB5" w:rsidRDefault="0020340D" w:rsidP="00A82EB5">
            <w:pPr>
              <w:widowControl w:val="0"/>
              <w:bidi w:val="0"/>
              <w:snapToGrid w:val="0"/>
              <w:jc w:val="both"/>
              <w:rPr>
                <w:sz w:val="20"/>
              </w:rPr>
            </w:pPr>
          </w:p>
        </w:tc>
        <w:tc>
          <w:tcPr>
            <w:tcW w:w="814" w:type="pct"/>
            <w:tcBorders>
              <w:bottom w:val="nil"/>
              <w:right w:val="thickThinSmallGap" w:sz="12" w:space="0" w:color="auto"/>
            </w:tcBorders>
            <w:shd w:val="clear" w:color="auto" w:fill="auto"/>
            <w:vAlign w:val="center"/>
          </w:tcPr>
          <w:p w:rsidR="0020340D" w:rsidRPr="00A82EB5" w:rsidRDefault="0020340D" w:rsidP="00A82EB5">
            <w:pPr>
              <w:widowControl w:val="0"/>
              <w:bidi w:val="0"/>
              <w:snapToGrid w:val="0"/>
              <w:jc w:val="both"/>
              <w:rPr>
                <w:sz w:val="20"/>
              </w:rPr>
            </w:pPr>
          </w:p>
        </w:tc>
      </w:tr>
      <w:tr w:rsidR="0020340D" w:rsidRPr="00A82EB5" w:rsidTr="00A82EB5">
        <w:trPr>
          <w:jc w:val="center"/>
        </w:trPr>
        <w:tc>
          <w:tcPr>
            <w:tcW w:w="1159" w:type="pct"/>
            <w:tcBorders>
              <w:top w:val="nil"/>
              <w:left w:val="thinThickSmallGap" w:sz="12" w:space="0" w:color="auto"/>
            </w:tcBorders>
            <w:shd w:val="clear" w:color="auto" w:fill="auto"/>
            <w:vAlign w:val="center"/>
          </w:tcPr>
          <w:p w:rsidR="0020340D" w:rsidRPr="00A82EB5" w:rsidRDefault="0020340D" w:rsidP="00A82EB5">
            <w:pPr>
              <w:widowControl w:val="0"/>
              <w:bidi w:val="0"/>
              <w:snapToGrid w:val="0"/>
              <w:jc w:val="both"/>
              <w:rPr>
                <w:sz w:val="20"/>
              </w:rPr>
            </w:pPr>
            <w:r w:rsidRPr="00A82EB5">
              <w:rPr>
                <w:sz w:val="20"/>
              </w:rPr>
              <w:t>Mean ± SD</w:t>
            </w:r>
          </w:p>
          <w:p w:rsidR="0020340D" w:rsidRPr="00A82EB5" w:rsidRDefault="0020340D" w:rsidP="00A82EB5">
            <w:pPr>
              <w:widowControl w:val="0"/>
              <w:bidi w:val="0"/>
              <w:snapToGrid w:val="0"/>
              <w:jc w:val="both"/>
              <w:rPr>
                <w:sz w:val="20"/>
              </w:rPr>
            </w:pPr>
            <w:r w:rsidRPr="00A82EB5">
              <w:rPr>
                <w:sz w:val="20"/>
              </w:rPr>
              <w:t>Range</w:t>
            </w:r>
          </w:p>
        </w:tc>
        <w:tc>
          <w:tcPr>
            <w:tcW w:w="1473" w:type="pct"/>
            <w:tcBorders>
              <w:top w:val="nil"/>
            </w:tcBorders>
            <w:shd w:val="clear" w:color="auto" w:fill="auto"/>
            <w:vAlign w:val="center"/>
          </w:tcPr>
          <w:p w:rsidR="0020340D" w:rsidRPr="00A82EB5" w:rsidRDefault="0020340D" w:rsidP="00A82EB5">
            <w:pPr>
              <w:widowControl w:val="0"/>
              <w:bidi w:val="0"/>
              <w:snapToGrid w:val="0"/>
              <w:jc w:val="both"/>
              <w:rPr>
                <w:sz w:val="20"/>
              </w:rPr>
            </w:pPr>
            <w:r w:rsidRPr="00A82EB5">
              <w:rPr>
                <w:sz w:val="20"/>
              </w:rPr>
              <w:t>2.5 ± 1</w:t>
            </w:r>
          </w:p>
          <w:p w:rsidR="0020340D" w:rsidRPr="00A82EB5" w:rsidRDefault="0020340D" w:rsidP="00A82EB5">
            <w:pPr>
              <w:widowControl w:val="0"/>
              <w:bidi w:val="0"/>
              <w:snapToGrid w:val="0"/>
              <w:jc w:val="both"/>
              <w:rPr>
                <w:sz w:val="20"/>
              </w:rPr>
            </w:pPr>
            <w:r w:rsidRPr="00A82EB5">
              <w:rPr>
                <w:sz w:val="20"/>
              </w:rPr>
              <w:t>1.02-3.67</w:t>
            </w:r>
          </w:p>
        </w:tc>
        <w:tc>
          <w:tcPr>
            <w:tcW w:w="1035" w:type="pct"/>
            <w:tcBorders>
              <w:top w:val="nil"/>
            </w:tcBorders>
            <w:shd w:val="clear" w:color="auto" w:fill="auto"/>
            <w:vAlign w:val="center"/>
          </w:tcPr>
          <w:p w:rsidR="0020340D" w:rsidRPr="00A82EB5" w:rsidRDefault="0020340D" w:rsidP="00A82EB5">
            <w:pPr>
              <w:widowControl w:val="0"/>
              <w:bidi w:val="0"/>
              <w:snapToGrid w:val="0"/>
              <w:jc w:val="both"/>
              <w:rPr>
                <w:sz w:val="20"/>
              </w:rPr>
            </w:pPr>
            <w:r w:rsidRPr="00A82EB5">
              <w:rPr>
                <w:sz w:val="20"/>
              </w:rPr>
              <w:t>1.53 ± 1.1</w:t>
            </w:r>
          </w:p>
          <w:p w:rsidR="0020340D" w:rsidRPr="00A82EB5" w:rsidRDefault="0020340D" w:rsidP="00A82EB5">
            <w:pPr>
              <w:widowControl w:val="0"/>
              <w:bidi w:val="0"/>
              <w:snapToGrid w:val="0"/>
              <w:jc w:val="both"/>
              <w:rPr>
                <w:sz w:val="20"/>
              </w:rPr>
            </w:pPr>
            <w:r w:rsidRPr="00A82EB5">
              <w:rPr>
                <w:sz w:val="20"/>
              </w:rPr>
              <w:t>0.67-3.6</w:t>
            </w:r>
          </w:p>
        </w:tc>
        <w:tc>
          <w:tcPr>
            <w:tcW w:w="520" w:type="pct"/>
            <w:tcBorders>
              <w:top w:val="nil"/>
            </w:tcBorders>
            <w:shd w:val="clear" w:color="auto" w:fill="auto"/>
            <w:vAlign w:val="center"/>
          </w:tcPr>
          <w:p w:rsidR="0020340D" w:rsidRPr="00A82EB5" w:rsidRDefault="0020340D" w:rsidP="00A82EB5">
            <w:pPr>
              <w:widowControl w:val="0"/>
              <w:bidi w:val="0"/>
              <w:snapToGrid w:val="0"/>
              <w:jc w:val="both"/>
              <w:rPr>
                <w:sz w:val="20"/>
              </w:rPr>
            </w:pPr>
            <w:r w:rsidRPr="00A82EB5">
              <w:rPr>
                <w:sz w:val="20"/>
              </w:rPr>
              <w:t>3.15</w:t>
            </w:r>
          </w:p>
        </w:tc>
        <w:tc>
          <w:tcPr>
            <w:tcW w:w="814" w:type="pct"/>
            <w:tcBorders>
              <w:top w:val="nil"/>
              <w:right w:val="thickThinSmallGap" w:sz="12" w:space="0" w:color="auto"/>
            </w:tcBorders>
            <w:shd w:val="clear" w:color="auto" w:fill="auto"/>
            <w:vAlign w:val="center"/>
          </w:tcPr>
          <w:p w:rsidR="0020340D" w:rsidRPr="00A82EB5" w:rsidRDefault="0020340D" w:rsidP="00A82EB5">
            <w:pPr>
              <w:widowControl w:val="0"/>
              <w:bidi w:val="0"/>
              <w:snapToGrid w:val="0"/>
              <w:jc w:val="both"/>
              <w:rPr>
                <w:sz w:val="20"/>
              </w:rPr>
            </w:pPr>
            <w:r w:rsidRPr="00A82EB5">
              <w:rPr>
                <w:sz w:val="20"/>
              </w:rPr>
              <w:t>0.002</w:t>
            </w:r>
          </w:p>
          <w:p w:rsidR="0020340D" w:rsidRPr="00A82EB5" w:rsidRDefault="0020340D" w:rsidP="00A82EB5">
            <w:pPr>
              <w:widowControl w:val="0"/>
              <w:bidi w:val="0"/>
              <w:snapToGrid w:val="0"/>
              <w:jc w:val="both"/>
              <w:rPr>
                <w:sz w:val="20"/>
              </w:rPr>
            </w:pPr>
            <w:r w:rsidRPr="00A82EB5">
              <w:rPr>
                <w:sz w:val="20"/>
              </w:rPr>
              <w:t>(S)</w:t>
            </w:r>
          </w:p>
        </w:tc>
      </w:tr>
      <w:tr w:rsidR="0020340D" w:rsidRPr="00A82EB5" w:rsidTr="00A82EB5">
        <w:trPr>
          <w:jc w:val="center"/>
        </w:trPr>
        <w:tc>
          <w:tcPr>
            <w:tcW w:w="1159" w:type="pct"/>
            <w:tcBorders>
              <w:left w:val="thinThickSmallGap" w:sz="12" w:space="0" w:color="auto"/>
              <w:bottom w:val="thickThinSmallGap" w:sz="12" w:space="0" w:color="auto"/>
            </w:tcBorders>
            <w:shd w:val="clear" w:color="auto" w:fill="auto"/>
            <w:vAlign w:val="center"/>
          </w:tcPr>
          <w:p w:rsidR="0020340D" w:rsidRPr="00A82EB5" w:rsidRDefault="0020340D" w:rsidP="00A82EB5">
            <w:pPr>
              <w:pStyle w:val="b1"/>
              <w:widowControl w:val="0"/>
              <w:snapToGrid w:val="0"/>
              <w:spacing w:after="0" w:line="240" w:lineRule="auto"/>
              <w:ind w:firstLine="0"/>
              <w:jc w:val="both"/>
              <w:rPr>
                <w:b/>
                <w:bCs/>
                <w:sz w:val="20"/>
              </w:rPr>
            </w:pPr>
            <w:r w:rsidRPr="00A82EB5">
              <w:rPr>
                <w:b/>
                <w:bCs/>
                <w:sz w:val="20"/>
              </w:rPr>
              <w:t>S/D</w:t>
            </w:r>
          </w:p>
        </w:tc>
        <w:tc>
          <w:tcPr>
            <w:tcW w:w="1473" w:type="pct"/>
            <w:tcBorders>
              <w:bottom w:val="thickThinSmallGap" w:sz="12" w:space="0" w:color="auto"/>
            </w:tcBorders>
            <w:shd w:val="clear" w:color="auto" w:fill="auto"/>
            <w:vAlign w:val="center"/>
          </w:tcPr>
          <w:p w:rsidR="00AD4034" w:rsidRPr="00A82EB5" w:rsidRDefault="00AD4034" w:rsidP="00A82EB5">
            <w:pPr>
              <w:pStyle w:val="b1"/>
              <w:widowControl w:val="0"/>
              <w:snapToGrid w:val="0"/>
              <w:spacing w:after="0" w:line="240" w:lineRule="auto"/>
              <w:ind w:firstLine="0"/>
              <w:jc w:val="both"/>
              <w:rPr>
                <w:sz w:val="20"/>
              </w:rPr>
            </w:pPr>
            <w:r w:rsidRPr="00A82EB5">
              <w:rPr>
                <w:sz w:val="20"/>
              </w:rPr>
              <w:t>2.296</w:t>
            </w:r>
          </w:p>
        </w:tc>
        <w:tc>
          <w:tcPr>
            <w:tcW w:w="1035" w:type="pct"/>
            <w:tcBorders>
              <w:bottom w:val="thickThinSmallGap" w:sz="12" w:space="0" w:color="auto"/>
            </w:tcBorders>
            <w:shd w:val="clear" w:color="auto" w:fill="auto"/>
            <w:vAlign w:val="center"/>
          </w:tcPr>
          <w:p w:rsidR="007422CF" w:rsidRPr="00A82EB5" w:rsidRDefault="00AD4034" w:rsidP="00A82EB5">
            <w:pPr>
              <w:pStyle w:val="b1"/>
              <w:widowControl w:val="0"/>
              <w:snapToGrid w:val="0"/>
              <w:spacing w:after="0" w:line="240" w:lineRule="auto"/>
              <w:ind w:firstLine="0"/>
              <w:jc w:val="both"/>
              <w:rPr>
                <w:sz w:val="20"/>
              </w:rPr>
            </w:pPr>
            <w:r w:rsidRPr="00A82EB5">
              <w:rPr>
                <w:sz w:val="20"/>
              </w:rPr>
              <w:t>2.591</w:t>
            </w:r>
          </w:p>
        </w:tc>
        <w:tc>
          <w:tcPr>
            <w:tcW w:w="520" w:type="pct"/>
            <w:tcBorders>
              <w:bottom w:val="thickThinSmallGap" w:sz="12" w:space="0" w:color="auto"/>
            </w:tcBorders>
            <w:shd w:val="clear" w:color="auto" w:fill="auto"/>
            <w:vAlign w:val="center"/>
          </w:tcPr>
          <w:p w:rsidR="007422CF" w:rsidRPr="00A82EB5" w:rsidRDefault="00AD4034" w:rsidP="00A82EB5">
            <w:pPr>
              <w:pStyle w:val="b1"/>
              <w:widowControl w:val="0"/>
              <w:snapToGrid w:val="0"/>
              <w:spacing w:after="0" w:line="240" w:lineRule="auto"/>
              <w:ind w:firstLine="0"/>
              <w:jc w:val="both"/>
              <w:rPr>
                <w:sz w:val="20"/>
              </w:rPr>
            </w:pPr>
            <w:r w:rsidRPr="00A82EB5">
              <w:rPr>
                <w:sz w:val="20"/>
              </w:rPr>
              <w:t>0.64</w:t>
            </w:r>
          </w:p>
        </w:tc>
        <w:tc>
          <w:tcPr>
            <w:tcW w:w="814" w:type="pct"/>
            <w:tcBorders>
              <w:bottom w:val="thickThinSmallGap" w:sz="12" w:space="0" w:color="auto"/>
              <w:right w:val="thickThinSmallGap" w:sz="12" w:space="0" w:color="auto"/>
            </w:tcBorders>
            <w:shd w:val="clear" w:color="auto" w:fill="auto"/>
            <w:vAlign w:val="center"/>
          </w:tcPr>
          <w:p w:rsidR="007422CF" w:rsidRPr="00A82EB5" w:rsidRDefault="007422CF" w:rsidP="00A82EB5">
            <w:pPr>
              <w:pStyle w:val="b1"/>
              <w:widowControl w:val="0"/>
              <w:snapToGrid w:val="0"/>
              <w:spacing w:after="0" w:line="240" w:lineRule="auto"/>
              <w:ind w:firstLine="0"/>
              <w:jc w:val="both"/>
              <w:rPr>
                <w:sz w:val="20"/>
              </w:rPr>
            </w:pPr>
            <w:r w:rsidRPr="00A82EB5">
              <w:rPr>
                <w:sz w:val="20"/>
              </w:rPr>
              <w:t>0.186</w:t>
            </w:r>
            <w:r w:rsidR="00A82EB5" w:rsidRPr="00A82EB5">
              <w:rPr>
                <w:rFonts w:eastAsiaTheme="minorEastAsia" w:hint="eastAsia"/>
                <w:sz w:val="20"/>
                <w:lang w:eastAsia="zh-CN"/>
              </w:rPr>
              <w:t xml:space="preserve"> </w:t>
            </w:r>
            <w:r w:rsidRPr="00A82EB5">
              <w:rPr>
                <w:sz w:val="20"/>
              </w:rPr>
              <w:t>(NS)</w:t>
            </w:r>
          </w:p>
        </w:tc>
      </w:tr>
    </w:tbl>
    <w:p w:rsidR="005D2E86" w:rsidRPr="00A82EB5" w:rsidRDefault="005D2E86" w:rsidP="00A82EB5">
      <w:pPr>
        <w:pStyle w:val="b1"/>
        <w:widowControl w:val="0"/>
        <w:snapToGrid w:val="0"/>
        <w:spacing w:after="0" w:line="240" w:lineRule="auto"/>
        <w:ind w:firstLine="425"/>
        <w:jc w:val="both"/>
        <w:rPr>
          <w:sz w:val="20"/>
        </w:rPr>
      </w:pPr>
    </w:p>
    <w:p w:rsidR="005D2E86" w:rsidRPr="00A82EB5" w:rsidRDefault="005D2E86" w:rsidP="00A82EB5">
      <w:pPr>
        <w:pStyle w:val="b1"/>
        <w:widowControl w:val="0"/>
        <w:snapToGrid w:val="0"/>
        <w:spacing w:after="0" w:line="240" w:lineRule="auto"/>
        <w:ind w:firstLine="425"/>
        <w:jc w:val="both"/>
        <w:rPr>
          <w:sz w:val="20"/>
        </w:rPr>
        <w:sectPr w:rsidR="005D2E86" w:rsidRPr="00A82EB5" w:rsidSect="00A82EB5">
          <w:headerReference w:type="even" r:id="rId29"/>
          <w:headerReference w:type="default" r:id="rId30"/>
          <w:footerReference w:type="even" r:id="rId31"/>
          <w:footerReference w:type="default" r:id="rId32"/>
          <w:type w:val="continuous"/>
          <w:pgSz w:w="12242" w:h="15842" w:code="1"/>
          <w:pgMar w:top="1440" w:right="1440" w:bottom="1440" w:left="1440" w:header="720" w:footer="720" w:gutter="0"/>
          <w:cols w:space="708"/>
          <w:bidi/>
          <w:docGrid w:linePitch="360"/>
        </w:sectPr>
      </w:pPr>
    </w:p>
    <w:p w:rsidR="009F5A32" w:rsidRPr="00A82EB5" w:rsidRDefault="009F5A32" w:rsidP="00A82EB5">
      <w:pPr>
        <w:pStyle w:val="b1"/>
        <w:widowControl w:val="0"/>
        <w:snapToGrid w:val="0"/>
        <w:spacing w:after="0" w:line="240" w:lineRule="auto"/>
        <w:ind w:firstLine="425"/>
        <w:jc w:val="both"/>
        <w:rPr>
          <w:sz w:val="20"/>
        </w:rPr>
      </w:pPr>
      <w:r w:rsidRPr="00A82EB5">
        <w:rPr>
          <w:sz w:val="20"/>
        </w:rPr>
        <w:lastRenderedPageBreak/>
        <w:t>Table (</w:t>
      </w:r>
      <w:r w:rsidR="00734F94" w:rsidRPr="00A82EB5">
        <w:rPr>
          <w:sz w:val="20"/>
        </w:rPr>
        <w:t>3</w:t>
      </w:r>
      <w:r w:rsidRPr="00A82EB5">
        <w:rPr>
          <w:sz w:val="20"/>
        </w:rPr>
        <w:t>) shows the mean subendometrial blood flow in pregnant and non-pregnant groups.</w:t>
      </w:r>
    </w:p>
    <w:p w:rsidR="009F5A32" w:rsidRPr="00A82EB5" w:rsidRDefault="009F5A32" w:rsidP="00A82EB5">
      <w:pPr>
        <w:pStyle w:val="Ba"/>
        <w:widowControl w:val="0"/>
        <w:snapToGrid w:val="0"/>
        <w:spacing w:after="0" w:line="240" w:lineRule="auto"/>
        <w:ind w:firstLine="0"/>
        <w:jc w:val="both"/>
        <w:rPr>
          <w:rStyle w:val="BbChar0"/>
          <w:b/>
          <w:bCs/>
          <w:sz w:val="20"/>
          <w:szCs w:val="20"/>
        </w:rPr>
      </w:pPr>
      <w:r w:rsidRPr="00A82EB5">
        <w:rPr>
          <w:rStyle w:val="BbChar0"/>
          <w:b/>
          <w:bCs/>
          <w:sz w:val="20"/>
          <w:szCs w:val="20"/>
        </w:rPr>
        <w:t>Resistance</w:t>
      </w:r>
      <w:r w:rsidR="00E10937" w:rsidRPr="00A82EB5">
        <w:rPr>
          <w:rStyle w:val="BbChar0"/>
          <w:b/>
          <w:bCs/>
          <w:sz w:val="20"/>
          <w:szCs w:val="20"/>
        </w:rPr>
        <w:t xml:space="preserve"> </w:t>
      </w:r>
      <w:r w:rsidRPr="00A82EB5">
        <w:rPr>
          <w:rStyle w:val="BbChar0"/>
          <w:b/>
          <w:bCs/>
          <w:sz w:val="20"/>
          <w:szCs w:val="20"/>
        </w:rPr>
        <w:t>index</w:t>
      </w:r>
    </w:p>
    <w:p w:rsidR="009F5A32" w:rsidRPr="00A82EB5" w:rsidRDefault="009F5A32" w:rsidP="00A82EB5">
      <w:pPr>
        <w:pStyle w:val="b1"/>
        <w:widowControl w:val="0"/>
        <w:snapToGrid w:val="0"/>
        <w:spacing w:after="0" w:line="240" w:lineRule="auto"/>
        <w:ind w:firstLine="425"/>
        <w:jc w:val="both"/>
        <w:rPr>
          <w:sz w:val="20"/>
        </w:rPr>
      </w:pPr>
      <w:r w:rsidRPr="00A82EB5">
        <w:rPr>
          <w:sz w:val="20"/>
        </w:rPr>
        <w:t>the mean RI in pregnant and non-pregnant groups, the Mean RI in no pregnancy group is higher than in pregnancy group, the difference, is statistically highly significant, P</w:t>
      </w:r>
      <w:r w:rsidR="000572AB" w:rsidRPr="00A82EB5">
        <w:rPr>
          <w:sz w:val="20"/>
        </w:rPr>
        <w:t xml:space="preserve"> value for pregnancy group: &lt;0.00</w:t>
      </w:r>
      <w:r w:rsidRPr="00A82EB5">
        <w:rPr>
          <w:sz w:val="20"/>
        </w:rPr>
        <w:t>1</w:t>
      </w:r>
    </w:p>
    <w:p w:rsidR="009F5A32" w:rsidRPr="00A82EB5" w:rsidRDefault="009F5A32" w:rsidP="00A82EB5">
      <w:pPr>
        <w:pStyle w:val="Ba"/>
        <w:widowControl w:val="0"/>
        <w:snapToGrid w:val="0"/>
        <w:spacing w:after="0" w:line="240" w:lineRule="auto"/>
        <w:ind w:firstLine="0"/>
        <w:jc w:val="both"/>
        <w:rPr>
          <w:rStyle w:val="BbChar0"/>
          <w:b/>
          <w:bCs/>
          <w:sz w:val="20"/>
          <w:szCs w:val="20"/>
        </w:rPr>
      </w:pPr>
      <w:r w:rsidRPr="00A82EB5">
        <w:rPr>
          <w:rStyle w:val="BbChar0"/>
          <w:b/>
          <w:bCs/>
          <w:sz w:val="20"/>
          <w:szCs w:val="20"/>
        </w:rPr>
        <w:t>Pulsatility index PI:</w:t>
      </w:r>
    </w:p>
    <w:p w:rsidR="009F5A32" w:rsidRPr="00A82EB5" w:rsidRDefault="009F5A32" w:rsidP="00A82EB5">
      <w:pPr>
        <w:pStyle w:val="b1"/>
        <w:widowControl w:val="0"/>
        <w:snapToGrid w:val="0"/>
        <w:spacing w:after="0" w:line="240" w:lineRule="auto"/>
        <w:ind w:firstLine="425"/>
        <w:jc w:val="both"/>
        <w:rPr>
          <w:sz w:val="20"/>
        </w:rPr>
      </w:pPr>
      <w:r w:rsidRPr="00A82EB5">
        <w:rPr>
          <w:sz w:val="20"/>
        </w:rPr>
        <w:lastRenderedPageBreak/>
        <w:t>the mean PI in no pregnancy and pregnant groups</w:t>
      </w:r>
      <w:r w:rsidR="00A82EB5" w:rsidRPr="00A82EB5">
        <w:rPr>
          <w:sz w:val="20"/>
        </w:rPr>
        <w:t>;</w:t>
      </w:r>
      <w:r w:rsidR="00A82EB5">
        <w:rPr>
          <w:sz w:val="20"/>
        </w:rPr>
        <w:t xml:space="preserve"> </w:t>
      </w:r>
      <w:r w:rsidR="00A82EB5" w:rsidRPr="00A82EB5">
        <w:rPr>
          <w:sz w:val="20"/>
        </w:rPr>
        <w:t>t</w:t>
      </w:r>
      <w:r w:rsidRPr="00A82EB5">
        <w:rPr>
          <w:sz w:val="20"/>
        </w:rPr>
        <w:t>he Mean PI in no pregnancy group is higher than in pregnancy group, the difference is statistically significant (P value for pregnancy group: 0.002).</w:t>
      </w:r>
    </w:p>
    <w:p w:rsidR="009F5A32" w:rsidRPr="00A82EB5" w:rsidRDefault="009F5A32" w:rsidP="00A82EB5">
      <w:pPr>
        <w:pStyle w:val="Ba"/>
        <w:widowControl w:val="0"/>
        <w:snapToGrid w:val="0"/>
        <w:spacing w:after="0" w:line="240" w:lineRule="auto"/>
        <w:ind w:firstLine="0"/>
        <w:jc w:val="both"/>
        <w:rPr>
          <w:rStyle w:val="BbChar0"/>
          <w:b/>
          <w:bCs/>
          <w:sz w:val="20"/>
          <w:szCs w:val="20"/>
        </w:rPr>
      </w:pPr>
      <w:r w:rsidRPr="00A82EB5">
        <w:rPr>
          <w:rStyle w:val="BbChar0"/>
          <w:b/>
          <w:bCs/>
          <w:sz w:val="20"/>
          <w:szCs w:val="20"/>
        </w:rPr>
        <w:t>S/D Ratio:</w:t>
      </w:r>
    </w:p>
    <w:p w:rsidR="009F5A32" w:rsidRPr="00A82EB5" w:rsidRDefault="009F5A32" w:rsidP="00A82EB5">
      <w:pPr>
        <w:pStyle w:val="b1"/>
        <w:widowControl w:val="0"/>
        <w:snapToGrid w:val="0"/>
        <w:spacing w:after="0" w:line="240" w:lineRule="auto"/>
        <w:ind w:firstLine="425"/>
        <w:jc w:val="both"/>
        <w:rPr>
          <w:sz w:val="20"/>
        </w:rPr>
      </w:pPr>
      <w:r w:rsidRPr="00A82EB5">
        <w:rPr>
          <w:sz w:val="20"/>
        </w:rPr>
        <w:t>The mean S/D ratio in pregnant and no pregnant groups; the Mean S/D ratio is higher in no pregnancy group, the difference is statistically insignificant (P value for pregnancy group: 0.186).</w:t>
      </w:r>
    </w:p>
    <w:p w:rsidR="005D2E86" w:rsidRPr="00A82EB5" w:rsidRDefault="005D2E86" w:rsidP="00A82EB5">
      <w:pPr>
        <w:pStyle w:val="b1"/>
        <w:widowControl w:val="0"/>
        <w:snapToGrid w:val="0"/>
        <w:spacing w:after="0" w:line="240" w:lineRule="auto"/>
        <w:ind w:firstLine="425"/>
        <w:jc w:val="both"/>
        <w:rPr>
          <w:sz w:val="20"/>
        </w:rPr>
        <w:sectPr w:rsidR="005D2E86" w:rsidRPr="00A82EB5" w:rsidSect="00A82EB5">
          <w:headerReference w:type="even" r:id="rId33"/>
          <w:headerReference w:type="default" r:id="rId34"/>
          <w:footerReference w:type="even" r:id="rId35"/>
          <w:footerReference w:type="default" r:id="rId36"/>
          <w:type w:val="continuous"/>
          <w:pgSz w:w="12242" w:h="15842" w:code="1"/>
          <w:pgMar w:top="1440" w:right="1440" w:bottom="1440" w:left="1440" w:header="720" w:footer="720" w:gutter="0"/>
          <w:cols w:num="2" w:space="600"/>
          <w:docGrid w:linePitch="360"/>
        </w:sectPr>
      </w:pPr>
    </w:p>
    <w:p w:rsidR="00A82EB5" w:rsidRDefault="00A82EB5" w:rsidP="00A82EB5">
      <w:pPr>
        <w:pStyle w:val="B11"/>
        <w:widowControl w:val="0"/>
        <w:snapToGrid w:val="0"/>
        <w:spacing w:after="0" w:line="240" w:lineRule="auto"/>
        <w:ind w:firstLine="0"/>
        <w:jc w:val="center"/>
        <w:rPr>
          <w:rFonts w:eastAsiaTheme="minorEastAsia"/>
          <w:sz w:val="20"/>
          <w:szCs w:val="20"/>
          <w:lang w:eastAsia="zh-CN"/>
        </w:rPr>
      </w:pPr>
    </w:p>
    <w:p w:rsidR="00A82EB5" w:rsidRPr="00A82EB5" w:rsidRDefault="00A82EB5" w:rsidP="00A82EB5">
      <w:pPr>
        <w:pStyle w:val="bbCharChar"/>
        <w:widowControl w:val="0"/>
        <w:snapToGrid w:val="0"/>
        <w:spacing w:after="0" w:line="240" w:lineRule="auto"/>
        <w:ind w:firstLine="0"/>
        <w:jc w:val="center"/>
        <w:rPr>
          <w:sz w:val="20"/>
          <w:szCs w:val="18"/>
        </w:rPr>
      </w:pPr>
      <w:r w:rsidRPr="00A82EB5">
        <w:rPr>
          <w:b/>
          <w:bCs/>
          <w:sz w:val="20"/>
          <w:szCs w:val="18"/>
        </w:rPr>
        <w:t xml:space="preserve">Table (2): </w:t>
      </w:r>
      <w:r w:rsidRPr="00A82EB5">
        <w:rPr>
          <w:sz w:val="20"/>
          <w:szCs w:val="18"/>
        </w:rPr>
        <w:t>Endometrial thickness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229"/>
        <w:gridCol w:w="2831"/>
        <w:gridCol w:w="2204"/>
        <w:gridCol w:w="999"/>
        <w:gridCol w:w="1213"/>
      </w:tblGrid>
      <w:tr w:rsidR="00A82EB5" w:rsidRPr="00A82EB5" w:rsidTr="009E3F2D">
        <w:trPr>
          <w:jc w:val="center"/>
        </w:trPr>
        <w:tc>
          <w:tcPr>
            <w:tcW w:w="1176" w:type="pct"/>
            <w:tcBorders>
              <w:top w:val="thinThickSmallGap" w:sz="12" w:space="0" w:color="auto"/>
              <w:left w:val="thinThickSmallGap" w:sz="12" w:space="0" w:color="auto"/>
              <w:bottom w:val="thickThinSmallGap" w:sz="12" w:space="0" w:color="auto"/>
              <w:right w:val="single" w:sz="4" w:space="0" w:color="auto"/>
            </w:tcBorders>
            <w:vAlign w:val="center"/>
          </w:tcPr>
          <w:p w:rsidR="00A82EB5" w:rsidRPr="00A82EB5" w:rsidRDefault="00A82EB5" w:rsidP="009E3F2D">
            <w:pPr>
              <w:widowControl w:val="0"/>
              <w:bidi w:val="0"/>
              <w:snapToGrid w:val="0"/>
              <w:jc w:val="both"/>
              <w:rPr>
                <w:b/>
                <w:bCs/>
                <w:sz w:val="20"/>
              </w:rPr>
            </w:pPr>
          </w:p>
        </w:tc>
        <w:tc>
          <w:tcPr>
            <w:tcW w:w="1494" w:type="pct"/>
            <w:tcBorders>
              <w:top w:val="thinThickSmallGap" w:sz="12" w:space="0" w:color="auto"/>
              <w:left w:val="single" w:sz="4" w:space="0" w:color="auto"/>
              <w:bottom w:val="thickThinSmallGap" w:sz="12" w:space="0" w:color="auto"/>
              <w:right w:val="single" w:sz="4" w:space="0" w:color="auto"/>
            </w:tcBorders>
            <w:vAlign w:val="center"/>
          </w:tcPr>
          <w:p w:rsidR="00A82EB5" w:rsidRPr="00A82EB5" w:rsidRDefault="00A82EB5" w:rsidP="009E3F2D">
            <w:pPr>
              <w:pStyle w:val="bbCharChar"/>
              <w:widowControl w:val="0"/>
              <w:snapToGrid w:val="0"/>
              <w:spacing w:after="0" w:line="240" w:lineRule="auto"/>
              <w:ind w:firstLine="0"/>
              <w:jc w:val="both"/>
              <w:rPr>
                <w:b/>
                <w:bCs/>
                <w:noProof w:val="0"/>
                <w:sz w:val="20"/>
                <w:lang w:bidi="ar-EG"/>
              </w:rPr>
            </w:pPr>
            <w:r w:rsidRPr="00A82EB5">
              <w:rPr>
                <w:b/>
                <w:bCs/>
                <w:noProof w:val="0"/>
                <w:sz w:val="20"/>
                <w:lang w:bidi="ar-EG"/>
              </w:rPr>
              <w:t>Non-pregnant</w:t>
            </w:r>
          </w:p>
        </w:tc>
        <w:tc>
          <w:tcPr>
            <w:tcW w:w="1163" w:type="pct"/>
            <w:tcBorders>
              <w:top w:val="thinThickSmallGap" w:sz="12" w:space="0" w:color="auto"/>
              <w:left w:val="single" w:sz="4" w:space="0" w:color="auto"/>
              <w:bottom w:val="thickThinSmallGap" w:sz="12" w:space="0" w:color="auto"/>
              <w:right w:val="single" w:sz="4" w:space="0" w:color="auto"/>
            </w:tcBorders>
            <w:vAlign w:val="center"/>
          </w:tcPr>
          <w:p w:rsidR="00A82EB5" w:rsidRPr="00A82EB5" w:rsidRDefault="00A82EB5" w:rsidP="009E3F2D">
            <w:pPr>
              <w:pStyle w:val="bbCharChar"/>
              <w:widowControl w:val="0"/>
              <w:snapToGrid w:val="0"/>
              <w:spacing w:after="0" w:line="240" w:lineRule="auto"/>
              <w:ind w:firstLine="0"/>
              <w:jc w:val="both"/>
              <w:rPr>
                <w:b/>
                <w:bCs/>
                <w:noProof w:val="0"/>
                <w:sz w:val="20"/>
                <w:lang w:bidi="ar-EG"/>
              </w:rPr>
            </w:pPr>
            <w:r w:rsidRPr="00A82EB5">
              <w:rPr>
                <w:b/>
                <w:bCs/>
                <w:noProof w:val="0"/>
                <w:sz w:val="20"/>
                <w:lang w:bidi="ar-EG"/>
              </w:rPr>
              <w:t>Pregnant</w:t>
            </w:r>
          </w:p>
        </w:tc>
        <w:tc>
          <w:tcPr>
            <w:tcW w:w="527" w:type="pct"/>
            <w:tcBorders>
              <w:top w:val="thinThickSmallGap" w:sz="12" w:space="0" w:color="auto"/>
              <w:left w:val="single" w:sz="4" w:space="0" w:color="auto"/>
              <w:bottom w:val="thickThinSmallGap" w:sz="12" w:space="0" w:color="auto"/>
              <w:right w:val="single" w:sz="4" w:space="0" w:color="auto"/>
            </w:tcBorders>
            <w:vAlign w:val="center"/>
          </w:tcPr>
          <w:p w:rsidR="00A82EB5" w:rsidRPr="00A82EB5" w:rsidRDefault="00A82EB5" w:rsidP="009E3F2D">
            <w:pPr>
              <w:widowControl w:val="0"/>
              <w:bidi w:val="0"/>
              <w:snapToGrid w:val="0"/>
              <w:jc w:val="both"/>
              <w:rPr>
                <w:b/>
                <w:bCs/>
                <w:sz w:val="20"/>
              </w:rPr>
            </w:pPr>
            <w:r w:rsidRPr="00A82EB5">
              <w:rPr>
                <w:b/>
                <w:bCs/>
                <w:sz w:val="20"/>
              </w:rPr>
              <w:t>t</w:t>
            </w:r>
          </w:p>
        </w:tc>
        <w:tc>
          <w:tcPr>
            <w:tcW w:w="641" w:type="pct"/>
            <w:tcBorders>
              <w:top w:val="thinThickSmallGap" w:sz="12" w:space="0" w:color="auto"/>
              <w:left w:val="single" w:sz="4" w:space="0" w:color="auto"/>
              <w:bottom w:val="thickThinSmallGap" w:sz="12" w:space="0" w:color="auto"/>
              <w:right w:val="thickThinSmallGap" w:sz="12" w:space="0" w:color="auto"/>
            </w:tcBorders>
            <w:vAlign w:val="center"/>
          </w:tcPr>
          <w:p w:rsidR="00A82EB5" w:rsidRPr="00A82EB5" w:rsidRDefault="00A82EB5" w:rsidP="009E3F2D">
            <w:pPr>
              <w:widowControl w:val="0"/>
              <w:bidi w:val="0"/>
              <w:snapToGrid w:val="0"/>
              <w:jc w:val="both"/>
              <w:rPr>
                <w:b/>
                <w:bCs/>
                <w:sz w:val="20"/>
              </w:rPr>
            </w:pPr>
            <w:r w:rsidRPr="00A82EB5">
              <w:rPr>
                <w:b/>
                <w:bCs/>
                <w:sz w:val="20"/>
              </w:rPr>
              <w:t>p</w:t>
            </w:r>
          </w:p>
        </w:tc>
      </w:tr>
      <w:tr w:rsidR="00A82EB5" w:rsidRPr="00A82EB5" w:rsidTr="009E3F2D">
        <w:trPr>
          <w:jc w:val="center"/>
        </w:trPr>
        <w:tc>
          <w:tcPr>
            <w:tcW w:w="5000" w:type="pct"/>
            <w:gridSpan w:val="5"/>
            <w:tcBorders>
              <w:top w:val="thickThinSmallGap" w:sz="12" w:space="0" w:color="auto"/>
              <w:left w:val="thinThickSmallGap" w:sz="12" w:space="0" w:color="auto"/>
              <w:bottom w:val="nil"/>
              <w:right w:val="thickThinSmallGap" w:sz="12" w:space="0" w:color="auto"/>
            </w:tcBorders>
            <w:vAlign w:val="center"/>
          </w:tcPr>
          <w:p w:rsidR="00A82EB5" w:rsidRPr="00A82EB5" w:rsidRDefault="00A82EB5" w:rsidP="009E3F2D">
            <w:pPr>
              <w:widowControl w:val="0"/>
              <w:bidi w:val="0"/>
              <w:snapToGrid w:val="0"/>
              <w:jc w:val="both"/>
              <w:rPr>
                <w:sz w:val="20"/>
              </w:rPr>
            </w:pPr>
          </w:p>
        </w:tc>
      </w:tr>
      <w:tr w:rsidR="00A82EB5" w:rsidRPr="00A82EB5" w:rsidTr="009E3F2D">
        <w:trPr>
          <w:jc w:val="center"/>
        </w:trPr>
        <w:tc>
          <w:tcPr>
            <w:tcW w:w="1176" w:type="pct"/>
            <w:tcBorders>
              <w:top w:val="nil"/>
              <w:left w:val="thinThickSmallGap" w:sz="12" w:space="0" w:color="auto"/>
              <w:bottom w:val="nil"/>
              <w:right w:val="single" w:sz="4" w:space="0" w:color="auto"/>
            </w:tcBorders>
            <w:vAlign w:val="center"/>
          </w:tcPr>
          <w:p w:rsidR="00A82EB5" w:rsidRPr="00A82EB5" w:rsidRDefault="00A82EB5" w:rsidP="009E3F2D">
            <w:pPr>
              <w:widowControl w:val="0"/>
              <w:bidi w:val="0"/>
              <w:snapToGrid w:val="0"/>
              <w:jc w:val="both"/>
              <w:rPr>
                <w:sz w:val="20"/>
              </w:rPr>
            </w:pPr>
            <w:r w:rsidRPr="00A82EB5">
              <w:rPr>
                <w:sz w:val="20"/>
              </w:rPr>
              <w:t>Mean ± SD</w:t>
            </w:r>
          </w:p>
        </w:tc>
        <w:tc>
          <w:tcPr>
            <w:tcW w:w="1494" w:type="pct"/>
            <w:tcBorders>
              <w:top w:val="nil"/>
              <w:left w:val="single" w:sz="4" w:space="0" w:color="auto"/>
              <w:bottom w:val="nil"/>
              <w:right w:val="single" w:sz="4" w:space="0" w:color="auto"/>
            </w:tcBorders>
            <w:vAlign w:val="center"/>
          </w:tcPr>
          <w:p w:rsidR="00A82EB5" w:rsidRPr="00A82EB5" w:rsidRDefault="00A82EB5" w:rsidP="009E3F2D">
            <w:pPr>
              <w:widowControl w:val="0"/>
              <w:bidi w:val="0"/>
              <w:snapToGrid w:val="0"/>
              <w:jc w:val="both"/>
              <w:rPr>
                <w:sz w:val="20"/>
              </w:rPr>
            </w:pPr>
            <w:r w:rsidRPr="00A82EB5">
              <w:rPr>
                <w:sz w:val="20"/>
              </w:rPr>
              <w:t>9.46 ± 1.4</w:t>
            </w:r>
          </w:p>
        </w:tc>
        <w:tc>
          <w:tcPr>
            <w:tcW w:w="1163" w:type="pct"/>
            <w:tcBorders>
              <w:top w:val="nil"/>
              <w:left w:val="single" w:sz="4" w:space="0" w:color="auto"/>
              <w:bottom w:val="nil"/>
              <w:right w:val="single" w:sz="4" w:space="0" w:color="auto"/>
            </w:tcBorders>
            <w:vAlign w:val="center"/>
          </w:tcPr>
          <w:p w:rsidR="00A82EB5" w:rsidRPr="00A82EB5" w:rsidRDefault="00A82EB5" w:rsidP="009E3F2D">
            <w:pPr>
              <w:widowControl w:val="0"/>
              <w:bidi w:val="0"/>
              <w:snapToGrid w:val="0"/>
              <w:jc w:val="both"/>
              <w:rPr>
                <w:sz w:val="20"/>
              </w:rPr>
            </w:pPr>
            <w:r w:rsidRPr="00A82EB5">
              <w:rPr>
                <w:sz w:val="20"/>
              </w:rPr>
              <w:t>11.2 ± 2.67</w:t>
            </w:r>
          </w:p>
        </w:tc>
        <w:tc>
          <w:tcPr>
            <w:tcW w:w="527" w:type="pct"/>
            <w:tcBorders>
              <w:top w:val="nil"/>
              <w:left w:val="single" w:sz="4" w:space="0" w:color="auto"/>
              <w:bottom w:val="nil"/>
              <w:right w:val="single" w:sz="4" w:space="0" w:color="auto"/>
            </w:tcBorders>
            <w:vAlign w:val="center"/>
          </w:tcPr>
          <w:p w:rsidR="00A82EB5" w:rsidRPr="00A82EB5" w:rsidRDefault="00A82EB5" w:rsidP="009E3F2D">
            <w:pPr>
              <w:widowControl w:val="0"/>
              <w:bidi w:val="0"/>
              <w:snapToGrid w:val="0"/>
              <w:jc w:val="both"/>
              <w:rPr>
                <w:sz w:val="20"/>
              </w:rPr>
            </w:pPr>
            <w:r w:rsidRPr="00A82EB5">
              <w:rPr>
                <w:sz w:val="20"/>
              </w:rPr>
              <w:t>3.01</w:t>
            </w:r>
          </w:p>
        </w:tc>
        <w:tc>
          <w:tcPr>
            <w:tcW w:w="641" w:type="pct"/>
            <w:vMerge w:val="restart"/>
            <w:tcBorders>
              <w:top w:val="nil"/>
              <w:left w:val="single" w:sz="4" w:space="0" w:color="auto"/>
              <w:bottom w:val="single" w:sz="4" w:space="0" w:color="auto"/>
              <w:right w:val="thickThinSmallGap" w:sz="12" w:space="0" w:color="auto"/>
            </w:tcBorders>
            <w:vAlign w:val="center"/>
          </w:tcPr>
          <w:p w:rsidR="00A82EB5" w:rsidRPr="00A82EB5" w:rsidRDefault="00A82EB5" w:rsidP="009E3F2D">
            <w:pPr>
              <w:widowControl w:val="0"/>
              <w:bidi w:val="0"/>
              <w:snapToGrid w:val="0"/>
              <w:jc w:val="both"/>
              <w:rPr>
                <w:sz w:val="20"/>
              </w:rPr>
            </w:pPr>
            <w:r w:rsidRPr="00A82EB5">
              <w:rPr>
                <w:sz w:val="20"/>
              </w:rPr>
              <w:t>0.004</w:t>
            </w:r>
          </w:p>
          <w:p w:rsidR="00A82EB5" w:rsidRPr="00A82EB5" w:rsidRDefault="00A82EB5" w:rsidP="009E3F2D">
            <w:pPr>
              <w:widowControl w:val="0"/>
              <w:bidi w:val="0"/>
              <w:snapToGrid w:val="0"/>
              <w:jc w:val="both"/>
              <w:rPr>
                <w:sz w:val="20"/>
              </w:rPr>
            </w:pPr>
            <w:r w:rsidRPr="00A82EB5">
              <w:rPr>
                <w:sz w:val="20"/>
              </w:rPr>
              <w:t>(S)</w:t>
            </w:r>
          </w:p>
        </w:tc>
      </w:tr>
      <w:tr w:rsidR="00A82EB5" w:rsidRPr="00A82EB5" w:rsidTr="009E3F2D">
        <w:trPr>
          <w:jc w:val="center"/>
        </w:trPr>
        <w:tc>
          <w:tcPr>
            <w:tcW w:w="1176" w:type="pct"/>
            <w:tcBorders>
              <w:top w:val="nil"/>
              <w:left w:val="thinThickSmallGap" w:sz="12" w:space="0" w:color="auto"/>
              <w:bottom w:val="thickThinSmallGap" w:sz="12" w:space="0" w:color="auto"/>
              <w:right w:val="single" w:sz="4" w:space="0" w:color="auto"/>
            </w:tcBorders>
            <w:vAlign w:val="center"/>
          </w:tcPr>
          <w:p w:rsidR="00A82EB5" w:rsidRPr="00A82EB5" w:rsidRDefault="00A82EB5" w:rsidP="009E3F2D">
            <w:pPr>
              <w:widowControl w:val="0"/>
              <w:bidi w:val="0"/>
              <w:snapToGrid w:val="0"/>
              <w:jc w:val="both"/>
              <w:rPr>
                <w:sz w:val="20"/>
              </w:rPr>
            </w:pPr>
            <w:r w:rsidRPr="00A82EB5">
              <w:rPr>
                <w:sz w:val="20"/>
              </w:rPr>
              <w:t>Range</w:t>
            </w:r>
          </w:p>
        </w:tc>
        <w:tc>
          <w:tcPr>
            <w:tcW w:w="1494" w:type="pct"/>
            <w:tcBorders>
              <w:top w:val="nil"/>
              <w:left w:val="single" w:sz="4" w:space="0" w:color="auto"/>
              <w:bottom w:val="thickThinSmallGap" w:sz="12" w:space="0" w:color="auto"/>
              <w:right w:val="single" w:sz="4" w:space="0" w:color="auto"/>
            </w:tcBorders>
            <w:vAlign w:val="center"/>
          </w:tcPr>
          <w:p w:rsidR="00A82EB5" w:rsidRPr="00A82EB5" w:rsidRDefault="00A82EB5" w:rsidP="009E3F2D">
            <w:pPr>
              <w:widowControl w:val="0"/>
              <w:bidi w:val="0"/>
              <w:snapToGrid w:val="0"/>
              <w:jc w:val="both"/>
              <w:rPr>
                <w:sz w:val="20"/>
              </w:rPr>
            </w:pPr>
            <w:r w:rsidRPr="00A82EB5">
              <w:rPr>
                <w:sz w:val="20"/>
              </w:rPr>
              <w:t>8-12</w:t>
            </w:r>
          </w:p>
        </w:tc>
        <w:tc>
          <w:tcPr>
            <w:tcW w:w="1163" w:type="pct"/>
            <w:tcBorders>
              <w:top w:val="nil"/>
              <w:left w:val="single" w:sz="4" w:space="0" w:color="auto"/>
              <w:bottom w:val="thickThinSmallGap" w:sz="12" w:space="0" w:color="auto"/>
              <w:right w:val="single" w:sz="4" w:space="0" w:color="auto"/>
            </w:tcBorders>
            <w:vAlign w:val="center"/>
          </w:tcPr>
          <w:p w:rsidR="00A82EB5" w:rsidRPr="00A82EB5" w:rsidRDefault="00A82EB5" w:rsidP="009E3F2D">
            <w:pPr>
              <w:widowControl w:val="0"/>
              <w:bidi w:val="0"/>
              <w:snapToGrid w:val="0"/>
              <w:jc w:val="both"/>
              <w:rPr>
                <w:sz w:val="20"/>
              </w:rPr>
            </w:pPr>
            <w:r w:rsidRPr="00A82EB5">
              <w:rPr>
                <w:sz w:val="20"/>
              </w:rPr>
              <w:t>8-16</w:t>
            </w:r>
          </w:p>
        </w:tc>
        <w:tc>
          <w:tcPr>
            <w:tcW w:w="527" w:type="pct"/>
            <w:tcBorders>
              <w:top w:val="nil"/>
              <w:left w:val="single" w:sz="4" w:space="0" w:color="auto"/>
              <w:bottom w:val="thickThinSmallGap" w:sz="12" w:space="0" w:color="auto"/>
              <w:right w:val="single" w:sz="4" w:space="0" w:color="auto"/>
            </w:tcBorders>
            <w:vAlign w:val="center"/>
          </w:tcPr>
          <w:p w:rsidR="00A82EB5" w:rsidRPr="00A82EB5" w:rsidRDefault="00A82EB5" w:rsidP="009E3F2D">
            <w:pPr>
              <w:widowControl w:val="0"/>
              <w:bidi w:val="0"/>
              <w:snapToGrid w:val="0"/>
              <w:jc w:val="both"/>
              <w:rPr>
                <w:sz w:val="20"/>
              </w:rPr>
            </w:pPr>
          </w:p>
        </w:tc>
        <w:tc>
          <w:tcPr>
            <w:tcW w:w="641" w:type="pct"/>
            <w:vMerge/>
            <w:tcBorders>
              <w:top w:val="single" w:sz="4" w:space="0" w:color="auto"/>
              <w:left w:val="single" w:sz="4" w:space="0" w:color="auto"/>
              <w:bottom w:val="thickThinSmallGap" w:sz="12" w:space="0" w:color="auto"/>
              <w:right w:val="thickThinSmallGap" w:sz="12" w:space="0" w:color="auto"/>
            </w:tcBorders>
            <w:vAlign w:val="center"/>
          </w:tcPr>
          <w:p w:rsidR="00A82EB5" w:rsidRPr="00A82EB5" w:rsidRDefault="00A82EB5" w:rsidP="009E3F2D">
            <w:pPr>
              <w:widowControl w:val="0"/>
              <w:bidi w:val="0"/>
              <w:snapToGrid w:val="0"/>
              <w:jc w:val="both"/>
              <w:rPr>
                <w:sz w:val="20"/>
              </w:rPr>
            </w:pPr>
          </w:p>
        </w:tc>
      </w:tr>
    </w:tbl>
    <w:p w:rsidR="00A82EB5" w:rsidRPr="00A82EB5" w:rsidRDefault="00A82EB5" w:rsidP="00A82EB5">
      <w:pPr>
        <w:pStyle w:val="b1"/>
        <w:widowControl w:val="0"/>
        <w:snapToGrid w:val="0"/>
        <w:spacing w:after="0" w:line="240" w:lineRule="auto"/>
        <w:ind w:firstLine="425"/>
        <w:jc w:val="both"/>
        <w:rPr>
          <w:sz w:val="20"/>
        </w:rPr>
      </w:pPr>
    </w:p>
    <w:p w:rsidR="009F5A32" w:rsidRPr="00A82EB5" w:rsidRDefault="009F5A32" w:rsidP="00A82EB5">
      <w:pPr>
        <w:pStyle w:val="B11"/>
        <w:widowControl w:val="0"/>
        <w:snapToGrid w:val="0"/>
        <w:spacing w:after="0" w:line="240" w:lineRule="auto"/>
        <w:ind w:firstLine="0"/>
        <w:jc w:val="center"/>
        <w:rPr>
          <w:sz w:val="20"/>
          <w:szCs w:val="20"/>
        </w:rPr>
      </w:pPr>
      <w:r w:rsidRPr="00A82EB5">
        <w:rPr>
          <w:sz w:val="20"/>
          <w:szCs w:val="20"/>
        </w:rPr>
        <w:object w:dxaOrig="8307" w:dyaOrig="2814">
          <v:shape id="_x0000_i1032" type="#_x0000_t75" style="width:415.1pt;height:140.85pt" o:ole="" filled="t" fillcolor="red">
            <v:imagedata r:id="rId37" o:title=""/>
          </v:shape>
          <o:OLEObject Type="Embed" ProgID="MSGraph.Chart.8" ShapeID="_x0000_i1032" DrawAspect="Content" ObjectID="_1563990993" r:id="rId38">
            <o:FieldCodes>\s</o:FieldCodes>
          </o:OLEObject>
        </w:object>
      </w:r>
    </w:p>
    <w:p w:rsidR="009F5A32" w:rsidRPr="00A82EB5" w:rsidRDefault="009F5A32" w:rsidP="00A82EB5">
      <w:pPr>
        <w:pStyle w:val="B11"/>
        <w:widowControl w:val="0"/>
        <w:snapToGrid w:val="0"/>
        <w:spacing w:after="0" w:line="240" w:lineRule="auto"/>
        <w:ind w:firstLine="0"/>
        <w:jc w:val="center"/>
        <w:rPr>
          <w:sz w:val="20"/>
          <w:szCs w:val="20"/>
        </w:rPr>
      </w:pPr>
      <w:r w:rsidRPr="00A82EB5">
        <w:rPr>
          <w:b/>
          <w:bCs/>
          <w:sz w:val="20"/>
          <w:szCs w:val="20"/>
        </w:rPr>
        <w:t xml:space="preserve">Figure </w:t>
      </w:r>
      <w:r w:rsidR="00FD1955" w:rsidRPr="00A82EB5">
        <w:rPr>
          <w:b/>
          <w:bCs/>
          <w:sz w:val="20"/>
          <w:szCs w:val="20"/>
        </w:rPr>
        <w:t>(1</w:t>
      </w:r>
      <w:r w:rsidRPr="00A82EB5">
        <w:rPr>
          <w:b/>
          <w:bCs/>
          <w:sz w:val="20"/>
          <w:szCs w:val="20"/>
        </w:rPr>
        <w:t xml:space="preserve">): </w:t>
      </w:r>
      <w:r w:rsidRPr="00A82EB5">
        <w:rPr>
          <w:sz w:val="20"/>
          <w:szCs w:val="20"/>
        </w:rPr>
        <w:t>Subendometrial blood flow</w:t>
      </w:r>
    </w:p>
    <w:p w:rsidR="005D2E86" w:rsidRPr="00A82EB5" w:rsidRDefault="005D2E86" w:rsidP="00A82EB5">
      <w:pPr>
        <w:pStyle w:val="b1"/>
        <w:widowControl w:val="0"/>
        <w:snapToGrid w:val="0"/>
        <w:spacing w:after="0" w:line="240" w:lineRule="auto"/>
        <w:ind w:firstLine="425"/>
        <w:jc w:val="both"/>
        <w:rPr>
          <w:sz w:val="20"/>
        </w:rPr>
      </w:pPr>
    </w:p>
    <w:p w:rsidR="005D2E86" w:rsidRPr="00A82EB5" w:rsidRDefault="005D2E86" w:rsidP="00A82EB5">
      <w:pPr>
        <w:pStyle w:val="b1"/>
        <w:widowControl w:val="0"/>
        <w:snapToGrid w:val="0"/>
        <w:spacing w:after="0" w:line="240" w:lineRule="auto"/>
        <w:ind w:firstLine="425"/>
        <w:jc w:val="both"/>
        <w:rPr>
          <w:sz w:val="20"/>
        </w:rPr>
        <w:sectPr w:rsidR="005D2E86" w:rsidRPr="00A82EB5" w:rsidSect="00A82EB5">
          <w:headerReference w:type="even" r:id="rId39"/>
          <w:headerReference w:type="default" r:id="rId40"/>
          <w:footerReference w:type="even" r:id="rId41"/>
          <w:footerReference w:type="default" r:id="rId42"/>
          <w:type w:val="continuous"/>
          <w:pgSz w:w="12242" w:h="15842" w:code="1"/>
          <w:pgMar w:top="1440" w:right="1440" w:bottom="1440" w:left="1440" w:header="720" w:footer="720" w:gutter="0"/>
          <w:cols w:space="708"/>
          <w:bidi/>
          <w:docGrid w:linePitch="360"/>
        </w:sectPr>
      </w:pPr>
    </w:p>
    <w:p w:rsidR="009F5A32" w:rsidRPr="00A82EB5" w:rsidRDefault="009F5A32" w:rsidP="00A82EB5">
      <w:pPr>
        <w:pStyle w:val="b1"/>
        <w:widowControl w:val="0"/>
        <w:snapToGrid w:val="0"/>
        <w:spacing w:after="0" w:line="240" w:lineRule="auto"/>
        <w:ind w:firstLine="425"/>
        <w:jc w:val="both"/>
        <w:rPr>
          <w:sz w:val="20"/>
        </w:rPr>
      </w:pPr>
      <w:r w:rsidRPr="00A82EB5">
        <w:rPr>
          <w:sz w:val="20"/>
        </w:rPr>
        <w:lastRenderedPageBreak/>
        <w:t>Table (</w:t>
      </w:r>
      <w:r w:rsidR="00FD1955" w:rsidRPr="00A82EB5">
        <w:rPr>
          <w:sz w:val="20"/>
        </w:rPr>
        <w:t>2</w:t>
      </w:r>
      <w:r w:rsidRPr="00A82EB5">
        <w:rPr>
          <w:sz w:val="20"/>
        </w:rPr>
        <w:t>) shows the mean endometrial thickness in pregnant and non-pregnant groups.</w:t>
      </w:r>
    </w:p>
    <w:p w:rsidR="009F5A32" w:rsidRPr="00A82EB5" w:rsidRDefault="009F5A32" w:rsidP="00A82EB5">
      <w:pPr>
        <w:pStyle w:val="Ba"/>
        <w:widowControl w:val="0"/>
        <w:snapToGrid w:val="0"/>
        <w:spacing w:after="0" w:line="240" w:lineRule="auto"/>
        <w:ind w:firstLine="0"/>
        <w:jc w:val="both"/>
        <w:rPr>
          <w:rStyle w:val="BbChar0"/>
          <w:b/>
          <w:bCs/>
          <w:sz w:val="20"/>
          <w:szCs w:val="20"/>
        </w:rPr>
      </w:pPr>
      <w:r w:rsidRPr="00A82EB5">
        <w:rPr>
          <w:rStyle w:val="BbChar0"/>
          <w:b/>
          <w:bCs/>
          <w:sz w:val="20"/>
          <w:szCs w:val="20"/>
        </w:rPr>
        <w:t>Endometrial thickness</w:t>
      </w:r>
    </w:p>
    <w:p w:rsidR="009F5A32" w:rsidRPr="00A82EB5" w:rsidRDefault="000763A4" w:rsidP="00A82EB5">
      <w:pPr>
        <w:pStyle w:val="b1"/>
        <w:widowControl w:val="0"/>
        <w:snapToGrid w:val="0"/>
        <w:spacing w:after="0" w:line="240" w:lineRule="auto"/>
        <w:ind w:firstLine="425"/>
        <w:jc w:val="both"/>
        <w:rPr>
          <w:sz w:val="20"/>
        </w:rPr>
      </w:pPr>
      <w:r w:rsidRPr="00A82EB5">
        <w:rPr>
          <w:sz w:val="20"/>
        </w:rPr>
        <w:t>T</w:t>
      </w:r>
      <w:r w:rsidR="009F5A32" w:rsidRPr="00A82EB5">
        <w:rPr>
          <w:sz w:val="20"/>
        </w:rPr>
        <w:t>he mean endometrial thickness in pregnant and</w:t>
      </w:r>
      <w:r w:rsidR="008367FA" w:rsidRPr="00A82EB5">
        <w:rPr>
          <w:sz w:val="20"/>
        </w:rPr>
        <w:t xml:space="preserve"> </w:t>
      </w:r>
      <w:r w:rsidR="008367FA" w:rsidRPr="00A82EB5">
        <w:rPr>
          <w:sz w:val="20"/>
        </w:rPr>
        <w:lastRenderedPageBreak/>
        <w:t>non-pregnant groups,</w:t>
      </w:r>
      <w:r w:rsidR="00E10937" w:rsidRPr="00A82EB5">
        <w:rPr>
          <w:sz w:val="20"/>
        </w:rPr>
        <w:t xml:space="preserve"> </w:t>
      </w:r>
      <w:r w:rsidR="009F5A32" w:rsidRPr="00A82EB5">
        <w:rPr>
          <w:sz w:val="20"/>
        </w:rPr>
        <w:t>The mean endometrial thickness in no pregnancy group is lower than in pregnancy group, the difference is statistically significant (p = 0.004).</w:t>
      </w:r>
    </w:p>
    <w:p w:rsidR="005D2E86" w:rsidRPr="00A82EB5" w:rsidRDefault="005D2E86" w:rsidP="00A82EB5">
      <w:pPr>
        <w:pStyle w:val="b1"/>
        <w:widowControl w:val="0"/>
        <w:snapToGrid w:val="0"/>
        <w:spacing w:after="0" w:line="240" w:lineRule="auto"/>
        <w:ind w:firstLine="425"/>
        <w:jc w:val="both"/>
        <w:rPr>
          <w:sz w:val="20"/>
        </w:rPr>
        <w:sectPr w:rsidR="005D2E86" w:rsidRPr="00A82EB5" w:rsidSect="00A82EB5">
          <w:headerReference w:type="even" r:id="rId43"/>
          <w:headerReference w:type="default" r:id="rId44"/>
          <w:footerReference w:type="even" r:id="rId45"/>
          <w:footerReference w:type="default" r:id="rId46"/>
          <w:type w:val="continuous"/>
          <w:pgSz w:w="12242" w:h="15842" w:code="1"/>
          <w:pgMar w:top="1440" w:right="1440" w:bottom="1440" w:left="1440" w:header="720" w:footer="720" w:gutter="0"/>
          <w:cols w:num="2" w:space="600"/>
          <w:docGrid w:linePitch="360"/>
        </w:sectPr>
      </w:pPr>
    </w:p>
    <w:p w:rsidR="001F733F" w:rsidRPr="00A82EB5" w:rsidRDefault="001F733F" w:rsidP="00A82EB5">
      <w:pPr>
        <w:pStyle w:val="b1"/>
        <w:widowControl w:val="0"/>
        <w:snapToGrid w:val="0"/>
        <w:spacing w:after="0" w:line="240" w:lineRule="auto"/>
        <w:ind w:firstLine="425"/>
        <w:jc w:val="both"/>
        <w:rPr>
          <w:sz w:val="20"/>
        </w:rPr>
      </w:pPr>
    </w:p>
    <w:p w:rsidR="009F5A32" w:rsidRPr="00A82EB5" w:rsidRDefault="009F5A32" w:rsidP="00A82EB5">
      <w:pPr>
        <w:pStyle w:val="B11"/>
        <w:widowControl w:val="0"/>
        <w:snapToGrid w:val="0"/>
        <w:spacing w:after="0" w:line="240" w:lineRule="auto"/>
        <w:ind w:firstLine="0"/>
        <w:jc w:val="center"/>
        <w:rPr>
          <w:sz w:val="20"/>
          <w:szCs w:val="20"/>
        </w:rPr>
      </w:pPr>
      <w:r w:rsidRPr="00A82EB5">
        <w:rPr>
          <w:sz w:val="20"/>
          <w:szCs w:val="20"/>
        </w:rPr>
        <w:object w:dxaOrig="8307" w:dyaOrig="2814">
          <v:shape id="_x0000_i1033" type="#_x0000_t75" style="width:415.1pt;height:140.85pt" o:ole="" filled="t" fillcolor="red">
            <v:imagedata r:id="rId47" o:title=""/>
          </v:shape>
          <o:OLEObject Type="Embed" ProgID="MSGraph.Chart.8" ShapeID="_x0000_i1033" DrawAspect="Content" ObjectID="_1563990994" r:id="rId48">
            <o:FieldCodes>\s</o:FieldCodes>
          </o:OLEObject>
        </w:object>
      </w:r>
    </w:p>
    <w:p w:rsidR="009F5A32" w:rsidRPr="00A82EB5" w:rsidRDefault="009F5A32" w:rsidP="00A82EB5">
      <w:pPr>
        <w:pStyle w:val="B11"/>
        <w:widowControl w:val="0"/>
        <w:snapToGrid w:val="0"/>
        <w:spacing w:after="0" w:line="240" w:lineRule="auto"/>
        <w:ind w:firstLine="0"/>
        <w:jc w:val="center"/>
        <w:rPr>
          <w:sz w:val="20"/>
          <w:szCs w:val="20"/>
        </w:rPr>
      </w:pPr>
      <w:r w:rsidRPr="00A82EB5">
        <w:rPr>
          <w:b/>
          <w:bCs/>
          <w:sz w:val="20"/>
          <w:szCs w:val="20"/>
        </w:rPr>
        <w:t>Figure (</w:t>
      </w:r>
      <w:r w:rsidR="00FD1955" w:rsidRPr="00A82EB5">
        <w:rPr>
          <w:b/>
          <w:bCs/>
          <w:sz w:val="20"/>
          <w:szCs w:val="20"/>
        </w:rPr>
        <w:t>2</w:t>
      </w:r>
      <w:r w:rsidRPr="00A82EB5">
        <w:rPr>
          <w:b/>
          <w:bCs/>
          <w:sz w:val="20"/>
          <w:szCs w:val="20"/>
        </w:rPr>
        <w:t xml:space="preserve">): </w:t>
      </w:r>
      <w:r w:rsidRPr="00A82EB5">
        <w:rPr>
          <w:sz w:val="20"/>
          <w:szCs w:val="20"/>
        </w:rPr>
        <w:t>Endometrial thickness</w:t>
      </w:r>
    </w:p>
    <w:p w:rsidR="005D2E86" w:rsidRPr="00A82EB5" w:rsidRDefault="005D2E86" w:rsidP="00A82EB5">
      <w:pPr>
        <w:pStyle w:val="B11"/>
        <w:widowControl w:val="0"/>
        <w:snapToGrid w:val="0"/>
        <w:spacing w:after="0" w:line="240" w:lineRule="auto"/>
        <w:ind w:firstLine="0"/>
        <w:jc w:val="both"/>
        <w:rPr>
          <w:b/>
          <w:bCs/>
          <w:sz w:val="20"/>
          <w:szCs w:val="20"/>
        </w:rPr>
      </w:pPr>
    </w:p>
    <w:p w:rsidR="005D2E86" w:rsidRPr="00A82EB5" w:rsidRDefault="005D2E86" w:rsidP="00A82EB5">
      <w:pPr>
        <w:pStyle w:val="B11"/>
        <w:widowControl w:val="0"/>
        <w:snapToGrid w:val="0"/>
        <w:spacing w:after="0" w:line="240" w:lineRule="auto"/>
        <w:ind w:firstLine="0"/>
        <w:jc w:val="both"/>
        <w:rPr>
          <w:b/>
          <w:bCs/>
          <w:sz w:val="20"/>
          <w:szCs w:val="20"/>
        </w:rPr>
        <w:sectPr w:rsidR="005D2E86" w:rsidRPr="00A82EB5" w:rsidSect="00A82EB5">
          <w:headerReference w:type="even" r:id="rId49"/>
          <w:headerReference w:type="default" r:id="rId50"/>
          <w:footerReference w:type="even" r:id="rId51"/>
          <w:footerReference w:type="default" r:id="rId52"/>
          <w:type w:val="continuous"/>
          <w:pgSz w:w="12242" w:h="15842" w:code="1"/>
          <w:pgMar w:top="1440" w:right="1440" w:bottom="1440" w:left="1440" w:header="720" w:footer="720" w:gutter="0"/>
          <w:cols w:space="708"/>
          <w:bidi/>
          <w:docGrid w:linePitch="360"/>
        </w:sectPr>
      </w:pPr>
    </w:p>
    <w:p w:rsidR="009F5A32" w:rsidRPr="00A82EB5" w:rsidRDefault="000763A4" w:rsidP="00A82EB5">
      <w:pPr>
        <w:pStyle w:val="B11"/>
        <w:widowControl w:val="0"/>
        <w:snapToGrid w:val="0"/>
        <w:spacing w:after="0" w:line="240" w:lineRule="auto"/>
        <w:ind w:firstLine="0"/>
        <w:jc w:val="both"/>
        <w:rPr>
          <w:b/>
          <w:bCs/>
          <w:sz w:val="20"/>
          <w:szCs w:val="20"/>
        </w:rPr>
      </w:pPr>
      <w:r w:rsidRPr="00A82EB5">
        <w:rPr>
          <w:b/>
          <w:bCs/>
          <w:sz w:val="20"/>
          <w:szCs w:val="20"/>
        </w:rPr>
        <w:lastRenderedPageBreak/>
        <w:t xml:space="preserve">4. </w:t>
      </w:r>
      <w:r w:rsidR="009F5A32" w:rsidRPr="00A82EB5">
        <w:rPr>
          <w:b/>
          <w:bCs/>
          <w:sz w:val="20"/>
          <w:szCs w:val="20"/>
        </w:rPr>
        <w:t>Discussion</w:t>
      </w:r>
    </w:p>
    <w:p w:rsidR="009F5A32" w:rsidRPr="00A82EB5" w:rsidRDefault="009F5A32" w:rsidP="00A82EB5">
      <w:pPr>
        <w:pStyle w:val="B11"/>
        <w:widowControl w:val="0"/>
        <w:snapToGrid w:val="0"/>
        <w:spacing w:after="0" w:line="240" w:lineRule="auto"/>
        <w:ind w:firstLine="425"/>
        <w:jc w:val="both"/>
        <w:rPr>
          <w:rFonts w:eastAsia="宋体"/>
          <w:sz w:val="20"/>
          <w:szCs w:val="20"/>
          <w:lang w:eastAsia="zh-CN"/>
        </w:rPr>
      </w:pPr>
      <w:r w:rsidRPr="00A82EB5">
        <w:rPr>
          <w:rFonts w:eastAsia="宋体"/>
          <w:sz w:val="20"/>
          <w:szCs w:val="20"/>
          <w:lang w:eastAsia="zh-CN"/>
        </w:rPr>
        <w:t xml:space="preserve">The condition of the uterus during IVF treatment at present mainly is assessed by ultrasonographic examination. Sonographic evaluation of endometrial thickness and texture has been used for endometrium assessment, but it is not possible to predict the likelihood of pregnancy based solely on this method. The introduction of transvaginal Doppler ultrasound makes the measurement of uterine artery blood flow possible, and at one time it was hoped that uterine arterial resistance changes might reflect uterine receptivity </w:t>
      </w:r>
      <w:r w:rsidRPr="00A82EB5">
        <w:rPr>
          <w:rStyle w:val="ref"/>
          <w:sz w:val="20"/>
          <w:szCs w:val="20"/>
        </w:rPr>
        <w:t>(Steer et al., 1992)</w:t>
      </w:r>
      <w:r w:rsidRPr="00A82EB5">
        <w:rPr>
          <w:rFonts w:eastAsia="宋体"/>
          <w:sz w:val="20"/>
          <w:szCs w:val="20"/>
          <w:lang w:eastAsia="zh-CN"/>
        </w:rPr>
        <w:t>.</w:t>
      </w:r>
    </w:p>
    <w:p w:rsidR="009F5A32" w:rsidRPr="00A82EB5" w:rsidRDefault="009F5A32" w:rsidP="00A82EB5">
      <w:pPr>
        <w:pStyle w:val="B11"/>
        <w:widowControl w:val="0"/>
        <w:snapToGrid w:val="0"/>
        <w:spacing w:after="0" w:line="240" w:lineRule="auto"/>
        <w:ind w:firstLine="425"/>
        <w:jc w:val="both"/>
        <w:rPr>
          <w:rFonts w:eastAsia="宋体"/>
          <w:sz w:val="20"/>
          <w:szCs w:val="20"/>
          <w:lang w:eastAsia="zh-CN"/>
        </w:rPr>
      </w:pPr>
      <w:r w:rsidRPr="00A82EB5">
        <w:rPr>
          <w:rFonts w:eastAsia="宋体"/>
          <w:sz w:val="20"/>
          <w:szCs w:val="20"/>
          <w:lang w:eastAsia="zh-CN"/>
        </w:rPr>
        <w:t xml:space="preserve">Although pregnancy outcome tended to be poor in patients with higher mean uterine arterial impedance indices, the predictive value of using a specific resistance index (RI) or pulsatility index (PI) variable in assessing endometrial receptivity seems to be limited. One of the explanations is that the major uterine compartment is the myometrium and not the endometrium, and thus most of the blood passing through the uterine arteries never reaches the endometrium. A more logical approach would be to </w:t>
      </w:r>
      <w:r w:rsidRPr="00A82EB5">
        <w:rPr>
          <w:rFonts w:eastAsia="宋体"/>
          <w:sz w:val="20"/>
          <w:szCs w:val="20"/>
          <w:lang w:eastAsia="zh-CN"/>
        </w:rPr>
        <w:lastRenderedPageBreak/>
        <w:t xml:space="preserve">evaluate the vascularization around the endometrium directly in an attempt to assess endometrial receptivity </w:t>
      </w:r>
      <w:r w:rsidRPr="00A82EB5">
        <w:rPr>
          <w:rStyle w:val="ref"/>
          <w:sz w:val="20"/>
          <w:szCs w:val="20"/>
        </w:rPr>
        <w:t>(Tekay et al., 1996)</w:t>
      </w:r>
      <w:r w:rsidRPr="00A82EB5">
        <w:rPr>
          <w:rFonts w:eastAsia="宋体"/>
          <w:sz w:val="20"/>
          <w:szCs w:val="20"/>
          <w:lang w:eastAsia="zh-CN"/>
        </w:rPr>
        <w:t>.</w:t>
      </w:r>
    </w:p>
    <w:p w:rsidR="00A82EB5" w:rsidRDefault="009F5A32" w:rsidP="00A82EB5">
      <w:pPr>
        <w:pStyle w:val="B11"/>
        <w:widowControl w:val="0"/>
        <w:snapToGrid w:val="0"/>
        <w:spacing w:after="0" w:line="240" w:lineRule="auto"/>
        <w:ind w:firstLine="425"/>
        <w:jc w:val="both"/>
        <w:rPr>
          <w:rFonts w:eastAsia="宋体"/>
          <w:b/>
          <w:bCs/>
          <w:sz w:val="20"/>
          <w:szCs w:val="20"/>
          <w:lang w:eastAsia="zh-CN"/>
        </w:rPr>
      </w:pPr>
      <w:r w:rsidRPr="00A82EB5">
        <w:rPr>
          <w:rFonts w:eastAsia="宋体"/>
          <w:sz w:val="20"/>
          <w:szCs w:val="20"/>
          <w:lang w:eastAsia="zh-CN"/>
        </w:rPr>
        <w:t xml:space="preserve">Endometrial blood flow studies, either with conventional color Doppler sonography or the newer techniques of power and three-dimensional (3-D) power Doppler sonography, have become clinically feasible in recent years. Although initial studies showed promising results in predicting the pregnancy outcome of IVF/ET treatments </w:t>
      </w:r>
      <w:r w:rsidRPr="00A82EB5">
        <w:rPr>
          <w:rStyle w:val="ref"/>
          <w:sz w:val="20"/>
          <w:szCs w:val="20"/>
        </w:rPr>
        <w:t>(Kupesic et al., 2001)</w:t>
      </w:r>
      <w:r w:rsidRPr="00A82EB5">
        <w:rPr>
          <w:rFonts w:eastAsia="宋体"/>
          <w:sz w:val="20"/>
          <w:szCs w:val="20"/>
          <w:lang w:eastAsia="zh-CN"/>
        </w:rPr>
        <w:t>,</w:t>
      </w:r>
      <w:r w:rsidR="008F5A4E" w:rsidRPr="00A82EB5">
        <w:rPr>
          <w:rFonts w:eastAsia="宋体"/>
          <w:sz w:val="20"/>
          <w:szCs w:val="20"/>
          <w:lang w:eastAsia="zh-CN"/>
        </w:rPr>
        <w:t xml:space="preserve"> how ever</w:t>
      </w:r>
      <w:r w:rsidRPr="00A82EB5">
        <w:rPr>
          <w:rFonts w:eastAsia="宋体"/>
          <w:sz w:val="20"/>
          <w:szCs w:val="20"/>
          <w:lang w:eastAsia="zh-CN"/>
        </w:rPr>
        <w:t xml:space="preserve"> </w:t>
      </w:r>
      <w:r w:rsidRPr="00A82EB5">
        <w:rPr>
          <w:b/>
          <w:bCs/>
          <w:sz w:val="20"/>
          <w:szCs w:val="20"/>
        </w:rPr>
        <w:t xml:space="preserve">Schild </w:t>
      </w:r>
      <w:r w:rsidRPr="00A82EB5">
        <w:rPr>
          <w:rFonts w:eastAsia="宋体"/>
          <w:b/>
          <w:bCs/>
          <w:sz w:val="20"/>
          <w:szCs w:val="20"/>
          <w:lang w:eastAsia="zh-CN"/>
        </w:rPr>
        <w:t>et al</w:t>
      </w:r>
      <w:r w:rsidR="00E10937" w:rsidRPr="00A82EB5">
        <w:rPr>
          <w:rFonts w:eastAsia="宋体"/>
          <w:b/>
          <w:bCs/>
          <w:sz w:val="20"/>
          <w:szCs w:val="20"/>
          <w:lang w:eastAsia="zh-CN"/>
        </w:rPr>
        <w:t xml:space="preserve"> </w:t>
      </w:r>
      <w:r w:rsidRPr="00A82EB5">
        <w:rPr>
          <w:rFonts w:eastAsia="宋体"/>
          <w:sz w:val="20"/>
          <w:szCs w:val="20"/>
          <w:lang w:eastAsia="zh-CN"/>
        </w:rPr>
        <w:t xml:space="preserve">failed to demonstrate significant differences between pregnant and nonpregnant patients. </w:t>
      </w:r>
      <w:r w:rsidR="008F5A4E" w:rsidRPr="00A82EB5">
        <w:rPr>
          <w:rFonts w:eastAsia="宋体"/>
          <w:b/>
          <w:bCs/>
          <w:sz w:val="20"/>
          <w:szCs w:val="20"/>
          <w:lang w:eastAsia="zh-CN"/>
        </w:rPr>
        <w:t>(Kupesic et al., 2001)</w:t>
      </w:r>
      <w:r w:rsidR="005D2E86" w:rsidRPr="00A82EB5">
        <w:rPr>
          <w:rFonts w:eastAsia="宋体"/>
          <w:b/>
          <w:bCs/>
          <w:sz w:val="20"/>
          <w:szCs w:val="20"/>
          <w:lang w:eastAsia="zh-CN"/>
        </w:rPr>
        <w:t>, (</w:t>
      </w:r>
      <w:r w:rsidR="008F5A4E" w:rsidRPr="00A82EB5">
        <w:rPr>
          <w:rFonts w:eastAsia="宋体"/>
          <w:b/>
          <w:bCs/>
          <w:sz w:val="20"/>
          <w:szCs w:val="20"/>
          <w:lang w:eastAsia="zh-CN"/>
        </w:rPr>
        <w:t xml:space="preserve"> Schild et al</w:t>
      </w:r>
      <w:r w:rsidR="00A82EB5" w:rsidRPr="00A82EB5">
        <w:rPr>
          <w:rFonts w:eastAsia="宋体"/>
          <w:b/>
          <w:bCs/>
          <w:sz w:val="20"/>
          <w:szCs w:val="20"/>
          <w:lang w:eastAsia="zh-CN"/>
        </w:rPr>
        <w:t>.</w:t>
      </w:r>
      <w:r w:rsidR="008F5A4E" w:rsidRPr="00A82EB5">
        <w:rPr>
          <w:rFonts w:eastAsia="宋体"/>
          <w:b/>
          <w:bCs/>
          <w:sz w:val="20"/>
          <w:szCs w:val="20"/>
          <w:lang w:eastAsia="zh-CN"/>
        </w:rPr>
        <w:t>, 2001</w:t>
      </w:r>
      <w:r w:rsidR="00A82EB5" w:rsidRPr="00A82EB5">
        <w:rPr>
          <w:rFonts w:eastAsia="宋体"/>
          <w:b/>
          <w:bCs/>
          <w:sz w:val="20"/>
          <w:szCs w:val="20"/>
          <w:lang w:eastAsia="zh-CN"/>
        </w:rPr>
        <w:t>)</w:t>
      </w:r>
      <w:r w:rsidR="00A82EB5">
        <w:rPr>
          <w:rFonts w:eastAsia="宋体"/>
          <w:b/>
          <w:bCs/>
          <w:sz w:val="20"/>
          <w:szCs w:val="20"/>
          <w:lang w:eastAsia="zh-CN"/>
        </w:rPr>
        <w:t>.</w:t>
      </w:r>
    </w:p>
    <w:p w:rsidR="009F5A32" w:rsidRPr="00A82EB5" w:rsidRDefault="009F5A32" w:rsidP="00A82EB5">
      <w:pPr>
        <w:pStyle w:val="B11"/>
        <w:widowControl w:val="0"/>
        <w:snapToGrid w:val="0"/>
        <w:spacing w:after="0" w:line="240" w:lineRule="auto"/>
        <w:ind w:firstLine="425"/>
        <w:jc w:val="both"/>
        <w:rPr>
          <w:rFonts w:eastAsia="宋体"/>
          <w:sz w:val="20"/>
          <w:szCs w:val="20"/>
          <w:lang w:eastAsia="zh-CN"/>
        </w:rPr>
      </w:pPr>
      <w:r w:rsidRPr="00A82EB5">
        <w:rPr>
          <w:rStyle w:val="ref"/>
          <w:sz w:val="20"/>
          <w:szCs w:val="20"/>
        </w:rPr>
        <w:t>Raine-Fenning et al., (2004b)</w:t>
      </w:r>
      <w:r w:rsidRPr="00A82EB5">
        <w:rPr>
          <w:rFonts w:eastAsia="宋体"/>
          <w:sz w:val="20"/>
          <w:szCs w:val="20"/>
          <w:lang w:eastAsia="zh-CN"/>
        </w:rPr>
        <w:t xml:space="preserve"> demonstrated that Endometrial and subendometrial vascularity</w:t>
      </w:r>
      <w:r w:rsidR="00E10937" w:rsidRPr="00A82EB5">
        <w:rPr>
          <w:rFonts w:eastAsia="宋体"/>
          <w:sz w:val="20"/>
          <w:szCs w:val="20"/>
          <w:lang w:eastAsia="zh-CN"/>
        </w:rPr>
        <w:t xml:space="preserve"> </w:t>
      </w:r>
      <w:r w:rsidRPr="00A82EB5">
        <w:rPr>
          <w:rFonts w:eastAsia="宋体"/>
          <w:sz w:val="20"/>
          <w:szCs w:val="20"/>
          <w:lang w:eastAsia="zh-CN"/>
        </w:rPr>
        <w:t>are</w:t>
      </w:r>
      <w:r w:rsidR="00E10937" w:rsidRPr="00A82EB5">
        <w:rPr>
          <w:rFonts w:eastAsia="宋体"/>
          <w:sz w:val="20"/>
          <w:szCs w:val="20"/>
          <w:lang w:eastAsia="zh-CN"/>
        </w:rPr>
        <w:t xml:space="preserve"> </w:t>
      </w:r>
      <w:r w:rsidRPr="00A82EB5">
        <w:rPr>
          <w:rFonts w:eastAsia="宋体"/>
          <w:sz w:val="20"/>
          <w:szCs w:val="20"/>
          <w:lang w:eastAsia="zh-CN"/>
        </w:rPr>
        <w:t>significantly</w:t>
      </w:r>
      <w:r w:rsidR="00E10937" w:rsidRPr="00A82EB5">
        <w:rPr>
          <w:rFonts w:eastAsia="宋体"/>
          <w:sz w:val="20"/>
          <w:szCs w:val="20"/>
          <w:lang w:eastAsia="zh-CN"/>
        </w:rPr>
        <w:t xml:space="preserve"> </w:t>
      </w:r>
      <w:r w:rsidRPr="00A82EB5">
        <w:rPr>
          <w:rFonts w:eastAsia="宋体"/>
          <w:sz w:val="20"/>
          <w:szCs w:val="20"/>
          <w:lang w:eastAsia="zh-CN"/>
        </w:rPr>
        <w:t>reduced</w:t>
      </w:r>
      <w:r w:rsidR="00E10937" w:rsidRPr="00A82EB5">
        <w:rPr>
          <w:rFonts w:eastAsia="宋体"/>
          <w:sz w:val="20"/>
          <w:szCs w:val="20"/>
          <w:lang w:eastAsia="zh-CN"/>
        </w:rPr>
        <w:t xml:space="preserve"> </w:t>
      </w:r>
      <w:r w:rsidRPr="00A82EB5">
        <w:rPr>
          <w:rFonts w:eastAsia="宋体"/>
          <w:sz w:val="20"/>
          <w:szCs w:val="20"/>
          <w:lang w:eastAsia="zh-CN"/>
        </w:rPr>
        <w:t>(decrease</w:t>
      </w:r>
      <w:r w:rsidR="00E10937" w:rsidRPr="00A82EB5">
        <w:rPr>
          <w:rFonts w:eastAsia="宋体"/>
          <w:sz w:val="20"/>
          <w:szCs w:val="20"/>
          <w:lang w:eastAsia="zh-CN"/>
        </w:rPr>
        <w:t xml:space="preserve"> </w:t>
      </w:r>
      <w:r w:rsidRPr="00A82EB5">
        <w:rPr>
          <w:rFonts w:eastAsia="宋体"/>
          <w:sz w:val="20"/>
          <w:szCs w:val="20"/>
          <w:lang w:eastAsia="zh-CN"/>
        </w:rPr>
        <w:t>in</w:t>
      </w:r>
      <w:r w:rsidR="00E10937" w:rsidRPr="00A82EB5">
        <w:rPr>
          <w:rFonts w:eastAsia="宋体"/>
          <w:sz w:val="20"/>
          <w:szCs w:val="20"/>
          <w:lang w:eastAsia="zh-CN"/>
        </w:rPr>
        <w:t xml:space="preserve"> </w:t>
      </w:r>
      <w:r w:rsidRPr="00A82EB5">
        <w:rPr>
          <w:rFonts w:eastAsia="宋体"/>
          <w:sz w:val="20"/>
          <w:szCs w:val="20"/>
          <w:lang w:eastAsia="zh-CN"/>
        </w:rPr>
        <w:t>endometrial</w:t>
      </w:r>
      <w:r w:rsidR="00E10937" w:rsidRPr="00A82EB5">
        <w:rPr>
          <w:rFonts w:eastAsia="宋体"/>
          <w:sz w:val="20"/>
          <w:szCs w:val="20"/>
          <w:lang w:eastAsia="zh-CN"/>
        </w:rPr>
        <w:t xml:space="preserve"> </w:t>
      </w:r>
      <w:r w:rsidRPr="00A82EB5">
        <w:rPr>
          <w:rFonts w:eastAsia="宋体"/>
          <w:sz w:val="20"/>
          <w:szCs w:val="20"/>
          <w:lang w:eastAsia="zh-CN"/>
        </w:rPr>
        <w:t>perfusion,</w:t>
      </w:r>
      <w:r w:rsidR="00E10937" w:rsidRPr="00A82EB5">
        <w:rPr>
          <w:rFonts w:eastAsia="宋体"/>
          <w:sz w:val="20"/>
          <w:szCs w:val="20"/>
          <w:lang w:eastAsia="zh-CN"/>
        </w:rPr>
        <w:t xml:space="preserve"> </w:t>
      </w:r>
      <w:r w:rsidRPr="00A82EB5">
        <w:rPr>
          <w:rFonts w:eastAsia="宋体"/>
          <w:sz w:val="20"/>
          <w:szCs w:val="20"/>
          <w:lang w:eastAsia="zh-CN"/>
        </w:rPr>
        <w:t>and possible</w:t>
      </w:r>
      <w:r w:rsidR="00E10937" w:rsidRPr="00A82EB5">
        <w:rPr>
          <w:rFonts w:eastAsia="宋体"/>
          <w:sz w:val="20"/>
          <w:szCs w:val="20"/>
          <w:lang w:eastAsia="zh-CN"/>
        </w:rPr>
        <w:t xml:space="preserve"> </w:t>
      </w:r>
      <w:r w:rsidRPr="00A82EB5">
        <w:rPr>
          <w:rFonts w:eastAsia="宋体"/>
          <w:sz w:val="20"/>
          <w:szCs w:val="20"/>
          <w:lang w:eastAsia="zh-CN"/>
        </w:rPr>
        <w:t>endometrial</w:t>
      </w:r>
      <w:r w:rsidR="00E10937" w:rsidRPr="00A82EB5">
        <w:rPr>
          <w:rFonts w:eastAsia="宋体"/>
          <w:sz w:val="20"/>
          <w:szCs w:val="20"/>
          <w:lang w:eastAsia="zh-CN"/>
        </w:rPr>
        <w:t xml:space="preserve"> </w:t>
      </w:r>
      <w:r w:rsidRPr="00A82EB5">
        <w:rPr>
          <w:rFonts w:eastAsia="宋体"/>
          <w:sz w:val="20"/>
          <w:szCs w:val="20"/>
          <w:lang w:eastAsia="zh-CN"/>
        </w:rPr>
        <w:t>receptivity)</w:t>
      </w:r>
      <w:r w:rsidR="00E10937" w:rsidRPr="00A82EB5">
        <w:rPr>
          <w:rFonts w:eastAsia="宋体"/>
          <w:sz w:val="20"/>
          <w:szCs w:val="20"/>
          <w:lang w:eastAsia="zh-CN"/>
        </w:rPr>
        <w:t xml:space="preserve"> </w:t>
      </w:r>
      <w:r w:rsidRPr="00A82EB5">
        <w:rPr>
          <w:rFonts w:eastAsia="宋体"/>
          <w:sz w:val="20"/>
          <w:szCs w:val="20"/>
          <w:lang w:eastAsia="zh-CN"/>
        </w:rPr>
        <w:t>in</w:t>
      </w:r>
      <w:r w:rsidR="00E10937" w:rsidRPr="00A82EB5">
        <w:rPr>
          <w:rFonts w:eastAsia="宋体"/>
          <w:sz w:val="20"/>
          <w:szCs w:val="20"/>
          <w:lang w:eastAsia="zh-CN"/>
        </w:rPr>
        <w:t xml:space="preserve"> </w:t>
      </w:r>
      <w:r w:rsidRPr="00A82EB5">
        <w:rPr>
          <w:rFonts w:eastAsia="宋体"/>
          <w:sz w:val="20"/>
          <w:szCs w:val="20"/>
          <w:lang w:eastAsia="zh-CN"/>
        </w:rPr>
        <w:t>29</w:t>
      </w:r>
      <w:r w:rsidR="00E10937" w:rsidRPr="00A82EB5">
        <w:rPr>
          <w:rFonts w:eastAsia="宋体"/>
          <w:sz w:val="20"/>
          <w:szCs w:val="20"/>
          <w:lang w:eastAsia="zh-CN"/>
        </w:rPr>
        <w:t xml:space="preserve"> </w:t>
      </w:r>
      <w:r w:rsidRPr="00A82EB5">
        <w:rPr>
          <w:rFonts w:eastAsia="宋体"/>
          <w:sz w:val="20"/>
          <w:szCs w:val="20"/>
          <w:lang w:eastAsia="zh-CN"/>
        </w:rPr>
        <w:t>women</w:t>
      </w:r>
      <w:r w:rsidR="00E10937" w:rsidRPr="00A82EB5">
        <w:rPr>
          <w:rFonts w:eastAsia="宋体"/>
          <w:sz w:val="20"/>
          <w:szCs w:val="20"/>
          <w:lang w:eastAsia="zh-CN"/>
        </w:rPr>
        <w:t xml:space="preserve"> </w:t>
      </w:r>
      <w:r w:rsidRPr="00A82EB5">
        <w:rPr>
          <w:rFonts w:eastAsia="宋体"/>
          <w:sz w:val="20"/>
          <w:szCs w:val="20"/>
          <w:lang w:eastAsia="zh-CN"/>
        </w:rPr>
        <w:t>with</w:t>
      </w:r>
      <w:r w:rsidR="00E10937" w:rsidRPr="00A82EB5">
        <w:rPr>
          <w:rFonts w:eastAsia="宋体"/>
          <w:sz w:val="20"/>
          <w:szCs w:val="20"/>
          <w:lang w:eastAsia="zh-CN"/>
        </w:rPr>
        <w:t xml:space="preserve"> </w:t>
      </w:r>
      <w:r w:rsidRPr="00A82EB5">
        <w:rPr>
          <w:rFonts w:eastAsia="宋体"/>
          <w:sz w:val="20"/>
          <w:szCs w:val="20"/>
          <w:lang w:eastAsia="zh-CN"/>
        </w:rPr>
        <w:t>unexplained</w:t>
      </w:r>
      <w:r w:rsidR="00E10937" w:rsidRPr="00A82EB5">
        <w:rPr>
          <w:rFonts w:eastAsia="宋体"/>
          <w:sz w:val="20"/>
          <w:szCs w:val="20"/>
          <w:lang w:eastAsia="zh-CN"/>
        </w:rPr>
        <w:t xml:space="preserve"> </w:t>
      </w:r>
      <w:r w:rsidRPr="00A82EB5">
        <w:rPr>
          <w:rFonts w:eastAsia="宋体"/>
          <w:sz w:val="20"/>
          <w:szCs w:val="20"/>
          <w:lang w:eastAsia="zh-CN"/>
        </w:rPr>
        <w:t>subfertility during</w:t>
      </w:r>
      <w:r w:rsidR="00E10937" w:rsidRPr="00A82EB5">
        <w:rPr>
          <w:rFonts w:eastAsia="宋体"/>
          <w:sz w:val="20"/>
          <w:szCs w:val="20"/>
          <w:lang w:eastAsia="zh-CN"/>
        </w:rPr>
        <w:t xml:space="preserve"> </w:t>
      </w:r>
      <w:r w:rsidRPr="00A82EB5">
        <w:rPr>
          <w:rFonts w:eastAsia="宋体"/>
          <w:sz w:val="20"/>
          <w:szCs w:val="20"/>
          <w:lang w:eastAsia="zh-CN"/>
        </w:rPr>
        <w:t>the</w:t>
      </w:r>
      <w:r w:rsidR="00E10937" w:rsidRPr="00A82EB5">
        <w:rPr>
          <w:rFonts w:eastAsia="宋体"/>
          <w:sz w:val="20"/>
          <w:szCs w:val="20"/>
          <w:lang w:eastAsia="zh-CN"/>
        </w:rPr>
        <w:t xml:space="preserve"> </w:t>
      </w:r>
      <w:r w:rsidRPr="00A82EB5">
        <w:rPr>
          <w:rFonts w:eastAsia="宋体"/>
          <w:sz w:val="20"/>
          <w:szCs w:val="20"/>
          <w:lang w:eastAsia="zh-CN"/>
        </w:rPr>
        <w:t>mid-late</w:t>
      </w:r>
      <w:r w:rsidR="00E10937" w:rsidRPr="00A82EB5">
        <w:rPr>
          <w:rFonts w:eastAsia="宋体"/>
          <w:sz w:val="20"/>
          <w:szCs w:val="20"/>
          <w:lang w:eastAsia="zh-CN"/>
        </w:rPr>
        <w:t xml:space="preserve"> </w:t>
      </w:r>
      <w:r w:rsidRPr="00A82EB5">
        <w:rPr>
          <w:rFonts w:eastAsia="宋体"/>
          <w:sz w:val="20"/>
          <w:szCs w:val="20"/>
          <w:lang w:eastAsia="zh-CN"/>
        </w:rPr>
        <w:t>follicular</w:t>
      </w:r>
      <w:r w:rsidR="00E10937" w:rsidRPr="00A82EB5">
        <w:rPr>
          <w:rFonts w:eastAsia="宋体"/>
          <w:sz w:val="20"/>
          <w:szCs w:val="20"/>
          <w:lang w:eastAsia="zh-CN"/>
        </w:rPr>
        <w:t xml:space="preserve"> </w:t>
      </w:r>
      <w:r w:rsidRPr="00A82EB5">
        <w:rPr>
          <w:rFonts w:eastAsia="宋体"/>
          <w:sz w:val="20"/>
          <w:szCs w:val="20"/>
          <w:lang w:eastAsia="zh-CN"/>
        </w:rPr>
        <w:t>phase</w:t>
      </w:r>
      <w:r w:rsidR="00E10937" w:rsidRPr="00A82EB5">
        <w:rPr>
          <w:rFonts w:eastAsia="宋体"/>
          <w:sz w:val="20"/>
          <w:szCs w:val="20"/>
          <w:lang w:eastAsia="zh-CN"/>
        </w:rPr>
        <w:t xml:space="preserve"> </w:t>
      </w:r>
      <w:r w:rsidRPr="00A82EB5">
        <w:rPr>
          <w:rFonts w:eastAsia="宋体"/>
          <w:sz w:val="20"/>
          <w:szCs w:val="20"/>
          <w:lang w:eastAsia="zh-CN"/>
        </w:rPr>
        <w:t>irrespective</w:t>
      </w:r>
      <w:r w:rsidR="00E10937" w:rsidRPr="00A82EB5">
        <w:rPr>
          <w:rFonts w:eastAsia="宋体"/>
          <w:sz w:val="20"/>
          <w:szCs w:val="20"/>
          <w:lang w:eastAsia="zh-CN"/>
        </w:rPr>
        <w:t xml:space="preserve"> </w:t>
      </w:r>
      <w:r w:rsidRPr="00A82EB5">
        <w:rPr>
          <w:rFonts w:eastAsia="宋体"/>
          <w:sz w:val="20"/>
          <w:szCs w:val="20"/>
          <w:lang w:eastAsia="zh-CN"/>
        </w:rPr>
        <w:t>of</w:t>
      </w:r>
      <w:r w:rsidR="00E10937" w:rsidRPr="00A82EB5">
        <w:rPr>
          <w:rFonts w:eastAsia="宋体"/>
          <w:sz w:val="20"/>
          <w:szCs w:val="20"/>
          <w:lang w:eastAsia="zh-CN"/>
        </w:rPr>
        <w:t xml:space="preserve"> </w:t>
      </w:r>
      <w:r w:rsidRPr="00A82EB5">
        <w:rPr>
          <w:rFonts w:eastAsia="宋体"/>
          <w:sz w:val="20"/>
          <w:szCs w:val="20"/>
          <w:lang w:eastAsia="zh-CN"/>
        </w:rPr>
        <w:t>estradiol</w:t>
      </w:r>
      <w:r w:rsidR="00E10937" w:rsidRPr="00A82EB5">
        <w:rPr>
          <w:rFonts w:eastAsia="宋体"/>
          <w:sz w:val="20"/>
          <w:szCs w:val="20"/>
          <w:lang w:eastAsia="zh-CN"/>
        </w:rPr>
        <w:t xml:space="preserve"> </w:t>
      </w:r>
      <w:r w:rsidRPr="00A82EB5">
        <w:rPr>
          <w:rFonts w:eastAsia="宋体"/>
          <w:sz w:val="20"/>
          <w:szCs w:val="20"/>
          <w:lang w:eastAsia="zh-CN"/>
        </w:rPr>
        <w:t>or</w:t>
      </w:r>
      <w:r w:rsidR="00E10937" w:rsidRPr="00A82EB5">
        <w:rPr>
          <w:rFonts w:eastAsia="宋体"/>
          <w:sz w:val="20"/>
          <w:szCs w:val="20"/>
          <w:lang w:eastAsia="zh-CN"/>
        </w:rPr>
        <w:t xml:space="preserve"> </w:t>
      </w:r>
      <w:r w:rsidRPr="00A82EB5">
        <w:rPr>
          <w:rFonts w:eastAsia="宋体"/>
          <w:sz w:val="20"/>
          <w:szCs w:val="20"/>
          <w:lang w:eastAsia="zh-CN"/>
        </w:rPr>
        <w:t>progesterone concentrations and endometrial morphometry.</w:t>
      </w:r>
    </w:p>
    <w:p w:rsidR="009F5A32" w:rsidRPr="00A82EB5" w:rsidRDefault="009F5A32" w:rsidP="00A82EB5">
      <w:pPr>
        <w:pStyle w:val="B11"/>
        <w:widowControl w:val="0"/>
        <w:snapToGrid w:val="0"/>
        <w:spacing w:after="0" w:line="240" w:lineRule="auto"/>
        <w:ind w:firstLine="425"/>
        <w:jc w:val="both"/>
        <w:rPr>
          <w:rFonts w:eastAsia="宋体"/>
          <w:sz w:val="20"/>
          <w:szCs w:val="20"/>
          <w:lang w:eastAsia="zh-CN"/>
        </w:rPr>
      </w:pPr>
      <w:r w:rsidRPr="00A82EB5">
        <w:rPr>
          <w:rFonts w:eastAsia="宋体"/>
          <w:sz w:val="20"/>
          <w:szCs w:val="20"/>
          <w:lang w:eastAsia="zh-CN"/>
        </w:rPr>
        <w:t>Different approaches in measurin</w:t>
      </w:r>
      <w:r w:rsidR="008F5A4E" w:rsidRPr="00A82EB5">
        <w:rPr>
          <w:rFonts w:eastAsia="宋体"/>
          <w:sz w:val="20"/>
          <w:szCs w:val="20"/>
          <w:lang w:eastAsia="zh-CN"/>
        </w:rPr>
        <w:t xml:space="preserve">g endometrial </w:t>
      </w:r>
      <w:r w:rsidR="008F5A4E" w:rsidRPr="00A82EB5">
        <w:rPr>
          <w:rFonts w:eastAsia="宋体"/>
          <w:sz w:val="20"/>
          <w:szCs w:val="20"/>
          <w:lang w:eastAsia="zh-CN"/>
        </w:rPr>
        <w:lastRenderedPageBreak/>
        <w:t>blood flow in the</w:t>
      </w:r>
      <w:r w:rsidR="00133296" w:rsidRPr="00A82EB5">
        <w:rPr>
          <w:rFonts w:eastAsia="宋体"/>
          <w:sz w:val="20"/>
          <w:szCs w:val="20"/>
          <w:lang w:eastAsia="zh-CN"/>
        </w:rPr>
        <w:t xml:space="preserve"> published studies</w:t>
      </w:r>
      <w:r w:rsidR="00E10937" w:rsidRPr="00A82EB5">
        <w:rPr>
          <w:rFonts w:eastAsia="宋体"/>
          <w:sz w:val="20"/>
          <w:szCs w:val="20"/>
          <w:lang w:eastAsia="zh-CN"/>
        </w:rPr>
        <w:t xml:space="preserve"> </w:t>
      </w:r>
      <w:r w:rsidRPr="00A82EB5">
        <w:rPr>
          <w:rFonts w:eastAsia="宋体"/>
          <w:sz w:val="20"/>
          <w:szCs w:val="20"/>
          <w:lang w:eastAsia="zh-CN"/>
        </w:rPr>
        <w:t xml:space="preserve">may have contributed to the inconsistent conclusions. Blood flow to the endometrium comes from the radial artery, which divides after passing through the myometrial–endometrial junction to form the basal arteries that supply the basal portion of the endometrium, and the spiral arterioles that continue up toward the endometrial surface. At the myometrial–endometrial junction, a specific subendometrial area can be identified as a thin hypoechoic layer between the echogenic endometrium and myometrium on ultrasound examination </w:t>
      </w:r>
      <w:r w:rsidRPr="00A82EB5">
        <w:rPr>
          <w:rStyle w:val="ref"/>
          <w:sz w:val="20"/>
          <w:szCs w:val="20"/>
        </w:rPr>
        <w:t>(Tetlow et al., 1999)</w:t>
      </w:r>
      <w:r w:rsidRPr="00A82EB5">
        <w:rPr>
          <w:rFonts w:eastAsia="宋体"/>
          <w:sz w:val="20"/>
          <w:szCs w:val="20"/>
          <w:lang w:eastAsia="zh-CN"/>
        </w:rPr>
        <w:t>.</w:t>
      </w:r>
    </w:p>
    <w:p w:rsidR="009F5A32" w:rsidRPr="00A82EB5" w:rsidRDefault="009F5A32" w:rsidP="00A82EB5">
      <w:pPr>
        <w:pStyle w:val="B11"/>
        <w:widowControl w:val="0"/>
        <w:snapToGrid w:val="0"/>
        <w:spacing w:after="0" w:line="240" w:lineRule="auto"/>
        <w:ind w:firstLine="425"/>
        <w:jc w:val="both"/>
        <w:rPr>
          <w:rFonts w:eastAsia="宋体"/>
          <w:sz w:val="20"/>
          <w:szCs w:val="20"/>
          <w:lang w:eastAsia="zh-CN"/>
        </w:rPr>
      </w:pPr>
      <w:r w:rsidRPr="00A82EB5">
        <w:rPr>
          <w:rFonts w:eastAsia="宋体"/>
          <w:sz w:val="20"/>
          <w:szCs w:val="20"/>
          <w:lang w:eastAsia="zh-CN"/>
        </w:rPr>
        <w:t xml:space="preserve">It has been described as the subendometrial halo or the junctional zone of the myometrium. Histological studies have confirmed that the subendometrial halo surrounding the endometrium represents the innermost layer of the myometrium, and compared with the outer myometrium, it consists of a distinct compartment of more tightly packed muscle cells with increased vascularity </w:t>
      </w:r>
      <w:r w:rsidRPr="00A82EB5">
        <w:rPr>
          <w:rStyle w:val="ref"/>
          <w:sz w:val="20"/>
          <w:szCs w:val="20"/>
        </w:rPr>
        <w:t>(Tetlow et al., 1999)</w:t>
      </w:r>
      <w:r w:rsidRPr="00A82EB5">
        <w:rPr>
          <w:rFonts w:eastAsia="宋体"/>
          <w:sz w:val="20"/>
          <w:szCs w:val="20"/>
          <w:lang w:eastAsia="zh-CN"/>
        </w:rPr>
        <w:t xml:space="preserve">. </w:t>
      </w:r>
      <w:r w:rsidRPr="00A82EB5">
        <w:rPr>
          <w:b/>
          <w:bCs/>
          <w:sz w:val="20"/>
          <w:szCs w:val="20"/>
        </w:rPr>
        <w:t xml:space="preserve">Lesny </w:t>
      </w:r>
      <w:r w:rsidRPr="00A82EB5">
        <w:rPr>
          <w:rFonts w:eastAsia="宋体"/>
          <w:b/>
          <w:bCs/>
          <w:sz w:val="20"/>
          <w:szCs w:val="20"/>
          <w:lang w:eastAsia="zh-CN"/>
        </w:rPr>
        <w:t xml:space="preserve">et al. </w:t>
      </w:r>
      <w:r w:rsidRPr="00A82EB5">
        <w:rPr>
          <w:rStyle w:val="ref"/>
          <w:sz w:val="20"/>
          <w:szCs w:val="20"/>
        </w:rPr>
        <w:t>(1999</w:t>
      </w:r>
      <w:r w:rsidR="00A82EB5" w:rsidRPr="00A82EB5">
        <w:rPr>
          <w:rStyle w:val="ref"/>
          <w:sz w:val="20"/>
          <w:szCs w:val="20"/>
        </w:rPr>
        <w:t>)</w:t>
      </w:r>
      <w:r w:rsidR="00A82EB5">
        <w:rPr>
          <w:rStyle w:val="ref"/>
          <w:sz w:val="20"/>
          <w:szCs w:val="20"/>
        </w:rPr>
        <w:t xml:space="preserve"> </w:t>
      </w:r>
      <w:r w:rsidR="00A82EB5" w:rsidRPr="00A82EB5">
        <w:rPr>
          <w:rFonts w:eastAsia="宋体"/>
          <w:sz w:val="20"/>
          <w:szCs w:val="20"/>
          <w:lang w:eastAsia="zh-CN"/>
        </w:rPr>
        <w:t>h</w:t>
      </w:r>
      <w:r w:rsidRPr="00A82EB5">
        <w:rPr>
          <w:rFonts w:eastAsia="宋体"/>
          <w:sz w:val="20"/>
          <w:szCs w:val="20"/>
          <w:lang w:eastAsia="zh-CN"/>
        </w:rPr>
        <w:t>ave shown that interactions between the junctional zone and the endometrium may play an important role in the implantation process.</w:t>
      </w:r>
    </w:p>
    <w:p w:rsidR="009F5A32" w:rsidRPr="00A82EB5" w:rsidRDefault="009F5A32" w:rsidP="00A82EB5">
      <w:pPr>
        <w:pStyle w:val="B11"/>
        <w:widowControl w:val="0"/>
        <w:snapToGrid w:val="0"/>
        <w:spacing w:after="0" w:line="240" w:lineRule="auto"/>
        <w:ind w:firstLine="425"/>
        <w:jc w:val="both"/>
        <w:rPr>
          <w:rFonts w:eastAsia="宋体"/>
          <w:sz w:val="20"/>
          <w:szCs w:val="20"/>
          <w:lang w:eastAsia="zh-CN"/>
        </w:rPr>
      </w:pPr>
      <w:r w:rsidRPr="00A82EB5">
        <w:rPr>
          <w:rFonts w:eastAsia="宋体"/>
          <w:sz w:val="20"/>
          <w:szCs w:val="20"/>
          <w:lang w:eastAsia="zh-CN"/>
        </w:rPr>
        <w:t xml:space="preserve">The condition of the uterus is critical to the process of embryo implantation, and among uterine conditions, endometrium development is the most important. Endometrial vasculature has been shown to play a prominent role in the early endometrial response to the implanting blastocyst, and vascular changes may contribute to uterine receptivity </w:t>
      </w:r>
      <w:r w:rsidRPr="00A82EB5">
        <w:rPr>
          <w:rStyle w:val="ref"/>
          <w:sz w:val="20"/>
          <w:szCs w:val="20"/>
        </w:rPr>
        <w:t>(Rogers, 1996)</w:t>
      </w:r>
      <w:r w:rsidRPr="00A82EB5">
        <w:rPr>
          <w:rFonts w:eastAsia="宋体"/>
          <w:sz w:val="20"/>
          <w:szCs w:val="20"/>
          <w:lang w:eastAsia="zh-CN"/>
        </w:rPr>
        <w:t>.</w:t>
      </w:r>
    </w:p>
    <w:p w:rsidR="009F5A32" w:rsidRPr="00A82EB5" w:rsidRDefault="009F5A32" w:rsidP="00A82EB5">
      <w:pPr>
        <w:pStyle w:val="b1"/>
        <w:widowControl w:val="0"/>
        <w:snapToGrid w:val="0"/>
        <w:spacing w:after="0" w:line="240" w:lineRule="auto"/>
        <w:ind w:firstLine="425"/>
        <w:jc w:val="both"/>
        <w:rPr>
          <w:sz w:val="20"/>
        </w:rPr>
      </w:pPr>
      <w:r w:rsidRPr="00A82EB5">
        <w:rPr>
          <w:sz w:val="20"/>
        </w:rPr>
        <w:t>This study evaluated the the</w:t>
      </w:r>
      <w:r w:rsidR="00661892" w:rsidRPr="00A82EB5">
        <w:rPr>
          <w:sz w:val="20"/>
        </w:rPr>
        <w:t xml:space="preserve"> </w:t>
      </w:r>
      <w:r w:rsidRPr="00A82EB5">
        <w:rPr>
          <w:sz w:val="20"/>
        </w:rPr>
        <w:t>correlation</w:t>
      </w:r>
      <w:r w:rsidR="00661892" w:rsidRPr="00A82EB5">
        <w:rPr>
          <w:sz w:val="20"/>
        </w:rPr>
        <w:t xml:space="preserve"> </w:t>
      </w:r>
      <w:r w:rsidRPr="00A82EB5">
        <w:rPr>
          <w:sz w:val="20"/>
        </w:rPr>
        <w:t>between</w:t>
      </w:r>
      <w:r w:rsidR="00661892" w:rsidRPr="00A82EB5">
        <w:rPr>
          <w:sz w:val="20"/>
        </w:rPr>
        <w:t xml:space="preserve"> </w:t>
      </w:r>
      <w:r w:rsidRPr="00A82EB5">
        <w:rPr>
          <w:sz w:val="20"/>
        </w:rPr>
        <w:t>(endometrial</w:t>
      </w:r>
      <w:r w:rsidR="00661892" w:rsidRPr="00A82EB5">
        <w:rPr>
          <w:sz w:val="20"/>
        </w:rPr>
        <w:t xml:space="preserve"> </w:t>
      </w:r>
      <w:r w:rsidRPr="00A82EB5">
        <w:rPr>
          <w:sz w:val="20"/>
        </w:rPr>
        <w:t>thickness,</w:t>
      </w:r>
      <w:r w:rsidR="00661892" w:rsidRPr="00A82EB5">
        <w:rPr>
          <w:sz w:val="20"/>
        </w:rPr>
        <w:t xml:space="preserve"> </w:t>
      </w:r>
      <w:r w:rsidRPr="00A82EB5">
        <w:rPr>
          <w:sz w:val="20"/>
        </w:rPr>
        <w:t>and</w:t>
      </w:r>
      <w:r w:rsidR="00661892" w:rsidRPr="00A82EB5">
        <w:rPr>
          <w:sz w:val="20"/>
        </w:rPr>
        <w:t xml:space="preserve"> </w:t>
      </w:r>
      <w:r w:rsidRPr="00A82EB5">
        <w:rPr>
          <w:sz w:val="20"/>
        </w:rPr>
        <w:t>assessment</w:t>
      </w:r>
      <w:r w:rsidR="00661892" w:rsidRPr="00A82EB5">
        <w:rPr>
          <w:sz w:val="20"/>
        </w:rPr>
        <w:t xml:space="preserve"> </w:t>
      </w:r>
      <w:r w:rsidRPr="00A82EB5">
        <w:rPr>
          <w:sz w:val="20"/>
        </w:rPr>
        <w:t>of sub-endometrial vascularity, by power Doppler ultrasonography), and uterine receptivity</w:t>
      </w:r>
      <w:r w:rsidR="00661892" w:rsidRPr="00A82EB5">
        <w:rPr>
          <w:sz w:val="20"/>
        </w:rPr>
        <w:t xml:space="preserve"> </w:t>
      </w:r>
      <w:r w:rsidRPr="00A82EB5">
        <w:rPr>
          <w:sz w:val="20"/>
        </w:rPr>
        <w:t>in</w:t>
      </w:r>
      <w:r w:rsidR="00661892" w:rsidRPr="00A82EB5">
        <w:rPr>
          <w:sz w:val="20"/>
        </w:rPr>
        <w:t xml:space="preserve"> </w:t>
      </w:r>
      <w:r w:rsidRPr="00A82EB5">
        <w:rPr>
          <w:sz w:val="20"/>
        </w:rPr>
        <w:t>infertile women</w:t>
      </w:r>
      <w:r w:rsidR="00661892" w:rsidRPr="00A82EB5">
        <w:rPr>
          <w:sz w:val="20"/>
        </w:rPr>
        <w:t xml:space="preserve"> </w:t>
      </w:r>
      <w:r w:rsidRPr="00A82EB5">
        <w:rPr>
          <w:sz w:val="20"/>
        </w:rPr>
        <w:t>treated</w:t>
      </w:r>
      <w:r w:rsidR="00661892" w:rsidRPr="00A82EB5">
        <w:rPr>
          <w:sz w:val="20"/>
        </w:rPr>
        <w:t xml:space="preserve"> </w:t>
      </w:r>
      <w:r w:rsidRPr="00A82EB5">
        <w:rPr>
          <w:sz w:val="20"/>
        </w:rPr>
        <w:t>with IVF/ICSI and the pregnancy outcome.</w:t>
      </w:r>
    </w:p>
    <w:p w:rsidR="009F5A32" w:rsidRPr="00A82EB5" w:rsidRDefault="009F5A32" w:rsidP="00A82EB5">
      <w:pPr>
        <w:pStyle w:val="Ba"/>
        <w:widowControl w:val="0"/>
        <w:snapToGrid w:val="0"/>
        <w:spacing w:after="0" w:line="240" w:lineRule="auto"/>
        <w:ind w:firstLine="425"/>
        <w:jc w:val="both"/>
        <w:rPr>
          <w:rStyle w:val="BbChar0"/>
          <w:sz w:val="20"/>
          <w:szCs w:val="20"/>
        </w:rPr>
      </w:pPr>
      <w:r w:rsidRPr="00A82EB5">
        <w:rPr>
          <w:rStyle w:val="BbChar0"/>
          <w:sz w:val="20"/>
          <w:szCs w:val="20"/>
        </w:rPr>
        <w:t>The study included 50 infertile patients suffering from various durations of both primary and secondary infertility, and undergoing IVF/ICSI, endometrial thickness was measured and sub-endometrial blood flow was assessed by power Doppler ultrasound on the day of hCG triggering.</w:t>
      </w:r>
    </w:p>
    <w:p w:rsidR="009F5A32" w:rsidRPr="00A82EB5" w:rsidRDefault="009F5A32" w:rsidP="00A82EB5">
      <w:pPr>
        <w:pStyle w:val="Ba"/>
        <w:widowControl w:val="0"/>
        <w:snapToGrid w:val="0"/>
        <w:spacing w:after="0" w:line="240" w:lineRule="auto"/>
        <w:ind w:firstLine="425"/>
        <w:jc w:val="both"/>
        <w:rPr>
          <w:sz w:val="20"/>
          <w:szCs w:val="20"/>
        </w:rPr>
      </w:pPr>
      <w:r w:rsidRPr="00A82EB5">
        <w:rPr>
          <w:sz w:val="20"/>
          <w:szCs w:val="20"/>
        </w:rPr>
        <w:t xml:space="preserve">In our study, </w:t>
      </w:r>
      <w:r w:rsidRPr="00A82EB5">
        <w:rPr>
          <w:rStyle w:val="BbChar0"/>
          <w:sz w:val="20"/>
          <w:szCs w:val="20"/>
        </w:rPr>
        <w:t xml:space="preserve">The mean age ranged from 22 to 35 years with mean ± SD of 30.1 ± 0.4 years in non-pregnant patients (n = 22) and 28.97 ± 4.9 in pregnant patients (n = 28). There is no statistical difference between the two groups (p = 0.55). </w:t>
      </w:r>
      <w:r w:rsidRPr="00A82EB5">
        <w:rPr>
          <w:b/>
          <w:bCs/>
          <w:sz w:val="20"/>
          <w:szCs w:val="20"/>
        </w:rPr>
        <w:t xml:space="preserve">Chien et al. </w:t>
      </w:r>
      <w:r w:rsidRPr="00A82EB5">
        <w:rPr>
          <w:rStyle w:val="ref"/>
          <w:sz w:val="20"/>
          <w:szCs w:val="20"/>
        </w:rPr>
        <w:t>(2002</w:t>
      </w:r>
      <w:r w:rsidR="00A82EB5" w:rsidRPr="00A82EB5">
        <w:rPr>
          <w:rStyle w:val="ref"/>
          <w:sz w:val="20"/>
          <w:szCs w:val="20"/>
        </w:rPr>
        <w:t>)</w:t>
      </w:r>
      <w:r w:rsidR="00A82EB5">
        <w:rPr>
          <w:rStyle w:val="ref"/>
          <w:sz w:val="20"/>
          <w:szCs w:val="20"/>
        </w:rPr>
        <w:t xml:space="preserve"> </w:t>
      </w:r>
      <w:r w:rsidR="00A82EB5" w:rsidRPr="00A82EB5">
        <w:rPr>
          <w:sz w:val="20"/>
          <w:szCs w:val="20"/>
        </w:rPr>
        <w:t>i</w:t>
      </w:r>
      <w:r w:rsidRPr="00A82EB5">
        <w:rPr>
          <w:sz w:val="20"/>
          <w:szCs w:val="20"/>
        </w:rPr>
        <w:t xml:space="preserve">nvestigated </w:t>
      </w:r>
      <w:r w:rsidRPr="00A82EB5">
        <w:rPr>
          <w:rFonts w:eastAsia="宋体"/>
          <w:sz w:val="20"/>
          <w:szCs w:val="20"/>
          <w:lang w:eastAsia="zh-CN"/>
        </w:rPr>
        <w:t>the correlation of blood flow in the endometrial–subendometrial region detected by color Doppler sonography with pregnancy outcome of an IVF-ET program.</w:t>
      </w:r>
      <w:r w:rsidRPr="00A82EB5">
        <w:rPr>
          <w:sz w:val="20"/>
          <w:szCs w:val="20"/>
        </w:rPr>
        <w:t xml:space="preserve"> They found that the </w:t>
      </w:r>
      <w:r w:rsidRPr="00A82EB5">
        <w:rPr>
          <w:rFonts w:eastAsia="宋体"/>
          <w:sz w:val="20"/>
          <w:szCs w:val="20"/>
          <w:lang w:eastAsia="zh-CN"/>
        </w:rPr>
        <w:t>mean age of the women who became pregnant was lower than that of those who did not achieve pregnancy.</w:t>
      </w:r>
    </w:p>
    <w:p w:rsidR="009F5A32" w:rsidRPr="00A82EB5" w:rsidRDefault="009F5A32" w:rsidP="00A82EB5">
      <w:pPr>
        <w:pStyle w:val="b1"/>
        <w:widowControl w:val="0"/>
        <w:snapToGrid w:val="0"/>
        <w:spacing w:after="0" w:line="240" w:lineRule="auto"/>
        <w:ind w:firstLine="425"/>
        <w:jc w:val="both"/>
        <w:rPr>
          <w:sz w:val="20"/>
        </w:rPr>
      </w:pPr>
      <w:r w:rsidRPr="00A82EB5">
        <w:rPr>
          <w:sz w:val="20"/>
        </w:rPr>
        <w:t xml:space="preserve">In our study, there were no significant </w:t>
      </w:r>
      <w:r w:rsidRPr="00A82EB5">
        <w:rPr>
          <w:sz w:val="20"/>
        </w:rPr>
        <w:lastRenderedPageBreak/>
        <w:t>differences between no pregnancy group and pregnancy group regarding follicle stimulating hormone, luteinizing hormone, E</w:t>
      </w:r>
      <w:r w:rsidRPr="00A82EB5">
        <w:rPr>
          <w:sz w:val="20"/>
          <w:vertAlign w:val="subscript"/>
        </w:rPr>
        <w:t>2</w:t>
      </w:r>
      <w:r w:rsidRPr="00A82EB5">
        <w:rPr>
          <w:sz w:val="20"/>
        </w:rPr>
        <w:t xml:space="preserve"> and thyroid stimulating hormone and there were</w:t>
      </w:r>
      <w:r w:rsidR="00E10937" w:rsidRPr="00A82EB5">
        <w:rPr>
          <w:sz w:val="20"/>
        </w:rPr>
        <w:t xml:space="preserve"> </w:t>
      </w:r>
      <w:r w:rsidRPr="00A82EB5">
        <w:rPr>
          <w:sz w:val="20"/>
        </w:rPr>
        <w:t>a statistical significant difference regarding prolactin</w:t>
      </w:r>
      <w:r w:rsidR="00A82EB5" w:rsidRPr="00A82EB5">
        <w:rPr>
          <w:sz w:val="20"/>
        </w:rPr>
        <w:t>.</w:t>
      </w:r>
      <w:r w:rsidR="00A82EB5">
        <w:rPr>
          <w:sz w:val="20"/>
        </w:rPr>
        <w:t xml:space="preserve"> </w:t>
      </w:r>
      <w:r w:rsidR="00A82EB5" w:rsidRPr="00A82EB5">
        <w:rPr>
          <w:sz w:val="20"/>
        </w:rPr>
        <w:t>w</w:t>
      </w:r>
      <w:r w:rsidRPr="00A82EB5">
        <w:rPr>
          <w:sz w:val="20"/>
        </w:rPr>
        <w:t>here it is level was lower in pregnant group than the non pregnant ones.</w:t>
      </w:r>
    </w:p>
    <w:p w:rsidR="009F5A32" w:rsidRPr="00A82EB5" w:rsidRDefault="009F5A32" w:rsidP="00A82EB5">
      <w:pPr>
        <w:pStyle w:val="b1"/>
        <w:widowControl w:val="0"/>
        <w:snapToGrid w:val="0"/>
        <w:spacing w:after="0" w:line="240" w:lineRule="auto"/>
        <w:ind w:firstLine="425"/>
        <w:jc w:val="both"/>
        <w:rPr>
          <w:sz w:val="20"/>
        </w:rPr>
      </w:pPr>
      <w:r w:rsidRPr="00A82EB5">
        <w:rPr>
          <w:sz w:val="20"/>
        </w:rPr>
        <w:t>The mean RI in no pregnancy group is higher than in pregnancy group; the difference is statistically high</w:t>
      </w:r>
      <w:r w:rsidR="00B21ED5" w:rsidRPr="00A82EB5">
        <w:rPr>
          <w:sz w:val="20"/>
        </w:rPr>
        <w:t>ly</w:t>
      </w:r>
      <w:r w:rsidRPr="00A82EB5">
        <w:rPr>
          <w:sz w:val="20"/>
        </w:rPr>
        <w:t xml:space="preserve"> significant. The mean PI in no pregnancy group is higher than in pregnancy group; the difference is statistically significant.</w:t>
      </w:r>
    </w:p>
    <w:p w:rsidR="009F5A32" w:rsidRPr="00A82EB5" w:rsidRDefault="009F5A32" w:rsidP="00A82EB5">
      <w:pPr>
        <w:pStyle w:val="b1"/>
        <w:widowControl w:val="0"/>
        <w:snapToGrid w:val="0"/>
        <w:spacing w:after="0" w:line="240" w:lineRule="auto"/>
        <w:ind w:firstLine="425"/>
        <w:jc w:val="both"/>
        <w:rPr>
          <w:sz w:val="20"/>
        </w:rPr>
      </w:pPr>
      <w:r w:rsidRPr="00A82EB5">
        <w:rPr>
          <w:b/>
          <w:bCs/>
          <w:sz w:val="20"/>
        </w:rPr>
        <w:t xml:space="preserve">Zaidi et al. </w:t>
      </w:r>
      <w:r w:rsidRPr="00A82EB5">
        <w:rPr>
          <w:rStyle w:val="ref"/>
          <w:sz w:val="20"/>
        </w:rPr>
        <w:t>(1995)</w:t>
      </w:r>
      <w:r w:rsidRPr="00A82EB5">
        <w:rPr>
          <w:sz w:val="20"/>
        </w:rPr>
        <w:t xml:space="preserve"> assessed the presence or absence of subendometrial or intraendometrial color flow, intraendometrial vascular penetration, and subendometrial blood flow velocimetry on the day of hCG administration and related the results to pregnancy rates. They found no significant difference in subendometrial peak systolic velocity or subendometrial PI between conception and nonconception cycles. The absence of both subendometrial and intraendometrial vascularization, however, was shown to be associated with failure of implantation.</w:t>
      </w:r>
    </w:p>
    <w:p w:rsidR="009F5A32" w:rsidRPr="00A82EB5" w:rsidRDefault="009F5A32" w:rsidP="00A82EB5">
      <w:pPr>
        <w:pStyle w:val="b1"/>
        <w:widowControl w:val="0"/>
        <w:snapToGrid w:val="0"/>
        <w:spacing w:after="0" w:line="240" w:lineRule="auto"/>
        <w:ind w:firstLine="425"/>
        <w:jc w:val="both"/>
        <w:rPr>
          <w:sz w:val="20"/>
        </w:rPr>
      </w:pPr>
      <w:r w:rsidRPr="00A82EB5">
        <w:rPr>
          <w:b/>
          <w:bCs/>
          <w:sz w:val="20"/>
        </w:rPr>
        <w:t xml:space="preserve">Ng et al. </w:t>
      </w:r>
      <w:r w:rsidRPr="00A82EB5">
        <w:rPr>
          <w:rStyle w:val="ref"/>
          <w:sz w:val="20"/>
        </w:rPr>
        <w:t>(2006)</w:t>
      </w:r>
      <w:r w:rsidRPr="00A82EB5">
        <w:rPr>
          <w:sz w:val="20"/>
        </w:rPr>
        <w:t xml:space="preserve"> recruited 451 patients in their first IVF cycle who received a standard long protocol of pituitary down-regulation, in their study to evaluate the role of the endometrial and sub-endometrial blood flows measured by 3D power Doppler ultrasound in the prediction of pregnancy during IVF treatment,</w:t>
      </w:r>
      <w:r w:rsidR="00E10937" w:rsidRPr="00A82EB5">
        <w:rPr>
          <w:sz w:val="20"/>
        </w:rPr>
        <w:t xml:space="preserve"> </w:t>
      </w:r>
      <w:r w:rsidRPr="00A82EB5">
        <w:rPr>
          <w:sz w:val="20"/>
        </w:rPr>
        <w:t>on the day</w:t>
      </w:r>
      <w:r w:rsidR="00E10937" w:rsidRPr="00A82EB5">
        <w:rPr>
          <w:sz w:val="20"/>
        </w:rPr>
        <w:t xml:space="preserve"> </w:t>
      </w:r>
      <w:r w:rsidRPr="00A82EB5">
        <w:rPr>
          <w:sz w:val="20"/>
        </w:rPr>
        <w:t>of</w:t>
      </w:r>
      <w:r w:rsidR="00E10937" w:rsidRPr="00A82EB5">
        <w:rPr>
          <w:sz w:val="20"/>
        </w:rPr>
        <w:t xml:space="preserve"> </w:t>
      </w:r>
      <w:r w:rsidRPr="00A82EB5">
        <w:rPr>
          <w:sz w:val="20"/>
        </w:rPr>
        <w:t>oocyte</w:t>
      </w:r>
      <w:r w:rsidR="00E10937" w:rsidRPr="00A82EB5">
        <w:rPr>
          <w:sz w:val="20"/>
        </w:rPr>
        <w:t xml:space="preserve"> </w:t>
      </w:r>
      <w:r w:rsidRPr="00A82EB5">
        <w:rPr>
          <w:sz w:val="20"/>
        </w:rPr>
        <w:t>retrieval,</w:t>
      </w:r>
      <w:r w:rsidR="00E10937" w:rsidRPr="00A82EB5">
        <w:rPr>
          <w:sz w:val="20"/>
        </w:rPr>
        <w:t xml:space="preserve"> </w:t>
      </w:r>
      <w:r w:rsidRPr="00A82EB5">
        <w:rPr>
          <w:sz w:val="20"/>
        </w:rPr>
        <w:t>they</w:t>
      </w:r>
      <w:r w:rsidR="00E10937" w:rsidRPr="00A82EB5">
        <w:rPr>
          <w:sz w:val="20"/>
        </w:rPr>
        <w:t xml:space="preserve"> </w:t>
      </w:r>
      <w:r w:rsidRPr="00A82EB5">
        <w:rPr>
          <w:sz w:val="20"/>
        </w:rPr>
        <w:t>determined</w:t>
      </w:r>
      <w:r w:rsidR="00E10937" w:rsidRPr="00A82EB5">
        <w:rPr>
          <w:sz w:val="20"/>
        </w:rPr>
        <w:t xml:space="preserve"> </w:t>
      </w:r>
      <w:r w:rsidRPr="00A82EB5">
        <w:rPr>
          <w:sz w:val="20"/>
        </w:rPr>
        <w:t>endometrial</w:t>
      </w:r>
      <w:r w:rsidR="00E10937" w:rsidRPr="00A82EB5">
        <w:rPr>
          <w:sz w:val="20"/>
        </w:rPr>
        <w:t xml:space="preserve"> </w:t>
      </w:r>
      <w:r w:rsidRPr="00A82EB5">
        <w:rPr>
          <w:sz w:val="20"/>
        </w:rPr>
        <w:t>thickness,</w:t>
      </w:r>
      <w:r w:rsidR="00E10937" w:rsidRPr="00A82EB5">
        <w:rPr>
          <w:sz w:val="20"/>
        </w:rPr>
        <w:t xml:space="preserve"> </w:t>
      </w:r>
      <w:r w:rsidRPr="00A82EB5">
        <w:rPr>
          <w:sz w:val="20"/>
        </w:rPr>
        <w:t>endometrial pattern,</w:t>
      </w:r>
      <w:r w:rsidR="00E10937" w:rsidRPr="00A82EB5">
        <w:rPr>
          <w:sz w:val="20"/>
        </w:rPr>
        <w:t xml:space="preserve"> </w:t>
      </w:r>
      <w:r w:rsidRPr="00A82EB5">
        <w:rPr>
          <w:sz w:val="20"/>
        </w:rPr>
        <w:t>pulsatility</w:t>
      </w:r>
      <w:r w:rsidR="00E10937" w:rsidRPr="00A82EB5">
        <w:rPr>
          <w:sz w:val="20"/>
        </w:rPr>
        <w:t xml:space="preserve"> </w:t>
      </w:r>
      <w:r w:rsidRPr="00A82EB5">
        <w:rPr>
          <w:sz w:val="20"/>
        </w:rPr>
        <w:t>index</w:t>
      </w:r>
      <w:r w:rsidR="00E10937" w:rsidRPr="00A82EB5">
        <w:rPr>
          <w:sz w:val="20"/>
        </w:rPr>
        <w:t xml:space="preserve"> </w:t>
      </w:r>
      <w:r w:rsidRPr="00A82EB5">
        <w:rPr>
          <w:sz w:val="20"/>
        </w:rPr>
        <w:t>(PI)</w:t>
      </w:r>
      <w:r w:rsidR="00E10937" w:rsidRPr="00A82EB5">
        <w:rPr>
          <w:sz w:val="20"/>
        </w:rPr>
        <w:t xml:space="preserve"> </w:t>
      </w:r>
      <w:r w:rsidRPr="00A82EB5">
        <w:rPr>
          <w:sz w:val="20"/>
        </w:rPr>
        <w:t>and</w:t>
      </w:r>
      <w:r w:rsidR="00E10937" w:rsidRPr="00A82EB5">
        <w:rPr>
          <w:sz w:val="20"/>
        </w:rPr>
        <w:t xml:space="preserve"> </w:t>
      </w:r>
      <w:r w:rsidRPr="00A82EB5">
        <w:rPr>
          <w:sz w:val="20"/>
        </w:rPr>
        <w:t>resistance</w:t>
      </w:r>
      <w:r w:rsidR="00E10937" w:rsidRPr="00A82EB5">
        <w:rPr>
          <w:sz w:val="20"/>
        </w:rPr>
        <w:t xml:space="preserve"> </w:t>
      </w:r>
      <w:r w:rsidRPr="00A82EB5">
        <w:rPr>
          <w:sz w:val="20"/>
        </w:rPr>
        <w:t>index</w:t>
      </w:r>
      <w:r w:rsidR="00E10937" w:rsidRPr="00A82EB5">
        <w:rPr>
          <w:sz w:val="20"/>
        </w:rPr>
        <w:t xml:space="preserve"> </w:t>
      </w:r>
      <w:r w:rsidRPr="00A82EB5">
        <w:rPr>
          <w:sz w:val="20"/>
        </w:rPr>
        <w:t>(RI)</w:t>
      </w:r>
      <w:r w:rsidR="00E10937" w:rsidRPr="00A82EB5">
        <w:rPr>
          <w:sz w:val="20"/>
        </w:rPr>
        <w:t xml:space="preserve"> </w:t>
      </w:r>
      <w:r w:rsidRPr="00A82EB5">
        <w:rPr>
          <w:sz w:val="20"/>
        </w:rPr>
        <w:t>of</w:t>
      </w:r>
      <w:r w:rsidR="00E10937" w:rsidRPr="00A82EB5">
        <w:rPr>
          <w:sz w:val="20"/>
        </w:rPr>
        <w:t xml:space="preserve"> </w:t>
      </w:r>
      <w:r w:rsidRPr="00A82EB5">
        <w:rPr>
          <w:sz w:val="20"/>
        </w:rPr>
        <w:t>uterine</w:t>
      </w:r>
      <w:r w:rsidR="00E10937" w:rsidRPr="00A82EB5">
        <w:rPr>
          <w:sz w:val="20"/>
        </w:rPr>
        <w:t xml:space="preserve"> </w:t>
      </w:r>
      <w:r w:rsidRPr="00A82EB5">
        <w:rPr>
          <w:sz w:val="20"/>
        </w:rPr>
        <w:t>vessels, endometrial volume, vascularization index (VI), flow index (FI) and vascularization flow index (VFI) of endometrial and sub-endometrial regions, they found that the pregnant group had significantly lower uterine RI, endometrial VI and VFI than the non-pregnant</w:t>
      </w:r>
      <w:r w:rsidR="00E10937" w:rsidRPr="00A82EB5">
        <w:rPr>
          <w:sz w:val="20"/>
        </w:rPr>
        <w:t xml:space="preserve"> </w:t>
      </w:r>
      <w:r w:rsidRPr="00A82EB5">
        <w:rPr>
          <w:sz w:val="20"/>
        </w:rPr>
        <w:t>group,</w:t>
      </w:r>
      <w:r w:rsidR="00E10937" w:rsidRPr="00A82EB5">
        <w:rPr>
          <w:sz w:val="20"/>
        </w:rPr>
        <w:t xml:space="preserve"> </w:t>
      </w:r>
      <w:r w:rsidRPr="00A82EB5">
        <w:rPr>
          <w:sz w:val="20"/>
        </w:rPr>
        <w:t>however,</w:t>
      </w:r>
      <w:r w:rsidR="00E10937" w:rsidRPr="00A82EB5">
        <w:rPr>
          <w:sz w:val="20"/>
        </w:rPr>
        <w:t xml:space="preserve"> </w:t>
      </w:r>
      <w:r w:rsidRPr="00A82EB5">
        <w:rPr>
          <w:sz w:val="20"/>
        </w:rPr>
        <w:t>Receiver</w:t>
      </w:r>
      <w:r w:rsidR="00E10937" w:rsidRPr="00A82EB5">
        <w:rPr>
          <w:sz w:val="20"/>
        </w:rPr>
        <w:t xml:space="preserve"> </w:t>
      </w:r>
      <w:r w:rsidRPr="00A82EB5">
        <w:rPr>
          <w:sz w:val="20"/>
        </w:rPr>
        <w:t>operator</w:t>
      </w:r>
      <w:r w:rsidR="00E10937" w:rsidRPr="00A82EB5">
        <w:rPr>
          <w:sz w:val="20"/>
        </w:rPr>
        <w:t xml:space="preserve"> </w:t>
      </w:r>
      <w:r w:rsidRPr="00A82EB5">
        <w:rPr>
          <w:sz w:val="20"/>
        </w:rPr>
        <w:t>characteristic</w:t>
      </w:r>
      <w:r w:rsidR="00E10937" w:rsidRPr="00A82EB5">
        <w:rPr>
          <w:sz w:val="20"/>
        </w:rPr>
        <w:t xml:space="preserve"> </w:t>
      </w:r>
      <w:r w:rsidRPr="00A82EB5">
        <w:rPr>
          <w:sz w:val="20"/>
        </w:rPr>
        <w:t>curve</w:t>
      </w:r>
      <w:r w:rsidR="00E10937" w:rsidRPr="00A82EB5">
        <w:rPr>
          <w:sz w:val="20"/>
        </w:rPr>
        <w:t xml:space="preserve"> </w:t>
      </w:r>
      <w:r w:rsidRPr="00A82EB5">
        <w:rPr>
          <w:sz w:val="20"/>
        </w:rPr>
        <w:t>analysis revealed that the area under the curve was ~0.5 for all ultrasound parameters for endometrial receptivity, thus they concluded that Endometrial and subendometrial blood flows measured by 3D power Doppler ultrasound were not good predictors of pregnancy if they were measured at one time-point during IVF treatment.</w:t>
      </w:r>
    </w:p>
    <w:p w:rsidR="009F5A32" w:rsidRPr="00A82EB5" w:rsidRDefault="009F5A32" w:rsidP="00A82EB5">
      <w:pPr>
        <w:pStyle w:val="b1"/>
        <w:widowControl w:val="0"/>
        <w:snapToGrid w:val="0"/>
        <w:spacing w:after="0" w:line="240" w:lineRule="auto"/>
        <w:ind w:firstLine="425"/>
        <w:jc w:val="both"/>
        <w:rPr>
          <w:sz w:val="20"/>
        </w:rPr>
      </w:pPr>
      <w:r w:rsidRPr="00A82EB5">
        <w:rPr>
          <w:sz w:val="20"/>
        </w:rPr>
        <w:t>In our study, the mean endometrial thickness in no pregnancy group is lower than in pregnancy group, the difference is statistically significant.</w:t>
      </w:r>
    </w:p>
    <w:p w:rsidR="009F5A32" w:rsidRPr="00A82EB5" w:rsidRDefault="009F5A32" w:rsidP="00A82EB5">
      <w:pPr>
        <w:pStyle w:val="b1"/>
        <w:widowControl w:val="0"/>
        <w:snapToGrid w:val="0"/>
        <w:spacing w:after="0" w:line="240" w:lineRule="auto"/>
        <w:ind w:firstLine="425"/>
        <w:jc w:val="both"/>
        <w:rPr>
          <w:sz w:val="20"/>
        </w:rPr>
      </w:pPr>
      <w:r w:rsidRPr="00A82EB5">
        <w:rPr>
          <w:rStyle w:val="ref"/>
          <w:sz w:val="20"/>
        </w:rPr>
        <w:t xml:space="preserve">Raga et al </w:t>
      </w:r>
      <w:r w:rsidR="00AF1350" w:rsidRPr="00A82EB5">
        <w:rPr>
          <w:rStyle w:val="ref"/>
          <w:sz w:val="20"/>
        </w:rPr>
        <w:t>(</w:t>
      </w:r>
      <w:r w:rsidRPr="00A82EB5">
        <w:rPr>
          <w:rStyle w:val="ref"/>
          <w:sz w:val="20"/>
        </w:rPr>
        <w:t>1999)</w:t>
      </w:r>
      <w:r w:rsidRPr="00A82EB5">
        <w:rPr>
          <w:sz w:val="20"/>
        </w:rPr>
        <w:t xml:space="preserve"> in their study to investigate the role of endometrial volume by 3D US in relation to endometrial receptivity in 72 patients undergoing IVF cycles, found that implantation and pregnancy rates were significantly lower when</w:t>
      </w:r>
      <w:r w:rsidR="00E10937" w:rsidRPr="00A82EB5">
        <w:rPr>
          <w:sz w:val="20"/>
        </w:rPr>
        <w:t xml:space="preserve"> </w:t>
      </w:r>
      <w:r w:rsidRPr="00A82EB5">
        <w:rPr>
          <w:sz w:val="20"/>
        </w:rPr>
        <w:t>endometrial</w:t>
      </w:r>
      <w:r w:rsidR="00E10937" w:rsidRPr="00A82EB5">
        <w:rPr>
          <w:sz w:val="20"/>
        </w:rPr>
        <w:t xml:space="preserve"> </w:t>
      </w:r>
      <w:r w:rsidRPr="00A82EB5">
        <w:rPr>
          <w:sz w:val="20"/>
        </w:rPr>
        <w:t>volume</w:t>
      </w:r>
      <w:r w:rsidR="00E10937" w:rsidRPr="00A82EB5">
        <w:rPr>
          <w:sz w:val="20"/>
        </w:rPr>
        <w:t xml:space="preserve"> </w:t>
      </w:r>
      <w:r w:rsidRPr="00A82EB5">
        <w:rPr>
          <w:sz w:val="20"/>
        </w:rPr>
        <w:t>was</w:t>
      </w:r>
      <w:r w:rsidR="00E10937" w:rsidRPr="00A82EB5">
        <w:rPr>
          <w:sz w:val="20"/>
        </w:rPr>
        <w:t xml:space="preserve"> </w:t>
      </w:r>
      <w:r w:rsidRPr="00A82EB5">
        <w:rPr>
          <w:sz w:val="20"/>
        </w:rPr>
        <w:t>less</w:t>
      </w:r>
      <w:r w:rsidR="00E10937" w:rsidRPr="00A82EB5">
        <w:rPr>
          <w:sz w:val="20"/>
        </w:rPr>
        <w:t xml:space="preserve"> </w:t>
      </w:r>
      <w:r w:rsidRPr="00A82EB5">
        <w:rPr>
          <w:sz w:val="20"/>
        </w:rPr>
        <w:t>than</w:t>
      </w:r>
      <w:r w:rsidR="00E10937" w:rsidRPr="00A82EB5">
        <w:rPr>
          <w:sz w:val="20"/>
        </w:rPr>
        <w:t xml:space="preserve"> </w:t>
      </w:r>
      <w:r w:rsidRPr="00A82EB5">
        <w:rPr>
          <w:sz w:val="20"/>
        </w:rPr>
        <w:t>2,</w:t>
      </w:r>
      <w:r w:rsidR="00E10937" w:rsidRPr="00A82EB5">
        <w:rPr>
          <w:sz w:val="20"/>
        </w:rPr>
        <w:t xml:space="preserve"> </w:t>
      </w:r>
      <w:r w:rsidRPr="00A82EB5">
        <w:rPr>
          <w:sz w:val="20"/>
        </w:rPr>
        <w:t>no</w:t>
      </w:r>
      <w:r w:rsidR="00E10937" w:rsidRPr="00A82EB5">
        <w:rPr>
          <w:sz w:val="20"/>
        </w:rPr>
        <w:t xml:space="preserve"> </w:t>
      </w:r>
      <w:r w:rsidRPr="00A82EB5">
        <w:rPr>
          <w:sz w:val="20"/>
        </w:rPr>
        <w:t>pregnancy</w:t>
      </w:r>
      <w:r w:rsidR="00E10937" w:rsidRPr="00A82EB5">
        <w:rPr>
          <w:sz w:val="20"/>
        </w:rPr>
        <w:t xml:space="preserve"> </w:t>
      </w:r>
      <w:r w:rsidRPr="00A82EB5">
        <w:rPr>
          <w:sz w:val="20"/>
        </w:rPr>
        <w:t>occurred</w:t>
      </w:r>
      <w:r w:rsidR="00E10937" w:rsidRPr="00A82EB5">
        <w:rPr>
          <w:sz w:val="20"/>
        </w:rPr>
        <w:t xml:space="preserve"> </w:t>
      </w:r>
      <w:r w:rsidRPr="00A82EB5">
        <w:rPr>
          <w:sz w:val="20"/>
        </w:rPr>
        <w:t>when endometrial volume was less than 1.</w:t>
      </w:r>
    </w:p>
    <w:p w:rsidR="009F5A32" w:rsidRPr="00A82EB5" w:rsidRDefault="009F5A32" w:rsidP="00A82EB5">
      <w:pPr>
        <w:pStyle w:val="b1"/>
        <w:widowControl w:val="0"/>
        <w:snapToGrid w:val="0"/>
        <w:spacing w:after="0" w:line="240" w:lineRule="auto"/>
        <w:ind w:firstLine="425"/>
        <w:jc w:val="both"/>
        <w:rPr>
          <w:sz w:val="20"/>
        </w:rPr>
      </w:pPr>
      <w:r w:rsidRPr="00A82EB5">
        <w:rPr>
          <w:sz w:val="20"/>
        </w:rPr>
        <w:lastRenderedPageBreak/>
        <w:t>E2, hCG, number of follicles and their diameter were not significantly different between pregnancy and no pregnancy groups. But, there were statistically significant differences between no pregnancy group and pregnancy group regarding number of oocytes and number of available and transferred embryos.</w:t>
      </w:r>
    </w:p>
    <w:p w:rsidR="009F5A32" w:rsidRPr="00A82EB5" w:rsidRDefault="009F5A32" w:rsidP="00A82EB5">
      <w:pPr>
        <w:pStyle w:val="B11"/>
        <w:widowControl w:val="0"/>
        <w:snapToGrid w:val="0"/>
        <w:spacing w:after="0" w:line="240" w:lineRule="auto"/>
        <w:ind w:firstLine="425"/>
        <w:jc w:val="both"/>
        <w:rPr>
          <w:rFonts w:eastAsia="宋体"/>
          <w:sz w:val="20"/>
          <w:szCs w:val="20"/>
          <w:lang w:eastAsia="zh-CN"/>
        </w:rPr>
      </w:pPr>
      <w:r w:rsidRPr="00A82EB5">
        <w:rPr>
          <w:rFonts w:eastAsia="宋体"/>
          <w:b/>
          <w:bCs/>
          <w:sz w:val="20"/>
          <w:szCs w:val="20"/>
          <w:lang w:eastAsia="zh-CN"/>
        </w:rPr>
        <w:t xml:space="preserve">Salle et al. </w:t>
      </w:r>
      <w:r w:rsidRPr="00A82EB5">
        <w:rPr>
          <w:rStyle w:val="ref"/>
          <w:sz w:val="20"/>
          <w:szCs w:val="20"/>
        </w:rPr>
        <w:t>(1998)</w:t>
      </w:r>
      <w:r w:rsidR="00E10937" w:rsidRPr="00A82EB5">
        <w:rPr>
          <w:rStyle w:val="ref"/>
          <w:sz w:val="20"/>
          <w:szCs w:val="20"/>
        </w:rPr>
        <w:t xml:space="preserve"> </w:t>
      </w:r>
      <w:r w:rsidRPr="00A82EB5">
        <w:rPr>
          <w:rFonts w:eastAsia="宋体"/>
          <w:sz w:val="20"/>
          <w:szCs w:val="20"/>
          <w:lang w:eastAsia="zh-CN"/>
        </w:rPr>
        <w:t>examined the ability of an ultrasonography score to assess the uterine receptivity. A total of 96 women undergoing in-vitro fertilization (IVF) treatment were examined by transvaginal ultrasonography with colour and pulsed Doppler ultrasound on the 22nd day of the menstrual cycle preceding IVF. The overall pregnancy rate was 30.2%, and there was no difference between the pregnant and non-pregnant groups with regard to any of the ultrasonographic and Doppler parameters when examined separately. However, the uterine score was significantly higher in the pregnant group. No pregnancy occurred if the score was between 0 and 10. With a score of 11-15 there was a 34.7% chance of pregnancy, and scores &gt;16 had a 42% chance of pregnancy. In conclusion, individual ultrasonographic and Doppler parameters are not of sufficient accuracy to predict uterine receptivity. The uterine score calculated prior to IVF cycles appears to be a useful predictor of implantation.</w:t>
      </w:r>
    </w:p>
    <w:p w:rsidR="009F5A32" w:rsidRPr="00A82EB5" w:rsidRDefault="009F5A32" w:rsidP="00A82EB5">
      <w:pPr>
        <w:pStyle w:val="B11"/>
        <w:widowControl w:val="0"/>
        <w:snapToGrid w:val="0"/>
        <w:spacing w:after="0" w:line="240" w:lineRule="auto"/>
        <w:ind w:firstLine="425"/>
        <w:jc w:val="both"/>
        <w:rPr>
          <w:rFonts w:eastAsia="宋体"/>
          <w:sz w:val="20"/>
          <w:szCs w:val="20"/>
          <w:lang w:eastAsia="zh-CN"/>
        </w:rPr>
      </w:pPr>
      <w:r w:rsidRPr="00A82EB5">
        <w:rPr>
          <w:rFonts w:eastAsia="宋体"/>
          <w:sz w:val="20"/>
          <w:szCs w:val="20"/>
          <w:lang w:eastAsia="zh-CN"/>
        </w:rPr>
        <w:t xml:space="preserve">In an attempt to use endometrial vascular resistance measured by Doppler spectral analysis to predict the success rate of in vitro fertilization, </w:t>
      </w:r>
      <w:r w:rsidRPr="00A82EB5">
        <w:rPr>
          <w:rFonts w:eastAsia="宋体"/>
          <w:b/>
          <w:bCs/>
          <w:sz w:val="20"/>
          <w:szCs w:val="20"/>
          <w:lang w:eastAsia="zh-CN"/>
        </w:rPr>
        <w:t xml:space="preserve">Yuval et al. </w:t>
      </w:r>
      <w:r w:rsidRPr="00A82EB5">
        <w:rPr>
          <w:rStyle w:val="ref"/>
          <w:sz w:val="20"/>
          <w:szCs w:val="20"/>
        </w:rPr>
        <w:t>(1999)</w:t>
      </w:r>
      <w:r w:rsidRPr="00A82EB5">
        <w:rPr>
          <w:rFonts w:eastAsia="宋体"/>
          <w:sz w:val="20"/>
          <w:szCs w:val="20"/>
          <w:lang w:eastAsia="zh-CN"/>
        </w:rPr>
        <w:t xml:space="preserve"> failed to find significant differences between pregnant and nonpregnant patients.</w:t>
      </w:r>
    </w:p>
    <w:p w:rsidR="009F5A32" w:rsidRPr="00A82EB5" w:rsidRDefault="009F5A32" w:rsidP="00A82EB5">
      <w:pPr>
        <w:pStyle w:val="B11"/>
        <w:widowControl w:val="0"/>
        <w:snapToGrid w:val="0"/>
        <w:spacing w:after="0" w:line="240" w:lineRule="auto"/>
        <w:ind w:firstLine="425"/>
        <w:jc w:val="both"/>
        <w:rPr>
          <w:rFonts w:eastAsia="宋体"/>
          <w:sz w:val="20"/>
          <w:szCs w:val="20"/>
          <w:lang w:eastAsia="zh-CN"/>
        </w:rPr>
      </w:pPr>
      <w:r w:rsidRPr="00A82EB5">
        <w:rPr>
          <w:rFonts w:eastAsia="宋体"/>
          <w:b/>
          <w:bCs/>
          <w:sz w:val="20"/>
          <w:szCs w:val="20"/>
          <w:lang w:eastAsia="zh-CN"/>
        </w:rPr>
        <w:t xml:space="preserve">Schild et al. </w:t>
      </w:r>
      <w:r w:rsidRPr="00A82EB5">
        <w:rPr>
          <w:rStyle w:val="ref"/>
          <w:sz w:val="20"/>
          <w:szCs w:val="20"/>
        </w:rPr>
        <w:t>(2000)</w:t>
      </w:r>
      <w:r w:rsidR="00E10937" w:rsidRPr="00A82EB5">
        <w:rPr>
          <w:rStyle w:val="ref"/>
          <w:sz w:val="20"/>
          <w:szCs w:val="20"/>
        </w:rPr>
        <w:t xml:space="preserve"> </w:t>
      </w:r>
      <w:r w:rsidRPr="00A82EB5">
        <w:rPr>
          <w:rFonts w:eastAsia="宋体"/>
          <w:sz w:val="20"/>
          <w:szCs w:val="20"/>
          <w:lang w:eastAsia="zh-CN"/>
        </w:rPr>
        <w:t>investigated the role of 3-D power Doppler sonography of the subendometrial area on the 1st day of ovarian stimulation in predicting the outcome of an IVF program and demonstrated that neither endometrial measurements nor uterine blood flow were correlated with the pregnancy rate.</w:t>
      </w:r>
    </w:p>
    <w:p w:rsidR="009F5A32" w:rsidRPr="00A82EB5" w:rsidRDefault="009F5A32" w:rsidP="00A82EB5">
      <w:pPr>
        <w:pStyle w:val="B11"/>
        <w:widowControl w:val="0"/>
        <w:snapToGrid w:val="0"/>
        <w:spacing w:after="0" w:line="240" w:lineRule="auto"/>
        <w:ind w:firstLine="425"/>
        <w:jc w:val="both"/>
        <w:rPr>
          <w:rFonts w:eastAsia="宋体"/>
          <w:sz w:val="20"/>
          <w:szCs w:val="20"/>
          <w:lang w:eastAsia="zh-CN"/>
        </w:rPr>
      </w:pPr>
      <w:r w:rsidRPr="00A82EB5">
        <w:rPr>
          <w:rFonts w:eastAsia="宋体"/>
          <w:b/>
          <w:bCs/>
          <w:sz w:val="20"/>
          <w:szCs w:val="20"/>
          <w:lang w:eastAsia="zh-CN"/>
        </w:rPr>
        <w:t xml:space="preserve">Kupesic et al. </w:t>
      </w:r>
      <w:r w:rsidRPr="00A82EB5">
        <w:rPr>
          <w:rStyle w:val="ref"/>
          <w:sz w:val="20"/>
          <w:szCs w:val="20"/>
        </w:rPr>
        <w:t>(2001)</w:t>
      </w:r>
      <w:r w:rsidRPr="00A82EB5">
        <w:rPr>
          <w:rFonts w:eastAsia="宋体"/>
          <w:sz w:val="20"/>
          <w:szCs w:val="20"/>
          <w:lang w:eastAsia="zh-CN"/>
        </w:rPr>
        <w:t xml:space="preserve"> demonstrated that quantitative analysis of blood flow could be obtained by implementing the color histogram mode and calculations by the built-in computer for 3-D power Doppler examinations. A significantly higher flow index on the day of ET was found in pregnant patients by using these new and complicated techniques. Patients who became pregnant were characterized by a significantly lower RI, obtained from subendometrial vessels by transvaginal color Doppler ultrasonography.</w:t>
      </w:r>
    </w:p>
    <w:p w:rsidR="009F5A32" w:rsidRPr="00A82EB5" w:rsidRDefault="009F5A32" w:rsidP="00A82EB5">
      <w:pPr>
        <w:pStyle w:val="B11"/>
        <w:widowControl w:val="0"/>
        <w:snapToGrid w:val="0"/>
        <w:spacing w:after="0" w:line="240" w:lineRule="auto"/>
        <w:ind w:firstLine="425"/>
        <w:jc w:val="both"/>
        <w:rPr>
          <w:rFonts w:eastAsia="宋体"/>
          <w:sz w:val="20"/>
          <w:szCs w:val="20"/>
          <w:lang w:eastAsia="zh-CN"/>
        </w:rPr>
      </w:pPr>
      <w:r w:rsidRPr="00A82EB5">
        <w:rPr>
          <w:rFonts w:eastAsia="宋体"/>
          <w:b/>
          <w:bCs/>
          <w:sz w:val="20"/>
          <w:szCs w:val="20"/>
          <w:lang w:eastAsia="zh-CN"/>
        </w:rPr>
        <w:t xml:space="preserve">Kupesic et al. </w:t>
      </w:r>
      <w:r w:rsidRPr="00A82EB5">
        <w:rPr>
          <w:rStyle w:val="ref"/>
          <w:sz w:val="20"/>
          <w:szCs w:val="20"/>
        </w:rPr>
        <w:t>(2001)</w:t>
      </w:r>
      <w:r w:rsidRPr="00A82EB5">
        <w:rPr>
          <w:rFonts w:eastAsia="宋体"/>
          <w:sz w:val="20"/>
          <w:szCs w:val="20"/>
          <w:lang w:eastAsia="zh-CN"/>
        </w:rPr>
        <w:t xml:space="preserve"> compared the 2-D and 3-D ultrasonographic scoring systems by combining parameters including endometrial thickness, volume, echogenicity, and subendometrial blood flow and found the two systems had similar efficiencies in predicting pregnancy outcome of IVF/ET procedures. They showed that the resistance to endometrial blood flow is more indicative than the presence or absence </w:t>
      </w:r>
      <w:r w:rsidRPr="00A82EB5">
        <w:rPr>
          <w:rFonts w:eastAsia="宋体"/>
          <w:sz w:val="20"/>
          <w:szCs w:val="20"/>
          <w:lang w:eastAsia="zh-CN"/>
        </w:rPr>
        <w:lastRenderedPageBreak/>
        <w:t>of subendometrial blood flow alone.</w:t>
      </w:r>
    </w:p>
    <w:p w:rsidR="009F5A32" w:rsidRPr="00A82EB5" w:rsidRDefault="009F5A32" w:rsidP="00A82EB5">
      <w:pPr>
        <w:pStyle w:val="B11"/>
        <w:widowControl w:val="0"/>
        <w:snapToGrid w:val="0"/>
        <w:spacing w:after="0" w:line="240" w:lineRule="auto"/>
        <w:ind w:firstLine="425"/>
        <w:jc w:val="both"/>
        <w:rPr>
          <w:rFonts w:eastAsia="宋体"/>
          <w:sz w:val="20"/>
          <w:szCs w:val="20"/>
          <w:lang w:eastAsia="zh-CN"/>
        </w:rPr>
      </w:pPr>
      <w:r w:rsidRPr="00A82EB5">
        <w:rPr>
          <w:b/>
          <w:bCs/>
          <w:sz w:val="20"/>
          <w:szCs w:val="20"/>
        </w:rPr>
        <w:t xml:space="preserve">Schild </w:t>
      </w:r>
      <w:r w:rsidRPr="00A82EB5">
        <w:rPr>
          <w:rFonts w:eastAsia="宋体"/>
          <w:b/>
          <w:bCs/>
          <w:sz w:val="20"/>
          <w:szCs w:val="20"/>
          <w:lang w:eastAsia="zh-CN"/>
        </w:rPr>
        <w:t xml:space="preserve">et al. </w:t>
      </w:r>
      <w:r w:rsidRPr="00A82EB5">
        <w:rPr>
          <w:rStyle w:val="ref"/>
          <w:sz w:val="20"/>
          <w:szCs w:val="20"/>
        </w:rPr>
        <w:t>(2001)</w:t>
      </w:r>
      <w:r w:rsidR="00B21ED5" w:rsidRPr="00A82EB5">
        <w:rPr>
          <w:rStyle w:val="ref"/>
          <w:sz w:val="20"/>
          <w:szCs w:val="20"/>
        </w:rPr>
        <w:t xml:space="preserve"> </w:t>
      </w:r>
      <w:r w:rsidRPr="00A82EB5">
        <w:rPr>
          <w:rFonts w:eastAsia="宋体"/>
          <w:sz w:val="20"/>
          <w:szCs w:val="20"/>
          <w:lang w:eastAsia="zh-CN"/>
        </w:rPr>
        <w:t>noticed that those combining the endometrial and subendometrial flow parameters showed significant differences between pregnant and nonpregnant patients. In contrast, there was no significant difference if attention was only focused on intraendometrial or subendometrial blood flow. These results implied that the endometrial–subendometrial area must be considered as a whole in evaluating endometrial perfusion.</w:t>
      </w:r>
    </w:p>
    <w:p w:rsidR="009F5A32" w:rsidRPr="00A82EB5" w:rsidRDefault="009F5A32" w:rsidP="00A82EB5">
      <w:pPr>
        <w:pStyle w:val="B11"/>
        <w:widowControl w:val="0"/>
        <w:snapToGrid w:val="0"/>
        <w:spacing w:after="0" w:line="240" w:lineRule="auto"/>
        <w:ind w:firstLine="425"/>
        <w:jc w:val="both"/>
        <w:rPr>
          <w:rFonts w:eastAsia="宋体"/>
          <w:sz w:val="20"/>
          <w:szCs w:val="20"/>
          <w:lang w:eastAsia="zh-CN"/>
        </w:rPr>
      </w:pPr>
      <w:r w:rsidRPr="00A82EB5">
        <w:rPr>
          <w:b/>
          <w:bCs/>
          <w:sz w:val="20"/>
          <w:szCs w:val="20"/>
        </w:rPr>
        <w:t xml:space="preserve">Chien et al. </w:t>
      </w:r>
      <w:r w:rsidRPr="00A82EB5">
        <w:rPr>
          <w:rStyle w:val="ref"/>
          <w:sz w:val="20"/>
          <w:szCs w:val="20"/>
        </w:rPr>
        <w:t>(2002)</w:t>
      </w:r>
      <w:r w:rsidR="00E10937" w:rsidRPr="00A82EB5">
        <w:rPr>
          <w:sz w:val="20"/>
          <w:szCs w:val="20"/>
        </w:rPr>
        <w:t xml:space="preserve"> </w:t>
      </w:r>
      <w:r w:rsidRPr="00A82EB5">
        <w:rPr>
          <w:sz w:val="20"/>
          <w:szCs w:val="20"/>
        </w:rPr>
        <w:t xml:space="preserve">stated that there </w:t>
      </w:r>
      <w:r w:rsidRPr="00A82EB5">
        <w:rPr>
          <w:rFonts w:eastAsia="宋体"/>
          <w:sz w:val="20"/>
          <w:szCs w:val="20"/>
        </w:rPr>
        <w:t>were no significant differences between the pregnant and nonpregnant groups with regard to the duration of infertility, duration of gonadotropin stimulation, endometrial thickness, or serum estradiol or progesterone concentrations on the day of ET</w:t>
      </w:r>
      <w:r w:rsidRPr="00A82EB5">
        <w:rPr>
          <w:sz w:val="20"/>
          <w:szCs w:val="20"/>
        </w:rPr>
        <w:t xml:space="preserve">. </w:t>
      </w:r>
      <w:r w:rsidRPr="00A82EB5">
        <w:rPr>
          <w:rFonts w:eastAsia="宋体"/>
          <w:sz w:val="20"/>
          <w:szCs w:val="20"/>
          <w:lang w:eastAsia="zh-CN"/>
        </w:rPr>
        <w:t>The mean number of oocytes aspirated and mean number of embryos transferred were significantly higher in pregnant patients than in nonpregnant patients</w:t>
      </w:r>
      <w:r w:rsidRPr="00A82EB5">
        <w:rPr>
          <w:sz w:val="20"/>
          <w:szCs w:val="20"/>
        </w:rPr>
        <w:t xml:space="preserve">. </w:t>
      </w:r>
      <w:r w:rsidRPr="00A82EB5">
        <w:rPr>
          <w:rFonts w:eastAsia="宋体"/>
          <w:sz w:val="20"/>
          <w:szCs w:val="20"/>
          <w:lang w:eastAsia="zh-CN"/>
        </w:rPr>
        <w:t>Subendometrial blood flow was detected in 477 (76.6%) cases; pregnancy and implantation rates were significantly higher for these than for those with no detectable flow. After adjustment for the age and the number of embryos transferred, patients with presence of flow were estimated to be 5.9 times as likely to become pregnant as were those with absence of flow. Among patients with the presence of subendometrial flow on the day of ET, there were no significant differences in the subendometrial blood flow parameters including RI, PI, Vmax, and Vmean between the conception and nonconception groups. They concluded that endometrial–subendometrial blood flow distribution pattern assessed by transvaginal color Doppler before ET is correlated with the implantation and pregnancy rate of IVF treatment.</w:t>
      </w:r>
    </w:p>
    <w:p w:rsidR="009F5A32" w:rsidRPr="00A82EB5" w:rsidRDefault="009F5A32" w:rsidP="00A82EB5">
      <w:pPr>
        <w:pStyle w:val="b1"/>
        <w:widowControl w:val="0"/>
        <w:snapToGrid w:val="0"/>
        <w:spacing w:after="0" w:line="240" w:lineRule="auto"/>
        <w:ind w:firstLine="425"/>
        <w:jc w:val="both"/>
        <w:rPr>
          <w:sz w:val="20"/>
        </w:rPr>
      </w:pPr>
      <w:r w:rsidRPr="00A82EB5">
        <w:rPr>
          <w:b/>
          <w:bCs/>
          <w:sz w:val="20"/>
        </w:rPr>
        <w:t xml:space="preserve">Mercé et al. </w:t>
      </w:r>
      <w:r w:rsidRPr="00A82EB5">
        <w:rPr>
          <w:rStyle w:val="ref"/>
          <w:sz w:val="20"/>
        </w:rPr>
        <w:t>(2007)</w:t>
      </w:r>
      <w:r w:rsidRPr="00A82EB5">
        <w:rPr>
          <w:sz w:val="20"/>
        </w:rPr>
        <w:t xml:space="preserve"> using three-dimensional ultrasonography and power Doppler angiography, on the day of hCG, to examine 80 cycles found that In the pregnant group, endometrial volume EV, vascularization index VI, flow index FI, and flow vascularization index FVI were statistically significantly higher than in non pregnant, but triple-line pattern and endometrial thickness ET were not statistically significantly correlated. 3D power Doppler indices seem to be useful for evaluating endometrial receptivity.</w:t>
      </w:r>
    </w:p>
    <w:p w:rsidR="009F5A32" w:rsidRPr="00A82EB5" w:rsidRDefault="009F5A32" w:rsidP="00A82EB5">
      <w:pPr>
        <w:pStyle w:val="b1"/>
        <w:widowControl w:val="0"/>
        <w:snapToGrid w:val="0"/>
        <w:spacing w:after="0" w:line="240" w:lineRule="auto"/>
        <w:ind w:firstLine="425"/>
        <w:jc w:val="both"/>
        <w:rPr>
          <w:sz w:val="20"/>
        </w:rPr>
      </w:pPr>
      <w:r w:rsidRPr="00A82EB5">
        <w:rPr>
          <w:b/>
          <w:bCs/>
          <w:sz w:val="20"/>
        </w:rPr>
        <w:t xml:space="preserve">Aghahoseini et al. </w:t>
      </w:r>
      <w:r w:rsidRPr="00A82EB5">
        <w:rPr>
          <w:rStyle w:val="ref"/>
          <w:sz w:val="20"/>
        </w:rPr>
        <w:t>(2008)</w:t>
      </w:r>
      <w:r w:rsidRPr="00A82EB5">
        <w:rPr>
          <w:sz w:val="20"/>
        </w:rPr>
        <w:t xml:space="preserve"> investigated the role of measurement of endometrial thickness</w:t>
      </w:r>
      <w:r w:rsidR="00E10937" w:rsidRPr="00A82EB5">
        <w:rPr>
          <w:sz w:val="20"/>
        </w:rPr>
        <w:t xml:space="preserve"> </w:t>
      </w:r>
      <w:r w:rsidRPr="00A82EB5">
        <w:rPr>
          <w:sz w:val="20"/>
        </w:rPr>
        <w:t>and</w:t>
      </w:r>
      <w:r w:rsidR="00E10937" w:rsidRPr="00A82EB5">
        <w:rPr>
          <w:sz w:val="20"/>
        </w:rPr>
        <w:t xml:space="preserve"> </w:t>
      </w:r>
      <w:r w:rsidRPr="00A82EB5">
        <w:rPr>
          <w:sz w:val="20"/>
        </w:rPr>
        <w:t>assessment</w:t>
      </w:r>
      <w:r w:rsidR="00E10937" w:rsidRPr="00A82EB5">
        <w:rPr>
          <w:sz w:val="20"/>
        </w:rPr>
        <w:t xml:space="preserve"> </w:t>
      </w:r>
      <w:r w:rsidRPr="00A82EB5">
        <w:rPr>
          <w:sz w:val="20"/>
        </w:rPr>
        <w:t>of</w:t>
      </w:r>
      <w:r w:rsidR="00E10937" w:rsidRPr="00A82EB5">
        <w:rPr>
          <w:sz w:val="20"/>
        </w:rPr>
        <w:t xml:space="preserve"> </w:t>
      </w:r>
      <w:r w:rsidRPr="00A82EB5">
        <w:rPr>
          <w:sz w:val="20"/>
        </w:rPr>
        <w:t>sub-endometrial</w:t>
      </w:r>
      <w:r w:rsidR="00E10937" w:rsidRPr="00A82EB5">
        <w:rPr>
          <w:sz w:val="20"/>
        </w:rPr>
        <w:t xml:space="preserve"> </w:t>
      </w:r>
      <w:r w:rsidRPr="00A82EB5">
        <w:rPr>
          <w:sz w:val="20"/>
        </w:rPr>
        <w:t>blood</w:t>
      </w:r>
      <w:r w:rsidR="00E10937" w:rsidRPr="00A82EB5">
        <w:rPr>
          <w:sz w:val="20"/>
        </w:rPr>
        <w:t xml:space="preserve"> </w:t>
      </w:r>
      <w:r w:rsidRPr="00A82EB5">
        <w:rPr>
          <w:sz w:val="20"/>
        </w:rPr>
        <w:t>flow</w:t>
      </w:r>
      <w:r w:rsidR="00E10937" w:rsidRPr="00A82EB5">
        <w:rPr>
          <w:sz w:val="20"/>
        </w:rPr>
        <w:t xml:space="preserve"> </w:t>
      </w:r>
      <w:r w:rsidRPr="00A82EB5">
        <w:rPr>
          <w:sz w:val="20"/>
        </w:rPr>
        <w:t>in</w:t>
      </w:r>
      <w:r w:rsidR="00E10937" w:rsidRPr="00A82EB5">
        <w:rPr>
          <w:sz w:val="20"/>
        </w:rPr>
        <w:t xml:space="preserve"> </w:t>
      </w:r>
      <w:r w:rsidRPr="00A82EB5">
        <w:rPr>
          <w:sz w:val="20"/>
        </w:rPr>
        <w:t>prediction</w:t>
      </w:r>
      <w:r w:rsidR="00E10937" w:rsidRPr="00A82EB5">
        <w:rPr>
          <w:sz w:val="20"/>
        </w:rPr>
        <w:t xml:space="preserve"> </w:t>
      </w:r>
      <w:r w:rsidRPr="00A82EB5">
        <w:rPr>
          <w:sz w:val="20"/>
        </w:rPr>
        <w:t>of pregnancy rate in 175 patients undergoing IVF/ICSI cycles by</w:t>
      </w:r>
      <w:r w:rsidR="00E10937" w:rsidRPr="00A82EB5">
        <w:rPr>
          <w:sz w:val="20"/>
        </w:rPr>
        <w:t xml:space="preserve"> </w:t>
      </w:r>
      <w:r w:rsidRPr="00A82EB5">
        <w:rPr>
          <w:sz w:val="20"/>
        </w:rPr>
        <w:t>long protocol, by color Doppler ultrasound on the day of ET, they found no significant difference found</w:t>
      </w:r>
      <w:r w:rsidR="00E10937" w:rsidRPr="00A82EB5">
        <w:rPr>
          <w:sz w:val="20"/>
        </w:rPr>
        <w:t xml:space="preserve"> </w:t>
      </w:r>
      <w:r w:rsidRPr="00A82EB5">
        <w:rPr>
          <w:sz w:val="20"/>
        </w:rPr>
        <w:t>in</w:t>
      </w:r>
      <w:r w:rsidR="00E10937" w:rsidRPr="00A82EB5">
        <w:rPr>
          <w:sz w:val="20"/>
        </w:rPr>
        <w:t xml:space="preserve"> </w:t>
      </w:r>
      <w:r w:rsidRPr="00A82EB5">
        <w:rPr>
          <w:sz w:val="20"/>
        </w:rPr>
        <w:t>endometrial</w:t>
      </w:r>
      <w:r w:rsidR="00E10937" w:rsidRPr="00A82EB5">
        <w:rPr>
          <w:sz w:val="20"/>
        </w:rPr>
        <w:t xml:space="preserve"> </w:t>
      </w:r>
      <w:r w:rsidRPr="00A82EB5">
        <w:rPr>
          <w:sz w:val="20"/>
        </w:rPr>
        <w:t>thickness</w:t>
      </w:r>
      <w:r w:rsidR="00E10937" w:rsidRPr="00A82EB5">
        <w:rPr>
          <w:sz w:val="20"/>
        </w:rPr>
        <w:t xml:space="preserve"> </w:t>
      </w:r>
      <w:r w:rsidRPr="00A82EB5">
        <w:rPr>
          <w:sz w:val="20"/>
        </w:rPr>
        <w:t>or</w:t>
      </w:r>
      <w:r w:rsidR="00E10937" w:rsidRPr="00A82EB5">
        <w:rPr>
          <w:sz w:val="20"/>
        </w:rPr>
        <w:t xml:space="preserve"> </w:t>
      </w:r>
      <w:r w:rsidRPr="00A82EB5">
        <w:rPr>
          <w:sz w:val="20"/>
        </w:rPr>
        <w:t>the</w:t>
      </w:r>
      <w:r w:rsidR="00E10937" w:rsidRPr="00A82EB5">
        <w:rPr>
          <w:sz w:val="20"/>
        </w:rPr>
        <w:t xml:space="preserve"> </w:t>
      </w:r>
      <w:r w:rsidRPr="00A82EB5">
        <w:rPr>
          <w:sz w:val="20"/>
        </w:rPr>
        <w:t>zone</w:t>
      </w:r>
      <w:r w:rsidR="00E10937" w:rsidRPr="00A82EB5">
        <w:rPr>
          <w:sz w:val="20"/>
        </w:rPr>
        <w:t xml:space="preserve"> </w:t>
      </w:r>
      <w:r w:rsidRPr="00A82EB5">
        <w:rPr>
          <w:sz w:val="20"/>
        </w:rPr>
        <w:t>of</w:t>
      </w:r>
      <w:r w:rsidR="00E10937" w:rsidRPr="00A82EB5">
        <w:rPr>
          <w:sz w:val="20"/>
        </w:rPr>
        <w:t xml:space="preserve"> </w:t>
      </w:r>
      <w:r w:rsidRPr="00A82EB5">
        <w:rPr>
          <w:sz w:val="20"/>
        </w:rPr>
        <w:t>vascular</w:t>
      </w:r>
      <w:r w:rsidR="00E10937" w:rsidRPr="00A82EB5">
        <w:rPr>
          <w:sz w:val="20"/>
        </w:rPr>
        <w:t xml:space="preserve"> </w:t>
      </w:r>
      <w:r w:rsidRPr="00A82EB5">
        <w:rPr>
          <w:sz w:val="20"/>
        </w:rPr>
        <w:t>penetration</w:t>
      </w:r>
      <w:r w:rsidR="00E10937" w:rsidRPr="00A82EB5">
        <w:rPr>
          <w:sz w:val="20"/>
        </w:rPr>
        <w:t xml:space="preserve"> </w:t>
      </w:r>
      <w:r w:rsidRPr="00A82EB5">
        <w:rPr>
          <w:sz w:val="20"/>
        </w:rPr>
        <w:t>between pregnant and nonpregnant groups.</w:t>
      </w:r>
    </w:p>
    <w:p w:rsidR="009F5A32" w:rsidRPr="00A82EB5" w:rsidRDefault="009F5A32" w:rsidP="00A82EB5">
      <w:pPr>
        <w:pStyle w:val="B11"/>
        <w:widowControl w:val="0"/>
        <w:snapToGrid w:val="0"/>
        <w:spacing w:after="0" w:line="240" w:lineRule="auto"/>
        <w:ind w:firstLine="425"/>
        <w:jc w:val="both"/>
        <w:rPr>
          <w:rFonts w:eastAsia="宋体"/>
          <w:sz w:val="20"/>
          <w:szCs w:val="20"/>
          <w:lang w:eastAsia="zh-CN"/>
        </w:rPr>
      </w:pPr>
      <w:r w:rsidRPr="00A82EB5">
        <w:rPr>
          <w:rFonts w:eastAsia="宋体"/>
          <w:sz w:val="20"/>
          <w:szCs w:val="20"/>
          <w:lang w:eastAsia="zh-CN"/>
        </w:rPr>
        <w:lastRenderedPageBreak/>
        <w:t xml:space="preserve">The thickness of the endometrium significantly differed with the pattern of endometrial–subendometrial flow distribution. Intraendometrial vascular penetration was associated with a thicker endometrium, suggesting a correlation of blood perfusion with endometrial development. Patients with no detectable endometrial–subendometrial flow demonstrated a higher uterine arterial resistance than those with the presence of flow. This finding is consistent with the notion that changes in uterine arterial resistance may reflect peripheral endometrial blood flow, yet it may not be sensitive enough to indicate endometrial receptivity. A trend of increasing pregnancy rates with deeper intraendometrial vascular penetration was noted in a previous study </w:t>
      </w:r>
      <w:r w:rsidRPr="00A82EB5">
        <w:rPr>
          <w:rStyle w:val="ref"/>
          <w:sz w:val="20"/>
          <w:szCs w:val="20"/>
        </w:rPr>
        <w:t>(Zaidi et al., 1995)</w:t>
      </w:r>
      <w:r w:rsidRPr="00A82EB5">
        <w:rPr>
          <w:rFonts w:eastAsia="宋体"/>
          <w:sz w:val="20"/>
          <w:szCs w:val="20"/>
          <w:lang w:eastAsia="zh-CN"/>
        </w:rPr>
        <w:t>, but pregnancy rates were not significantly different in that report.</w:t>
      </w:r>
    </w:p>
    <w:p w:rsidR="009F5A32" w:rsidRPr="00A82EB5" w:rsidRDefault="009F5A32" w:rsidP="00A82EB5">
      <w:pPr>
        <w:pStyle w:val="B11"/>
        <w:widowControl w:val="0"/>
        <w:snapToGrid w:val="0"/>
        <w:spacing w:after="0" w:line="240" w:lineRule="auto"/>
        <w:ind w:firstLine="425"/>
        <w:jc w:val="both"/>
        <w:rPr>
          <w:rFonts w:eastAsia="宋体"/>
          <w:sz w:val="20"/>
          <w:szCs w:val="20"/>
          <w:lang w:eastAsia="zh-CN"/>
        </w:rPr>
      </w:pPr>
      <w:r w:rsidRPr="00A82EB5">
        <w:rPr>
          <w:rFonts w:eastAsia="宋体"/>
          <w:sz w:val="20"/>
          <w:szCs w:val="20"/>
          <w:lang w:eastAsia="zh-CN"/>
        </w:rPr>
        <w:t>We found that patients with the presence of endometrial flow had significantly higher pregnancy rates than did those without endometrial flow. Endometrial assessment was done on the day of ET in this study instead of the day of hCG in</w:t>
      </w:r>
      <w:r w:rsidR="007967C7" w:rsidRPr="00A82EB5">
        <w:rPr>
          <w:rFonts w:eastAsia="宋体"/>
          <w:sz w:val="20"/>
          <w:szCs w:val="20"/>
          <w:lang w:eastAsia="zh-CN"/>
        </w:rPr>
        <w:t>jection as in the previous studies</w:t>
      </w:r>
      <w:r w:rsidRPr="00A82EB5">
        <w:rPr>
          <w:rFonts w:eastAsia="宋体"/>
          <w:sz w:val="20"/>
          <w:szCs w:val="20"/>
          <w:lang w:eastAsia="zh-CN"/>
        </w:rPr>
        <w:t xml:space="preserve">. According to </w:t>
      </w:r>
      <w:r w:rsidRPr="00A82EB5">
        <w:rPr>
          <w:b/>
          <w:bCs/>
          <w:sz w:val="20"/>
          <w:szCs w:val="20"/>
        </w:rPr>
        <w:t>Chien</w:t>
      </w:r>
      <w:r w:rsidRPr="00A82EB5">
        <w:rPr>
          <w:rFonts w:eastAsia="宋体"/>
          <w:b/>
          <w:bCs/>
          <w:sz w:val="20"/>
          <w:szCs w:val="20"/>
          <w:lang w:eastAsia="zh-CN"/>
        </w:rPr>
        <w:t xml:space="preserve"> et al. </w:t>
      </w:r>
      <w:r w:rsidRPr="00A82EB5">
        <w:rPr>
          <w:rStyle w:val="ref"/>
          <w:sz w:val="20"/>
          <w:szCs w:val="20"/>
        </w:rPr>
        <w:t>(1998)</w:t>
      </w:r>
      <w:r w:rsidRPr="00A82EB5">
        <w:rPr>
          <w:rFonts w:eastAsia="宋体"/>
          <w:sz w:val="20"/>
          <w:szCs w:val="20"/>
          <w:lang w:eastAsia="zh-CN"/>
        </w:rPr>
        <w:t>, endometrial–subendometrial flow distributions can be different before and after hCG administration. Therefore, it may be necessary to examine the patient until the day of ET for a better evaluation of endometrial receptivity.</w:t>
      </w:r>
    </w:p>
    <w:p w:rsidR="00315ABE" w:rsidRPr="00A82EB5" w:rsidRDefault="009F5A32" w:rsidP="00A82EB5">
      <w:pPr>
        <w:pStyle w:val="B11"/>
        <w:widowControl w:val="0"/>
        <w:snapToGrid w:val="0"/>
        <w:spacing w:after="0" w:line="240" w:lineRule="auto"/>
        <w:ind w:firstLine="425"/>
        <w:jc w:val="both"/>
        <w:rPr>
          <w:sz w:val="20"/>
          <w:szCs w:val="20"/>
        </w:rPr>
      </w:pPr>
      <w:r w:rsidRPr="00A82EB5">
        <w:rPr>
          <w:rFonts w:eastAsia="宋体"/>
          <w:sz w:val="20"/>
          <w:szCs w:val="20"/>
          <w:lang w:eastAsia="zh-CN"/>
        </w:rPr>
        <w:t>Advancements in in vitro culture systems and cryopreservation techniques for preimplanted embryos have allowed greater flexibility in the timing and number of ET. A more effective approach to assessing the uterine condition is necessary for making clinical decisions concerning ET. Because the color Doppler mode has become a standard component in most current ultrasound machines, we suggested that it should be added to the routine examination of the endometrium during IVF/ET treatments. However, the appearance of blood flow within the endometrial–subendometrial area is influenced by the quality of the equipment, the settings of ultrasound, the position of the uterus, and the experience of the operators.</w:t>
      </w:r>
    </w:p>
    <w:p w:rsidR="000763A4" w:rsidRPr="00A82EB5" w:rsidRDefault="000763A4" w:rsidP="00A82EB5">
      <w:pPr>
        <w:pStyle w:val="B11"/>
        <w:widowControl w:val="0"/>
        <w:snapToGrid w:val="0"/>
        <w:spacing w:after="0" w:line="240" w:lineRule="auto"/>
        <w:ind w:firstLine="0"/>
        <w:jc w:val="both"/>
        <w:rPr>
          <w:b/>
          <w:bCs/>
          <w:sz w:val="20"/>
          <w:szCs w:val="20"/>
        </w:rPr>
      </w:pPr>
    </w:p>
    <w:p w:rsidR="009F5A32" w:rsidRPr="00A82EB5" w:rsidRDefault="009F5A32" w:rsidP="00A82EB5">
      <w:pPr>
        <w:pStyle w:val="B11"/>
        <w:widowControl w:val="0"/>
        <w:snapToGrid w:val="0"/>
        <w:spacing w:after="0" w:line="240" w:lineRule="auto"/>
        <w:ind w:firstLine="0"/>
        <w:jc w:val="both"/>
        <w:rPr>
          <w:b/>
          <w:bCs/>
          <w:sz w:val="20"/>
          <w:szCs w:val="20"/>
        </w:rPr>
      </w:pPr>
      <w:r w:rsidRPr="00A82EB5">
        <w:rPr>
          <w:b/>
          <w:bCs/>
          <w:sz w:val="20"/>
          <w:szCs w:val="20"/>
        </w:rPr>
        <w:t>Conclusion</w:t>
      </w:r>
    </w:p>
    <w:p w:rsidR="009F5A32" w:rsidRPr="00A82EB5" w:rsidRDefault="009F5A32" w:rsidP="00A82EB5">
      <w:pPr>
        <w:pStyle w:val="Ba"/>
        <w:widowControl w:val="0"/>
        <w:snapToGrid w:val="0"/>
        <w:spacing w:after="0" w:line="240" w:lineRule="auto"/>
        <w:ind w:firstLine="425"/>
        <w:jc w:val="both"/>
        <w:rPr>
          <w:sz w:val="20"/>
          <w:szCs w:val="20"/>
        </w:rPr>
      </w:pPr>
      <w:r w:rsidRPr="00A82EB5">
        <w:rPr>
          <w:sz w:val="20"/>
          <w:szCs w:val="20"/>
        </w:rPr>
        <w:t>There is still no consensus when the ultrasound examination for assessing endometrial</w:t>
      </w:r>
      <w:r w:rsidR="008E512E" w:rsidRPr="00A82EB5">
        <w:rPr>
          <w:sz w:val="20"/>
          <w:szCs w:val="20"/>
        </w:rPr>
        <w:t xml:space="preserve"> </w:t>
      </w:r>
      <w:r w:rsidRPr="00A82EB5">
        <w:rPr>
          <w:sz w:val="20"/>
          <w:szCs w:val="20"/>
        </w:rPr>
        <w:t>receptivity</w:t>
      </w:r>
      <w:r w:rsidR="008E512E" w:rsidRPr="00A82EB5">
        <w:rPr>
          <w:sz w:val="20"/>
          <w:szCs w:val="20"/>
        </w:rPr>
        <w:t xml:space="preserve"> </w:t>
      </w:r>
      <w:r w:rsidRPr="00A82EB5">
        <w:rPr>
          <w:sz w:val="20"/>
          <w:szCs w:val="20"/>
        </w:rPr>
        <w:t>in</w:t>
      </w:r>
      <w:r w:rsidR="008E512E" w:rsidRPr="00A82EB5">
        <w:rPr>
          <w:sz w:val="20"/>
          <w:szCs w:val="20"/>
        </w:rPr>
        <w:t xml:space="preserve"> </w:t>
      </w:r>
      <w:r w:rsidRPr="00A82EB5">
        <w:rPr>
          <w:sz w:val="20"/>
          <w:szCs w:val="20"/>
        </w:rPr>
        <w:t>IVF</w:t>
      </w:r>
      <w:r w:rsidR="008E512E" w:rsidRPr="00A82EB5">
        <w:rPr>
          <w:sz w:val="20"/>
          <w:szCs w:val="20"/>
        </w:rPr>
        <w:t xml:space="preserve"> </w:t>
      </w:r>
      <w:r w:rsidRPr="00A82EB5">
        <w:rPr>
          <w:sz w:val="20"/>
          <w:szCs w:val="20"/>
        </w:rPr>
        <w:t>treatment</w:t>
      </w:r>
      <w:r w:rsidR="008E512E" w:rsidRPr="00A82EB5">
        <w:rPr>
          <w:sz w:val="20"/>
          <w:szCs w:val="20"/>
        </w:rPr>
        <w:t xml:space="preserve"> </w:t>
      </w:r>
      <w:r w:rsidRPr="00A82EB5">
        <w:rPr>
          <w:sz w:val="20"/>
          <w:szCs w:val="20"/>
        </w:rPr>
        <w:t>should</w:t>
      </w:r>
      <w:r w:rsidR="008E512E" w:rsidRPr="00A82EB5">
        <w:rPr>
          <w:sz w:val="20"/>
          <w:szCs w:val="20"/>
        </w:rPr>
        <w:t xml:space="preserve"> </w:t>
      </w:r>
      <w:r w:rsidRPr="00A82EB5">
        <w:rPr>
          <w:sz w:val="20"/>
          <w:szCs w:val="20"/>
        </w:rPr>
        <w:t>be</w:t>
      </w:r>
      <w:r w:rsidR="008E512E" w:rsidRPr="00A82EB5">
        <w:rPr>
          <w:sz w:val="20"/>
          <w:szCs w:val="20"/>
        </w:rPr>
        <w:t xml:space="preserve"> </w:t>
      </w:r>
      <w:r w:rsidRPr="00A82EB5">
        <w:rPr>
          <w:sz w:val="20"/>
          <w:szCs w:val="20"/>
        </w:rPr>
        <w:t>done.</w:t>
      </w:r>
      <w:r w:rsidR="008E512E" w:rsidRPr="00A82EB5">
        <w:rPr>
          <w:sz w:val="20"/>
          <w:szCs w:val="20"/>
        </w:rPr>
        <w:t xml:space="preserve"> </w:t>
      </w:r>
      <w:r w:rsidRPr="00A82EB5">
        <w:rPr>
          <w:sz w:val="20"/>
          <w:szCs w:val="20"/>
        </w:rPr>
        <w:t>However,</w:t>
      </w:r>
      <w:r w:rsidR="008E512E" w:rsidRPr="00A82EB5">
        <w:rPr>
          <w:sz w:val="20"/>
          <w:szCs w:val="20"/>
        </w:rPr>
        <w:t xml:space="preserve"> </w:t>
      </w:r>
      <w:r w:rsidRPr="00A82EB5">
        <w:rPr>
          <w:sz w:val="20"/>
          <w:szCs w:val="20"/>
        </w:rPr>
        <w:t>one</w:t>
      </w:r>
      <w:r w:rsidR="008E512E" w:rsidRPr="00A82EB5">
        <w:rPr>
          <w:sz w:val="20"/>
          <w:szCs w:val="20"/>
        </w:rPr>
        <w:t xml:space="preserve"> </w:t>
      </w:r>
      <w:r w:rsidRPr="00A82EB5">
        <w:rPr>
          <w:sz w:val="20"/>
          <w:szCs w:val="20"/>
        </w:rPr>
        <w:t>point</w:t>
      </w:r>
      <w:r w:rsidR="008E512E" w:rsidRPr="00A82EB5">
        <w:rPr>
          <w:sz w:val="20"/>
          <w:szCs w:val="20"/>
        </w:rPr>
        <w:t xml:space="preserve"> </w:t>
      </w:r>
      <w:r w:rsidRPr="00A82EB5">
        <w:rPr>
          <w:sz w:val="20"/>
          <w:szCs w:val="20"/>
        </w:rPr>
        <w:t>of time measurement may not predict implantation and</w:t>
      </w:r>
      <w:r w:rsidR="00E10937" w:rsidRPr="00A82EB5">
        <w:rPr>
          <w:sz w:val="20"/>
          <w:szCs w:val="20"/>
        </w:rPr>
        <w:t xml:space="preserve"> </w:t>
      </w:r>
      <w:r w:rsidRPr="00A82EB5">
        <w:rPr>
          <w:sz w:val="20"/>
          <w:szCs w:val="20"/>
        </w:rPr>
        <w:t>pregnancy rate; it is proposed that measurement of endometrial and subendometrial blood flow during</w:t>
      </w:r>
      <w:r w:rsidR="008E512E" w:rsidRPr="00A82EB5">
        <w:rPr>
          <w:sz w:val="20"/>
          <w:szCs w:val="20"/>
        </w:rPr>
        <w:t xml:space="preserve"> </w:t>
      </w:r>
      <w:r w:rsidRPr="00A82EB5">
        <w:rPr>
          <w:sz w:val="20"/>
          <w:szCs w:val="20"/>
        </w:rPr>
        <w:t>the</w:t>
      </w:r>
      <w:r w:rsidR="008E512E" w:rsidRPr="00A82EB5">
        <w:rPr>
          <w:sz w:val="20"/>
          <w:szCs w:val="20"/>
        </w:rPr>
        <w:t xml:space="preserve"> </w:t>
      </w:r>
      <w:r w:rsidRPr="00A82EB5">
        <w:rPr>
          <w:sz w:val="20"/>
          <w:szCs w:val="20"/>
        </w:rPr>
        <w:t>follicular</w:t>
      </w:r>
      <w:r w:rsidR="008E512E" w:rsidRPr="00A82EB5">
        <w:rPr>
          <w:sz w:val="20"/>
          <w:szCs w:val="20"/>
        </w:rPr>
        <w:t xml:space="preserve"> </w:t>
      </w:r>
      <w:r w:rsidRPr="00A82EB5">
        <w:rPr>
          <w:sz w:val="20"/>
          <w:szCs w:val="20"/>
        </w:rPr>
        <w:t>phase</w:t>
      </w:r>
      <w:r w:rsidR="008E512E" w:rsidRPr="00A82EB5">
        <w:rPr>
          <w:sz w:val="20"/>
          <w:szCs w:val="20"/>
        </w:rPr>
        <w:t xml:space="preserve"> </w:t>
      </w:r>
      <w:r w:rsidRPr="00A82EB5">
        <w:rPr>
          <w:sz w:val="20"/>
          <w:szCs w:val="20"/>
        </w:rPr>
        <w:t>and</w:t>
      </w:r>
      <w:r w:rsidR="008E512E" w:rsidRPr="00A82EB5">
        <w:rPr>
          <w:sz w:val="20"/>
          <w:szCs w:val="20"/>
        </w:rPr>
        <w:t xml:space="preserve"> </w:t>
      </w:r>
      <w:r w:rsidRPr="00A82EB5">
        <w:rPr>
          <w:sz w:val="20"/>
          <w:szCs w:val="20"/>
        </w:rPr>
        <w:t>early</w:t>
      </w:r>
      <w:r w:rsidR="008E512E" w:rsidRPr="00A82EB5">
        <w:rPr>
          <w:sz w:val="20"/>
          <w:szCs w:val="20"/>
        </w:rPr>
        <w:t xml:space="preserve"> </w:t>
      </w:r>
      <w:r w:rsidRPr="00A82EB5">
        <w:rPr>
          <w:sz w:val="20"/>
          <w:szCs w:val="20"/>
        </w:rPr>
        <w:t>luteal</w:t>
      </w:r>
      <w:r w:rsidR="008E512E" w:rsidRPr="00A82EB5">
        <w:rPr>
          <w:sz w:val="20"/>
          <w:szCs w:val="20"/>
        </w:rPr>
        <w:t xml:space="preserve"> </w:t>
      </w:r>
      <w:r w:rsidRPr="00A82EB5">
        <w:rPr>
          <w:sz w:val="20"/>
          <w:szCs w:val="20"/>
        </w:rPr>
        <w:t>phase</w:t>
      </w:r>
      <w:r w:rsidR="008E512E" w:rsidRPr="00A82EB5">
        <w:rPr>
          <w:sz w:val="20"/>
          <w:szCs w:val="20"/>
        </w:rPr>
        <w:t xml:space="preserve"> </w:t>
      </w:r>
      <w:r w:rsidRPr="00A82EB5">
        <w:rPr>
          <w:sz w:val="20"/>
          <w:szCs w:val="20"/>
        </w:rPr>
        <w:t>to</w:t>
      </w:r>
      <w:r w:rsidR="008E512E" w:rsidRPr="00A82EB5">
        <w:rPr>
          <w:sz w:val="20"/>
          <w:szCs w:val="20"/>
        </w:rPr>
        <w:t xml:space="preserve"> </w:t>
      </w:r>
      <w:r w:rsidRPr="00A82EB5">
        <w:rPr>
          <w:sz w:val="20"/>
          <w:szCs w:val="20"/>
        </w:rPr>
        <w:t>determine</w:t>
      </w:r>
      <w:r w:rsidR="008E512E" w:rsidRPr="00A82EB5">
        <w:rPr>
          <w:sz w:val="20"/>
          <w:szCs w:val="20"/>
        </w:rPr>
        <w:t xml:space="preserve"> </w:t>
      </w:r>
      <w:r w:rsidRPr="00A82EB5">
        <w:rPr>
          <w:sz w:val="20"/>
          <w:szCs w:val="20"/>
        </w:rPr>
        <w:t>the</w:t>
      </w:r>
      <w:r w:rsidR="008E512E" w:rsidRPr="00A82EB5">
        <w:rPr>
          <w:sz w:val="20"/>
          <w:szCs w:val="20"/>
        </w:rPr>
        <w:t xml:space="preserve"> </w:t>
      </w:r>
      <w:r w:rsidRPr="00A82EB5">
        <w:rPr>
          <w:sz w:val="20"/>
          <w:szCs w:val="20"/>
        </w:rPr>
        <w:t>changes</w:t>
      </w:r>
      <w:r w:rsidR="008E512E" w:rsidRPr="00A82EB5">
        <w:rPr>
          <w:sz w:val="20"/>
          <w:szCs w:val="20"/>
        </w:rPr>
        <w:t xml:space="preserve"> </w:t>
      </w:r>
      <w:r w:rsidRPr="00A82EB5">
        <w:rPr>
          <w:sz w:val="20"/>
          <w:szCs w:val="20"/>
        </w:rPr>
        <w:t>may reflect better</w:t>
      </w:r>
      <w:r w:rsidR="008E512E" w:rsidRPr="00A82EB5">
        <w:rPr>
          <w:sz w:val="20"/>
          <w:szCs w:val="20"/>
        </w:rPr>
        <w:t xml:space="preserve"> </w:t>
      </w:r>
      <w:r w:rsidRPr="00A82EB5">
        <w:rPr>
          <w:sz w:val="20"/>
          <w:szCs w:val="20"/>
        </w:rPr>
        <w:t>the</w:t>
      </w:r>
      <w:r w:rsidR="008E512E" w:rsidRPr="00A82EB5">
        <w:rPr>
          <w:sz w:val="20"/>
          <w:szCs w:val="20"/>
        </w:rPr>
        <w:t xml:space="preserve"> </w:t>
      </w:r>
      <w:r w:rsidRPr="00A82EB5">
        <w:rPr>
          <w:sz w:val="20"/>
          <w:szCs w:val="20"/>
        </w:rPr>
        <w:t>role</w:t>
      </w:r>
      <w:r w:rsidR="008E512E" w:rsidRPr="00A82EB5">
        <w:rPr>
          <w:sz w:val="20"/>
          <w:szCs w:val="20"/>
        </w:rPr>
        <w:t xml:space="preserve"> </w:t>
      </w:r>
      <w:r w:rsidRPr="00A82EB5">
        <w:rPr>
          <w:sz w:val="20"/>
          <w:szCs w:val="20"/>
        </w:rPr>
        <w:t>of endometrial and</w:t>
      </w:r>
      <w:r w:rsidR="008E512E" w:rsidRPr="00A82EB5">
        <w:rPr>
          <w:sz w:val="20"/>
          <w:szCs w:val="20"/>
        </w:rPr>
        <w:t xml:space="preserve"> </w:t>
      </w:r>
      <w:r w:rsidRPr="00A82EB5">
        <w:rPr>
          <w:sz w:val="20"/>
          <w:szCs w:val="20"/>
        </w:rPr>
        <w:t>sub-endometrial bloodflows.</w:t>
      </w:r>
    </w:p>
    <w:p w:rsidR="00AF1350" w:rsidRPr="00A82EB5" w:rsidRDefault="009F5A32" w:rsidP="00A82EB5">
      <w:pPr>
        <w:pStyle w:val="B11"/>
        <w:widowControl w:val="0"/>
        <w:snapToGrid w:val="0"/>
        <w:spacing w:after="0" w:line="240" w:lineRule="auto"/>
        <w:ind w:firstLine="425"/>
        <w:jc w:val="both"/>
        <w:rPr>
          <w:rFonts w:eastAsia="宋体"/>
          <w:sz w:val="20"/>
          <w:szCs w:val="20"/>
          <w:lang w:eastAsia="zh-CN"/>
        </w:rPr>
      </w:pPr>
      <w:r w:rsidRPr="00A82EB5">
        <w:rPr>
          <w:rFonts w:eastAsia="宋体"/>
          <w:sz w:val="20"/>
          <w:szCs w:val="20"/>
          <w:lang w:eastAsia="zh-CN"/>
        </w:rPr>
        <w:t xml:space="preserve">In conclusion, transvaginal color Doppler examination of the endometrial–subendometrial blood flow distribution provides a simple and effective </w:t>
      </w:r>
      <w:r w:rsidRPr="00A82EB5">
        <w:rPr>
          <w:rFonts w:eastAsia="宋体"/>
          <w:sz w:val="20"/>
          <w:szCs w:val="20"/>
          <w:lang w:eastAsia="zh-CN"/>
        </w:rPr>
        <w:lastRenderedPageBreak/>
        <w:t>method to evaluate endometrial receptivity. The presence of both endometrial and subendometrial blood flow is indicative of good endometrial receptivity, whereas the absence of both represents a poor uterine environment. This approach may be helpful in deciding the n</w:t>
      </w:r>
      <w:r w:rsidR="001947C9" w:rsidRPr="00A82EB5">
        <w:rPr>
          <w:rFonts w:eastAsia="宋体"/>
          <w:sz w:val="20"/>
          <w:szCs w:val="20"/>
          <w:lang w:eastAsia="zh-CN"/>
        </w:rPr>
        <w:t>umber and timing of ICSI in IVF treatments</w:t>
      </w:r>
      <w:r w:rsidR="00C36A25" w:rsidRPr="00A82EB5">
        <w:rPr>
          <w:rFonts w:eastAsia="宋体"/>
          <w:sz w:val="20"/>
          <w:szCs w:val="20"/>
          <w:lang w:eastAsia="zh-CN"/>
        </w:rPr>
        <w:t>.</w:t>
      </w:r>
    </w:p>
    <w:p w:rsidR="000763A4" w:rsidRPr="00A82EB5" w:rsidRDefault="000763A4" w:rsidP="00A82EB5">
      <w:pPr>
        <w:pStyle w:val="B11"/>
        <w:widowControl w:val="0"/>
        <w:snapToGrid w:val="0"/>
        <w:spacing w:after="0" w:line="240" w:lineRule="auto"/>
        <w:ind w:firstLine="0"/>
        <w:jc w:val="both"/>
        <w:rPr>
          <w:b/>
          <w:bCs/>
          <w:sz w:val="20"/>
          <w:szCs w:val="20"/>
        </w:rPr>
      </w:pPr>
    </w:p>
    <w:p w:rsidR="00AF1350" w:rsidRPr="00A82EB5" w:rsidRDefault="00AF1350" w:rsidP="00A82EB5">
      <w:pPr>
        <w:pStyle w:val="B11"/>
        <w:widowControl w:val="0"/>
        <w:snapToGrid w:val="0"/>
        <w:spacing w:after="0" w:line="240" w:lineRule="auto"/>
        <w:ind w:firstLine="0"/>
        <w:jc w:val="both"/>
        <w:rPr>
          <w:b/>
          <w:bCs/>
          <w:sz w:val="20"/>
          <w:szCs w:val="20"/>
        </w:rPr>
      </w:pPr>
      <w:r w:rsidRPr="00A82EB5">
        <w:rPr>
          <w:b/>
          <w:bCs/>
          <w:sz w:val="20"/>
          <w:szCs w:val="20"/>
        </w:rPr>
        <w:t>References</w:t>
      </w:r>
    </w:p>
    <w:p w:rsidR="00AF1350" w:rsidRPr="00A82EB5" w:rsidRDefault="00AF1350" w:rsidP="00A82EB5">
      <w:pPr>
        <w:numPr>
          <w:ilvl w:val="0"/>
          <w:numId w:val="16"/>
        </w:numPr>
        <w:bidi w:val="0"/>
        <w:snapToGrid w:val="0"/>
        <w:jc w:val="both"/>
        <w:rPr>
          <w:sz w:val="20"/>
        </w:rPr>
      </w:pPr>
      <w:r w:rsidRPr="00A82EB5">
        <w:rPr>
          <w:bCs/>
          <w:sz w:val="20"/>
        </w:rPr>
        <w:t>Aghahoseini G, Tuba K, Marsousi V and Aleyasin A (2008):</w:t>
      </w:r>
      <w:r w:rsidRPr="00A82EB5">
        <w:rPr>
          <w:sz w:val="20"/>
          <w:lang w:bidi="ar-EG"/>
        </w:rPr>
        <w:t xml:space="preserve"> </w:t>
      </w:r>
      <w:r w:rsidRPr="00A82EB5">
        <w:rPr>
          <w:sz w:val="20"/>
        </w:rPr>
        <w:t>Assessment</w:t>
      </w:r>
      <w:r w:rsidRPr="00A82EB5">
        <w:rPr>
          <w:sz w:val="20"/>
          <w:lang w:bidi="ar-EG"/>
        </w:rPr>
        <w:t xml:space="preserve"> </w:t>
      </w:r>
      <w:r w:rsidRPr="00A82EB5">
        <w:rPr>
          <w:sz w:val="20"/>
        </w:rPr>
        <w:t>of endometrial-subendometrial blood flow detected by color Doppler sonography and uterine receptivity in infertile women. Acta Medica Iranica; 46(6): 461-466.</w:t>
      </w:r>
    </w:p>
    <w:p w:rsidR="00AF1350" w:rsidRPr="00A82EB5" w:rsidRDefault="00AF1350" w:rsidP="00A82EB5">
      <w:pPr>
        <w:numPr>
          <w:ilvl w:val="0"/>
          <w:numId w:val="16"/>
        </w:numPr>
        <w:bidi w:val="0"/>
        <w:snapToGrid w:val="0"/>
        <w:jc w:val="both"/>
        <w:rPr>
          <w:sz w:val="20"/>
        </w:rPr>
      </w:pPr>
      <w:r w:rsidRPr="00A82EB5">
        <w:rPr>
          <w:bCs/>
          <w:sz w:val="20"/>
        </w:rPr>
        <w:t>Chien L, Au H, Chen P, Xiao J and Tzeng C (2002):</w:t>
      </w:r>
      <w:r w:rsidRPr="00A82EB5">
        <w:rPr>
          <w:sz w:val="20"/>
        </w:rPr>
        <w:t xml:space="preserve"> Assessment of uterine receptivity by the endometrial-subendometrial blood flow distribution pattern in women undergoing in vitro fertiliation-embryo transfer. Fertility and Sterility; 78(2): </w:t>
      </w:r>
      <w:r w:rsidRPr="00A82EB5">
        <w:rPr>
          <w:rFonts w:eastAsia="宋体"/>
          <w:sz w:val="20"/>
          <w:lang w:eastAsia="zh-CN"/>
        </w:rPr>
        <w:t>78:245–51.</w:t>
      </w:r>
    </w:p>
    <w:p w:rsidR="00AF1350" w:rsidRPr="00A82EB5" w:rsidRDefault="00AF1350" w:rsidP="00A82EB5">
      <w:pPr>
        <w:numPr>
          <w:ilvl w:val="0"/>
          <w:numId w:val="16"/>
        </w:numPr>
        <w:bidi w:val="0"/>
        <w:snapToGrid w:val="0"/>
        <w:jc w:val="both"/>
        <w:rPr>
          <w:color w:val="000000"/>
          <w:sz w:val="20"/>
        </w:rPr>
      </w:pPr>
      <w:r w:rsidRPr="00A82EB5">
        <w:rPr>
          <w:bCs/>
          <w:color w:val="000000"/>
          <w:sz w:val="20"/>
        </w:rPr>
        <w:t xml:space="preserve">Coulam CB, Bustillo M, Soenksen DM, Britten S. (1994): </w:t>
      </w:r>
      <w:r w:rsidRPr="00A82EB5">
        <w:rPr>
          <w:color w:val="000000"/>
          <w:sz w:val="20"/>
        </w:rPr>
        <w:t>Ultrasonographic predictors</w:t>
      </w:r>
      <w:r w:rsidR="00A82EB5">
        <w:rPr>
          <w:color w:val="000000"/>
          <w:sz w:val="20"/>
        </w:rPr>
        <w:t xml:space="preserve"> </w:t>
      </w:r>
      <w:r w:rsidRPr="00A82EB5">
        <w:rPr>
          <w:color w:val="000000"/>
          <w:sz w:val="20"/>
        </w:rPr>
        <w:t>of</w:t>
      </w:r>
      <w:r w:rsidR="00A82EB5">
        <w:rPr>
          <w:color w:val="000000"/>
          <w:sz w:val="20"/>
        </w:rPr>
        <w:t xml:space="preserve"> </w:t>
      </w:r>
      <w:r w:rsidRPr="00A82EB5">
        <w:rPr>
          <w:color w:val="000000"/>
          <w:sz w:val="20"/>
        </w:rPr>
        <w:t>implantation</w:t>
      </w:r>
      <w:r w:rsidR="00A82EB5">
        <w:rPr>
          <w:color w:val="000000"/>
          <w:sz w:val="20"/>
        </w:rPr>
        <w:t xml:space="preserve"> </w:t>
      </w:r>
      <w:r w:rsidRPr="00A82EB5">
        <w:rPr>
          <w:color w:val="000000"/>
          <w:sz w:val="20"/>
        </w:rPr>
        <w:t>after</w:t>
      </w:r>
      <w:r w:rsidR="00A82EB5">
        <w:rPr>
          <w:color w:val="000000"/>
          <w:sz w:val="20"/>
        </w:rPr>
        <w:t xml:space="preserve"> </w:t>
      </w:r>
      <w:r w:rsidRPr="00A82EB5">
        <w:rPr>
          <w:color w:val="000000"/>
          <w:sz w:val="20"/>
        </w:rPr>
        <w:t>assisted</w:t>
      </w:r>
      <w:r w:rsidR="00A82EB5">
        <w:rPr>
          <w:color w:val="000000"/>
          <w:sz w:val="20"/>
        </w:rPr>
        <w:t xml:space="preserve"> </w:t>
      </w:r>
      <w:r w:rsidRPr="00A82EB5">
        <w:rPr>
          <w:color w:val="000000"/>
          <w:sz w:val="20"/>
        </w:rPr>
        <w:t>reproduction,</w:t>
      </w:r>
      <w:r w:rsidR="00A82EB5">
        <w:rPr>
          <w:color w:val="000000"/>
          <w:sz w:val="20"/>
        </w:rPr>
        <w:t xml:space="preserve"> </w:t>
      </w:r>
      <w:r w:rsidRPr="00A82EB5">
        <w:rPr>
          <w:color w:val="000000"/>
          <w:sz w:val="20"/>
        </w:rPr>
        <w:t>Fertil</w:t>
      </w:r>
      <w:r w:rsidR="00A82EB5">
        <w:rPr>
          <w:color w:val="000000"/>
          <w:sz w:val="20"/>
        </w:rPr>
        <w:t xml:space="preserve"> </w:t>
      </w:r>
      <w:r w:rsidRPr="00A82EB5">
        <w:rPr>
          <w:color w:val="000000"/>
          <w:sz w:val="20"/>
        </w:rPr>
        <w:t>Steril.</w:t>
      </w:r>
      <w:r w:rsidR="00A82EB5">
        <w:rPr>
          <w:color w:val="000000"/>
          <w:sz w:val="20"/>
        </w:rPr>
        <w:t xml:space="preserve"> </w:t>
      </w:r>
      <w:r w:rsidRPr="00A82EB5">
        <w:rPr>
          <w:color w:val="000000"/>
          <w:sz w:val="20"/>
        </w:rPr>
        <w:t>1994</w:t>
      </w:r>
      <w:r w:rsidR="00A82EB5">
        <w:rPr>
          <w:color w:val="000000"/>
          <w:sz w:val="20"/>
        </w:rPr>
        <w:t xml:space="preserve"> </w:t>
      </w:r>
      <w:r w:rsidRPr="00A82EB5">
        <w:rPr>
          <w:color w:val="000000"/>
          <w:sz w:val="20"/>
        </w:rPr>
        <w:t>Nov; 62(5):1004-10.</w:t>
      </w:r>
    </w:p>
    <w:p w:rsidR="00AF1350" w:rsidRPr="00A82EB5" w:rsidRDefault="00AF1350" w:rsidP="00A82EB5">
      <w:pPr>
        <w:numPr>
          <w:ilvl w:val="0"/>
          <w:numId w:val="16"/>
        </w:numPr>
        <w:bidi w:val="0"/>
        <w:snapToGrid w:val="0"/>
        <w:jc w:val="both"/>
        <w:rPr>
          <w:color w:val="000000"/>
          <w:sz w:val="20"/>
        </w:rPr>
      </w:pPr>
      <w:r w:rsidRPr="00A82EB5">
        <w:rPr>
          <w:bCs/>
          <w:color w:val="000000"/>
          <w:sz w:val="20"/>
        </w:rPr>
        <w:t xml:space="preserve">Dominguez F, Remohi J, Pellecer A, Simón C. (2003): </w:t>
      </w:r>
      <w:r w:rsidRPr="00A82EB5">
        <w:rPr>
          <w:color w:val="000000"/>
          <w:sz w:val="20"/>
        </w:rPr>
        <w:t>Human endometrial receptivity: a genomic approach. Reprod Biomed Online, 2003; 6:332-338.</w:t>
      </w:r>
    </w:p>
    <w:p w:rsidR="00AF1350" w:rsidRPr="00A82EB5" w:rsidRDefault="00AF1350" w:rsidP="00A82EB5">
      <w:pPr>
        <w:numPr>
          <w:ilvl w:val="0"/>
          <w:numId w:val="16"/>
        </w:numPr>
        <w:bidi w:val="0"/>
        <w:snapToGrid w:val="0"/>
        <w:jc w:val="both"/>
        <w:rPr>
          <w:sz w:val="20"/>
        </w:rPr>
      </w:pPr>
      <w:r w:rsidRPr="00A82EB5">
        <w:rPr>
          <w:bCs/>
          <w:sz w:val="20"/>
        </w:rPr>
        <w:t>Kupesic S, Bekavac I, Bjelos D, Kurjak A (2001):</w:t>
      </w:r>
      <w:r w:rsidRPr="00A82EB5">
        <w:rPr>
          <w:sz w:val="20"/>
        </w:rPr>
        <w:t xml:space="preserve"> Assessment of endometrialreceptivity by transvaginal color Doppler and three-dimensional powe</w:t>
      </w:r>
      <w:r w:rsidR="00A82EB5" w:rsidRPr="00A82EB5">
        <w:rPr>
          <w:sz w:val="20"/>
        </w:rPr>
        <w:t>r</w:t>
      </w:r>
      <w:r w:rsidR="00A82EB5">
        <w:rPr>
          <w:sz w:val="20"/>
        </w:rPr>
        <w:t xml:space="preserve"> </w:t>
      </w:r>
      <w:r w:rsidR="00A82EB5" w:rsidRPr="00A82EB5">
        <w:rPr>
          <w:sz w:val="20"/>
        </w:rPr>
        <w:t>D</w:t>
      </w:r>
      <w:r w:rsidRPr="00A82EB5">
        <w:rPr>
          <w:sz w:val="20"/>
        </w:rPr>
        <w:t>oppler ultrasonography in patients undergoing in vitro fertilizationprocedures. J Ultrasound Med;20:125–34.</w:t>
      </w:r>
    </w:p>
    <w:p w:rsidR="00AF1350" w:rsidRPr="00A82EB5" w:rsidRDefault="00AF1350" w:rsidP="00A82EB5">
      <w:pPr>
        <w:numPr>
          <w:ilvl w:val="0"/>
          <w:numId w:val="16"/>
        </w:numPr>
        <w:bidi w:val="0"/>
        <w:snapToGrid w:val="0"/>
        <w:jc w:val="both"/>
        <w:rPr>
          <w:sz w:val="20"/>
        </w:rPr>
      </w:pPr>
      <w:r w:rsidRPr="00A82EB5">
        <w:rPr>
          <w:bCs/>
          <w:sz w:val="20"/>
        </w:rPr>
        <w:t>Lesny P, Killick SR, Tetlow RL, Manton DJ, Robinson J, Maguiness SD (1999):</w:t>
      </w:r>
      <w:r w:rsidRPr="00A82EB5">
        <w:rPr>
          <w:sz w:val="20"/>
        </w:rPr>
        <w:t xml:space="preserve"> Ultrasound evaluation of the uterine zonal anatomy during in-vitrofertilization and embryo transfer. Hum Reprod;14:1593–8.</w:t>
      </w:r>
    </w:p>
    <w:p w:rsidR="00AF1350" w:rsidRPr="00A82EB5" w:rsidRDefault="00AF1350" w:rsidP="00A82EB5">
      <w:pPr>
        <w:numPr>
          <w:ilvl w:val="0"/>
          <w:numId w:val="16"/>
        </w:numPr>
        <w:bidi w:val="0"/>
        <w:snapToGrid w:val="0"/>
        <w:jc w:val="both"/>
        <w:rPr>
          <w:color w:val="000000"/>
          <w:sz w:val="20"/>
        </w:rPr>
      </w:pPr>
      <w:r w:rsidRPr="00A82EB5">
        <w:rPr>
          <w:bCs/>
          <w:color w:val="000000"/>
          <w:sz w:val="20"/>
        </w:rPr>
        <w:t xml:space="preserve">Mercé LT, Barco MJ, Bau S, Troyano J. (2007): </w:t>
      </w:r>
      <w:r w:rsidRPr="00A82EB5">
        <w:rPr>
          <w:color w:val="000000"/>
          <w:sz w:val="20"/>
        </w:rPr>
        <w:t>Are endometrial parameters by three dimensional</w:t>
      </w:r>
      <w:r w:rsidR="00A82EB5">
        <w:rPr>
          <w:color w:val="000000"/>
          <w:sz w:val="20"/>
        </w:rPr>
        <w:t xml:space="preserve"> </w:t>
      </w:r>
      <w:r w:rsidRPr="00A82EB5">
        <w:rPr>
          <w:color w:val="000000"/>
          <w:sz w:val="20"/>
        </w:rPr>
        <w:t>ultrasound and power Doppler angiography related to in vitro fertilization/embryo transfer outcome? Fertil Steril. 89(1):111-7.</w:t>
      </w:r>
    </w:p>
    <w:p w:rsidR="00AF1350" w:rsidRPr="00A82EB5" w:rsidRDefault="00AF1350" w:rsidP="00A82EB5">
      <w:pPr>
        <w:numPr>
          <w:ilvl w:val="0"/>
          <w:numId w:val="16"/>
        </w:numPr>
        <w:bidi w:val="0"/>
        <w:snapToGrid w:val="0"/>
        <w:jc w:val="both"/>
        <w:rPr>
          <w:sz w:val="20"/>
        </w:rPr>
      </w:pPr>
      <w:r w:rsidRPr="00A82EB5">
        <w:rPr>
          <w:bCs/>
          <w:sz w:val="20"/>
        </w:rPr>
        <w:t>Ng EH, Chan CC, Tang OS, Yeung WS, Ho PC</w:t>
      </w:r>
      <w:r w:rsidRPr="00A82EB5">
        <w:rPr>
          <w:sz w:val="20"/>
        </w:rPr>
        <w:t xml:space="preserve">. </w:t>
      </w:r>
      <w:r w:rsidRPr="00A82EB5">
        <w:rPr>
          <w:bCs/>
          <w:sz w:val="20"/>
        </w:rPr>
        <w:t xml:space="preserve">(2006): </w:t>
      </w:r>
      <w:r w:rsidRPr="00A82EB5">
        <w:rPr>
          <w:sz w:val="20"/>
        </w:rPr>
        <w:t>The role of endometrial and</w:t>
      </w:r>
      <w:r w:rsidR="00A82EB5">
        <w:rPr>
          <w:sz w:val="20"/>
        </w:rPr>
        <w:t xml:space="preserve"> </w:t>
      </w:r>
      <w:r w:rsidRPr="00A82EB5">
        <w:rPr>
          <w:sz w:val="20"/>
        </w:rPr>
        <w:t>subendometrial vascularity measured by three-dimensional powe</w:t>
      </w:r>
      <w:r w:rsidR="00A82EB5" w:rsidRPr="00A82EB5">
        <w:rPr>
          <w:sz w:val="20"/>
        </w:rPr>
        <w:t>r</w:t>
      </w:r>
      <w:r w:rsidR="00A82EB5">
        <w:rPr>
          <w:sz w:val="20"/>
        </w:rPr>
        <w:t xml:space="preserve"> </w:t>
      </w:r>
      <w:r w:rsidR="00A82EB5" w:rsidRPr="00A82EB5">
        <w:rPr>
          <w:sz w:val="20"/>
        </w:rPr>
        <w:t>D</w:t>
      </w:r>
      <w:r w:rsidRPr="00A82EB5">
        <w:rPr>
          <w:sz w:val="20"/>
        </w:rPr>
        <w:t>oppler</w:t>
      </w:r>
      <w:r w:rsidR="00426AD8">
        <w:rPr>
          <w:rFonts w:eastAsiaTheme="minorEastAsia" w:hint="eastAsia"/>
          <w:sz w:val="20"/>
          <w:lang w:eastAsia="zh-CN"/>
        </w:rPr>
        <w:t xml:space="preserve"> </w:t>
      </w:r>
      <w:r w:rsidRPr="00A82EB5">
        <w:rPr>
          <w:sz w:val="20"/>
        </w:rPr>
        <w:t>ultrasound</w:t>
      </w:r>
      <w:r w:rsidR="00426AD8">
        <w:rPr>
          <w:rFonts w:eastAsiaTheme="minorEastAsia" w:hint="eastAsia"/>
          <w:sz w:val="20"/>
          <w:lang w:eastAsia="zh-CN"/>
        </w:rPr>
        <w:t xml:space="preserve"> </w:t>
      </w:r>
      <w:r w:rsidRPr="00A82EB5">
        <w:rPr>
          <w:sz w:val="20"/>
        </w:rPr>
        <w:t>in</w:t>
      </w:r>
      <w:r w:rsidR="00426AD8">
        <w:rPr>
          <w:rFonts w:eastAsiaTheme="minorEastAsia" w:hint="eastAsia"/>
          <w:sz w:val="20"/>
          <w:lang w:eastAsia="zh-CN"/>
        </w:rPr>
        <w:t xml:space="preserve"> </w:t>
      </w:r>
      <w:r w:rsidRPr="00A82EB5">
        <w:rPr>
          <w:sz w:val="20"/>
        </w:rPr>
        <w:t>the</w:t>
      </w:r>
      <w:r w:rsidR="00426AD8">
        <w:rPr>
          <w:rFonts w:eastAsiaTheme="minorEastAsia" w:hint="eastAsia"/>
          <w:sz w:val="20"/>
          <w:lang w:eastAsia="zh-CN"/>
        </w:rPr>
        <w:t xml:space="preserve"> </w:t>
      </w:r>
      <w:r w:rsidRPr="00A82EB5">
        <w:rPr>
          <w:sz w:val="20"/>
        </w:rPr>
        <w:t>prediction</w:t>
      </w:r>
      <w:r w:rsidR="00426AD8">
        <w:rPr>
          <w:rFonts w:eastAsiaTheme="minorEastAsia" w:hint="eastAsia"/>
          <w:sz w:val="20"/>
          <w:lang w:eastAsia="zh-CN"/>
        </w:rPr>
        <w:t xml:space="preserve"> </w:t>
      </w:r>
      <w:r w:rsidRPr="00A82EB5">
        <w:rPr>
          <w:sz w:val="20"/>
        </w:rPr>
        <w:t>of pregnancy</w:t>
      </w:r>
      <w:r w:rsidR="00426AD8">
        <w:rPr>
          <w:rFonts w:eastAsiaTheme="minorEastAsia" w:hint="eastAsia"/>
          <w:sz w:val="20"/>
          <w:lang w:eastAsia="zh-CN"/>
        </w:rPr>
        <w:t xml:space="preserve"> </w:t>
      </w:r>
      <w:r w:rsidRPr="00A82EB5">
        <w:rPr>
          <w:sz w:val="20"/>
        </w:rPr>
        <w:t>during</w:t>
      </w:r>
      <w:r w:rsidR="00426AD8">
        <w:rPr>
          <w:rFonts w:eastAsiaTheme="minorEastAsia" w:hint="eastAsia"/>
          <w:sz w:val="20"/>
          <w:lang w:eastAsia="zh-CN"/>
        </w:rPr>
        <w:t xml:space="preserve"> </w:t>
      </w:r>
      <w:r w:rsidRPr="00A82EB5">
        <w:rPr>
          <w:sz w:val="20"/>
        </w:rPr>
        <w:t>frozen–thawed embryo transfer cycles</w:t>
      </w:r>
      <w:r w:rsidR="00A82EB5" w:rsidRPr="00A82EB5">
        <w:rPr>
          <w:sz w:val="20"/>
        </w:rPr>
        <w:t>:</w:t>
      </w:r>
      <w:r w:rsidR="00A82EB5">
        <w:rPr>
          <w:sz w:val="20"/>
        </w:rPr>
        <w:t xml:space="preserve"> </w:t>
      </w:r>
      <w:r w:rsidR="00A82EB5" w:rsidRPr="00A82EB5">
        <w:rPr>
          <w:i/>
          <w:iCs/>
          <w:sz w:val="20"/>
        </w:rPr>
        <w:t>H</w:t>
      </w:r>
      <w:r w:rsidRPr="00A82EB5">
        <w:rPr>
          <w:i/>
          <w:iCs/>
          <w:sz w:val="20"/>
        </w:rPr>
        <w:t>um Reprod</w:t>
      </w:r>
      <w:r w:rsidR="00426AD8">
        <w:rPr>
          <w:rFonts w:eastAsiaTheme="minorEastAsia" w:hint="eastAsia"/>
          <w:i/>
          <w:iCs/>
          <w:sz w:val="20"/>
          <w:lang w:eastAsia="zh-CN"/>
        </w:rPr>
        <w:t xml:space="preserve"> </w:t>
      </w:r>
      <w:r w:rsidRPr="00A82EB5">
        <w:rPr>
          <w:sz w:val="20"/>
        </w:rPr>
        <w:t>2006;21(6):1612–1617.</w:t>
      </w:r>
    </w:p>
    <w:p w:rsidR="00AF1350" w:rsidRPr="00A82EB5" w:rsidRDefault="00AF1350" w:rsidP="00A82EB5">
      <w:pPr>
        <w:numPr>
          <w:ilvl w:val="0"/>
          <w:numId w:val="16"/>
        </w:numPr>
        <w:bidi w:val="0"/>
        <w:snapToGrid w:val="0"/>
        <w:jc w:val="both"/>
        <w:rPr>
          <w:color w:val="000000"/>
          <w:sz w:val="20"/>
        </w:rPr>
      </w:pPr>
      <w:r w:rsidRPr="00A82EB5">
        <w:rPr>
          <w:bCs/>
          <w:color w:val="000000"/>
          <w:sz w:val="20"/>
        </w:rPr>
        <w:t>Raga</w:t>
      </w:r>
      <w:r w:rsidR="00A82EB5">
        <w:rPr>
          <w:bCs/>
          <w:color w:val="000000"/>
          <w:sz w:val="20"/>
        </w:rPr>
        <w:t xml:space="preserve"> </w:t>
      </w:r>
      <w:r w:rsidRPr="00A82EB5">
        <w:rPr>
          <w:bCs/>
          <w:color w:val="000000"/>
          <w:sz w:val="20"/>
        </w:rPr>
        <w:t>R,</w:t>
      </w:r>
      <w:r w:rsidR="00A82EB5">
        <w:rPr>
          <w:bCs/>
          <w:color w:val="000000"/>
          <w:sz w:val="20"/>
        </w:rPr>
        <w:t xml:space="preserve"> </w:t>
      </w:r>
      <w:r w:rsidRPr="00A82EB5">
        <w:rPr>
          <w:bCs/>
          <w:color w:val="000000"/>
          <w:sz w:val="20"/>
        </w:rPr>
        <w:t>Bonilla-Musoles</w:t>
      </w:r>
      <w:r w:rsidR="00A82EB5">
        <w:rPr>
          <w:bCs/>
          <w:color w:val="000000"/>
          <w:sz w:val="20"/>
        </w:rPr>
        <w:t xml:space="preserve"> </w:t>
      </w:r>
      <w:r w:rsidRPr="00A82EB5">
        <w:rPr>
          <w:bCs/>
          <w:color w:val="000000"/>
          <w:sz w:val="20"/>
        </w:rPr>
        <w:t>F,</w:t>
      </w:r>
      <w:r w:rsidR="00A82EB5">
        <w:rPr>
          <w:bCs/>
          <w:color w:val="000000"/>
          <w:sz w:val="20"/>
        </w:rPr>
        <w:t xml:space="preserve"> </w:t>
      </w:r>
      <w:r w:rsidRPr="00A82EB5">
        <w:rPr>
          <w:bCs/>
          <w:color w:val="000000"/>
          <w:sz w:val="20"/>
        </w:rPr>
        <w:t>Casan</w:t>
      </w:r>
      <w:r w:rsidR="00A82EB5">
        <w:rPr>
          <w:bCs/>
          <w:color w:val="000000"/>
          <w:sz w:val="20"/>
        </w:rPr>
        <w:t xml:space="preserve"> </w:t>
      </w:r>
      <w:r w:rsidRPr="00A82EB5">
        <w:rPr>
          <w:bCs/>
          <w:color w:val="000000"/>
          <w:sz w:val="20"/>
        </w:rPr>
        <w:t>EM,</w:t>
      </w:r>
      <w:r w:rsidR="00A82EB5">
        <w:rPr>
          <w:bCs/>
          <w:color w:val="000000"/>
          <w:sz w:val="20"/>
        </w:rPr>
        <w:t xml:space="preserve"> </w:t>
      </w:r>
      <w:r w:rsidRPr="00A82EB5">
        <w:rPr>
          <w:bCs/>
          <w:color w:val="000000"/>
          <w:sz w:val="20"/>
        </w:rPr>
        <w:t>Klein</w:t>
      </w:r>
      <w:r w:rsidR="00A82EB5">
        <w:rPr>
          <w:bCs/>
          <w:color w:val="000000"/>
          <w:sz w:val="20"/>
        </w:rPr>
        <w:t xml:space="preserve"> </w:t>
      </w:r>
      <w:r w:rsidRPr="00A82EB5">
        <w:rPr>
          <w:bCs/>
          <w:color w:val="000000"/>
          <w:sz w:val="20"/>
        </w:rPr>
        <w:t>O</w:t>
      </w:r>
      <w:r w:rsidR="00A82EB5">
        <w:rPr>
          <w:bCs/>
          <w:color w:val="000000"/>
          <w:sz w:val="20"/>
        </w:rPr>
        <w:t xml:space="preserve"> </w:t>
      </w:r>
      <w:r w:rsidRPr="00A82EB5">
        <w:rPr>
          <w:bCs/>
          <w:color w:val="000000"/>
          <w:sz w:val="20"/>
        </w:rPr>
        <w:t>and</w:t>
      </w:r>
      <w:r w:rsidR="00A82EB5">
        <w:rPr>
          <w:bCs/>
          <w:color w:val="000000"/>
          <w:sz w:val="20"/>
        </w:rPr>
        <w:t xml:space="preserve"> </w:t>
      </w:r>
      <w:r w:rsidRPr="00A82EB5">
        <w:rPr>
          <w:bCs/>
          <w:color w:val="000000"/>
          <w:sz w:val="20"/>
        </w:rPr>
        <w:t>Bonilla</w:t>
      </w:r>
      <w:r w:rsidR="00A82EB5">
        <w:rPr>
          <w:bCs/>
          <w:color w:val="000000"/>
          <w:sz w:val="20"/>
        </w:rPr>
        <w:t xml:space="preserve"> </w:t>
      </w:r>
      <w:r w:rsidRPr="00A82EB5">
        <w:rPr>
          <w:bCs/>
          <w:color w:val="000000"/>
          <w:sz w:val="20"/>
        </w:rPr>
        <w:t>F</w:t>
      </w:r>
      <w:r w:rsidR="00A82EB5">
        <w:rPr>
          <w:bCs/>
          <w:color w:val="000000"/>
          <w:sz w:val="20"/>
        </w:rPr>
        <w:t xml:space="preserve"> </w:t>
      </w:r>
      <w:r w:rsidRPr="00A82EB5">
        <w:rPr>
          <w:bCs/>
          <w:color w:val="000000"/>
          <w:sz w:val="20"/>
        </w:rPr>
        <w:t xml:space="preserve">(1999): </w:t>
      </w:r>
      <w:r w:rsidRPr="00A82EB5">
        <w:rPr>
          <w:color w:val="000000"/>
          <w:sz w:val="20"/>
        </w:rPr>
        <w:t>Assessment</w:t>
      </w:r>
      <w:r w:rsidR="00A82EB5">
        <w:rPr>
          <w:color w:val="000000"/>
          <w:sz w:val="20"/>
        </w:rPr>
        <w:t xml:space="preserve"> </w:t>
      </w:r>
      <w:r w:rsidRPr="00A82EB5">
        <w:rPr>
          <w:color w:val="000000"/>
          <w:sz w:val="20"/>
        </w:rPr>
        <w:t>of</w:t>
      </w:r>
      <w:r w:rsidR="00A82EB5">
        <w:rPr>
          <w:color w:val="000000"/>
          <w:sz w:val="20"/>
        </w:rPr>
        <w:t xml:space="preserve"> </w:t>
      </w:r>
      <w:r w:rsidRPr="00A82EB5">
        <w:rPr>
          <w:color w:val="000000"/>
          <w:sz w:val="20"/>
        </w:rPr>
        <w:t>endometrial</w:t>
      </w:r>
      <w:r w:rsidR="00A82EB5">
        <w:rPr>
          <w:color w:val="000000"/>
          <w:sz w:val="20"/>
        </w:rPr>
        <w:t xml:space="preserve"> </w:t>
      </w:r>
      <w:r w:rsidRPr="00A82EB5">
        <w:rPr>
          <w:color w:val="000000"/>
          <w:sz w:val="20"/>
        </w:rPr>
        <w:t>volume</w:t>
      </w:r>
      <w:r w:rsidR="00A82EB5">
        <w:rPr>
          <w:color w:val="000000"/>
          <w:sz w:val="20"/>
        </w:rPr>
        <w:t xml:space="preserve"> </w:t>
      </w:r>
      <w:r w:rsidRPr="00A82EB5">
        <w:rPr>
          <w:color w:val="000000"/>
          <w:sz w:val="20"/>
        </w:rPr>
        <w:t>by</w:t>
      </w:r>
      <w:r w:rsidR="00A82EB5">
        <w:rPr>
          <w:color w:val="000000"/>
          <w:sz w:val="20"/>
        </w:rPr>
        <w:t xml:space="preserve"> </w:t>
      </w:r>
      <w:r w:rsidRPr="00A82EB5">
        <w:rPr>
          <w:color w:val="000000"/>
          <w:sz w:val="20"/>
        </w:rPr>
        <w:t>three-dimensional</w:t>
      </w:r>
      <w:r w:rsidR="00A82EB5">
        <w:rPr>
          <w:color w:val="000000"/>
          <w:sz w:val="20"/>
        </w:rPr>
        <w:t xml:space="preserve"> </w:t>
      </w:r>
      <w:r w:rsidRPr="00A82EB5">
        <w:rPr>
          <w:color w:val="000000"/>
          <w:sz w:val="20"/>
        </w:rPr>
        <w:t>ultrasound</w:t>
      </w:r>
      <w:r w:rsidR="00A82EB5">
        <w:rPr>
          <w:color w:val="000000"/>
          <w:sz w:val="20"/>
        </w:rPr>
        <w:t xml:space="preserve"> </w:t>
      </w:r>
      <w:r w:rsidRPr="00A82EB5">
        <w:rPr>
          <w:color w:val="000000"/>
          <w:sz w:val="20"/>
        </w:rPr>
        <w:t>prior</w:t>
      </w:r>
      <w:r w:rsidR="00A82EB5">
        <w:rPr>
          <w:color w:val="000000"/>
          <w:sz w:val="20"/>
        </w:rPr>
        <w:t xml:space="preserve"> </w:t>
      </w:r>
      <w:r w:rsidRPr="00A82EB5">
        <w:rPr>
          <w:color w:val="000000"/>
          <w:sz w:val="20"/>
        </w:rPr>
        <w:t xml:space="preserve">to </w:t>
      </w:r>
      <w:r w:rsidRPr="00A82EB5">
        <w:rPr>
          <w:color w:val="000000"/>
          <w:sz w:val="20"/>
        </w:rPr>
        <w:lastRenderedPageBreak/>
        <w:t>embryo transfer: clues to endometrial receptivity. Hum Reprod 14,2851–2854.</w:t>
      </w:r>
    </w:p>
    <w:p w:rsidR="00AF1350" w:rsidRPr="00A82EB5" w:rsidRDefault="00AF1350" w:rsidP="00A82EB5">
      <w:pPr>
        <w:numPr>
          <w:ilvl w:val="0"/>
          <w:numId w:val="16"/>
        </w:numPr>
        <w:bidi w:val="0"/>
        <w:snapToGrid w:val="0"/>
        <w:jc w:val="both"/>
        <w:rPr>
          <w:color w:val="000000"/>
          <w:sz w:val="20"/>
        </w:rPr>
      </w:pPr>
      <w:r w:rsidRPr="00A82EB5">
        <w:rPr>
          <w:bCs/>
          <w:color w:val="000000"/>
          <w:sz w:val="20"/>
        </w:rPr>
        <w:t>Raine-Fenning NJ, Campbell BK, Kendall NR, Clewes JS and Johnson IR (2004a):</w:t>
      </w:r>
      <w:r w:rsidR="00A82EB5">
        <w:rPr>
          <w:bCs/>
          <w:color w:val="000000"/>
          <w:sz w:val="20"/>
        </w:rPr>
        <w:t xml:space="preserve"> </w:t>
      </w:r>
      <w:r w:rsidRPr="00A82EB5">
        <w:rPr>
          <w:color w:val="000000"/>
          <w:sz w:val="20"/>
        </w:rPr>
        <w:t>Quantifying</w:t>
      </w:r>
      <w:r w:rsidR="00A82EB5">
        <w:rPr>
          <w:color w:val="000000"/>
          <w:sz w:val="20"/>
        </w:rPr>
        <w:t xml:space="preserve"> </w:t>
      </w:r>
      <w:r w:rsidRPr="00A82EB5">
        <w:rPr>
          <w:color w:val="000000"/>
          <w:sz w:val="20"/>
        </w:rPr>
        <w:t>the</w:t>
      </w:r>
      <w:r w:rsidR="00A82EB5">
        <w:rPr>
          <w:color w:val="000000"/>
          <w:sz w:val="20"/>
        </w:rPr>
        <w:t xml:space="preserve"> </w:t>
      </w:r>
      <w:r w:rsidRPr="00A82EB5">
        <w:rPr>
          <w:color w:val="000000"/>
          <w:sz w:val="20"/>
        </w:rPr>
        <w:t>changes</w:t>
      </w:r>
      <w:r w:rsidR="00A82EB5">
        <w:rPr>
          <w:color w:val="000000"/>
          <w:sz w:val="20"/>
        </w:rPr>
        <w:t xml:space="preserve"> </w:t>
      </w:r>
      <w:r w:rsidRPr="00A82EB5">
        <w:rPr>
          <w:color w:val="000000"/>
          <w:sz w:val="20"/>
        </w:rPr>
        <w:t>in</w:t>
      </w:r>
      <w:r w:rsidR="00A82EB5">
        <w:rPr>
          <w:color w:val="000000"/>
          <w:sz w:val="20"/>
        </w:rPr>
        <w:t xml:space="preserve"> </w:t>
      </w:r>
      <w:r w:rsidRPr="00A82EB5">
        <w:rPr>
          <w:color w:val="000000"/>
          <w:sz w:val="20"/>
        </w:rPr>
        <w:t>endometrial</w:t>
      </w:r>
      <w:r w:rsidR="00A82EB5">
        <w:rPr>
          <w:color w:val="000000"/>
          <w:sz w:val="20"/>
        </w:rPr>
        <w:t xml:space="preserve"> </w:t>
      </w:r>
      <w:r w:rsidRPr="00A82EB5">
        <w:rPr>
          <w:color w:val="000000"/>
          <w:sz w:val="20"/>
        </w:rPr>
        <w:t>vascularity</w:t>
      </w:r>
      <w:r w:rsidR="00A82EB5">
        <w:rPr>
          <w:color w:val="000000"/>
          <w:sz w:val="20"/>
        </w:rPr>
        <w:t xml:space="preserve"> </w:t>
      </w:r>
      <w:r w:rsidRPr="00A82EB5">
        <w:rPr>
          <w:color w:val="000000"/>
          <w:sz w:val="20"/>
        </w:rPr>
        <w:t>throughout</w:t>
      </w:r>
      <w:r w:rsidR="00A82EB5">
        <w:rPr>
          <w:color w:val="000000"/>
          <w:sz w:val="20"/>
        </w:rPr>
        <w:t xml:space="preserve"> </w:t>
      </w:r>
      <w:r w:rsidRPr="00A82EB5">
        <w:rPr>
          <w:color w:val="000000"/>
          <w:sz w:val="20"/>
        </w:rPr>
        <w:t>the normal menstrual cycle with three-dimensional power Doppler angiography. Hum Reprod 19,330–338.</w:t>
      </w:r>
    </w:p>
    <w:p w:rsidR="00AF1350" w:rsidRPr="00A82EB5" w:rsidRDefault="00AF1350" w:rsidP="00A82EB5">
      <w:pPr>
        <w:numPr>
          <w:ilvl w:val="0"/>
          <w:numId w:val="16"/>
        </w:numPr>
        <w:bidi w:val="0"/>
        <w:snapToGrid w:val="0"/>
        <w:jc w:val="both"/>
        <w:rPr>
          <w:sz w:val="20"/>
        </w:rPr>
      </w:pPr>
      <w:r w:rsidRPr="00A82EB5">
        <w:rPr>
          <w:bCs/>
          <w:sz w:val="20"/>
        </w:rPr>
        <w:t>Rogers PAW (1996):</w:t>
      </w:r>
      <w:r w:rsidRPr="00A82EB5">
        <w:rPr>
          <w:sz w:val="20"/>
        </w:rPr>
        <w:t xml:space="preserve"> Structure and function of endometrial blood vessels</w:t>
      </w:r>
      <w:r w:rsidR="00A82EB5" w:rsidRPr="00A82EB5">
        <w:rPr>
          <w:sz w:val="20"/>
        </w:rPr>
        <w:t>.</w:t>
      </w:r>
      <w:r w:rsidR="00A82EB5">
        <w:rPr>
          <w:sz w:val="20"/>
        </w:rPr>
        <w:t xml:space="preserve"> </w:t>
      </w:r>
      <w:r w:rsidR="00A82EB5" w:rsidRPr="00A82EB5">
        <w:rPr>
          <w:sz w:val="20"/>
        </w:rPr>
        <w:t>H</w:t>
      </w:r>
      <w:r w:rsidRPr="00A82EB5">
        <w:rPr>
          <w:sz w:val="20"/>
        </w:rPr>
        <w:t>um Reprod Update;2:57–62.</w:t>
      </w:r>
    </w:p>
    <w:p w:rsidR="00AF1350" w:rsidRPr="00A82EB5" w:rsidRDefault="00AF1350" w:rsidP="00A82EB5">
      <w:pPr>
        <w:numPr>
          <w:ilvl w:val="0"/>
          <w:numId w:val="16"/>
        </w:numPr>
        <w:bidi w:val="0"/>
        <w:snapToGrid w:val="0"/>
        <w:jc w:val="both"/>
        <w:rPr>
          <w:sz w:val="20"/>
        </w:rPr>
      </w:pPr>
      <w:r w:rsidRPr="00A82EB5">
        <w:rPr>
          <w:bCs/>
          <w:sz w:val="20"/>
        </w:rPr>
        <w:t>Salle B, Bied-Damon V, Benchaib M, Desperes S, Gaucherand P and Rudigoz RC (1998):</w:t>
      </w:r>
      <w:r w:rsidRPr="00A82EB5">
        <w:rPr>
          <w:sz w:val="20"/>
        </w:rPr>
        <w:t xml:space="preserve"> Preliminary report of an ultrasonography and colour Doppler uterine score to predict uterine receptivity in an in-vitro fertilization programme. Hum Reprod; 13(6): 1669-73.</w:t>
      </w:r>
    </w:p>
    <w:p w:rsidR="00AF1350" w:rsidRPr="00A82EB5" w:rsidRDefault="00AF1350" w:rsidP="00A82EB5">
      <w:pPr>
        <w:numPr>
          <w:ilvl w:val="0"/>
          <w:numId w:val="16"/>
        </w:numPr>
        <w:bidi w:val="0"/>
        <w:snapToGrid w:val="0"/>
        <w:jc w:val="both"/>
        <w:rPr>
          <w:color w:val="000000"/>
          <w:sz w:val="20"/>
        </w:rPr>
      </w:pPr>
      <w:r w:rsidRPr="00A82EB5">
        <w:rPr>
          <w:bCs/>
          <w:color w:val="000000"/>
          <w:sz w:val="20"/>
        </w:rPr>
        <w:t xml:space="preserve">Schild RL, Holthanus S, Alquen JD, Fimmers R, Dorn C, van der Ven H and Hansmann M (2000b): </w:t>
      </w:r>
      <w:r w:rsidRPr="00A82EB5">
        <w:rPr>
          <w:color w:val="000000"/>
          <w:sz w:val="20"/>
        </w:rPr>
        <w:t>Quantitative assessment of subendometrial blood flow by three-dimensional-ultrasound is an important predictive factor of implantation in an in-vitro fertilization programme. Hu</w:t>
      </w:r>
      <w:r w:rsidR="00A82EB5" w:rsidRPr="00A82EB5">
        <w:rPr>
          <w:color w:val="000000"/>
          <w:sz w:val="20"/>
        </w:rPr>
        <w:t>m</w:t>
      </w:r>
      <w:r w:rsidR="00A82EB5">
        <w:rPr>
          <w:color w:val="000000"/>
          <w:sz w:val="20"/>
        </w:rPr>
        <w:t xml:space="preserve"> </w:t>
      </w:r>
      <w:r w:rsidR="00A82EB5" w:rsidRPr="00A82EB5">
        <w:rPr>
          <w:color w:val="000000"/>
          <w:sz w:val="20"/>
        </w:rPr>
        <w:t>R</w:t>
      </w:r>
      <w:r w:rsidRPr="00A82EB5">
        <w:rPr>
          <w:color w:val="000000"/>
          <w:sz w:val="20"/>
        </w:rPr>
        <w:t>eprod 15,89–94.</w:t>
      </w:r>
    </w:p>
    <w:p w:rsidR="00AF1350" w:rsidRPr="00A82EB5" w:rsidRDefault="00AF1350" w:rsidP="00A82EB5">
      <w:pPr>
        <w:numPr>
          <w:ilvl w:val="0"/>
          <w:numId w:val="16"/>
        </w:numPr>
        <w:bidi w:val="0"/>
        <w:snapToGrid w:val="0"/>
        <w:jc w:val="both"/>
        <w:rPr>
          <w:sz w:val="20"/>
        </w:rPr>
      </w:pPr>
      <w:r w:rsidRPr="00A82EB5">
        <w:rPr>
          <w:bCs/>
          <w:sz w:val="20"/>
          <w:lang w:val="de-DE"/>
        </w:rPr>
        <w:t xml:space="preserve">Schild RL, Holthaus S, d’Alquen J, Fimmers R, Dorn C, van der Ven H, et al. </w:t>
      </w:r>
      <w:r w:rsidRPr="00A82EB5">
        <w:rPr>
          <w:bCs/>
          <w:sz w:val="20"/>
        </w:rPr>
        <w:t>(2000):</w:t>
      </w:r>
      <w:r w:rsidRPr="00A82EB5">
        <w:rPr>
          <w:sz w:val="20"/>
        </w:rPr>
        <w:t xml:space="preserve"> Quantitative assessment of subendometrial blood flow bythree-dimensional ultrasound is an important predictive factor in an invitro fertilization program. Hum Reprod;15:89–94.</w:t>
      </w:r>
    </w:p>
    <w:p w:rsidR="00AF1350" w:rsidRPr="00A82EB5" w:rsidRDefault="00AF1350" w:rsidP="00A82EB5">
      <w:pPr>
        <w:numPr>
          <w:ilvl w:val="0"/>
          <w:numId w:val="16"/>
        </w:numPr>
        <w:bidi w:val="0"/>
        <w:snapToGrid w:val="0"/>
        <w:jc w:val="both"/>
        <w:rPr>
          <w:sz w:val="20"/>
        </w:rPr>
      </w:pPr>
      <w:r w:rsidRPr="00A82EB5">
        <w:rPr>
          <w:bCs/>
          <w:sz w:val="20"/>
        </w:rPr>
        <w:t>Schild RL, Knobloch C, Dorn C, Fimmers R, van der Ven H, Hansmann M (2001):</w:t>
      </w:r>
      <w:r w:rsidRPr="00A82EB5">
        <w:rPr>
          <w:sz w:val="20"/>
        </w:rPr>
        <w:t xml:space="preserve"> Endometrial receptivity in an in vitro fertilization program asassessed by spiral artery blood flow, endometrial thickness, endometrialvolume, and uterine artery blood flow. Fertil Steril;5:361–6.</w:t>
      </w:r>
    </w:p>
    <w:p w:rsidR="00AF1350" w:rsidRPr="00A82EB5" w:rsidRDefault="00AF1350" w:rsidP="00A82EB5">
      <w:pPr>
        <w:numPr>
          <w:ilvl w:val="0"/>
          <w:numId w:val="16"/>
        </w:numPr>
        <w:bidi w:val="0"/>
        <w:snapToGrid w:val="0"/>
        <w:jc w:val="both"/>
        <w:rPr>
          <w:sz w:val="20"/>
        </w:rPr>
      </w:pPr>
      <w:r w:rsidRPr="00A82EB5">
        <w:rPr>
          <w:bCs/>
          <w:sz w:val="20"/>
        </w:rPr>
        <w:lastRenderedPageBreak/>
        <w:t>Steer CV, Campbell S, Tan SL, Crayford T, Mills C, Mason BA, et al. (1992)</w:t>
      </w:r>
      <w:r w:rsidR="00A82EB5" w:rsidRPr="00A82EB5">
        <w:rPr>
          <w:bCs/>
          <w:sz w:val="20"/>
        </w:rPr>
        <w:t>:</w:t>
      </w:r>
      <w:r w:rsidR="00A82EB5">
        <w:rPr>
          <w:bCs/>
          <w:sz w:val="20"/>
        </w:rPr>
        <w:t xml:space="preserve"> </w:t>
      </w:r>
      <w:r w:rsidR="00A82EB5" w:rsidRPr="00A82EB5">
        <w:rPr>
          <w:sz w:val="20"/>
        </w:rPr>
        <w:t>T</w:t>
      </w:r>
      <w:r w:rsidRPr="00A82EB5">
        <w:rPr>
          <w:sz w:val="20"/>
        </w:rPr>
        <w:t>he use of transvaginal color flow imaging after in vitro fertilization toidentify optimum uterine conditions before embryo transfer. Ferti</w:t>
      </w:r>
      <w:r w:rsidR="00A82EB5" w:rsidRPr="00A82EB5">
        <w:rPr>
          <w:sz w:val="20"/>
        </w:rPr>
        <w:t>l</w:t>
      </w:r>
      <w:r w:rsidR="00A82EB5">
        <w:rPr>
          <w:sz w:val="20"/>
        </w:rPr>
        <w:t xml:space="preserve"> </w:t>
      </w:r>
      <w:r w:rsidR="00A82EB5" w:rsidRPr="00A82EB5">
        <w:rPr>
          <w:sz w:val="20"/>
        </w:rPr>
        <w:t>S</w:t>
      </w:r>
      <w:r w:rsidRPr="00A82EB5">
        <w:rPr>
          <w:sz w:val="20"/>
        </w:rPr>
        <w:t>teril;57:372–6.</w:t>
      </w:r>
    </w:p>
    <w:p w:rsidR="00AF1350" w:rsidRPr="00A82EB5" w:rsidRDefault="00AF1350" w:rsidP="00A82EB5">
      <w:pPr>
        <w:numPr>
          <w:ilvl w:val="0"/>
          <w:numId w:val="16"/>
        </w:numPr>
        <w:bidi w:val="0"/>
        <w:snapToGrid w:val="0"/>
        <w:jc w:val="both"/>
        <w:rPr>
          <w:sz w:val="20"/>
        </w:rPr>
      </w:pPr>
      <w:r w:rsidRPr="00A82EB5">
        <w:rPr>
          <w:bCs/>
          <w:sz w:val="20"/>
        </w:rPr>
        <w:t>Tekay A, Martikainen H, Jouppila P (1996):</w:t>
      </w:r>
      <w:r w:rsidRPr="00A82EB5">
        <w:rPr>
          <w:sz w:val="20"/>
        </w:rPr>
        <w:t xml:space="preserve"> The clinical value of transvaginalcolour Doppler ultrasound in assisted reproductive technology procedures</w:t>
      </w:r>
      <w:r w:rsidR="00A82EB5" w:rsidRPr="00A82EB5">
        <w:rPr>
          <w:sz w:val="20"/>
        </w:rPr>
        <w:t>.</w:t>
      </w:r>
      <w:r w:rsidR="00A82EB5">
        <w:rPr>
          <w:sz w:val="20"/>
        </w:rPr>
        <w:t xml:space="preserve"> </w:t>
      </w:r>
      <w:r w:rsidR="00A82EB5" w:rsidRPr="00A82EB5">
        <w:rPr>
          <w:sz w:val="20"/>
        </w:rPr>
        <w:t>H</w:t>
      </w:r>
      <w:r w:rsidRPr="00A82EB5">
        <w:rPr>
          <w:sz w:val="20"/>
        </w:rPr>
        <w:t>um Reprod;11:1589–91.</w:t>
      </w:r>
    </w:p>
    <w:p w:rsidR="00AF1350" w:rsidRPr="00A82EB5" w:rsidRDefault="00AF1350" w:rsidP="00A82EB5">
      <w:pPr>
        <w:numPr>
          <w:ilvl w:val="0"/>
          <w:numId w:val="16"/>
        </w:numPr>
        <w:bidi w:val="0"/>
        <w:snapToGrid w:val="0"/>
        <w:jc w:val="both"/>
        <w:rPr>
          <w:sz w:val="20"/>
        </w:rPr>
      </w:pPr>
      <w:r w:rsidRPr="00A82EB5">
        <w:rPr>
          <w:bCs/>
          <w:sz w:val="20"/>
        </w:rPr>
        <w:t>Tetlow RL, Richmond I, Manton DJ, Greenman J, Turnbull LW, Killick SR (1999):</w:t>
      </w:r>
      <w:r w:rsidRPr="00A82EB5">
        <w:rPr>
          <w:sz w:val="20"/>
        </w:rPr>
        <w:t xml:space="preserve"> Histological analysis of the uterine junctional zone as seenby transvaginal ultrasound. Ultrasound Obstet Gynecol;14:188–93.</w:t>
      </w:r>
    </w:p>
    <w:p w:rsidR="00AF1350" w:rsidRPr="00A82EB5" w:rsidRDefault="00AF1350" w:rsidP="00A82EB5">
      <w:pPr>
        <w:numPr>
          <w:ilvl w:val="0"/>
          <w:numId w:val="16"/>
        </w:numPr>
        <w:bidi w:val="0"/>
        <w:snapToGrid w:val="0"/>
        <w:jc w:val="both"/>
        <w:rPr>
          <w:color w:val="000000"/>
          <w:sz w:val="20"/>
        </w:rPr>
      </w:pPr>
      <w:r w:rsidRPr="00A82EB5">
        <w:rPr>
          <w:bCs/>
          <w:color w:val="000000"/>
          <w:sz w:val="20"/>
        </w:rPr>
        <w:t xml:space="preserve">Wang L, Qiao J, Li R, Zhen X, Liu Z. (2010): </w:t>
      </w:r>
      <w:r w:rsidRPr="00A82EB5">
        <w:rPr>
          <w:color w:val="000000"/>
          <w:sz w:val="20"/>
        </w:rPr>
        <w:t>Role of endometrial blood flow assessment with color Doppler energy in predicting pregnancy outcome of IVF-ET cycles: Reprod Biol Endocrinol, 2010; 8:122.</w:t>
      </w:r>
    </w:p>
    <w:p w:rsidR="00AF1350" w:rsidRPr="00A82EB5" w:rsidRDefault="00AF1350" w:rsidP="00A82EB5">
      <w:pPr>
        <w:numPr>
          <w:ilvl w:val="0"/>
          <w:numId w:val="16"/>
        </w:numPr>
        <w:bidi w:val="0"/>
        <w:snapToGrid w:val="0"/>
        <w:jc w:val="both"/>
        <w:rPr>
          <w:color w:val="000000"/>
          <w:sz w:val="20"/>
        </w:rPr>
      </w:pPr>
      <w:r w:rsidRPr="00A82EB5">
        <w:rPr>
          <w:bCs/>
          <w:color w:val="000000"/>
          <w:sz w:val="20"/>
        </w:rPr>
        <w:t xml:space="preserve">Yang JH, Wu MY, Chen CD, Jiang MC, Ho HN, Yang YS. (1999): </w:t>
      </w:r>
      <w:r w:rsidRPr="00A82EB5">
        <w:rPr>
          <w:color w:val="000000"/>
          <w:sz w:val="20"/>
        </w:rPr>
        <w:t>Association of endometrial blood flow as</w:t>
      </w:r>
      <w:r w:rsidR="00A82EB5">
        <w:rPr>
          <w:color w:val="000000"/>
          <w:sz w:val="20"/>
        </w:rPr>
        <w:t xml:space="preserve"> </w:t>
      </w:r>
      <w:r w:rsidRPr="00A82EB5">
        <w:rPr>
          <w:color w:val="000000"/>
          <w:sz w:val="20"/>
        </w:rPr>
        <w:t>determined by a modified colour Doppler technique with subsequent outcome of in-vitro fertilization. Hum Reprod 1999;14: 1606-10.</w:t>
      </w:r>
    </w:p>
    <w:p w:rsidR="00AF1350" w:rsidRPr="00A82EB5" w:rsidRDefault="00AF1350" w:rsidP="00A82EB5">
      <w:pPr>
        <w:numPr>
          <w:ilvl w:val="0"/>
          <w:numId w:val="16"/>
        </w:numPr>
        <w:bidi w:val="0"/>
        <w:snapToGrid w:val="0"/>
        <w:jc w:val="both"/>
        <w:rPr>
          <w:color w:val="000000"/>
          <w:sz w:val="20"/>
        </w:rPr>
      </w:pPr>
      <w:r w:rsidRPr="00A82EB5">
        <w:rPr>
          <w:bCs/>
          <w:color w:val="000000"/>
          <w:sz w:val="20"/>
        </w:rPr>
        <w:t xml:space="preserve">Yuval Y, Lipitz S, Dor J and Achiron R (1999): </w:t>
      </w:r>
      <w:r w:rsidRPr="00A82EB5">
        <w:rPr>
          <w:color w:val="000000"/>
          <w:sz w:val="20"/>
        </w:rPr>
        <w:t>The relationship between endometrial thickness, and blood flow and pregnancy rates in in-vitro fertilization. Hum Reprod 14,1067–1071.</w:t>
      </w:r>
    </w:p>
    <w:p w:rsidR="005D2E86" w:rsidRPr="00C9296E" w:rsidRDefault="00AF1350" w:rsidP="00A82EB5">
      <w:pPr>
        <w:numPr>
          <w:ilvl w:val="0"/>
          <w:numId w:val="16"/>
        </w:numPr>
        <w:bidi w:val="0"/>
        <w:snapToGrid w:val="0"/>
        <w:ind w:left="425" w:hanging="425"/>
        <w:jc w:val="both"/>
        <w:rPr>
          <w:rFonts w:eastAsia="宋体"/>
          <w:sz w:val="20"/>
          <w:lang w:eastAsia="zh-CN"/>
        </w:rPr>
      </w:pPr>
      <w:r w:rsidRPr="00C9296E">
        <w:rPr>
          <w:bCs/>
          <w:color w:val="000000"/>
          <w:sz w:val="20"/>
        </w:rPr>
        <w:t xml:space="preserve">Zaidi J, Campbell S, Pittrof FR and Tan SL (1995): </w:t>
      </w:r>
      <w:r w:rsidRPr="00C9296E">
        <w:rPr>
          <w:color w:val="000000"/>
          <w:sz w:val="20"/>
        </w:rPr>
        <w:t>Endometrial thickness morphology, vascular penetration and velocimetry in predicting implantation in an IVF program. Ultrasound Obstet Gynecol 6,191–198.</w:t>
      </w:r>
      <w:r w:rsidR="00C9296E" w:rsidRPr="00C9296E">
        <w:rPr>
          <w:rFonts w:eastAsiaTheme="minorEastAsia" w:hint="eastAsia"/>
          <w:color w:val="000000"/>
          <w:sz w:val="20"/>
          <w:lang w:eastAsia="zh-CN"/>
        </w:rPr>
        <w:t xml:space="preserve"> </w:t>
      </w:r>
    </w:p>
    <w:p w:rsidR="005D2E86" w:rsidRPr="00A82EB5" w:rsidRDefault="005D2E86" w:rsidP="00A82EB5">
      <w:pPr>
        <w:bidi w:val="0"/>
        <w:snapToGrid w:val="0"/>
        <w:ind w:left="425" w:hanging="425"/>
        <w:jc w:val="both"/>
        <w:rPr>
          <w:rFonts w:eastAsia="宋体"/>
          <w:sz w:val="20"/>
          <w:lang w:eastAsia="zh-CN"/>
        </w:rPr>
        <w:sectPr w:rsidR="005D2E86" w:rsidRPr="00A82EB5" w:rsidSect="00A82EB5">
          <w:headerReference w:type="even" r:id="rId53"/>
          <w:headerReference w:type="default" r:id="rId54"/>
          <w:footerReference w:type="even" r:id="rId55"/>
          <w:footerReference w:type="default" r:id="rId56"/>
          <w:type w:val="continuous"/>
          <w:pgSz w:w="12242" w:h="15842" w:code="1"/>
          <w:pgMar w:top="1440" w:right="1440" w:bottom="1440" w:left="1440" w:header="720" w:footer="720" w:gutter="0"/>
          <w:cols w:num="2" w:space="600"/>
          <w:docGrid w:linePitch="360"/>
        </w:sectPr>
      </w:pPr>
    </w:p>
    <w:p w:rsidR="005D2E86" w:rsidRDefault="005D2E86" w:rsidP="00A82EB5">
      <w:pPr>
        <w:bidi w:val="0"/>
        <w:snapToGrid w:val="0"/>
        <w:ind w:left="425" w:hanging="425"/>
        <w:jc w:val="both"/>
        <w:rPr>
          <w:rFonts w:eastAsia="宋体"/>
          <w:sz w:val="20"/>
          <w:lang w:eastAsia="zh-CN"/>
        </w:rPr>
      </w:pPr>
    </w:p>
    <w:p w:rsidR="00A82EB5" w:rsidRDefault="00A82EB5" w:rsidP="00A82EB5">
      <w:pPr>
        <w:bidi w:val="0"/>
        <w:snapToGrid w:val="0"/>
        <w:ind w:left="425" w:hanging="425"/>
        <w:jc w:val="both"/>
        <w:rPr>
          <w:rFonts w:eastAsia="宋体"/>
          <w:sz w:val="20"/>
          <w:lang w:eastAsia="zh-CN"/>
        </w:rPr>
      </w:pPr>
    </w:p>
    <w:p w:rsidR="00A82EB5" w:rsidRPr="00A82EB5" w:rsidRDefault="00A82EB5" w:rsidP="00A82EB5">
      <w:pPr>
        <w:bidi w:val="0"/>
        <w:snapToGrid w:val="0"/>
        <w:ind w:left="425" w:hanging="425"/>
        <w:jc w:val="both"/>
        <w:rPr>
          <w:rFonts w:eastAsia="宋体"/>
          <w:sz w:val="20"/>
          <w:lang w:eastAsia="zh-CN"/>
        </w:rPr>
      </w:pPr>
    </w:p>
    <w:p w:rsidR="001F733F" w:rsidRPr="00A82EB5" w:rsidRDefault="005D2E86" w:rsidP="00A82EB5">
      <w:pPr>
        <w:bidi w:val="0"/>
        <w:snapToGrid w:val="0"/>
        <w:ind w:left="425" w:hanging="425"/>
        <w:jc w:val="both"/>
        <w:rPr>
          <w:rFonts w:eastAsia="宋体"/>
          <w:sz w:val="20"/>
          <w:lang w:eastAsia="zh-CN"/>
        </w:rPr>
      </w:pPr>
      <w:r w:rsidRPr="00A82EB5">
        <w:rPr>
          <w:rFonts w:eastAsia="宋体"/>
          <w:sz w:val="20"/>
          <w:lang w:eastAsia="zh-CN"/>
        </w:rPr>
        <w:t>8/9/2017</w:t>
      </w:r>
    </w:p>
    <w:sectPr w:rsidR="001F733F" w:rsidRPr="00A82EB5" w:rsidSect="00A82EB5">
      <w:headerReference w:type="even" r:id="rId57"/>
      <w:headerReference w:type="default" r:id="rId58"/>
      <w:footerReference w:type="even" r:id="rId59"/>
      <w:footerReference w:type="default" r:id="rId60"/>
      <w:type w:val="continuous"/>
      <w:pgSz w:w="12242" w:h="15842" w:code="1"/>
      <w:pgMar w:top="1440" w:right="1440" w:bottom="1440" w:left="1440" w:header="720" w:footer="720" w:gutter="0"/>
      <w:cols w:space="709"/>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337" w:rsidRDefault="00144337">
      <w:r>
        <w:separator/>
      </w:r>
    </w:p>
  </w:endnote>
  <w:endnote w:type="continuationSeparator" w:id="0">
    <w:p w:rsidR="00144337" w:rsidRDefault="001443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otype Corsiva">
    <w:altName w:val="Courier New"/>
    <w:charset w:val="00"/>
    <w:family w:val="script"/>
    <w:pitch w:val="variable"/>
    <w:sig w:usb0="00000001"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larendon Condensed">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E86" w:rsidRDefault="004B2AA2" w:rsidP="00AF1350">
    <w:pPr>
      <w:pStyle w:val="Footer"/>
      <w:framePr w:wrap="around" w:vAnchor="text" w:hAnchor="text" w:xAlign="center" w:y="1"/>
      <w:rPr>
        <w:rStyle w:val="PageNumber"/>
      </w:rPr>
    </w:pPr>
    <w:r>
      <w:rPr>
        <w:rStyle w:val="PageNumber"/>
        <w:rtl/>
      </w:rPr>
      <w:fldChar w:fldCharType="begin"/>
    </w:r>
    <w:r w:rsidR="005D2E86">
      <w:rPr>
        <w:rStyle w:val="PageNumber"/>
      </w:rPr>
      <w:instrText xml:space="preserve">PAGE  </w:instrText>
    </w:r>
    <w:r>
      <w:rPr>
        <w:rStyle w:val="PageNumber"/>
        <w:rtl/>
      </w:rPr>
      <w:fldChar w:fldCharType="end"/>
    </w:r>
  </w:p>
  <w:p w:rsidR="005D2E86" w:rsidRDefault="005D2E86">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E86" w:rsidRPr="00EB196D" w:rsidRDefault="004B2AA2" w:rsidP="00EB196D">
    <w:pPr>
      <w:bidi w:val="0"/>
      <w:jc w:val="center"/>
      <w:rPr>
        <w:sz w:val="20"/>
      </w:rPr>
    </w:pPr>
    <w:r w:rsidRPr="00EB196D">
      <w:rPr>
        <w:sz w:val="20"/>
      </w:rPr>
      <w:fldChar w:fldCharType="begin"/>
    </w:r>
    <w:r w:rsidR="00EB196D" w:rsidRPr="00EB196D">
      <w:rPr>
        <w:sz w:val="20"/>
      </w:rPr>
      <w:instrText xml:space="preserve"> page </w:instrText>
    </w:r>
    <w:r w:rsidRPr="00EB196D">
      <w:rPr>
        <w:sz w:val="20"/>
      </w:rPr>
      <w:fldChar w:fldCharType="separate"/>
    </w:r>
    <w:r w:rsidR="00C9296E">
      <w:rPr>
        <w:sz w:val="20"/>
      </w:rPr>
      <w:t>197</w:t>
    </w:r>
    <w:r w:rsidRPr="00EB196D">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E86" w:rsidRDefault="004B2AA2" w:rsidP="00AF1350">
    <w:pPr>
      <w:pStyle w:val="Footer"/>
      <w:framePr w:wrap="around" w:vAnchor="text" w:hAnchor="text" w:xAlign="center" w:y="1"/>
      <w:rPr>
        <w:rStyle w:val="PageNumber"/>
      </w:rPr>
    </w:pPr>
    <w:r>
      <w:rPr>
        <w:rStyle w:val="PageNumber"/>
        <w:rtl/>
      </w:rPr>
      <w:fldChar w:fldCharType="begin"/>
    </w:r>
    <w:r w:rsidR="005D2E86">
      <w:rPr>
        <w:rStyle w:val="PageNumber"/>
      </w:rPr>
      <w:instrText xml:space="preserve">PAGE  </w:instrText>
    </w:r>
    <w:r>
      <w:rPr>
        <w:rStyle w:val="PageNumber"/>
        <w:rtl/>
      </w:rPr>
      <w:fldChar w:fldCharType="end"/>
    </w:r>
  </w:p>
  <w:p w:rsidR="005D2E86" w:rsidRDefault="005D2E86">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E86" w:rsidRDefault="005D2E86" w:rsidP="002D60CE">
    <w:pPr>
      <w:pStyle w:val="Footer"/>
      <w:tabs>
        <w:tab w:val="clear" w:pos="4153"/>
        <w:tab w:val="clear" w:pos="8306"/>
        <w:tab w:val="left" w:pos="3348"/>
      </w:tabs>
      <w:rPr>
        <w:lang w:bidi="ar-EG"/>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E86" w:rsidRDefault="004B2AA2" w:rsidP="00AF1350">
    <w:pPr>
      <w:pStyle w:val="Footer"/>
      <w:framePr w:wrap="around" w:vAnchor="text" w:hAnchor="text" w:xAlign="center" w:y="1"/>
      <w:rPr>
        <w:rStyle w:val="PageNumber"/>
      </w:rPr>
    </w:pPr>
    <w:r>
      <w:rPr>
        <w:rStyle w:val="PageNumber"/>
        <w:rtl/>
      </w:rPr>
      <w:fldChar w:fldCharType="begin"/>
    </w:r>
    <w:r w:rsidR="005D2E86">
      <w:rPr>
        <w:rStyle w:val="PageNumber"/>
      </w:rPr>
      <w:instrText xml:space="preserve">PAGE  </w:instrText>
    </w:r>
    <w:r>
      <w:rPr>
        <w:rStyle w:val="PageNumber"/>
        <w:rtl/>
      </w:rPr>
      <w:fldChar w:fldCharType="end"/>
    </w:r>
  </w:p>
  <w:p w:rsidR="005D2E86" w:rsidRDefault="005D2E86">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E86" w:rsidRDefault="005D2E86" w:rsidP="002D60CE">
    <w:pPr>
      <w:pStyle w:val="Footer"/>
      <w:tabs>
        <w:tab w:val="clear" w:pos="4153"/>
        <w:tab w:val="clear" w:pos="8306"/>
        <w:tab w:val="left" w:pos="3348"/>
      </w:tabs>
      <w:rPr>
        <w:lang w:bidi="ar-EG"/>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E86" w:rsidRDefault="004B2AA2" w:rsidP="00AF1350">
    <w:pPr>
      <w:pStyle w:val="Footer"/>
      <w:framePr w:wrap="around" w:vAnchor="text" w:hAnchor="text" w:xAlign="center" w:y="1"/>
      <w:rPr>
        <w:rStyle w:val="PageNumber"/>
      </w:rPr>
    </w:pPr>
    <w:r>
      <w:rPr>
        <w:rStyle w:val="PageNumber"/>
        <w:rtl/>
      </w:rPr>
      <w:fldChar w:fldCharType="begin"/>
    </w:r>
    <w:r w:rsidR="005D2E86">
      <w:rPr>
        <w:rStyle w:val="PageNumber"/>
      </w:rPr>
      <w:instrText xml:space="preserve">PAGE  </w:instrText>
    </w:r>
    <w:r>
      <w:rPr>
        <w:rStyle w:val="PageNumber"/>
        <w:rtl/>
      </w:rPr>
      <w:fldChar w:fldCharType="end"/>
    </w:r>
  </w:p>
  <w:p w:rsidR="005D2E86" w:rsidRDefault="005D2E86">
    <w:pPr>
      <w:pStyle w:val="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E86" w:rsidRPr="00EB196D" w:rsidRDefault="004B2AA2" w:rsidP="00EB196D">
    <w:pPr>
      <w:bidi w:val="0"/>
      <w:jc w:val="center"/>
      <w:rPr>
        <w:sz w:val="20"/>
      </w:rPr>
    </w:pPr>
    <w:r w:rsidRPr="00EB196D">
      <w:rPr>
        <w:sz w:val="20"/>
      </w:rPr>
      <w:fldChar w:fldCharType="begin"/>
    </w:r>
    <w:r w:rsidR="00EB196D" w:rsidRPr="00EB196D">
      <w:rPr>
        <w:sz w:val="20"/>
      </w:rPr>
      <w:instrText xml:space="preserve"> page </w:instrText>
    </w:r>
    <w:r w:rsidRPr="00EB196D">
      <w:rPr>
        <w:sz w:val="20"/>
      </w:rPr>
      <w:fldChar w:fldCharType="separate"/>
    </w:r>
    <w:r w:rsidR="00C9296E">
      <w:rPr>
        <w:sz w:val="20"/>
      </w:rPr>
      <w:t>201</w:t>
    </w:r>
    <w:r w:rsidRPr="00EB196D">
      <w:rPr>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350" w:rsidRDefault="004B2AA2" w:rsidP="00AF1350">
    <w:pPr>
      <w:pStyle w:val="Footer"/>
      <w:framePr w:wrap="around" w:vAnchor="text" w:hAnchor="text" w:xAlign="center" w:y="1"/>
      <w:rPr>
        <w:rStyle w:val="PageNumber"/>
      </w:rPr>
    </w:pPr>
    <w:r>
      <w:rPr>
        <w:rStyle w:val="PageNumber"/>
        <w:rtl/>
      </w:rPr>
      <w:fldChar w:fldCharType="begin"/>
    </w:r>
    <w:r w:rsidR="00AF1350">
      <w:rPr>
        <w:rStyle w:val="PageNumber"/>
      </w:rPr>
      <w:instrText xml:space="preserve">PAGE  </w:instrText>
    </w:r>
    <w:r>
      <w:rPr>
        <w:rStyle w:val="PageNumber"/>
        <w:rtl/>
      </w:rPr>
      <w:fldChar w:fldCharType="end"/>
    </w:r>
  </w:p>
  <w:p w:rsidR="00AF1350" w:rsidRDefault="00AF1350">
    <w:pPr>
      <w:pStyle w:val="Foote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0CE" w:rsidRDefault="002D60CE" w:rsidP="002D60CE">
    <w:pPr>
      <w:pStyle w:val="Footer"/>
      <w:tabs>
        <w:tab w:val="clear" w:pos="4153"/>
        <w:tab w:val="clear" w:pos="8306"/>
        <w:tab w:val="left" w:pos="3348"/>
      </w:tabs>
      <w:rPr>
        <w:lang w:bidi="ar-EG"/>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E86" w:rsidRPr="00EB196D" w:rsidRDefault="004B2AA2" w:rsidP="00EB196D">
    <w:pPr>
      <w:bidi w:val="0"/>
      <w:jc w:val="center"/>
      <w:rPr>
        <w:sz w:val="20"/>
      </w:rPr>
    </w:pPr>
    <w:r w:rsidRPr="00EB196D">
      <w:rPr>
        <w:sz w:val="20"/>
      </w:rPr>
      <w:fldChar w:fldCharType="begin"/>
    </w:r>
    <w:r w:rsidR="00EB196D" w:rsidRPr="00EB196D">
      <w:rPr>
        <w:sz w:val="20"/>
      </w:rPr>
      <w:instrText xml:space="preserve"> page </w:instrText>
    </w:r>
    <w:r w:rsidRPr="00EB196D">
      <w:rPr>
        <w:sz w:val="20"/>
      </w:rPr>
      <w:fldChar w:fldCharType="separate"/>
    </w:r>
    <w:r w:rsidR="00C9296E">
      <w:rPr>
        <w:sz w:val="20"/>
      </w:rPr>
      <w:t>194</w:t>
    </w:r>
    <w:r w:rsidRPr="00EB196D">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E86" w:rsidRDefault="004B2AA2" w:rsidP="00AF1350">
    <w:pPr>
      <w:pStyle w:val="Footer"/>
      <w:framePr w:wrap="around" w:vAnchor="text" w:hAnchor="text" w:xAlign="center" w:y="1"/>
      <w:rPr>
        <w:rStyle w:val="PageNumber"/>
      </w:rPr>
    </w:pPr>
    <w:r>
      <w:rPr>
        <w:rStyle w:val="PageNumber"/>
        <w:rtl/>
      </w:rPr>
      <w:fldChar w:fldCharType="begin"/>
    </w:r>
    <w:r w:rsidR="005D2E86">
      <w:rPr>
        <w:rStyle w:val="PageNumber"/>
      </w:rPr>
      <w:instrText xml:space="preserve">PAGE  </w:instrText>
    </w:r>
    <w:r>
      <w:rPr>
        <w:rStyle w:val="PageNumber"/>
        <w:rtl/>
      </w:rPr>
      <w:fldChar w:fldCharType="end"/>
    </w:r>
  </w:p>
  <w:p w:rsidR="005D2E86" w:rsidRDefault="005D2E8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E86" w:rsidRPr="00EB196D" w:rsidRDefault="004B2AA2" w:rsidP="00EB196D">
    <w:pPr>
      <w:bidi w:val="0"/>
      <w:jc w:val="center"/>
      <w:rPr>
        <w:sz w:val="20"/>
      </w:rPr>
    </w:pPr>
    <w:r w:rsidRPr="00EB196D">
      <w:rPr>
        <w:sz w:val="20"/>
      </w:rPr>
      <w:fldChar w:fldCharType="begin"/>
    </w:r>
    <w:r w:rsidR="00EB196D" w:rsidRPr="00EB196D">
      <w:rPr>
        <w:sz w:val="20"/>
      </w:rPr>
      <w:instrText xml:space="preserve"> page </w:instrText>
    </w:r>
    <w:r w:rsidRPr="00EB196D">
      <w:rPr>
        <w:sz w:val="20"/>
      </w:rPr>
      <w:fldChar w:fldCharType="separate"/>
    </w:r>
    <w:r w:rsidR="00C9296E">
      <w:rPr>
        <w:sz w:val="20"/>
      </w:rPr>
      <w:t>196</w:t>
    </w:r>
    <w:r w:rsidRPr="00EB196D">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E86" w:rsidRDefault="004B2AA2" w:rsidP="00AF1350">
    <w:pPr>
      <w:pStyle w:val="Footer"/>
      <w:framePr w:wrap="around" w:vAnchor="text" w:hAnchor="text" w:xAlign="center" w:y="1"/>
      <w:rPr>
        <w:rStyle w:val="PageNumber"/>
      </w:rPr>
    </w:pPr>
    <w:r>
      <w:rPr>
        <w:rStyle w:val="PageNumber"/>
        <w:rtl/>
      </w:rPr>
      <w:fldChar w:fldCharType="begin"/>
    </w:r>
    <w:r w:rsidR="005D2E86">
      <w:rPr>
        <w:rStyle w:val="PageNumber"/>
      </w:rPr>
      <w:instrText xml:space="preserve">PAGE  </w:instrText>
    </w:r>
    <w:r>
      <w:rPr>
        <w:rStyle w:val="PageNumber"/>
        <w:rtl/>
      </w:rPr>
      <w:fldChar w:fldCharType="end"/>
    </w:r>
  </w:p>
  <w:p w:rsidR="005D2E86" w:rsidRDefault="005D2E86">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E86" w:rsidRDefault="005D2E86" w:rsidP="002D60CE">
    <w:pPr>
      <w:pStyle w:val="Footer"/>
      <w:tabs>
        <w:tab w:val="clear" w:pos="4153"/>
        <w:tab w:val="clear" w:pos="8306"/>
        <w:tab w:val="left" w:pos="3348"/>
      </w:tabs>
      <w:rPr>
        <w:lang w:bidi="ar-EG"/>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E86" w:rsidRDefault="004B2AA2" w:rsidP="00AF1350">
    <w:pPr>
      <w:pStyle w:val="Footer"/>
      <w:framePr w:wrap="around" w:vAnchor="text" w:hAnchor="text" w:xAlign="center" w:y="1"/>
      <w:rPr>
        <w:rStyle w:val="PageNumber"/>
      </w:rPr>
    </w:pPr>
    <w:r>
      <w:rPr>
        <w:rStyle w:val="PageNumber"/>
        <w:rtl/>
      </w:rPr>
      <w:fldChar w:fldCharType="begin"/>
    </w:r>
    <w:r w:rsidR="005D2E86">
      <w:rPr>
        <w:rStyle w:val="PageNumber"/>
      </w:rPr>
      <w:instrText xml:space="preserve">PAGE  </w:instrText>
    </w:r>
    <w:r>
      <w:rPr>
        <w:rStyle w:val="PageNumber"/>
        <w:rtl/>
      </w:rPr>
      <w:fldChar w:fldCharType="end"/>
    </w:r>
  </w:p>
  <w:p w:rsidR="005D2E86" w:rsidRDefault="005D2E86">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E86" w:rsidRDefault="005D2E86" w:rsidP="002D60CE">
    <w:pPr>
      <w:pStyle w:val="Footer"/>
      <w:tabs>
        <w:tab w:val="clear" w:pos="4153"/>
        <w:tab w:val="clear" w:pos="8306"/>
        <w:tab w:val="left" w:pos="3348"/>
      </w:tabs>
      <w:rPr>
        <w:lang w:bidi="ar-EG"/>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E86" w:rsidRDefault="004B2AA2" w:rsidP="00AF1350">
    <w:pPr>
      <w:pStyle w:val="Footer"/>
      <w:framePr w:wrap="around" w:vAnchor="text" w:hAnchor="text" w:xAlign="center" w:y="1"/>
      <w:rPr>
        <w:rStyle w:val="PageNumber"/>
      </w:rPr>
    </w:pPr>
    <w:r>
      <w:rPr>
        <w:rStyle w:val="PageNumber"/>
        <w:rtl/>
      </w:rPr>
      <w:fldChar w:fldCharType="begin"/>
    </w:r>
    <w:r w:rsidR="005D2E86">
      <w:rPr>
        <w:rStyle w:val="PageNumber"/>
      </w:rPr>
      <w:instrText xml:space="preserve">PAGE  </w:instrText>
    </w:r>
    <w:r>
      <w:rPr>
        <w:rStyle w:val="PageNumber"/>
        <w:rtl/>
      </w:rPr>
      <w:fldChar w:fldCharType="end"/>
    </w:r>
  </w:p>
  <w:p w:rsidR="005D2E86" w:rsidRDefault="005D2E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337" w:rsidRDefault="00144337">
      <w:r>
        <w:separator/>
      </w:r>
    </w:p>
  </w:footnote>
  <w:footnote w:type="continuationSeparator" w:id="0">
    <w:p w:rsidR="00144337" w:rsidRDefault="001443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E86" w:rsidRDefault="004B2AA2" w:rsidP="008E512E">
    <w:pPr>
      <w:pStyle w:val="Header"/>
      <w:framePr w:wrap="around" w:vAnchor="text" w:hAnchor="text" w:xAlign="right" w:y="1"/>
      <w:rPr>
        <w:rStyle w:val="PageNumber"/>
      </w:rPr>
    </w:pPr>
    <w:r>
      <w:rPr>
        <w:rStyle w:val="PageNumber"/>
        <w:rtl/>
      </w:rPr>
      <w:fldChar w:fldCharType="begin"/>
    </w:r>
    <w:r w:rsidR="005D2E86">
      <w:rPr>
        <w:rStyle w:val="PageNumber"/>
      </w:rPr>
      <w:instrText xml:space="preserve">PAGE  </w:instrText>
    </w:r>
    <w:r>
      <w:rPr>
        <w:rStyle w:val="PageNumber"/>
        <w:rtl/>
      </w:rPr>
      <w:fldChar w:fldCharType="end"/>
    </w:r>
  </w:p>
  <w:p w:rsidR="005D2E86" w:rsidRDefault="005D2E86" w:rsidP="00661892">
    <w:pPr>
      <w:pStyle w:val="Header"/>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96D" w:rsidRPr="00EB196D" w:rsidRDefault="00EB196D" w:rsidP="00EB196D">
    <w:pPr>
      <w:pBdr>
        <w:bottom w:val="thinThickMediumGap" w:sz="12" w:space="1" w:color="auto"/>
      </w:pBdr>
      <w:tabs>
        <w:tab w:val="left" w:pos="851"/>
        <w:tab w:val="right" w:pos="8364"/>
      </w:tabs>
      <w:bidi w:val="0"/>
      <w:adjustRightInd w:val="0"/>
      <w:snapToGrid w:val="0"/>
      <w:jc w:val="both"/>
      <w:rPr>
        <w:iCs/>
        <w:sz w:val="20"/>
      </w:rPr>
    </w:pPr>
    <w:r w:rsidRPr="00EB196D">
      <w:rPr>
        <w:rFonts w:hint="eastAsia"/>
        <w:sz w:val="20"/>
      </w:rPr>
      <w:tab/>
    </w:r>
    <w:r w:rsidRPr="00EB196D">
      <w:rPr>
        <w:sz w:val="20"/>
      </w:rPr>
      <w:t>New York Science Journal 201</w:t>
    </w:r>
    <w:r w:rsidRPr="00EB196D">
      <w:rPr>
        <w:rFonts w:hint="eastAsia"/>
        <w:sz w:val="20"/>
      </w:rPr>
      <w:t>7</w:t>
    </w:r>
    <w:r w:rsidRPr="00EB196D">
      <w:rPr>
        <w:sz w:val="20"/>
      </w:rPr>
      <w:t>;</w:t>
    </w:r>
    <w:r w:rsidRPr="00EB196D">
      <w:rPr>
        <w:rFonts w:hint="eastAsia"/>
        <w:sz w:val="20"/>
      </w:rPr>
      <w:t>10</w:t>
    </w:r>
    <w:r w:rsidRPr="00EB196D">
      <w:rPr>
        <w:sz w:val="20"/>
      </w:rPr>
      <w:t>(</w:t>
    </w:r>
    <w:r w:rsidRPr="00EB196D">
      <w:rPr>
        <w:rFonts w:hint="eastAsia"/>
        <w:sz w:val="20"/>
      </w:rPr>
      <w:t>8</w:t>
    </w:r>
    <w:r w:rsidRPr="00EB196D">
      <w:rPr>
        <w:sz w:val="20"/>
      </w:rPr>
      <w:t>)</w:t>
    </w:r>
    <w:r w:rsidRPr="00EB196D">
      <w:rPr>
        <w:iCs/>
        <w:sz w:val="20"/>
      </w:rPr>
      <w:t xml:space="preserve">     </w:t>
    </w:r>
    <w:r w:rsidRPr="00EB196D">
      <w:rPr>
        <w:rFonts w:hint="eastAsia"/>
        <w:iCs/>
        <w:sz w:val="20"/>
      </w:rPr>
      <w:tab/>
    </w:r>
    <w:r w:rsidRPr="00EB196D">
      <w:rPr>
        <w:iCs/>
        <w:sz w:val="20"/>
      </w:rPr>
      <w:t xml:space="preserve"> </w:t>
    </w:r>
    <w:r w:rsidRPr="00EB196D">
      <w:rPr>
        <w:rFonts w:hint="eastAsia"/>
        <w:iCs/>
        <w:sz w:val="20"/>
      </w:rPr>
      <w:t xml:space="preserve"> </w:t>
    </w:r>
    <w:r w:rsidRPr="00EB196D">
      <w:rPr>
        <w:iCs/>
        <w:sz w:val="20"/>
      </w:rPr>
      <w:t xml:space="preserve">   </w:t>
    </w:r>
    <w:hyperlink r:id="rId1" w:history="1">
      <w:r w:rsidRPr="00EB196D">
        <w:rPr>
          <w:rStyle w:val="Hyperlink"/>
          <w:sz w:val="20"/>
        </w:rPr>
        <w:t>http://www.sciencepub.net/newyork</w:t>
      </w:r>
    </w:hyperlink>
  </w:p>
  <w:p w:rsidR="00EB196D" w:rsidRPr="00EB196D" w:rsidRDefault="00EB196D" w:rsidP="00EB196D">
    <w:pPr>
      <w:tabs>
        <w:tab w:val="left" w:pos="851"/>
        <w:tab w:val="left" w:pos="7200"/>
        <w:tab w:val="right" w:pos="8364"/>
      </w:tabs>
      <w:bidi w:val="0"/>
      <w:adjustRightInd w:val="0"/>
      <w:snapToGrid w:val="0"/>
      <w:jc w:val="both"/>
      <w:rPr>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E86" w:rsidRDefault="004B2AA2" w:rsidP="008E512E">
    <w:pPr>
      <w:pStyle w:val="Header"/>
      <w:framePr w:wrap="around" w:vAnchor="text" w:hAnchor="text" w:xAlign="right" w:y="1"/>
      <w:rPr>
        <w:rStyle w:val="PageNumber"/>
      </w:rPr>
    </w:pPr>
    <w:r>
      <w:rPr>
        <w:rStyle w:val="PageNumber"/>
        <w:rtl/>
      </w:rPr>
      <w:fldChar w:fldCharType="begin"/>
    </w:r>
    <w:r w:rsidR="005D2E86">
      <w:rPr>
        <w:rStyle w:val="PageNumber"/>
      </w:rPr>
      <w:instrText xml:space="preserve">PAGE  </w:instrText>
    </w:r>
    <w:r>
      <w:rPr>
        <w:rStyle w:val="PageNumber"/>
        <w:rtl/>
      </w:rPr>
      <w:fldChar w:fldCharType="end"/>
    </w:r>
  </w:p>
  <w:p w:rsidR="005D2E86" w:rsidRDefault="005D2E86" w:rsidP="00661892">
    <w:pPr>
      <w:pStyle w:val="Header"/>
      <w:ind w:firstLine="360"/>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E86" w:rsidRPr="00FF2B7F" w:rsidRDefault="005D2E86" w:rsidP="002D60CE">
    <w:pPr>
      <w:pBdr>
        <w:bottom w:val="thinThickMediumGap" w:sz="12" w:space="1" w:color="auto"/>
      </w:pBdr>
      <w:suppressAutoHyphens/>
      <w:bidi w:val="0"/>
      <w:jc w:val="center"/>
      <w:rPr>
        <w:rFonts w:eastAsia="宋体"/>
        <w:iCs/>
        <w:sz w:val="20"/>
        <w:lang w:bidi="ar-EG"/>
      </w:rPr>
    </w:pPr>
    <w:r w:rsidRPr="00DF21FB">
      <w:rPr>
        <w:rFonts w:eastAsia="宋体"/>
        <w:sz w:val="20"/>
      </w:rPr>
      <w:t>New York Science Journal 2017;10(x)</w:t>
    </w:r>
    <w:r w:rsidRPr="00DF21FB">
      <w:rPr>
        <w:rFonts w:eastAsia="宋体"/>
        <w:iCs/>
        <w:sz w:val="20"/>
      </w:rPr>
      <w:t xml:space="preserve">                                                </w:t>
    </w:r>
    <w:hyperlink r:id="rId1" w:history="1">
      <w:r w:rsidRPr="00DF21FB">
        <w:rPr>
          <w:rFonts w:eastAsia="宋体"/>
          <w:color w:val="0000FF"/>
          <w:sz w:val="20"/>
          <w:u w:val="single"/>
        </w:rPr>
        <w:t>http://www.sciencepub.net/newyork</w:t>
      </w:r>
    </w:hyperlink>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E86" w:rsidRDefault="004B2AA2" w:rsidP="008E512E">
    <w:pPr>
      <w:pStyle w:val="Header"/>
      <w:framePr w:wrap="around" w:vAnchor="text" w:hAnchor="text" w:xAlign="right" w:y="1"/>
      <w:rPr>
        <w:rStyle w:val="PageNumber"/>
      </w:rPr>
    </w:pPr>
    <w:r>
      <w:rPr>
        <w:rStyle w:val="PageNumber"/>
        <w:rtl/>
      </w:rPr>
      <w:fldChar w:fldCharType="begin"/>
    </w:r>
    <w:r w:rsidR="005D2E86">
      <w:rPr>
        <w:rStyle w:val="PageNumber"/>
      </w:rPr>
      <w:instrText xml:space="preserve">PAGE  </w:instrText>
    </w:r>
    <w:r>
      <w:rPr>
        <w:rStyle w:val="PageNumber"/>
        <w:rtl/>
      </w:rPr>
      <w:fldChar w:fldCharType="end"/>
    </w:r>
  </w:p>
  <w:p w:rsidR="005D2E86" w:rsidRDefault="005D2E86" w:rsidP="00661892">
    <w:pPr>
      <w:pStyle w:val="Header"/>
      <w:ind w:firstLine="360"/>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E86" w:rsidRPr="00FF2B7F" w:rsidRDefault="005D2E86" w:rsidP="002D60CE">
    <w:pPr>
      <w:pBdr>
        <w:bottom w:val="thinThickMediumGap" w:sz="12" w:space="1" w:color="auto"/>
      </w:pBdr>
      <w:suppressAutoHyphens/>
      <w:bidi w:val="0"/>
      <w:jc w:val="center"/>
      <w:rPr>
        <w:rFonts w:eastAsia="宋体"/>
        <w:iCs/>
        <w:sz w:val="20"/>
        <w:lang w:bidi="ar-EG"/>
      </w:rPr>
    </w:pPr>
    <w:r w:rsidRPr="00DF21FB">
      <w:rPr>
        <w:rFonts w:eastAsia="宋体"/>
        <w:sz w:val="20"/>
      </w:rPr>
      <w:t>New York Science Journal 2017;10(x)</w:t>
    </w:r>
    <w:r w:rsidRPr="00DF21FB">
      <w:rPr>
        <w:rFonts w:eastAsia="宋体"/>
        <w:iCs/>
        <w:sz w:val="20"/>
      </w:rPr>
      <w:t xml:space="preserve">                                                </w:t>
    </w:r>
    <w:hyperlink r:id="rId1" w:history="1">
      <w:r w:rsidRPr="00DF21FB">
        <w:rPr>
          <w:rFonts w:eastAsia="宋体"/>
          <w:color w:val="0000FF"/>
          <w:sz w:val="20"/>
          <w:u w:val="single"/>
        </w:rPr>
        <w:t>http://www.sciencepub.net/newyork</w:t>
      </w:r>
    </w:hyperlink>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E86" w:rsidRDefault="004B2AA2" w:rsidP="008E512E">
    <w:pPr>
      <w:pStyle w:val="Header"/>
      <w:framePr w:wrap="around" w:vAnchor="text" w:hAnchor="text" w:xAlign="right" w:y="1"/>
      <w:rPr>
        <w:rStyle w:val="PageNumber"/>
      </w:rPr>
    </w:pPr>
    <w:r>
      <w:rPr>
        <w:rStyle w:val="PageNumber"/>
        <w:rtl/>
      </w:rPr>
      <w:fldChar w:fldCharType="begin"/>
    </w:r>
    <w:r w:rsidR="005D2E86">
      <w:rPr>
        <w:rStyle w:val="PageNumber"/>
      </w:rPr>
      <w:instrText xml:space="preserve">PAGE  </w:instrText>
    </w:r>
    <w:r>
      <w:rPr>
        <w:rStyle w:val="PageNumber"/>
        <w:rtl/>
      </w:rPr>
      <w:fldChar w:fldCharType="end"/>
    </w:r>
  </w:p>
  <w:p w:rsidR="005D2E86" w:rsidRDefault="005D2E86" w:rsidP="00661892">
    <w:pPr>
      <w:pStyle w:val="Header"/>
      <w:ind w:firstLine="360"/>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96D" w:rsidRPr="00EB196D" w:rsidRDefault="00EB196D" w:rsidP="00EB196D">
    <w:pPr>
      <w:pBdr>
        <w:bottom w:val="thinThickMediumGap" w:sz="12" w:space="1" w:color="auto"/>
      </w:pBdr>
      <w:tabs>
        <w:tab w:val="left" w:pos="851"/>
        <w:tab w:val="right" w:pos="8364"/>
      </w:tabs>
      <w:bidi w:val="0"/>
      <w:adjustRightInd w:val="0"/>
      <w:snapToGrid w:val="0"/>
      <w:jc w:val="both"/>
      <w:rPr>
        <w:iCs/>
        <w:sz w:val="20"/>
      </w:rPr>
    </w:pPr>
    <w:r w:rsidRPr="00EB196D">
      <w:rPr>
        <w:rFonts w:hint="eastAsia"/>
        <w:sz w:val="20"/>
      </w:rPr>
      <w:tab/>
    </w:r>
    <w:r w:rsidRPr="00EB196D">
      <w:rPr>
        <w:sz w:val="20"/>
      </w:rPr>
      <w:t>New York Science Journal 201</w:t>
    </w:r>
    <w:r w:rsidRPr="00EB196D">
      <w:rPr>
        <w:rFonts w:hint="eastAsia"/>
        <w:sz w:val="20"/>
      </w:rPr>
      <w:t>7</w:t>
    </w:r>
    <w:r w:rsidRPr="00EB196D">
      <w:rPr>
        <w:sz w:val="20"/>
      </w:rPr>
      <w:t>;</w:t>
    </w:r>
    <w:r w:rsidRPr="00EB196D">
      <w:rPr>
        <w:rFonts w:hint="eastAsia"/>
        <w:sz w:val="20"/>
      </w:rPr>
      <w:t>10</w:t>
    </w:r>
    <w:r w:rsidRPr="00EB196D">
      <w:rPr>
        <w:sz w:val="20"/>
      </w:rPr>
      <w:t>(</w:t>
    </w:r>
    <w:r w:rsidRPr="00EB196D">
      <w:rPr>
        <w:rFonts w:hint="eastAsia"/>
        <w:sz w:val="20"/>
      </w:rPr>
      <w:t>8</w:t>
    </w:r>
    <w:r w:rsidRPr="00EB196D">
      <w:rPr>
        <w:sz w:val="20"/>
      </w:rPr>
      <w:t>)</w:t>
    </w:r>
    <w:r w:rsidRPr="00EB196D">
      <w:rPr>
        <w:iCs/>
        <w:sz w:val="20"/>
      </w:rPr>
      <w:t xml:space="preserve">     </w:t>
    </w:r>
    <w:r w:rsidRPr="00EB196D">
      <w:rPr>
        <w:rFonts w:hint="eastAsia"/>
        <w:iCs/>
        <w:sz w:val="20"/>
      </w:rPr>
      <w:tab/>
    </w:r>
    <w:r w:rsidRPr="00EB196D">
      <w:rPr>
        <w:iCs/>
        <w:sz w:val="20"/>
      </w:rPr>
      <w:t xml:space="preserve"> </w:t>
    </w:r>
    <w:r w:rsidRPr="00EB196D">
      <w:rPr>
        <w:rFonts w:hint="eastAsia"/>
        <w:iCs/>
        <w:sz w:val="20"/>
      </w:rPr>
      <w:t xml:space="preserve"> </w:t>
    </w:r>
    <w:r w:rsidRPr="00EB196D">
      <w:rPr>
        <w:iCs/>
        <w:sz w:val="20"/>
      </w:rPr>
      <w:t xml:space="preserve">   </w:t>
    </w:r>
    <w:hyperlink r:id="rId1" w:history="1">
      <w:r w:rsidRPr="00EB196D">
        <w:rPr>
          <w:rStyle w:val="Hyperlink"/>
          <w:sz w:val="20"/>
        </w:rPr>
        <w:t>http://www.sciencepub.net/newyork</w:t>
      </w:r>
    </w:hyperlink>
  </w:p>
  <w:p w:rsidR="00EB196D" w:rsidRPr="00EB196D" w:rsidRDefault="00EB196D" w:rsidP="00EB196D">
    <w:pPr>
      <w:tabs>
        <w:tab w:val="left" w:pos="851"/>
        <w:tab w:val="left" w:pos="7200"/>
        <w:tab w:val="right" w:pos="8364"/>
      </w:tabs>
      <w:bidi w:val="0"/>
      <w:adjustRightInd w:val="0"/>
      <w:snapToGrid w:val="0"/>
      <w:jc w:val="both"/>
      <w:rPr>
        <w:sz w:val="20"/>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350" w:rsidRDefault="004B2AA2" w:rsidP="008E512E">
    <w:pPr>
      <w:pStyle w:val="Header"/>
      <w:framePr w:wrap="around" w:vAnchor="text" w:hAnchor="text" w:xAlign="right" w:y="1"/>
      <w:rPr>
        <w:rStyle w:val="PageNumber"/>
      </w:rPr>
    </w:pPr>
    <w:r>
      <w:rPr>
        <w:rStyle w:val="PageNumber"/>
        <w:rtl/>
      </w:rPr>
      <w:fldChar w:fldCharType="begin"/>
    </w:r>
    <w:r w:rsidR="00AF1350">
      <w:rPr>
        <w:rStyle w:val="PageNumber"/>
      </w:rPr>
      <w:instrText xml:space="preserve">PAGE  </w:instrText>
    </w:r>
    <w:r>
      <w:rPr>
        <w:rStyle w:val="PageNumber"/>
        <w:rtl/>
      </w:rPr>
      <w:fldChar w:fldCharType="end"/>
    </w:r>
  </w:p>
  <w:p w:rsidR="00AF1350" w:rsidRDefault="00AF1350" w:rsidP="00661892">
    <w:pPr>
      <w:pStyle w:val="Header"/>
      <w:ind w:firstLine="360"/>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0CE" w:rsidRPr="00FF2B7F" w:rsidRDefault="002D60CE" w:rsidP="002D60CE">
    <w:pPr>
      <w:pBdr>
        <w:bottom w:val="thinThickMediumGap" w:sz="12" w:space="1" w:color="auto"/>
      </w:pBdr>
      <w:suppressAutoHyphens/>
      <w:bidi w:val="0"/>
      <w:jc w:val="center"/>
      <w:rPr>
        <w:rFonts w:eastAsia="宋体"/>
        <w:iCs/>
        <w:sz w:val="20"/>
        <w:lang w:bidi="ar-EG"/>
      </w:rPr>
    </w:pPr>
    <w:bookmarkStart w:id="0" w:name="_Hlk302678399"/>
    <w:bookmarkStart w:id="1" w:name="OLE_LINK3"/>
    <w:bookmarkStart w:id="2" w:name="OLE_LINK4"/>
    <w:bookmarkStart w:id="3" w:name="_Hlk302678401"/>
    <w:bookmarkStart w:id="4" w:name="OLE_LINK5"/>
    <w:bookmarkStart w:id="5" w:name="OLE_LINK6"/>
    <w:bookmarkStart w:id="6" w:name="OLE_LINK7"/>
    <w:bookmarkStart w:id="7" w:name="OLE_LINK8"/>
    <w:bookmarkStart w:id="8" w:name="OLE_LINK9"/>
    <w:bookmarkStart w:id="9" w:name="_Hlk313407873"/>
    <w:bookmarkStart w:id="10" w:name="OLE_LINK10"/>
    <w:bookmarkStart w:id="11" w:name="OLE_LINK11"/>
    <w:bookmarkStart w:id="12" w:name="_Hlk313407879"/>
    <w:r w:rsidRPr="00DF21FB">
      <w:rPr>
        <w:rFonts w:eastAsia="宋体"/>
        <w:sz w:val="20"/>
      </w:rPr>
      <w:t>New York Science Journal 2017;10(x)</w:t>
    </w:r>
    <w:r w:rsidRPr="00DF21FB">
      <w:rPr>
        <w:rFonts w:eastAsia="宋体"/>
        <w:iCs/>
        <w:sz w:val="20"/>
      </w:rPr>
      <w:t xml:space="preserve">                                                </w:t>
    </w:r>
    <w:hyperlink r:id="rId1" w:history="1">
      <w:r w:rsidRPr="00DF21FB">
        <w:rPr>
          <w:rFonts w:eastAsia="宋体"/>
          <w:color w:val="0000FF"/>
          <w:sz w:val="20"/>
          <w:u w:val="single"/>
        </w:rPr>
        <w:t>http://www.sciencepub.net/newyork</w:t>
      </w:r>
    </w:hyperlink>
    <w:bookmarkEnd w:id="0"/>
    <w:bookmarkEnd w:id="1"/>
    <w:bookmarkEnd w:id="2"/>
    <w:bookmarkEnd w:id="3"/>
    <w:bookmarkEnd w:id="4"/>
    <w:bookmarkEnd w:id="5"/>
    <w:bookmarkEnd w:id="6"/>
    <w:bookmarkEnd w:id="7"/>
    <w:bookmarkEnd w:id="8"/>
    <w:bookmarkEnd w:id="9"/>
    <w:bookmarkEnd w:id="10"/>
    <w:bookmarkEnd w:id="11"/>
    <w:bookmarkEnd w:id="12"/>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96D" w:rsidRPr="00EB196D" w:rsidRDefault="00EB196D" w:rsidP="00EB196D">
    <w:pPr>
      <w:pBdr>
        <w:bottom w:val="thinThickMediumGap" w:sz="12" w:space="1" w:color="auto"/>
      </w:pBdr>
      <w:tabs>
        <w:tab w:val="left" w:pos="851"/>
        <w:tab w:val="right" w:pos="8364"/>
      </w:tabs>
      <w:bidi w:val="0"/>
      <w:adjustRightInd w:val="0"/>
      <w:snapToGrid w:val="0"/>
      <w:jc w:val="both"/>
      <w:rPr>
        <w:iCs/>
        <w:sz w:val="20"/>
      </w:rPr>
    </w:pPr>
    <w:r w:rsidRPr="00EB196D">
      <w:rPr>
        <w:rFonts w:hint="eastAsia"/>
        <w:sz w:val="20"/>
      </w:rPr>
      <w:tab/>
    </w:r>
    <w:r w:rsidRPr="00EB196D">
      <w:rPr>
        <w:sz w:val="20"/>
      </w:rPr>
      <w:t>New York Science Journal 201</w:t>
    </w:r>
    <w:r w:rsidRPr="00EB196D">
      <w:rPr>
        <w:rFonts w:hint="eastAsia"/>
        <w:sz w:val="20"/>
      </w:rPr>
      <w:t>7</w:t>
    </w:r>
    <w:r w:rsidRPr="00EB196D">
      <w:rPr>
        <w:sz w:val="20"/>
      </w:rPr>
      <w:t>;</w:t>
    </w:r>
    <w:r w:rsidRPr="00EB196D">
      <w:rPr>
        <w:rFonts w:hint="eastAsia"/>
        <w:sz w:val="20"/>
      </w:rPr>
      <w:t>10</w:t>
    </w:r>
    <w:r w:rsidRPr="00EB196D">
      <w:rPr>
        <w:sz w:val="20"/>
      </w:rPr>
      <w:t>(</w:t>
    </w:r>
    <w:r w:rsidRPr="00EB196D">
      <w:rPr>
        <w:rFonts w:hint="eastAsia"/>
        <w:sz w:val="20"/>
      </w:rPr>
      <w:t>8</w:t>
    </w:r>
    <w:r w:rsidRPr="00EB196D">
      <w:rPr>
        <w:sz w:val="20"/>
      </w:rPr>
      <w:t>)</w:t>
    </w:r>
    <w:r w:rsidRPr="00EB196D">
      <w:rPr>
        <w:iCs/>
        <w:sz w:val="20"/>
      </w:rPr>
      <w:t xml:space="preserve">     </w:t>
    </w:r>
    <w:r w:rsidRPr="00EB196D">
      <w:rPr>
        <w:rFonts w:hint="eastAsia"/>
        <w:iCs/>
        <w:sz w:val="20"/>
      </w:rPr>
      <w:tab/>
    </w:r>
    <w:r w:rsidRPr="00EB196D">
      <w:rPr>
        <w:iCs/>
        <w:sz w:val="20"/>
      </w:rPr>
      <w:t xml:space="preserve"> </w:t>
    </w:r>
    <w:r w:rsidRPr="00EB196D">
      <w:rPr>
        <w:rFonts w:hint="eastAsia"/>
        <w:iCs/>
        <w:sz w:val="20"/>
      </w:rPr>
      <w:t xml:space="preserve"> </w:t>
    </w:r>
    <w:r w:rsidRPr="00EB196D">
      <w:rPr>
        <w:iCs/>
        <w:sz w:val="20"/>
      </w:rPr>
      <w:t xml:space="preserve">   </w:t>
    </w:r>
    <w:hyperlink r:id="rId1" w:history="1">
      <w:r w:rsidRPr="00EB196D">
        <w:rPr>
          <w:rStyle w:val="Hyperlink"/>
          <w:sz w:val="20"/>
        </w:rPr>
        <w:t>http://www.sciencepub.net/newyork</w:t>
      </w:r>
    </w:hyperlink>
  </w:p>
  <w:p w:rsidR="00EB196D" w:rsidRPr="00EB196D" w:rsidRDefault="00EB196D" w:rsidP="00EB196D">
    <w:pPr>
      <w:tabs>
        <w:tab w:val="left" w:pos="851"/>
        <w:tab w:val="left" w:pos="7200"/>
        <w:tab w:val="right" w:pos="8364"/>
      </w:tabs>
      <w:bidi w:val="0"/>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E86" w:rsidRDefault="004B2AA2" w:rsidP="008E512E">
    <w:pPr>
      <w:pStyle w:val="Header"/>
      <w:framePr w:wrap="around" w:vAnchor="text" w:hAnchor="text" w:xAlign="right" w:y="1"/>
      <w:rPr>
        <w:rStyle w:val="PageNumber"/>
      </w:rPr>
    </w:pPr>
    <w:r>
      <w:rPr>
        <w:rStyle w:val="PageNumber"/>
        <w:rtl/>
      </w:rPr>
      <w:fldChar w:fldCharType="begin"/>
    </w:r>
    <w:r w:rsidR="005D2E86">
      <w:rPr>
        <w:rStyle w:val="PageNumber"/>
      </w:rPr>
      <w:instrText xml:space="preserve">PAGE  </w:instrText>
    </w:r>
    <w:r>
      <w:rPr>
        <w:rStyle w:val="PageNumber"/>
        <w:rtl/>
      </w:rPr>
      <w:fldChar w:fldCharType="end"/>
    </w:r>
  </w:p>
  <w:p w:rsidR="005D2E86" w:rsidRDefault="005D2E86" w:rsidP="00661892">
    <w:pPr>
      <w:pStyle w:val="Header"/>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96D" w:rsidRPr="00EB196D" w:rsidRDefault="00EB196D" w:rsidP="00EB196D">
    <w:pPr>
      <w:pBdr>
        <w:bottom w:val="thinThickMediumGap" w:sz="12" w:space="1" w:color="auto"/>
      </w:pBdr>
      <w:tabs>
        <w:tab w:val="left" w:pos="851"/>
        <w:tab w:val="right" w:pos="8364"/>
      </w:tabs>
      <w:bidi w:val="0"/>
      <w:adjustRightInd w:val="0"/>
      <w:snapToGrid w:val="0"/>
      <w:jc w:val="both"/>
      <w:rPr>
        <w:iCs/>
        <w:sz w:val="20"/>
      </w:rPr>
    </w:pPr>
    <w:r w:rsidRPr="00EB196D">
      <w:rPr>
        <w:rFonts w:hint="eastAsia"/>
        <w:sz w:val="20"/>
      </w:rPr>
      <w:tab/>
    </w:r>
    <w:r w:rsidRPr="00EB196D">
      <w:rPr>
        <w:sz w:val="20"/>
      </w:rPr>
      <w:t>New York Science Journal 201</w:t>
    </w:r>
    <w:r w:rsidRPr="00EB196D">
      <w:rPr>
        <w:rFonts w:hint="eastAsia"/>
        <w:sz w:val="20"/>
      </w:rPr>
      <w:t>7</w:t>
    </w:r>
    <w:r w:rsidRPr="00EB196D">
      <w:rPr>
        <w:sz w:val="20"/>
      </w:rPr>
      <w:t>;</w:t>
    </w:r>
    <w:r w:rsidRPr="00EB196D">
      <w:rPr>
        <w:rFonts w:hint="eastAsia"/>
        <w:sz w:val="20"/>
      </w:rPr>
      <w:t>10</w:t>
    </w:r>
    <w:r w:rsidRPr="00EB196D">
      <w:rPr>
        <w:sz w:val="20"/>
      </w:rPr>
      <w:t>(</w:t>
    </w:r>
    <w:r w:rsidRPr="00EB196D">
      <w:rPr>
        <w:rFonts w:hint="eastAsia"/>
        <w:sz w:val="20"/>
      </w:rPr>
      <w:t>8</w:t>
    </w:r>
    <w:r w:rsidRPr="00EB196D">
      <w:rPr>
        <w:sz w:val="20"/>
      </w:rPr>
      <w:t>)</w:t>
    </w:r>
    <w:r w:rsidRPr="00EB196D">
      <w:rPr>
        <w:iCs/>
        <w:sz w:val="20"/>
      </w:rPr>
      <w:t xml:space="preserve">     </w:t>
    </w:r>
    <w:r w:rsidRPr="00EB196D">
      <w:rPr>
        <w:rFonts w:hint="eastAsia"/>
        <w:iCs/>
        <w:sz w:val="20"/>
      </w:rPr>
      <w:tab/>
    </w:r>
    <w:r w:rsidRPr="00EB196D">
      <w:rPr>
        <w:iCs/>
        <w:sz w:val="20"/>
      </w:rPr>
      <w:t xml:space="preserve"> </w:t>
    </w:r>
    <w:r w:rsidRPr="00EB196D">
      <w:rPr>
        <w:rFonts w:hint="eastAsia"/>
        <w:iCs/>
        <w:sz w:val="20"/>
      </w:rPr>
      <w:t xml:space="preserve"> </w:t>
    </w:r>
    <w:r w:rsidRPr="00EB196D">
      <w:rPr>
        <w:iCs/>
        <w:sz w:val="20"/>
      </w:rPr>
      <w:t xml:space="preserve">   </w:t>
    </w:r>
    <w:hyperlink r:id="rId1" w:history="1">
      <w:r w:rsidRPr="00EB196D">
        <w:rPr>
          <w:rStyle w:val="Hyperlink"/>
          <w:sz w:val="20"/>
        </w:rPr>
        <w:t>http://www.sciencepub.net/newyork</w:t>
      </w:r>
    </w:hyperlink>
  </w:p>
  <w:p w:rsidR="00EB196D" w:rsidRPr="00EB196D" w:rsidRDefault="00EB196D" w:rsidP="00EB196D">
    <w:pPr>
      <w:tabs>
        <w:tab w:val="left" w:pos="851"/>
        <w:tab w:val="left" w:pos="7200"/>
        <w:tab w:val="right" w:pos="8364"/>
      </w:tabs>
      <w:bidi w:val="0"/>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E86" w:rsidRDefault="004B2AA2" w:rsidP="008E512E">
    <w:pPr>
      <w:pStyle w:val="Header"/>
      <w:framePr w:wrap="around" w:vAnchor="text" w:hAnchor="text" w:xAlign="right" w:y="1"/>
      <w:rPr>
        <w:rStyle w:val="PageNumber"/>
      </w:rPr>
    </w:pPr>
    <w:r>
      <w:rPr>
        <w:rStyle w:val="PageNumber"/>
        <w:rtl/>
      </w:rPr>
      <w:fldChar w:fldCharType="begin"/>
    </w:r>
    <w:r w:rsidR="005D2E86">
      <w:rPr>
        <w:rStyle w:val="PageNumber"/>
      </w:rPr>
      <w:instrText xml:space="preserve">PAGE  </w:instrText>
    </w:r>
    <w:r>
      <w:rPr>
        <w:rStyle w:val="PageNumber"/>
        <w:rtl/>
      </w:rPr>
      <w:fldChar w:fldCharType="end"/>
    </w:r>
  </w:p>
  <w:p w:rsidR="005D2E86" w:rsidRDefault="005D2E86" w:rsidP="00661892">
    <w:pPr>
      <w:pStyle w:val="Header"/>
      <w:ind w:firstLine="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E86" w:rsidRPr="00FF2B7F" w:rsidRDefault="005D2E86" w:rsidP="002D60CE">
    <w:pPr>
      <w:pBdr>
        <w:bottom w:val="thinThickMediumGap" w:sz="12" w:space="1" w:color="auto"/>
      </w:pBdr>
      <w:suppressAutoHyphens/>
      <w:bidi w:val="0"/>
      <w:jc w:val="center"/>
      <w:rPr>
        <w:rFonts w:eastAsia="宋体"/>
        <w:iCs/>
        <w:sz w:val="20"/>
        <w:lang w:bidi="ar-EG"/>
      </w:rPr>
    </w:pPr>
    <w:r w:rsidRPr="00DF21FB">
      <w:rPr>
        <w:rFonts w:eastAsia="宋体"/>
        <w:sz w:val="20"/>
      </w:rPr>
      <w:t>New York Science Journal 2017;10(x)</w:t>
    </w:r>
    <w:r w:rsidRPr="00DF21FB">
      <w:rPr>
        <w:rFonts w:eastAsia="宋体"/>
        <w:iCs/>
        <w:sz w:val="20"/>
      </w:rPr>
      <w:t xml:space="preserve">                                                </w:t>
    </w:r>
    <w:hyperlink r:id="rId1" w:history="1">
      <w:r w:rsidRPr="00DF21FB">
        <w:rPr>
          <w:rFonts w:eastAsia="宋体"/>
          <w:color w:val="0000FF"/>
          <w:sz w:val="20"/>
          <w:u w:val="single"/>
        </w:rPr>
        <w:t>http://www.sciencepub.net/newyork</w:t>
      </w:r>
    </w:hyperlink>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E86" w:rsidRDefault="004B2AA2" w:rsidP="008E512E">
    <w:pPr>
      <w:pStyle w:val="Header"/>
      <w:framePr w:wrap="around" w:vAnchor="text" w:hAnchor="text" w:xAlign="right" w:y="1"/>
      <w:rPr>
        <w:rStyle w:val="PageNumber"/>
      </w:rPr>
    </w:pPr>
    <w:r>
      <w:rPr>
        <w:rStyle w:val="PageNumber"/>
        <w:rtl/>
      </w:rPr>
      <w:fldChar w:fldCharType="begin"/>
    </w:r>
    <w:r w:rsidR="005D2E86">
      <w:rPr>
        <w:rStyle w:val="PageNumber"/>
      </w:rPr>
      <w:instrText xml:space="preserve">PAGE  </w:instrText>
    </w:r>
    <w:r>
      <w:rPr>
        <w:rStyle w:val="PageNumber"/>
        <w:rtl/>
      </w:rPr>
      <w:fldChar w:fldCharType="end"/>
    </w:r>
  </w:p>
  <w:p w:rsidR="005D2E86" w:rsidRDefault="005D2E86" w:rsidP="00661892">
    <w:pPr>
      <w:pStyle w:val="Header"/>
      <w:ind w:firstLine="36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E86" w:rsidRPr="00FF2B7F" w:rsidRDefault="005D2E86" w:rsidP="002D60CE">
    <w:pPr>
      <w:pBdr>
        <w:bottom w:val="thinThickMediumGap" w:sz="12" w:space="1" w:color="auto"/>
      </w:pBdr>
      <w:suppressAutoHyphens/>
      <w:bidi w:val="0"/>
      <w:jc w:val="center"/>
      <w:rPr>
        <w:rFonts w:eastAsia="宋体"/>
        <w:iCs/>
        <w:sz w:val="20"/>
        <w:lang w:bidi="ar-EG"/>
      </w:rPr>
    </w:pPr>
    <w:r w:rsidRPr="00DF21FB">
      <w:rPr>
        <w:rFonts w:eastAsia="宋体"/>
        <w:sz w:val="20"/>
      </w:rPr>
      <w:t>New York Science Journal 2017;10(x)</w:t>
    </w:r>
    <w:r w:rsidRPr="00DF21FB">
      <w:rPr>
        <w:rFonts w:eastAsia="宋体"/>
        <w:iCs/>
        <w:sz w:val="20"/>
      </w:rPr>
      <w:t xml:space="preserve">                                                </w:t>
    </w:r>
    <w:hyperlink r:id="rId1" w:history="1">
      <w:r w:rsidRPr="00DF21FB">
        <w:rPr>
          <w:rFonts w:eastAsia="宋体"/>
          <w:color w:val="0000FF"/>
          <w:sz w:val="20"/>
          <w:u w:val="single"/>
        </w:rPr>
        <w:t>http://www.sciencepub.net/newyork</w:t>
      </w:r>
    </w:hyperlink>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E86" w:rsidRDefault="004B2AA2" w:rsidP="008E512E">
    <w:pPr>
      <w:pStyle w:val="Header"/>
      <w:framePr w:wrap="around" w:vAnchor="text" w:hAnchor="text" w:xAlign="right" w:y="1"/>
      <w:rPr>
        <w:rStyle w:val="PageNumber"/>
      </w:rPr>
    </w:pPr>
    <w:r>
      <w:rPr>
        <w:rStyle w:val="PageNumber"/>
        <w:rtl/>
      </w:rPr>
      <w:fldChar w:fldCharType="begin"/>
    </w:r>
    <w:r w:rsidR="005D2E86">
      <w:rPr>
        <w:rStyle w:val="PageNumber"/>
      </w:rPr>
      <w:instrText xml:space="preserve">PAGE  </w:instrText>
    </w:r>
    <w:r>
      <w:rPr>
        <w:rStyle w:val="PageNumber"/>
        <w:rtl/>
      </w:rPr>
      <w:fldChar w:fldCharType="end"/>
    </w:r>
  </w:p>
  <w:p w:rsidR="005D2E86" w:rsidRDefault="005D2E86" w:rsidP="00661892">
    <w:pPr>
      <w:pStyle w:val="Heade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23999"/>
    <w:multiLevelType w:val="hybridMultilevel"/>
    <w:tmpl w:val="D270A1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5A428B"/>
    <w:multiLevelType w:val="hybridMultilevel"/>
    <w:tmpl w:val="26FA99BE"/>
    <w:lvl w:ilvl="0" w:tplc="0D04B1EC">
      <w:start w:val="1"/>
      <w:numFmt w:val="bullet"/>
      <w:lvlText w:val=""/>
      <w:lvlJc w:val="left"/>
      <w:pPr>
        <w:tabs>
          <w:tab w:val="num" w:pos="340"/>
        </w:tabs>
        <w:ind w:left="340" w:hanging="340"/>
      </w:pPr>
      <w:rPr>
        <w:rFonts w:ascii="Symbol" w:hAnsi="Symbol" w:hint="default"/>
        <w:b/>
        <w:i w:val="0"/>
        <w:sz w:val="28"/>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
    <w:nsid w:val="20AA3FA2"/>
    <w:multiLevelType w:val="hybridMultilevel"/>
    <w:tmpl w:val="894A4B56"/>
    <w:lvl w:ilvl="0" w:tplc="B66CBA2C">
      <w:start w:val="1"/>
      <w:numFmt w:val="bullet"/>
      <w:lvlText w:val=""/>
      <w:lvlJc w:val="left"/>
      <w:pPr>
        <w:tabs>
          <w:tab w:val="num" w:pos="340"/>
        </w:tabs>
        <w:ind w:left="340" w:hanging="340"/>
      </w:pPr>
      <w:rPr>
        <w:rFonts w:ascii="Symbol" w:hAnsi="Symbol" w:hint="default"/>
        <w:b/>
        <w:i w:val="0"/>
        <w:sz w:val="20"/>
        <w:szCs w:val="20"/>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
    <w:nsid w:val="271A4D38"/>
    <w:multiLevelType w:val="hybridMultilevel"/>
    <w:tmpl w:val="25B28F10"/>
    <w:lvl w:ilvl="0" w:tplc="EFA076E4">
      <w:start w:val="1"/>
      <w:numFmt w:val="lowerRoman"/>
      <w:lvlText w:val="%1."/>
      <w:lvlJc w:val="left"/>
      <w:pPr>
        <w:tabs>
          <w:tab w:val="num" w:pos="340"/>
        </w:tabs>
        <w:ind w:left="340" w:hanging="340"/>
      </w:pPr>
      <w:rPr>
        <w:rFonts w:ascii="Times New Roman" w:hAnsi="Times New Roman"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A7763F"/>
    <w:multiLevelType w:val="hybridMultilevel"/>
    <w:tmpl w:val="B3E252D2"/>
    <w:lvl w:ilvl="0" w:tplc="6504BA26">
      <w:start w:val="1"/>
      <w:numFmt w:val="bullet"/>
      <w:lvlText w:val=""/>
      <w:lvlJc w:val="left"/>
      <w:pPr>
        <w:tabs>
          <w:tab w:val="num" w:pos="340"/>
        </w:tabs>
        <w:ind w:left="340" w:hanging="340"/>
      </w:pPr>
      <w:rPr>
        <w:rFonts w:ascii="Symbol" w:hAnsi="Symbol" w:hint="default"/>
        <w:b/>
        <w:i w:val="0"/>
        <w:sz w:val="28"/>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
    <w:nsid w:val="29DE696B"/>
    <w:multiLevelType w:val="hybridMultilevel"/>
    <w:tmpl w:val="06BCD3B2"/>
    <w:lvl w:ilvl="0" w:tplc="9724E2AC">
      <w:start w:val="1"/>
      <w:numFmt w:val="lowerLetter"/>
      <w:lvlText w:val="%1."/>
      <w:lvlJc w:val="left"/>
      <w:pPr>
        <w:tabs>
          <w:tab w:val="num" w:pos="680"/>
        </w:tabs>
        <w:ind w:left="680" w:hanging="340"/>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D4C774D"/>
    <w:multiLevelType w:val="hybridMultilevel"/>
    <w:tmpl w:val="3AB4848C"/>
    <w:lvl w:ilvl="0" w:tplc="2DAED69C">
      <w:start w:val="1"/>
      <w:numFmt w:val="bullet"/>
      <w:lvlText w:val=""/>
      <w:lvlJc w:val="left"/>
      <w:pPr>
        <w:tabs>
          <w:tab w:val="num" w:pos="340"/>
        </w:tabs>
        <w:ind w:left="340" w:hanging="340"/>
      </w:pPr>
      <w:rPr>
        <w:rFonts w:ascii="Symbol" w:hAnsi="Symbol" w:hint="default"/>
        <w:b/>
        <w:i w:val="0"/>
        <w:sz w:val="28"/>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
    <w:nsid w:val="309E58AA"/>
    <w:multiLevelType w:val="hybridMultilevel"/>
    <w:tmpl w:val="FBA0F054"/>
    <w:lvl w:ilvl="0" w:tplc="47AC022C">
      <w:start w:val="1"/>
      <w:numFmt w:val="bullet"/>
      <w:lvlText w:val=""/>
      <w:lvlJc w:val="left"/>
      <w:pPr>
        <w:tabs>
          <w:tab w:val="num" w:pos="340"/>
        </w:tabs>
        <w:ind w:left="340" w:hanging="340"/>
      </w:pPr>
      <w:rPr>
        <w:rFonts w:ascii="Symbol" w:hAnsi="Symbol" w:hint="default"/>
        <w:b/>
        <w:i w:val="0"/>
        <w:sz w:val="20"/>
        <w:szCs w:val="20"/>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8">
    <w:nsid w:val="49E93A72"/>
    <w:multiLevelType w:val="multilevel"/>
    <w:tmpl w:val="9D10185A"/>
    <w:lvl w:ilvl="0">
      <w:start w:val="6"/>
      <w:numFmt w:val="bullet"/>
      <w:lvlText w:val="-"/>
      <w:lvlJc w:val="left"/>
      <w:pPr>
        <w:tabs>
          <w:tab w:val="num" w:pos="360"/>
        </w:tabs>
        <w:ind w:left="340" w:hanging="340"/>
      </w:pPr>
      <w:rPr>
        <w:rFonts w:ascii="Times New Roman" w:eastAsia="Times New Roman" w:hAnsi="Times New Roman" w:hint="default"/>
        <w:b/>
      </w:rPr>
    </w:lvl>
    <w:lvl w:ilvl="1">
      <w:start w:val="1"/>
      <w:numFmt w:val="decimal"/>
      <w:lvlText w:val="%2-"/>
      <w:lvlJc w:val="left"/>
      <w:pPr>
        <w:tabs>
          <w:tab w:val="num" w:pos="360"/>
        </w:tabs>
        <w:ind w:left="340" w:hanging="340"/>
      </w:pPr>
      <w:rPr>
        <w:rFonts w:cs="Times New Roman"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9">
    <w:nsid w:val="4A6A038B"/>
    <w:multiLevelType w:val="hybridMultilevel"/>
    <w:tmpl w:val="2DC447C4"/>
    <w:lvl w:ilvl="0" w:tplc="96049CAC">
      <w:start w:val="1"/>
      <w:numFmt w:val="decimal"/>
      <w:lvlText w:val="%1-"/>
      <w:lvlJc w:val="left"/>
      <w:pPr>
        <w:tabs>
          <w:tab w:val="num" w:pos="340"/>
        </w:tabs>
        <w:ind w:left="340" w:hanging="340"/>
      </w:pPr>
      <w:rPr>
        <w:rFonts w:ascii="Times New Roman" w:hAnsi="Times New Roman" w:hint="default"/>
        <w:b/>
        <w:i w:val="0"/>
        <w:sz w:val="28"/>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0">
    <w:nsid w:val="59F25C86"/>
    <w:multiLevelType w:val="hybridMultilevel"/>
    <w:tmpl w:val="BD60886C"/>
    <w:lvl w:ilvl="0" w:tplc="EFF2D3BC">
      <w:start w:val="1"/>
      <w:numFmt w:val="lowerRoman"/>
      <w:lvlText w:val="%1."/>
      <w:lvlJc w:val="left"/>
      <w:pPr>
        <w:tabs>
          <w:tab w:val="num" w:pos="340"/>
        </w:tabs>
        <w:ind w:left="340" w:hanging="340"/>
      </w:pPr>
      <w:rPr>
        <w:rFonts w:ascii="Times New Roman" w:hAnsi="Times New Roman" w:hint="default"/>
        <w:b/>
        <w:i w:val="0"/>
        <w:sz w:val="28"/>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1">
    <w:nsid w:val="6CEA296E"/>
    <w:multiLevelType w:val="hybridMultilevel"/>
    <w:tmpl w:val="C53E642E"/>
    <w:lvl w:ilvl="0" w:tplc="A4001C7A">
      <w:start w:val="1"/>
      <w:numFmt w:val="bullet"/>
      <w:lvlText w:val=""/>
      <w:lvlJc w:val="left"/>
      <w:pPr>
        <w:tabs>
          <w:tab w:val="num" w:pos="340"/>
        </w:tabs>
        <w:ind w:left="340" w:hanging="340"/>
      </w:pPr>
      <w:rPr>
        <w:rFonts w:ascii="Symbol" w:hAnsi="Symbol" w:hint="default"/>
        <w:b/>
        <w:i w:val="0"/>
        <w:sz w:val="20"/>
        <w:szCs w:val="20"/>
      </w:rPr>
    </w:lvl>
    <w:lvl w:ilvl="1" w:tplc="B8704FA0">
      <w:start w:val="1"/>
      <w:numFmt w:val="lowerRoman"/>
      <w:lvlText w:val="(%2)"/>
      <w:lvlJc w:val="left"/>
      <w:pPr>
        <w:tabs>
          <w:tab w:val="num" w:pos="680"/>
        </w:tabs>
        <w:ind w:left="680" w:hanging="510"/>
      </w:pPr>
      <w:rPr>
        <w:rFonts w:ascii="Times New Roman" w:hAnsi="Times New Roman" w:hint="default"/>
        <w:b/>
        <w:i w:val="0"/>
        <w:sz w:val="20"/>
        <w:szCs w:val="20"/>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nsid w:val="714956C2"/>
    <w:multiLevelType w:val="hybridMultilevel"/>
    <w:tmpl w:val="AB789882"/>
    <w:lvl w:ilvl="0" w:tplc="22708722">
      <w:start w:val="1"/>
      <w:numFmt w:val="bullet"/>
      <w:lvlText w:val=""/>
      <w:lvlJc w:val="left"/>
      <w:pPr>
        <w:tabs>
          <w:tab w:val="num" w:pos="340"/>
        </w:tabs>
        <w:ind w:left="340" w:hanging="340"/>
      </w:pPr>
      <w:rPr>
        <w:rFonts w:ascii="Symbol" w:hAnsi="Symbol" w:hint="default"/>
        <w:b/>
        <w:i w:val="0"/>
        <w:sz w:val="20"/>
        <w:szCs w:val="20"/>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nsid w:val="74AC31A6"/>
    <w:multiLevelType w:val="hybridMultilevel"/>
    <w:tmpl w:val="BF0EEE08"/>
    <w:lvl w:ilvl="0" w:tplc="D68A2672">
      <w:start w:val="1"/>
      <w:numFmt w:val="bullet"/>
      <w:lvlText w:val=""/>
      <w:lvlJc w:val="left"/>
      <w:pPr>
        <w:tabs>
          <w:tab w:val="num" w:pos="340"/>
        </w:tabs>
        <w:ind w:left="340" w:hanging="340"/>
      </w:pPr>
      <w:rPr>
        <w:rFonts w:ascii="Symbol" w:hAnsi="Symbol" w:hint="default"/>
        <w:b/>
        <w:i w:val="0"/>
        <w:sz w:val="28"/>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nsid w:val="765D2785"/>
    <w:multiLevelType w:val="hybridMultilevel"/>
    <w:tmpl w:val="BCC2ECC6"/>
    <w:lvl w:ilvl="0" w:tplc="EAECF57E">
      <w:start w:val="1"/>
      <w:numFmt w:val="bullet"/>
      <w:lvlText w:val=""/>
      <w:lvlJc w:val="left"/>
      <w:pPr>
        <w:tabs>
          <w:tab w:val="num" w:pos="340"/>
        </w:tabs>
        <w:ind w:left="340" w:hanging="340"/>
      </w:pPr>
      <w:rPr>
        <w:rFonts w:ascii="Symbol" w:hAnsi="Symbol" w:hint="default"/>
        <w:b/>
        <w:i w:val="0"/>
        <w:sz w:val="20"/>
        <w:szCs w:val="20"/>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nsid w:val="775B411D"/>
    <w:multiLevelType w:val="multilevel"/>
    <w:tmpl w:val="DEA60288"/>
    <w:lvl w:ilvl="0">
      <w:start w:val="1"/>
      <w:numFmt w:val="decimal"/>
      <w:lvlText w:val="%1-"/>
      <w:lvlJc w:val="left"/>
      <w:pPr>
        <w:tabs>
          <w:tab w:val="num" w:pos="360"/>
        </w:tabs>
        <w:ind w:left="340" w:hanging="340"/>
      </w:pPr>
      <w:rPr>
        <w:rFonts w:ascii="Times New Roman" w:hAnsi="Times New Roman" w:cs="Times New Roman" w:hint="default"/>
        <w:b w:val="0"/>
        <w:bCs w:val="0"/>
        <w:i w:val="0"/>
        <w:iCs w:val="0"/>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8"/>
  </w:num>
  <w:num w:numId="2">
    <w:abstractNumId w:val="15"/>
  </w:num>
  <w:num w:numId="3">
    <w:abstractNumId w:val="3"/>
  </w:num>
  <w:num w:numId="4">
    <w:abstractNumId w:val="5"/>
  </w:num>
  <w:num w:numId="5">
    <w:abstractNumId w:val="6"/>
  </w:num>
  <w:num w:numId="6">
    <w:abstractNumId w:val="13"/>
  </w:num>
  <w:num w:numId="7">
    <w:abstractNumId w:val="9"/>
  </w:num>
  <w:num w:numId="8">
    <w:abstractNumId w:val="1"/>
  </w:num>
  <w:num w:numId="9">
    <w:abstractNumId w:val="4"/>
  </w:num>
  <w:num w:numId="10">
    <w:abstractNumId w:val="14"/>
  </w:num>
  <w:num w:numId="11">
    <w:abstractNumId w:val="2"/>
  </w:num>
  <w:num w:numId="12">
    <w:abstractNumId w:val="11"/>
  </w:num>
  <w:num w:numId="13">
    <w:abstractNumId w:val="12"/>
  </w:num>
  <w:num w:numId="14">
    <w:abstractNumId w:val="7"/>
  </w:num>
  <w:num w:numId="15">
    <w:abstractNumId w:val="10"/>
  </w:num>
  <w:num w:numId="16">
    <w:abstractNumId w:val="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NotTrackMoves/>
  <w:documentProtection w:edit="readOnly" w:enforcement="0"/>
  <w:defaultTabStop w:val="720"/>
  <w:drawingGridHorizontalSpacing w:val="120"/>
  <w:displayHorizontalDrawingGridEvery w:val="2"/>
  <w:characterSpacingControl w:val="doNotCompress"/>
  <w:hdrShapeDefaults>
    <o:shapedefaults v:ext="edit" spidmax="10242"/>
  </w:hdrShapeDefault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32E5"/>
    <w:rsid w:val="00003D92"/>
    <w:rsid w:val="00040DDF"/>
    <w:rsid w:val="000572AB"/>
    <w:rsid w:val="000763A4"/>
    <w:rsid w:val="000A061D"/>
    <w:rsid w:val="000A71DD"/>
    <w:rsid w:val="000B6921"/>
    <w:rsid w:val="000E6B01"/>
    <w:rsid w:val="001313B5"/>
    <w:rsid w:val="00133296"/>
    <w:rsid w:val="00144337"/>
    <w:rsid w:val="001648D1"/>
    <w:rsid w:val="001947C9"/>
    <w:rsid w:val="001C29EF"/>
    <w:rsid w:val="001F733F"/>
    <w:rsid w:val="0020206A"/>
    <w:rsid w:val="0020340D"/>
    <w:rsid w:val="00222183"/>
    <w:rsid w:val="002B1A8E"/>
    <w:rsid w:val="002D4045"/>
    <w:rsid w:val="002D60CE"/>
    <w:rsid w:val="002F467A"/>
    <w:rsid w:val="002F7375"/>
    <w:rsid w:val="00315ABE"/>
    <w:rsid w:val="003F1D82"/>
    <w:rsid w:val="00426AD8"/>
    <w:rsid w:val="00440E82"/>
    <w:rsid w:val="00480718"/>
    <w:rsid w:val="004B2AA2"/>
    <w:rsid w:val="004B58EC"/>
    <w:rsid w:val="004C2D77"/>
    <w:rsid w:val="004E2B87"/>
    <w:rsid w:val="0052184C"/>
    <w:rsid w:val="005228A3"/>
    <w:rsid w:val="00551AD1"/>
    <w:rsid w:val="00553D63"/>
    <w:rsid w:val="00587FB8"/>
    <w:rsid w:val="005D1242"/>
    <w:rsid w:val="005D25A1"/>
    <w:rsid w:val="005D2E86"/>
    <w:rsid w:val="005D458E"/>
    <w:rsid w:val="005E7DA1"/>
    <w:rsid w:val="005F2321"/>
    <w:rsid w:val="00661892"/>
    <w:rsid w:val="006C447B"/>
    <w:rsid w:val="006D2E6E"/>
    <w:rsid w:val="006E32E5"/>
    <w:rsid w:val="00705B4E"/>
    <w:rsid w:val="00730A09"/>
    <w:rsid w:val="00734F94"/>
    <w:rsid w:val="007422CF"/>
    <w:rsid w:val="00786DDA"/>
    <w:rsid w:val="007967C7"/>
    <w:rsid w:val="007A0886"/>
    <w:rsid w:val="007A1FC9"/>
    <w:rsid w:val="008009EE"/>
    <w:rsid w:val="00822A81"/>
    <w:rsid w:val="008367FA"/>
    <w:rsid w:val="00854FA9"/>
    <w:rsid w:val="008575D6"/>
    <w:rsid w:val="008B26E2"/>
    <w:rsid w:val="008E512E"/>
    <w:rsid w:val="008F5A4E"/>
    <w:rsid w:val="009024CB"/>
    <w:rsid w:val="009127D7"/>
    <w:rsid w:val="00945929"/>
    <w:rsid w:val="009C1C1B"/>
    <w:rsid w:val="009E68F8"/>
    <w:rsid w:val="009F5A32"/>
    <w:rsid w:val="00A54781"/>
    <w:rsid w:val="00A80B33"/>
    <w:rsid w:val="00A82EB5"/>
    <w:rsid w:val="00AD4034"/>
    <w:rsid w:val="00AF1350"/>
    <w:rsid w:val="00B02060"/>
    <w:rsid w:val="00B21ED5"/>
    <w:rsid w:val="00B37A7D"/>
    <w:rsid w:val="00B4224F"/>
    <w:rsid w:val="00B53C25"/>
    <w:rsid w:val="00B840F7"/>
    <w:rsid w:val="00BB4A39"/>
    <w:rsid w:val="00BF1B6A"/>
    <w:rsid w:val="00C16B34"/>
    <w:rsid w:val="00C36A25"/>
    <w:rsid w:val="00C36FEA"/>
    <w:rsid w:val="00C61E87"/>
    <w:rsid w:val="00C74E53"/>
    <w:rsid w:val="00C9296E"/>
    <w:rsid w:val="00CD323E"/>
    <w:rsid w:val="00CD6134"/>
    <w:rsid w:val="00DA654A"/>
    <w:rsid w:val="00DB6AD9"/>
    <w:rsid w:val="00DC72E1"/>
    <w:rsid w:val="00E10937"/>
    <w:rsid w:val="00E244EC"/>
    <w:rsid w:val="00E50529"/>
    <w:rsid w:val="00E63DFE"/>
    <w:rsid w:val="00E7178C"/>
    <w:rsid w:val="00EB196D"/>
    <w:rsid w:val="00EE6228"/>
    <w:rsid w:val="00F76F9E"/>
    <w:rsid w:val="00FD1955"/>
    <w:rsid w:val="00FE7A3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A32"/>
    <w:pPr>
      <w:bidi/>
    </w:pPr>
    <w:rPr>
      <w:rFonts w:eastAsia="Calibri"/>
      <w:noProof/>
      <w:sz w:val="24"/>
      <w:lang w:eastAsia="ar-SA"/>
    </w:rPr>
  </w:style>
  <w:style w:type="paragraph" w:styleId="Heading1">
    <w:name w:val="heading 1"/>
    <w:basedOn w:val="Normal"/>
    <w:next w:val="BodyText"/>
    <w:link w:val="Heading1Char"/>
    <w:qFormat/>
    <w:rsid w:val="009F5A32"/>
    <w:pPr>
      <w:keepNext/>
      <w:pageBreakBefore/>
      <w:bidi w:val="0"/>
      <w:spacing w:after="120" w:line="360" w:lineRule="auto"/>
      <w:jc w:val="center"/>
      <w:outlineLvl w:val="0"/>
    </w:pPr>
    <w:rPr>
      <w:b/>
      <w:bCs/>
      <w:kern w:val="32"/>
      <w:sz w:val="40"/>
      <w:szCs w:val="40"/>
    </w:rPr>
  </w:style>
  <w:style w:type="paragraph" w:styleId="Heading2">
    <w:name w:val="heading 2"/>
    <w:basedOn w:val="Normal"/>
    <w:next w:val="BodyText"/>
    <w:link w:val="Heading2Char"/>
    <w:qFormat/>
    <w:rsid w:val="009F5A32"/>
    <w:pPr>
      <w:keepNext/>
      <w:pageBreakBefore/>
      <w:bidi w:val="0"/>
      <w:spacing w:after="120" w:line="360" w:lineRule="auto"/>
      <w:jc w:val="center"/>
      <w:outlineLvl w:val="1"/>
    </w:pPr>
    <w:rPr>
      <w:b/>
      <w:bCs/>
      <w:sz w:val="36"/>
      <w:szCs w:val="36"/>
    </w:rPr>
  </w:style>
  <w:style w:type="paragraph" w:styleId="Heading3">
    <w:name w:val="heading 3"/>
    <w:basedOn w:val="Normal"/>
    <w:next w:val="BodyText"/>
    <w:link w:val="Heading3Char"/>
    <w:qFormat/>
    <w:rsid w:val="009F5A32"/>
    <w:pPr>
      <w:keepNext/>
      <w:bidi w:val="0"/>
      <w:spacing w:after="120" w:line="360" w:lineRule="auto"/>
      <w:outlineLvl w:val="2"/>
    </w:pPr>
    <w:rPr>
      <w:rFonts w:ascii="Monotype Corsiva" w:hAnsi="Monotype Corsiva"/>
      <w:b/>
      <w:bCs/>
      <w:i/>
      <w:sz w:val="32"/>
      <w:szCs w:val="32"/>
    </w:rPr>
  </w:style>
  <w:style w:type="paragraph" w:styleId="Heading4">
    <w:name w:val="heading 4"/>
    <w:basedOn w:val="Normal"/>
    <w:next w:val="BodyText"/>
    <w:link w:val="Heading4Char"/>
    <w:qFormat/>
    <w:rsid w:val="009F5A32"/>
    <w:pPr>
      <w:keepNext/>
      <w:bidi w:val="0"/>
      <w:spacing w:after="120" w:line="360" w:lineRule="auto"/>
      <w:outlineLvl w:val="3"/>
    </w:pPr>
    <w:rPr>
      <w:rFonts w:ascii="Comic Sans MS" w:hAnsi="Comic Sans MS"/>
      <w:b/>
      <w:bCs/>
      <w:sz w:val="28"/>
      <w:szCs w:val="28"/>
    </w:rPr>
  </w:style>
  <w:style w:type="paragraph" w:styleId="Heading5">
    <w:name w:val="heading 5"/>
    <w:basedOn w:val="Normal"/>
    <w:next w:val="BodyText"/>
    <w:link w:val="Heading5Char"/>
    <w:qFormat/>
    <w:rsid w:val="009F5A32"/>
    <w:pPr>
      <w:bidi w:val="0"/>
      <w:spacing w:after="120" w:line="360" w:lineRule="auto"/>
      <w:outlineLvl w:val="4"/>
    </w:pPr>
    <w:rPr>
      <w:b/>
      <w:bCs/>
      <w:sz w:val="28"/>
      <w:szCs w:val="28"/>
    </w:rPr>
  </w:style>
  <w:style w:type="paragraph" w:styleId="Heading6">
    <w:name w:val="heading 6"/>
    <w:basedOn w:val="Normal"/>
    <w:next w:val="BodyText"/>
    <w:link w:val="Heading6Char"/>
    <w:qFormat/>
    <w:rsid w:val="009F5A32"/>
    <w:pPr>
      <w:bidi w:val="0"/>
      <w:spacing w:before="240" w:after="60"/>
      <w:outlineLvl w:val="5"/>
    </w:pPr>
    <w:rPr>
      <w:b/>
      <w:bCs/>
      <w:i/>
      <w:iCs/>
      <w:sz w:val="28"/>
      <w:szCs w:val="28"/>
    </w:rPr>
  </w:style>
  <w:style w:type="paragraph" w:styleId="Heading7">
    <w:name w:val="heading 7"/>
    <w:basedOn w:val="Normal"/>
    <w:next w:val="Normal"/>
    <w:link w:val="Heading7Char"/>
    <w:qFormat/>
    <w:rsid w:val="009F5A32"/>
    <w:pPr>
      <w:spacing w:before="240" w:after="60"/>
      <w:outlineLvl w:val="6"/>
    </w:pPr>
    <w:rPr>
      <w:szCs w:val="24"/>
    </w:rPr>
  </w:style>
  <w:style w:type="paragraph" w:styleId="Heading8">
    <w:name w:val="heading 8"/>
    <w:basedOn w:val="Normal"/>
    <w:next w:val="Normal"/>
    <w:link w:val="Heading8Char"/>
    <w:qFormat/>
    <w:rsid w:val="009F5A32"/>
    <w:pPr>
      <w:spacing w:before="240" w:after="60"/>
      <w:outlineLvl w:val="7"/>
    </w:pPr>
    <w:rPr>
      <w:i/>
      <w:iCs/>
      <w:szCs w:val="24"/>
    </w:rPr>
  </w:style>
  <w:style w:type="paragraph" w:styleId="Heading9">
    <w:name w:val="heading 9"/>
    <w:basedOn w:val="Normal"/>
    <w:next w:val="Normal"/>
    <w:link w:val="Heading9Char"/>
    <w:qFormat/>
    <w:rsid w:val="009F5A3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Body Text Char Char Char Char Char Char Char,Body Text Char Char Char Char Char Char1"/>
    <w:basedOn w:val="Normal"/>
    <w:link w:val="BodyTextChar"/>
    <w:rsid w:val="009F5A32"/>
    <w:pPr>
      <w:bidi w:val="0"/>
      <w:spacing w:after="240" w:line="360" w:lineRule="auto"/>
      <w:ind w:firstLine="567"/>
      <w:jc w:val="lowKashida"/>
    </w:pPr>
    <w:rPr>
      <w:sz w:val="28"/>
      <w:szCs w:val="28"/>
      <w:lang/>
    </w:rPr>
  </w:style>
  <w:style w:type="character" w:customStyle="1" w:styleId="BodyTextChar">
    <w:name w:val="Body Text Char"/>
    <w:aliases w:val="Body Text Char Char Char,Body Text Char Char Char Char Char Char Char Char,Body Text Char Char Char Char Char Char1 Char"/>
    <w:link w:val="BodyText"/>
    <w:rsid w:val="009F5A32"/>
    <w:rPr>
      <w:rFonts w:eastAsia="Calibri"/>
      <w:noProof/>
      <w:sz w:val="28"/>
      <w:szCs w:val="28"/>
      <w:lang w:eastAsia="ar-SA" w:bidi="ar-SA"/>
    </w:rPr>
  </w:style>
  <w:style w:type="character" w:customStyle="1" w:styleId="Heading1Char">
    <w:name w:val="Heading 1 Char"/>
    <w:link w:val="Heading1"/>
    <w:rsid w:val="009F5A32"/>
    <w:rPr>
      <w:rFonts w:eastAsia="Calibri"/>
      <w:b/>
      <w:bCs/>
      <w:noProof/>
      <w:kern w:val="32"/>
      <w:sz w:val="40"/>
      <w:szCs w:val="40"/>
      <w:lang w:val="en-US" w:eastAsia="ar-SA" w:bidi="ar-SA"/>
    </w:rPr>
  </w:style>
  <w:style w:type="character" w:customStyle="1" w:styleId="Heading2Char">
    <w:name w:val="Heading 2 Char"/>
    <w:link w:val="Heading2"/>
    <w:rsid w:val="009F5A32"/>
    <w:rPr>
      <w:rFonts w:eastAsia="Calibri"/>
      <w:b/>
      <w:bCs/>
      <w:noProof/>
      <w:sz w:val="36"/>
      <w:szCs w:val="36"/>
      <w:lang w:val="en-US" w:eastAsia="ar-SA" w:bidi="ar-SA"/>
    </w:rPr>
  </w:style>
  <w:style w:type="character" w:customStyle="1" w:styleId="Heading3Char">
    <w:name w:val="Heading 3 Char"/>
    <w:link w:val="Heading3"/>
    <w:rsid w:val="009F5A32"/>
    <w:rPr>
      <w:rFonts w:ascii="Monotype Corsiva" w:eastAsia="Calibri" w:hAnsi="Monotype Corsiva"/>
      <w:b/>
      <w:bCs/>
      <w:i/>
      <w:noProof/>
      <w:sz w:val="32"/>
      <w:szCs w:val="32"/>
      <w:lang w:val="en-US" w:eastAsia="ar-SA" w:bidi="ar-SA"/>
    </w:rPr>
  </w:style>
  <w:style w:type="character" w:customStyle="1" w:styleId="Heading4Char">
    <w:name w:val="Heading 4 Char"/>
    <w:link w:val="Heading4"/>
    <w:rsid w:val="009F5A32"/>
    <w:rPr>
      <w:rFonts w:ascii="Comic Sans MS" w:eastAsia="Calibri" w:hAnsi="Comic Sans MS"/>
      <w:b/>
      <w:bCs/>
      <w:noProof/>
      <w:sz w:val="28"/>
      <w:szCs w:val="28"/>
      <w:lang w:val="en-US" w:eastAsia="ar-SA" w:bidi="ar-SA"/>
    </w:rPr>
  </w:style>
  <w:style w:type="character" w:customStyle="1" w:styleId="Heading5Char">
    <w:name w:val="Heading 5 Char"/>
    <w:link w:val="Heading5"/>
    <w:rsid w:val="009F5A32"/>
    <w:rPr>
      <w:rFonts w:eastAsia="Calibri"/>
      <w:b/>
      <w:bCs/>
      <w:noProof/>
      <w:sz w:val="28"/>
      <w:szCs w:val="28"/>
      <w:lang w:val="en-US" w:eastAsia="ar-SA" w:bidi="ar-SA"/>
    </w:rPr>
  </w:style>
  <w:style w:type="character" w:customStyle="1" w:styleId="Heading6Char">
    <w:name w:val="Heading 6 Char"/>
    <w:link w:val="Heading6"/>
    <w:rsid w:val="009F5A32"/>
    <w:rPr>
      <w:rFonts w:eastAsia="Calibri"/>
      <w:b/>
      <w:bCs/>
      <w:i/>
      <w:iCs/>
      <w:noProof/>
      <w:sz w:val="28"/>
      <w:szCs w:val="28"/>
      <w:lang w:val="en-US" w:eastAsia="ar-SA" w:bidi="ar-SA"/>
    </w:rPr>
  </w:style>
  <w:style w:type="character" w:customStyle="1" w:styleId="Heading7Char">
    <w:name w:val="Heading 7 Char"/>
    <w:link w:val="Heading7"/>
    <w:rsid w:val="009F5A32"/>
    <w:rPr>
      <w:rFonts w:eastAsia="Calibri"/>
      <w:noProof/>
      <w:sz w:val="24"/>
      <w:szCs w:val="24"/>
      <w:lang w:val="en-US" w:eastAsia="ar-SA" w:bidi="ar-SA"/>
    </w:rPr>
  </w:style>
  <w:style w:type="character" w:customStyle="1" w:styleId="Heading8Char">
    <w:name w:val="Heading 8 Char"/>
    <w:link w:val="Heading8"/>
    <w:rsid w:val="009F5A32"/>
    <w:rPr>
      <w:rFonts w:eastAsia="Calibri"/>
      <w:i/>
      <w:iCs/>
      <w:noProof/>
      <w:sz w:val="24"/>
      <w:szCs w:val="24"/>
      <w:lang w:val="en-US" w:eastAsia="ar-SA" w:bidi="ar-SA"/>
    </w:rPr>
  </w:style>
  <w:style w:type="character" w:customStyle="1" w:styleId="Heading9Char">
    <w:name w:val="Heading 9 Char"/>
    <w:link w:val="Heading9"/>
    <w:rsid w:val="009F5A32"/>
    <w:rPr>
      <w:rFonts w:ascii="Arial" w:eastAsia="Calibri" w:hAnsi="Arial" w:cs="Arial"/>
      <w:noProof/>
      <w:sz w:val="24"/>
      <w:lang w:val="en-US" w:eastAsia="ar-SA" w:bidi="ar-SA"/>
    </w:rPr>
  </w:style>
  <w:style w:type="paragraph" w:customStyle="1" w:styleId="dash">
    <w:name w:val="dash"/>
    <w:basedOn w:val="BodyText"/>
    <w:rsid w:val="009F5A32"/>
    <w:pPr>
      <w:tabs>
        <w:tab w:val="num" w:pos="360"/>
      </w:tabs>
      <w:spacing w:line="240" w:lineRule="auto"/>
      <w:ind w:left="340" w:right="340" w:hanging="340"/>
    </w:pPr>
    <w:rPr>
      <w:sz w:val="24"/>
      <w:szCs w:val="24"/>
    </w:rPr>
  </w:style>
  <w:style w:type="paragraph" w:styleId="DocumentMap">
    <w:name w:val="Document Map"/>
    <w:basedOn w:val="Normal"/>
    <w:link w:val="DocumentMapChar"/>
    <w:semiHidden/>
    <w:rsid w:val="009F5A32"/>
    <w:pPr>
      <w:shd w:val="clear" w:color="auto" w:fill="000080"/>
    </w:pPr>
    <w:rPr>
      <w:rFonts w:ascii="Tahoma" w:hAnsi="Tahoma" w:cs="Tahoma"/>
      <w:sz w:val="20"/>
      <w:shd w:val="clear" w:color="auto" w:fill="000080"/>
    </w:rPr>
  </w:style>
  <w:style w:type="character" w:customStyle="1" w:styleId="DocumentMapChar">
    <w:name w:val="Document Map Char"/>
    <w:link w:val="DocumentMap"/>
    <w:semiHidden/>
    <w:rsid w:val="009F5A32"/>
    <w:rPr>
      <w:rFonts w:ascii="Tahoma" w:eastAsia="Calibri" w:hAnsi="Tahoma" w:cs="Tahoma"/>
      <w:noProof/>
      <w:shd w:val="clear" w:color="auto" w:fill="000080"/>
      <w:lang w:val="en-US" w:eastAsia="ar-SA" w:bidi="ar-SA"/>
    </w:rPr>
  </w:style>
  <w:style w:type="paragraph" w:styleId="Footer">
    <w:name w:val="footer"/>
    <w:basedOn w:val="Normal"/>
    <w:link w:val="FooterChar"/>
    <w:rsid w:val="009F5A32"/>
    <w:pPr>
      <w:tabs>
        <w:tab w:val="center" w:pos="4153"/>
        <w:tab w:val="right" w:pos="8306"/>
      </w:tabs>
    </w:pPr>
    <w:rPr>
      <w:sz w:val="20"/>
    </w:rPr>
  </w:style>
  <w:style w:type="character" w:customStyle="1" w:styleId="FooterChar">
    <w:name w:val="Footer Char"/>
    <w:link w:val="Footer"/>
    <w:rsid w:val="009F5A32"/>
    <w:rPr>
      <w:rFonts w:eastAsia="Calibri"/>
      <w:noProof/>
      <w:lang w:val="en-US" w:eastAsia="ar-SA" w:bidi="ar-SA"/>
    </w:rPr>
  </w:style>
  <w:style w:type="paragraph" w:styleId="Header">
    <w:name w:val="header"/>
    <w:basedOn w:val="Normal"/>
    <w:link w:val="HeaderChar"/>
    <w:rsid w:val="009F5A32"/>
    <w:pPr>
      <w:tabs>
        <w:tab w:val="center" w:pos="4153"/>
        <w:tab w:val="right" w:pos="8306"/>
      </w:tabs>
    </w:pPr>
    <w:rPr>
      <w:sz w:val="20"/>
    </w:rPr>
  </w:style>
  <w:style w:type="character" w:customStyle="1" w:styleId="HeaderChar">
    <w:name w:val="Header Char"/>
    <w:link w:val="Header"/>
    <w:rsid w:val="009F5A32"/>
    <w:rPr>
      <w:rFonts w:eastAsia="Calibri"/>
      <w:noProof/>
      <w:lang w:val="en-US" w:eastAsia="ar-SA" w:bidi="ar-SA"/>
    </w:rPr>
  </w:style>
  <w:style w:type="paragraph" w:customStyle="1" w:styleId="Heading3num">
    <w:name w:val="Heading3num"/>
    <w:basedOn w:val="Heading3"/>
    <w:next w:val="BodyText"/>
    <w:rsid w:val="009F5A32"/>
    <w:pPr>
      <w:tabs>
        <w:tab w:val="num" w:pos="360"/>
      </w:tabs>
      <w:ind w:left="340" w:right="340" w:hanging="340"/>
    </w:pPr>
  </w:style>
  <w:style w:type="paragraph" w:customStyle="1" w:styleId="number">
    <w:name w:val="number"/>
    <w:basedOn w:val="BodyText"/>
    <w:rsid w:val="009F5A32"/>
    <w:pPr>
      <w:tabs>
        <w:tab w:val="num" w:pos="360"/>
      </w:tabs>
      <w:spacing w:line="240" w:lineRule="auto"/>
      <w:ind w:left="340" w:right="340" w:hanging="340"/>
    </w:pPr>
    <w:rPr>
      <w:sz w:val="24"/>
      <w:szCs w:val="24"/>
    </w:rPr>
  </w:style>
  <w:style w:type="character" w:customStyle="1" w:styleId="ref">
    <w:name w:val="ref"/>
    <w:rsid w:val="009F5A32"/>
    <w:rPr>
      <w:b/>
      <w:sz w:val="28"/>
    </w:rPr>
  </w:style>
  <w:style w:type="character" w:customStyle="1" w:styleId="side">
    <w:name w:val="side"/>
    <w:rsid w:val="009F5A32"/>
    <w:rPr>
      <w:b/>
    </w:rPr>
  </w:style>
  <w:style w:type="character" w:styleId="PageNumber">
    <w:name w:val="page number"/>
    <w:rsid w:val="009F5A32"/>
    <w:rPr>
      <w:rFonts w:cs="Times New Roman"/>
    </w:rPr>
  </w:style>
  <w:style w:type="character" w:styleId="FollowedHyperlink">
    <w:name w:val="FollowedHyperlink"/>
    <w:rsid w:val="009F5A32"/>
    <w:rPr>
      <w:rFonts w:cs="Times New Roman"/>
      <w:color w:val="800080"/>
      <w:u w:val="single"/>
    </w:rPr>
  </w:style>
  <w:style w:type="paragraph" w:customStyle="1" w:styleId="4">
    <w:name w:val="4"/>
    <w:basedOn w:val="Normal"/>
    <w:next w:val="BodyText"/>
    <w:rsid w:val="009F5A32"/>
    <w:pPr>
      <w:bidi w:val="0"/>
      <w:spacing w:after="120" w:line="360" w:lineRule="auto"/>
      <w:ind w:firstLine="567"/>
      <w:jc w:val="lowKashida"/>
    </w:pPr>
    <w:rPr>
      <w:noProof w:val="0"/>
      <w:sz w:val="28"/>
      <w:szCs w:val="28"/>
    </w:rPr>
  </w:style>
  <w:style w:type="paragraph" w:customStyle="1" w:styleId="3">
    <w:name w:val="3"/>
    <w:basedOn w:val="Normal"/>
    <w:next w:val="BodyText"/>
    <w:rsid w:val="009F5A32"/>
    <w:pPr>
      <w:bidi w:val="0"/>
      <w:spacing w:after="120" w:line="360" w:lineRule="auto"/>
      <w:ind w:firstLine="567"/>
      <w:jc w:val="lowKashida"/>
    </w:pPr>
    <w:rPr>
      <w:noProof w:val="0"/>
      <w:sz w:val="28"/>
      <w:szCs w:val="28"/>
    </w:rPr>
  </w:style>
  <w:style w:type="paragraph" w:customStyle="1" w:styleId="2">
    <w:name w:val="2"/>
    <w:basedOn w:val="Normal"/>
    <w:next w:val="BodyText"/>
    <w:rsid w:val="009F5A32"/>
    <w:pPr>
      <w:bidi w:val="0"/>
      <w:spacing w:after="120" w:line="360" w:lineRule="auto"/>
      <w:ind w:firstLine="567"/>
      <w:jc w:val="lowKashida"/>
    </w:pPr>
    <w:rPr>
      <w:noProof w:val="0"/>
      <w:sz w:val="28"/>
      <w:szCs w:val="28"/>
    </w:rPr>
  </w:style>
  <w:style w:type="paragraph" w:customStyle="1" w:styleId="emphasis">
    <w:name w:val="emphasis"/>
    <w:basedOn w:val="BodyText"/>
    <w:rsid w:val="009F5A32"/>
    <w:pPr>
      <w:ind w:left="567" w:right="567" w:hanging="567"/>
    </w:pPr>
    <w:rPr>
      <w:b/>
      <w:bCs/>
    </w:rPr>
  </w:style>
  <w:style w:type="character" w:customStyle="1" w:styleId="1">
    <w:name w:val="نص أساسي1"/>
    <w:aliases w:val="Body Text Char Char Char2"/>
    <w:rsid w:val="009F5A32"/>
    <w:rPr>
      <w:sz w:val="28"/>
      <w:lang w:val="en-US" w:eastAsia="ar-SA" w:bidi="ar-SA"/>
    </w:rPr>
  </w:style>
  <w:style w:type="character" w:customStyle="1" w:styleId="emphasisChar">
    <w:name w:val="emphasis Char"/>
    <w:rsid w:val="009F5A32"/>
    <w:rPr>
      <w:b/>
      <w:sz w:val="28"/>
      <w:lang w:val="en-US" w:eastAsia="ar-SA" w:bidi="ar-SA"/>
    </w:rPr>
  </w:style>
  <w:style w:type="paragraph" w:customStyle="1" w:styleId="BodyTextIndent1">
    <w:name w:val="Body Text Indent1"/>
    <w:basedOn w:val="Normal"/>
    <w:link w:val="BodyTextIndentChar"/>
    <w:rsid w:val="009F5A32"/>
    <w:pPr>
      <w:spacing w:after="120"/>
      <w:ind w:left="283"/>
    </w:pPr>
    <w:rPr>
      <w:sz w:val="20"/>
    </w:rPr>
  </w:style>
  <w:style w:type="character" w:customStyle="1" w:styleId="BodyTextIndentChar">
    <w:name w:val="Body Text Indent Char"/>
    <w:link w:val="BodyTextIndent1"/>
    <w:rsid w:val="009F5A32"/>
    <w:rPr>
      <w:rFonts w:eastAsia="Calibri"/>
      <w:noProof/>
      <w:lang w:val="en-US" w:eastAsia="ar-SA" w:bidi="ar-SA"/>
    </w:rPr>
  </w:style>
  <w:style w:type="paragraph" w:customStyle="1" w:styleId="10">
    <w:name w:val="1"/>
    <w:basedOn w:val="Normal"/>
    <w:next w:val="BodyTextIndent1"/>
    <w:link w:val="1Char"/>
    <w:rsid w:val="009F5A32"/>
    <w:pPr>
      <w:bidi w:val="0"/>
      <w:spacing w:after="120" w:line="360" w:lineRule="auto"/>
      <w:ind w:firstLine="340"/>
      <w:jc w:val="lowKashida"/>
    </w:pPr>
    <w:rPr>
      <w:sz w:val="20"/>
    </w:rPr>
  </w:style>
  <w:style w:type="character" w:customStyle="1" w:styleId="1Char">
    <w:name w:val="1 Char"/>
    <w:link w:val="10"/>
    <w:rsid w:val="009F5A32"/>
    <w:rPr>
      <w:rFonts w:eastAsia="Calibri"/>
      <w:noProof/>
      <w:lang w:val="en-US" w:eastAsia="ar-SA" w:bidi="ar-SA"/>
    </w:rPr>
  </w:style>
  <w:style w:type="paragraph" w:customStyle="1" w:styleId="bodytext0">
    <w:name w:val="bodytext"/>
    <w:basedOn w:val="BodyText"/>
    <w:rsid w:val="009F5A32"/>
  </w:style>
  <w:style w:type="paragraph" w:styleId="NormalWeb">
    <w:name w:val="Normal (Web)"/>
    <w:basedOn w:val="Normal"/>
    <w:rsid w:val="009F5A32"/>
    <w:pPr>
      <w:bidi w:val="0"/>
      <w:spacing w:before="100" w:beforeAutospacing="1" w:after="100" w:afterAutospacing="1"/>
    </w:pPr>
    <w:rPr>
      <w:noProof w:val="0"/>
      <w:szCs w:val="24"/>
      <w:lang w:eastAsia="en-US"/>
    </w:rPr>
  </w:style>
  <w:style w:type="character" w:styleId="Hyperlink">
    <w:name w:val="Hyperlink"/>
    <w:uiPriority w:val="99"/>
    <w:rsid w:val="009F5A32"/>
    <w:rPr>
      <w:rFonts w:cs="Times New Roman"/>
      <w:color w:val="0000FF"/>
      <w:u w:val="single"/>
    </w:rPr>
  </w:style>
  <w:style w:type="character" w:styleId="HTMLCite">
    <w:name w:val="HTML Cite"/>
    <w:rsid w:val="009F5A32"/>
    <w:rPr>
      <w:rFonts w:cs="Times New Roman"/>
      <w:i/>
    </w:rPr>
  </w:style>
  <w:style w:type="paragraph" w:styleId="CommentText">
    <w:name w:val="annotation text"/>
    <w:basedOn w:val="Normal"/>
    <w:link w:val="CommentTextChar"/>
    <w:semiHidden/>
    <w:rsid w:val="009F5A32"/>
    <w:rPr>
      <w:sz w:val="20"/>
    </w:rPr>
  </w:style>
  <w:style w:type="character" w:customStyle="1" w:styleId="CommentTextChar">
    <w:name w:val="Comment Text Char"/>
    <w:link w:val="CommentText"/>
    <w:semiHidden/>
    <w:rsid w:val="009F5A32"/>
    <w:rPr>
      <w:rFonts w:eastAsia="Calibri"/>
      <w:noProof/>
      <w:lang w:val="en-US" w:eastAsia="ar-SA" w:bidi="ar-SA"/>
    </w:rPr>
  </w:style>
  <w:style w:type="paragraph" w:styleId="CommentSubject">
    <w:name w:val="annotation subject"/>
    <w:basedOn w:val="CommentText"/>
    <w:next w:val="CommentText"/>
    <w:link w:val="CommentSubjectChar"/>
    <w:semiHidden/>
    <w:rsid w:val="009F5A32"/>
    <w:rPr>
      <w:b/>
      <w:bCs/>
      <w:sz w:val="24"/>
    </w:rPr>
  </w:style>
  <w:style w:type="character" w:customStyle="1" w:styleId="CommentSubjectChar">
    <w:name w:val="Comment Subject Char"/>
    <w:link w:val="CommentSubject"/>
    <w:semiHidden/>
    <w:rsid w:val="009F5A32"/>
    <w:rPr>
      <w:rFonts w:eastAsia="Calibri"/>
      <w:b/>
      <w:bCs/>
      <w:noProof/>
      <w:sz w:val="24"/>
      <w:lang w:val="en-US" w:eastAsia="ar-SA" w:bidi="ar-SA"/>
    </w:rPr>
  </w:style>
  <w:style w:type="paragraph" w:styleId="BalloonText">
    <w:name w:val="Balloon Text"/>
    <w:basedOn w:val="Normal"/>
    <w:link w:val="BalloonTextChar"/>
    <w:semiHidden/>
    <w:rsid w:val="009F5A32"/>
    <w:rPr>
      <w:rFonts w:ascii="Tahoma" w:hAnsi="Tahoma" w:cs="Tahoma"/>
      <w:sz w:val="16"/>
      <w:szCs w:val="16"/>
    </w:rPr>
  </w:style>
  <w:style w:type="character" w:customStyle="1" w:styleId="BalloonTextChar">
    <w:name w:val="Balloon Text Char"/>
    <w:link w:val="BalloonText"/>
    <w:semiHidden/>
    <w:rsid w:val="009F5A32"/>
    <w:rPr>
      <w:rFonts w:ascii="Tahoma" w:eastAsia="Calibri" w:hAnsi="Tahoma" w:cs="Tahoma"/>
      <w:noProof/>
      <w:sz w:val="16"/>
      <w:szCs w:val="16"/>
      <w:lang w:val="en-US" w:eastAsia="ar-SA" w:bidi="ar-SA"/>
    </w:rPr>
  </w:style>
  <w:style w:type="paragraph" w:styleId="List">
    <w:name w:val="List"/>
    <w:basedOn w:val="Normal"/>
    <w:rsid w:val="009F5A32"/>
    <w:pPr>
      <w:ind w:left="360" w:hanging="360"/>
    </w:pPr>
    <w:rPr>
      <w:noProof w:val="0"/>
      <w:szCs w:val="24"/>
      <w:lang w:eastAsia="en-US"/>
    </w:rPr>
  </w:style>
  <w:style w:type="paragraph" w:styleId="List2">
    <w:name w:val="List 2"/>
    <w:basedOn w:val="Normal"/>
    <w:rsid w:val="009F5A32"/>
    <w:pPr>
      <w:ind w:left="720" w:hanging="360"/>
    </w:pPr>
    <w:rPr>
      <w:noProof w:val="0"/>
      <w:szCs w:val="24"/>
      <w:lang w:eastAsia="en-US"/>
    </w:rPr>
  </w:style>
  <w:style w:type="paragraph" w:styleId="ListContinue2">
    <w:name w:val="List Continue 2"/>
    <w:basedOn w:val="Normal"/>
    <w:rsid w:val="009F5A32"/>
    <w:pPr>
      <w:spacing w:after="120"/>
      <w:ind w:left="720"/>
    </w:pPr>
    <w:rPr>
      <w:noProof w:val="0"/>
      <w:szCs w:val="24"/>
      <w:lang w:eastAsia="en-US"/>
    </w:rPr>
  </w:style>
  <w:style w:type="paragraph" w:customStyle="1" w:styleId="Byline">
    <w:name w:val="Byline"/>
    <w:basedOn w:val="BodyText"/>
    <w:rsid w:val="009F5A32"/>
    <w:pPr>
      <w:bidi/>
      <w:spacing w:line="240" w:lineRule="auto"/>
      <w:ind w:firstLine="0"/>
      <w:jc w:val="left"/>
    </w:pPr>
    <w:rPr>
      <w:sz w:val="24"/>
      <w:szCs w:val="24"/>
      <w:lang w:eastAsia="en-US"/>
    </w:rPr>
  </w:style>
  <w:style w:type="paragraph" w:customStyle="1" w:styleId="a">
    <w:name w:val="سطر المرجع"/>
    <w:basedOn w:val="BodyText"/>
    <w:rsid w:val="009F5A32"/>
    <w:pPr>
      <w:bidi/>
      <w:spacing w:line="240" w:lineRule="auto"/>
      <w:ind w:firstLine="0"/>
      <w:jc w:val="left"/>
    </w:pPr>
    <w:rPr>
      <w:sz w:val="24"/>
      <w:szCs w:val="24"/>
      <w:lang w:eastAsia="en-US"/>
    </w:rPr>
  </w:style>
  <w:style w:type="paragraph" w:styleId="BodyTextFirstIndent">
    <w:name w:val="Body Text First Indent"/>
    <w:basedOn w:val="BodyText"/>
    <w:link w:val="BodyTextFirstIndentChar"/>
    <w:rsid w:val="009F5A32"/>
    <w:pPr>
      <w:bidi/>
      <w:spacing w:line="240" w:lineRule="auto"/>
      <w:ind w:firstLine="210"/>
      <w:jc w:val="left"/>
    </w:pPr>
    <w:rPr>
      <w:sz w:val="24"/>
      <w:szCs w:val="24"/>
    </w:rPr>
  </w:style>
  <w:style w:type="character" w:customStyle="1" w:styleId="BodyTextFirstIndentChar">
    <w:name w:val="Body Text First Indent Char"/>
    <w:link w:val="BodyTextFirstIndent"/>
    <w:rsid w:val="009F5A32"/>
    <w:rPr>
      <w:rFonts w:eastAsia="Calibri"/>
      <w:noProof/>
      <w:sz w:val="24"/>
      <w:szCs w:val="24"/>
      <w:lang w:eastAsia="ar-SA" w:bidi="ar-SA"/>
    </w:rPr>
  </w:style>
  <w:style w:type="paragraph" w:styleId="BodyTextIndent">
    <w:name w:val="Body Text Indent"/>
    <w:basedOn w:val="Normal"/>
    <w:link w:val="BodyTextIndentChar1"/>
    <w:rsid w:val="009F5A32"/>
    <w:pPr>
      <w:spacing w:after="120"/>
      <w:ind w:left="283"/>
    </w:pPr>
    <w:rPr>
      <w:sz w:val="20"/>
    </w:rPr>
  </w:style>
  <w:style w:type="character" w:customStyle="1" w:styleId="BodyTextIndentChar1">
    <w:name w:val="Body Text Indent Char1"/>
    <w:link w:val="BodyTextIndent"/>
    <w:rsid w:val="009F5A32"/>
    <w:rPr>
      <w:rFonts w:eastAsia="Calibri"/>
      <w:noProof/>
      <w:lang w:val="en-US" w:eastAsia="ar-SA" w:bidi="ar-SA"/>
    </w:rPr>
  </w:style>
  <w:style w:type="paragraph" w:styleId="BodyTextFirstIndent2">
    <w:name w:val="Body Text First Indent 2"/>
    <w:basedOn w:val="BodyTextIndent1"/>
    <w:link w:val="BodyTextFirstIndent2Char"/>
    <w:rsid w:val="009F5A32"/>
    <w:pPr>
      <w:ind w:left="360" w:firstLine="210"/>
    </w:pPr>
    <w:rPr>
      <w:sz w:val="24"/>
      <w:szCs w:val="24"/>
    </w:rPr>
  </w:style>
  <w:style w:type="character" w:customStyle="1" w:styleId="BodyTextFirstIndent2Char">
    <w:name w:val="Body Text First Indent 2 Char"/>
    <w:link w:val="BodyTextFirstIndent2"/>
    <w:rsid w:val="009F5A32"/>
    <w:rPr>
      <w:rFonts w:eastAsia="Calibri"/>
      <w:noProof/>
      <w:sz w:val="24"/>
      <w:szCs w:val="24"/>
      <w:lang w:val="en-US" w:eastAsia="ar-SA" w:bidi="ar-SA"/>
    </w:rPr>
  </w:style>
  <w:style w:type="character" w:styleId="Strong">
    <w:name w:val="Strong"/>
    <w:qFormat/>
    <w:rsid w:val="009F5A32"/>
    <w:rPr>
      <w:rFonts w:cs="Times New Roman"/>
      <w:b/>
    </w:rPr>
  </w:style>
  <w:style w:type="character" w:customStyle="1" w:styleId="surname">
    <w:name w:val="surname"/>
    <w:rsid w:val="009F5A32"/>
    <w:rPr>
      <w:rFonts w:cs="Times New Roman"/>
    </w:rPr>
  </w:style>
  <w:style w:type="character" w:customStyle="1" w:styleId="titrearticle1">
    <w:name w:val="titre_article1"/>
    <w:rsid w:val="009F5A32"/>
    <w:rPr>
      <w:color w:val="auto"/>
      <w:sz w:val="17"/>
    </w:rPr>
  </w:style>
  <w:style w:type="paragraph" w:customStyle="1" w:styleId="abstract">
    <w:name w:val="abstract"/>
    <w:basedOn w:val="Normal"/>
    <w:rsid w:val="009F5A32"/>
    <w:pPr>
      <w:bidi w:val="0"/>
      <w:spacing w:before="100" w:beforeAutospacing="1" w:after="100" w:afterAutospacing="1"/>
    </w:pPr>
    <w:rPr>
      <w:noProof w:val="0"/>
      <w:szCs w:val="24"/>
      <w:lang w:eastAsia="en-US"/>
    </w:rPr>
  </w:style>
  <w:style w:type="paragraph" w:customStyle="1" w:styleId="para3">
    <w:name w:val="para3"/>
    <w:basedOn w:val="Normal"/>
    <w:rsid w:val="009F5A32"/>
    <w:pPr>
      <w:bidi w:val="0"/>
      <w:spacing w:after="100" w:afterAutospacing="1"/>
    </w:pPr>
    <w:rPr>
      <w:noProof w:val="0"/>
      <w:color w:val="333333"/>
      <w:sz w:val="18"/>
      <w:szCs w:val="18"/>
      <w:lang w:eastAsia="en-US"/>
    </w:rPr>
  </w:style>
  <w:style w:type="paragraph" w:customStyle="1" w:styleId="H1">
    <w:name w:val="H1"/>
    <w:basedOn w:val="Heading2"/>
    <w:rsid w:val="009F5A32"/>
    <w:rPr>
      <w:sz w:val="50"/>
      <w:szCs w:val="50"/>
    </w:rPr>
  </w:style>
  <w:style w:type="paragraph" w:customStyle="1" w:styleId="H3">
    <w:name w:val="H3"/>
    <w:basedOn w:val="Heading3"/>
    <w:rsid w:val="009F5A32"/>
    <w:rPr>
      <w:rFonts w:ascii="Arial Black" w:hAnsi="Arial Black"/>
      <w:b w:val="0"/>
      <w:i w:val="0"/>
    </w:rPr>
  </w:style>
  <w:style w:type="paragraph" w:customStyle="1" w:styleId="b1">
    <w:name w:val="b1"/>
    <w:basedOn w:val="Normal"/>
    <w:link w:val="b1Char"/>
    <w:rsid w:val="009F5A32"/>
    <w:pPr>
      <w:bidi w:val="0"/>
      <w:spacing w:after="240" w:line="360" w:lineRule="auto"/>
      <w:ind w:firstLine="562"/>
      <w:jc w:val="lowKashida"/>
    </w:pPr>
    <w:rPr>
      <w:sz w:val="28"/>
    </w:rPr>
  </w:style>
  <w:style w:type="character" w:customStyle="1" w:styleId="b1Char">
    <w:name w:val="b1 Char"/>
    <w:link w:val="b1"/>
    <w:rsid w:val="009F5A32"/>
    <w:rPr>
      <w:rFonts w:eastAsia="Calibri"/>
      <w:noProof/>
      <w:sz w:val="28"/>
      <w:lang w:val="en-US" w:eastAsia="ar-SA" w:bidi="ar-SA"/>
    </w:rPr>
  </w:style>
  <w:style w:type="paragraph" w:customStyle="1" w:styleId="Bb">
    <w:name w:val="Bb"/>
    <w:basedOn w:val="BodyText"/>
    <w:rsid w:val="009F5A32"/>
  </w:style>
  <w:style w:type="paragraph" w:styleId="BodyTextIndent3">
    <w:name w:val="Body Text Indent 3"/>
    <w:basedOn w:val="Normal"/>
    <w:link w:val="BodyTextIndent3Char"/>
    <w:rsid w:val="009F5A32"/>
    <w:pPr>
      <w:spacing w:after="120"/>
      <w:ind w:left="283"/>
    </w:pPr>
    <w:rPr>
      <w:sz w:val="16"/>
      <w:szCs w:val="16"/>
    </w:rPr>
  </w:style>
  <w:style w:type="character" w:customStyle="1" w:styleId="BodyTextIndent3Char">
    <w:name w:val="Body Text Indent 3 Char"/>
    <w:link w:val="BodyTextIndent3"/>
    <w:rsid w:val="009F5A32"/>
    <w:rPr>
      <w:rFonts w:eastAsia="Calibri"/>
      <w:noProof/>
      <w:sz w:val="16"/>
      <w:szCs w:val="16"/>
      <w:lang w:val="en-US" w:eastAsia="ar-SA" w:bidi="ar-SA"/>
    </w:rPr>
  </w:style>
  <w:style w:type="paragraph" w:customStyle="1" w:styleId="Hh3">
    <w:name w:val="Hh3"/>
    <w:basedOn w:val="Heading3"/>
    <w:rsid w:val="009F5A32"/>
    <w:rPr>
      <w:sz w:val="46"/>
      <w:szCs w:val="36"/>
    </w:rPr>
  </w:style>
  <w:style w:type="paragraph" w:customStyle="1" w:styleId="b10">
    <w:name w:val="نمط b1 + أسود"/>
    <w:basedOn w:val="b1"/>
    <w:rsid w:val="009F5A32"/>
    <w:rPr>
      <w:color w:val="000000"/>
    </w:rPr>
  </w:style>
  <w:style w:type="character" w:customStyle="1" w:styleId="b1Char0">
    <w:name w:val="نمط b1 + أسود Char"/>
    <w:rsid w:val="009F5A32"/>
    <w:rPr>
      <w:color w:val="000000"/>
      <w:sz w:val="28"/>
      <w:lang w:val="en-US" w:eastAsia="ar-SA" w:bidi="ar-SA"/>
    </w:rPr>
  </w:style>
  <w:style w:type="character" w:customStyle="1" w:styleId="apple-style-span">
    <w:name w:val="apple-style-span"/>
    <w:rsid w:val="009F5A32"/>
  </w:style>
  <w:style w:type="character" w:customStyle="1" w:styleId="addmd1">
    <w:name w:val="addmd1"/>
    <w:rsid w:val="009F5A32"/>
    <w:rPr>
      <w:rFonts w:ascii="Arial" w:hAnsi="Arial"/>
      <w:sz w:val="20"/>
    </w:rPr>
  </w:style>
  <w:style w:type="paragraph" w:customStyle="1" w:styleId="bbCharChar">
    <w:name w:val="bb Char Char"/>
    <w:basedOn w:val="Normal"/>
    <w:link w:val="bbCharCharChar"/>
    <w:rsid w:val="009F5A32"/>
    <w:pPr>
      <w:bidi w:val="0"/>
      <w:spacing w:after="240" w:line="360" w:lineRule="auto"/>
      <w:ind w:firstLine="567"/>
      <w:jc w:val="lowKashida"/>
    </w:pPr>
    <w:rPr>
      <w:rFonts w:eastAsia="宋体"/>
      <w:sz w:val="28"/>
      <w:lang w:eastAsia="zh-CN"/>
    </w:rPr>
  </w:style>
  <w:style w:type="character" w:customStyle="1" w:styleId="bbCharCharChar">
    <w:name w:val="bb Char Char Char"/>
    <w:link w:val="bbCharChar"/>
    <w:rsid w:val="009F5A32"/>
    <w:rPr>
      <w:rFonts w:eastAsia="宋体"/>
      <w:noProof/>
      <w:sz w:val="28"/>
      <w:lang w:val="en-US" w:eastAsia="zh-CN" w:bidi="ar-SA"/>
    </w:rPr>
  </w:style>
  <w:style w:type="character" w:customStyle="1" w:styleId="bbChar">
    <w:name w:val="bb Char"/>
    <w:rsid w:val="009F5A32"/>
    <w:rPr>
      <w:rFonts w:eastAsia="宋体"/>
      <w:noProof/>
      <w:sz w:val="28"/>
      <w:lang w:val="en-US" w:eastAsia="zh-CN"/>
    </w:rPr>
  </w:style>
  <w:style w:type="paragraph" w:customStyle="1" w:styleId="a0">
    <w:name w:val="مسافة"/>
    <w:basedOn w:val="PlainText"/>
    <w:rsid w:val="009F5A32"/>
    <w:pPr>
      <w:outlineLvl w:val="0"/>
    </w:pPr>
    <w:rPr>
      <w:rFonts w:ascii="Times New Roman" w:hAnsi="Times New Roman" w:cs="Times New Roman"/>
      <w:noProof w:val="0"/>
      <w:sz w:val="24"/>
      <w:szCs w:val="28"/>
      <w:lang w:eastAsia="en-US"/>
    </w:rPr>
  </w:style>
  <w:style w:type="paragraph" w:styleId="PlainText">
    <w:name w:val="Plain Text"/>
    <w:basedOn w:val="Normal"/>
    <w:link w:val="PlainTextChar"/>
    <w:rsid w:val="009F5A32"/>
    <w:rPr>
      <w:rFonts w:ascii="Courier New" w:hAnsi="Courier New" w:cs="Courier New"/>
      <w:sz w:val="20"/>
    </w:rPr>
  </w:style>
  <w:style w:type="character" w:customStyle="1" w:styleId="PlainTextChar">
    <w:name w:val="Plain Text Char"/>
    <w:link w:val="PlainText"/>
    <w:rsid w:val="009F5A32"/>
    <w:rPr>
      <w:rFonts w:ascii="Courier New" w:eastAsia="Calibri" w:hAnsi="Courier New" w:cs="Courier New"/>
      <w:noProof/>
      <w:lang w:val="en-US" w:eastAsia="ar-SA" w:bidi="ar-SA"/>
    </w:rPr>
  </w:style>
  <w:style w:type="character" w:customStyle="1" w:styleId="Char">
    <w:name w:val="Char"/>
    <w:rsid w:val="009F5A32"/>
    <w:rPr>
      <w:b/>
      <w:noProof/>
      <w:sz w:val="36"/>
      <w:lang w:val="en-US" w:eastAsia="ar-SA"/>
    </w:rPr>
  </w:style>
  <w:style w:type="paragraph" w:customStyle="1" w:styleId="H4">
    <w:name w:val="H4"/>
    <w:basedOn w:val="Normal"/>
    <w:rsid w:val="009F5A32"/>
    <w:pPr>
      <w:bidi w:val="0"/>
      <w:spacing w:before="100" w:beforeAutospacing="1" w:after="100" w:afterAutospacing="1"/>
      <w:outlineLvl w:val="2"/>
    </w:pPr>
    <w:rPr>
      <w:rFonts w:eastAsia="Times New Roman"/>
      <w:sz w:val="32"/>
      <w:szCs w:val="32"/>
    </w:rPr>
  </w:style>
  <w:style w:type="character" w:customStyle="1" w:styleId="apple-converted-space">
    <w:name w:val="apple-converted-space"/>
    <w:rsid w:val="009F5A32"/>
    <w:rPr>
      <w:rFonts w:cs="Times New Roman"/>
    </w:rPr>
  </w:style>
  <w:style w:type="paragraph" w:customStyle="1" w:styleId="h10">
    <w:name w:val="h1"/>
    <w:basedOn w:val="bodytext0"/>
    <w:rsid w:val="009F5A32"/>
    <w:rPr>
      <w:color w:val="000000"/>
    </w:rPr>
  </w:style>
  <w:style w:type="paragraph" w:customStyle="1" w:styleId="h30">
    <w:name w:val="h3"/>
    <w:basedOn w:val="Heading3"/>
    <w:rsid w:val="009F5A32"/>
    <w:rPr>
      <w:rFonts w:ascii="Clarendon Condensed" w:hAnsi="Clarendon Condensed"/>
      <w:i w:val="0"/>
      <w:sz w:val="36"/>
    </w:rPr>
  </w:style>
  <w:style w:type="paragraph" w:customStyle="1" w:styleId="h5">
    <w:name w:val="h5"/>
    <w:basedOn w:val="Heading5"/>
    <w:rsid w:val="009F5A32"/>
  </w:style>
  <w:style w:type="paragraph" w:customStyle="1" w:styleId="h40">
    <w:name w:val="h4"/>
    <w:basedOn w:val="Heading4"/>
    <w:rsid w:val="009F5A32"/>
  </w:style>
  <w:style w:type="character" w:customStyle="1" w:styleId="citationjournal">
    <w:name w:val="citation journal"/>
    <w:rsid w:val="009F5A32"/>
    <w:rPr>
      <w:rFonts w:cs="Times New Roman"/>
    </w:rPr>
  </w:style>
  <w:style w:type="character" w:customStyle="1" w:styleId="reference-text">
    <w:name w:val="reference-text"/>
    <w:rsid w:val="009F5A32"/>
    <w:rPr>
      <w:rFonts w:cs="Times New Roman"/>
    </w:rPr>
  </w:style>
  <w:style w:type="character" w:customStyle="1" w:styleId="citationnews">
    <w:name w:val="citation news"/>
    <w:rsid w:val="009F5A32"/>
    <w:rPr>
      <w:rFonts w:cs="Times New Roman"/>
    </w:rPr>
  </w:style>
  <w:style w:type="character" w:customStyle="1" w:styleId="figurecaption">
    <w:name w:val="figurecaption"/>
    <w:rsid w:val="009F5A32"/>
    <w:rPr>
      <w:rFonts w:cs="Times New Roman"/>
    </w:rPr>
  </w:style>
  <w:style w:type="character" w:styleId="Emphasis0">
    <w:name w:val="Emphasis"/>
    <w:qFormat/>
    <w:rsid w:val="009F5A32"/>
    <w:rPr>
      <w:rFonts w:cs="Times New Roman"/>
      <w:b/>
      <w:sz w:val="30"/>
    </w:rPr>
  </w:style>
  <w:style w:type="character" w:customStyle="1" w:styleId="refreference">
    <w:name w:val="ref_reference"/>
    <w:rsid w:val="009F5A32"/>
    <w:rPr>
      <w:rFonts w:cs="Times New Roman"/>
    </w:rPr>
  </w:style>
  <w:style w:type="character" w:customStyle="1" w:styleId="refgroup">
    <w:name w:val="ref_group"/>
    <w:rsid w:val="009F5A32"/>
    <w:rPr>
      <w:rFonts w:cs="Times New Roman"/>
    </w:rPr>
  </w:style>
  <w:style w:type="character" w:customStyle="1" w:styleId="textbluebold">
    <w:name w:val="textbluebold"/>
    <w:rsid w:val="009F5A32"/>
    <w:rPr>
      <w:rFonts w:cs="Times New Roman"/>
    </w:rPr>
  </w:style>
  <w:style w:type="paragraph" w:customStyle="1" w:styleId="notop">
    <w:name w:val="notop"/>
    <w:basedOn w:val="Normal"/>
    <w:rsid w:val="009F5A32"/>
    <w:pPr>
      <w:bidi w:val="0"/>
      <w:spacing w:before="100" w:beforeAutospacing="1" w:after="100" w:afterAutospacing="1"/>
    </w:pPr>
    <w:rPr>
      <w:noProof w:val="0"/>
      <w:szCs w:val="24"/>
    </w:rPr>
  </w:style>
  <w:style w:type="character" w:customStyle="1" w:styleId="nlmsource">
    <w:name w:val="nlm_source"/>
    <w:rsid w:val="009F5A32"/>
    <w:rPr>
      <w:rFonts w:cs="Times New Roman"/>
    </w:rPr>
  </w:style>
  <w:style w:type="paragraph" w:customStyle="1" w:styleId="content">
    <w:name w:val="content"/>
    <w:basedOn w:val="Normal"/>
    <w:rsid w:val="009F5A32"/>
    <w:pPr>
      <w:bidi w:val="0"/>
      <w:spacing w:before="100" w:beforeAutospacing="1" w:after="100" w:afterAutospacing="1"/>
    </w:pPr>
    <w:rPr>
      <w:noProof w:val="0"/>
      <w:szCs w:val="24"/>
    </w:rPr>
  </w:style>
  <w:style w:type="character" w:customStyle="1" w:styleId="mw-cite-backlink">
    <w:name w:val="mw-cite-backlink"/>
    <w:rsid w:val="009F5A32"/>
    <w:rPr>
      <w:rFonts w:cs="Times New Roman"/>
    </w:rPr>
  </w:style>
  <w:style w:type="character" w:customStyle="1" w:styleId="z3988">
    <w:name w:val="z3988"/>
    <w:rsid w:val="009F5A32"/>
    <w:rPr>
      <w:rFonts w:cs="Times New Roman"/>
    </w:rPr>
  </w:style>
  <w:style w:type="character" w:customStyle="1" w:styleId="printonly">
    <w:name w:val="printonly"/>
    <w:rsid w:val="009F5A32"/>
    <w:rPr>
      <w:rFonts w:cs="Times New Roman"/>
    </w:rPr>
  </w:style>
  <w:style w:type="character" w:customStyle="1" w:styleId="reference-accessdate">
    <w:name w:val="reference-accessdate"/>
    <w:rsid w:val="009F5A32"/>
    <w:rPr>
      <w:rFonts w:cs="Times New Roman"/>
    </w:rPr>
  </w:style>
  <w:style w:type="character" w:customStyle="1" w:styleId="plainlinksnoprint">
    <w:name w:val="plainlinks noprint"/>
    <w:rsid w:val="009F5A32"/>
    <w:rPr>
      <w:rFonts w:cs="Times New Roman"/>
    </w:rPr>
  </w:style>
  <w:style w:type="paragraph" w:styleId="ListParagraph">
    <w:name w:val="List Paragraph"/>
    <w:basedOn w:val="Normal"/>
    <w:qFormat/>
    <w:rsid w:val="009F5A32"/>
    <w:pPr>
      <w:bidi w:val="0"/>
      <w:spacing w:after="200" w:line="276" w:lineRule="auto"/>
      <w:ind w:left="720"/>
    </w:pPr>
    <w:rPr>
      <w:rFonts w:ascii="Calibri" w:eastAsia="Times New Roman" w:hAnsi="Calibri" w:cs="Arial"/>
      <w:noProof w:val="0"/>
      <w:sz w:val="22"/>
      <w:szCs w:val="22"/>
      <w:lang w:eastAsia="en-US"/>
    </w:rPr>
  </w:style>
  <w:style w:type="paragraph" w:customStyle="1" w:styleId="Hh1">
    <w:name w:val="Hh1"/>
    <w:basedOn w:val="H1"/>
    <w:rsid w:val="009F5A32"/>
    <w:rPr>
      <w:sz w:val="54"/>
      <w:szCs w:val="54"/>
      <w:lang w:bidi="ar-EG"/>
    </w:rPr>
  </w:style>
  <w:style w:type="character" w:customStyle="1" w:styleId="unicode">
    <w:name w:val="unicode"/>
    <w:rsid w:val="009F5A32"/>
    <w:rPr>
      <w:rFonts w:cs="Times New Roman"/>
    </w:rPr>
  </w:style>
  <w:style w:type="character" w:customStyle="1" w:styleId="BodyText1">
    <w:name w:val="Body Text1"/>
    <w:aliases w:val="Body Text Char Char1,Body Text Char Char Char Char Char Char Char1,Body Text Char Char Char Char Char Char1 Char2"/>
    <w:rsid w:val="009F5A32"/>
    <w:rPr>
      <w:sz w:val="28"/>
      <w:lang w:val="en-US" w:eastAsia="ar-SA" w:bidi="ar-SA"/>
    </w:rPr>
  </w:style>
  <w:style w:type="character" w:customStyle="1" w:styleId="BbChar0">
    <w:name w:val="Bb Char"/>
    <w:rsid w:val="009F5A32"/>
    <w:rPr>
      <w:sz w:val="28"/>
      <w:lang w:val="en-US" w:eastAsia="ar-SA" w:bidi="ar-SA"/>
    </w:rPr>
  </w:style>
  <w:style w:type="character" w:customStyle="1" w:styleId="yellowfade">
    <w:name w:val="yellowfade"/>
    <w:rsid w:val="009F5A32"/>
    <w:rPr>
      <w:rFonts w:cs="Times New Roman"/>
    </w:rPr>
  </w:style>
  <w:style w:type="paragraph" w:customStyle="1" w:styleId="H50">
    <w:name w:val="H5"/>
    <w:basedOn w:val="Heading5"/>
    <w:rsid w:val="009F5A32"/>
    <w:rPr>
      <w:sz w:val="30"/>
    </w:rPr>
  </w:style>
  <w:style w:type="character" w:customStyle="1" w:styleId="H5Char">
    <w:name w:val="H5 Char"/>
    <w:rsid w:val="009F5A32"/>
    <w:rPr>
      <w:b/>
      <w:noProof/>
      <w:sz w:val="28"/>
      <w:lang w:val="en-US" w:eastAsia="ar-SA"/>
    </w:rPr>
  </w:style>
  <w:style w:type="character" w:customStyle="1" w:styleId="BodyTextCharCharCharChar">
    <w:name w:val="Body Text Char Char Char Char"/>
    <w:aliases w:val="Body Text Char Char Char Char Char Char Char Char2,نص أساسي1 Char,Body Text Char Char Char1 Char,Body Text Char Char Char Char Char Char1 Char Char"/>
    <w:rsid w:val="009F5A32"/>
    <w:rPr>
      <w:sz w:val="28"/>
      <w:lang w:val="en-US" w:eastAsia="ar-SA" w:bidi="ar-SA"/>
    </w:rPr>
  </w:style>
  <w:style w:type="paragraph" w:customStyle="1" w:styleId="b1CharCharChar">
    <w:name w:val="b1 Char Char Char"/>
    <w:basedOn w:val="Normal"/>
    <w:rsid w:val="009F5A32"/>
    <w:pPr>
      <w:bidi w:val="0"/>
      <w:spacing w:after="240" w:line="360" w:lineRule="auto"/>
      <w:ind w:firstLine="567"/>
      <w:jc w:val="lowKashida"/>
    </w:pPr>
    <w:rPr>
      <w:sz w:val="28"/>
      <w:szCs w:val="28"/>
      <w:lang w:bidi="ar-EG"/>
    </w:rPr>
  </w:style>
  <w:style w:type="character" w:customStyle="1" w:styleId="b1CharCharCharChar">
    <w:name w:val="b1 Char Char Char Char"/>
    <w:rsid w:val="009F5A32"/>
    <w:rPr>
      <w:noProof/>
      <w:sz w:val="28"/>
      <w:lang w:val="en-US" w:eastAsia="ar-SA"/>
    </w:rPr>
  </w:style>
  <w:style w:type="paragraph" w:customStyle="1" w:styleId="h6">
    <w:name w:val="h6"/>
    <w:basedOn w:val="Heading6"/>
    <w:rsid w:val="009F5A32"/>
    <w:rPr>
      <w:color w:val="000000"/>
    </w:rPr>
  </w:style>
  <w:style w:type="character" w:customStyle="1" w:styleId="c1">
    <w:name w:val="c1"/>
    <w:rsid w:val="009F5A32"/>
    <w:rPr>
      <w:color w:val="000000"/>
    </w:rPr>
  </w:style>
  <w:style w:type="paragraph" w:customStyle="1" w:styleId="8">
    <w:name w:val="عادي (ويب)8"/>
    <w:basedOn w:val="Normal"/>
    <w:rsid w:val="009F5A32"/>
    <w:pPr>
      <w:bidi w:val="0"/>
      <w:spacing w:after="225" w:line="300" w:lineRule="atLeast"/>
      <w:jc w:val="both"/>
    </w:pPr>
    <w:rPr>
      <w:rFonts w:eastAsia="宋体"/>
      <w:noProof w:val="0"/>
      <w:color w:val="333333"/>
      <w:sz w:val="18"/>
      <w:szCs w:val="18"/>
      <w:lang w:eastAsia="zh-CN"/>
    </w:rPr>
  </w:style>
  <w:style w:type="paragraph" w:customStyle="1" w:styleId="CM28">
    <w:name w:val="CM28"/>
    <w:basedOn w:val="Normal"/>
    <w:next w:val="Normal"/>
    <w:rsid w:val="009F5A32"/>
    <w:pPr>
      <w:autoSpaceDE w:val="0"/>
      <w:autoSpaceDN w:val="0"/>
      <w:bidi w:val="0"/>
      <w:adjustRightInd w:val="0"/>
    </w:pPr>
    <w:rPr>
      <w:rFonts w:eastAsia="宋体"/>
      <w:noProof w:val="0"/>
      <w:szCs w:val="24"/>
      <w:lang w:eastAsia="zh-CN"/>
    </w:rPr>
  </w:style>
  <w:style w:type="paragraph" w:customStyle="1" w:styleId="Default">
    <w:name w:val="Default"/>
    <w:rsid w:val="009F5A32"/>
    <w:pPr>
      <w:autoSpaceDE w:val="0"/>
      <w:autoSpaceDN w:val="0"/>
      <w:adjustRightInd w:val="0"/>
    </w:pPr>
    <w:rPr>
      <w:color w:val="000000"/>
      <w:sz w:val="24"/>
      <w:szCs w:val="24"/>
    </w:rPr>
  </w:style>
  <w:style w:type="paragraph" w:customStyle="1" w:styleId="CM3">
    <w:name w:val="CM3"/>
    <w:basedOn w:val="Default"/>
    <w:next w:val="Default"/>
    <w:rsid w:val="009F5A32"/>
    <w:pPr>
      <w:spacing w:line="336" w:lineRule="atLeast"/>
    </w:pPr>
    <w:rPr>
      <w:color w:val="auto"/>
    </w:rPr>
  </w:style>
  <w:style w:type="paragraph" w:customStyle="1" w:styleId="CM25">
    <w:name w:val="CM25"/>
    <w:basedOn w:val="Default"/>
    <w:next w:val="Default"/>
    <w:rsid w:val="009F5A32"/>
    <w:rPr>
      <w:color w:val="auto"/>
    </w:rPr>
  </w:style>
  <w:style w:type="paragraph" w:customStyle="1" w:styleId="9">
    <w:name w:val="عادي (ويب)9"/>
    <w:basedOn w:val="Normal"/>
    <w:rsid w:val="009F5A32"/>
    <w:pPr>
      <w:bidi w:val="0"/>
      <w:spacing w:before="150" w:after="150" w:line="336" w:lineRule="auto"/>
    </w:pPr>
    <w:rPr>
      <w:rFonts w:eastAsia="宋体"/>
      <w:noProof w:val="0"/>
      <w:szCs w:val="24"/>
      <w:lang w:eastAsia="zh-CN"/>
    </w:rPr>
  </w:style>
  <w:style w:type="paragraph" w:customStyle="1" w:styleId="11">
    <w:name w:val="عادي (ويب)1"/>
    <w:basedOn w:val="Normal"/>
    <w:rsid w:val="009F5A32"/>
    <w:pPr>
      <w:bidi w:val="0"/>
      <w:spacing w:before="150" w:after="150"/>
    </w:pPr>
    <w:rPr>
      <w:noProof w:val="0"/>
      <w:szCs w:val="24"/>
      <w:lang w:eastAsia="en-US"/>
    </w:rPr>
  </w:style>
  <w:style w:type="character" w:customStyle="1" w:styleId="ArialBlack16">
    <w:name w:val="نمط رقم صفحة + Arial Black (لاتيني) ‏16 نقطة (العربية وغيرها) ‏..."/>
    <w:rsid w:val="009F5A32"/>
    <w:rPr>
      <w:rFonts w:ascii="Arial Black" w:hAnsi="Arial Black"/>
      <w:sz w:val="24"/>
    </w:rPr>
  </w:style>
  <w:style w:type="character" w:customStyle="1" w:styleId="figure-caption1">
    <w:name w:val="figure-caption1"/>
    <w:rsid w:val="009F5A32"/>
    <w:rPr>
      <w:sz w:val="17"/>
    </w:rPr>
  </w:style>
  <w:style w:type="paragraph" w:customStyle="1" w:styleId="tablehead">
    <w:name w:val="tablehead"/>
    <w:basedOn w:val="Normal"/>
    <w:rsid w:val="009F5A32"/>
    <w:pPr>
      <w:bidi w:val="0"/>
      <w:spacing w:before="100" w:beforeAutospacing="1" w:after="100" w:afterAutospacing="1" w:line="240" w:lineRule="atLeast"/>
    </w:pPr>
    <w:rPr>
      <w:rFonts w:ascii="Verdana" w:eastAsia="宋体" w:hAnsi="Verdana"/>
      <w:noProof w:val="0"/>
      <w:color w:val="990000"/>
      <w:sz w:val="20"/>
      <w:lang w:eastAsia="zh-CN" w:bidi="ar-EG"/>
    </w:rPr>
  </w:style>
  <w:style w:type="character" w:customStyle="1" w:styleId="body1">
    <w:name w:val="body1"/>
    <w:rsid w:val="009F5A32"/>
    <w:rPr>
      <w:rFonts w:ascii="Verdana" w:hAnsi="Verdana"/>
      <w:color w:val="000000"/>
      <w:sz w:val="20"/>
    </w:rPr>
  </w:style>
  <w:style w:type="paragraph" w:customStyle="1" w:styleId="B11">
    <w:name w:val="B1"/>
    <w:basedOn w:val="Bb"/>
    <w:rsid w:val="009F5A32"/>
    <w:pPr>
      <w:spacing w:after="120"/>
    </w:pPr>
  </w:style>
  <w:style w:type="paragraph" w:customStyle="1" w:styleId="Hh4">
    <w:name w:val="Hh4"/>
    <w:basedOn w:val="Heading4"/>
    <w:rsid w:val="009F5A32"/>
  </w:style>
  <w:style w:type="character" w:customStyle="1" w:styleId="glyph">
    <w:name w:val="glyph"/>
    <w:rsid w:val="009F5A32"/>
    <w:rPr>
      <w:rFonts w:cs="Times New Roman"/>
    </w:rPr>
  </w:style>
  <w:style w:type="character" w:customStyle="1" w:styleId="nowrap">
    <w:name w:val="nowrap"/>
    <w:rsid w:val="009F5A32"/>
    <w:rPr>
      <w:rFonts w:cs="Times New Roman"/>
    </w:rPr>
  </w:style>
  <w:style w:type="character" w:customStyle="1" w:styleId="h2">
    <w:name w:val="h2"/>
    <w:rsid w:val="009F5A32"/>
    <w:rPr>
      <w:rFonts w:cs="Times New Roman"/>
    </w:rPr>
  </w:style>
  <w:style w:type="character" w:customStyle="1" w:styleId="headingendmark">
    <w:name w:val="headingendmark"/>
    <w:rsid w:val="009F5A32"/>
    <w:rPr>
      <w:rFonts w:cs="Times New Roman"/>
    </w:rPr>
  </w:style>
  <w:style w:type="paragraph" w:customStyle="1" w:styleId="h3SimSun1715">
    <w:name w:val="h3 + (أسيوية) SimSun، (لاتيني) ‏17 نقطة، (العربية وغيرها) ‏15 نقطة"/>
    <w:basedOn w:val="h30"/>
    <w:rsid w:val="009F5A32"/>
    <w:rPr>
      <w:rFonts w:eastAsia="宋体"/>
      <w:sz w:val="34"/>
      <w:szCs w:val="30"/>
      <w:lang w:eastAsia="zh-CN" w:bidi="ar-EG"/>
    </w:rPr>
  </w:style>
  <w:style w:type="character" w:customStyle="1" w:styleId="A8">
    <w:name w:val="A8"/>
    <w:rsid w:val="009F5A32"/>
    <w:rPr>
      <w:color w:val="000000"/>
      <w:sz w:val="11"/>
    </w:rPr>
  </w:style>
  <w:style w:type="paragraph" w:styleId="NoSpacing">
    <w:name w:val="No Spacing"/>
    <w:qFormat/>
    <w:rsid w:val="009F5A32"/>
    <w:rPr>
      <w:sz w:val="24"/>
      <w:szCs w:val="24"/>
    </w:rPr>
  </w:style>
  <w:style w:type="character" w:customStyle="1" w:styleId="A7">
    <w:name w:val="A7"/>
    <w:rsid w:val="009F5A32"/>
    <w:rPr>
      <w:color w:val="000000"/>
      <w:sz w:val="18"/>
    </w:rPr>
  </w:style>
  <w:style w:type="paragraph" w:customStyle="1" w:styleId="B1Char1">
    <w:name w:val="B1 Char"/>
    <w:basedOn w:val="Bb"/>
    <w:link w:val="B1CharChar"/>
    <w:rsid w:val="009F5A32"/>
    <w:pPr>
      <w:spacing w:after="120"/>
    </w:pPr>
    <w:rPr>
      <w:szCs w:val="20"/>
    </w:rPr>
  </w:style>
  <w:style w:type="character" w:customStyle="1" w:styleId="B1CharChar">
    <w:name w:val="B1 Char Char"/>
    <w:link w:val="B1Char1"/>
    <w:rsid w:val="009F5A32"/>
    <w:rPr>
      <w:rFonts w:eastAsia="Calibri"/>
      <w:noProof/>
      <w:sz w:val="28"/>
      <w:lang w:val="en-US" w:eastAsia="ar-SA" w:bidi="ar-SA"/>
    </w:rPr>
  </w:style>
  <w:style w:type="paragraph" w:customStyle="1" w:styleId="Ba">
    <w:name w:val="Ba"/>
    <w:basedOn w:val="B11"/>
    <w:rsid w:val="009F5A32"/>
  </w:style>
  <w:style w:type="character" w:customStyle="1" w:styleId="Char0">
    <w:name w:val="Char"/>
    <w:rsid w:val="00C36FEA"/>
    <w:rPr>
      <w:sz w:val="24"/>
      <w:szCs w:val="24"/>
      <w:lang w:eastAsia="ja-JP"/>
    </w:rPr>
  </w:style>
  <w:style w:type="character" w:customStyle="1" w:styleId="4Heading4CharChar">
    <w:name w:val="عنوان 4;Heading 4 Char Char"/>
    <w:rsid w:val="00734F94"/>
    <w:rPr>
      <w:b/>
      <w:bCs/>
      <w:noProof/>
      <w:sz w:val="28"/>
      <w:szCs w:val="28"/>
      <w:lang w:val="en-US" w:eastAsia="en-US" w:bidi="ar-SA"/>
    </w:rPr>
  </w:style>
  <w:style w:type="table" w:styleId="TableGrid">
    <w:name w:val="Table Grid"/>
    <w:basedOn w:val="TableNormal"/>
    <w:uiPriority w:val="59"/>
    <w:rsid w:val="002034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AF1350"/>
  </w:style>
  <w:style w:type="paragraph" w:customStyle="1" w:styleId="Emphasis1">
    <w:name w:val="Emphasis1"/>
    <w:basedOn w:val="BodyText"/>
    <w:rsid w:val="00AF1350"/>
    <w:pPr>
      <w:ind w:left="567" w:right="567" w:hanging="567"/>
    </w:pPr>
    <w:rPr>
      <w:b/>
      <w:bCs/>
    </w:rPr>
  </w:style>
  <w:style w:type="table" w:customStyle="1" w:styleId="TableGrid1">
    <w:name w:val="Table Grid1"/>
    <w:basedOn w:val="TableNormal"/>
    <w:next w:val="TableGrid"/>
    <w:uiPriority w:val="59"/>
    <w:rsid w:val="00AF13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oleObject" Target="embeddings/oleObject2.bin"/><Relationship Id="rId26" Type="http://schemas.openxmlformats.org/officeDocument/2006/relationships/header" Target="header4.xml"/><Relationship Id="rId39" Type="http://schemas.openxmlformats.org/officeDocument/2006/relationships/header" Target="header9.xml"/><Relationship Id="rId21" Type="http://schemas.openxmlformats.org/officeDocument/2006/relationships/image" Target="media/image4.wmf"/><Relationship Id="rId34" Type="http://schemas.openxmlformats.org/officeDocument/2006/relationships/header" Target="header8.xml"/><Relationship Id="rId42" Type="http://schemas.openxmlformats.org/officeDocument/2006/relationships/footer" Target="footer10.xml"/><Relationship Id="rId47" Type="http://schemas.openxmlformats.org/officeDocument/2006/relationships/image" Target="media/image7.emf"/><Relationship Id="rId50" Type="http://schemas.openxmlformats.org/officeDocument/2006/relationships/header" Target="header14.xml"/><Relationship Id="rId55" Type="http://schemas.openxmlformats.org/officeDocument/2006/relationships/footer" Target="footer1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eader" Target="header5.xml"/><Relationship Id="rId41" Type="http://schemas.openxmlformats.org/officeDocument/2006/relationships/footer" Target="footer9.xml"/><Relationship Id="rId54" Type="http://schemas.openxmlformats.org/officeDocument/2006/relationships/header" Target="header16.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5.png"/><Relationship Id="rId32" Type="http://schemas.openxmlformats.org/officeDocument/2006/relationships/footer" Target="footer6.xml"/><Relationship Id="rId37" Type="http://schemas.openxmlformats.org/officeDocument/2006/relationships/image" Target="media/image6.emf"/><Relationship Id="rId40" Type="http://schemas.openxmlformats.org/officeDocument/2006/relationships/header" Target="header10.xml"/><Relationship Id="rId45" Type="http://schemas.openxmlformats.org/officeDocument/2006/relationships/footer" Target="footer11.xml"/><Relationship Id="rId53" Type="http://schemas.openxmlformats.org/officeDocument/2006/relationships/header" Target="header15.xml"/><Relationship Id="rId58"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oleObject" Target="embeddings/oleObject5.bin"/><Relationship Id="rId28" Type="http://schemas.openxmlformats.org/officeDocument/2006/relationships/footer" Target="footer4.xml"/><Relationship Id="rId36" Type="http://schemas.openxmlformats.org/officeDocument/2006/relationships/footer" Target="footer8.xml"/><Relationship Id="rId49" Type="http://schemas.openxmlformats.org/officeDocument/2006/relationships/header" Target="header13.xml"/><Relationship Id="rId57" Type="http://schemas.openxmlformats.org/officeDocument/2006/relationships/header" Target="header17.xml"/><Relationship Id="rId61" Type="http://schemas.openxmlformats.org/officeDocument/2006/relationships/fontTable" Target="fontTable.xml"/><Relationship Id="rId10" Type="http://schemas.openxmlformats.org/officeDocument/2006/relationships/hyperlink" Target="http://www.dx.doi.org/10.7537/marsnys100817.22" TargetMode="External"/><Relationship Id="rId19" Type="http://schemas.openxmlformats.org/officeDocument/2006/relationships/image" Target="media/image3.wmf"/><Relationship Id="rId31" Type="http://schemas.openxmlformats.org/officeDocument/2006/relationships/footer" Target="footer5.xml"/><Relationship Id="rId44" Type="http://schemas.openxmlformats.org/officeDocument/2006/relationships/header" Target="header12.xml"/><Relationship Id="rId52" Type="http://schemas.openxmlformats.org/officeDocument/2006/relationships/footer" Target="footer14.xml"/><Relationship Id="rId60"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oleObject" Target="embeddings/oleObject4.bin"/><Relationship Id="rId27" Type="http://schemas.openxmlformats.org/officeDocument/2006/relationships/footer" Target="footer3.xml"/><Relationship Id="rId30" Type="http://schemas.openxmlformats.org/officeDocument/2006/relationships/header" Target="header6.xml"/><Relationship Id="rId35" Type="http://schemas.openxmlformats.org/officeDocument/2006/relationships/footer" Target="footer7.xml"/><Relationship Id="rId43" Type="http://schemas.openxmlformats.org/officeDocument/2006/relationships/header" Target="header11.xml"/><Relationship Id="rId48" Type="http://schemas.openxmlformats.org/officeDocument/2006/relationships/oleObject" Target="embeddings/oleObject7.bin"/><Relationship Id="rId56" Type="http://schemas.openxmlformats.org/officeDocument/2006/relationships/footer" Target="footer16.xml"/><Relationship Id="rId8" Type="http://schemas.openxmlformats.org/officeDocument/2006/relationships/hyperlink" Target="mailto:Lobna_sleem@yahoo.com" TargetMode="External"/><Relationship Id="rId51" Type="http://schemas.openxmlformats.org/officeDocument/2006/relationships/footer" Target="footer13.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2.wmf"/><Relationship Id="rId25" Type="http://schemas.openxmlformats.org/officeDocument/2006/relationships/header" Target="header3.xml"/><Relationship Id="rId33" Type="http://schemas.openxmlformats.org/officeDocument/2006/relationships/header" Target="header7.xml"/><Relationship Id="rId38" Type="http://schemas.openxmlformats.org/officeDocument/2006/relationships/oleObject" Target="embeddings/oleObject6.bin"/><Relationship Id="rId46" Type="http://schemas.openxmlformats.org/officeDocument/2006/relationships/footer" Target="footer12.xml"/><Relationship Id="rId59" Type="http://schemas.openxmlformats.org/officeDocument/2006/relationships/footer" Target="footer17.xm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28022DC-5F7E-452E-8871-8D7C14B2F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4856</Words>
  <Characters>27684</Characters>
  <Application>Microsoft Office Word</Application>
  <DocSecurity>0</DocSecurity>
  <Lines>230</Lines>
  <Paragraphs>64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Results</vt:lpstr>
      <vt:lpstr>Results</vt:lpstr>
    </vt:vector>
  </TitlesOfParts>
  <Company>TEAM OS</Company>
  <LinksUpToDate>false</LinksUpToDate>
  <CharactersWithSpaces>32476</CharactersWithSpaces>
  <SharedDoc>false</SharedDoc>
  <HLinks>
    <vt:vector size="66" baseType="variant">
      <vt:variant>
        <vt:i4>4522059</vt:i4>
      </vt:variant>
      <vt:variant>
        <vt:i4>3</vt:i4>
      </vt:variant>
      <vt:variant>
        <vt:i4>0</vt:i4>
      </vt:variant>
      <vt:variant>
        <vt:i4>5</vt:i4>
      </vt:variant>
      <vt:variant>
        <vt:lpwstr>http://www.sciencepub.net/newyork</vt:lpwstr>
      </vt:variant>
      <vt:variant>
        <vt:lpwstr/>
      </vt:variant>
      <vt:variant>
        <vt:i4>393234</vt:i4>
      </vt:variant>
      <vt:variant>
        <vt:i4>0</vt:i4>
      </vt:variant>
      <vt:variant>
        <vt:i4>0</vt:i4>
      </vt:variant>
      <vt:variant>
        <vt:i4>5</vt:i4>
      </vt:variant>
      <vt:variant>
        <vt:lpwstr>mailto:Lobna_sleem@yahoo.com</vt:lpwstr>
      </vt:variant>
      <vt:variant>
        <vt:lpwstr/>
      </vt:variant>
      <vt:variant>
        <vt:i4>4522059</vt:i4>
      </vt:variant>
      <vt:variant>
        <vt:i4>58</vt:i4>
      </vt:variant>
      <vt:variant>
        <vt:i4>0</vt:i4>
      </vt:variant>
      <vt:variant>
        <vt:i4>5</vt:i4>
      </vt:variant>
      <vt:variant>
        <vt:lpwstr>http://www.sciencepub.net/newyork</vt:lpwstr>
      </vt:variant>
      <vt:variant>
        <vt:lpwstr/>
      </vt:variant>
      <vt:variant>
        <vt:i4>4522059</vt:i4>
      </vt:variant>
      <vt:variant>
        <vt:i4>51</vt:i4>
      </vt:variant>
      <vt:variant>
        <vt:i4>0</vt:i4>
      </vt:variant>
      <vt:variant>
        <vt:i4>5</vt:i4>
      </vt:variant>
      <vt:variant>
        <vt:lpwstr>http://www.sciencepub.net/newyork</vt:lpwstr>
      </vt:variant>
      <vt:variant>
        <vt:lpwstr/>
      </vt:variant>
      <vt:variant>
        <vt:i4>4522059</vt:i4>
      </vt:variant>
      <vt:variant>
        <vt:i4>44</vt:i4>
      </vt:variant>
      <vt:variant>
        <vt:i4>0</vt:i4>
      </vt:variant>
      <vt:variant>
        <vt:i4>5</vt:i4>
      </vt:variant>
      <vt:variant>
        <vt:lpwstr>http://www.sciencepub.net/newyork</vt:lpwstr>
      </vt:variant>
      <vt:variant>
        <vt:lpwstr/>
      </vt:variant>
      <vt:variant>
        <vt:i4>4522059</vt:i4>
      </vt:variant>
      <vt:variant>
        <vt:i4>37</vt:i4>
      </vt:variant>
      <vt:variant>
        <vt:i4>0</vt:i4>
      </vt:variant>
      <vt:variant>
        <vt:i4>5</vt:i4>
      </vt:variant>
      <vt:variant>
        <vt:lpwstr>http://www.sciencepub.net/newyork</vt:lpwstr>
      </vt:variant>
      <vt:variant>
        <vt:lpwstr/>
      </vt:variant>
      <vt:variant>
        <vt:i4>4522059</vt:i4>
      </vt:variant>
      <vt:variant>
        <vt:i4>30</vt:i4>
      </vt:variant>
      <vt:variant>
        <vt:i4>0</vt:i4>
      </vt:variant>
      <vt:variant>
        <vt:i4>5</vt:i4>
      </vt:variant>
      <vt:variant>
        <vt:lpwstr>http://www.sciencepub.net/newyork</vt:lpwstr>
      </vt:variant>
      <vt:variant>
        <vt:lpwstr/>
      </vt:variant>
      <vt:variant>
        <vt:i4>4522059</vt:i4>
      </vt:variant>
      <vt:variant>
        <vt:i4>23</vt:i4>
      </vt:variant>
      <vt:variant>
        <vt:i4>0</vt:i4>
      </vt:variant>
      <vt:variant>
        <vt:i4>5</vt:i4>
      </vt:variant>
      <vt:variant>
        <vt:lpwstr>http://www.sciencepub.net/newyork</vt:lpwstr>
      </vt:variant>
      <vt:variant>
        <vt:lpwstr/>
      </vt:variant>
      <vt:variant>
        <vt:i4>4522059</vt:i4>
      </vt:variant>
      <vt:variant>
        <vt:i4>16</vt:i4>
      </vt:variant>
      <vt:variant>
        <vt:i4>0</vt:i4>
      </vt:variant>
      <vt:variant>
        <vt:i4>5</vt:i4>
      </vt:variant>
      <vt:variant>
        <vt:lpwstr>http://www.sciencepub.net/newyork</vt:lpwstr>
      </vt:variant>
      <vt:variant>
        <vt:lpwstr/>
      </vt:variant>
      <vt:variant>
        <vt:i4>4522059</vt:i4>
      </vt:variant>
      <vt:variant>
        <vt:i4>9</vt:i4>
      </vt:variant>
      <vt:variant>
        <vt:i4>0</vt:i4>
      </vt:variant>
      <vt:variant>
        <vt:i4>5</vt:i4>
      </vt:variant>
      <vt:variant>
        <vt:lpwstr>http://www.sciencepub.net/newyork</vt:lpwstr>
      </vt:variant>
      <vt:variant>
        <vt:lpwstr/>
      </vt:variant>
      <vt:variant>
        <vt:i4>4522059</vt:i4>
      </vt:variant>
      <vt:variant>
        <vt:i4>2</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Results</dc:title>
  <dc:creator>2017</dc:creator>
  <cp:lastModifiedBy>Administrator</cp:lastModifiedBy>
  <cp:revision>3</cp:revision>
  <dcterms:created xsi:type="dcterms:W3CDTF">2017-08-11T14:06:00Z</dcterms:created>
  <dcterms:modified xsi:type="dcterms:W3CDTF">2017-08-12T01:10:00Z</dcterms:modified>
</cp:coreProperties>
</file>