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9F" w:rsidRPr="006B7673" w:rsidRDefault="0073389F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Efficacy </w:t>
      </w:r>
      <w:proofErr w:type="gram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Safety Of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In Reversing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Nmb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>) In Adults</w:t>
      </w:r>
    </w:p>
    <w:p w:rsidR="0073389F" w:rsidRPr="006B7673" w:rsidRDefault="0073389F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</w:pPr>
    </w:p>
    <w:p w:rsidR="0073389F" w:rsidRPr="006B7673" w:rsidRDefault="0073389F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Mahmoud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Elrahman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Sherbeny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Ehab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Ahmed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Elrahman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Reda</w:t>
      </w:r>
      <w:proofErr w:type="spellEnd"/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Khalil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Kamal</w:t>
      </w:r>
      <w:proofErr w:type="spellEnd"/>
      <w:r w:rsidR="00334D87" w:rsidRPr="006B7673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334D87" w:rsidRPr="006B7673">
        <w:rPr>
          <w:rFonts w:ascii="Times New Roman" w:hAnsi="Times New Roman" w:cs="Times New Roman"/>
          <w:sz w:val="20"/>
          <w:szCs w:val="20"/>
        </w:rPr>
        <w:t xml:space="preserve"> Mohamed Ahmed Mohamed </w:t>
      </w:r>
      <w:proofErr w:type="spellStart"/>
      <w:r w:rsidR="00334D87" w:rsidRPr="006B7673">
        <w:rPr>
          <w:rFonts w:ascii="Times New Roman" w:hAnsi="Times New Roman" w:cs="Times New Roman"/>
          <w:sz w:val="20"/>
          <w:szCs w:val="20"/>
        </w:rPr>
        <w:t>Abozena</w:t>
      </w:r>
      <w:proofErr w:type="spellEnd"/>
    </w:p>
    <w:p w:rsidR="003E0BD6" w:rsidRPr="006B7673" w:rsidRDefault="003E0BD6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:rsidR="0073389F" w:rsidRPr="006B7673" w:rsidRDefault="0073389F" w:rsidP="006B7673">
      <w:pPr>
        <w:tabs>
          <w:tab w:val="left" w:pos="5081"/>
        </w:tabs>
        <w:bidi w:val="0"/>
        <w:snapToGri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Anesthesia and ICU Department, Faculty of Medicine,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Benha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University, Egypt</w:t>
      </w:r>
    </w:p>
    <w:p w:rsidR="0073389F" w:rsidRDefault="0015252F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sz w:val="20"/>
          <w:lang w:eastAsia="zh-CN"/>
        </w:rPr>
      </w:pPr>
      <w:hyperlink r:id="rId7" w:history="1">
        <w:r w:rsidR="0073389F" w:rsidRPr="006B7673">
          <w:rPr>
            <w:rStyle w:val="Hyperlink"/>
            <w:rFonts w:ascii="Times New Roman" w:hAnsi="Times New Roman" w:cs="Times New Roman"/>
            <w:color w:val="000000"/>
            <w:sz w:val="20"/>
            <w:szCs w:val="18"/>
          </w:rPr>
          <w:t>mohzena@hotmail.com</w:t>
        </w:r>
      </w:hyperlink>
    </w:p>
    <w:p w:rsidR="006B7673" w:rsidRPr="006B7673" w:rsidRDefault="006B7673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18"/>
          <w:lang w:eastAsia="zh-CN"/>
        </w:rPr>
      </w:pPr>
    </w:p>
    <w:p w:rsidR="0073389F" w:rsidRPr="006B7673" w:rsidRDefault="0073389F" w:rsidP="006B7673">
      <w:pPr>
        <w:bidi w:val="0"/>
        <w:snapToGrid w:val="0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Abstract: Background And Objective: </w:t>
      </w:r>
      <w:proofErr w:type="spellStart"/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reverses neuromuscular blockade induced by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aminosteroid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agents by encapsulating these agents. This study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designed to assess safety and efficacy of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in reversing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>-induced neuromuscular blockade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>Patients And Methods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One hundred ASA 1-2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>patients aged 20 - 40 years scheduled for short elective surgery were allocated and divided into 5 equal groups (A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B,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C,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and E).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administered in a dosage of 0.6 mg / kg for patients of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>groups A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B,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and D</w:t>
      </w:r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and administered in a dose of 1.2 mg/kg for the 5</w:t>
      </w:r>
      <w:r w:rsidRPr="006B767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group (E). After surgery,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50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mic</w:t>
      </w:r>
      <w:proofErr w:type="spellEnd"/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kg with atropine 0.015 mg/kg was administered on train-of-four (TOF) 0.2 for group </w:t>
      </w:r>
      <w:proofErr w:type="gramStart"/>
      <w:r w:rsidRPr="006B7673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patients while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was administered in a dosage of 3 mg / kg on (TOF) 0.2 for group B patients. </w:t>
      </w:r>
      <w:proofErr w:type="gramStart"/>
      <w:r w:rsidRPr="006B7673"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of group C and D received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on TOF 0.0 with PTC stimulation recorded in a dose of 3 mg/kg and 6 mg/kg respectively. While the patients of the group E received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in a dose of 1.2 mg/kg on TOF 0.0 with PTC stimulation recorded. Times until recovery of T4/T1 ratios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0.9 were recorded. </w:t>
      </w:r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: Time between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administration until recovery of a TOF ratio of 0.9 was shorter for patients of group B than group A (mean [SD], 78. [16.75] seconds and 213.1 [48.8] seconds, respectively), which is highly significant. </w:t>
      </w:r>
      <w:proofErr w:type="gramStart"/>
      <w:r w:rsidRPr="006B7673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>patients of group C and D times were (126.8 [26.8] seconds and 84.78</w:t>
      </w:r>
      <w:r w:rsidR="001A1FF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>[17.05] seconds respectively), also highly significant.</w:t>
      </w:r>
      <w:proofErr w:type="gram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B7673"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of group E, time was 70.5[8.56]. No signs of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recurarization</w:t>
      </w:r>
      <w:proofErr w:type="spellEnd"/>
      <w:r w:rsidR="001E16C9" w:rsidRPr="006B767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residual paralysis or associated serious adverse effects were observed for all patients.</w:t>
      </w:r>
    </w:p>
    <w:p w:rsidR="0073389F" w:rsidRPr="006B7673" w:rsidRDefault="0073389F" w:rsidP="006B7673">
      <w:pPr>
        <w:bidi w:val="0"/>
        <w:snapToGri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B7673">
        <w:rPr>
          <w:rFonts w:ascii="Times New Roman" w:eastAsia="Times New Roman" w:hAnsi="Times New Roman" w:cs="Times New Roman"/>
          <w:b/>
          <w:bCs/>
          <w:sz w:val="20"/>
          <w:szCs w:val="20"/>
        </w:rPr>
        <w:t>Conclusion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effectively and safely reverses a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-induced neuromuscular </w:t>
      </w:r>
      <w:r w:rsidR="000740C8" w:rsidRPr="006B7673">
        <w:rPr>
          <w:rFonts w:ascii="Times New Roman" w:eastAsia="Times New Roman" w:hAnsi="Times New Roman" w:cs="Times New Roman"/>
          <w:sz w:val="20"/>
          <w:szCs w:val="20"/>
        </w:rPr>
        <w:t>blockade significantly faster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than </w:t>
      </w:r>
      <w:proofErr w:type="spellStart"/>
      <w:r w:rsidRPr="006B7673">
        <w:rPr>
          <w:rFonts w:ascii="Times New Roman" w:eastAsia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and in </w:t>
      </w:r>
      <w:r w:rsidR="000740C8" w:rsidRPr="006B7673">
        <w:rPr>
          <w:rFonts w:ascii="Times New Roman" w:eastAsia="Times New Roman" w:hAnsi="Times New Roman" w:cs="Times New Roman"/>
          <w:sz w:val="20"/>
          <w:szCs w:val="20"/>
        </w:rPr>
        <w:t>a reverse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pattern </w:t>
      </w:r>
      <w:r w:rsidR="000740C8" w:rsidRPr="006B7673">
        <w:rPr>
          <w:rFonts w:ascii="Times New Roman" w:eastAsia="Times New Roman" w:hAnsi="Times New Roman" w:cs="Times New Roman"/>
          <w:sz w:val="20"/>
          <w:szCs w:val="20"/>
        </w:rPr>
        <w:t>(increasing</w:t>
      </w:r>
      <w:r w:rsidRPr="006B7673">
        <w:rPr>
          <w:rFonts w:ascii="Times New Roman" w:eastAsia="Times New Roman" w:hAnsi="Times New Roman" w:cs="Times New Roman"/>
          <w:sz w:val="20"/>
          <w:szCs w:val="20"/>
        </w:rPr>
        <w:t xml:space="preserve"> the dose decreasing the time).</w:t>
      </w:r>
    </w:p>
    <w:p w:rsidR="003E0BD6" w:rsidRPr="006B7673" w:rsidRDefault="000740C8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7673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Mahmoud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Elrahman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Sherbeny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Ehab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Ahmed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Abd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Elrahman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Reda</w:t>
      </w:r>
      <w:proofErr w:type="spellEnd"/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Khalil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Kamal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4D87" w:rsidRPr="006B7673">
        <w:rPr>
          <w:rFonts w:ascii="Times New Roman" w:hAnsi="Times New Roman" w:cs="Times New Roman"/>
          <w:sz w:val="20"/>
          <w:szCs w:val="20"/>
        </w:rPr>
        <w:t xml:space="preserve">Mohamed Ahmed Mohamed </w:t>
      </w:r>
      <w:proofErr w:type="spellStart"/>
      <w:r w:rsidR="00334D87" w:rsidRPr="006B7673">
        <w:rPr>
          <w:rFonts w:ascii="Times New Roman" w:hAnsi="Times New Roman" w:cs="Times New Roman"/>
          <w:sz w:val="20"/>
          <w:szCs w:val="20"/>
        </w:rPr>
        <w:t>Abozena</w:t>
      </w:r>
      <w:proofErr w:type="spellEnd"/>
      <w:r w:rsidR="001A1FF3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proofErr w:type="gramEnd"/>
      <w:r w:rsidR="00334D87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Efficacy </w:t>
      </w:r>
      <w:r w:rsidR="00334D87" w:rsidRPr="006B767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nd Safety </w:t>
      </w:r>
      <w:r w:rsidR="00334D87" w:rsidRPr="006B767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f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4D87" w:rsidRPr="006B767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n Reversing </w:t>
      </w:r>
      <w:r w:rsidR="00334D87"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NMB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334D87" w:rsidRPr="006B767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n Adults</w:t>
      </w:r>
      <w:r w:rsidR="003E0BD6" w:rsidRPr="006B7673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3E0BD6" w:rsidRPr="006B7673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3E0BD6" w:rsidRPr="006B7673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3E0BD6" w:rsidRPr="006B7673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3E0BD6" w:rsidRPr="006B76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0BD6" w:rsidRPr="006B7673">
        <w:rPr>
          <w:rFonts w:ascii="Times New Roman" w:hAnsi="Times New Roman" w:cs="Times New Roman"/>
          <w:sz w:val="20"/>
          <w:szCs w:val="20"/>
        </w:rPr>
        <w:t>201</w:t>
      </w:r>
      <w:r w:rsidR="003E0BD6" w:rsidRPr="006B7673">
        <w:rPr>
          <w:rFonts w:ascii="Times New Roman" w:hAnsi="Times New Roman" w:cs="Times New Roman" w:hint="eastAsia"/>
          <w:sz w:val="20"/>
          <w:szCs w:val="20"/>
        </w:rPr>
        <w:t>7</w:t>
      </w:r>
      <w:proofErr w:type="gramStart"/>
      <w:r w:rsidR="003E0BD6" w:rsidRPr="006B7673">
        <w:rPr>
          <w:rFonts w:ascii="Times New Roman" w:hAnsi="Times New Roman" w:cs="Times New Roman"/>
          <w:sz w:val="20"/>
          <w:szCs w:val="20"/>
        </w:rPr>
        <w:t>;</w:t>
      </w:r>
      <w:r w:rsidR="003E0BD6" w:rsidRPr="006B7673">
        <w:rPr>
          <w:rFonts w:ascii="Times New Roman" w:hAnsi="Times New Roman" w:cs="Times New Roman" w:hint="eastAsia"/>
          <w:sz w:val="20"/>
          <w:szCs w:val="20"/>
        </w:rPr>
        <w:t>10</w:t>
      </w:r>
      <w:proofErr w:type="gramEnd"/>
      <w:r w:rsidR="003E0BD6" w:rsidRPr="006B7673">
        <w:rPr>
          <w:rFonts w:ascii="Times New Roman" w:hAnsi="Times New Roman" w:cs="Times New Roman"/>
          <w:sz w:val="20"/>
          <w:szCs w:val="20"/>
        </w:rPr>
        <w:t>(</w:t>
      </w:r>
      <w:r w:rsidR="003E0BD6" w:rsidRPr="006B7673">
        <w:rPr>
          <w:rFonts w:ascii="Times New Roman" w:hAnsi="Times New Roman" w:cs="Times New Roman" w:hint="eastAsia"/>
          <w:sz w:val="20"/>
          <w:szCs w:val="20"/>
        </w:rPr>
        <w:t>6</w:t>
      </w:r>
      <w:r w:rsidR="003E0BD6" w:rsidRPr="006B7673">
        <w:rPr>
          <w:rFonts w:ascii="Times New Roman" w:hAnsi="Times New Roman" w:cs="Times New Roman"/>
          <w:sz w:val="20"/>
          <w:szCs w:val="20"/>
        </w:rPr>
        <w:t>):</w:t>
      </w:r>
      <w:r w:rsidR="00B21823">
        <w:rPr>
          <w:rFonts w:ascii="Times New Roman" w:hAnsi="Times New Roman" w:cs="Times New Roman"/>
          <w:noProof/>
          <w:color w:val="000000"/>
          <w:sz w:val="20"/>
          <w:szCs w:val="20"/>
        </w:rPr>
        <w:t>22</w:t>
      </w:r>
      <w:r w:rsidR="003E0BD6" w:rsidRPr="006B76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21823">
        <w:rPr>
          <w:rFonts w:ascii="Times New Roman" w:hAnsi="Times New Roman" w:cs="Times New Roman"/>
          <w:noProof/>
          <w:color w:val="000000"/>
          <w:sz w:val="20"/>
          <w:szCs w:val="20"/>
        </w:rPr>
        <w:t>29</w:t>
      </w:r>
      <w:r w:rsidR="003E0BD6" w:rsidRPr="006B7673">
        <w:rPr>
          <w:rFonts w:ascii="Times New Roman" w:hAnsi="Times New Roman" w:cs="Times New Roman"/>
          <w:sz w:val="20"/>
          <w:szCs w:val="20"/>
        </w:rPr>
        <w:t xml:space="preserve">]. </w:t>
      </w:r>
      <w:proofErr w:type="gramStart"/>
      <w:r w:rsidR="003E0BD6" w:rsidRPr="006B7673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3E0BD6" w:rsidRPr="006B767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E0BD6" w:rsidRPr="006B767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3E0BD6" w:rsidRPr="006B7673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3E0BD6" w:rsidRPr="006B7673">
        <w:rPr>
          <w:rFonts w:ascii="Times New Roman" w:hAnsi="Times New Roman" w:cs="Times New Roman"/>
          <w:sz w:val="20"/>
          <w:szCs w:val="20"/>
        </w:rPr>
        <w:t xml:space="preserve">. </w:t>
      </w:r>
      <w:r w:rsidR="006B7673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="003E0BD6" w:rsidRPr="006B7673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="003E0BD6"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3E0BD6"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9" w:history="1">
        <w:r w:rsidR="003E0BD6" w:rsidRPr="006B767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3E0BD6" w:rsidRPr="006B767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nys100617.</w:t>
        </w:r>
        <w:r w:rsidR="003E0BD6" w:rsidRPr="006B767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6B767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4</w:t>
        </w:r>
      </w:hyperlink>
      <w:r w:rsidR="003E0BD6"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B7673" w:rsidRPr="006B7673" w:rsidRDefault="006B7673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73389F" w:rsidRPr="006B7673" w:rsidRDefault="0073389F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Keywords</w:t>
      </w:r>
      <w:r w:rsidR="001E16C9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0740C8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>; reoccurrence of neuromuscular block; reversal agent</w:t>
      </w:r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residual paralysis,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selective relaxant binding agent</w:t>
      </w:r>
    </w:p>
    <w:p w:rsidR="006B7673" w:rsidRDefault="006B7673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7673" w:rsidRPr="006B7673" w:rsidRDefault="006B7673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B7673" w:rsidRPr="006B7673" w:rsidSect="00B21823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22"/>
          <w:cols w:space="708"/>
          <w:bidi/>
          <w:docGrid w:linePitch="360"/>
        </w:sectPr>
      </w:pPr>
    </w:p>
    <w:p w:rsidR="0084219A" w:rsidRPr="006B7673" w:rsidRDefault="000740C8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="0084219A" w:rsidRPr="006B7673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E31211" w:rsidRPr="006B7673" w:rsidRDefault="006209E1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color w:val="000000"/>
          <w:sz w:val="20"/>
          <w:szCs w:val="20"/>
        </w:rPr>
        <w:t>Since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introduction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curare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anesthesia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the 1940s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neuromuscular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blockade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played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pivotal role in facilitating anesthetic, surgical, and critical care practice</w:t>
      </w:r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570AEA" w:rsidRPr="006B767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In 1988,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rocuronium</w:t>
      </w:r>
      <w:proofErr w:type="spellEnd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was found</w:t>
      </w:r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to achieve intu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softHyphen/>
        <w:t>bation conditions almost as rapidly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  <w:proofErr w:type="spellStart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suxamethonium</w:t>
      </w:r>
      <w:proofErr w:type="spellEnd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if administered in a suffi</w:t>
      </w:r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ciently large </w:t>
      </w:r>
      <w:proofErr w:type="gramStart"/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>dose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1.2 mg/kg)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It has therefore become popular as an alternative neuromuscular blocker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for RSI</w:t>
      </w:r>
      <w:r w:rsidR="00395FEB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 w:rsidR="00570AEA" w:rsidRPr="006B767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95FEB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>However,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intermediate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duration of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action of </w:t>
      </w:r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tubating</w:t>
      </w:r>
      <w:proofErr w:type="spellEnd"/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dose of </w:t>
      </w:r>
      <w:proofErr w:type="spellStart"/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>rocuronium</w:t>
      </w:r>
      <w:proofErr w:type="spellEnd"/>
      <w:r w:rsidR="00AC2DAC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an obvious disadvantage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short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surgical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procedures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create serious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prob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softHyphen/>
        <w:t>lems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>should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58DA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there be unexpected difficulty </w:t>
      </w:r>
      <w:r w:rsidR="00395FEB" w:rsidRPr="006B7673">
        <w:rPr>
          <w:rFonts w:ascii="Times New Roman" w:hAnsi="Times New Roman" w:cs="Times New Roman"/>
          <w:color w:val="000000"/>
          <w:sz w:val="20"/>
          <w:szCs w:val="20"/>
        </w:rPr>
        <w:t>in securing the airway</w:t>
      </w:r>
      <w:r w:rsidR="00395FEB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95FEB"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70AEA" w:rsidRPr="006B767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95FEB"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</w:t>
      </w:r>
    </w:p>
    <w:p w:rsidR="00BD5FAF" w:rsidRPr="006B7673" w:rsidRDefault="00E31211" w:rsidP="006B7673">
      <w:pPr>
        <w:pStyle w:val="NormalWeb"/>
        <w:snapToGrid w:val="0"/>
        <w:spacing w:before="0" w:beforeAutospacing="0" w:after="0" w:afterAutospacing="0"/>
        <w:ind w:firstLine="425"/>
        <w:jc w:val="both"/>
        <w:rPr>
          <w:rStyle w:val="endnotenumber"/>
          <w:b/>
          <w:bCs/>
          <w:sz w:val="20"/>
          <w:szCs w:val="20"/>
          <w:vertAlign w:val="superscript"/>
        </w:rPr>
      </w:pPr>
      <w:r w:rsidRPr="006B7673">
        <w:rPr>
          <w:sz w:val="20"/>
          <w:szCs w:val="20"/>
        </w:rPr>
        <w:t>Reversal of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neuromuscular blockade is important for the acceleration of patient recovery and prevention of postoperative residual neuromuscular blockade</w:t>
      </w:r>
      <w:r w:rsidRPr="006B7673">
        <w:rPr>
          <w:b/>
          <w:bCs/>
          <w:color w:val="000000"/>
          <w:sz w:val="20"/>
          <w:szCs w:val="20"/>
        </w:rPr>
        <w:t xml:space="preserve"> (</w:t>
      </w:r>
      <w:r w:rsidR="00570AEA" w:rsidRPr="006B7673">
        <w:rPr>
          <w:b/>
          <w:bCs/>
          <w:sz w:val="20"/>
          <w:szCs w:val="20"/>
        </w:rPr>
        <w:t>4</w:t>
      </w:r>
      <w:r w:rsidRPr="006B7673">
        <w:rPr>
          <w:b/>
          <w:bCs/>
          <w:color w:val="000000"/>
          <w:sz w:val="20"/>
          <w:szCs w:val="20"/>
        </w:rPr>
        <w:t>)</w:t>
      </w:r>
      <w:proofErr w:type="gramStart"/>
      <w:r w:rsidRPr="006B7673">
        <w:rPr>
          <w:b/>
          <w:bCs/>
          <w:color w:val="000000"/>
          <w:sz w:val="20"/>
          <w:szCs w:val="20"/>
        </w:rPr>
        <w:t>.</w:t>
      </w:r>
      <w:r w:rsidR="001E16C9" w:rsidRPr="006B7673">
        <w:rPr>
          <w:sz w:val="20"/>
          <w:szCs w:val="20"/>
        </w:rPr>
        <w:t>.</w:t>
      </w:r>
      <w:proofErr w:type="gramEnd"/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Currently,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the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 xml:space="preserve">reversal of neuromuscular blockade is achieved by the administration of </w:t>
      </w:r>
      <w:proofErr w:type="spellStart"/>
      <w:r w:rsidRPr="006B7673">
        <w:rPr>
          <w:sz w:val="20"/>
          <w:szCs w:val="20"/>
        </w:rPr>
        <w:t>acetylcholinesterase</w:t>
      </w:r>
      <w:proofErr w:type="spellEnd"/>
      <w:r w:rsidRPr="006B7673">
        <w:rPr>
          <w:sz w:val="20"/>
          <w:szCs w:val="20"/>
        </w:rPr>
        <w:t xml:space="preserve"> inhibitors</w:t>
      </w:r>
      <w:r w:rsidRPr="006B7673">
        <w:rPr>
          <w:b/>
          <w:bCs/>
          <w:sz w:val="20"/>
          <w:szCs w:val="20"/>
        </w:rPr>
        <w:t xml:space="preserve"> </w:t>
      </w:r>
      <w:r w:rsidRPr="006B7673">
        <w:rPr>
          <w:b/>
          <w:bCs/>
          <w:color w:val="000000"/>
          <w:sz w:val="20"/>
          <w:szCs w:val="20"/>
        </w:rPr>
        <w:t>(</w:t>
      </w:r>
      <w:r w:rsidR="00570AEA" w:rsidRPr="006B7673">
        <w:rPr>
          <w:b/>
          <w:bCs/>
          <w:sz w:val="20"/>
          <w:szCs w:val="20"/>
        </w:rPr>
        <w:t>5</w:t>
      </w:r>
      <w:r w:rsidRPr="006B7673">
        <w:rPr>
          <w:b/>
          <w:bCs/>
          <w:color w:val="000000"/>
          <w:sz w:val="20"/>
          <w:szCs w:val="20"/>
        </w:rPr>
        <w:t>).</w:t>
      </w:r>
      <w:r w:rsidRPr="006B7673">
        <w:rPr>
          <w:sz w:val="20"/>
          <w:szCs w:val="20"/>
        </w:rPr>
        <w:t xml:space="preserve"> </w:t>
      </w:r>
      <w:proofErr w:type="spellStart"/>
      <w:r w:rsidRPr="006B7673">
        <w:rPr>
          <w:sz w:val="20"/>
          <w:szCs w:val="20"/>
        </w:rPr>
        <w:t>Acetylcholinesterase</w:t>
      </w:r>
      <w:proofErr w:type="spellEnd"/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inhibitors have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some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problems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with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their use</w:t>
      </w:r>
      <w:r w:rsidR="001E16C9" w:rsidRPr="006B7673">
        <w:rPr>
          <w:sz w:val="20"/>
          <w:szCs w:val="20"/>
        </w:rPr>
        <w:t>.</w:t>
      </w:r>
      <w:r w:rsidRPr="006B7673">
        <w:rPr>
          <w:sz w:val="20"/>
          <w:szCs w:val="20"/>
        </w:rPr>
        <w:t xml:space="preserve"> The duration of action of all curre</w:t>
      </w:r>
      <w:r w:rsidR="00A17564" w:rsidRPr="006B7673">
        <w:rPr>
          <w:sz w:val="20"/>
          <w:szCs w:val="20"/>
        </w:rPr>
        <w:t xml:space="preserve">ntly available </w:t>
      </w:r>
      <w:proofErr w:type="spellStart"/>
      <w:r w:rsidR="00A17564" w:rsidRPr="006B7673">
        <w:rPr>
          <w:sz w:val="20"/>
          <w:szCs w:val="20"/>
        </w:rPr>
        <w:t>nondepolarizing</w:t>
      </w:r>
      <w:proofErr w:type="spellEnd"/>
      <w:r w:rsidR="00A17564" w:rsidRPr="006B7673">
        <w:rPr>
          <w:sz w:val="20"/>
          <w:szCs w:val="20"/>
        </w:rPr>
        <w:t xml:space="preserve"> muscle </w:t>
      </w:r>
      <w:r w:rsidR="00A17564" w:rsidRPr="006B7673">
        <w:rPr>
          <w:sz w:val="20"/>
          <w:szCs w:val="20"/>
        </w:rPr>
        <w:lastRenderedPageBreak/>
        <w:t>relaxants is</w:t>
      </w:r>
      <w:r w:rsidR="001E16C9">
        <w:rPr>
          <w:sz w:val="20"/>
          <w:szCs w:val="20"/>
        </w:rPr>
        <w:t xml:space="preserve"> </w:t>
      </w:r>
      <w:r w:rsidR="00A17564" w:rsidRPr="006B7673">
        <w:rPr>
          <w:sz w:val="20"/>
          <w:szCs w:val="20"/>
        </w:rPr>
        <w:t>too</w:t>
      </w:r>
      <w:r w:rsidR="001E16C9">
        <w:rPr>
          <w:sz w:val="20"/>
          <w:szCs w:val="20"/>
        </w:rPr>
        <w:t xml:space="preserve"> </w:t>
      </w:r>
      <w:r w:rsidR="00A17564" w:rsidRPr="006B7673">
        <w:rPr>
          <w:sz w:val="20"/>
          <w:szCs w:val="20"/>
        </w:rPr>
        <w:t>long</w:t>
      </w:r>
      <w:r w:rsidR="001E16C9">
        <w:rPr>
          <w:sz w:val="20"/>
          <w:szCs w:val="20"/>
        </w:rPr>
        <w:t xml:space="preserve"> </w:t>
      </w:r>
      <w:r w:rsidR="00A17564" w:rsidRPr="006B7673">
        <w:rPr>
          <w:sz w:val="20"/>
          <w:szCs w:val="20"/>
        </w:rPr>
        <w:t>for</w:t>
      </w:r>
      <w:r w:rsidR="001E16C9">
        <w:rPr>
          <w:sz w:val="20"/>
          <w:szCs w:val="20"/>
        </w:rPr>
        <w:t xml:space="preserve"> </w:t>
      </w:r>
      <w:r w:rsidR="00A17564" w:rsidRPr="006B7673">
        <w:rPr>
          <w:sz w:val="20"/>
          <w:szCs w:val="20"/>
        </w:rPr>
        <w:t>early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or “escape” reversal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after a short case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or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an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unexpected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 xml:space="preserve">cannot </w:t>
      </w:r>
      <w:proofErr w:type="spellStart"/>
      <w:r w:rsidRPr="006B7673">
        <w:rPr>
          <w:sz w:val="20"/>
          <w:szCs w:val="20"/>
        </w:rPr>
        <w:t>intubate</w:t>
      </w:r>
      <w:proofErr w:type="spellEnd"/>
      <w:r w:rsidRPr="006B7673">
        <w:rPr>
          <w:sz w:val="20"/>
          <w:szCs w:val="20"/>
        </w:rPr>
        <w:t xml:space="preserve">, cannot-ventilate scenario using </w:t>
      </w:r>
      <w:proofErr w:type="spellStart"/>
      <w:r w:rsidRPr="006B7673">
        <w:rPr>
          <w:sz w:val="20"/>
          <w:szCs w:val="20"/>
        </w:rPr>
        <w:t>neostigmine</w:t>
      </w:r>
      <w:proofErr w:type="spellEnd"/>
      <w:r w:rsidR="001A1FF3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6B7673">
        <w:rPr>
          <w:b/>
          <w:bCs/>
          <w:color w:val="000000"/>
          <w:sz w:val="20"/>
          <w:szCs w:val="20"/>
        </w:rPr>
        <w:t>(</w:t>
      </w:r>
      <w:r w:rsidR="00570AEA" w:rsidRPr="006B7673">
        <w:rPr>
          <w:b/>
          <w:bCs/>
          <w:sz w:val="20"/>
          <w:szCs w:val="20"/>
        </w:rPr>
        <w:t>3</w:t>
      </w:r>
      <w:r w:rsidR="00A17564" w:rsidRPr="006B7673">
        <w:rPr>
          <w:b/>
          <w:bCs/>
          <w:color w:val="000000"/>
          <w:sz w:val="20"/>
          <w:szCs w:val="20"/>
        </w:rPr>
        <w:t>)</w:t>
      </w:r>
      <w:r w:rsidR="001E16C9" w:rsidRPr="006B7673">
        <w:rPr>
          <w:sz w:val="20"/>
          <w:szCs w:val="20"/>
        </w:rPr>
        <w:t>.</w:t>
      </w:r>
      <w:r w:rsidR="001E16C9">
        <w:rPr>
          <w:sz w:val="20"/>
          <w:szCs w:val="20"/>
        </w:rPr>
        <w:t xml:space="preserve"> </w:t>
      </w:r>
      <w:r w:rsidR="001E16C9" w:rsidRPr="006B7673">
        <w:rPr>
          <w:sz w:val="20"/>
          <w:szCs w:val="20"/>
        </w:rPr>
        <w:t>T</w:t>
      </w:r>
      <w:r w:rsidRPr="006B7673">
        <w:rPr>
          <w:sz w:val="20"/>
          <w:szCs w:val="20"/>
        </w:rPr>
        <w:t xml:space="preserve">he inability of cholinesterase inhibitors to reverse a profound </w:t>
      </w:r>
      <w:proofErr w:type="spellStart"/>
      <w:r w:rsidRPr="006B7673">
        <w:rPr>
          <w:sz w:val="20"/>
          <w:szCs w:val="20"/>
        </w:rPr>
        <w:t>nondepolarizing</w:t>
      </w:r>
      <w:proofErr w:type="spellEnd"/>
      <w:r w:rsidRPr="006B7673">
        <w:rPr>
          <w:sz w:val="20"/>
          <w:szCs w:val="20"/>
        </w:rPr>
        <w:t xml:space="preserve"> blockade </w:t>
      </w:r>
      <w:r w:rsidR="00A17564" w:rsidRPr="006B7673">
        <w:rPr>
          <w:sz w:val="20"/>
          <w:szCs w:val="20"/>
        </w:rPr>
        <w:t xml:space="preserve">may be one important reason for </w:t>
      </w:r>
      <w:r w:rsidRPr="006B7673">
        <w:rPr>
          <w:sz w:val="20"/>
          <w:szCs w:val="20"/>
        </w:rPr>
        <w:t>the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persistence of</w:t>
      </w:r>
      <w:r w:rsidR="001E16C9">
        <w:rPr>
          <w:sz w:val="20"/>
          <w:szCs w:val="20"/>
        </w:rPr>
        <w:t xml:space="preserve"> </w:t>
      </w:r>
      <w:proofErr w:type="spellStart"/>
      <w:r w:rsidRPr="006B7673">
        <w:rPr>
          <w:sz w:val="20"/>
          <w:szCs w:val="20"/>
        </w:rPr>
        <w:t>succinylcholine</w:t>
      </w:r>
      <w:proofErr w:type="spellEnd"/>
      <w:r w:rsidRPr="006B7673">
        <w:rPr>
          <w:sz w:val="20"/>
          <w:szCs w:val="20"/>
        </w:rPr>
        <w:t xml:space="preserve"> in current anesthetic practice for rapid sequence induction and ultra short procedures </w:t>
      </w:r>
      <w:r w:rsidR="001A1FF3">
        <w:rPr>
          <w:b/>
          <w:bCs/>
          <w:color w:val="000000"/>
          <w:sz w:val="20"/>
          <w:szCs w:val="20"/>
        </w:rPr>
        <w:t>(</w:t>
      </w:r>
      <w:r w:rsidR="00835306" w:rsidRPr="006B7673">
        <w:rPr>
          <w:b/>
          <w:bCs/>
          <w:sz w:val="20"/>
          <w:szCs w:val="20"/>
        </w:rPr>
        <w:t>6</w:t>
      </w:r>
      <w:r w:rsidR="001A1FF3">
        <w:rPr>
          <w:b/>
          <w:bCs/>
          <w:color w:val="000000"/>
          <w:sz w:val="20"/>
          <w:szCs w:val="20"/>
        </w:rPr>
        <w:t>)</w:t>
      </w:r>
      <w:r w:rsidRPr="006B7673">
        <w:rPr>
          <w:b/>
          <w:bCs/>
          <w:color w:val="000000"/>
          <w:sz w:val="20"/>
          <w:szCs w:val="20"/>
        </w:rPr>
        <w:t>.</w:t>
      </w:r>
    </w:p>
    <w:p w:rsidR="00E31211" w:rsidRPr="006B7673" w:rsidRDefault="00BD5FAF" w:rsidP="006B7673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6B7673">
        <w:rPr>
          <w:sz w:val="20"/>
          <w:szCs w:val="20"/>
        </w:rPr>
        <w:t>Acetyl cholinesterase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inhibitors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have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 xml:space="preserve">unwanted effects associated with stimulation of the </w:t>
      </w:r>
      <w:proofErr w:type="spellStart"/>
      <w:r w:rsidRPr="006B7673">
        <w:rPr>
          <w:sz w:val="20"/>
          <w:szCs w:val="20"/>
        </w:rPr>
        <w:t>muscarinic</w:t>
      </w:r>
      <w:proofErr w:type="spellEnd"/>
      <w:r w:rsidRPr="006B7673">
        <w:rPr>
          <w:sz w:val="20"/>
          <w:szCs w:val="20"/>
        </w:rPr>
        <w:t xml:space="preserve"> receptors resulting in</w:t>
      </w:r>
      <w:r w:rsidR="001E16C9">
        <w:rPr>
          <w:sz w:val="20"/>
          <w:szCs w:val="20"/>
        </w:rPr>
        <w:t xml:space="preserve"> </w:t>
      </w:r>
      <w:proofErr w:type="spellStart"/>
      <w:r w:rsidRPr="006B7673">
        <w:rPr>
          <w:sz w:val="20"/>
          <w:szCs w:val="20"/>
        </w:rPr>
        <w:t>bradycardia</w:t>
      </w:r>
      <w:proofErr w:type="spellEnd"/>
      <w:r w:rsidR="001E16C9" w:rsidRPr="006B7673">
        <w:rPr>
          <w:sz w:val="20"/>
          <w:szCs w:val="20"/>
        </w:rPr>
        <w:t>,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arrhythmias</w:t>
      </w:r>
      <w:r w:rsidR="001E16C9" w:rsidRPr="006B7673">
        <w:rPr>
          <w:sz w:val="20"/>
          <w:szCs w:val="20"/>
        </w:rPr>
        <w:t>,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increased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secretions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and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contraction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of smooth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muscle</w:t>
      </w:r>
      <w:r w:rsidR="00054314" w:rsidRPr="006B7673">
        <w:rPr>
          <w:sz w:val="20"/>
          <w:szCs w:val="20"/>
        </w:rPr>
        <w:t xml:space="preserve">, though </w:t>
      </w:r>
      <w:r w:rsidRPr="006B7673">
        <w:rPr>
          <w:sz w:val="20"/>
          <w:szCs w:val="20"/>
        </w:rPr>
        <w:t>these can be counteracted by</w:t>
      </w:r>
      <w:r w:rsidR="00054314" w:rsidRPr="006B7673">
        <w:rPr>
          <w:sz w:val="20"/>
          <w:szCs w:val="20"/>
        </w:rPr>
        <w:t xml:space="preserve"> administration</w:t>
      </w:r>
      <w:r w:rsidRPr="006B7673">
        <w:rPr>
          <w:sz w:val="20"/>
          <w:szCs w:val="20"/>
        </w:rPr>
        <w:t xml:space="preserve"> of </w:t>
      </w:r>
      <w:proofErr w:type="spellStart"/>
      <w:r w:rsidRPr="006B7673">
        <w:rPr>
          <w:sz w:val="20"/>
          <w:szCs w:val="20"/>
        </w:rPr>
        <w:t>muscarinic</w:t>
      </w:r>
      <w:proofErr w:type="spellEnd"/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 xml:space="preserve">antagonists (atropine or </w:t>
      </w:r>
      <w:proofErr w:type="spellStart"/>
      <w:r w:rsidRPr="006B7673">
        <w:rPr>
          <w:sz w:val="20"/>
          <w:szCs w:val="20"/>
        </w:rPr>
        <w:t>glycopyrrolate</w:t>
      </w:r>
      <w:proofErr w:type="spellEnd"/>
      <w:r w:rsidR="001A1FF3">
        <w:rPr>
          <w:sz w:val="20"/>
          <w:szCs w:val="20"/>
        </w:rPr>
        <w:t>)</w:t>
      </w:r>
      <w:r w:rsidRPr="006B7673">
        <w:rPr>
          <w:b/>
          <w:bCs/>
          <w:color w:val="000000"/>
          <w:sz w:val="20"/>
          <w:szCs w:val="20"/>
        </w:rPr>
        <w:t xml:space="preserve"> (</w:t>
      </w:r>
      <w:r w:rsidR="00161FC4" w:rsidRPr="006B7673">
        <w:rPr>
          <w:b/>
          <w:bCs/>
          <w:sz w:val="20"/>
          <w:szCs w:val="20"/>
        </w:rPr>
        <w:t>7</w:t>
      </w:r>
      <w:r w:rsidRPr="006B7673">
        <w:rPr>
          <w:b/>
          <w:bCs/>
          <w:color w:val="000000"/>
          <w:sz w:val="20"/>
          <w:szCs w:val="20"/>
        </w:rPr>
        <w:t>).</w:t>
      </w:r>
      <w:r w:rsidR="001E16C9">
        <w:rPr>
          <w:sz w:val="20"/>
          <w:szCs w:val="20"/>
        </w:rPr>
        <w:t xml:space="preserve"> </w:t>
      </w:r>
      <w:proofErr w:type="spellStart"/>
      <w:r w:rsidRPr="006B7673">
        <w:rPr>
          <w:sz w:val="20"/>
          <w:szCs w:val="20"/>
        </w:rPr>
        <w:t>Muscarinic</w:t>
      </w:r>
      <w:proofErr w:type="spellEnd"/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antagonists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also have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side effects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as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blurred vision</w:t>
      </w:r>
      <w:r w:rsidR="001E16C9" w:rsidRPr="006B7673">
        <w:rPr>
          <w:sz w:val="20"/>
          <w:szCs w:val="20"/>
        </w:rPr>
        <w:t>,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dry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>mouth</w:t>
      </w:r>
      <w:r w:rsidR="001E16C9">
        <w:rPr>
          <w:sz w:val="20"/>
          <w:szCs w:val="20"/>
        </w:rPr>
        <w:t xml:space="preserve"> </w:t>
      </w:r>
      <w:r w:rsidRPr="006B7673">
        <w:rPr>
          <w:sz w:val="20"/>
          <w:szCs w:val="20"/>
        </w:rPr>
        <w:t xml:space="preserve">and tachycardia </w:t>
      </w:r>
      <w:r w:rsidRPr="006B7673">
        <w:rPr>
          <w:b/>
          <w:bCs/>
          <w:color w:val="000000"/>
          <w:sz w:val="20"/>
          <w:szCs w:val="20"/>
        </w:rPr>
        <w:t>(</w:t>
      </w:r>
      <w:r w:rsidR="00161FC4" w:rsidRPr="006B7673">
        <w:rPr>
          <w:b/>
          <w:bCs/>
          <w:sz w:val="20"/>
          <w:szCs w:val="20"/>
        </w:rPr>
        <w:t>1</w:t>
      </w:r>
      <w:r w:rsidRPr="006B7673">
        <w:rPr>
          <w:b/>
          <w:bCs/>
          <w:color w:val="000000"/>
          <w:sz w:val="20"/>
          <w:szCs w:val="20"/>
        </w:rPr>
        <w:t>).</w:t>
      </w:r>
    </w:p>
    <w:p w:rsidR="00974DD0" w:rsidRPr="006B7673" w:rsidRDefault="0012345C" w:rsidP="006B7673">
      <w:pPr>
        <w:pStyle w:val="NormalWeb"/>
        <w:snapToGrid w:val="0"/>
        <w:spacing w:before="0" w:beforeAutospacing="0" w:after="0" w:afterAutospacing="0"/>
        <w:ind w:firstLine="425"/>
        <w:jc w:val="both"/>
        <w:rPr>
          <w:color w:val="000000"/>
          <w:sz w:val="20"/>
          <w:szCs w:val="20"/>
        </w:rPr>
      </w:pPr>
      <w:r w:rsidRPr="006B7673">
        <w:rPr>
          <w:color w:val="000000"/>
          <w:sz w:val="20"/>
          <w:szCs w:val="20"/>
        </w:rPr>
        <w:t>As a consequence</w:t>
      </w:r>
      <w:r w:rsidR="001E16C9" w:rsidRPr="006B7673">
        <w:rPr>
          <w:color w:val="000000"/>
          <w:sz w:val="20"/>
          <w:szCs w:val="20"/>
        </w:rPr>
        <w:t>,</w:t>
      </w:r>
      <w:r w:rsidRPr="006B7673">
        <w:rPr>
          <w:color w:val="000000"/>
          <w:sz w:val="20"/>
          <w:szCs w:val="20"/>
        </w:rPr>
        <w:t xml:space="preserve"> research continued</w:t>
      </w:r>
      <w:r w:rsidR="006D0C6A" w:rsidRPr="006B7673">
        <w:rPr>
          <w:color w:val="000000"/>
          <w:sz w:val="20"/>
          <w:szCs w:val="20"/>
        </w:rPr>
        <w:t xml:space="preserve"> for</w:t>
      </w:r>
      <w:r w:rsidR="001E16C9">
        <w:rPr>
          <w:color w:val="000000"/>
          <w:sz w:val="20"/>
          <w:szCs w:val="20"/>
        </w:rPr>
        <w:t xml:space="preserve"> </w:t>
      </w:r>
      <w:r w:rsidR="006D0C6A" w:rsidRPr="006B7673">
        <w:rPr>
          <w:color w:val="000000"/>
          <w:sz w:val="20"/>
          <w:szCs w:val="20"/>
        </w:rPr>
        <w:t>the ideal</w:t>
      </w:r>
      <w:r w:rsidR="001E16C9">
        <w:rPr>
          <w:color w:val="000000"/>
          <w:sz w:val="20"/>
          <w:szCs w:val="20"/>
        </w:rPr>
        <w:t xml:space="preserve"> </w:t>
      </w:r>
      <w:r w:rsidR="006D0C6A" w:rsidRPr="006B7673">
        <w:rPr>
          <w:color w:val="000000"/>
          <w:sz w:val="20"/>
          <w:szCs w:val="20"/>
        </w:rPr>
        <w:t>reversal agent.</w:t>
      </w:r>
      <w:r w:rsidRPr="006B7673">
        <w:rPr>
          <w:color w:val="000000"/>
          <w:sz w:val="20"/>
          <w:szCs w:val="20"/>
        </w:rPr>
        <w:t xml:space="preserve"> In 2001, </w:t>
      </w:r>
      <w:proofErr w:type="spellStart"/>
      <w:r w:rsidRPr="006B7673">
        <w:rPr>
          <w:color w:val="000000"/>
          <w:sz w:val="20"/>
          <w:szCs w:val="20"/>
        </w:rPr>
        <w:t>amodified</w:t>
      </w:r>
      <w:proofErr w:type="spellEnd"/>
      <w:r w:rsidRPr="006B7673">
        <w:rPr>
          <w:color w:val="000000"/>
          <w:sz w:val="20"/>
          <w:szCs w:val="20"/>
        </w:rPr>
        <w:t xml:space="preserve"> γ-</w:t>
      </w:r>
      <w:proofErr w:type="spellStart"/>
      <w:r w:rsidRPr="006B7673">
        <w:rPr>
          <w:color w:val="000000"/>
          <w:sz w:val="20"/>
          <w:szCs w:val="20"/>
        </w:rPr>
        <w:t>cyclodextrin</w:t>
      </w:r>
      <w:proofErr w:type="spellEnd"/>
      <w:r w:rsidRPr="006B7673">
        <w:rPr>
          <w:color w:val="000000"/>
          <w:sz w:val="20"/>
          <w:szCs w:val="20"/>
        </w:rPr>
        <w:t xml:space="preserve">, </w:t>
      </w:r>
      <w:proofErr w:type="spellStart"/>
      <w:r w:rsidRPr="006B7673">
        <w:rPr>
          <w:color w:val="000000"/>
          <w:sz w:val="20"/>
          <w:szCs w:val="20"/>
        </w:rPr>
        <w:t>sugammadex</w:t>
      </w:r>
      <w:proofErr w:type="spellEnd"/>
      <w:r w:rsidRPr="006B7673">
        <w:rPr>
          <w:color w:val="000000"/>
          <w:sz w:val="20"/>
          <w:szCs w:val="20"/>
        </w:rPr>
        <w:t xml:space="preserve"> (Org</w:t>
      </w:r>
      <w:r w:rsidR="001A1FF3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6B7673">
        <w:rPr>
          <w:color w:val="000000"/>
          <w:sz w:val="20"/>
          <w:szCs w:val="20"/>
        </w:rPr>
        <w:t>25969)</w:t>
      </w:r>
      <w:r w:rsidR="001A1FF3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6B7673">
        <w:rPr>
          <w:color w:val="000000"/>
          <w:sz w:val="20"/>
          <w:szCs w:val="20"/>
        </w:rPr>
        <w:t xml:space="preserve">was discovered by </w:t>
      </w:r>
      <w:proofErr w:type="spellStart"/>
      <w:r w:rsidRPr="006B7673">
        <w:rPr>
          <w:color w:val="000000"/>
          <w:sz w:val="20"/>
          <w:szCs w:val="20"/>
        </w:rPr>
        <w:t>Bom</w:t>
      </w:r>
      <w:proofErr w:type="spellEnd"/>
      <w:r w:rsidRPr="006B7673">
        <w:rPr>
          <w:color w:val="000000"/>
          <w:sz w:val="20"/>
          <w:szCs w:val="20"/>
        </w:rPr>
        <w:t xml:space="preserve"> et al</w:t>
      </w:r>
      <w:r w:rsidRPr="006B7673">
        <w:rPr>
          <w:b/>
          <w:bCs/>
          <w:color w:val="000000"/>
          <w:sz w:val="20"/>
          <w:szCs w:val="20"/>
        </w:rPr>
        <w:t xml:space="preserve"> (</w:t>
      </w:r>
      <w:r w:rsidR="001E06DA" w:rsidRPr="006B7673">
        <w:rPr>
          <w:b/>
          <w:bCs/>
          <w:sz w:val="20"/>
          <w:szCs w:val="20"/>
        </w:rPr>
        <w:t>8</w:t>
      </w:r>
      <w:r w:rsidRPr="006B7673">
        <w:rPr>
          <w:b/>
          <w:bCs/>
          <w:color w:val="000000"/>
          <w:sz w:val="20"/>
          <w:szCs w:val="20"/>
        </w:rPr>
        <w:t>).</w:t>
      </w:r>
      <w:r w:rsidRPr="006B7673">
        <w:rPr>
          <w:color w:val="000000"/>
          <w:sz w:val="20"/>
          <w:szCs w:val="20"/>
        </w:rPr>
        <w:t xml:space="preserve"> This modified γ-</w:t>
      </w:r>
      <w:proofErr w:type="spellStart"/>
      <w:r w:rsidRPr="006B7673">
        <w:rPr>
          <w:color w:val="000000"/>
          <w:sz w:val="20"/>
          <w:szCs w:val="20"/>
        </w:rPr>
        <w:t>cyclodextrin</w:t>
      </w:r>
      <w:proofErr w:type="spellEnd"/>
      <w:r w:rsidRPr="006B7673">
        <w:rPr>
          <w:color w:val="000000"/>
          <w:sz w:val="20"/>
          <w:szCs w:val="20"/>
        </w:rPr>
        <w:t xml:space="preserve"> encapsulates </w:t>
      </w:r>
      <w:proofErr w:type="spellStart"/>
      <w:r w:rsidRPr="006B7673">
        <w:rPr>
          <w:color w:val="000000"/>
          <w:sz w:val="20"/>
          <w:szCs w:val="20"/>
        </w:rPr>
        <w:t>rocuronium</w:t>
      </w:r>
      <w:proofErr w:type="spellEnd"/>
      <w:r w:rsidRPr="006B7673">
        <w:rPr>
          <w:color w:val="000000"/>
          <w:sz w:val="20"/>
          <w:szCs w:val="20"/>
        </w:rPr>
        <w:t xml:space="preserve"> in a 1:1 ratio decreasing its plasma concentration to zero</w:t>
      </w:r>
      <w:r w:rsidRPr="006B7673">
        <w:rPr>
          <w:b/>
          <w:bCs/>
          <w:color w:val="000000"/>
          <w:sz w:val="20"/>
          <w:szCs w:val="20"/>
        </w:rPr>
        <w:t xml:space="preserve"> (</w:t>
      </w:r>
      <w:r w:rsidR="001E06DA" w:rsidRPr="006B7673">
        <w:rPr>
          <w:b/>
          <w:bCs/>
          <w:sz w:val="20"/>
          <w:szCs w:val="20"/>
        </w:rPr>
        <w:t>9</w:t>
      </w:r>
      <w:r w:rsidRPr="006B7673">
        <w:rPr>
          <w:b/>
          <w:bCs/>
          <w:color w:val="000000"/>
          <w:sz w:val="20"/>
          <w:szCs w:val="20"/>
        </w:rPr>
        <w:t>).</w:t>
      </w:r>
      <w:r w:rsidRPr="006B7673">
        <w:rPr>
          <w:rStyle w:val="endnotenumber"/>
          <w:b/>
          <w:bCs/>
          <w:sz w:val="20"/>
          <w:szCs w:val="20"/>
          <w:vertAlign w:val="superscript"/>
        </w:rPr>
        <w:t xml:space="preserve"> </w:t>
      </w:r>
      <w:proofErr w:type="spellStart"/>
      <w:r w:rsidRPr="006B7673">
        <w:rPr>
          <w:color w:val="000000"/>
          <w:sz w:val="20"/>
          <w:szCs w:val="20"/>
        </w:rPr>
        <w:lastRenderedPageBreak/>
        <w:t>Sugammadex</w:t>
      </w:r>
      <w:proofErr w:type="spellEnd"/>
      <w:r w:rsidRPr="006B7673">
        <w:rPr>
          <w:color w:val="000000"/>
          <w:sz w:val="20"/>
          <w:szCs w:val="20"/>
        </w:rPr>
        <w:t xml:space="preserve"> quickly inactivated </w:t>
      </w:r>
      <w:proofErr w:type="spellStart"/>
      <w:r w:rsidRPr="006B7673">
        <w:rPr>
          <w:color w:val="000000"/>
          <w:sz w:val="20"/>
          <w:szCs w:val="20"/>
        </w:rPr>
        <w:t>rocuronium</w:t>
      </w:r>
      <w:proofErr w:type="spellEnd"/>
      <w:r w:rsidRPr="006B7673">
        <w:rPr>
          <w:color w:val="000000"/>
          <w:sz w:val="20"/>
          <w:szCs w:val="20"/>
        </w:rPr>
        <w:t xml:space="preserve"> by encapsulation, reversing its neuromuscular blocking effects. In 2005, the first expo</w:t>
      </w:r>
      <w:r w:rsidRPr="006B7673">
        <w:rPr>
          <w:color w:val="000000"/>
          <w:sz w:val="20"/>
          <w:szCs w:val="20"/>
        </w:rPr>
        <w:softHyphen/>
        <w:t xml:space="preserve">sure of </w:t>
      </w:r>
      <w:proofErr w:type="spellStart"/>
      <w:r w:rsidRPr="006B7673">
        <w:rPr>
          <w:color w:val="000000"/>
          <w:sz w:val="20"/>
          <w:szCs w:val="20"/>
        </w:rPr>
        <w:t>sugammadex</w:t>
      </w:r>
      <w:proofErr w:type="spellEnd"/>
      <w:r w:rsidRPr="006B7673">
        <w:rPr>
          <w:color w:val="000000"/>
          <w:sz w:val="20"/>
          <w:szCs w:val="20"/>
        </w:rPr>
        <w:t xml:space="preserve"> to human volunteers was reported to be safe and effective</w:t>
      </w:r>
      <w:r w:rsidRPr="006B7673">
        <w:rPr>
          <w:b/>
          <w:bCs/>
          <w:color w:val="000000"/>
          <w:sz w:val="20"/>
          <w:szCs w:val="20"/>
        </w:rPr>
        <w:t xml:space="preserve"> (</w:t>
      </w:r>
      <w:r w:rsidR="001E06DA" w:rsidRPr="006B7673">
        <w:rPr>
          <w:b/>
          <w:bCs/>
          <w:sz w:val="20"/>
          <w:szCs w:val="20"/>
        </w:rPr>
        <w:t>10</w:t>
      </w:r>
      <w:r w:rsidRPr="006B7673">
        <w:rPr>
          <w:b/>
          <w:bCs/>
          <w:color w:val="000000"/>
          <w:sz w:val="20"/>
          <w:szCs w:val="20"/>
        </w:rPr>
        <w:t>)</w:t>
      </w:r>
      <w:r w:rsidR="00974DD0" w:rsidRPr="006B7673">
        <w:rPr>
          <w:color w:val="000000"/>
          <w:sz w:val="20"/>
          <w:szCs w:val="20"/>
        </w:rPr>
        <w:t>.</w:t>
      </w:r>
    </w:p>
    <w:p w:rsidR="00913EC4" w:rsidRPr="006B7673" w:rsidRDefault="00913EC4" w:rsidP="006B7673">
      <w:pPr>
        <w:pStyle w:val="NormalWeb"/>
        <w:snapToGrid w:val="0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74DD0" w:rsidRPr="006B7673" w:rsidRDefault="000740C8" w:rsidP="006B7673">
      <w:pPr>
        <w:pStyle w:val="NormalWeb"/>
        <w:snapToGrid w:val="0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6B7673">
        <w:rPr>
          <w:b/>
          <w:bCs/>
          <w:color w:val="000000"/>
          <w:sz w:val="20"/>
          <w:szCs w:val="20"/>
        </w:rPr>
        <w:t xml:space="preserve">2. </w:t>
      </w:r>
      <w:r w:rsidR="00974DD0" w:rsidRPr="006B7673">
        <w:rPr>
          <w:b/>
          <w:bCs/>
          <w:color w:val="000000"/>
          <w:sz w:val="20"/>
          <w:szCs w:val="20"/>
        </w:rPr>
        <w:t>Patients and Methods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research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protocol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approved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scientific committee of anesthesia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department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D6C26"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then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patients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enrollment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started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aft</w:t>
      </w:r>
      <w:r w:rsidR="00BD6C26" w:rsidRPr="006B7673">
        <w:rPr>
          <w:rFonts w:ascii="Times New Roman" w:hAnsi="Times New Roman" w:cs="Times New Roman"/>
          <w:sz w:val="20"/>
          <w:szCs w:val="20"/>
        </w:rPr>
        <w:t>er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BD6C26"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BD6C26" w:rsidRPr="006B7673">
        <w:rPr>
          <w:rFonts w:ascii="Times New Roman" w:hAnsi="Times New Roman" w:cs="Times New Roman"/>
          <w:sz w:val="20"/>
          <w:szCs w:val="20"/>
        </w:rPr>
        <w:t>study protocol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BD6C26" w:rsidRPr="006B7673">
        <w:rPr>
          <w:rFonts w:ascii="Times New Roman" w:hAnsi="Times New Roman" w:cs="Times New Roman"/>
          <w:sz w:val="20"/>
          <w:szCs w:val="20"/>
        </w:rPr>
        <w:t>approved</w:t>
      </w:r>
      <w:r w:rsidRPr="006B7673">
        <w:rPr>
          <w:rFonts w:ascii="Times New Roman" w:hAnsi="Times New Roman" w:cs="Times New Roman"/>
          <w:sz w:val="20"/>
          <w:szCs w:val="20"/>
        </w:rPr>
        <w:t xml:space="preserve"> by 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local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Ethics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Research Committee </w:t>
      </w:r>
      <w:r w:rsidR="00BD6C26" w:rsidRPr="006B7673">
        <w:rPr>
          <w:rFonts w:ascii="Times New Roman" w:hAnsi="Times New Roman" w:cs="Times New Roman"/>
          <w:sz w:val="20"/>
          <w:szCs w:val="20"/>
        </w:rPr>
        <w:t>of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BD6C26" w:rsidRPr="006B7673">
        <w:rPr>
          <w:rFonts w:ascii="Times New Roman" w:hAnsi="Times New Roman" w:cs="Times New Roman"/>
          <w:sz w:val="20"/>
          <w:szCs w:val="20"/>
        </w:rPr>
        <w:t xml:space="preserve">the </w:t>
      </w:r>
      <w:r w:rsidRPr="006B7673">
        <w:rPr>
          <w:rFonts w:ascii="Times New Roman" w:hAnsi="Times New Roman" w:cs="Times New Roman"/>
          <w:sz w:val="20"/>
          <w:szCs w:val="20"/>
        </w:rPr>
        <w:t xml:space="preserve">Departments </w:t>
      </w:r>
      <w:r w:rsidR="00BD6C26" w:rsidRPr="006B7673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BD6C26" w:rsidRPr="006B7673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="00BD6C26" w:rsidRPr="006B7673">
        <w:rPr>
          <w:rFonts w:ascii="Times New Roman" w:hAnsi="Times New Roman" w:cs="Times New Roman"/>
          <w:sz w:val="20"/>
          <w:szCs w:val="20"/>
        </w:rPr>
        <w:t xml:space="preserve">, ICU and </w:t>
      </w:r>
      <w:r w:rsidRPr="006B7673">
        <w:rPr>
          <w:rFonts w:ascii="Times New Roman" w:hAnsi="Times New Roman" w:cs="Times New Roman"/>
          <w:sz w:val="20"/>
          <w:szCs w:val="20"/>
        </w:rPr>
        <w:t>Pain Management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Benha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faculty of medicine</w:t>
      </w:r>
      <w:r w:rsidR="00BD6C26" w:rsidRPr="006B76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D6C26" w:rsidRPr="006B7673">
        <w:rPr>
          <w:rFonts w:ascii="Times New Roman" w:hAnsi="Times New Roman" w:cs="Times New Roman"/>
          <w:sz w:val="20"/>
          <w:szCs w:val="20"/>
        </w:rPr>
        <w:t>Benha</w:t>
      </w:r>
      <w:proofErr w:type="spellEnd"/>
      <w:r w:rsidR="00BD6C26" w:rsidRPr="006B7673">
        <w:rPr>
          <w:rFonts w:ascii="Times New Roman" w:hAnsi="Times New Roman" w:cs="Times New Roman"/>
          <w:sz w:val="20"/>
          <w:szCs w:val="20"/>
        </w:rPr>
        <w:t xml:space="preserve"> University</w:t>
      </w:r>
      <w:r w:rsidRPr="006B7673">
        <w:rPr>
          <w:rFonts w:ascii="Times New Roman" w:hAnsi="Times New Roman" w:cs="Times New Roman"/>
          <w:sz w:val="20"/>
          <w:szCs w:val="20"/>
        </w:rPr>
        <w:t>.</w:t>
      </w:r>
    </w:p>
    <w:p w:rsidR="00974DD0" w:rsidRPr="006B7673" w:rsidRDefault="001F027A" w:rsidP="006B7673">
      <w:pPr>
        <w:widowControl w:val="0"/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sz w:val="20"/>
          <w:szCs w:val="20"/>
        </w:rPr>
        <w:t>Patients eligible for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inclusion were aged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20 – 40 years with American Society of Anesthesiologists physical status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I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II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scheduled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to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undergo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short</w:t>
      </w:r>
      <w:r w:rsidR="00A22F23" w:rsidRPr="006B7673">
        <w:rPr>
          <w:rFonts w:ascii="Times New Roman" w:hAnsi="Times New Roman" w:cs="Times New Roman"/>
          <w:sz w:val="20"/>
          <w:szCs w:val="20"/>
        </w:rPr>
        <w:t xml:space="preserve"> elective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surgery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less than 15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minutes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duration under general anesthesia and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974DD0" w:rsidRPr="006B7673">
        <w:rPr>
          <w:rFonts w:ascii="Times New Roman" w:hAnsi="Times New Roman" w:cs="Times New Roman"/>
          <w:sz w:val="20"/>
          <w:szCs w:val="20"/>
        </w:rPr>
        <w:t xml:space="preserve"> bromide 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muscle relaxati</w:t>
      </w:r>
      <w:r w:rsidR="00A22F23" w:rsidRPr="006B7673">
        <w:rPr>
          <w:rFonts w:ascii="Times New Roman" w:hAnsi="Times New Roman" w:cs="Times New Roman"/>
          <w:sz w:val="20"/>
          <w:szCs w:val="20"/>
        </w:rPr>
        <w:t>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A22F23" w:rsidRPr="006B7673">
        <w:rPr>
          <w:rFonts w:ascii="Times New Roman" w:hAnsi="Times New Roman" w:cs="Times New Roman"/>
          <w:sz w:val="20"/>
          <w:szCs w:val="20"/>
        </w:rPr>
        <w:t>for intubation</w:t>
      </w:r>
      <w:r w:rsidR="00974DD0" w:rsidRPr="006B7673">
        <w:rPr>
          <w:rFonts w:ascii="Times New Roman" w:hAnsi="Times New Roman" w:cs="Times New Roman"/>
          <w:sz w:val="20"/>
          <w:szCs w:val="20"/>
        </w:rPr>
        <w:t>, these surgery include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A22F2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piles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ana</w:t>
      </w:r>
      <w:r w:rsidR="00A22F2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 fissure, anal fistulae </w:t>
      </w:r>
      <w:proofErr w:type="spellStart"/>
      <w:r w:rsidR="00A22F2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lipoma</w:t>
      </w:r>
      <w:proofErr w:type="spellEnd"/>
      <w:r w:rsidR="00A22F2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excision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 dilatation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or curettage of uterine contents.</w:t>
      </w:r>
    </w:p>
    <w:p w:rsidR="00974DD0" w:rsidRPr="006B7673" w:rsidRDefault="00974DD0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Exclusion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criteria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included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known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suspec</w:t>
      </w:r>
      <w:r w:rsidR="006E0CE3" w:rsidRPr="006B7673">
        <w:rPr>
          <w:rFonts w:ascii="Times New Roman" w:hAnsi="Times New Roman" w:cs="Times New Roman"/>
          <w:sz w:val="20"/>
          <w:szCs w:val="20"/>
        </w:rPr>
        <w:t>ted neuromuscular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6E0CE3" w:rsidRPr="006B7673">
        <w:rPr>
          <w:rFonts w:ascii="Times New Roman" w:hAnsi="Times New Roman" w:cs="Times New Roman"/>
          <w:sz w:val="20"/>
          <w:szCs w:val="20"/>
        </w:rPr>
        <w:t>disorders</w:t>
      </w:r>
      <w:r w:rsidRPr="006B7673">
        <w:rPr>
          <w:rFonts w:ascii="Times New Roman" w:hAnsi="Times New Roman" w:cs="Times New Roman"/>
          <w:sz w:val="20"/>
          <w:szCs w:val="20"/>
        </w:rPr>
        <w:t>, hepatic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renal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dysfunction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B7673">
        <w:rPr>
          <w:rFonts w:ascii="Times New Roman" w:hAnsi="Times New Roman" w:cs="Times New Roman"/>
          <w:sz w:val="20"/>
          <w:szCs w:val="20"/>
        </w:rPr>
        <w:t>anatomical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malformations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expected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to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result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in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 difficult intubation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Mallampati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score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 and 4) deviation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from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average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body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mass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index (BMI)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E0CE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≥25%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pregnancy</w:t>
      </w:r>
      <w:r w:rsidR="006E0CE3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administration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type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medication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known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to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interfere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DF54FA" w:rsidRPr="006B7673">
        <w:rPr>
          <w:rFonts w:ascii="Times New Roman" w:hAnsi="Times New Roman" w:cs="Times New Roman"/>
          <w:sz w:val="20"/>
          <w:szCs w:val="20"/>
        </w:rPr>
        <w:t>with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NMBAs </w:t>
      </w:r>
      <w:r w:rsidRPr="006B7673">
        <w:rPr>
          <w:rFonts w:ascii="Times New Roman" w:hAnsi="Times New Roman" w:cs="Times New Roman"/>
          <w:sz w:val="20"/>
          <w:szCs w:val="20"/>
        </w:rPr>
        <w:t>(</w:t>
      </w:r>
      <w:r w:rsidR="00DF54FA" w:rsidRPr="006B7673">
        <w:rPr>
          <w:rFonts w:ascii="Times New Roman" w:hAnsi="Times New Roman" w:cs="Times New Roman"/>
          <w:sz w:val="20"/>
          <w:szCs w:val="20"/>
        </w:rPr>
        <w:t>anticonvulsants,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54FA" w:rsidRPr="006B7673">
        <w:rPr>
          <w:rFonts w:ascii="Times New Roman" w:hAnsi="Times New Roman" w:cs="Times New Roman"/>
          <w:sz w:val="20"/>
          <w:szCs w:val="20"/>
        </w:rPr>
        <w:t>aminoglycosides</w:t>
      </w:r>
      <w:proofErr w:type="spellEnd"/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and magnesium-containing medications)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E16C9" w:rsidRPr="006B7673">
        <w:rPr>
          <w:rFonts w:ascii="Times New Roman" w:hAnsi="Times New Roman" w:cs="Times New Roman"/>
          <w:sz w:val="20"/>
          <w:szCs w:val="20"/>
        </w:rPr>
        <w:t>k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nown or </w:t>
      </w:r>
      <w:r w:rsidRPr="006B7673">
        <w:rPr>
          <w:rFonts w:ascii="Times New Roman" w:hAnsi="Times New Roman" w:cs="Times New Roman"/>
          <w:sz w:val="20"/>
          <w:szCs w:val="20"/>
        </w:rPr>
        <w:t>suspected p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ersonal or </w:t>
      </w:r>
      <w:r w:rsidRPr="006B7673">
        <w:rPr>
          <w:rFonts w:ascii="Times New Roman" w:hAnsi="Times New Roman" w:cs="Times New Roman"/>
          <w:sz w:val="20"/>
          <w:szCs w:val="20"/>
        </w:rPr>
        <w:t xml:space="preserve">family history of </w:t>
      </w:r>
      <w:r w:rsidR="00DF54FA" w:rsidRPr="006B7673">
        <w:rPr>
          <w:rFonts w:ascii="Times New Roman" w:hAnsi="Times New Roman" w:cs="Times New Roman"/>
          <w:sz w:val="20"/>
          <w:szCs w:val="20"/>
        </w:rPr>
        <w:t>malignant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DF54FA" w:rsidRPr="006B7673">
        <w:rPr>
          <w:rFonts w:ascii="Times New Roman" w:hAnsi="Times New Roman" w:cs="Times New Roman"/>
          <w:sz w:val="20"/>
          <w:szCs w:val="20"/>
        </w:rPr>
        <w:t>hyperthermia, known or</w:t>
      </w:r>
      <w:r w:rsidRPr="006B7673">
        <w:rPr>
          <w:rFonts w:ascii="Times New Roman" w:hAnsi="Times New Roman" w:cs="Times New Roman"/>
          <w:sz w:val="20"/>
          <w:szCs w:val="20"/>
        </w:rPr>
        <w:t xml:space="preserve"> suspec</w:t>
      </w:r>
      <w:r w:rsidR="00DF54FA" w:rsidRPr="006B7673">
        <w:rPr>
          <w:rFonts w:ascii="Times New Roman" w:hAnsi="Times New Roman" w:cs="Times New Roman"/>
          <w:sz w:val="20"/>
          <w:szCs w:val="20"/>
        </w:rPr>
        <w:t>ted</w:t>
      </w:r>
      <w:r w:rsidRPr="006B7673">
        <w:rPr>
          <w:rFonts w:ascii="Times New Roman" w:hAnsi="Times New Roman" w:cs="Times New Roman"/>
          <w:sz w:val="20"/>
          <w:szCs w:val="20"/>
        </w:rPr>
        <w:t xml:space="preserve"> allergy to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 narcotics</w:t>
      </w:r>
      <w:r w:rsidRPr="006B7673">
        <w:rPr>
          <w:rFonts w:ascii="Times New Roman" w:hAnsi="Times New Roman" w:cs="Times New Roman"/>
          <w:sz w:val="20"/>
          <w:szCs w:val="20"/>
        </w:rPr>
        <w:t>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muscle relaxants,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or any other medication used during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general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anesthesia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6B7673">
        <w:rPr>
          <w:rFonts w:ascii="Times New Roman" w:hAnsi="Times New Roman" w:cs="Times New Roman"/>
          <w:sz w:val="20"/>
          <w:szCs w:val="20"/>
        </w:rPr>
        <w:t xml:space="preserve">In addition, women 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of childbearing age not </w:t>
      </w:r>
      <w:r w:rsidR="000740C8" w:rsidRPr="006B7673">
        <w:rPr>
          <w:rFonts w:ascii="Times New Roman" w:hAnsi="Times New Roman" w:cs="Times New Roman"/>
          <w:sz w:val="20"/>
          <w:szCs w:val="20"/>
        </w:rPr>
        <w:t>using an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 acceptable method of birth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DF54FA" w:rsidRPr="006B7673">
        <w:rPr>
          <w:rFonts w:ascii="Times New Roman" w:hAnsi="Times New Roman" w:cs="Times New Roman"/>
          <w:sz w:val="20"/>
          <w:szCs w:val="20"/>
        </w:rPr>
        <w:t xml:space="preserve">control and those who were </w:t>
      </w:r>
      <w:r w:rsidRPr="006B7673">
        <w:rPr>
          <w:rFonts w:ascii="Times New Roman" w:hAnsi="Times New Roman" w:cs="Times New Roman"/>
          <w:sz w:val="20"/>
          <w:szCs w:val="20"/>
        </w:rPr>
        <w:t>breast feeding were not eligible for the study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74DD0" w:rsidRPr="006B7673" w:rsidRDefault="00723133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One hundred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adult patients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were included in this study </w:t>
      </w:r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after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getting written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inform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ed consent from all </w:t>
      </w:r>
      <w:r w:rsidR="003D360C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of </w:t>
      </w:r>
      <w:r w:rsidR="0073276C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them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they were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divided randomly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276C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into 5 equal groups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of </w:t>
      </w:r>
      <w:r w:rsidR="0073276C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 </w:t>
      </w:r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patients each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1- Group A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where neuromuscular blocker is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0.6 mg/kg and the reversal drug used 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a dose of 0.05 mg/kg plus atropine 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 of 0.015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time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start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after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end of surgery 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soon 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0.2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achieved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2- Group B:-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where neuromuscular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blocker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 0.6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drug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used 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time start after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end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surgery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soon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0.2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achieved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3- Group C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where neuromuscular blocker is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 of 0.6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drug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used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the reversal time start immediately after end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surgery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still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 and PTC values recorded.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4- Group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where neuromuscular blocker is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 dose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0.6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drug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used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6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reversal time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start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immediately after end of surgery 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still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 and PTC values recorded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74DD0" w:rsidRPr="006B7673" w:rsidRDefault="00974DD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5- Group E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where neuromuscular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blocker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1.2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drug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used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12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time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start immediately after end of surgery 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still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 and PTC values recorded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974DD0" w:rsidRPr="006B7673" w:rsidRDefault="00974DD0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On arrival</w:t>
      </w:r>
      <w:r w:rsidR="003D360C" w:rsidRPr="006B7673">
        <w:rPr>
          <w:rFonts w:ascii="Times New Roman" w:hAnsi="Times New Roman" w:cs="Times New Roman"/>
          <w:sz w:val="20"/>
          <w:szCs w:val="20"/>
        </w:rPr>
        <w:t xml:space="preserve"> in the operating room</w:t>
      </w:r>
      <w:r w:rsidRPr="006B7673">
        <w:rPr>
          <w:rFonts w:ascii="Times New Roman" w:hAnsi="Times New Roman" w:cs="Times New Roman"/>
          <w:sz w:val="20"/>
          <w:szCs w:val="20"/>
        </w:rPr>
        <w:t>, routine monitors were applied for recording heart rate (HR)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mean arterial blood pressure (MAP)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and oxygen saturation values. The TOF-Watch SX (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Organon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Ltd., Dublin, Ireland) is turned on and the </w:t>
      </w:r>
      <w:r w:rsidR="000740C8" w:rsidRPr="006B7673">
        <w:rPr>
          <w:rFonts w:ascii="Times New Roman" w:hAnsi="Times New Roman" w:cs="Times New Roman"/>
          <w:sz w:val="20"/>
          <w:szCs w:val="20"/>
        </w:rPr>
        <w:t>connection with laptop</w:t>
      </w:r>
      <w:r w:rsidRPr="006B7673">
        <w:rPr>
          <w:rFonts w:ascii="Times New Roman" w:hAnsi="Times New Roman" w:cs="Times New Roman"/>
          <w:sz w:val="20"/>
          <w:szCs w:val="20"/>
        </w:rPr>
        <w:t xml:space="preserve"> via its specific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interphase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is carried out and then registration </w:t>
      </w:r>
      <w:r w:rsidR="000740C8" w:rsidRPr="006B7673">
        <w:rPr>
          <w:rFonts w:ascii="Times New Roman" w:hAnsi="Times New Roman" w:cs="Times New Roman"/>
          <w:sz w:val="20"/>
          <w:szCs w:val="20"/>
        </w:rPr>
        <w:t>of patient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personal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>data and</w:t>
      </w:r>
      <w:r w:rsidR="002713B9" w:rsidRPr="006B7673">
        <w:rPr>
          <w:rFonts w:ascii="Times New Roman" w:hAnsi="Times New Roman" w:cs="Times New Roman"/>
          <w:sz w:val="20"/>
          <w:szCs w:val="20"/>
        </w:rPr>
        <w:t xml:space="preserve"> the vital </w:t>
      </w:r>
      <w:r w:rsidR="000740C8" w:rsidRPr="006B7673">
        <w:rPr>
          <w:rFonts w:ascii="Times New Roman" w:hAnsi="Times New Roman" w:cs="Times New Roman"/>
          <w:sz w:val="20"/>
          <w:szCs w:val="20"/>
        </w:rPr>
        <w:t>signs measurements</w:t>
      </w:r>
      <w:r w:rsidRPr="006B7673">
        <w:rPr>
          <w:rFonts w:ascii="Times New Roman" w:hAnsi="Times New Roman" w:cs="Times New Roman"/>
          <w:sz w:val="20"/>
          <w:szCs w:val="20"/>
        </w:rPr>
        <w:t xml:space="preserve"> were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recorded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too.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Surface electrodes </w:t>
      </w:r>
      <w:r w:rsidRPr="006B7673">
        <w:rPr>
          <w:rFonts w:ascii="Times New Roman" w:hAnsi="Times New Roman" w:cs="Times New Roman"/>
          <w:sz w:val="20"/>
          <w:szCs w:val="20"/>
        </w:rPr>
        <w:t>(Red Do</w:t>
      </w:r>
      <w:r w:rsidR="001E16C9" w:rsidRPr="006B7673">
        <w:rPr>
          <w:rFonts w:ascii="Times New Roman" w:hAnsi="Times New Roman" w:cs="Times New Roman"/>
          <w:sz w:val="20"/>
          <w:szCs w:val="20"/>
        </w:rPr>
        <w:t>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eastAsia="GandhariUnicode-Roman" w:hAnsi="Times New Roman" w:cs="Times New Roman"/>
          <w:sz w:val="20"/>
          <w:szCs w:val="20"/>
        </w:rPr>
        <w:t>R</w:t>
      </w:r>
      <w:r w:rsidRPr="006B7673">
        <w:rPr>
          <w:rFonts w:ascii="Times New Roman" w:hAnsi="Times New Roman" w:cs="Times New Roman"/>
          <w:sz w:val="20"/>
          <w:szCs w:val="20"/>
        </w:rPr>
        <w:t xml:space="preserve">3M Health Care, Neuss, Germany)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were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placed on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cleaned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skin over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ulnar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nerve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 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wrist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one inch apart with the black positive electrode distally 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 white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negative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electrode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proximally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 acceleration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transducer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 TOF Wa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tch SX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Organon</w:t>
      </w:r>
      <w:proofErr w:type="spellEnd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fixed to the </w:t>
      </w:r>
      <w:proofErr w:type="spellStart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volar</w:t>
      </w:r>
      <w:proofErr w:type="spellEnd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side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distal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phalanx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respective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thumb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C6DB6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on a small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elastic hand adapter</w:t>
      </w:r>
      <w:r w:rsidR="004C6DB6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(TOF Watch SX Hand adapter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Organon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current was manually set at 40 </w:t>
      </w:r>
      <w:proofErr w:type="spellStart"/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mA</w:t>
      </w:r>
      <w:proofErr w:type="spellEnd"/>
      <w:r w:rsidR="000740C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>and</w:t>
      </w:r>
      <w:r w:rsidRPr="006B7673">
        <w:rPr>
          <w:rFonts w:ascii="Times New Roman" w:hAnsi="Times New Roman" w:cs="Times New Roman"/>
          <w:sz w:val="20"/>
          <w:szCs w:val="20"/>
        </w:rPr>
        <w:t xml:space="preserve"> TOF stimulation at the predetermined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supramaximal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threshold (at a pulse width of 0.2 ms 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 Hz frequency). The monitored arm was immobilized on an arm board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 temperature sensor, fixed at the palm of the hand ensured that the skin temperature of the monitored arm was maintained at greater than 35°C.</w:t>
      </w:r>
    </w:p>
    <w:p w:rsidR="00974DD0" w:rsidRPr="006B7673" w:rsidRDefault="00974DD0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Data were registered and transferred in real-time via an interface (</w:t>
      </w:r>
      <w:r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TOF-Watch</w:t>
      </w:r>
      <w:r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®</w:t>
      </w:r>
      <w:r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-SX </w:t>
      </w:r>
      <w:r w:rsidR="000740C8"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Monitor,</w:t>
      </w:r>
      <w:r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 version 2.5 </w:t>
      </w:r>
      <w:r w:rsidR="000740C8"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INT </w:t>
      </w:r>
      <w:proofErr w:type="spellStart"/>
      <w:r w:rsidR="000740C8" w:rsidRPr="006B7673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Organon</w:t>
      </w:r>
      <w:proofErr w:type="spellEnd"/>
      <w:r w:rsidR="000740C8" w:rsidRPr="006B7673">
        <w:rPr>
          <w:rFonts w:ascii="Times New Roman" w:hAnsi="Times New Roman" w:cs="Times New Roman"/>
          <w:sz w:val="20"/>
          <w:szCs w:val="20"/>
        </w:rPr>
        <w:t>)</w:t>
      </w:r>
      <w:r w:rsidRPr="006B7673">
        <w:rPr>
          <w:rFonts w:ascii="Times New Roman" w:hAnsi="Times New Roman" w:cs="Times New Roman"/>
          <w:sz w:val="20"/>
          <w:szCs w:val="20"/>
        </w:rPr>
        <w:t xml:space="preserve"> to a laptop computer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in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operating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room.</w:t>
      </w:r>
    </w:p>
    <w:p w:rsidR="00974DD0" w:rsidRPr="006B7673" w:rsidRDefault="000740C8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No premedication was given to any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patient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before induction</w:t>
      </w:r>
      <w:r w:rsidR="001E16C9" w:rsidRPr="006B7673">
        <w:rPr>
          <w:rFonts w:ascii="Times New Roman" w:hAnsi="Times New Roman" w:cs="Times New Roman"/>
          <w:sz w:val="20"/>
          <w:szCs w:val="20"/>
        </w:rPr>
        <w:t>.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After 3 min of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pre oxygenation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general anesthesia was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induced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by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fentanyl</w:t>
      </w:r>
      <w:proofErr w:type="spellEnd"/>
      <w:r w:rsidR="00C20C3B" w:rsidRPr="006B7673">
        <w:rPr>
          <w:rFonts w:ascii="Times New Roman" w:hAnsi="Times New Roman" w:cs="Times New Roman"/>
          <w:sz w:val="20"/>
          <w:szCs w:val="20"/>
        </w:rPr>
        <w:t xml:space="preserve"> 1µg/kg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C20C3B" w:rsidRPr="006B7673">
        <w:rPr>
          <w:rFonts w:ascii="Times New Roman" w:hAnsi="Times New Roman" w:cs="Times New Roman"/>
          <w:sz w:val="20"/>
          <w:szCs w:val="20"/>
        </w:rPr>
        <w:t>propofol</w:t>
      </w:r>
      <w:proofErr w:type="spellEnd"/>
      <w:r w:rsidR="00C20C3B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sleeping dose, as soon</w:t>
      </w:r>
      <w:r w:rsidR="00C20C3B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as verbal </w:t>
      </w:r>
      <w:r w:rsidR="00C20C3B" w:rsidRPr="006B7673">
        <w:rPr>
          <w:rFonts w:ascii="Times New Roman" w:hAnsi="Times New Roman" w:cs="Times New Roman"/>
          <w:sz w:val="20"/>
          <w:szCs w:val="20"/>
        </w:rPr>
        <w:t>communication was lost assisted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ventilation with 100%</w:t>
      </w:r>
      <w:r w:rsidR="00FF0765" w:rsidRPr="006B7673">
        <w:rPr>
          <w:rFonts w:ascii="Times New Roman" w:hAnsi="Times New Roman" w:cs="Times New Roman"/>
          <w:sz w:val="20"/>
          <w:szCs w:val="20"/>
        </w:rPr>
        <w:t xml:space="preserve"> oxygen by facemask was started</w:t>
      </w:r>
      <w:r w:rsidR="00974DD0" w:rsidRPr="006B7673">
        <w:rPr>
          <w:rFonts w:ascii="Times New Roman" w:hAnsi="Times New Roman" w:cs="Times New Roman"/>
          <w:sz w:val="20"/>
          <w:szCs w:val="20"/>
        </w:rPr>
        <w:t>. Then the TOF-Watch® SX was switched to a single train-of-four stimulation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the reading was recorded and considered as control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Immediately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after administration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the single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bolus dose of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1A1FF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Esmeron</w:t>
      </w:r>
      <w:proofErr w:type="spellEnd"/>
      <w:r w:rsidR="00974DD0" w:rsidRPr="006B7673">
        <w:rPr>
          <w:rFonts w:ascii="Times New Roman" w:hAnsi="Times New Roman" w:cs="Times New Roman"/>
          <w:sz w:val="20"/>
          <w:szCs w:val="20"/>
        </w:rPr>
        <w:t>®</w:t>
      </w:r>
      <w:r w:rsidR="001E16C9" w:rsidRPr="006B7673">
        <w:rPr>
          <w:rFonts w:ascii="Times New Roman" w:hAnsi="Times New Roman" w:cs="Times New Roman"/>
          <w:sz w:val="20"/>
          <w:szCs w:val="20"/>
        </w:rPr>
        <w:t>;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hAnsi="Times New Roman" w:cs="Times New Roman"/>
          <w:sz w:val="20"/>
          <w:szCs w:val="20"/>
        </w:rPr>
        <w:t>N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V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Organon</w:t>
      </w:r>
      <w:proofErr w:type="spellEnd"/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hAnsi="Times New Roman" w:cs="Times New Roman"/>
          <w:sz w:val="20"/>
          <w:szCs w:val="20"/>
        </w:rPr>
        <w:t>O</w:t>
      </w:r>
      <w:r w:rsidR="00974DD0" w:rsidRPr="006B7673">
        <w:rPr>
          <w:rFonts w:ascii="Times New Roman" w:hAnsi="Times New Roman" w:cs="Times New Roman"/>
          <w:sz w:val="20"/>
          <w:szCs w:val="20"/>
        </w:rPr>
        <w:t>ss, The Netherlands)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0.6 mg/kg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in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groups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B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 C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D</w:t>
      </w:r>
      <w:r w:rsidR="001E16C9" w:rsidRPr="006B7673">
        <w:rPr>
          <w:rFonts w:ascii="Times New Roman" w:hAnsi="Times New Roman" w:cs="Times New Roman"/>
          <w:sz w:val="20"/>
          <w:szCs w:val="20"/>
        </w:rPr>
        <w:t>;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while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in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groups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dose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was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1.2 mg/kg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the TOF stimulation was switched to the repetitive train-of-four stimulation </w:t>
      </w:r>
      <w:r w:rsidR="002713B9" w:rsidRPr="006B7673">
        <w:rPr>
          <w:rFonts w:ascii="Times New Roman" w:hAnsi="Times New Roman" w:cs="Times New Roman"/>
          <w:sz w:val="20"/>
          <w:szCs w:val="20"/>
        </w:rPr>
        <w:t xml:space="preserve">every </w:t>
      </w:r>
      <w:r w:rsidR="00974DD0" w:rsidRPr="006B7673">
        <w:rPr>
          <w:rFonts w:ascii="Times New Roman" w:hAnsi="Times New Roman" w:cs="Times New Roman"/>
          <w:sz w:val="20"/>
          <w:szCs w:val="20"/>
        </w:rPr>
        <w:t>15 second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until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reading </w:t>
      </w:r>
      <w:r w:rsidR="002713B9" w:rsidRPr="006B7673">
        <w:rPr>
          <w:rFonts w:ascii="Times New Roman" w:hAnsi="Times New Roman" w:cs="Times New Roman"/>
          <w:sz w:val="20"/>
          <w:szCs w:val="20"/>
        </w:rPr>
        <w:t xml:space="preserve">becomes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0.0, a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direct </w:t>
      </w:r>
      <w:proofErr w:type="spellStart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laryngoscopy</w:t>
      </w:r>
      <w:proofErr w:type="spellEnd"/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initiated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followed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713B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by tracheal </w:t>
      </w:r>
      <w:r w:rsidR="00974DD0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intubation</w:t>
      </w:r>
      <w:r w:rsidR="00974DD0" w:rsidRPr="006B7673">
        <w:rPr>
          <w:rFonts w:ascii="Times New Roman" w:hAnsi="Times New Roman" w:cs="Times New Roman"/>
          <w:sz w:val="20"/>
          <w:szCs w:val="20"/>
        </w:rPr>
        <w:t>.</w:t>
      </w:r>
    </w:p>
    <w:p w:rsidR="00974DD0" w:rsidRPr="006B7673" w:rsidRDefault="00BF5205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lastRenderedPageBreak/>
        <w:t xml:space="preserve">Anesthesia was maintained with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isoflurane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1%, </w:t>
      </w:r>
      <w:r w:rsidR="00974DD0" w:rsidRPr="006B7673">
        <w:rPr>
          <w:rFonts w:ascii="Times New Roman" w:hAnsi="Times New Roman" w:cs="Times New Roman"/>
          <w:sz w:val="20"/>
          <w:szCs w:val="20"/>
        </w:rPr>
        <w:t>ro</w:t>
      </w:r>
      <w:r w:rsidR="00493B09" w:rsidRPr="006B7673">
        <w:rPr>
          <w:rFonts w:ascii="Times New Roman" w:hAnsi="Times New Roman" w:cs="Times New Roman"/>
          <w:sz w:val="20"/>
          <w:szCs w:val="20"/>
        </w:rPr>
        <w:t>utine monitoring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493B09" w:rsidRPr="006B7673">
        <w:rPr>
          <w:rFonts w:ascii="Times New Roman" w:hAnsi="Times New Roman" w:cs="Times New Roman"/>
          <w:sz w:val="20"/>
          <w:szCs w:val="20"/>
        </w:rPr>
        <w:t>included electrocardiography</w:t>
      </w:r>
      <w:r w:rsidR="00974DD0" w:rsidRPr="006B7673">
        <w:rPr>
          <w:rFonts w:ascii="Times New Roman" w:hAnsi="Times New Roman" w:cs="Times New Roman"/>
          <w:sz w:val="20"/>
          <w:szCs w:val="20"/>
        </w:rPr>
        <w:t>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pulse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oximetry</w:t>
      </w:r>
      <w:proofErr w:type="spellEnd"/>
      <w:r w:rsidR="00974DD0" w:rsidRPr="006B7673">
        <w:rPr>
          <w:rFonts w:ascii="Times New Roman" w:hAnsi="Times New Roman" w:cs="Times New Roman"/>
          <w:sz w:val="20"/>
          <w:szCs w:val="20"/>
        </w:rPr>
        <w:t xml:space="preserve"> 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noninvas</w:t>
      </w:r>
      <w:r w:rsidR="00493B09" w:rsidRPr="006B7673">
        <w:rPr>
          <w:rFonts w:ascii="Times New Roman" w:hAnsi="Times New Roman" w:cs="Times New Roman"/>
          <w:sz w:val="20"/>
          <w:szCs w:val="20"/>
        </w:rPr>
        <w:t>ive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493B09" w:rsidRPr="006B7673">
        <w:rPr>
          <w:rFonts w:ascii="Times New Roman" w:hAnsi="Times New Roman" w:cs="Times New Roman"/>
          <w:sz w:val="20"/>
          <w:szCs w:val="20"/>
        </w:rPr>
        <w:t>blood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493B09" w:rsidRPr="006B7673">
        <w:rPr>
          <w:rFonts w:ascii="Times New Roman" w:hAnsi="Times New Roman" w:cs="Times New Roman"/>
          <w:sz w:val="20"/>
          <w:szCs w:val="20"/>
        </w:rPr>
        <w:t xml:space="preserve">pressure monitoring. Neuromuscular </w:t>
      </w:r>
      <w:r w:rsidR="00974DD0" w:rsidRPr="006B7673">
        <w:rPr>
          <w:rFonts w:ascii="Times New Roman" w:hAnsi="Times New Roman" w:cs="Times New Roman"/>
          <w:sz w:val="20"/>
          <w:szCs w:val="20"/>
        </w:rPr>
        <w:t>transmission by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acceleromyographic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response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adductor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pollicis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muscle to repetitive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train-of-four stimulation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974DD0" w:rsidRPr="006B7673">
        <w:rPr>
          <w:rFonts w:ascii="Times New Roman" w:hAnsi="Times New Roman" w:cs="Times New Roman"/>
          <w:sz w:val="20"/>
          <w:szCs w:val="20"/>
        </w:rPr>
        <w:t>ulnar</w:t>
      </w:r>
      <w:proofErr w:type="spellEnd"/>
      <w:r w:rsidR="00974DD0" w:rsidRPr="006B7673">
        <w:rPr>
          <w:rFonts w:ascii="Times New Roman" w:hAnsi="Times New Roman" w:cs="Times New Roman"/>
          <w:sz w:val="20"/>
          <w:szCs w:val="20"/>
        </w:rPr>
        <w:t xml:space="preserve"> nerve times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readings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were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also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74DD0" w:rsidRPr="006B7673">
        <w:rPr>
          <w:rFonts w:ascii="Times New Roman" w:hAnsi="Times New Roman" w:cs="Times New Roman"/>
          <w:sz w:val="20"/>
          <w:szCs w:val="20"/>
        </w:rPr>
        <w:t>recorded</w:t>
      </w:r>
      <w:r w:rsidR="00317B51" w:rsidRPr="006B7673">
        <w:rPr>
          <w:rFonts w:ascii="Times New Roman" w:hAnsi="Times New Roman" w:cs="Times New Roman"/>
          <w:sz w:val="20"/>
          <w:szCs w:val="20"/>
        </w:rPr>
        <w:t>.</w:t>
      </w:r>
    </w:p>
    <w:p w:rsidR="00317B51" w:rsidRPr="006B7673" w:rsidRDefault="00317B51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At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end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surgery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acceleromyography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was set for TOF stimulation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every 15 seconds permitting continuous measurement 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as </w:t>
      </w:r>
      <w:r w:rsidR="004F722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soon as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4F722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TOF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achieve</w:t>
      </w:r>
      <w:r w:rsidR="004F722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0.2,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reversal drug </w:t>
      </w:r>
      <w:r w:rsidR="004F722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 immediately injected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reversal drug was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a dose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0.05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plus atropine in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 dose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 0.015 mg/kg in group A, while in group B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reversal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drug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was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 mg/kg and neuromuscular monitoring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 continued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until TOF ratio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0.9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has been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achieved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all patients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of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two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groups</w:t>
      </w:r>
      <w:r w:rsidR="00DF169E" w:rsidRPr="006B767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While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other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three groups 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accelero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myography</w:t>
      </w:r>
      <w:proofErr w:type="spellEnd"/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was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set for TOF stimulation every 15 second permitting continuous measurement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 the acceleration of the thumb and at the end of surgery while the TOF is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still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inj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ection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of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 dose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3 mg/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kg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6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12 mg/kg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for patients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group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C, D,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respec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tively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the monitoring was continued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until a TOF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ratio of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0.9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has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been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achieved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all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of the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F169E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three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groups</w:t>
      </w:r>
      <w:r w:rsidRPr="006B7673">
        <w:rPr>
          <w:rFonts w:ascii="Times New Roman" w:hAnsi="Times New Roman" w:cs="Times New Roman"/>
          <w:sz w:val="20"/>
          <w:szCs w:val="20"/>
        </w:rPr>
        <w:t>.</w:t>
      </w:r>
    </w:p>
    <w:p w:rsidR="00317B51" w:rsidRPr="006B7673" w:rsidRDefault="00317B51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Noninvasive mean arterial pressure (</w:t>
      </w:r>
      <w:r w:rsidR="00D67283" w:rsidRPr="006B7673">
        <w:rPr>
          <w:rFonts w:ascii="Times New Roman" w:hAnsi="Times New Roman" w:cs="Times New Roman"/>
          <w:sz w:val="20"/>
          <w:szCs w:val="20"/>
        </w:rPr>
        <w:t>MAP</w:t>
      </w:r>
      <w:r w:rsidRPr="006B7673">
        <w:rPr>
          <w:rFonts w:ascii="Times New Roman" w:hAnsi="Times New Roman" w:cs="Times New Roman"/>
          <w:sz w:val="20"/>
          <w:szCs w:val="20"/>
        </w:rPr>
        <w:t>)</w:t>
      </w:r>
      <w:r w:rsidR="00D67283" w:rsidRPr="006B7673">
        <w:rPr>
          <w:rFonts w:ascii="Times New Roman" w:hAnsi="Times New Roman" w:cs="Times New Roman"/>
          <w:sz w:val="20"/>
          <w:szCs w:val="20"/>
        </w:rPr>
        <w:t xml:space="preserve"> and </w:t>
      </w:r>
      <w:r w:rsidRPr="006B7673">
        <w:rPr>
          <w:rFonts w:ascii="Times New Roman" w:hAnsi="Times New Roman" w:cs="Times New Roman"/>
          <w:sz w:val="20"/>
          <w:szCs w:val="20"/>
        </w:rPr>
        <w:t>heart rate (HR</w:t>
      </w:r>
      <w:r w:rsidR="000740C8" w:rsidRPr="006B7673">
        <w:rPr>
          <w:rFonts w:ascii="Times New Roman" w:hAnsi="Times New Roman" w:cs="Times New Roman"/>
          <w:sz w:val="20"/>
          <w:szCs w:val="20"/>
        </w:rPr>
        <w:t>) measurements</w:t>
      </w:r>
      <w:r w:rsidR="00D67283" w:rsidRPr="006B7673">
        <w:rPr>
          <w:rFonts w:ascii="Times New Roman" w:hAnsi="Times New Roman" w:cs="Times New Roman"/>
          <w:sz w:val="20"/>
          <w:szCs w:val="20"/>
        </w:rPr>
        <w:t xml:space="preserve"> were obtained</w:t>
      </w:r>
      <w:r w:rsidRPr="006B7673">
        <w:rPr>
          <w:rFonts w:ascii="Times New Roman" w:hAnsi="Times New Roman" w:cs="Times New Roman"/>
          <w:sz w:val="20"/>
          <w:szCs w:val="20"/>
        </w:rPr>
        <w:t xml:space="preserve"> immediately before and after </w:t>
      </w:r>
      <w:r w:rsidR="00D67283" w:rsidRPr="006B7673">
        <w:rPr>
          <w:rFonts w:ascii="Times New Roman" w:hAnsi="Times New Roman" w:cs="Times New Roman"/>
          <w:sz w:val="20"/>
          <w:szCs w:val="20"/>
        </w:rPr>
        <w:t xml:space="preserve">administration of the reversal drugs </w:t>
      </w:r>
      <w:r w:rsidRPr="006B7673">
        <w:rPr>
          <w:rFonts w:ascii="Times New Roman" w:hAnsi="Times New Roman" w:cs="Times New Roman"/>
          <w:sz w:val="20"/>
          <w:szCs w:val="20"/>
        </w:rPr>
        <w:t>an</w:t>
      </w:r>
      <w:r w:rsidR="00D67283" w:rsidRPr="006B7673">
        <w:rPr>
          <w:rFonts w:ascii="Times New Roman" w:hAnsi="Times New Roman" w:cs="Times New Roman"/>
          <w:sz w:val="20"/>
          <w:szCs w:val="20"/>
        </w:rPr>
        <w:t>d subsequently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>at 2,</w:t>
      </w:r>
      <w:r w:rsidR="00D67283" w:rsidRPr="006B7673">
        <w:rPr>
          <w:rFonts w:ascii="Times New Roman" w:hAnsi="Times New Roman" w:cs="Times New Roman"/>
          <w:sz w:val="20"/>
          <w:szCs w:val="20"/>
        </w:rPr>
        <w:t xml:space="preserve"> 5, </w:t>
      </w:r>
      <w:r w:rsidR="000740C8" w:rsidRPr="006B7673">
        <w:rPr>
          <w:rFonts w:ascii="Times New Roman" w:hAnsi="Times New Roman" w:cs="Times New Roman"/>
          <w:sz w:val="20"/>
          <w:szCs w:val="20"/>
        </w:rPr>
        <w:t>10,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>20 and 30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D67283" w:rsidRPr="006B7673">
        <w:rPr>
          <w:rFonts w:ascii="Times New Roman" w:hAnsi="Times New Roman" w:cs="Times New Roman"/>
          <w:sz w:val="20"/>
          <w:szCs w:val="20"/>
        </w:rPr>
        <w:t>minutes</w:t>
      </w:r>
      <w:r w:rsidRPr="006B7673">
        <w:rPr>
          <w:rFonts w:ascii="Times New Roman" w:hAnsi="Times New Roman" w:cs="Times New Roman"/>
          <w:sz w:val="20"/>
          <w:szCs w:val="20"/>
        </w:rPr>
        <w:t>.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In </w:t>
      </w:r>
      <w:r w:rsidR="000740C8" w:rsidRPr="006B7673">
        <w:rPr>
          <w:rFonts w:ascii="Times New Roman" w:hAnsi="Times New Roman" w:cs="Times New Roman"/>
          <w:sz w:val="20"/>
          <w:szCs w:val="20"/>
        </w:rPr>
        <w:t>addition,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after recovery of the T4/T1 ratio to 0.9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oxygen saturation, respiratory frequency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and clinical evidence of residual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curarization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were monitored for 30 min</w:t>
      </w:r>
      <w:r w:rsidR="003D360C" w:rsidRPr="006B7673">
        <w:rPr>
          <w:rFonts w:ascii="Times New Roman" w:hAnsi="Times New Roman" w:cs="Times New Roman"/>
          <w:sz w:val="20"/>
          <w:szCs w:val="20"/>
        </w:rPr>
        <w:t>utes.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83237" w:rsidRPr="006B7673">
        <w:rPr>
          <w:rFonts w:ascii="Times New Roman" w:hAnsi="Times New Roman" w:cs="Times New Roman"/>
          <w:sz w:val="20"/>
          <w:szCs w:val="20"/>
        </w:rPr>
        <w:t>S</w:t>
      </w:r>
      <w:r w:rsidRPr="006B7673">
        <w:rPr>
          <w:rFonts w:ascii="Times New Roman" w:hAnsi="Times New Roman" w:cs="Times New Roman"/>
          <w:sz w:val="20"/>
          <w:szCs w:val="20"/>
        </w:rPr>
        <w:t>ide effects</w:t>
      </w:r>
      <w:r w:rsidR="00D83237" w:rsidRPr="006B7673">
        <w:rPr>
          <w:rFonts w:ascii="Times New Roman" w:hAnsi="Times New Roman" w:cs="Times New Roman"/>
          <w:sz w:val="20"/>
          <w:szCs w:val="20"/>
        </w:rPr>
        <w:t xml:space="preserve"> and /</w:t>
      </w:r>
      <w:r w:rsidR="000740C8" w:rsidRPr="006B7673">
        <w:rPr>
          <w:rFonts w:ascii="Times New Roman" w:hAnsi="Times New Roman" w:cs="Times New Roman"/>
          <w:sz w:val="20"/>
          <w:szCs w:val="20"/>
        </w:rPr>
        <w:t>or clinical</w:t>
      </w:r>
      <w:r w:rsidRPr="006B7673">
        <w:rPr>
          <w:rFonts w:ascii="Times New Roman" w:hAnsi="Times New Roman" w:cs="Times New Roman"/>
          <w:sz w:val="20"/>
          <w:szCs w:val="20"/>
        </w:rPr>
        <w:t xml:space="preserve"> evidence </w:t>
      </w:r>
      <w:r w:rsidR="000740C8" w:rsidRPr="006B7673">
        <w:rPr>
          <w:rFonts w:ascii="Times New Roman" w:hAnsi="Times New Roman" w:cs="Times New Roman"/>
          <w:sz w:val="20"/>
          <w:szCs w:val="20"/>
        </w:rPr>
        <w:t>of RP</w:t>
      </w:r>
      <w:r w:rsidRPr="006B7673">
        <w:rPr>
          <w:rFonts w:ascii="Times New Roman" w:hAnsi="Times New Roman" w:cs="Times New Roman"/>
          <w:sz w:val="20"/>
          <w:szCs w:val="20"/>
        </w:rPr>
        <w:t xml:space="preserve"> or </w:t>
      </w:r>
      <w:r w:rsidR="0012007D" w:rsidRPr="006B7673">
        <w:rPr>
          <w:rFonts w:ascii="Times New Roman" w:hAnsi="Times New Roman" w:cs="Times New Roman"/>
          <w:sz w:val="20"/>
          <w:szCs w:val="20"/>
        </w:rPr>
        <w:t>reoccurrence</w:t>
      </w:r>
      <w:r w:rsidRPr="006B7673">
        <w:rPr>
          <w:rFonts w:ascii="Times New Roman" w:hAnsi="Times New Roman" w:cs="Times New Roman"/>
          <w:sz w:val="20"/>
          <w:szCs w:val="20"/>
        </w:rPr>
        <w:t xml:space="preserve"> of neuromuscular blockade for 60 minutes to be recorded.</w:t>
      </w:r>
      <w:proofErr w:type="gramEnd"/>
    </w:p>
    <w:p w:rsidR="00317B51" w:rsidRPr="006B7673" w:rsidRDefault="000740C8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673">
        <w:rPr>
          <w:rFonts w:ascii="Times New Roman" w:hAnsi="Times New Roman" w:cs="Times New Roman"/>
          <w:color w:val="000000"/>
          <w:sz w:val="20"/>
          <w:szCs w:val="20"/>
        </w:rPr>
        <w:t>Primary endpoint was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defined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as the time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from injection of reversal drug either </w:t>
      </w:r>
      <w:proofErr w:type="spellStart"/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sugammadex</w:t>
      </w:r>
      <w:proofErr w:type="spellEnd"/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proofErr w:type="spellStart"/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neostigmine</w:t>
      </w:r>
      <w:proofErr w:type="spellEnd"/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with atropine to the time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achievement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TOF ratio of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color w:val="000000"/>
          <w:sz w:val="20"/>
          <w:szCs w:val="20"/>
        </w:rPr>
        <w:t>0.9</w:t>
      </w:r>
      <w:r w:rsidR="009D465C" w:rsidRPr="006B7673">
        <w:rPr>
          <w:rFonts w:ascii="Times New Roman" w:hAnsi="Times New Roman" w:cs="Times New Roman"/>
          <w:color w:val="000000"/>
          <w:sz w:val="20"/>
          <w:szCs w:val="20"/>
        </w:rPr>
        <w:t>. Secondary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65C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endpoint was </w:t>
      </w:r>
      <w:r w:rsidR="00317B51" w:rsidRPr="006B7673">
        <w:rPr>
          <w:rFonts w:ascii="Times New Roman" w:hAnsi="Times New Roman" w:cs="Times New Roman"/>
          <w:sz w:val="20"/>
          <w:szCs w:val="20"/>
        </w:rPr>
        <w:t>recording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any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clinical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sign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muscle weakness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317B51" w:rsidRPr="006B7673">
        <w:rPr>
          <w:rFonts w:ascii="Times New Roman" w:hAnsi="Times New Roman" w:cs="Times New Roman"/>
          <w:sz w:val="20"/>
          <w:szCs w:val="20"/>
        </w:rPr>
        <w:t xml:space="preserve"> clinical evidence of residual </w:t>
      </w:r>
      <w:proofErr w:type="spellStart"/>
      <w:r w:rsidR="00317B51" w:rsidRPr="006B7673">
        <w:rPr>
          <w:rFonts w:ascii="Times New Roman" w:hAnsi="Times New Roman" w:cs="Times New Roman"/>
          <w:sz w:val="20"/>
          <w:szCs w:val="20"/>
        </w:rPr>
        <w:t>curarization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as well 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any side effects immediately after injection of reversal drug and for 30 minutes after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317B51" w:rsidRPr="006B7673">
        <w:rPr>
          <w:rFonts w:ascii="Times New Roman" w:hAnsi="Times New Roman" w:cs="Times New Roman"/>
          <w:sz w:val="20"/>
          <w:szCs w:val="20"/>
        </w:rPr>
        <w:t>injecti</w:t>
      </w:r>
      <w:r w:rsidR="002E3CF6" w:rsidRPr="006B7673">
        <w:rPr>
          <w:rFonts w:ascii="Times New Roman" w:hAnsi="Times New Roman" w:cs="Times New Roman"/>
          <w:sz w:val="20"/>
          <w:szCs w:val="20"/>
        </w:rPr>
        <w:t>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2E3CF6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2E3CF6" w:rsidRPr="006B7673">
        <w:rPr>
          <w:rFonts w:ascii="Times New Roman" w:hAnsi="Times New Roman" w:cs="Times New Roman"/>
          <w:sz w:val="20"/>
          <w:szCs w:val="20"/>
        </w:rPr>
        <w:t>the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2E3CF6" w:rsidRPr="006B7673">
        <w:rPr>
          <w:rFonts w:ascii="Times New Roman" w:hAnsi="Times New Roman" w:cs="Times New Roman"/>
          <w:sz w:val="20"/>
          <w:szCs w:val="20"/>
        </w:rPr>
        <w:t>reversal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2E3CF6" w:rsidRPr="006B7673">
        <w:rPr>
          <w:rFonts w:ascii="Times New Roman" w:hAnsi="Times New Roman" w:cs="Times New Roman"/>
          <w:sz w:val="20"/>
          <w:szCs w:val="20"/>
        </w:rPr>
        <w:t>drug</w:t>
      </w:r>
      <w:r w:rsidR="00317B51" w:rsidRPr="006B7673">
        <w:rPr>
          <w:rFonts w:ascii="Times New Roman" w:hAnsi="Times New Roman" w:cs="Times New Roman"/>
          <w:sz w:val="20"/>
          <w:szCs w:val="20"/>
        </w:rPr>
        <w:t>.</w:t>
      </w:r>
    </w:p>
    <w:p w:rsidR="00317B51" w:rsidRPr="006B7673" w:rsidRDefault="00317B51" w:rsidP="006B7673">
      <w:pPr>
        <w:widowControl w:val="0"/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Sample size and power of the study</w:t>
      </w:r>
    </w:p>
    <w:p w:rsidR="00C94289" w:rsidRPr="006B7673" w:rsidRDefault="00317B51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Our sample size was calculated to achieve a power of &gt; 0.95 at an </w:t>
      </w:r>
      <w:r w:rsidRPr="006B7673">
        <w:rPr>
          <w:rFonts w:ascii="Times New Roman" w:hAnsi="Times New Roman" w:cs="Times New Roman"/>
          <w:sz w:val="20"/>
          <w:szCs w:val="20"/>
        </w:rPr>
        <w:sym w:font="Symbol" w:char="F061"/>
      </w:r>
      <w:r w:rsidRPr="006B7673">
        <w:rPr>
          <w:rFonts w:ascii="Times New Roman" w:hAnsi="Times New Roman" w:cs="Times New Roman"/>
          <w:sz w:val="20"/>
          <w:szCs w:val="20"/>
        </w:rPr>
        <w:t xml:space="preserve"> error of 0.05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to detect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 significant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difference between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using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different doses and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antagonism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>-induced neuromuscular blockade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16 patients were required. To allow for dropouts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we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randomized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20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patients</w:t>
      </w:r>
      <w:r w:rsidR="001E16C9" w:rsidRPr="006B7673">
        <w:rPr>
          <w:rFonts w:ascii="Times New Roman" w:hAnsi="Times New Roman" w:cs="Times New Roman"/>
          <w:sz w:val="20"/>
          <w:szCs w:val="20"/>
        </w:rPr>
        <w:t>.</w:t>
      </w:r>
    </w:p>
    <w:p w:rsidR="00C94289" w:rsidRPr="006B7673" w:rsidRDefault="00C94289" w:rsidP="006B7673">
      <w:pPr>
        <w:tabs>
          <w:tab w:val="right" w:pos="900"/>
        </w:tabs>
        <w:bidi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Statistical Analysis:</w:t>
      </w:r>
    </w:p>
    <w:p w:rsidR="00C94289" w:rsidRPr="006B7673" w:rsidRDefault="00C94289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lastRenderedPageBreak/>
        <w:t>Data were described in terms of mean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(SD) and range </w:t>
      </w:r>
      <w:r w:rsidR="006750E1" w:rsidRPr="006B7673">
        <w:rPr>
          <w:rFonts w:ascii="Times New Roman" w:hAnsi="Times New Roman" w:cs="Times New Roman"/>
          <w:sz w:val="20"/>
          <w:szCs w:val="20"/>
        </w:rPr>
        <w:t xml:space="preserve">or frequencies </w:t>
      </w:r>
      <w:r w:rsidRPr="006B7673">
        <w:rPr>
          <w:rFonts w:ascii="Times New Roman" w:hAnsi="Times New Roman" w:cs="Times New Roman"/>
          <w:sz w:val="20"/>
          <w:szCs w:val="20"/>
        </w:rPr>
        <w:t>and percentages</w:t>
      </w:r>
      <w:r w:rsidR="006750E1" w:rsidRPr="006B7673">
        <w:rPr>
          <w:rFonts w:ascii="Times New Roman" w:hAnsi="Times New Roman" w:cs="Times New Roman"/>
          <w:sz w:val="20"/>
          <w:szCs w:val="20"/>
        </w:rPr>
        <w:t>, as appropriate.</w:t>
      </w:r>
      <w:r w:rsidR="00057B32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Comparison of continuous variables was done using one way analysi</w:t>
      </w:r>
      <w:r w:rsidR="006750E1" w:rsidRPr="006B7673">
        <w:rPr>
          <w:rFonts w:ascii="Times New Roman" w:hAnsi="Times New Roman" w:cs="Times New Roman"/>
          <w:sz w:val="20"/>
          <w:szCs w:val="20"/>
        </w:rPr>
        <w:t xml:space="preserve">s of variance (ANOVA) test with post-hoc multiple </w:t>
      </w:r>
      <w:r w:rsidRPr="006B7673">
        <w:rPr>
          <w:rFonts w:ascii="Times New Roman" w:hAnsi="Times New Roman" w:cs="Times New Roman"/>
          <w:sz w:val="20"/>
          <w:szCs w:val="20"/>
        </w:rPr>
        <w:t xml:space="preserve">5-group comparisons. Within group comparison of numerical variables between baseline and postoperative values was done using paired </w:t>
      </w:r>
      <w:r w:rsidRPr="006B76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Pr="006B7673">
        <w:rPr>
          <w:rFonts w:ascii="Times New Roman" w:hAnsi="Times New Roman" w:cs="Times New Roman"/>
          <w:sz w:val="20"/>
          <w:szCs w:val="20"/>
        </w:rPr>
        <w:t xml:space="preserve"> test. Within group comparison over many time points was done using paired </w:t>
      </w:r>
      <w:r w:rsidRPr="006B76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test as post-hoc multiple comparison tests with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adjusted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6B7673">
        <w:rPr>
          <w:rFonts w:ascii="Times New Roman" w:hAnsi="Times New Roman" w:cs="Times New Roman"/>
          <w:sz w:val="20"/>
          <w:szCs w:val="20"/>
        </w:rPr>
        <w:t xml:space="preserve"> values. For comparing categorical data, Chi square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sym w:font="Symbol" w:char="F063"/>
      </w:r>
      <w:r w:rsidRPr="006B767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6B7673">
        <w:rPr>
          <w:rFonts w:ascii="Times New Roman" w:hAnsi="Times New Roman" w:cs="Times New Roman"/>
          <w:sz w:val="20"/>
          <w:szCs w:val="20"/>
        </w:rPr>
        <w:t xml:space="preserve"> test was performed.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Fisher Exact test was used instead when the expected frequency is less than 5.</w:t>
      </w:r>
      <w:r w:rsidR="006750E1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750E1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values</w:t>
      </w:r>
      <w:r w:rsidRPr="006B767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&gt;</w:t>
      </w:r>
      <w:r w:rsidRPr="006B767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0.05</w:t>
      </w:r>
      <w:r w:rsidR="006750E1"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denotes </w:t>
      </w:r>
      <w:r w:rsidRPr="006B7673">
        <w:rPr>
          <w:rFonts w:ascii="Times New Roman" w:hAnsi="Times New Roman" w:cs="Times New Roman"/>
          <w:sz w:val="20"/>
          <w:szCs w:val="20"/>
        </w:rPr>
        <w:t xml:space="preserve">statistically non significant </w:t>
      </w:r>
      <w:r w:rsidR="006750E1" w:rsidRPr="006B7673">
        <w:rPr>
          <w:rFonts w:ascii="Times New Roman" w:hAnsi="Times New Roman" w:cs="Times New Roman"/>
          <w:sz w:val="20"/>
          <w:szCs w:val="20"/>
        </w:rPr>
        <w:t>however</w:t>
      </w:r>
      <w:r w:rsidRPr="006B7673">
        <w:rPr>
          <w:rFonts w:ascii="Times New Roman" w:hAnsi="Times New Roman" w:cs="Times New Roman"/>
          <w:sz w:val="20"/>
          <w:szCs w:val="20"/>
        </w:rPr>
        <w:t>,</w:t>
      </w:r>
      <w:r w:rsidR="006750E1"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6B7673">
        <w:rPr>
          <w:rFonts w:ascii="Times New Roman" w:hAnsi="Times New Roman" w:cs="Times New Roman"/>
          <w:sz w:val="20"/>
          <w:szCs w:val="20"/>
        </w:rPr>
        <w:t xml:space="preserve"> values less than 0.05</w:t>
      </w:r>
      <w:r w:rsidR="001A1FF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>*P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&lt;</w:t>
      </w:r>
      <w:r w:rsidR="000740C8"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>0.05)</w:t>
      </w:r>
      <w:r w:rsidRPr="006B7673">
        <w:rPr>
          <w:rFonts w:ascii="Times New Roman" w:hAnsi="Times New Roman" w:cs="Times New Roman"/>
          <w:sz w:val="20"/>
          <w:szCs w:val="20"/>
        </w:rPr>
        <w:t xml:space="preserve"> was considered statistically significant and less than 0.001</w:t>
      </w:r>
      <w:r w:rsidR="001A1FF3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0.001</w:t>
      </w:r>
      <w:r w:rsidR="001A1FF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B7673">
        <w:rPr>
          <w:rFonts w:ascii="Times New Roman" w:hAnsi="Times New Roman" w:cs="Times New Roman"/>
          <w:sz w:val="20"/>
          <w:szCs w:val="20"/>
        </w:rPr>
        <w:t xml:space="preserve"> was considered</w:t>
      </w:r>
      <w:r w:rsidR="006750E1" w:rsidRPr="006B7673">
        <w:rPr>
          <w:rFonts w:ascii="Times New Roman" w:hAnsi="Times New Roman" w:cs="Times New Roman"/>
          <w:sz w:val="20"/>
          <w:szCs w:val="20"/>
        </w:rPr>
        <w:t xml:space="preserve"> high statistically significant</w:t>
      </w:r>
      <w:r w:rsidRPr="006B7673">
        <w:rPr>
          <w:rFonts w:ascii="Times New Roman" w:hAnsi="Times New Roman" w:cs="Times New Roman"/>
          <w:sz w:val="20"/>
          <w:szCs w:val="20"/>
        </w:rPr>
        <w:t xml:space="preserve">. All statistical calculations were done using computer program SPSS (Statistical Package for the Social Science; SPSS Inc., </w:t>
      </w:r>
      <w:r w:rsidRPr="006B7673">
        <w:rPr>
          <w:rFonts w:ascii="Times New Roman" w:hAnsi="Times New Roman" w:cs="Times New Roman"/>
          <w:color w:val="000000" w:themeColor="text1"/>
          <w:sz w:val="20"/>
          <w:szCs w:val="20"/>
        </w:rPr>
        <w:t>Chicago, IL USA) version 20 for Microsoft Windows (2010).</w:t>
      </w:r>
    </w:p>
    <w:p w:rsidR="00057B32" w:rsidRPr="006B7673" w:rsidRDefault="00057B32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A5910" w:rsidRPr="006B7673" w:rsidRDefault="00057B32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C94289" w:rsidRPr="006B7673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C94289" w:rsidRPr="006B7673" w:rsidRDefault="00C94289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>Baseline Characteristics</w:t>
      </w:r>
    </w:p>
    <w:p w:rsidR="007102B2" w:rsidRPr="006B7673" w:rsidRDefault="00C94289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Patient baseline characteristics were generally similar across the all groups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(table </w:t>
      </w:r>
      <w:r w:rsidR="00C31ED8" w:rsidRPr="006B767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57B32"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There were no statistically significant differences in demographic data among the five </w:t>
      </w:r>
      <w:r w:rsidR="00057B32" w:rsidRPr="006B7673">
        <w:rPr>
          <w:rFonts w:ascii="Times New Roman" w:hAnsi="Times New Roman" w:cs="Times New Roman"/>
          <w:sz w:val="20"/>
          <w:szCs w:val="20"/>
        </w:rPr>
        <w:t>groups.</w:t>
      </w:r>
    </w:p>
    <w:p w:rsidR="00DD1DDB" w:rsidRPr="006B7673" w:rsidRDefault="00DD1DDB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>Types of outcome measures</w:t>
      </w:r>
    </w:p>
    <w:p w:rsidR="00DD1DDB" w:rsidRPr="006B7673" w:rsidRDefault="00DD1DDB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1.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Time to recovery of the TOF ratio to 0.9 using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acceleromyography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4734" w:rsidRPr="006B7673" w:rsidRDefault="00DD1DDB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Group A patients have been achieved TOF 0.9 after administration of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lang w:bidi="ar-EG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0.05 mg/kg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as a reversal drug at TOF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0.2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mean time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213.1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seconds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a SD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±48.8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while patient of group B when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3mg /kg used as a reversal drug also at TOF 0.2 they achieve TOF 0.9 by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 mean time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78 seconds and a SD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±16.75 which is high significant difference decrease </w:t>
      </w:r>
      <w:r w:rsidRPr="006B7673">
        <w:rPr>
          <w:rFonts w:ascii="Times New Roman" w:hAnsi="Times New Roman" w:cs="Times New Roman"/>
          <w:sz w:val="20"/>
          <w:szCs w:val="20"/>
        </w:rPr>
        <w:t xml:space="preserve">with a P value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&lt;0.001</w:t>
      </w:r>
      <w:r w:rsidR="001E16C9" w:rsidRPr="006B7673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Pr="006B7673">
        <w:rPr>
          <w:rFonts w:ascii="Times New Roman" w:hAnsi="Times New Roman" w:cs="Times New Roman"/>
          <w:sz w:val="20"/>
          <w:szCs w:val="20"/>
        </w:rPr>
        <w:t xml:space="preserve"> Groups C and D patients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 dose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as a reversal drug was 3mg/kg 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6 mg/kg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respectively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resulting in a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mean time of 126.8 seconds and SD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±26.86</w:t>
      </w:r>
      <w:r w:rsidRPr="006B7673">
        <w:rPr>
          <w:rFonts w:ascii="Times New Roman" w:hAnsi="Times New Roman" w:cs="Times New Roman"/>
          <w:sz w:val="20"/>
          <w:szCs w:val="20"/>
        </w:rPr>
        <w:t xml:space="preserve"> in group C and a mean time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84.75 seconds and SD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±17.05</w:t>
      </w:r>
      <w:r w:rsidRPr="006B7673">
        <w:rPr>
          <w:rFonts w:ascii="Times New Roman" w:hAnsi="Times New Roman" w:cs="Times New Roman"/>
          <w:sz w:val="20"/>
          <w:szCs w:val="20"/>
        </w:rPr>
        <w:t xml:space="preserve"> in group D which is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high significant decrease in time with a P value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&lt;0.001</w:t>
      </w:r>
      <w:r w:rsidRPr="006B7673">
        <w:rPr>
          <w:rFonts w:ascii="Times New Roman" w:hAnsi="Times New Roman" w:cs="Times New Roman"/>
          <w:sz w:val="20"/>
          <w:szCs w:val="20"/>
        </w:rPr>
        <w:t xml:space="preserve">. Patients of group E duplication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dose and duplication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dose than that of group D patients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 mean time of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70.5 seconds and a SD ±8.56 was recorded which is less than group D patients without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significant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difference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P value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0.103 (</w:t>
      </w: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(table </w:t>
      </w:r>
      <w:r w:rsidR="009B5653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2</w:t>
      </w:r>
      <w:r w:rsidR="00F83C21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7F7FAE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,</w:t>
      </w:r>
      <w:r w:rsidR="001A1FF3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1A1FF3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62745D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fig</w:t>
      </w:r>
      <w:r w:rsidR="007F7FAE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.1)</w:t>
      </w: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  <w:r w:rsidR="00F753E0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F753E0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No </w:t>
      </w:r>
      <w:r w:rsidR="00017F20" w:rsidRPr="006B7673">
        <w:rPr>
          <w:rFonts w:ascii="Times New Roman" w:hAnsi="Times New Roman" w:cs="Times New Roman"/>
          <w:sz w:val="20"/>
          <w:szCs w:val="20"/>
          <w:lang w:bidi="ar-EG"/>
        </w:rPr>
        <w:t>statistical</w:t>
      </w:r>
      <w:r w:rsidR="00F753E0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significant in the recovery time with the patients of the same group with the same dose of </w:t>
      </w:r>
      <w:proofErr w:type="spellStart"/>
      <w:r w:rsidR="00F753E0" w:rsidRPr="006B7673">
        <w:rPr>
          <w:rFonts w:ascii="Times New Roman" w:hAnsi="Times New Roman" w:cs="Times New Roman"/>
          <w:sz w:val="20"/>
          <w:szCs w:val="20"/>
          <w:lang w:bidi="ar-EG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753E0" w:rsidRPr="006B7673">
        <w:rPr>
          <w:rFonts w:ascii="Times New Roman" w:hAnsi="Times New Roman" w:cs="Times New Roman"/>
          <w:sz w:val="20"/>
          <w:szCs w:val="20"/>
          <w:lang w:bidi="ar-EG"/>
        </w:rPr>
        <w:t>as regard the different PTC stimulation</w:t>
      </w:r>
      <w:r w:rsidR="00522FF0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1A1FF3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522FF0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table </w:t>
      </w:r>
      <w:r w:rsidR="00D83237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5</w:t>
      </w:r>
      <w:r w:rsidR="00522FF0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522FF0" w:rsidRPr="006B767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6B7673" w:rsidRPr="006B7673" w:rsidSect="003E0BD6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E16C9" w:rsidRDefault="001E16C9">
      <w:pPr>
        <w:bidi w:val="0"/>
        <w:rPr>
          <w:rFonts w:ascii="Times New Roman" w:hAnsi="Times New Roman" w:cs="Times New Roman"/>
          <w:b/>
          <w:bCs/>
          <w:sz w:val="20"/>
          <w:szCs w:val="18"/>
          <w:lang w:eastAsia="zh-CN"/>
        </w:rPr>
      </w:pPr>
      <w:r>
        <w:rPr>
          <w:szCs w:val="18"/>
          <w:lang w:eastAsia="zh-CN"/>
        </w:rPr>
        <w:lastRenderedPageBreak/>
        <w:br w:type="page"/>
      </w:r>
    </w:p>
    <w:p w:rsidR="000740C8" w:rsidRPr="006B7673" w:rsidRDefault="000740C8" w:rsidP="006B7673">
      <w:pPr>
        <w:pStyle w:val="Caption"/>
        <w:bidi w:val="0"/>
        <w:snapToGrid w:val="0"/>
        <w:jc w:val="center"/>
        <w:rPr>
          <w:color w:val="000000"/>
          <w:szCs w:val="18"/>
        </w:rPr>
      </w:pPr>
      <w:r w:rsidRPr="006B7673">
        <w:rPr>
          <w:szCs w:val="18"/>
        </w:rPr>
        <w:lastRenderedPageBreak/>
        <w:t>Table (1)</w:t>
      </w:r>
      <w:r w:rsidR="001E16C9" w:rsidRPr="006B7673">
        <w:rPr>
          <w:szCs w:val="18"/>
        </w:rPr>
        <w:t>:</w:t>
      </w:r>
      <w:r w:rsidRPr="006B7673">
        <w:rPr>
          <w:szCs w:val="18"/>
        </w:rPr>
        <w:t xml:space="preserve"> Distribution of the studied patients regarding their demographic </w:t>
      </w:r>
      <w:r w:rsidRPr="006B7673">
        <w:rPr>
          <w:color w:val="000000"/>
          <w:szCs w:val="18"/>
        </w:rPr>
        <w:t>data: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72"/>
        <w:gridCol w:w="1167"/>
        <w:gridCol w:w="1167"/>
        <w:gridCol w:w="1126"/>
        <w:gridCol w:w="1126"/>
        <w:gridCol w:w="1126"/>
        <w:gridCol w:w="1695"/>
        <w:gridCol w:w="799"/>
      </w:tblGrid>
      <w:tr w:rsidR="000740C8" w:rsidRPr="001A1FF3" w:rsidTr="001A1FF3">
        <w:trPr>
          <w:jc w:val="center"/>
        </w:trPr>
        <w:tc>
          <w:tcPr>
            <w:tcW w:w="716" w:type="pct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2981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Groups</w:t>
            </w:r>
          </w:p>
        </w:tc>
        <w:tc>
          <w:tcPr>
            <w:tcW w:w="88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Test of significance</w:t>
            </w:r>
          </w:p>
        </w:tc>
        <w:tc>
          <w:tcPr>
            <w:tcW w:w="418" w:type="pct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P value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60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B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D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588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E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88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418" w:type="pct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Age (year)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60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32.3 ±5.7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30.00 ±4.9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30.2 ±5.59</w:t>
            </w:r>
          </w:p>
        </w:tc>
        <w:tc>
          <w:tcPr>
            <w:tcW w:w="588" w:type="pct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30.4 ±5.6</w:t>
            </w:r>
          </w:p>
        </w:tc>
        <w:tc>
          <w:tcPr>
            <w:tcW w:w="588" w:type="pct"/>
            <w:tcBorders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29.5 ±5.35</w:t>
            </w:r>
          </w:p>
        </w:tc>
        <w:tc>
          <w:tcPr>
            <w:tcW w:w="8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F=0.777</w:t>
            </w: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0.543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Weight (kg)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60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68.65±11.4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68.3 ±13.09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67.7 ±9.02</w:t>
            </w:r>
          </w:p>
        </w:tc>
        <w:tc>
          <w:tcPr>
            <w:tcW w:w="588" w:type="pct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66.6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±9.32</w:t>
            </w:r>
          </w:p>
        </w:tc>
        <w:tc>
          <w:tcPr>
            <w:tcW w:w="588" w:type="pct"/>
            <w:tcBorders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63.9 ±9.62</w:t>
            </w:r>
          </w:p>
        </w:tc>
        <w:tc>
          <w:tcPr>
            <w:tcW w:w="8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F= 0.645</w:t>
            </w: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0.632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Height (cm)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60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170.2±6.49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167 ±7.26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166.2±6.82</w:t>
            </w:r>
          </w:p>
        </w:tc>
        <w:tc>
          <w:tcPr>
            <w:tcW w:w="588" w:type="pct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163.2±6.87</w:t>
            </w:r>
          </w:p>
        </w:tc>
        <w:tc>
          <w:tcPr>
            <w:tcW w:w="588" w:type="pct"/>
            <w:tcBorders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159.3±5.41</w:t>
            </w:r>
          </w:p>
        </w:tc>
        <w:tc>
          <w:tcPr>
            <w:tcW w:w="8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F=1.388</w:t>
            </w: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0.244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BMI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60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24.12±2.54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24.3± 3.19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24.34±2.25</w:t>
            </w:r>
          </w:p>
        </w:tc>
        <w:tc>
          <w:tcPr>
            <w:tcW w:w="588" w:type="pct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23.68±2.58</w:t>
            </w:r>
          </w:p>
        </w:tc>
        <w:tc>
          <w:tcPr>
            <w:tcW w:w="588" w:type="pct"/>
            <w:tcBorders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20.51±1.7</w:t>
            </w:r>
          </w:p>
        </w:tc>
        <w:tc>
          <w:tcPr>
            <w:tcW w:w="8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F=0.677</w:t>
            </w: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0.614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Sex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Male (no=60)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Female(no=40)</w:t>
            </w:r>
          </w:p>
        </w:tc>
        <w:tc>
          <w:tcPr>
            <w:tcW w:w="6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No.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(%)</w:t>
            </w:r>
          </w:p>
        </w:tc>
        <w:tc>
          <w:tcPr>
            <w:tcW w:w="60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No.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(%)</w:t>
            </w:r>
          </w:p>
        </w:tc>
        <w:tc>
          <w:tcPr>
            <w:tcW w:w="58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No.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(%)</w:t>
            </w:r>
          </w:p>
        </w:tc>
        <w:tc>
          <w:tcPr>
            <w:tcW w:w="588" w:type="pct"/>
            <w:tcBorders>
              <w:bottom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No.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(%)</w:t>
            </w:r>
          </w:p>
        </w:tc>
        <w:tc>
          <w:tcPr>
            <w:tcW w:w="588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No.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(%)</w:t>
            </w:r>
          </w:p>
        </w:tc>
        <w:tc>
          <w:tcPr>
            <w:tcW w:w="88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χ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2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=4.583</w:t>
            </w:r>
          </w:p>
        </w:tc>
        <w:tc>
          <w:tcPr>
            <w:tcW w:w="418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0.333</w:t>
            </w:r>
          </w:p>
        </w:tc>
      </w:tr>
      <w:tr w:rsidR="000740C8" w:rsidRPr="001A1FF3" w:rsidTr="001A1FF3">
        <w:trPr>
          <w:jc w:val="center"/>
        </w:trPr>
        <w:tc>
          <w:tcPr>
            <w:tcW w:w="716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14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(70)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6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(30)</w:t>
            </w:r>
          </w:p>
        </w:tc>
        <w:tc>
          <w:tcPr>
            <w:tcW w:w="60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15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(75)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5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(25)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10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(50)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10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(50)</w:t>
            </w:r>
          </w:p>
        </w:tc>
        <w:tc>
          <w:tcPr>
            <w:tcW w:w="588" w:type="pct"/>
            <w:tcBorders>
              <w:top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10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(50)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10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(50)</w:t>
            </w:r>
          </w:p>
        </w:tc>
        <w:tc>
          <w:tcPr>
            <w:tcW w:w="5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11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(55)</w:t>
            </w:r>
          </w:p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9</w:t>
            </w:r>
            <w:r w:rsidR="001E16C9"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1A1F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(45)</w:t>
            </w:r>
          </w:p>
        </w:tc>
        <w:tc>
          <w:tcPr>
            <w:tcW w:w="88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418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1A1FF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</w:tr>
    </w:tbl>
    <w:p w:rsidR="000740C8" w:rsidRPr="006B7673" w:rsidRDefault="000740C8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sz w:val="20"/>
          <w:szCs w:val="18"/>
        </w:rPr>
        <w:t>&lt;</w:t>
      </w:r>
      <w:r w:rsidRPr="006B7673">
        <w:rPr>
          <w:rFonts w:ascii="Times New Roman" w:hAnsi="Times New Roman" w:cs="Times New Roman"/>
          <w:i/>
          <w:iCs/>
          <w:sz w:val="20"/>
          <w:szCs w:val="18"/>
        </w:rPr>
        <w:t xml:space="preserve"> 0.001</w:t>
      </w:r>
      <w:r w:rsidRPr="006B7673">
        <w:rPr>
          <w:rFonts w:ascii="Times New Roman" w:hAnsi="Times New Roman" w:cs="Times New Roman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(statistically high significant)</w:t>
      </w:r>
    </w:p>
    <w:p w:rsidR="000740C8" w:rsidRPr="006B7673" w:rsidRDefault="000740C8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0740C8" w:rsidRPr="006B7673" w:rsidRDefault="000740C8" w:rsidP="006B7673">
      <w:pPr>
        <w:pStyle w:val="Caption"/>
        <w:bidi w:val="0"/>
        <w:snapToGrid w:val="0"/>
        <w:jc w:val="center"/>
        <w:rPr>
          <w:szCs w:val="18"/>
          <w:lang w:bidi="ar-EG"/>
        </w:rPr>
      </w:pPr>
      <w:r w:rsidRPr="006B7673">
        <w:rPr>
          <w:szCs w:val="18"/>
          <w:lang w:bidi="ar-EG"/>
        </w:rPr>
        <w:t>Table</w:t>
      </w:r>
      <w:r w:rsidR="001E16C9">
        <w:rPr>
          <w:szCs w:val="18"/>
          <w:lang w:bidi="ar-EG"/>
        </w:rPr>
        <w:t xml:space="preserve"> </w:t>
      </w:r>
      <w:r w:rsidRPr="006B7673">
        <w:rPr>
          <w:szCs w:val="18"/>
          <w:lang w:bidi="ar-EG"/>
        </w:rPr>
        <w:t>(2)</w:t>
      </w:r>
      <w:r w:rsidR="001E16C9" w:rsidRPr="006B7673">
        <w:rPr>
          <w:szCs w:val="18"/>
          <w:lang w:bidi="ar-EG"/>
        </w:rPr>
        <w:t>:</w:t>
      </w:r>
      <w:r w:rsidRPr="006B7673">
        <w:rPr>
          <w:szCs w:val="18"/>
          <w:lang w:bidi="ar-EG"/>
        </w:rPr>
        <w:t xml:space="preserve"> Distribution of the five groups regarding their achievement TOF 0.9 after reversal</w:t>
      </w:r>
      <w:r w:rsidR="001E16C9">
        <w:rPr>
          <w:szCs w:val="18"/>
          <w:lang w:bidi="ar-EG"/>
        </w:rPr>
        <w:t xml:space="preserve"> </w:t>
      </w:r>
      <w:r w:rsidRPr="006B7673">
        <w:rPr>
          <w:szCs w:val="18"/>
          <w:lang w:bidi="ar-EG"/>
        </w:rPr>
        <w:t>(Seconds)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030"/>
        <w:gridCol w:w="1030"/>
        <w:gridCol w:w="1030"/>
        <w:gridCol w:w="1030"/>
        <w:gridCol w:w="1030"/>
        <w:gridCol w:w="814"/>
        <w:gridCol w:w="1376"/>
      </w:tblGrid>
      <w:tr w:rsidR="000740C8" w:rsidRPr="006B7673" w:rsidTr="006B7673">
        <w:trPr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Motor block (seconds)</w:t>
            </w:r>
          </w:p>
        </w:tc>
        <w:tc>
          <w:tcPr>
            <w:tcW w:w="0" w:type="auto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Groups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 test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Post hoc value</w:t>
            </w:r>
            <w:r w:rsidR="001E16C9"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: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(LSD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**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p value)</w:t>
            </w:r>
          </w:p>
        </w:tc>
      </w:tr>
      <w:tr w:rsidR="000740C8" w:rsidRPr="006B7673" w:rsidTr="006B7673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A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B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D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E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(n=20)</w:t>
            </w: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</w:tr>
      <w:tr w:rsidR="000740C8" w:rsidRPr="006B7673" w:rsidTr="006B7673">
        <w:trPr>
          <w:jc w:val="center"/>
        </w:trPr>
        <w:tc>
          <w:tcPr>
            <w:tcW w:w="0" w:type="auto"/>
            <w:vMerge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Mean ±SD</w:t>
            </w: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ar-EG"/>
              </w:rPr>
            </w:pPr>
          </w:p>
        </w:tc>
      </w:tr>
      <w:tr w:rsidR="000740C8" w:rsidRPr="006B7673" w:rsidTr="006B7673">
        <w:trPr>
          <w:jc w:val="center"/>
        </w:trPr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TOF 0.9</w:t>
            </w:r>
          </w:p>
        </w:tc>
        <w:tc>
          <w:tcPr>
            <w:tcW w:w="0" w:type="auto"/>
            <w:tcBorders>
              <w:top w:val="single" w:sz="4" w:space="0" w:color="000000"/>
              <w:bottom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213.1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±48.8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78.00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±16.75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126.8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±26.86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84.75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±17.05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70.5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±8.56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93.538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P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&lt;0.001*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(A,B)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 xml:space="preserve"> 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(A,C)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(A,D)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(A,E)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(B,C)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>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0.437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(B,D)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0.388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(B,E)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(C,D)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 xml:space="preserve"> 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&lt;0.001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(C,E)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bidi="ar-EG"/>
              </w:rPr>
              <w:t xml:space="preserve"> *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0.103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(D,E)</w:t>
            </w:r>
          </w:p>
        </w:tc>
      </w:tr>
    </w:tbl>
    <w:p w:rsidR="000740C8" w:rsidRPr="006B7673" w:rsidRDefault="000740C8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i/>
          <w:iCs/>
          <w:sz w:val="20"/>
          <w:szCs w:val="18"/>
          <w:lang w:eastAsia="zh-CN"/>
        </w:rPr>
      </w:pP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18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0.001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(statistically high significant)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</w:rPr>
        <w:t>LSD</w:t>
      </w:r>
      <w:r w:rsidR="001E16C9" w:rsidRPr="006B7673">
        <w:rPr>
          <w:rFonts w:ascii="Times New Roman" w:hAnsi="Times New Roman" w:cs="Times New Roman"/>
          <w:i/>
          <w:iCs/>
          <w:sz w:val="20"/>
          <w:szCs w:val="18"/>
        </w:rPr>
        <w:t>:</w:t>
      </w:r>
      <w:r w:rsidRPr="006B7673">
        <w:rPr>
          <w:rFonts w:ascii="Times New Roman" w:hAnsi="Times New Roman" w:cs="Times New Roman"/>
          <w:i/>
          <w:iCs/>
          <w:sz w:val="20"/>
          <w:szCs w:val="18"/>
        </w:rPr>
        <w:t xml:space="preserve"> least significant difference between each group</w:t>
      </w:r>
    </w:p>
    <w:p w:rsidR="006B7673" w:rsidRPr="006B7673" w:rsidRDefault="006B7673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i/>
          <w:iCs/>
          <w:sz w:val="20"/>
          <w:szCs w:val="18"/>
          <w:lang w:eastAsia="zh-CN"/>
        </w:rPr>
      </w:pPr>
    </w:p>
    <w:p w:rsidR="000740C8" w:rsidRPr="006B7673" w:rsidRDefault="000740C8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B7673">
        <w:rPr>
          <w:rFonts w:ascii="Times New Roman" w:hAnsi="Times New Roman" w:cs="Times New Roman"/>
          <w:i/>
          <w:iCs/>
          <w:noProof/>
          <w:sz w:val="20"/>
          <w:szCs w:val="20"/>
          <w:lang w:eastAsia="zh-CN"/>
        </w:rPr>
        <w:drawing>
          <wp:inline distT="0" distB="0" distL="0" distR="0">
            <wp:extent cx="4683705" cy="2504661"/>
            <wp:effectExtent l="19050" t="0" r="21645" b="0"/>
            <wp:docPr id="21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40C8" w:rsidRPr="006B7673" w:rsidRDefault="000740C8" w:rsidP="006B7673">
      <w:pPr>
        <w:bidi w:val="0"/>
        <w:snapToGrid w:val="0"/>
        <w:spacing w:after="0"/>
        <w:jc w:val="center"/>
        <w:rPr>
          <w:rFonts w:ascii="Times New Roman" w:hAnsi="Times New Roman" w:cs="Times New Roman" w:hint="eastAsia"/>
          <w:i/>
          <w:iCs/>
          <w:sz w:val="20"/>
          <w:szCs w:val="20"/>
          <w:lang w:eastAsia="zh-CN" w:bidi="ar-EG"/>
        </w:rPr>
      </w:pPr>
      <w:r w:rsidRPr="006B7673">
        <w:rPr>
          <w:rFonts w:ascii="Times New Roman" w:hAnsi="Times New Roman" w:cs="Times New Roman"/>
          <w:i/>
          <w:iCs/>
          <w:sz w:val="20"/>
          <w:szCs w:val="20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0.001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20"/>
          <w:lang w:bidi="ar-EG"/>
        </w:rPr>
        <w:t>(statistically high significant</w:t>
      </w:r>
      <w:r w:rsidR="001A1FF3">
        <w:rPr>
          <w:rFonts w:ascii="Times New Roman" w:hAnsi="Times New Roman" w:cs="Times New Roman" w:hint="eastAsia"/>
          <w:i/>
          <w:iCs/>
          <w:sz w:val="20"/>
          <w:szCs w:val="20"/>
          <w:lang w:eastAsia="zh-CN" w:bidi="ar-EG"/>
        </w:rPr>
        <w:t>)</w:t>
      </w:r>
    </w:p>
    <w:p w:rsidR="000740C8" w:rsidRPr="006B7673" w:rsidRDefault="000740C8" w:rsidP="006B7673">
      <w:pPr>
        <w:pStyle w:val="Caption"/>
        <w:bidi w:val="0"/>
        <w:snapToGrid w:val="0"/>
        <w:jc w:val="center"/>
        <w:rPr>
          <w:lang w:bidi="ar-EG"/>
        </w:rPr>
      </w:pPr>
      <w:r w:rsidRPr="006B7673">
        <w:rPr>
          <w:lang w:bidi="ar-EG"/>
        </w:rPr>
        <w:t xml:space="preserve">Fig </w:t>
      </w:r>
      <w:r w:rsidR="001A1FF3">
        <w:rPr>
          <w:lang w:bidi="ar-EG"/>
        </w:rPr>
        <w:t>(</w:t>
      </w:r>
      <w:r w:rsidRPr="006B7673">
        <w:rPr>
          <w:lang w:bidi="ar-EG"/>
        </w:rPr>
        <w:t>1): Distribution of the five groups regarding their achievement TOF 0.9 after reversal</w:t>
      </w:r>
      <w:r w:rsidR="001E16C9">
        <w:rPr>
          <w:lang w:bidi="ar-EG"/>
        </w:rPr>
        <w:t xml:space="preserve"> </w:t>
      </w:r>
      <w:r w:rsidRPr="006B7673">
        <w:rPr>
          <w:lang w:bidi="ar-EG"/>
        </w:rPr>
        <w:t>(Seconds)</w:t>
      </w:r>
    </w:p>
    <w:p w:rsidR="001E16C9" w:rsidRDefault="001E16C9">
      <w:pPr>
        <w:bidi w:val="0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br w:type="page"/>
      </w:r>
    </w:p>
    <w:p w:rsidR="000740C8" w:rsidRPr="006B7673" w:rsidRDefault="000740C8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Table (3</w:t>
      </w:r>
      <w:r w:rsidR="001A1FF3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1E16C9"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post reversal mean arterial pressure (mmHg) among of the groups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0"/>
        <w:gridCol w:w="1223"/>
        <w:gridCol w:w="1280"/>
        <w:gridCol w:w="1280"/>
        <w:gridCol w:w="1280"/>
        <w:gridCol w:w="1280"/>
        <w:gridCol w:w="749"/>
        <w:gridCol w:w="916"/>
      </w:tblGrid>
      <w:tr w:rsidR="000740C8" w:rsidRPr="006B7673" w:rsidTr="001A1FF3">
        <w:trPr>
          <w:jc w:val="center"/>
        </w:trPr>
        <w:tc>
          <w:tcPr>
            <w:tcW w:w="820" w:type="pct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MAP (mmHg)</w:t>
            </w:r>
          </w:p>
        </w:tc>
        <w:tc>
          <w:tcPr>
            <w:tcW w:w="331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Groups</w:t>
            </w:r>
          </w:p>
        </w:tc>
        <w:tc>
          <w:tcPr>
            <w:tcW w:w="39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F test</w:t>
            </w:r>
          </w:p>
        </w:tc>
        <w:tc>
          <w:tcPr>
            <w:tcW w:w="479" w:type="pct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P value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A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B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C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D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668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</w:p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(n=20)</w:t>
            </w:r>
          </w:p>
        </w:tc>
        <w:tc>
          <w:tcPr>
            <w:tcW w:w="39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479" w:type="pct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Baseline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 xml:space="preserve">90.85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5.1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>88.8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4.87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>90.5</w:t>
            </w:r>
            <w:r w:rsidR="001E1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 xml:space="preserve">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4.21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 xml:space="preserve">88.1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±5.30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 xml:space="preserve">88.55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±4.98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1.261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0.291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KW"/>
              </w:rPr>
              <w:t>90.95±4.95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88.8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±4.87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90.4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±4.12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88.2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±5.25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87.9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±4.81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1.584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0.186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2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92.8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89.45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±5.84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90.45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±4.93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87.0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±6.92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87.05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±5.57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3.396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0.009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EG"/>
              </w:rPr>
              <w:t>*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5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93.01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±4.94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89.4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6.15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90.25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4.8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86.2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6.45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87.20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±5.45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4.124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EG"/>
              </w:rPr>
              <w:t>*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10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92.25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±4.26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89.3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5.82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91.1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3.62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86.4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±5.41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87.35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±5.15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4.492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EG"/>
              </w:rPr>
              <w:t>*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20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92.25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±4.26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89.3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5.27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91.35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±3.57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87.75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±5.41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±4.9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3.798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0.004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EG"/>
              </w:rPr>
              <w:t>*</w:t>
            </w:r>
          </w:p>
        </w:tc>
      </w:tr>
      <w:tr w:rsidR="000740C8" w:rsidRPr="006B7673" w:rsidTr="001A1FF3">
        <w:trPr>
          <w:jc w:val="center"/>
        </w:trPr>
        <w:tc>
          <w:tcPr>
            <w:tcW w:w="8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30 min</w:t>
            </w:r>
          </w:p>
        </w:tc>
        <w:tc>
          <w:tcPr>
            <w:tcW w:w="63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91.55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±4.87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89.4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 4.94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90.25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±5.13</w:t>
            </w:r>
          </w:p>
        </w:tc>
        <w:tc>
          <w:tcPr>
            <w:tcW w:w="668" w:type="pct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87.85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±5.65</w:t>
            </w:r>
          </w:p>
        </w:tc>
        <w:tc>
          <w:tcPr>
            <w:tcW w:w="668" w:type="pct"/>
            <w:tcBorders>
              <w:right w:val="double" w:sz="4" w:space="0" w:color="auto"/>
            </w:tcBorders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87.4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±4.84</w:t>
            </w:r>
          </w:p>
        </w:tc>
        <w:tc>
          <w:tcPr>
            <w:tcW w:w="3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2.746</w:t>
            </w:r>
          </w:p>
        </w:tc>
        <w:tc>
          <w:tcPr>
            <w:tcW w:w="47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40C8" w:rsidRPr="006B7673" w:rsidRDefault="000740C8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0.023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EG"/>
              </w:rPr>
              <w:t>*</w:t>
            </w:r>
          </w:p>
        </w:tc>
      </w:tr>
    </w:tbl>
    <w:p w:rsidR="000740C8" w:rsidRPr="006B7673" w:rsidRDefault="000740C8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i/>
          <w:iCs/>
          <w:sz w:val="20"/>
          <w:szCs w:val="20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0.001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20"/>
          <w:lang w:bidi="ar-EG"/>
        </w:rPr>
        <w:t>(statistically high significant)</w:t>
      </w:r>
    </w:p>
    <w:p w:rsidR="006B7673" w:rsidRDefault="006B7673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0740C8" w:rsidRPr="006B7673" w:rsidRDefault="000740C8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The statistically significant </w:t>
      </w:r>
      <w:proofErr w:type="gramStart"/>
      <w:r w:rsidRPr="006B7673">
        <w:rPr>
          <w:rFonts w:ascii="Times New Roman" w:hAnsi="Times New Roman" w:cs="Times New Roman"/>
          <w:sz w:val="20"/>
          <w:szCs w:val="20"/>
          <w:lang w:bidi="ar-EG"/>
        </w:rPr>
        <w:t>values is</w:t>
      </w:r>
      <w:proofErr w:type="gramEnd"/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this table pointing to the changes in mean arterial blood pressure within a group and in the same time in comparing with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other</w:t>
      </w:r>
      <w:r w:rsidR="001E16C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>groups</w:t>
      </w:r>
      <w:r w:rsidR="001E16C9" w:rsidRPr="006B767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6B7673" w:rsidRPr="006B7673" w:rsidRDefault="006B7673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0A2830" w:rsidRDefault="000A2830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18"/>
          <w:lang w:eastAsia="zh-CN" w:bidi="ar-EG"/>
        </w:rPr>
      </w:pPr>
      <w:r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 xml:space="preserve">Table </w:t>
      </w:r>
      <w:r w:rsidR="001A1FF3">
        <w:rPr>
          <w:rFonts w:ascii="Times New Roman" w:hAnsi="Times New Roman" w:cs="Times New Roman"/>
          <w:b/>
          <w:bCs/>
          <w:sz w:val="20"/>
          <w:szCs w:val="18"/>
          <w:lang w:bidi="ar-EG"/>
        </w:rPr>
        <w:t>(</w:t>
      </w:r>
      <w:r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>4</w:t>
      </w:r>
      <w:r w:rsidR="001A1FF3">
        <w:rPr>
          <w:rFonts w:ascii="Times New Roman" w:hAnsi="Times New Roman" w:cs="Times New Roman"/>
          <w:b/>
          <w:bCs/>
          <w:sz w:val="20"/>
          <w:szCs w:val="18"/>
          <w:lang w:bidi="ar-EG"/>
        </w:rPr>
        <w:t>)</w:t>
      </w:r>
      <w:r w:rsidR="001E16C9"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>:</w:t>
      </w:r>
      <w:r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 xml:space="preserve"> Post reversal</w:t>
      </w:r>
      <w:r w:rsidR="001E16C9">
        <w:rPr>
          <w:rFonts w:ascii="Times New Roman" w:hAnsi="Times New Roman" w:cs="Times New Roman"/>
          <w:b/>
          <w:bCs/>
          <w:sz w:val="20"/>
          <w:szCs w:val="18"/>
          <w:lang w:bidi="ar-EG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>pulse rate (beat /min) among</w:t>
      </w:r>
      <w:r w:rsidR="001E16C9">
        <w:rPr>
          <w:rFonts w:ascii="Times New Roman" w:hAnsi="Times New Roman" w:cs="Times New Roman"/>
          <w:b/>
          <w:bCs/>
          <w:sz w:val="20"/>
          <w:szCs w:val="18"/>
          <w:lang w:bidi="ar-EG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18"/>
          <w:lang w:bidi="ar-EG"/>
        </w:rPr>
        <w:t>the groups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16"/>
        <w:gridCol w:w="1287"/>
        <w:gridCol w:w="1287"/>
        <w:gridCol w:w="1287"/>
        <w:gridCol w:w="1287"/>
        <w:gridCol w:w="1236"/>
        <w:gridCol w:w="722"/>
        <w:gridCol w:w="956"/>
      </w:tblGrid>
      <w:tr w:rsidR="006B7673" w:rsidRPr="006B7673" w:rsidTr="001A1FF3">
        <w:trPr>
          <w:jc w:val="center"/>
        </w:trPr>
        <w:tc>
          <w:tcPr>
            <w:tcW w:w="791" w:type="pct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MAP (mmHg)</w:t>
            </w:r>
          </w:p>
        </w:tc>
        <w:tc>
          <w:tcPr>
            <w:tcW w:w="3333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Groups</w:t>
            </w:r>
          </w:p>
        </w:tc>
        <w:tc>
          <w:tcPr>
            <w:tcW w:w="37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F test</w:t>
            </w:r>
          </w:p>
        </w:tc>
        <w:tc>
          <w:tcPr>
            <w:tcW w:w="499" w:type="pct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P value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672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A</w:t>
            </w:r>
          </w:p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(n=20)</w:t>
            </w:r>
          </w:p>
        </w:tc>
        <w:tc>
          <w:tcPr>
            <w:tcW w:w="67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B</w:t>
            </w:r>
          </w:p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(n=20)</w:t>
            </w:r>
          </w:p>
        </w:tc>
        <w:tc>
          <w:tcPr>
            <w:tcW w:w="67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C</w:t>
            </w:r>
          </w:p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(n=20)</w:t>
            </w:r>
          </w:p>
        </w:tc>
        <w:tc>
          <w:tcPr>
            <w:tcW w:w="67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D</w:t>
            </w:r>
          </w:p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(n=20)</w:t>
            </w:r>
          </w:p>
        </w:tc>
        <w:tc>
          <w:tcPr>
            <w:tcW w:w="645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E</w:t>
            </w:r>
          </w:p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(n=20)</w:t>
            </w:r>
          </w:p>
        </w:tc>
        <w:tc>
          <w:tcPr>
            <w:tcW w:w="37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  <w:tc>
          <w:tcPr>
            <w:tcW w:w="499" w:type="pct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Baseline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81.60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±7.52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80.65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±7.11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80.40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±4.07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80.7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6.13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79.55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±7.14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0.266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0.899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81.95±7.53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80.65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±7.12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80.5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±4.05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80.45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±6.21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79.6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7.16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0.334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0.855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2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90.95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9.2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87.35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±10.60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80.61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±5.36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78.51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±9.12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76.05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±5.96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10.5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&lt;0.001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EG"/>
              </w:rPr>
              <w:t>**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5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88.05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±10.21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83.9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11.62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78.25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6.64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75.45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7.61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74.10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±5.91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9.697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&lt;0.001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EG"/>
              </w:rPr>
              <w:t>**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10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83.75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±9.54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78.3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11.31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tabs>
                <w:tab w:val="left" w:pos="1202"/>
              </w:tabs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75.55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±5.71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73.35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±6.75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71.70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±5.09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6.75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&lt;0.001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EG"/>
              </w:rPr>
              <w:t>**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20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78.35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±5.65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74.45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±7.25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73.40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±4.97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74. 5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±6.85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70.55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±6.07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4.074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0.003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EG"/>
              </w:rPr>
              <w:t>*</w:t>
            </w:r>
          </w:p>
        </w:tc>
      </w:tr>
      <w:tr w:rsidR="006B7673" w:rsidRPr="006B7673" w:rsidTr="001A1FF3">
        <w:trPr>
          <w:jc w:val="center"/>
        </w:trPr>
        <w:tc>
          <w:tcPr>
            <w:tcW w:w="79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30 min</w:t>
            </w:r>
          </w:p>
        </w:tc>
        <w:tc>
          <w:tcPr>
            <w:tcW w:w="67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77.01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±5.41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72.9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 5.36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72.7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±5.01</w:t>
            </w:r>
          </w:p>
        </w:tc>
        <w:tc>
          <w:tcPr>
            <w:tcW w:w="672" w:type="pct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74.09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±6.81</w:t>
            </w:r>
          </w:p>
        </w:tc>
        <w:tc>
          <w:tcPr>
            <w:tcW w:w="645" w:type="pct"/>
            <w:tcBorders>
              <w:right w:val="double" w:sz="4" w:space="0" w:color="auto"/>
            </w:tcBorders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70.45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±6.05</w:t>
            </w:r>
          </w:p>
        </w:tc>
        <w:tc>
          <w:tcPr>
            <w:tcW w:w="37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3.641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7673" w:rsidRPr="006B7673" w:rsidRDefault="006B7673" w:rsidP="006B7673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0.008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EG"/>
              </w:rPr>
              <w:t>*</w:t>
            </w:r>
          </w:p>
        </w:tc>
      </w:tr>
    </w:tbl>
    <w:p w:rsidR="000A2830" w:rsidRPr="006B7673" w:rsidRDefault="000A2830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i/>
          <w:iCs/>
          <w:sz w:val="20"/>
          <w:szCs w:val="18"/>
          <w:lang w:bidi="ar-EG"/>
        </w:rPr>
      </w:pP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18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0.001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 xml:space="preserve">(statistically high </w:t>
      </w:r>
      <w:proofErr w:type="gramStart"/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significant(</w:t>
      </w:r>
      <w:proofErr w:type="gramEnd"/>
    </w:p>
    <w:p w:rsidR="006B7673" w:rsidRDefault="006B7673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18"/>
          <w:lang w:eastAsia="zh-CN" w:bidi="ar-EG"/>
        </w:rPr>
      </w:pPr>
    </w:p>
    <w:p w:rsidR="000A2830" w:rsidRPr="006B7673" w:rsidRDefault="000A283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18"/>
          <w:lang w:bidi="ar-EG"/>
        </w:rPr>
      </w:pPr>
      <w:r w:rsidRPr="006B7673">
        <w:rPr>
          <w:rFonts w:ascii="Times New Roman" w:hAnsi="Times New Roman" w:cs="Times New Roman"/>
          <w:sz w:val="20"/>
          <w:szCs w:val="18"/>
          <w:lang w:bidi="ar-EG"/>
        </w:rPr>
        <w:t xml:space="preserve">The statistically significant and high significant </w:t>
      </w:r>
      <w:proofErr w:type="gramStart"/>
      <w:r w:rsidRPr="006B7673">
        <w:rPr>
          <w:rFonts w:ascii="Times New Roman" w:hAnsi="Times New Roman" w:cs="Times New Roman"/>
          <w:sz w:val="20"/>
          <w:szCs w:val="18"/>
          <w:lang w:bidi="ar-EG"/>
        </w:rPr>
        <w:t>values is</w:t>
      </w:r>
      <w:proofErr w:type="gramEnd"/>
      <w:r w:rsidRPr="006B7673">
        <w:rPr>
          <w:rFonts w:ascii="Times New Roman" w:hAnsi="Times New Roman" w:cs="Times New Roman"/>
          <w:sz w:val="20"/>
          <w:szCs w:val="18"/>
          <w:lang w:bidi="ar-EG"/>
        </w:rPr>
        <w:t xml:space="preserve"> this table pointing to the changes in pulse rate within a group and in the same time in comparing with</w:t>
      </w:r>
      <w:r w:rsidR="001E16C9">
        <w:rPr>
          <w:rFonts w:ascii="Times New Roman" w:hAnsi="Times New Roman" w:cs="Times New Roman"/>
          <w:sz w:val="20"/>
          <w:szCs w:val="18"/>
          <w:lang w:bidi="ar-EG"/>
        </w:rPr>
        <w:t xml:space="preserve"> </w:t>
      </w:r>
      <w:r w:rsidRPr="006B7673">
        <w:rPr>
          <w:rFonts w:ascii="Times New Roman" w:hAnsi="Times New Roman" w:cs="Times New Roman"/>
          <w:sz w:val="20"/>
          <w:szCs w:val="18"/>
          <w:lang w:bidi="ar-EG"/>
        </w:rPr>
        <w:t>the other groups.</w:t>
      </w:r>
    </w:p>
    <w:p w:rsidR="006B7673" w:rsidRDefault="006B7673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18"/>
          <w:lang w:eastAsia="zh-CN"/>
        </w:rPr>
      </w:pPr>
    </w:p>
    <w:p w:rsidR="000A2830" w:rsidRPr="006B7673" w:rsidRDefault="000A2830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6B7673">
        <w:rPr>
          <w:rFonts w:ascii="Times New Roman" w:hAnsi="Times New Roman" w:cs="Times New Roman"/>
          <w:b/>
          <w:bCs/>
          <w:sz w:val="20"/>
          <w:szCs w:val="18"/>
        </w:rPr>
        <w:t xml:space="preserve">Table (5) Comparison of the Mean and SD of post recovery time between Group C and D as </w:t>
      </w:r>
      <w:proofErr w:type="gramStart"/>
      <w:r w:rsidRPr="006B7673">
        <w:rPr>
          <w:rFonts w:ascii="Times New Roman" w:hAnsi="Times New Roman" w:cs="Times New Roman"/>
          <w:b/>
          <w:bCs/>
          <w:sz w:val="20"/>
          <w:szCs w:val="18"/>
        </w:rPr>
        <w:t>Regarding</w:t>
      </w:r>
      <w:proofErr w:type="gramEnd"/>
      <w:r w:rsidRPr="006B7673">
        <w:rPr>
          <w:rFonts w:ascii="Times New Roman" w:hAnsi="Times New Roman" w:cs="Times New Roman"/>
          <w:b/>
          <w:bCs/>
          <w:sz w:val="20"/>
          <w:szCs w:val="18"/>
        </w:rPr>
        <w:t xml:space="preserve"> their PCT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0A2830" w:rsidRPr="006B7673" w:rsidTr="006B7673">
        <w:trPr>
          <w:trHeight w:val="72"/>
          <w:jc w:val="center"/>
        </w:trPr>
        <w:tc>
          <w:tcPr>
            <w:tcW w:w="1704" w:type="dxa"/>
            <w:vMerge w:val="restart"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P value</w:t>
            </w:r>
          </w:p>
        </w:tc>
        <w:tc>
          <w:tcPr>
            <w:tcW w:w="1704" w:type="dxa"/>
            <w:vMerge w:val="restart"/>
            <w:shd w:val="clear" w:color="auto" w:fill="D9D9D9" w:themeFill="background1" w:themeFillShade="D9"/>
          </w:tcPr>
          <w:p w:rsidR="000A2830" w:rsidRPr="001A1FF3" w:rsidRDefault="000A2830" w:rsidP="006B7673">
            <w:pPr>
              <w:bidi w:val="0"/>
              <w:snapToGrid w:val="0"/>
              <w:jc w:val="both"/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szCs w:val="18"/>
                <w:lang w:eastAsia="zh-CN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F test</w:t>
            </w:r>
          </w:p>
        </w:tc>
        <w:tc>
          <w:tcPr>
            <w:tcW w:w="3409" w:type="dxa"/>
            <w:gridSpan w:val="2"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Groups</w:t>
            </w:r>
          </w:p>
        </w:tc>
        <w:tc>
          <w:tcPr>
            <w:tcW w:w="1705" w:type="dxa"/>
            <w:vMerge w:val="restart"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PTC</w:t>
            </w:r>
          </w:p>
        </w:tc>
      </w:tr>
      <w:tr w:rsidR="000A2830" w:rsidRPr="006B7673" w:rsidTr="006B7673">
        <w:trPr>
          <w:trHeight w:val="127"/>
          <w:jc w:val="center"/>
        </w:trPr>
        <w:tc>
          <w:tcPr>
            <w:tcW w:w="1704" w:type="dxa"/>
            <w:vMerge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04" w:type="dxa"/>
            <w:vMerge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D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  <w:lang w:bidi="ar-EG"/>
              </w:rPr>
              <w:t>(n=20)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C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  <w:lang w:bidi="ar-EG"/>
              </w:rPr>
              <w:t>(n=20)</w:t>
            </w:r>
          </w:p>
        </w:tc>
        <w:tc>
          <w:tcPr>
            <w:tcW w:w="1705" w:type="dxa"/>
            <w:vMerge/>
            <w:shd w:val="clear" w:color="auto" w:fill="D9D9D9" w:themeFill="background1" w:themeFillShade="D9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A2830" w:rsidRPr="006B7673" w:rsidTr="006B7673">
        <w:trPr>
          <w:trHeight w:val="532"/>
          <w:jc w:val="center"/>
        </w:trPr>
        <w:tc>
          <w:tcPr>
            <w:tcW w:w="1704" w:type="dxa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  <w:lang w:bidi="ar-EG"/>
              </w:rPr>
              <w:t>0.176</w:t>
            </w:r>
          </w:p>
        </w:tc>
        <w:tc>
          <w:tcPr>
            <w:tcW w:w="1704" w:type="dxa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Cs w:val="18"/>
                <w:lang w:bidi="ar-EG"/>
              </w:rPr>
              <w:t>1.819</w:t>
            </w:r>
          </w:p>
        </w:tc>
        <w:tc>
          <w:tcPr>
            <w:tcW w:w="1704" w:type="dxa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88.75 ± 14.93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81.41 ± 19.08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60.00 ±00.00</w:t>
            </w:r>
          </w:p>
        </w:tc>
        <w:tc>
          <w:tcPr>
            <w:tcW w:w="1705" w:type="dxa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</w:rPr>
              <w:t>131.</w:t>
            </w: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78±20.53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125.00±31.22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100.00±43.31</w:t>
            </w:r>
          </w:p>
        </w:tc>
        <w:tc>
          <w:tcPr>
            <w:tcW w:w="1705" w:type="dxa"/>
          </w:tcPr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  <w:lang w:bidi="ar-EG"/>
              </w:rPr>
              <w:t>0-1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</w:rPr>
              <w:t>2-3</w:t>
            </w:r>
          </w:p>
          <w:p w:rsidR="000A2830" w:rsidRPr="006B7673" w:rsidRDefault="000A2830" w:rsidP="006B7673">
            <w:pPr>
              <w:bidi w:val="0"/>
              <w:snapToGrid w:val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B7673">
              <w:rPr>
                <w:rFonts w:ascii="Times New Roman" w:hAnsi="Times New Roman" w:cs="Times New Roman"/>
                <w:color w:val="000000"/>
                <w:szCs w:val="18"/>
              </w:rPr>
              <w:t>4-6</w:t>
            </w:r>
          </w:p>
        </w:tc>
      </w:tr>
    </w:tbl>
    <w:p w:rsidR="000A2830" w:rsidRPr="006B7673" w:rsidRDefault="000A2830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i/>
          <w:iCs/>
          <w:sz w:val="20"/>
          <w:szCs w:val="18"/>
          <w:lang w:eastAsia="zh-CN" w:bidi="ar-EG"/>
        </w:rPr>
      </w:pP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* P-value &lt; 0.05 (statistically significant)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**P </w:t>
      </w:r>
      <w:r w:rsidRPr="006B7673">
        <w:rPr>
          <w:rFonts w:ascii="Times New Roman" w:hAnsi="Times New Roman" w:cs="Times New Roman"/>
          <w:b/>
          <w:bCs/>
          <w:i/>
          <w:iCs/>
          <w:color w:val="000000"/>
          <w:sz w:val="20"/>
          <w:szCs w:val="18"/>
        </w:rPr>
        <w:t>&lt;</w:t>
      </w:r>
      <w:r w:rsidRPr="006B7673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0.001</w:t>
      </w:r>
      <w:r w:rsidRPr="006B7673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 xml:space="preserve">(statistically high </w:t>
      </w:r>
      <w:proofErr w:type="gramStart"/>
      <w:r w:rsidRPr="006B7673">
        <w:rPr>
          <w:rFonts w:ascii="Times New Roman" w:hAnsi="Times New Roman" w:cs="Times New Roman"/>
          <w:i/>
          <w:iCs/>
          <w:sz w:val="20"/>
          <w:szCs w:val="18"/>
          <w:lang w:bidi="ar-EG"/>
        </w:rPr>
        <w:t>significant(</w:t>
      </w:r>
      <w:proofErr w:type="gramEnd"/>
    </w:p>
    <w:p w:rsid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6B7673" w:rsidRPr="006B7673" w:rsidSect="000A31BC">
          <w:headerReference w:type="default" r:id="rId15"/>
          <w:footerReference w:type="default" r:id="rId16"/>
          <w:type w:val="continuous"/>
          <w:pgSz w:w="12242" w:h="15842" w:code="1"/>
          <w:pgMar w:top="1440" w:right="1440" w:bottom="1440" w:left="1440" w:header="720" w:footer="720" w:gutter="0"/>
          <w:cols w:space="709"/>
          <w:bidi/>
          <w:docGrid w:linePitch="360"/>
        </w:sectPr>
      </w:pP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2.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Prevalence of postoperative residual neuromuscular blockade (or recurrence of blockade)</w:t>
      </w:r>
      <w:r w:rsidR="001E16C9" w:rsidRPr="006B767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defined and confirmed as train-of-four (TOF) ratio &lt; 0.9</w:t>
      </w:r>
      <w:r w:rsidR="001E16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1E16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acceleromyography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>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All patients’ tracheas were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extubated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promptly once neuromuscular function had returned </w:t>
      </w:r>
      <w:r w:rsidR="001A1FF3">
        <w:rPr>
          <w:rFonts w:ascii="Times New Roman" w:hAnsi="Times New Roman" w:cs="Times New Roman"/>
          <w:sz w:val="20"/>
          <w:szCs w:val="20"/>
        </w:rPr>
        <w:t>(</w:t>
      </w:r>
      <w:r w:rsidRPr="006B7673">
        <w:rPr>
          <w:rFonts w:ascii="Times New Roman" w:hAnsi="Times New Roman" w:cs="Times New Roman"/>
          <w:sz w:val="20"/>
          <w:szCs w:val="20"/>
        </w:rPr>
        <w:t>TOF 0.9)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and no patient had evidence of residual or re-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curarization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through continuing neuromuscular monitoring after the injection of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sugammadex</w:t>
      </w:r>
      <w:proofErr w:type="spellEnd"/>
      <w:r w:rsidR="001E16C9" w:rsidRPr="006B767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or clinically during patients’ stay in the recovery room</w:t>
      </w:r>
      <w:r w:rsidRPr="006B7673">
        <w:rPr>
          <w:rFonts w:ascii="Times New Roman" w:hAnsi="Times New Roman" w:cs="Times New Roman"/>
          <w:sz w:val="20"/>
          <w:szCs w:val="20"/>
        </w:rPr>
        <w:t xml:space="preserve"> all over the observation period.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3.</w:t>
      </w:r>
      <w:r>
        <w:rPr>
          <w:rFonts w:ascii="Times New Roman" w:hAnsi="Times New Roman" w:cs="Times New Roman" w:hint="eastAsia"/>
          <w:b/>
          <w:bCs/>
          <w:i/>
          <w:sz w:val="20"/>
          <w:szCs w:val="20"/>
          <w:lang w:eastAsia="zh-CN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Monitoring of noninvasive mean arterial pressure (MAP</w:t>
      </w:r>
      <w:r w:rsidR="001A1FF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and heart rate (HR)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Immediately before and after the administration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the reversal drugs and subsequently at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2, 5, 10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20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and 30 minutes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(table 4) (table 5).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i/>
          <w:sz w:val="20"/>
          <w:szCs w:val="20"/>
        </w:rPr>
        <w:t>4.</w:t>
      </w:r>
      <w:r>
        <w:rPr>
          <w:rFonts w:ascii="Times New Roman" w:hAnsi="Times New Roman" w:cs="Times New Roman" w:hint="eastAsia"/>
          <w:b/>
          <w:bCs/>
          <w:i/>
          <w:sz w:val="20"/>
          <w:szCs w:val="20"/>
          <w:lang w:eastAsia="zh-CN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Prevalence of complications secondary to </w:t>
      </w:r>
      <w:proofErr w:type="spellStart"/>
      <w:r w:rsidRPr="006B7673">
        <w:rPr>
          <w:rFonts w:ascii="Times New Roman" w:hAnsi="Times New Roman" w:cs="Times New Roman"/>
          <w:b/>
          <w:bCs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In addition, oxygen saturation, respiratory frequency, and clinical evidence of residual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curarization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evidence or re-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curarisation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were </w:t>
      </w:r>
      <w:r w:rsidRPr="006B7673">
        <w:rPr>
          <w:rFonts w:ascii="Times New Roman" w:hAnsi="Times New Roman" w:cs="Times New Roman"/>
          <w:sz w:val="20"/>
          <w:szCs w:val="20"/>
        </w:rPr>
        <w:lastRenderedPageBreak/>
        <w:t>monitored after recovery of the T4/T1 ratio to 0.9 and for 60 minutes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also side effects were recorded.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The adverse events reported with the use of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were minor and transient as one case report dizziness with a dose of 6 mg/kg in group D</w:t>
      </w:r>
      <w:r w:rsidR="001E16C9" w:rsidRPr="006B767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one case had irritability with a dose of 12 mg/kg in group E (have been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investigated and the reason was undeclared family problem)</w:t>
      </w:r>
      <w:r w:rsidR="001E16C9" w:rsidRPr="006B767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2 cases had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mild cough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lasted less than 2 minutes with a dose of 3 mg/kg in group C and resolved spontaneous without active management, 2 cases got a 10% decrease MAP and lasted less than 10 minutes with a dose of 6 mg/kg in group D and resolved spontaneous without active management, 3 cases had increased HR that were resolved spontaneously within 10 minutes without active management in group B</w:t>
      </w:r>
      <w:r w:rsidR="001E16C9" w:rsidRPr="006B767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2 cases had increased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</w:rPr>
        <w:t>mandibular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 muscle tone for less than a minute one of them with a dose of 3 mg/kg in group B and the second with a dose of 3mg/kg in group C which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lastRenderedPageBreak/>
        <w:t>resolved spontaneous without active management</w:t>
      </w:r>
      <w:r w:rsidRPr="006B76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(table 5)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was not associated with dry mouth in the post anesthesia care unit. There was no apparent relation between the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dose and the incidence of adverse events as has been listed in table 5, and there were no discontinuation due to occurrence of any adverse events during injection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in either group.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Compared to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with atropine in group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adverse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events reported was 2 cases had dry mouth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2 cases had dizziness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2 cases had 10% increased in MAP that resolved spontaneously without active management within 10 minutes, 7 cases had increased HR that were resolved spontaneously without active management and one case had post-operative nausea that resolved with reassurance within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20 minutes without active management, no cases report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reoccurrence of neuromuscular blockade or residual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neuromuscular</w:t>
      </w:r>
      <w:r w:rsidR="001E16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 xml:space="preserve">blockade </w:t>
      </w:r>
      <w:r w:rsidR="001A1FF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table 5).</w:t>
      </w:r>
    </w:p>
    <w:p w:rsid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6B7673" w:rsidSect="003E0BD6">
          <w:headerReference w:type="default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B7673" w:rsidRPr="006B7673" w:rsidRDefault="006B7673" w:rsidP="006B7673">
      <w:pPr>
        <w:bidi w:val="0"/>
        <w:snapToGri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18"/>
          <w:lang w:eastAsia="zh-CN"/>
        </w:rPr>
      </w:pPr>
      <w:r w:rsidRPr="006B7673">
        <w:rPr>
          <w:rFonts w:ascii="Times New Roman" w:hAnsi="Times New Roman" w:cs="Times New Roman"/>
          <w:b/>
          <w:bCs/>
          <w:sz w:val="20"/>
          <w:szCs w:val="18"/>
        </w:rPr>
        <w:t xml:space="preserve">Table </w:t>
      </w:r>
      <w:r w:rsidR="001A1FF3">
        <w:rPr>
          <w:rFonts w:ascii="Times New Roman" w:hAnsi="Times New Roman" w:cs="Times New Roman"/>
          <w:b/>
          <w:bCs/>
          <w:sz w:val="20"/>
          <w:szCs w:val="18"/>
        </w:rPr>
        <w:t>(</w:t>
      </w:r>
      <w:r w:rsidRPr="006B7673">
        <w:rPr>
          <w:rFonts w:ascii="Times New Roman" w:hAnsi="Times New Roman" w:cs="Times New Roman"/>
          <w:b/>
          <w:bCs/>
          <w:sz w:val="20"/>
          <w:szCs w:val="18"/>
        </w:rPr>
        <w:t>6</w:t>
      </w:r>
      <w:r w:rsidR="001A1FF3">
        <w:rPr>
          <w:rFonts w:ascii="Times New Roman" w:hAnsi="Times New Roman" w:cs="Times New Roman"/>
          <w:b/>
          <w:bCs/>
          <w:sz w:val="20"/>
          <w:szCs w:val="18"/>
        </w:rPr>
        <w:t>)</w:t>
      </w:r>
      <w:r w:rsidRPr="006B7673">
        <w:rPr>
          <w:rFonts w:ascii="Times New Roman" w:hAnsi="Times New Roman" w:cs="Times New Roman"/>
          <w:b/>
          <w:bCs/>
          <w:sz w:val="20"/>
          <w:szCs w:val="18"/>
        </w:rPr>
        <w:t>: Side effects and percentage of its incidence among the five</w:t>
      </w:r>
      <w:r w:rsidR="001E16C9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18"/>
        </w:rPr>
        <w:t>groups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47"/>
        <w:gridCol w:w="1530"/>
        <w:gridCol w:w="1531"/>
        <w:gridCol w:w="1531"/>
        <w:gridCol w:w="1531"/>
        <w:gridCol w:w="1408"/>
      </w:tblGrid>
      <w:tr w:rsidR="006B7673" w:rsidRPr="006B7673" w:rsidTr="001A1FF3">
        <w:trPr>
          <w:jc w:val="center"/>
        </w:trPr>
        <w:tc>
          <w:tcPr>
            <w:tcW w:w="1069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Side Effects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Group A</w:t>
            </w:r>
          </w:p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No 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%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Group B</w:t>
            </w:r>
          </w:p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No 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%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Group C</w:t>
            </w:r>
          </w:p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No 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%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Group D</w:t>
            </w:r>
          </w:p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No 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%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)</w:t>
            </w:r>
          </w:p>
        </w:tc>
        <w:tc>
          <w:tcPr>
            <w:tcW w:w="736" w:type="pct"/>
            <w:vAlign w:val="center"/>
          </w:tcPr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Group E</w:t>
            </w:r>
          </w:p>
          <w:p w:rsidR="006B7673" w:rsidRPr="006B7673" w:rsidRDefault="006B7673" w:rsidP="00CB1E89">
            <w:pPr>
              <w:widowControl w:val="0"/>
              <w:autoSpaceDE w:val="0"/>
              <w:autoSpaceDN w:val="0"/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 xml:space="preserve">No 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%</w:t>
            </w:r>
            <w:r w:rsidR="001A1F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18"/>
              </w:rPr>
              <w:t>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Dry mouth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vertAlign w:val="superscript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Dizziness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1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(5)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proofErr w:type="spellStart"/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Dysrhythmia</w:t>
            </w:r>
            <w:proofErr w:type="spellEnd"/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</w:r>
            <w:r w:rsidR="001A1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MAP </w:t>
            </w:r>
            <w:r w:rsidR="001A1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increased)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MAP (decreased)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H.R </w:t>
            </w:r>
            <w:r w:rsidR="001A1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(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increased)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7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(35)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H.R (decreased)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3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(15)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PONV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 xml:space="preserve">1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(5)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Allergy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Cough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2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(10)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IMT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(5)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(5)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Irritability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1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(5)</w:t>
            </w:r>
          </w:p>
        </w:tc>
      </w:tr>
      <w:tr w:rsidR="006B7673" w:rsidRPr="006B7673" w:rsidTr="001A1FF3">
        <w:trPr>
          <w:jc w:val="center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Residual block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 xml:space="preserve">0 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KW"/>
              </w:rPr>
              <w:tab/>
              <w:t>(0)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6B7673" w:rsidRPr="006B7673" w:rsidRDefault="006B7673" w:rsidP="00CB1E89">
            <w:pPr>
              <w:bidi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</w:pP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>0</w:t>
            </w:r>
            <w:r w:rsidRPr="006B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bidi="ar-EG"/>
              </w:rPr>
              <w:tab/>
              <w:t>(0)</w:t>
            </w:r>
          </w:p>
        </w:tc>
      </w:tr>
    </w:tbl>
    <w:p w:rsid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6B7673" w:rsidSect="006B7673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6B7673" w:rsidRPr="006B7673" w:rsidRDefault="006B7673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lastRenderedPageBreak/>
        <w:t>4. Discussion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The γ –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cyclodextrin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derivative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novel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agent used to selectively reverse the action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and other steroidal non-depolarizing neuromuscular blocking agents</w:t>
      </w:r>
      <w:r w:rsidR="001E16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6B7673">
        <w:rPr>
          <w:rFonts w:ascii="Times New Roman" w:hAnsi="Times New Roman" w:cs="Times New Roman"/>
          <w:b/>
          <w:bCs/>
          <w:sz w:val="20"/>
          <w:szCs w:val="20"/>
          <w:lang w:bidi="ar-EG"/>
        </w:rPr>
        <w:t>11</w:t>
      </w:r>
      <w:r w:rsidRPr="006B7673">
        <w:rPr>
          <w:rFonts w:ascii="Times New Roman" w:hAnsi="Times New Roman" w:cs="Times New Roman"/>
          <w:sz w:val="20"/>
          <w:szCs w:val="20"/>
        </w:rPr>
        <w:t xml:space="preserve">). This study examines the evidence regarding the safety and efficacy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in reversing neuromuscular blockade caused by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in adults. The neuromuscular measurements were performed using objective “quantifiable” end points (i.e.,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acceleromyography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data captured in real-time on a laptop computer) under identical anesthetic conditions.</w:t>
      </w:r>
    </w:p>
    <w:p w:rsidR="006B7673" w:rsidRPr="006B7673" w:rsidRDefault="006B7673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The dosages of the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anticholinesterase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anticholinergic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drugs used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in this study were the standard recommended doses.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It is also important to point out that the reversal drugs were administered during general anesthesia with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isoflurane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, which has </w:t>
      </w:r>
      <w:r w:rsidRPr="006B7673">
        <w:rPr>
          <w:rFonts w:ascii="Times New Roman" w:hAnsi="Times New Roman" w:cs="Times New Roman"/>
          <w:sz w:val="20"/>
          <w:szCs w:val="20"/>
        </w:rPr>
        <w:lastRenderedPageBreak/>
        <w:t xml:space="preserve">well-known depressant effects at the neuromuscular junction.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Isoflurane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was used in combination with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fentanyl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at induction time with no additional narcotic or any other depressant drugs to facilitate a rapid emergence from anesthesia and to allow for the early clinical assessment of the patients’ muscle strength.</w:t>
      </w:r>
    </w:p>
    <w:p w:rsidR="005A1BF7" w:rsidRPr="006B7673" w:rsidRDefault="005A1BF7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This study a one hundred patients was divided </w:t>
      </w:r>
      <w:r w:rsidR="00D91657" w:rsidRPr="006B7673">
        <w:rPr>
          <w:rFonts w:ascii="Times New Roman" w:hAnsi="Times New Roman" w:cs="Times New Roman"/>
          <w:sz w:val="20"/>
          <w:szCs w:val="20"/>
        </w:rPr>
        <w:t>randomly</w:t>
      </w:r>
      <w:r w:rsidRPr="006B7673">
        <w:rPr>
          <w:rFonts w:ascii="Times New Roman" w:hAnsi="Times New Roman" w:cs="Times New Roman"/>
          <w:sz w:val="20"/>
          <w:szCs w:val="20"/>
        </w:rPr>
        <w:t xml:space="preserve"> in five equal groups and was conducted from March 2015 to February 2016</w:t>
      </w:r>
      <w:r w:rsidR="001E16C9" w:rsidRPr="006B7673">
        <w:rPr>
          <w:rFonts w:ascii="Times New Roman" w:hAnsi="Times New Roman" w:cs="Times New Roman"/>
          <w:sz w:val="20"/>
          <w:szCs w:val="20"/>
        </w:rPr>
        <w:t>;</w:t>
      </w:r>
      <w:r w:rsidRPr="006B7673">
        <w:rPr>
          <w:rFonts w:ascii="Times New Roman" w:hAnsi="Times New Roman" w:cs="Times New Roman"/>
          <w:sz w:val="20"/>
          <w:szCs w:val="20"/>
        </w:rPr>
        <w:t xml:space="preserve"> group A and group B patient received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is a dose of 0.6 mg/kg and the reversal drug </w:t>
      </w:r>
      <w:r w:rsidR="001A1FF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in group A and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3mg/kg in group B</w:t>
      </w:r>
      <w:r w:rsidR="001A1FF3">
        <w:rPr>
          <w:rFonts w:ascii="Times New Roman" w:hAnsi="Times New Roman" w:cs="Times New Roman"/>
          <w:sz w:val="20"/>
          <w:szCs w:val="20"/>
        </w:rPr>
        <w:t>)</w:t>
      </w:r>
      <w:r w:rsidRPr="006B7673">
        <w:rPr>
          <w:rFonts w:ascii="Times New Roman" w:hAnsi="Times New Roman" w:cs="Times New Roman"/>
          <w:sz w:val="20"/>
          <w:szCs w:val="20"/>
        </w:rPr>
        <w:t xml:space="preserve"> administration was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at the end of surgery while TOF ratio is 0.2 to compare the time to recovery between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81956" w:rsidRPr="006B7673">
        <w:rPr>
          <w:rFonts w:ascii="Times New Roman" w:hAnsi="Times New Roman" w:cs="Times New Roman"/>
          <w:sz w:val="20"/>
          <w:szCs w:val="20"/>
        </w:rPr>
        <w:t>standered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dose and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3 mg/kg.</w:t>
      </w:r>
      <w:r w:rsidR="007646F7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Patient of group C and D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dose was also 0.6 mg/kg and the reversal drug (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3mg/kg in </w:t>
      </w:r>
      <w:r w:rsidRPr="006B7673">
        <w:rPr>
          <w:rFonts w:ascii="Times New Roman" w:hAnsi="Times New Roman" w:cs="Times New Roman"/>
          <w:sz w:val="20"/>
          <w:szCs w:val="20"/>
        </w:rPr>
        <w:lastRenderedPageBreak/>
        <w:t>group C and 6mg/kg in group D) administration was at the end of surgery while TOF ratio is still 0.0 with recording of PTC immediately before reversal time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to compare the time to recovery with increasing the dose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1E16C9" w:rsidRPr="006B7673">
        <w:rPr>
          <w:rFonts w:ascii="Times New Roman" w:hAnsi="Times New Roman" w:cs="Times New Roman"/>
          <w:sz w:val="20"/>
          <w:szCs w:val="20"/>
        </w:rPr>
        <w:t>.</w:t>
      </w:r>
    </w:p>
    <w:p w:rsidR="005A1BF7" w:rsidRPr="006B7673" w:rsidRDefault="007646F7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Patient </w:t>
      </w:r>
      <w:r w:rsidR="000740C8" w:rsidRPr="006B7673">
        <w:rPr>
          <w:rFonts w:ascii="Times New Roman" w:hAnsi="Times New Roman" w:cs="Times New Roman"/>
          <w:sz w:val="20"/>
          <w:szCs w:val="20"/>
        </w:rPr>
        <w:t>of group</w:t>
      </w:r>
      <w:r w:rsidRPr="006B7673">
        <w:rPr>
          <w:rFonts w:ascii="Times New Roman" w:hAnsi="Times New Roman" w:cs="Times New Roman"/>
          <w:sz w:val="20"/>
          <w:szCs w:val="20"/>
        </w:rPr>
        <w:t xml:space="preserve"> E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, the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dose </w:t>
      </w:r>
      <w:r w:rsidRPr="006B7673">
        <w:rPr>
          <w:rFonts w:ascii="Times New Roman" w:hAnsi="Times New Roman" w:cs="Times New Roman"/>
          <w:sz w:val="20"/>
          <w:szCs w:val="20"/>
        </w:rPr>
        <w:t xml:space="preserve">was 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1.2 mg/kg and the reversal drug </w:t>
      </w:r>
      <w:r w:rsidR="001A1FF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12 mg/kg) administration was at the end of surgery while TOF ratio still 0.0 with recording of PTC immediately before reversal time, to study the rapidity and completeness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reversing the neuromuscula</w:t>
      </w:r>
      <w:r w:rsidR="00DD3221" w:rsidRPr="006B7673">
        <w:rPr>
          <w:rFonts w:ascii="Times New Roman" w:hAnsi="Times New Roman" w:cs="Times New Roman"/>
          <w:sz w:val="20"/>
          <w:szCs w:val="20"/>
        </w:rPr>
        <w:t xml:space="preserve">r effect of 1.2mg/kg </w:t>
      </w:r>
      <w:proofErr w:type="spellStart"/>
      <w:r w:rsidR="00DD3221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In the meantime assessing the effectiveness of the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rocuronium-sugammadex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paradigm in RSI and replacing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suxamethonium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, as well as the safety of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in the all four groups comparing to the reversal with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(the standard drug for reversal of neuromuscular block).</w:t>
      </w:r>
      <w:proofErr w:type="gramEnd"/>
    </w:p>
    <w:p w:rsidR="005A1BF7" w:rsidRPr="006B7673" w:rsidRDefault="002A7B7E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T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he times from administration of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for patient of group C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(17 patients out o</w:t>
      </w:r>
      <w:r w:rsidRPr="006B7673">
        <w:rPr>
          <w:rFonts w:ascii="Times New Roman" w:hAnsi="Times New Roman" w:cs="Times New Roman"/>
          <w:sz w:val="20"/>
          <w:szCs w:val="20"/>
        </w:rPr>
        <w:t>f the 20 had PTC 0-2 and only 3 patient had PTC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5-6</w:t>
      </w:r>
      <w:r w:rsidR="001A1FF3">
        <w:rPr>
          <w:rFonts w:ascii="Times New Roman" w:hAnsi="Times New Roman" w:cs="Times New Roman"/>
          <w:sz w:val="20"/>
          <w:szCs w:val="20"/>
        </w:rPr>
        <w:t>)</w:t>
      </w:r>
      <w:r w:rsidRPr="006B7673">
        <w:rPr>
          <w:rFonts w:ascii="Times New Roman" w:hAnsi="Times New Roman" w:cs="Times New Roman"/>
          <w:sz w:val="20"/>
          <w:szCs w:val="20"/>
        </w:rPr>
        <w:t xml:space="preserve"> in a dose of 3 mg /kg 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to recovery of TOF ratio </w:t>
      </w:r>
      <w:r w:rsidR="005A1BF7" w:rsidRPr="006B767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≥ </w:t>
      </w:r>
      <w:r w:rsidR="005A1BF7" w:rsidRPr="006B7673">
        <w:rPr>
          <w:rFonts w:ascii="Times New Roman" w:hAnsi="Times New Roman" w:cs="Times New Roman"/>
          <w:sz w:val="20"/>
          <w:szCs w:val="20"/>
        </w:rPr>
        <w:t>0.9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was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 2.11 minutes with no </w:t>
      </w:r>
      <w:r w:rsidR="00F0017D" w:rsidRPr="006B7673">
        <w:rPr>
          <w:rFonts w:ascii="Times New Roman" w:hAnsi="Times New Roman" w:cs="Times New Roman"/>
          <w:sz w:val="20"/>
          <w:szCs w:val="20"/>
        </w:rPr>
        <w:t>statistical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 significant value in the time of recov</w:t>
      </w:r>
      <w:r w:rsidRPr="006B7673">
        <w:rPr>
          <w:rFonts w:ascii="Times New Roman" w:hAnsi="Times New Roman" w:cs="Times New Roman"/>
          <w:sz w:val="20"/>
          <w:szCs w:val="20"/>
        </w:rPr>
        <w:t xml:space="preserve">ery as regard the different </w:t>
      </w:r>
      <w:r w:rsidR="00650FA9" w:rsidRPr="006B7673">
        <w:rPr>
          <w:rFonts w:ascii="Times New Roman" w:hAnsi="Times New Roman" w:cs="Times New Roman"/>
          <w:sz w:val="20"/>
          <w:szCs w:val="20"/>
        </w:rPr>
        <w:t>PTC</w:t>
      </w:r>
      <w:r w:rsidRPr="006B7673">
        <w:rPr>
          <w:rFonts w:ascii="Times New Roman" w:hAnsi="Times New Roman" w:cs="Times New Roman"/>
          <w:sz w:val="20"/>
          <w:szCs w:val="20"/>
        </w:rPr>
        <w:t>; while for patients of group D (</w:t>
      </w:r>
      <w:r w:rsidR="005A1BF7" w:rsidRPr="006B7673">
        <w:rPr>
          <w:rFonts w:ascii="Times New Roman" w:hAnsi="Times New Roman" w:cs="Times New Roman"/>
          <w:sz w:val="20"/>
          <w:szCs w:val="20"/>
        </w:rPr>
        <w:t>18</w:t>
      </w:r>
      <w:r w:rsidRPr="006B7673">
        <w:rPr>
          <w:rFonts w:ascii="Times New Roman" w:hAnsi="Times New Roman" w:cs="Times New Roman"/>
          <w:sz w:val="20"/>
          <w:szCs w:val="20"/>
        </w:rPr>
        <w:t xml:space="preserve"> patients had PTC 0-2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one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patient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had P</w:t>
      </w:r>
      <w:r w:rsidRPr="006B7673">
        <w:rPr>
          <w:rFonts w:ascii="Times New Roman" w:hAnsi="Times New Roman" w:cs="Times New Roman"/>
          <w:sz w:val="20"/>
          <w:szCs w:val="20"/>
        </w:rPr>
        <w:t>TC 6 and one patient had PTC 3)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, the time was only 1.41 minute with no </w:t>
      </w:r>
      <w:r w:rsidR="00F0017D" w:rsidRPr="006B7673">
        <w:rPr>
          <w:rFonts w:ascii="Times New Roman" w:hAnsi="Times New Roman" w:cs="Times New Roman"/>
          <w:sz w:val="20"/>
          <w:szCs w:val="20"/>
        </w:rPr>
        <w:t>statistical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 significant value in the time of recovery as regard the different PTC in agreement with the study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R.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M.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Williamson, S.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Maalaiah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and P.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Barclay in 2011, as they found no correlation between PTC at administration of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and time to TOF ratio 90% using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in a dose of 4 mg/kg to reverse 1.2 mg/kg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5A1BF7" w:rsidRPr="006B7673">
        <w:rPr>
          <w:rFonts w:ascii="Times New Roman" w:hAnsi="Times New Roman" w:cs="Times New Roman"/>
          <w:sz w:val="20"/>
          <w:szCs w:val="20"/>
        </w:rPr>
        <w:t xml:space="preserve"> in the patients of their study </w:t>
      </w:r>
      <w:r w:rsidR="005A1BF7"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E06DA" w:rsidRPr="006B7673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5A1BF7" w:rsidRPr="006B7673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EE0FA4" w:rsidRPr="006B7673" w:rsidRDefault="002A7B7E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W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hen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was used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for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reversal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1.2 mg/kg </w:t>
      </w:r>
      <w:proofErr w:type="spellStart"/>
      <w:r w:rsidR="005A1BF7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with a TOF ratio 0.0 </w:t>
      </w:r>
      <w:r w:rsidR="001A1FF3">
        <w:rPr>
          <w:rFonts w:ascii="Times New Roman" w:hAnsi="Times New Roman" w:cs="Times New Roman"/>
          <w:sz w:val="20"/>
          <w:szCs w:val="20"/>
        </w:rPr>
        <w:t>(</w:t>
      </w:r>
      <w:r w:rsidR="005A1BF7" w:rsidRPr="006B7673">
        <w:rPr>
          <w:rFonts w:ascii="Times New Roman" w:hAnsi="Times New Roman" w:cs="Times New Roman"/>
          <w:sz w:val="20"/>
          <w:szCs w:val="20"/>
        </w:rPr>
        <w:t>all patient of this group had PTC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0</w:t>
      </w:r>
      <w:r w:rsidR="001A1FF3">
        <w:rPr>
          <w:rFonts w:ascii="Times New Roman" w:hAnsi="Times New Roman" w:cs="Times New Roman"/>
          <w:sz w:val="20"/>
          <w:szCs w:val="20"/>
        </w:rPr>
        <w:t>)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with a dose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12 mg /kg in patients of group E the time was only 1.15 minute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>to</w:t>
      </w:r>
      <w:r w:rsidRPr="006B7673">
        <w:rPr>
          <w:rFonts w:ascii="Times New Roman" w:hAnsi="Times New Roman" w:cs="Times New Roman"/>
          <w:sz w:val="20"/>
          <w:szCs w:val="20"/>
        </w:rPr>
        <w:t xml:space="preserve"> full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5A1BF7" w:rsidRPr="006B7673">
        <w:rPr>
          <w:rFonts w:ascii="Times New Roman" w:hAnsi="Times New Roman" w:cs="Times New Roman"/>
          <w:sz w:val="20"/>
          <w:szCs w:val="20"/>
        </w:rPr>
        <w:t xml:space="preserve">recovery and a TOF ratio achieved was </w:t>
      </w:r>
      <w:r w:rsidR="005A1BF7" w:rsidRPr="006B767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≥ </w:t>
      </w:r>
      <w:r w:rsidR="005A1BF7" w:rsidRPr="006B7673">
        <w:rPr>
          <w:rFonts w:ascii="Times New Roman" w:hAnsi="Times New Roman" w:cs="Times New Roman"/>
          <w:sz w:val="20"/>
          <w:szCs w:val="20"/>
        </w:rPr>
        <w:t>0.9</w:t>
      </w:r>
      <w:r w:rsidR="001E16C9" w:rsidRPr="006B7673">
        <w:rPr>
          <w:rFonts w:ascii="Times New Roman" w:hAnsi="Times New Roman" w:cs="Times New Roman"/>
          <w:sz w:val="20"/>
          <w:szCs w:val="20"/>
        </w:rPr>
        <w:t>.</w:t>
      </w:r>
    </w:p>
    <w:p w:rsidR="00926557" w:rsidRPr="006B7673" w:rsidRDefault="00926557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This study confirms the time of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recovery to TOF 0.9 from profound </w:t>
      </w:r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neuromuscular block</w:t>
      </w:r>
      <w:r w:rsidRPr="006B7673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with increasing the dose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Pr="006B7673">
        <w:rPr>
          <w:rFonts w:ascii="Times New Roman" w:hAnsi="Times New Roman" w:cs="Times New Roman"/>
          <w:sz w:val="20"/>
          <w:szCs w:val="20"/>
        </w:rPr>
        <w:t xml:space="preserve"> and the rapid recovery with a dose of 12 mg/kg in reversing1.2 mg/kg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>, goes hand-in-hand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with the observation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of </w:t>
      </w:r>
      <w:r w:rsidRPr="006B7673">
        <w:rPr>
          <w:rFonts w:ascii="Times New Roman" w:hAnsi="Times New Roman" w:cs="Times New Roman"/>
          <w:color w:val="000000"/>
          <w:sz w:val="20"/>
          <w:szCs w:val="20"/>
        </w:rPr>
        <w:t>Lee</w:t>
      </w:r>
      <w:r w:rsidRPr="006B7673">
        <w:rPr>
          <w:rFonts w:ascii="Times New Roman" w:hAnsi="Times New Roman" w:cs="Times New Roman"/>
          <w:sz w:val="20"/>
          <w:szCs w:val="20"/>
        </w:rPr>
        <w:t xml:space="preserve"> et al. on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2009</w:t>
      </w:r>
      <w:bookmarkStart w:id="0" w:name="_GoBack"/>
      <w:bookmarkEnd w:id="0"/>
      <w:r w:rsidRPr="006B7673">
        <w:rPr>
          <w:rFonts w:ascii="Times New Roman" w:hAnsi="Times New Roman" w:cs="Times New Roman"/>
          <w:sz w:val="20"/>
          <w:szCs w:val="20"/>
        </w:rPr>
        <w:t xml:space="preserve"> confirming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 efficacy of rapid reversal in </w:t>
      </w:r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cannot </w:t>
      </w:r>
      <w:proofErr w:type="spellStart"/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intubate</w:t>
      </w:r>
      <w:proofErr w:type="spellEnd"/>
      <w:r w:rsidRPr="006B76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cannot ventilate (CICV)</w:t>
      </w:r>
      <w:r w:rsidRPr="006B7673">
        <w:rPr>
          <w:rFonts w:ascii="Times New Roman" w:hAnsi="Times New Roman" w:cs="Times New Roman"/>
          <w:sz w:val="20"/>
          <w:szCs w:val="20"/>
        </w:rPr>
        <w:t xml:space="preserve"> scenario as well as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for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RSI with capability to reverse the neuromuscular blockade at the end of surgery even short time ones with high efficacy and safety.</w:t>
      </w:r>
    </w:p>
    <w:p w:rsidR="00695ADC" w:rsidRPr="006B7673" w:rsidRDefault="00695ADC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7673">
        <w:rPr>
          <w:rFonts w:ascii="Times New Roman" w:hAnsi="Times New Roman" w:cs="Times New Roman"/>
          <w:sz w:val="20"/>
          <w:szCs w:val="20"/>
        </w:rPr>
        <w:t>Ozlem</w:t>
      </w:r>
      <w:proofErr w:type="spellEnd"/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in 2007 found no evidence of a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hypotensive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effect due to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when it was administered under steady-state anesthetic conditions. In fact the MAP and HR values remained stable during the entire post–reversal observation 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period </w:t>
      </w:r>
      <w:r w:rsidR="000740C8" w:rsidRPr="006B767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E06DA" w:rsidRPr="006B7673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E16C9" w:rsidRPr="006B767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B7673">
        <w:rPr>
          <w:rFonts w:ascii="Times New Roman" w:hAnsi="Times New Roman" w:cs="Times New Roman"/>
          <w:sz w:val="20"/>
          <w:szCs w:val="20"/>
        </w:rPr>
        <w:t xml:space="preserve"> In </w:t>
      </w:r>
      <w:r w:rsidRPr="006B7673">
        <w:rPr>
          <w:rFonts w:ascii="Times New Roman" w:hAnsi="Times New Roman" w:cs="Times New Roman"/>
          <w:sz w:val="20"/>
          <w:szCs w:val="20"/>
        </w:rPr>
        <w:lastRenderedPageBreak/>
        <w:t xml:space="preserve">consistency with this study, this new reversal drug appears to be free of any clinically significant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hypotensive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 xml:space="preserve">effects. </w:t>
      </w:r>
      <w:r w:rsidRPr="006B7673">
        <w:rPr>
          <w:rFonts w:ascii="Times New Roman" w:hAnsi="Times New Roman" w:cs="Times New Roman"/>
          <w:sz w:val="20"/>
          <w:szCs w:val="20"/>
        </w:rPr>
        <w:t>However,</w:t>
      </w:r>
      <w:r w:rsidR="00C16F43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 statistically significant </w:t>
      </w:r>
      <w:proofErr w:type="gramStart"/>
      <w:r w:rsidRPr="006B7673">
        <w:rPr>
          <w:rFonts w:ascii="Times New Roman" w:hAnsi="Times New Roman" w:cs="Times New Roman"/>
          <w:sz w:val="20"/>
          <w:szCs w:val="20"/>
        </w:rPr>
        <w:t>values that was</w:t>
      </w:r>
      <w:proofErr w:type="gramEnd"/>
      <w:r w:rsidRPr="006B7673">
        <w:rPr>
          <w:rFonts w:ascii="Times New Roman" w:hAnsi="Times New Roman" w:cs="Times New Roman"/>
          <w:sz w:val="20"/>
          <w:szCs w:val="20"/>
        </w:rPr>
        <w:t xml:space="preserve"> detected as decrease in MAP in group D with no clinical effects on patients hemodynamic </w:t>
      </w:r>
      <w:r w:rsidR="00926557" w:rsidRPr="006B7673">
        <w:rPr>
          <w:rFonts w:ascii="Times New Roman" w:hAnsi="Times New Roman" w:cs="Times New Roman"/>
          <w:sz w:val="20"/>
          <w:szCs w:val="20"/>
        </w:rPr>
        <w:t>is</w:t>
      </w:r>
      <w:r w:rsidRPr="006B7673">
        <w:rPr>
          <w:rFonts w:ascii="Times New Roman" w:hAnsi="Times New Roman" w:cs="Times New Roman"/>
          <w:sz w:val="20"/>
          <w:szCs w:val="20"/>
        </w:rPr>
        <w:t xml:space="preserve"> considered </w:t>
      </w:r>
      <w:r w:rsidR="000740C8" w:rsidRPr="006B7673">
        <w:rPr>
          <w:rFonts w:ascii="Times New Roman" w:hAnsi="Times New Roman" w:cs="Times New Roman"/>
          <w:sz w:val="20"/>
          <w:szCs w:val="20"/>
        </w:rPr>
        <w:t>of no</w:t>
      </w:r>
      <w:r w:rsidRPr="006B7673">
        <w:rPr>
          <w:rFonts w:ascii="Times New Roman" w:hAnsi="Times New Roman" w:cs="Times New Roman"/>
          <w:sz w:val="20"/>
          <w:szCs w:val="20"/>
        </w:rPr>
        <w:t xml:space="preserve"> clinical significant value.</w:t>
      </w:r>
    </w:p>
    <w:p w:rsidR="00695ADC" w:rsidRPr="006B7673" w:rsidRDefault="00695ADC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 xml:space="preserve">Also the decreased of HR in group </w:t>
      </w:r>
      <w:r w:rsidR="00F569C7" w:rsidRPr="006B7673">
        <w:rPr>
          <w:rFonts w:ascii="Times New Roman" w:hAnsi="Times New Roman" w:cs="Times New Roman"/>
          <w:sz w:val="20"/>
          <w:szCs w:val="20"/>
        </w:rPr>
        <w:t>B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hAnsi="Times New Roman" w:cs="Times New Roman"/>
          <w:sz w:val="20"/>
          <w:szCs w:val="20"/>
        </w:rPr>
        <w:t>C,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1E16C9" w:rsidRPr="006B7673">
        <w:rPr>
          <w:rFonts w:ascii="Times New Roman" w:hAnsi="Times New Roman" w:cs="Times New Roman"/>
          <w:sz w:val="20"/>
          <w:szCs w:val="20"/>
        </w:rPr>
        <w:t>D</w:t>
      </w:r>
      <w:r w:rsidR="00C16F43" w:rsidRPr="006B7673">
        <w:rPr>
          <w:rFonts w:ascii="Times New Roman" w:hAnsi="Times New Roman" w:cs="Times New Roman"/>
          <w:sz w:val="20"/>
          <w:szCs w:val="20"/>
        </w:rPr>
        <w:t xml:space="preserve"> and 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903B11" w:rsidRPr="006B7673">
        <w:rPr>
          <w:rFonts w:ascii="Times New Roman" w:hAnsi="Times New Roman" w:cs="Times New Roman"/>
          <w:sz w:val="20"/>
          <w:szCs w:val="20"/>
        </w:rPr>
        <w:t xml:space="preserve">with no changes in MAP or patient hemodynamic effects considered of </w:t>
      </w:r>
      <w:r w:rsidRPr="006B7673">
        <w:rPr>
          <w:rFonts w:ascii="Times New Roman" w:hAnsi="Times New Roman" w:cs="Times New Roman"/>
          <w:sz w:val="20"/>
          <w:szCs w:val="20"/>
        </w:rPr>
        <w:t>no clinical significant value and also the recorded pulse rate</w:t>
      </w:r>
      <w:r w:rsidR="00F07477" w:rsidRPr="006B7673">
        <w:rPr>
          <w:rFonts w:ascii="Times New Roman" w:hAnsi="Times New Roman" w:cs="Times New Roman"/>
          <w:sz w:val="20"/>
          <w:szCs w:val="20"/>
        </w:rPr>
        <w:t xml:space="preserve">s still within </w:t>
      </w:r>
      <w:r w:rsidRPr="006B7673">
        <w:rPr>
          <w:rFonts w:ascii="Times New Roman" w:hAnsi="Times New Roman" w:cs="Times New Roman"/>
          <w:sz w:val="20"/>
          <w:szCs w:val="20"/>
        </w:rPr>
        <w:t xml:space="preserve">normal HR values, </w:t>
      </w:r>
      <w:r w:rsidR="00F569C7" w:rsidRPr="006B7673">
        <w:rPr>
          <w:rFonts w:ascii="Times New Roman" w:hAnsi="Times New Roman" w:cs="Times New Roman"/>
          <w:sz w:val="20"/>
          <w:szCs w:val="20"/>
        </w:rPr>
        <w:t>meanwhile</w:t>
      </w:r>
      <w:r w:rsidRPr="006B7673">
        <w:rPr>
          <w:rFonts w:ascii="Times New Roman" w:hAnsi="Times New Roman" w:cs="Times New Roman"/>
          <w:sz w:val="20"/>
          <w:szCs w:val="20"/>
        </w:rPr>
        <w:t xml:space="preserve"> the patient status change from light plan of general anesthesia immediately before reversal to full recovery after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and pain free because of the analgesic effect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fentanyl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specially in group C, D and E is consid</w:t>
      </w:r>
      <w:r w:rsidR="00F07477" w:rsidRPr="006B7673">
        <w:rPr>
          <w:rFonts w:ascii="Times New Roman" w:hAnsi="Times New Roman" w:cs="Times New Roman"/>
          <w:sz w:val="20"/>
          <w:szCs w:val="20"/>
        </w:rPr>
        <w:t>ered a reason for that decrease</w:t>
      </w:r>
      <w:r w:rsidRPr="006B7673">
        <w:rPr>
          <w:rFonts w:ascii="Times New Roman" w:hAnsi="Times New Roman" w:cs="Times New Roman"/>
          <w:sz w:val="20"/>
          <w:szCs w:val="20"/>
        </w:rPr>
        <w:t xml:space="preserve">; so this decrease in HR even it is of no clinical significant could not proved as an effect of the reversal agent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. </w:t>
      </w:r>
      <w:r w:rsidR="00926557" w:rsidRPr="006B7673">
        <w:rPr>
          <w:rFonts w:ascii="Times New Roman" w:hAnsi="Times New Roman" w:cs="Times New Roman"/>
          <w:sz w:val="20"/>
          <w:szCs w:val="20"/>
        </w:rPr>
        <w:t xml:space="preserve">While </w:t>
      </w:r>
      <w:r w:rsidR="00AA4EE1" w:rsidRPr="006B7673">
        <w:rPr>
          <w:rFonts w:ascii="Times New Roman" w:hAnsi="Times New Roman" w:cs="Times New Roman"/>
          <w:sz w:val="20"/>
          <w:szCs w:val="20"/>
        </w:rPr>
        <w:t xml:space="preserve">7 patients </w:t>
      </w:r>
      <w:r w:rsidR="00F569C7" w:rsidRPr="006B7673">
        <w:rPr>
          <w:rFonts w:ascii="Times New Roman" w:hAnsi="Times New Roman" w:cs="Times New Roman"/>
          <w:sz w:val="20"/>
          <w:szCs w:val="20"/>
        </w:rPr>
        <w:t xml:space="preserve">of group </w:t>
      </w:r>
      <w:proofErr w:type="gramStart"/>
      <w:r w:rsidR="00F569C7" w:rsidRPr="006B767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F569C7" w:rsidRPr="006B7673">
        <w:rPr>
          <w:rFonts w:ascii="Times New Roman" w:hAnsi="Times New Roman" w:cs="Times New Roman"/>
          <w:sz w:val="20"/>
          <w:szCs w:val="20"/>
        </w:rPr>
        <w:t xml:space="preserve"> (35%) their heart rate was increased</w:t>
      </w:r>
      <w:r w:rsidR="00AA4EE1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740C8" w:rsidRPr="006B7673">
        <w:rPr>
          <w:rFonts w:ascii="Times New Roman" w:hAnsi="Times New Roman" w:cs="Times New Roman"/>
          <w:sz w:val="20"/>
          <w:szCs w:val="20"/>
        </w:rPr>
        <w:t>within 2</w:t>
      </w:r>
      <w:r w:rsidR="00F569C7" w:rsidRPr="006B7673">
        <w:rPr>
          <w:rFonts w:ascii="Times New Roman" w:hAnsi="Times New Roman" w:cs="Times New Roman"/>
          <w:sz w:val="20"/>
          <w:szCs w:val="20"/>
        </w:rPr>
        <w:t xml:space="preserve"> minutes of reversal and was high statistically significant values as the increase rate was more than 15% of the basal value in some </w:t>
      </w:r>
      <w:r w:rsidR="000740C8" w:rsidRPr="006B7673">
        <w:rPr>
          <w:rFonts w:ascii="Times New Roman" w:hAnsi="Times New Roman" w:cs="Times New Roman"/>
          <w:sz w:val="20"/>
          <w:szCs w:val="20"/>
        </w:rPr>
        <w:t>cases.</w:t>
      </w:r>
    </w:p>
    <w:p w:rsidR="005A1BF7" w:rsidRPr="006B7673" w:rsidRDefault="005A1BF7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Compared to the standard cholinesterase-inhibiting drug (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was associated with a more rapid and complete reversal</w:t>
      </w:r>
      <w:r w:rsidR="002A7B7E" w:rsidRPr="006B7673">
        <w:rPr>
          <w:rFonts w:ascii="Times New Roman" w:hAnsi="Times New Roman" w:cs="Times New Roman"/>
          <w:sz w:val="20"/>
          <w:szCs w:val="20"/>
        </w:rPr>
        <w:t xml:space="preserve"> from</w:t>
      </w:r>
      <w:r w:rsidRPr="006B7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>-induced neuromuscular bloc</w:t>
      </w:r>
      <w:r w:rsidR="002A7B7E" w:rsidRPr="006B7673">
        <w:rPr>
          <w:rFonts w:ascii="Times New Roman" w:hAnsi="Times New Roman" w:cs="Times New Roman"/>
          <w:sz w:val="20"/>
          <w:szCs w:val="20"/>
        </w:rPr>
        <w:t xml:space="preserve">k under general anesthesia.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 use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also obviated the need for the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anticholinergic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drugs as it should be used with cholinesterase-inhibiting drug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E06DA" w:rsidRPr="006B7673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6B7673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  <w:r w:rsidRPr="006B7673">
        <w:rPr>
          <w:rFonts w:ascii="Times New Roman" w:hAnsi="Times New Roman" w:cs="Times New Roman"/>
          <w:sz w:val="20"/>
          <w:szCs w:val="20"/>
        </w:rPr>
        <w:t xml:space="preserve">These comparative data suggest that when steroid based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nondepolarizing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neuromuscular blocking drugs suc</w:t>
      </w:r>
      <w:r w:rsidR="002A7B7E" w:rsidRPr="006B7673">
        <w:rPr>
          <w:rFonts w:ascii="Times New Roman" w:hAnsi="Times New Roman" w:cs="Times New Roman"/>
          <w:sz w:val="20"/>
          <w:szCs w:val="20"/>
        </w:rPr>
        <w:t xml:space="preserve">h as </w:t>
      </w:r>
      <w:proofErr w:type="spellStart"/>
      <w:r w:rsidR="002A7B7E"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2A7B7E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AB72F0" w:rsidRPr="006B7673">
        <w:rPr>
          <w:rFonts w:ascii="Times New Roman" w:hAnsi="Times New Roman" w:cs="Times New Roman"/>
          <w:sz w:val="20"/>
          <w:szCs w:val="20"/>
        </w:rPr>
        <w:t xml:space="preserve">is </w:t>
      </w:r>
      <w:r w:rsidRPr="006B7673">
        <w:rPr>
          <w:rFonts w:ascii="Times New Roman" w:hAnsi="Times New Roman" w:cs="Times New Roman"/>
          <w:sz w:val="20"/>
          <w:szCs w:val="20"/>
        </w:rPr>
        <w:t xml:space="preserve">used </w:t>
      </w:r>
      <w:r w:rsidR="00AB72F0" w:rsidRPr="006B7673">
        <w:rPr>
          <w:rFonts w:ascii="Times New Roman" w:hAnsi="Times New Roman" w:cs="Times New Roman"/>
          <w:sz w:val="20"/>
          <w:szCs w:val="20"/>
        </w:rPr>
        <w:t xml:space="preserve">to </w:t>
      </w:r>
      <w:r w:rsidRPr="006B7673">
        <w:rPr>
          <w:rFonts w:ascii="Times New Roman" w:hAnsi="Times New Roman" w:cs="Times New Roman"/>
          <w:sz w:val="20"/>
          <w:szCs w:val="20"/>
        </w:rPr>
        <w:t xml:space="preserve">facilitate tracheal intubation for short surgical procedures, the availability and the use of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may provide a more rapid and complete reversal of residual blockade at the end of surgery regardless the time of reversal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>and / or the degree on neuromuscular block</w:t>
      </w:r>
      <w:r w:rsidR="001E16C9" w:rsidRPr="006B7673">
        <w:rPr>
          <w:rFonts w:ascii="Times New Roman" w:hAnsi="Times New Roman" w:cs="Times New Roman"/>
          <w:sz w:val="20"/>
          <w:szCs w:val="20"/>
        </w:rPr>
        <w:t>.</w:t>
      </w:r>
    </w:p>
    <w:p w:rsidR="00057B32" w:rsidRPr="006B7673" w:rsidRDefault="00057B32" w:rsidP="006B7673">
      <w:pPr>
        <w:autoSpaceDE w:val="0"/>
        <w:autoSpaceDN w:val="0"/>
        <w:bidi w:val="0"/>
        <w:adjustRightInd w:val="0"/>
        <w:snapToGrid w:val="0"/>
        <w:spacing w:after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647D" w:rsidRPr="006B7673" w:rsidRDefault="00B8647D" w:rsidP="006B7673">
      <w:pPr>
        <w:autoSpaceDE w:val="0"/>
        <w:autoSpaceDN w:val="0"/>
        <w:bidi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006358" w:rsidRPr="006B7673" w:rsidRDefault="00006358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Pr="006B7673">
        <w:rPr>
          <w:rFonts w:ascii="Times New Roman" w:hAnsi="Times New Roman" w:cs="Times New Roman"/>
          <w:sz w:val="20"/>
          <w:szCs w:val="20"/>
        </w:rPr>
        <w:t xml:space="preserve"> was safe and well tolerated when used to reverse the neuromuscular block induced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6B7673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Pr="006B767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A3144D" w:rsidRPr="006B7673">
        <w:rPr>
          <w:rFonts w:ascii="Times New Roman" w:hAnsi="Times New Roman" w:cs="Times New Roman"/>
          <w:sz w:val="20"/>
          <w:szCs w:val="20"/>
        </w:rPr>
        <w:t xml:space="preserve"> in a reverse pattern that means increasing the dose of </w:t>
      </w:r>
      <w:proofErr w:type="spellStart"/>
      <w:r w:rsidR="00A3144D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A3144D" w:rsidRPr="006B7673">
        <w:rPr>
          <w:rFonts w:ascii="Times New Roman" w:hAnsi="Times New Roman" w:cs="Times New Roman"/>
          <w:sz w:val="20"/>
          <w:szCs w:val="20"/>
        </w:rPr>
        <w:t xml:space="preserve"> from 3 mg/kg to 6 mg/kg </w:t>
      </w:r>
      <w:r w:rsidR="00AC5FCF" w:rsidRPr="006B7673">
        <w:rPr>
          <w:rFonts w:ascii="Times New Roman" w:hAnsi="Times New Roman" w:cs="Times New Roman"/>
          <w:sz w:val="20"/>
          <w:szCs w:val="20"/>
        </w:rPr>
        <w:t xml:space="preserve">decreasing the recovery time from 2.1 minutes to 1.4 minute </w:t>
      </w:r>
      <w:r w:rsidR="00A3144D" w:rsidRPr="006B7673">
        <w:rPr>
          <w:rFonts w:ascii="Times New Roman" w:hAnsi="Times New Roman" w:cs="Times New Roman"/>
          <w:sz w:val="20"/>
          <w:szCs w:val="20"/>
        </w:rPr>
        <w:t xml:space="preserve">approaching only 66% of the time of the low dose. </w:t>
      </w:r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A dose of 3 mg/kg </w:t>
      </w:r>
      <w:proofErr w:type="spellStart"/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>sugammadex</w:t>
      </w:r>
      <w:proofErr w:type="spellEnd"/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, a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high significant difference decrease </w:t>
      </w:r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in the time of recovery in comparing with </w:t>
      </w:r>
      <w:proofErr w:type="spellStart"/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>neostigmine</w:t>
      </w:r>
      <w:proofErr w:type="spellEnd"/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0.05 mg/kg as the recovery time </w:t>
      </w:r>
      <w:r w:rsidR="00AC5FCF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decreased from 3.55 minutes to 1.3 minutes </w:t>
      </w:r>
      <w:r w:rsidR="00A3144D"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is </w:t>
      </w:r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approaching only 30% of </w:t>
      </w:r>
      <w:proofErr w:type="spellStart"/>
      <w:r w:rsidRPr="006B7673">
        <w:rPr>
          <w:rFonts w:ascii="Times New Roman" w:hAnsi="Times New Roman" w:cs="Times New Roman"/>
          <w:sz w:val="20"/>
          <w:szCs w:val="20"/>
          <w:lang w:bidi="ar-EG"/>
        </w:rPr>
        <w:t>neostigmine</w:t>
      </w:r>
      <w:proofErr w:type="spellEnd"/>
      <w:r w:rsidRPr="006B7673">
        <w:rPr>
          <w:rFonts w:ascii="Times New Roman" w:hAnsi="Times New Roman" w:cs="Times New Roman"/>
          <w:sz w:val="20"/>
          <w:szCs w:val="20"/>
          <w:lang w:bidi="ar-EG"/>
        </w:rPr>
        <w:t xml:space="preserve"> time</w:t>
      </w:r>
      <w:r w:rsidR="001E16C9" w:rsidRPr="006B7673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057B32" w:rsidRPr="006B7673" w:rsidRDefault="00A3144D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B7673">
        <w:rPr>
          <w:rFonts w:ascii="Times New Roman" w:hAnsi="Times New Roman" w:cs="Times New Roman"/>
          <w:sz w:val="20"/>
          <w:szCs w:val="20"/>
        </w:rPr>
        <w:t>T</w:t>
      </w:r>
      <w:r w:rsidR="00006358" w:rsidRPr="006B7673">
        <w:rPr>
          <w:rFonts w:ascii="Times New Roman" w:hAnsi="Times New Roman" w:cs="Times New Roman"/>
          <w:sz w:val="20"/>
          <w:szCs w:val="20"/>
        </w:rPr>
        <w:t xml:space="preserve">he potential benefits of </w:t>
      </w:r>
      <w:proofErr w:type="spellStart"/>
      <w:r w:rsidR="00006358" w:rsidRPr="006B767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006358" w:rsidRPr="006B7673">
        <w:rPr>
          <w:rFonts w:ascii="Times New Roman" w:hAnsi="Times New Roman" w:cs="Times New Roman"/>
          <w:sz w:val="20"/>
          <w:szCs w:val="20"/>
        </w:rPr>
        <w:t xml:space="preserve"> in terms of increased patient safety, increased predictability of recovery from NMB</w:t>
      </w:r>
      <w:r w:rsidR="001E16C9" w:rsidRPr="006B7673">
        <w:rPr>
          <w:rFonts w:ascii="Times New Roman" w:hAnsi="Times New Roman" w:cs="Times New Roman"/>
          <w:sz w:val="20"/>
          <w:szCs w:val="20"/>
        </w:rPr>
        <w:t>,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minimizes the risk of </w:t>
      </w:r>
      <w:r w:rsidR="00006358" w:rsidRPr="006B7673">
        <w:rPr>
          <w:rFonts w:ascii="Times New Roman" w:hAnsi="Times New Roman" w:cs="Times New Roman"/>
          <w:sz w:val="20"/>
          <w:szCs w:val="20"/>
        </w:rPr>
        <w:t>residual block or reoccurrence of neuromuscular block</w:t>
      </w:r>
      <w:r w:rsid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and its consequences</w:t>
      </w:r>
      <w:r w:rsidR="007928E5" w:rsidRPr="006B7673">
        <w:rPr>
          <w:rFonts w:ascii="Times New Roman" w:hAnsi="Times New Roman" w:cs="Times New Roman"/>
          <w:sz w:val="20"/>
          <w:szCs w:val="20"/>
        </w:rPr>
        <w:t>,</w:t>
      </w:r>
      <w:r w:rsidR="00006358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promotes a rapid turnover of patients in 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the operating theaters </w:t>
      </w:r>
      <w:r w:rsidR="00006358" w:rsidRPr="006B7673">
        <w:rPr>
          <w:rFonts w:ascii="Times New Roman" w:hAnsi="Times New Roman" w:cs="Times New Roman"/>
          <w:sz w:val="20"/>
          <w:szCs w:val="20"/>
        </w:rPr>
        <w:t>and more efficient use of theatre time and staff</w:t>
      </w:r>
      <w:r w:rsidR="001E16C9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which is cost-effective and limits the disadvantage of its high cost</w:t>
      </w:r>
      <w:r w:rsidR="001E16C9" w:rsidRPr="006B7673">
        <w:rPr>
          <w:rFonts w:ascii="Times New Roman" w:hAnsi="Times New Roman" w:cs="Times New Roman"/>
          <w:sz w:val="20"/>
          <w:szCs w:val="20"/>
        </w:rPr>
        <w:t>;</w:t>
      </w:r>
      <w:r w:rsidR="00006358" w:rsidRPr="006B7673">
        <w:rPr>
          <w:rFonts w:ascii="Times New Roman" w:hAnsi="Times New Roman" w:cs="Times New Roman"/>
          <w:sz w:val="20"/>
          <w:szCs w:val="20"/>
        </w:rPr>
        <w:t xml:space="preserve"> 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as well its advantage in </w:t>
      </w:r>
      <w:r w:rsidR="00006358" w:rsidRPr="006B7673">
        <w:rPr>
          <w:rFonts w:ascii="Times New Roman" w:hAnsi="Times New Roman" w:cs="Times New Roman"/>
          <w:sz w:val="20"/>
          <w:szCs w:val="20"/>
        </w:rPr>
        <w:t>situations such as a “CICV”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6358" w:rsidRPr="006B7673">
        <w:rPr>
          <w:rFonts w:ascii="Times New Roman" w:hAnsi="Times New Roman" w:cs="Times New Roman"/>
          <w:sz w:val="20"/>
          <w:szCs w:val="20"/>
        </w:rPr>
        <w:t>specially in RSI cases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006358" w:rsidRPr="006B7673">
        <w:rPr>
          <w:rFonts w:ascii="Times New Roman" w:hAnsi="Times New Roman" w:cs="Times New Roman"/>
          <w:sz w:val="20"/>
          <w:szCs w:val="20"/>
        </w:rPr>
        <w:t xml:space="preserve">together with its use when </w:t>
      </w:r>
      <w:proofErr w:type="spellStart"/>
      <w:r w:rsidR="00006358" w:rsidRPr="006B7673">
        <w:rPr>
          <w:rFonts w:ascii="Times New Roman" w:hAnsi="Times New Roman" w:cs="Times New Roman"/>
          <w:sz w:val="20"/>
          <w:szCs w:val="20"/>
        </w:rPr>
        <w:t>suxamethonium</w:t>
      </w:r>
      <w:proofErr w:type="spellEnd"/>
      <w:r w:rsidR="00006358" w:rsidRPr="006B7673">
        <w:rPr>
          <w:rFonts w:ascii="Times New Roman" w:hAnsi="Times New Roman" w:cs="Times New Roman"/>
          <w:sz w:val="20"/>
          <w:szCs w:val="20"/>
        </w:rPr>
        <w:t xml:space="preserve"> is contraindicated </w:t>
      </w:r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have led the consideration of </w:t>
      </w:r>
      <w:proofErr w:type="spellStart"/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>sugammadex</w:t>
      </w:r>
      <w:proofErr w:type="spellEnd"/>
      <w:r w:rsidR="00006358" w:rsidRPr="006B7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is the</w:t>
      </w:r>
      <w:r w:rsidR="001E16C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6358" w:rsidRPr="006B7673">
        <w:rPr>
          <w:rFonts w:ascii="Times New Roman" w:hAnsi="Times New Roman" w:cs="Times New Roman"/>
          <w:sz w:val="20"/>
          <w:szCs w:val="20"/>
        </w:rPr>
        <w:t>ideal reversal agent and is likely to be used more in the future.</w:t>
      </w:r>
    </w:p>
    <w:p w:rsidR="00057B32" w:rsidRPr="006B7673" w:rsidRDefault="00057B32" w:rsidP="006B7673">
      <w:pPr>
        <w:bidi w:val="0"/>
        <w:snapToGrid w:val="0"/>
        <w:spacing w:after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E16C9" w:rsidRPr="006B7673" w:rsidRDefault="00057B32" w:rsidP="006B7673">
      <w:pPr>
        <w:bidi w:val="0"/>
        <w:snapToGri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6B7673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R</w:t>
      </w:r>
      <w:r w:rsidR="00057B32" w:rsidRPr="001E16C9">
        <w:rPr>
          <w:rFonts w:ascii="Times New Roman" w:hAnsi="Times New Roman" w:cs="Times New Roman"/>
          <w:sz w:val="20"/>
          <w:szCs w:val="20"/>
        </w:rPr>
        <w:t>aghavendra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T.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2002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blocking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drugs: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discovery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development.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Soc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Med.;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95:363–7.</w:t>
      </w:r>
    </w:p>
    <w:p w:rsid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anumantha</w:t>
      </w:r>
      <w:proofErr w:type="spellEnd"/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R.,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Venkatraman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A.</w:t>
      </w:r>
      <w:r w:rsidRPr="001E16C9">
        <w:rPr>
          <w:rFonts w:ascii="Times New Roman" w:eastAsia="Times New Roman" w:hAnsi="Times New Roman" w:cs="Times New Roman"/>
          <w:sz w:val="20"/>
          <w:szCs w:val="20"/>
        </w:rPr>
        <w:t>,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Mallleswari</w:t>
      </w:r>
      <w:proofErr w:type="spellEnd"/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R.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2011</w:t>
      </w:r>
      <w:r w:rsidRPr="001E16C9">
        <w:rPr>
          <w:rFonts w:ascii="Times New Roman" w:eastAsia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comparison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intubating</w:t>
      </w:r>
      <w:proofErr w:type="spellEnd"/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conditions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rocuronium</w:t>
      </w:r>
      <w:proofErr w:type="spellEnd"/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priming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priming: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Randomized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double-blind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study.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Indian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J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Anaesth</w:t>
      </w:r>
      <w:proofErr w:type="spellEnd"/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.;</w:t>
      </w:r>
      <w:proofErr w:type="gramEnd"/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55(5):</w:t>
      </w:r>
      <w:r w:rsidR="006B7673" w:rsidRPr="001E1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eastAsia="Times New Roman" w:hAnsi="Times New Roman" w:cs="Times New Roman"/>
          <w:sz w:val="20"/>
          <w:szCs w:val="20"/>
        </w:rPr>
        <w:t>494–49</w:t>
      </w:r>
      <w:r w:rsidRPr="001E16C9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S</w:t>
      </w:r>
      <w:r w:rsidR="00057B32" w:rsidRPr="001E16C9">
        <w:rPr>
          <w:rFonts w:ascii="Times New Roman" w:hAnsi="Times New Roman" w:cs="Times New Roman"/>
          <w:sz w:val="20"/>
          <w:szCs w:val="20"/>
        </w:rPr>
        <w:t>hobhana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G.</w:t>
      </w:r>
      <w:r w:rsidRPr="001E16C9">
        <w:rPr>
          <w:rFonts w:ascii="Times New Roman" w:hAnsi="Times New Roman" w:cs="Times New Roman"/>
          <w:sz w:val="20"/>
          <w:szCs w:val="20"/>
        </w:rPr>
        <w:t>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Kirubahar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2010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comparative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study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intubating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conditions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bromide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suxamethonium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in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adult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patients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Anesth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Essays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Res.;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4(1):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15–1</w:t>
      </w:r>
      <w:r w:rsidRPr="001E16C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E16C9">
        <w:rPr>
          <w:rFonts w:ascii="Times New Roman" w:hAnsi="Times New Roman" w:cs="Times New Roman"/>
          <w:sz w:val="20"/>
          <w:szCs w:val="20"/>
        </w:rPr>
        <w:t>M</w:t>
      </w:r>
      <w:r w:rsidR="00057B32" w:rsidRPr="001E16C9">
        <w:rPr>
          <w:rFonts w:ascii="Times New Roman" w:hAnsi="Times New Roman" w:cs="Times New Roman"/>
          <w:sz w:val="20"/>
          <w:szCs w:val="20"/>
        </w:rPr>
        <w:t>urphy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G.,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Brull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2010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Residual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lessons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learned.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Part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definitions,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incidence,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adverse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physiologic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effects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residual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Anesth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Analg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111:120-</w:t>
      </w:r>
      <w:r w:rsidRPr="001E16C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S</w:t>
      </w:r>
      <w:r w:rsidR="00057B32" w:rsidRPr="001E16C9">
        <w:rPr>
          <w:rFonts w:ascii="Times New Roman" w:hAnsi="Times New Roman" w:cs="Times New Roman"/>
          <w:sz w:val="20"/>
          <w:szCs w:val="20"/>
        </w:rPr>
        <w:t>rivastava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Hunter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2009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Reversal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57B32" w:rsidRPr="001E16C9">
        <w:rPr>
          <w:rFonts w:ascii="Times New Roman" w:hAnsi="Times New Roman" w:cs="Times New Roman"/>
          <w:sz w:val="20"/>
          <w:szCs w:val="20"/>
        </w:rPr>
        <w:t>Anaesth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103(1):115–29.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A</w:t>
      </w:r>
      <w:r w:rsidR="00057B32" w:rsidRPr="001E16C9">
        <w:rPr>
          <w:rFonts w:ascii="Times New Roman" w:hAnsi="Times New Roman" w:cs="Times New Roman"/>
          <w:sz w:val="20"/>
          <w:szCs w:val="20"/>
        </w:rPr>
        <w:t>brishami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Ho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Wong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Yin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L.,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Chung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2009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selective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reversal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medication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for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preventing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postoperative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residual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blockade.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Cochrane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Database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Syst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Rev.;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4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C</w:t>
      </w:r>
      <w:r w:rsidR="00057B32" w:rsidRPr="001E16C9">
        <w:rPr>
          <w:rFonts w:ascii="Times New Roman" w:hAnsi="Times New Roman" w:cs="Times New Roman"/>
          <w:sz w:val="20"/>
          <w:szCs w:val="20"/>
        </w:rPr>
        <w:t>D007362.</w:t>
      </w:r>
    </w:p>
    <w:p w:rsidR="001E16C9" w:rsidRPr="001E16C9" w:rsidRDefault="00057B32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1E16C9">
        <w:rPr>
          <w:rFonts w:ascii="Times New Roman" w:hAnsi="Times New Roman" w:cs="Times New Roman"/>
          <w:sz w:val="20"/>
          <w:szCs w:val="20"/>
        </w:rPr>
        <w:lastRenderedPageBreak/>
        <w:t>Allen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H.,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16C9">
        <w:rPr>
          <w:rFonts w:ascii="Times New Roman" w:hAnsi="Times New Roman" w:cs="Times New Roman"/>
          <w:sz w:val="20"/>
          <w:szCs w:val="20"/>
        </w:rPr>
        <w:t>Calum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R.,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Carl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van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W.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2015</w:t>
      </w:r>
      <w:r w:rsidR="001E16C9"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The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influence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cholinesterase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inhibitor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therapy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for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dementia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risk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cardiac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pacemaker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insertion: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retrospective,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population-based,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health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administrative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databases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study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in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Ontario,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Canada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BMC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Neurol.;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15: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66.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B</w:t>
      </w:r>
      <w:r w:rsidR="00057B32" w:rsidRPr="001E16C9">
        <w:rPr>
          <w:rFonts w:ascii="Times New Roman" w:hAnsi="Times New Roman" w:cs="Times New Roman"/>
          <w:sz w:val="20"/>
          <w:szCs w:val="20"/>
        </w:rPr>
        <w:t>om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Bradley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M.,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Cameron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K.,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Clark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van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Egmond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Feilden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H.,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al.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2002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novel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concept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reversing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neuromuscular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block: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chemical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encapsulation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rocuro</w:t>
      </w:r>
      <w:r w:rsidR="00057B32" w:rsidRPr="001E16C9">
        <w:rPr>
          <w:rFonts w:ascii="Times New Roman" w:hAnsi="Times New Roman" w:cs="Times New Roman"/>
          <w:sz w:val="20"/>
          <w:szCs w:val="20"/>
        </w:rPr>
        <w:softHyphen/>
        <w:t>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bromide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cyclodextrin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-based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synthetic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host.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Angew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Chem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Int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Engl.;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41(2):265–70.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W</w:t>
      </w:r>
      <w:r w:rsidR="00057B32" w:rsidRPr="001E16C9">
        <w:rPr>
          <w:rFonts w:ascii="Times New Roman" w:hAnsi="Times New Roman" w:cs="Times New Roman"/>
          <w:sz w:val="20"/>
          <w:szCs w:val="20"/>
        </w:rPr>
        <w:t>elliver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M.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2006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New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drug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selective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relaxant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binding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agent.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AANA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74(5):357–62.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G</w:t>
      </w:r>
      <w:r w:rsidR="00057B32" w:rsidRPr="001E16C9">
        <w:rPr>
          <w:rFonts w:ascii="Times New Roman" w:hAnsi="Times New Roman" w:cs="Times New Roman"/>
          <w:sz w:val="20"/>
          <w:szCs w:val="20"/>
        </w:rPr>
        <w:t>ijsenbergh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Ramael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Houwing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van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Iersel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T.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2005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First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human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exposure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Org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25969,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novel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agent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to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reverse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the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action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bromide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Anesthesiology.</w:t>
      </w:r>
      <w:r w:rsidRPr="001E16C9">
        <w:rPr>
          <w:rFonts w:ascii="Times New Roman" w:hAnsi="Times New Roman" w:cs="Times New Roman"/>
          <w:sz w:val="20"/>
          <w:szCs w:val="20"/>
        </w:rPr>
        <w:t>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103(4):695-703.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E16C9">
        <w:rPr>
          <w:rFonts w:ascii="Times New Roman" w:hAnsi="Times New Roman" w:cs="Times New Roman"/>
          <w:sz w:val="20"/>
          <w:szCs w:val="20"/>
        </w:rPr>
        <w:t>B</w:t>
      </w:r>
      <w:r w:rsidR="00057B32" w:rsidRPr="001E16C9">
        <w:rPr>
          <w:rFonts w:ascii="Times New Roman" w:hAnsi="Times New Roman" w:cs="Times New Roman"/>
          <w:sz w:val="20"/>
          <w:szCs w:val="20"/>
        </w:rPr>
        <w:t>arthel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Stojeba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N.,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Lyons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G.,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57B32" w:rsidRPr="001E16C9">
        <w:rPr>
          <w:rFonts w:ascii="Times New Roman" w:hAnsi="Times New Roman" w:cs="Times New Roman"/>
          <w:sz w:val="20"/>
          <w:szCs w:val="20"/>
        </w:rPr>
        <w:t>Biermann</w:t>
      </w:r>
      <w:proofErr w:type="spellEnd"/>
      <w:proofErr w:type="gram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C.,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Diemunsch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2012</w:t>
      </w:r>
      <w:r w:rsidRPr="001E16C9">
        <w:rPr>
          <w:rFonts w:ascii="Times New Roman" w:hAnsi="Times New Roman" w:cs="Times New Roman"/>
          <w:sz w:val="20"/>
          <w:szCs w:val="20"/>
        </w:rPr>
        <w:t>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in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anaphylaxis: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dose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matters.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J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57B32" w:rsidRPr="001E16C9">
        <w:rPr>
          <w:rFonts w:ascii="Times New Roman" w:hAnsi="Times New Roman" w:cs="Times New Roman"/>
          <w:sz w:val="20"/>
          <w:szCs w:val="20"/>
        </w:rPr>
        <w:t>Anaesth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109: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646–7.</w:t>
      </w:r>
    </w:p>
    <w:p w:rsidR="001E16C9" w:rsidRPr="001E16C9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16C9">
        <w:rPr>
          <w:rFonts w:ascii="Times New Roman" w:hAnsi="Times New Roman" w:cs="Times New Roman"/>
          <w:sz w:val="20"/>
          <w:szCs w:val="20"/>
        </w:rPr>
        <w:t>W</w:t>
      </w:r>
      <w:r w:rsidR="00057B32" w:rsidRPr="001E16C9">
        <w:rPr>
          <w:rFonts w:ascii="Times New Roman" w:hAnsi="Times New Roman" w:cs="Times New Roman"/>
          <w:sz w:val="20"/>
          <w:szCs w:val="20"/>
        </w:rPr>
        <w:t>illiamson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Mallalah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S.,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Barclay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P.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2011: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and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for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rapid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sequence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induction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of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obstetric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general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="00057B32" w:rsidRPr="001E16C9">
        <w:rPr>
          <w:rFonts w:ascii="Times New Roman" w:hAnsi="Times New Roman" w:cs="Times New Roman"/>
          <w:sz w:val="20"/>
          <w:szCs w:val="20"/>
        </w:rPr>
        <w:t>.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E16C9">
        <w:rPr>
          <w:rFonts w:ascii="Times New Roman" w:hAnsi="Times New Roman" w:cs="Times New Roman"/>
          <w:sz w:val="20"/>
          <w:szCs w:val="20"/>
        </w:rPr>
        <w:t>Anaesthesiol</w:t>
      </w:r>
      <w:proofErr w:type="spellEnd"/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Scand.;</w:t>
      </w:r>
      <w:r w:rsidR="006B7673" w:rsidRPr="001E16C9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E16C9">
        <w:rPr>
          <w:rFonts w:ascii="Times New Roman" w:hAnsi="Times New Roman" w:cs="Times New Roman"/>
          <w:sz w:val="20"/>
          <w:szCs w:val="20"/>
        </w:rPr>
        <w:t>55(6):694–9.</w:t>
      </w:r>
    </w:p>
    <w:p w:rsidR="006B7673" w:rsidRPr="001A1FF3" w:rsidRDefault="001E16C9" w:rsidP="001E16C9">
      <w:pPr>
        <w:pStyle w:val="ListParagraph"/>
        <w:numPr>
          <w:ilvl w:val="1"/>
          <w:numId w:val="2"/>
        </w:num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32"/>
        </w:rPr>
      </w:pPr>
      <w:proofErr w:type="spellStart"/>
      <w:r w:rsidRPr="001A1FF3">
        <w:rPr>
          <w:rFonts w:ascii="Times New Roman" w:hAnsi="Times New Roman" w:cs="Times New Roman"/>
          <w:sz w:val="20"/>
          <w:szCs w:val="20"/>
        </w:rPr>
        <w:t>O</w:t>
      </w:r>
      <w:r w:rsidR="00057B32" w:rsidRPr="001A1FF3">
        <w:rPr>
          <w:rFonts w:ascii="Times New Roman" w:hAnsi="Times New Roman" w:cs="Times New Roman"/>
          <w:sz w:val="20"/>
          <w:szCs w:val="20"/>
        </w:rPr>
        <w:t>zlem</w:t>
      </w:r>
      <w:proofErr w:type="spellEnd"/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S.</w:t>
      </w:r>
      <w:r w:rsidRPr="001A1FF3">
        <w:rPr>
          <w:rFonts w:ascii="Times New Roman" w:hAnsi="Times New Roman" w:cs="Times New Roman"/>
          <w:sz w:val="20"/>
          <w:szCs w:val="20"/>
        </w:rPr>
        <w:t>,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Paul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W.,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A1FF3">
        <w:rPr>
          <w:rFonts w:ascii="Times New Roman" w:hAnsi="Times New Roman" w:cs="Times New Roman"/>
          <w:sz w:val="20"/>
          <w:szCs w:val="20"/>
        </w:rPr>
        <w:t>Burcu</w:t>
      </w:r>
      <w:proofErr w:type="spellEnd"/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T.,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Kevin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K.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2007</w:t>
      </w:r>
      <w:r w:rsidRPr="001A1FF3">
        <w:rPr>
          <w:rFonts w:ascii="Times New Roman" w:hAnsi="Times New Roman" w:cs="Times New Roman"/>
          <w:sz w:val="20"/>
          <w:szCs w:val="20"/>
        </w:rPr>
        <w:t>: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A1FF3">
        <w:rPr>
          <w:rFonts w:ascii="Times New Roman" w:hAnsi="Times New Roman" w:cs="Times New Roman"/>
          <w:sz w:val="20"/>
          <w:szCs w:val="20"/>
        </w:rPr>
        <w:t>Sugammadex</w:t>
      </w:r>
      <w:proofErr w:type="spellEnd"/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Reversal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of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A1FF3">
        <w:rPr>
          <w:rFonts w:ascii="Times New Roman" w:hAnsi="Times New Roman" w:cs="Times New Roman"/>
          <w:sz w:val="20"/>
          <w:szCs w:val="20"/>
        </w:rPr>
        <w:t>Rocuronium</w:t>
      </w:r>
      <w:proofErr w:type="spellEnd"/>
      <w:r w:rsidR="00057B32" w:rsidRPr="001A1FF3">
        <w:rPr>
          <w:rFonts w:ascii="Times New Roman" w:hAnsi="Times New Roman" w:cs="Times New Roman"/>
          <w:sz w:val="20"/>
          <w:szCs w:val="20"/>
        </w:rPr>
        <w:t>-Induce</w:t>
      </w:r>
      <w:r w:rsidRPr="001A1FF3">
        <w:rPr>
          <w:rFonts w:ascii="Times New Roman" w:hAnsi="Times New Roman" w:cs="Times New Roman"/>
          <w:sz w:val="20"/>
          <w:szCs w:val="20"/>
        </w:rPr>
        <w:t>d N</w:t>
      </w:r>
      <w:r w:rsidR="00057B32" w:rsidRPr="001A1FF3">
        <w:rPr>
          <w:rFonts w:ascii="Times New Roman" w:hAnsi="Times New Roman" w:cs="Times New Roman"/>
          <w:sz w:val="20"/>
          <w:szCs w:val="20"/>
        </w:rPr>
        <w:t>euromuscular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Blockade: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A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Comparison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with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A1FF3">
        <w:rPr>
          <w:rFonts w:ascii="Times New Roman" w:hAnsi="Times New Roman" w:cs="Times New Roman"/>
          <w:sz w:val="20"/>
          <w:szCs w:val="20"/>
        </w:rPr>
        <w:t>Neostigmine–Glycopyrrolate</w:t>
      </w:r>
      <w:proofErr w:type="spellEnd"/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and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7B32" w:rsidRPr="001A1FF3">
        <w:rPr>
          <w:rFonts w:ascii="Times New Roman" w:hAnsi="Times New Roman" w:cs="Times New Roman"/>
          <w:sz w:val="20"/>
          <w:szCs w:val="20"/>
        </w:rPr>
        <w:t>Edrophonium</w:t>
      </w:r>
      <w:proofErr w:type="spellEnd"/>
      <w:r w:rsidR="00057B32" w:rsidRPr="001A1FF3">
        <w:rPr>
          <w:rFonts w:ascii="Times New Roman" w:hAnsi="Times New Roman" w:cs="Times New Roman"/>
          <w:sz w:val="20"/>
          <w:szCs w:val="20"/>
        </w:rPr>
        <w:t>–Atropine</w:t>
      </w:r>
      <w:r w:rsidRPr="001A1FF3">
        <w:rPr>
          <w:rFonts w:ascii="Times New Roman" w:hAnsi="Times New Roman" w:cs="Times New Roman"/>
          <w:sz w:val="20"/>
          <w:szCs w:val="20"/>
        </w:rPr>
        <w:t>.</w:t>
      </w:r>
      <w:r w:rsidR="00057B32" w:rsidRPr="001A1F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57B32" w:rsidRPr="001A1FF3">
        <w:rPr>
          <w:rFonts w:ascii="Times New Roman" w:hAnsi="Times New Roman" w:cs="Times New Roman"/>
          <w:sz w:val="20"/>
          <w:szCs w:val="20"/>
        </w:rPr>
        <w:t>anesthesia</w:t>
      </w:r>
      <w:proofErr w:type="gramEnd"/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A31BC" w:rsidRPr="001A1FF3">
        <w:rPr>
          <w:rFonts w:ascii="Times New Roman" w:hAnsi="Times New Roman" w:cs="Times New Roman"/>
          <w:sz w:val="20"/>
          <w:szCs w:val="20"/>
        </w:rPr>
        <w:t>&amp;</w:t>
      </w:r>
      <w:r w:rsidR="006B7673" w:rsidRPr="001A1FF3">
        <w:rPr>
          <w:rFonts w:ascii="Times New Roman" w:hAnsi="Times New Roman" w:cs="Times New Roman"/>
          <w:sz w:val="20"/>
          <w:szCs w:val="20"/>
        </w:rPr>
        <w:t xml:space="preserve"> </w:t>
      </w:r>
      <w:r w:rsidR="00057B32" w:rsidRPr="001A1FF3">
        <w:rPr>
          <w:rFonts w:ascii="Times New Roman" w:hAnsi="Times New Roman" w:cs="Times New Roman"/>
          <w:sz w:val="20"/>
          <w:szCs w:val="20"/>
        </w:rPr>
        <w:t>analgesia March</w:t>
      </w:r>
      <w:r w:rsidRPr="001A1FF3">
        <w:rPr>
          <w:rFonts w:ascii="Times New Roman" w:hAnsi="Times New Roman" w:cs="Times New Roman"/>
          <w:sz w:val="20"/>
          <w:szCs w:val="20"/>
        </w:rPr>
        <w:t>; V</w:t>
      </w:r>
      <w:r w:rsidR="00057B32" w:rsidRPr="001A1FF3">
        <w:rPr>
          <w:rFonts w:ascii="Times New Roman" w:hAnsi="Times New Roman" w:cs="Times New Roman"/>
          <w:sz w:val="20"/>
          <w:szCs w:val="20"/>
        </w:rPr>
        <w:t>ol. 104, No. 3.</w:t>
      </w:r>
    </w:p>
    <w:p w:rsidR="006B7673" w:rsidRPr="006B7673" w:rsidRDefault="006B7673" w:rsidP="001E16C9">
      <w:p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32"/>
        </w:rPr>
        <w:sectPr w:rsidR="006B7673" w:rsidRPr="006B7673" w:rsidSect="003E0BD6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057B32" w:rsidRPr="006B7673" w:rsidRDefault="00057B32" w:rsidP="001E16C9">
      <w:p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:rsidR="000A1A18" w:rsidRPr="006B7673" w:rsidRDefault="000A1A18" w:rsidP="001E16C9">
      <w:pPr>
        <w:pStyle w:val="NormalWeb"/>
        <w:snapToGrid w:val="0"/>
        <w:spacing w:before="0" w:beforeAutospacing="0" w:after="0" w:afterAutospacing="0"/>
        <w:ind w:left="425" w:hanging="425"/>
        <w:jc w:val="both"/>
        <w:rPr>
          <w:color w:val="000000"/>
          <w:sz w:val="20"/>
          <w:szCs w:val="20"/>
        </w:rPr>
      </w:pPr>
    </w:p>
    <w:p w:rsidR="000A31BC" w:rsidRPr="006B7673" w:rsidRDefault="000A31BC" w:rsidP="001E16C9">
      <w:p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7673" w:rsidRPr="006B7673" w:rsidRDefault="000A31BC" w:rsidP="001A1FF3">
      <w:pPr>
        <w:bidi w:val="0"/>
        <w:snapToGrid w:val="0"/>
        <w:spacing w:after="0"/>
        <w:ind w:left="425" w:hanging="425"/>
        <w:jc w:val="both"/>
        <w:rPr>
          <w:rFonts w:ascii="Times New Roman" w:hAnsi="Times New Roman" w:cs="Times New Roman" w:hint="eastAsia"/>
          <w:bCs/>
          <w:sz w:val="20"/>
          <w:szCs w:val="20"/>
          <w:lang w:eastAsia="zh-CN"/>
        </w:rPr>
      </w:pPr>
      <w:r w:rsidRPr="006B7673">
        <w:rPr>
          <w:rFonts w:ascii="Times New Roman" w:hAnsi="Times New Roman" w:cs="Times New Roman"/>
          <w:bCs/>
          <w:noProof/>
          <w:sz w:val="20"/>
          <w:szCs w:val="20"/>
        </w:rPr>
        <w:t>5/1</w:t>
      </w:r>
      <w:r w:rsidR="006B7673" w:rsidRPr="006B7673">
        <w:rPr>
          <w:rFonts w:ascii="Times New Roman" w:hAnsi="Times New Roman" w:cs="Times New Roman" w:hint="eastAsia"/>
          <w:bCs/>
          <w:noProof/>
          <w:sz w:val="20"/>
          <w:szCs w:val="20"/>
          <w:lang w:eastAsia="zh-CN"/>
        </w:rPr>
        <w:t>0</w:t>
      </w:r>
      <w:r w:rsidRPr="006B7673">
        <w:rPr>
          <w:rFonts w:ascii="Times New Roman" w:hAnsi="Times New Roman" w:cs="Times New Roman"/>
          <w:bCs/>
          <w:noProof/>
          <w:sz w:val="20"/>
          <w:szCs w:val="20"/>
        </w:rPr>
        <w:t>/2017</w:t>
      </w:r>
    </w:p>
    <w:sectPr w:rsidR="006B7673" w:rsidRPr="006B7673" w:rsidSect="000A31BC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AC" w:rsidRDefault="00B416AC" w:rsidP="004D3E3B">
      <w:pPr>
        <w:spacing w:after="0"/>
      </w:pPr>
      <w:r>
        <w:separator/>
      </w:r>
    </w:p>
  </w:endnote>
  <w:endnote w:type="continuationSeparator" w:id="0">
    <w:p w:rsidR="00B416AC" w:rsidRDefault="00B416AC" w:rsidP="004D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dhariUnicode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15252F" w:rsidP="003E0BD6">
    <w:pPr>
      <w:bidi w:val="0"/>
      <w:spacing w:after="0"/>
      <w:jc w:val="center"/>
      <w:rPr>
        <w:rFonts w:ascii="Times New Roman" w:hAnsi="Times New Roman" w:cs="Times New Roman"/>
        <w:sz w:val="20"/>
      </w:rPr>
    </w:pPr>
    <w:r w:rsidRPr="003E0BD6">
      <w:rPr>
        <w:rFonts w:ascii="Times New Roman" w:hAnsi="Times New Roman" w:cs="Times New Roman"/>
        <w:sz w:val="20"/>
      </w:rPr>
      <w:fldChar w:fldCharType="begin"/>
    </w:r>
    <w:r w:rsidR="006B7673" w:rsidRPr="003E0BD6">
      <w:rPr>
        <w:rFonts w:ascii="Times New Roman" w:hAnsi="Times New Roman" w:cs="Times New Roman"/>
        <w:sz w:val="20"/>
      </w:rPr>
      <w:instrText xml:space="preserve"> page </w:instrText>
    </w:r>
    <w:r w:rsidRPr="003E0BD6">
      <w:rPr>
        <w:rFonts w:ascii="Times New Roman" w:hAnsi="Times New Roman" w:cs="Times New Roman"/>
        <w:sz w:val="20"/>
      </w:rPr>
      <w:fldChar w:fldCharType="separate"/>
    </w:r>
    <w:r w:rsidR="001A1FF3">
      <w:rPr>
        <w:rFonts w:ascii="Times New Roman" w:hAnsi="Times New Roman" w:cs="Times New Roman"/>
        <w:noProof/>
        <w:sz w:val="20"/>
      </w:rPr>
      <w:t>22</w:t>
    </w:r>
    <w:r w:rsidRPr="003E0BD6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15252F" w:rsidP="003E0BD6">
    <w:pPr>
      <w:bidi w:val="0"/>
      <w:spacing w:after="0"/>
      <w:jc w:val="center"/>
      <w:rPr>
        <w:rFonts w:ascii="Times New Roman" w:hAnsi="Times New Roman" w:cs="Times New Roman"/>
        <w:sz w:val="20"/>
      </w:rPr>
    </w:pPr>
    <w:r w:rsidRPr="003E0BD6">
      <w:rPr>
        <w:rFonts w:ascii="Times New Roman" w:hAnsi="Times New Roman" w:cs="Times New Roman"/>
        <w:sz w:val="20"/>
      </w:rPr>
      <w:fldChar w:fldCharType="begin"/>
    </w:r>
    <w:r w:rsidR="006B7673" w:rsidRPr="003E0BD6">
      <w:rPr>
        <w:rFonts w:ascii="Times New Roman" w:hAnsi="Times New Roman" w:cs="Times New Roman"/>
        <w:sz w:val="20"/>
      </w:rPr>
      <w:instrText xml:space="preserve"> page </w:instrText>
    </w:r>
    <w:r w:rsidRPr="003E0BD6">
      <w:rPr>
        <w:rFonts w:ascii="Times New Roman" w:hAnsi="Times New Roman" w:cs="Times New Roman"/>
        <w:sz w:val="20"/>
      </w:rPr>
      <w:fldChar w:fldCharType="separate"/>
    </w:r>
    <w:r w:rsidR="001A1FF3">
      <w:rPr>
        <w:rFonts w:ascii="Times New Roman" w:hAnsi="Times New Roman" w:cs="Times New Roman"/>
        <w:noProof/>
        <w:sz w:val="20"/>
      </w:rPr>
      <w:t>24</w:t>
    </w:r>
    <w:r w:rsidRPr="003E0BD6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15252F" w:rsidP="003E0BD6">
    <w:pPr>
      <w:bidi w:val="0"/>
      <w:spacing w:after="0"/>
      <w:jc w:val="center"/>
      <w:rPr>
        <w:rFonts w:ascii="Times New Roman" w:hAnsi="Times New Roman" w:cs="Times New Roman"/>
        <w:sz w:val="20"/>
      </w:rPr>
    </w:pPr>
    <w:r w:rsidRPr="003E0BD6">
      <w:rPr>
        <w:rFonts w:ascii="Times New Roman" w:hAnsi="Times New Roman" w:cs="Times New Roman"/>
        <w:sz w:val="20"/>
      </w:rPr>
      <w:fldChar w:fldCharType="begin"/>
    </w:r>
    <w:r w:rsidR="006B7673" w:rsidRPr="003E0BD6">
      <w:rPr>
        <w:rFonts w:ascii="Times New Roman" w:hAnsi="Times New Roman" w:cs="Times New Roman"/>
        <w:sz w:val="20"/>
      </w:rPr>
      <w:instrText xml:space="preserve"> page </w:instrText>
    </w:r>
    <w:r w:rsidRPr="003E0BD6">
      <w:rPr>
        <w:rFonts w:ascii="Times New Roman" w:hAnsi="Times New Roman" w:cs="Times New Roman"/>
        <w:sz w:val="20"/>
      </w:rPr>
      <w:fldChar w:fldCharType="separate"/>
    </w:r>
    <w:r w:rsidR="001A1FF3">
      <w:rPr>
        <w:rFonts w:ascii="Times New Roman" w:hAnsi="Times New Roman" w:cs="Times New Roman"/>
        <w:noProof/>
        <w:sz w:val="20"/>
      </w:rPr>
      <w:t>26</w:t>
    </w:r>
    <w:r w:rsidRPr="003E0BD6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15252F" w:rsidP="003E0BD6">
    <w:pPr>
      <w:bidi w:val="0"/>
      <w:spacing w:after="0"/>
      <w:jc w:val="center"/>
      <w:rPr>
        <w:rFonts w:ascii="Times New Roman" w:hAnsi="Times New Roman" w:cs="Times New Roman"/>
        <w:sz w:val="20"/>
      </w:rPr>
    </w:pPr>
    <w:r w:rsidRPr="003E0BD6">
      <w:rPr>
        <w:rFonts w:ascii="Times New Roman" w:hAnsi="Times New Roman" w:cs="Times New Roman"/>
        <w:sz w:val="20"/>
      </w:rPr>
      <w:fldChar w:fldCharType="begin"/>
    </w:r>
    <w:r w:rsidR="006B7673" w:rsidRPr="003E0BD6">
      <w:rPr>
        <w:rFonts w:ascii="Times New Roman" w:hAnsi="Times New Roman" w:cs="Times New Roman"/>
        <w:sz w:val="20"/>
      </w:rPr>
      <w:instrText xml:space="preserve"> page </w:instrText>
    </w:r>
    <w:r w:rsidRPr="003E0BD6">
      <w:rPr>
        <w:rFonts w:ascii="Times New Roman" w:hAnsi="Times New Roman" w:cs="Times New Roman"/>
        <w:sz w:val="20"/>
      </w:rPr>
      <w:fldChar w:fldCharType="separate"/>
    </w:r>
    <w:r w:rsidR="001A1FF3">
      <w:rPr>
        <w:rFonts w:ascii="Times New Roman" w:hAnsi="Times New Roman" w:cs="Times New Roman"/>
        <w:noProof/>
        <w:sz w:val="20"/>
      </w:rPr>
      <w:t>29</w:t>
    </w:r>
    <w:r w:rsidRPr="003E0BD6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D6" w:rsidRPr="003E0BD6" w:rsidRDefault="0015252F" w:rsidP="003E0BD6">
    <w:pPr>
      <w:bidi w:val="0"/>
      <w:spacing w:after="0"/>
      <w:jc w:val="center"/>
      <w:rPr>
        <w:rFonts w:ascii="Times New Roman" w:hAnsi="Times New Roman" w:cs="Times New Roman"/>
        <w:sz w:val="20"/>
      </w:rPr>
    </w:pPr>
    <w:r w:rsidRPr="003E0BD6">
      <w:rPr>
        <w:rFonts w:ascii="Times New Roman" w:hAnsi="Times New Roman" w:cs="Times New Roman"/>
        <w:sz w:val="20"/>
      </w:rPr>
      <w:fldChar w:fldCharType="begin"/>
    </w:r>
    <w:r w:rsidR="003E0BD6" w:rsidRPr="003E0BD6">
      <w:rPr>
        <w:rFonts w:ascii="Times New Roman" w:hAnsi="Times New Roman" w:cs="Times New Roman"/>
        <w:sz w:val="20"/>
      </w:rPr>
      <w:instrText xml:space="preserve"> page </w:instrText>
    </w:r>
    <w:r w:rsidRPr="003E0BD6">
      <w:rPr>
        <w:rFonts w:ascii="Times New Roman" w:hAnsi="Times New Roman" w:cs="Times New Roman"/>
        <w:sz w:val="20"/>
      </w:rPr>
      <w:fldChar w:fldCharType="separate"/>
    </w:r>
    <w:r w:rsidR="006B7673">
      <w:rPr>
        <w:rFonts w:ascii="Times New Roman" w:hAnsi="Times New Roman" w:cs="Times New Roman"/>
        <w:noProof/>
        <w:sz w:val="20"/>
      </w:rPr>
      <w:t>9</w:t>
    </w:r>
    <w:r w:rsidRPr="003E0BD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AC" w:rsidRDefault="00B416AC" w:rsidP="004D3E3B">
      <w:pPr>
        <w:spacing w:after="0"/>
      </w:pPr>
      <w:r>
        <w:separator/>
      </w:r>
    </w:p>
  </w:footnote>
  <w:footnote w:type="continuationSeparator" w:id="0">
    <w:p w:rsidR="00B416AC" w:rsidRDefault="00B416AC" w:rsidP="004D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6B7673" w:rsidP="003E0BD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iCs/>
        <w:sz w:val="20"/>
        <w:szCs w:val="20"/>
      </w:rPr>
    </w:pPr>
    <w:r w:rsidRPr="003E0BD6">
      <w:rPr>
        <w:rFonts w:ascii="Times New Roman" w:hAnsi="Times New Roman" w:cs="Times New Roman" w:hint="eastAsia"/>
        <w:sz w:val="20"/>
        <w:szCs w:val="20"/>
      </w:rPr>
      <w:tab/>
    </w:r>
    <w:r w:rsidRPr="003E0BD6">
      <w:rPr>
        <w:rFonts w:ascii="Times New Roman" w:hAnsi="Times New Roman" w:cs="Times New Roman"/>
        <w:sz w:val="20"/>
        <w:szCs w:val="20"/>
      </w:rPr>
      <w:t>New York Science Journal 201</w:t>
    </w:r>
    <w:r w:rsidRPr="003E0BD6">
      <w:rPr>
        <w:rFonts w:ascii="Times New Roman" w:hAnsi="Times New Roman" w:cs="Times New Roman" w:hint="eastAsia"/>
        <w:sz w:val="20"/>
        <w:szCs w:val="20"/>
      </w:rPr>
      <w:t>7</w:t>
    </w:r>
    <w:proofErr w:type="gramStart"/>
    <w:r w:rsidRPr="003E0BD6">
      <w:rPr>
        <w:rFonts w:ascii="Times New Roman" w:hAnsi="Times New Roman" w:cs="Times New Roman"/>
        <w:sz w:val="20"/>
        <w:szCs w:val="20"/>
      </w:rPr>
      <w:t>;</w:t>
    </w:r>
    <w:r w:rsidRPr="003E0BD6">
      <w:rPr>
        <w:rFonts w:ascii="Times New Roman" w:hAnsi="Times New Roman" w:cs="Times New Roman" w:hint="eastAsia"/>
        <w:sz w:val="20"/>
        <w:szCs w:val="20"/>
      </w:rPr>
      <w:t>10</w:t>
    </w:r>
    <w:proofErr w:type="gramEnd"/>
    <w:r w:rsidRPr="003E0BD6">
      <w:rPr>
        <w:rFonts w:ascii="Times New Roman" w:hAnsi="Times New Roman" w:cs="Times New Roman"/>
        <w:sz w:val="20"/>
        <w:szCs w:val="20"/>
      </w:rPr>
      <w:t>(</w:t>
    </w:r>
    <w:r w:rsidRPr="003E0BD6">
      <w:rPr>
        <w:rFonts w:ascii="Times New Roman" w:hAnsi="Times New Roman" w:cs="Times New Roman" w:hint="eastAsia"/>
        <w:sz w:val="20"/>
        <w:szCs w:val="20"/>
      </w:rPr>
      <w:t>6</w:t>
    </w:r>
    <w:r w:rsidRPr="003E0BD6">
      <w:rPr>
        <w:rFonts w:ascii="Times New Roman" w:hAnsi="Times New Roman" w:cs="Times New Roman"/>
        <w:sz w:val="20"/>
        <w:szCs w:val="20"/>
      </w:rPr>
      <w:t>)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  </w:t>
    </w:r>
    <w:r w:rsidRPr="003E0BD6">
      <w:rPr>
        <w:rFonts w:ascii="Times New Roman" w:hAnsi="Times New Roman" w:cs="Times New Roman" w:hint="eastAsia"/>
        <w:iCs/>
        <w:sz w:val="20"/>
        <w:szCs w:val="20"/>
      </w:rPr>
      <w:tab/>
    </w:r>
    <w:r w:rsidRPr="003E0BD6">
      <w:rPr>
        <w:rFonts w:ascii="Times New Roman" w:hAnsi="Times New Roman" w:cs="Times New Roman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E0BD6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B7673" w:rsidRPr="003E0BD6" w:rsidRDefault="006B7673" w:rsidP="003E0BD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6B7673" w:rsidP="003E0BD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iCs/>
        <w:sz w:val="20"/>
        <w:szCs w:val="20"/>
      </w:rPr>
    </w:pPr>
    <w:r w:rsidRPr="003E0BD6">
      <w:rPr>
        <w:rFonts w:ascii="Times New Roman" w:hAnsi="Times New Roman" w:cs="Times New Roman" w:hint="eastAsia"/>
        <w:sz w:val="20"/>
        <w:szCs w:val="20"/>
      </w:rPr>
      <w:tab/>
    </w:r>
    <w:r w:rsidRPr="003E0BD6">
      <w:rPr>
        <w:rFonts w:ascii="Times New Roman" w:hAnsi="Times New Roman" w:cs="Times New Roman"/>
        <w:sz w:val="20"/>
        <w:szCs w:val="20"/>
      </w:rPr>
      <w:t>New York Science Journal 201</w:t>
    </w:r>
    <w:r w:rsidRPr="003E0BD6">
      <w:rPr>
        <w:rFonts w:ascii="Times New Roman" w:hAnsi="Times New Roman" w:cs="Times New Roman" w:hint="eastAsia"/>
        <w:sz w:val="20"/>
        <w:szCs w:val="20"/>
      </w:rPr>
      <w:t>7</w:t>
    </w:r>
    <w:proofErr w:type="gramStart"/>
    <w:r w:rsidRPr="003E0BD6">
      <w:rPr>
        <w:rFonts w:ascii="Times New Roman" w:hAnsi="Times New Roman" w:cs="Times New Roman"/>
        <w:sz w:val="20"/>
        <w:szCs w:val="20"/>
      </w:rPr>
      <w:t>;</w:t>
    </w:r>
    <w:r w:rsidRPr="003E0BD6">
      <w:rPr>
        <w:rFonts w:ascii="Times New Roman" w:hAnsi="Times New Roman" w:cs="Times New Roman" w:hint="eastAsia"/>
        <w:sz w:val="20"/>
        <w:szCs w:val="20"/>
      </w:rPr>
      <w:t>10</w:t>
    </w:r>
    <w:proofErr w:type="gramEnd"/>
    <w:r w:rsidRPr="003E0BD6">
      <w:rPr>
        <w:rFonts w:ascii="Times New Roman" w:hAnsi="Times New Roman" w:cs="Times New Roman"/>
        <w:sz w:val="20"/>
        <w:szCs w:val="20"/>
      </w:rPr>
      <w:t>(</w:t>
    </w:r>
    <w:r w:rsidRPr="003E0BD6">
      <w:rPr>
        <w:rFonts w:ascii="Times New Roman" w:hAnsi="Times New Roman" w:cs="Times New Roman" w:hint="eastAsia"/>
        <w:sz w:val="20"/>
        <w:szCs w:val="20"/>
      </w:rPr>
      <w:t>6</w:t>
    </w:r>
    <w:r w:rsidRPr="003E0BD6">
      <w:rPr>
        <w:rFonts w:ascii="Times New Roman" w:hAnsi="Times New Roman" w:cs="Times New Roman"/>
        <w:sz w:val="20"/>
        <w:szCs w:val="20"/>
      </w:rPr>
      <w:t>)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  </w:t>
    </w:r>
    <w:r w:rsidRPr="003E0BD6">
      <w:rPr>
        <w:rFonts w:ascii="Times New Roman" w:hAnsi="Times New Roman" w:cs="Times New Roman" w:hint="eastAsia"/>
        <w:iCs/>
        <w:sz w:val="20"/>
        <w:szCs w:val="20"/>
      </w:rPr>
      <w:tab/>
    </w:r>
    <w:r w:rsidRPr="003E0BD6">
      <w:rPr>
        <w:rFonts w:ascii="Times New Roman" w:hAnsi="Times New Roman" w:cs="Times New Roman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E0BD6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B7673" w:rsidRPr="003E0BD6" w:rsidRDefault="006B7673" w:rsidP="003E0BD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6B7673" w:rsidP="003E0BD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iCs/>
        <w:sz w:val="20"/>
        <w:szCs w:val="20"/>
      </w:rPr>
    </w:pPr>
    <w:r w:rsidRPr="003E0BD6">
      <w:rPr>
        <w:rFonts w:ascii="Times New Roman" w:hAnsi="Times New Roman" w:cs="Times New Roman" w:hint="eastAsia"/>
        <w:sz w:val="20"/>
        <w:szCs w:val="20"/>
      </w:rPr>
      <w:tab/>
    </w:r>
    <w:r w:rsidRPr="003E0BD6">
      <w:rPr>
        <w:rFonts w:ascii="Times New Roman" w:hAnsi="Times New Roman" w:cs="Times New Roman"/>
        <w:sz w:val="20"/>
        <w:szCs w:val="20"/>
      </w:rPr>
      <w:t>New York Science Journal 201</w:t>
    </w:r>
    <w:r w:rsidRPr="003E0BD6">
      <w:rPr>
        <w:rFonts w:ascii="Times New Roman" w:hAnsi="Times New Roman" w:cs="Times New Roman" w:hint="eastAsia"/>
        <w:sz w:val="20"/>
        <w:szCs w:val="20"/>
      </w:rPr>
      <w:t>7</w:t>
    </w:r>
    <w:proofErr w:type="gramStart"/>
    <w:r w:rsidRPr="003E0BD6">
      <w:rPr>
        <w:rFonts w:ascii="Times New Roman" w:hAnsi="Times New Roman" w:cs="Times New Roman"/>
        <w:sz w:val="20"/>
        <w:szCs w:val="20"/>
      </w:rPr>
      <w:t>;</w:t>
    </w:r>
    <w:r w:rsidRPr="003E0BD6">
      <w:rPr>
        <w:rFonts w:ascii="Times New Roman" w:hAnsi="Times New Roman" w:cs="Times New Roman" w:hint="eastAsia"/>
        <w:sz w:val="20"/>
        <w:szCs w:val="20"/>
      </w:rPr>
      <w:t>10</w:t>
    </w:r>
    <w:proofErr w:type="gramEnd"/>
    <w:r w:rsidRPr="003E0BD6">
      <w:rPr>
        <w:rFonts w:ascii="Times New Roman" w:hAnsi="Times New Roman" w:cs="Times New Roman"/>
        <w:sz w:val="20"/>
        <w:szCs w:val="20"/>
      </w:rPr>
      <w:t>(</w:t>
    </w:r>
    <w:r w:rsidRPr="003E0BD6">
      <w:rPr>
        <w:rFonts w:ascii="Times New Roman" w:hAnsi="Times New Roman" w:cs="Times New Roman" w:hint="eastAsia"/>
        <w:sz w:val="20"/>
        <w:szCs w:val="20"/>
      </w:rPr>
      <w:t>6</w:t>
    </w:r>
    <w:r w:rsidRPr="003E0BD6">
      <w:rPr>
        <w:rFonts w:ascii="Times New Roman" w:hAnsi="Times New Roman" w:cs="Times New Roman"/>
        <w:sz w:val="20"/>
        <w:szCs w:val="20"/>
      </w:rPr>
      <w:t>)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  </w:t>
    </w:r>
    <w:r w:rsidRPr="003E0BD6">
      <w:rPr>
        <w:rFonts w:ascii="Times New Roman" w:hAnsi="Times New Roman" w:cs="Times New Roman" w:hint="eastAsia"/>
        <w:iCs/>
        <w:sz w:val="20"/>
        <w:szCs w:val="20"/>
      </w:rPr>
      <w:tab/>
    </w:r>
    <w:r w:rsidRPr="003E0BD6">
      <w:rPr>
        <w:rFonts w:ascii="Times New Roman" w:hAnsi="Times New Roman" w:cs="Times New Roman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E0BD6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B7673" w:rsidRPr="003E0BD6" w:rsidRDefault="006B7673" w:rsidP="003E0BD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73" w:rsidRPr="003E0BD6" w:rsidRDefault="006B7673" w:rsidP="003E0BD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iCs/>
        <w:sz w:val="20"/>
        <w:szCs w:val="20"/>
      </w:rPr>
    </w:pPr>
    <w:r w:rsidRPr="003E0BD6">
      <w:rPr>
        <w:rFonts w:ascii="Times New Roman" w:hAnsi="Times New Roman" w:cs="Times New Roman" w:hint="eastAsia"/>
        <w:sz w:val="20"/>
        <w:szCs w:val="20"/>
      </w:rPr>
      <w:tab/>
    </w:r>
    <w:r w:rsidRPr="003E0BD6">
      <w:rPr>
        <w:rFonts w:ascii="Times New Roman" w:hAnsi="Times New Roman" w:cs="Times New Roman"/>
        <w:sz w:val="20"/>
        <w:szCs w:val="20"/>
      </w:rPr>
      <w:t>New York Science Journal 201</w:t>
    </w:r>
    <w:r w:rsidRPr="003E0BD6">
      <w:rPr>
        <w:rFonts w:ascii="Times New Roman" w:hAnsi="Times New Roman" w:cs="Times New Roman" w:hint="eastAsia"/>
        <w:sz w:val="20"/>
        <w:szCs w:val="20"/>
      </w:rPr>
      <w:t>7</w:t>
    </w:r>
    <w:proofErr w:type="gramStart"/>
    <w:r w:rsidRPr="003E0BD6">
      <w:rPr>
        <w:rFonts w:ascii="Times New Roman" w:hAnsi="Times New Roman" w:cs="Times New Roman"/>
        <w:sz w:val="20"/>
        <w:szCs w:val="20"/>
      </w:rPr>
      <w:t>;</w:t>
    </w:r>
    <w:r w:rsidRPr="003E0BD6">
      <w:rPr>
        <w:rFonts w:ascii="Times New Roman" w:hAnsi="Times New Roman" w:cs="Times New Roman" w:hint="eastAsia"/>
        <w:sz w:val="20"/>
        <w:szCs w:val="20"/>
      </w:rPr>
      <w:t>10</w:t>
    </w:r>
    <w:proofErr w:type="gramEnd"/>
    <w:r w:rsidRPr="003E0BD6">
      <w:rPr>
        <w:rFonts w:ascii="Times New Roman" w:hAnsi="Times New Roman" w:cs="Times New Roman"/>
        <w:sz w:val="20"/>
        <w:szCs w:val="20"/>
      </w:rPr>
      <w:t>(</w:t>
    </w:r>
    <w:r w:rsidRPr="003E0BD6">
      <w:rPr>
        <w:rFonts w:ascii="Times New Roman" w:hAnsi="Times New Roman" w:cs="Times New Roman" w:hint="eastAsia"/>
        <w:sz w:val="20"/>
        <w:szCs w:val="20"/>
      </w:rPr>
      <w:t>6</w:t>
    </w:r>
    <w:r w:rsidRPr="003E0BD6">
      <w:rPr>
        <w:rFonts w:ascii="Times New Roman" w:hAnsi="Times New Roman" w:cs="Times New Roman"/>
        <w:sz w:val="20"/>
        <w:szCs w:val="20"/>
      </w:rPr>
      <w:t>)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  </w:t>
    </w:r>
    <w:r w:rsidRPr="003E0BD6">
      <w:rPr>
        <w:rFonts w:ascii="Times New Roman" w:hAnsi="Times New Roman" w:cs="Times New Roman" w:hint="eastAsia"/>
        <w:iCs/>
        <w:sz w:val="20"/>
        <w:szCs w:val="20"/>
      </w:rPr>
      <w:tab/>
    </w:r>
    <w:r w:rsidRPr="003E0BD6">
      <w:rPr>
        <w:rFonts w:ascii="Times New Roman" w:hAnsi="Times New Roman" w:cs="Times New Roman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E0BD6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B7673" w:rsidRPr="003E0BD6" w:rsidRDefault="006B7673" w:rsidP="003E0BD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D6" w:rsidRPr="003E0BD6" w:rsidRDefault="003E0BD6" w:rsidP="003E0BD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iCs/>
        <w:sz w:val="20"/>
        <w:szCs w:val="20"/>
      </w:rPr>
    </w:pPr>
    <w:r w:rsidRPr="003E0BD6">
      <w:rPr>
        <w:rFonts w:ascii="Times New Roman" w:hAnsi="Times New Roman" w:cs="Times New Roman" w:hint="eastAsia"/>
        <w:sz w:val="20"/>
        <w:szCs w:val="20"/>
      </w:rPr>
      <w:tab/>
    </w:r>
    <w:r w:rsidRPr="003E0BD6">
      <w:rPr>
        <w:rFonts w:ascii="Times New Roman" w:hAnsi="Times New Roman" w:cs="Times New Roman"/>
        <w:sz w:val="20"/>
        <w:szCs w:val="20"/>
      </w:rPr>
      <w:t>New York Science Journal 201</w:t>
    </w:r>
    <w:r w:rsidRPr="003E0BD6">
      <w:rPr>
        <w:rFonts w:ascii="Times New Roman" w:hAnsi="Times New Roman" w:cs="Times New Roman" w:hint="eastAsia"/>
        <w:sz w:val="20"/>
        <w:szCs w:val="20"/>
      </w:rPr>
      <w:t>7</w:t>
    </w:r>
    <w:proofErr w:type="gramStart"/>
    <w:r w:rsidRPr="003E0BD6">
      <w:rPr>
        <w:rFonts w:ascii="Times New Roman" w:hAnsi="Times New Roman" w:cs="Times New Roman"/>
        <w:sz w:val="20"/>
        <w:szCs w:val="20"/>
      </w:rPr>
      <w:t>;</w:t>
    </w:r>
    <w:r w:rsidRPr="003E0BD6">
      <w:rPr>
        <w:rFonts w:ascii="Times New Roman" w:hAnsi="Times New Roman" w:cs="Times New Roman" w:hint="eastAsia"/>
        <w:sz w:val="20"/>
        <w:szCs w:val="20"/>
      </w:rPr>
      <w:t>10</w:t>
    </w:r>
    <w:proofErr w:type="gramEnd"/>
    <w:r w:rsidRPr="003E0BD6">
      <w:rPr>
        <w:rFonts w:ascii="Times New Roman" w:hAnsi="Times New Roman" w:cs="Times New Roman"/>
        <w:sz w:val="20"/>
        <w:szCs w:val="20"/>
      </w:rPr>
      <w:t>(</w:t>
    </w:r>
    <w:r w:rsidRPr="003E0BD6">
      <w:rPr>
        <w:rFonts w:ascii="Times New Roman" w:hAnsi="Times New Roman" w:cs="Times New Roman" w:hint="eastAsia"/>
        <w:sz w:val="20"/>
        <w:szCs w:val="20"/>
      </w:rPr>
      <w:t>6</w:t>
    </w:r>
    <w:r w:rsidRPr="003E0BD6">
      <w:rPr>
        <w:rFonts w:ascii="Times New Roman" w:hAnsi="Times New Roman" w:cs="Times New Roman"/>
        <w:sz w:val="20"/>
        <w:szCs w:val="20"/>
      </w:rPr>
      <w:t>)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  </w:t>
    </w:r>
    <w:r w:rsidRPr="003E0BD6">
      <w:rPr>
        <w:rFonts w:ascii="Times New Roman" w:hAnsi="Times New Roman" w:cs="Times New Roman" w:hint="eastAsia"/>
        <w:iCs/>
        <w:sz w:val="20"/>
        <w:szCs w:val="20"/>
      </w:rPr>
      <w:tab/>
    </w:r>
    <w:r w:rsidRPr="003E0BD6">
      <w:rPr>
        <w:rFonts w:ascii="Times New Roman" w:hAnsi="Times New Roman" w:cs="Times New Roman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BD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3E0BD6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3E0BD6" w:rsidRPr="003E0BD6" w:rsidRDefault="003E0BD6" w:rsidP="003E0BD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6AB8"/>
    <w:multiLevelType w:val="hybridMultilevel"/>
    <w:tmpl w:val="E27EB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231B9C"/>
    <w:multiLevelType w:val="hybridMultilevel"/>
    <w:tmpl w:val="85408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A6442C">
      <w:start w:val="1"/>
      <w:numFmt w:val="decimal"/>
      <w:lvlText w:val="%2."/>
      <w:lvlJc w:val="left"/>
      <w:pPr>
        <w:ind w:left="840" w:hanging="42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219A"/>
    <w:rsid w:val="00006358"/>
    <w:rsid w:val="00017F20"/>
    <w:rsid w:val="00033434"/>
    <w:rsid w:val="00054314"/>
    <w:rsid w:val="000545E4"/>
    <w:rsid w:val="00057B32"/>
    <w:rsid w:val="000740C8"/>
    <w:rsid w:val="000A1A18"/>
    <w:rsid w:val="000A2830"/>
    <w:rsid w:val="000A31BC"/>
    <w:rsid w:val="000A43E0"/>
    <w:rsid w:val="0012007D"/>
    <w:rsid w:val="0012345C"/>
    <w:rsid w:val="0015020B"/>
    <w:rsid w:val="0015252F"/>
    <w:rsid w:val="00161FC4"/>
    <w:rsid w:val="00182B06"/>
    <w:rsid w:val="0019306C"/>
    <w:rsid w:val="001A1FF3"/>
    <w:rsid w:val="001B1898"/>
    <w:rsid w:val="001E06DA"/>
    <w:rsid w:val="001E16C9"/>
    <w:rsid w:val="001F027A"/>
    <w:rsid w:val="00212E93"/>
    <w:rsid w:val="00257940"/>
    <w:rsid w:val="002713B9"/>
    <w:rsid w:val="002A7B7E"/>
    <w:rsid w:val="002D16FD"/>
    <w:rsid w:val="002E3CF6"/>
    <w:rsid w:val="003055DB"/>
    <w:rsid w:val="00317B51"/>
    <w:rsid w:val="00331211"/>
    <w:rsid w:val="00334D87"/>
    <w:rsid w:val="00375353"/>
    <w:rsid w:val="00395FEB"/>
    <w:rsid w:val="003A5910"/>
    <w:rsid w:val="003B40DA"/>
    <w:rsid w:val="003D360C"/>
    <w:rsid w:val="003E0BD6"/>
    <w:rsid w:val="00417E33"/>
    <w:rsid w:val="00456EE8"/>
    <w:rsid w:val="00462B0E"/>
    <w:rsid w:val="00465976"/>
    <w:rsid w:val="0047294B"/>
    <w:rsid w:val="00493B09"/>
    <w:rsid w:val="004C6DB6"/>
    <w:rsid w:val="004D3E3B"/>
    <w:rsid w:val="004F7229"/>
    <w:rsid w:val="005112D8"/>
    <w:rsid w:val="00522FF0"/>
    <w:rsid w:val="00543E2A"/>
    <w:rsid w:val="00551552"/>
    <w:rsid w:val="005528D3"/>
    <w:rsid w:val="005644F5"/>
    <w:rsid w:val="005647CA"/>
    <w:rsid w:val="00570AEA"/>
    <w:rsid w:val="00581A2B"/>
    <w:rsid w:val="005A1BF7"/>
    <w:rsid w:val="005D6A69"/>
    <w:rsid w:val="005E0214"/>
    <w:rsid w:val="005E4734"/>
    <w:rsid w:val="006209E1"/>
    <w:rsid w:val="0062745D"/>
    <w:rsid w:val="00640612"/>
    <w:rsid w:val="00642B98"/>
    <w:rsid w:val="00650FA9"/>
    <w:rsid w:val="006552FD"/>
    <w:rsid w:val="006750E1"/>
    <w:rsid w:val="00695ADC"/>
    <w:rsid w:val="006B2EE1"/>
    <w:rsid w:val="006B5B7A"/>
    <w:rsid w:val="006B7673"/>
    <w:rsid w:val="006D0C6A"/>
    <w:rsid w:val="006D52CF"/>
    <w:rsid w:val="006E0CE3"/>
    <w:rsid w:val="007102B2"/>
    <w:rsid w:val="00723133"/>
    <w:rsid w:val="0073276C"/>
    <w:rsid w:val="0073389F"/>
    <w:rsid w:val="0075605F"/>
    <w:rsid w:val="007646F7"/>
    <w:rsid w:val="007928E5"/>
    <w:rsid w:val="007A3B13"/>
    <w:rsid w:val="007B5E74"/>
    <w:rsid w:val="007D1EAE"/>
    <w:rsid w:val="007F7FAE"/>
    <w:rsid w:val="00835306"/>
    <w:rsid w:val="0084219A"/>
    <w:rsid w:val="0084349B"/>
    <w:rsid w:val="008F3755"/>
    <w:rsid w:val="00903B11"/>
    <w:rsid w:val="00913EC4"/>
    <w:rsid w:val="00926557"/>
    <w:rsid w:val="009431F1"/>
    <w:rsid w:val="009624AF"/>
    <w:rsid w:val="00974DD0"/>
    <w:rsid w:val="009B5653"/>
    <w:rsid w:val="009D465C"/>
    <w:rsid w:val="00A14BF4"/>
    <w:rsid w:val="00A17564"/>
    <w:rsid w:val="00A22F23"/>
    <w:rsid w:val="00A3144D"/>
    <w:rsid w:val="00A60879"/>
    <w:rsid w:val="00A62B28"/>
    <w:rsid w:val="00A81956"/>
    <w:rsid w:val="00A860DA"/>
    <w:rsid w:val="00A91616"/>
    <w:rsid w:val="00AA4EE1"/>
    <w:rsid w:val="00AA61E4"/>
    <w:rsid w:val="00AB60CA"/>
    <w:rsid w:val="00AB72F0"/>
    <w:rsid w:val="00AC2DAC"/>
    <w:rsid w:val="00AC5FCF"/>
    <w:rsid w:val="00B03486"/>
    <w:rsid w:val="00B21823"/>
    <w:rsid w:val="00B27A44"/>
    <w:rsid w:val="00B30655"/>
    <w:rsid w:val="00B416AC"/>
    <w:rsid w:val="00B46C35"/>
    <w:rsid w:val="00B51A2D"/>
    <w:rsid w:val="00B77FAA"/>
    <w:rsid w:val="00B8647D"/>
    <w:rsid w:val="00B92B15"/>
    <w:rsid w:val="00BC5DA1"/>
    <w:rsid w:val="00BD5288"/>
    <w:rsid w:val="00BD5FAF"/>
    <w:rsid w:val="00BD6C26"/>
    <w:rsid w:val="00BE156E"/>
    <w:rsid w:val="00BF5205"/>
    <w:rsid w:val="00BF6389"/>
    <w:rsid w:val="00C16F43"/>
    <w:rsid w:val="00C20C3B"/>
    <w:rsid w:val="00C31ED8"/>
    <w:rsid w:val="00C412A7"/>
    <w:rsid w:val="00C679C3"/>
    <w:rsid w:val="00C94289"/>
    <w:rsid w:val="00CF0E37"/>
    <w:rsid w:val="00D52BA6"/>
    <w:rsid w:val="00D55C85"/>
    <w:rsid w:val="00D5720A"/>
    <w:rsid w:val="00D57D1F"/>
    <w:rsid w:val="00D67283"/>
    <w:rsid w:val="00D83237"/>
    <w:rsid w:val="00D858DA"/>
    <w:rsid w:val="00D91573"/>
    <w:rsid w:val="00D91657"/>
    <w:rsid w:val="00DA499E"/>
    <w:rsid w:val="00DC20D9"/>
    <w:rsid w:val="00DD1DDB"/>
    <w:rsid w:val="00DD3221"/>
    <w:rsid w:val="00DD64FE"/>
    <w:rsid w:val="00DE090B"/>
    <w:rsid w:val="00DF169E"/>
    <w:rsid w:val="00DF54FA"/>
    <w:rsid w:val="00E06625"/>
    <w:rsid w:val="00E31211"/>
    <w:rsid w:val="00E62AA8"/>
    <w:rsid w:val="00EE0FA4"/>
    <w:rsid w:val="00F0017D"/>
    <w:rsid w:val="00F07477"/>
    <w:rsid w:val="00F47B8E"/>
    <w:rsid w:val="00F569C7"/>
    <w:rsid w:val="00F753E0"/>
    <w:rsid w:val="00F75C5C"/>
    <w:rsid w:val="00F83C21"/>
    <w:rsid w:val="00F92399"/>
    <w:rsid w:val="00FF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98"/>
    <w:pPr>
      <w:bidi/>
    </w:pPr>
  </w:style>
  <w:style w:type="paragraph" w:styleId="Heading5">
    <w:name w:val="heading 5"/>
    <w:basedOn w:val="Normal"/>
    <w:next w:val="Normal"/>
    <w:link w:val="Heading5Char"/>
    <w:qFormat/>
    <w:rsid w:val="0073389F"/>
    <w:pPr>
      <w:keepNext/>
      <w:widowControl w:val="0"/>
      <w:bidi w:val="0"/>
      <w:spacing w:after="0"/>
      <w:jc w:val="both"/>
      <w:outlineLvl w:val="4"/>
    </w:pPr>
    <w:rPr>
      <w:rFonts w:ascii="Times New Roman" w:eastAsia="SimSun" w:hAnsi="Times New Roman" w:cs="Times New Roman"/>
      <w:i/>
      <w:iCs/>
      <w:kern w:val="2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F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121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number">
    <w:name w:val="endnotenumber"/>
    <w:basedOn w:val="DefaultParagraphFont"/>
    <w:rsid w:val="00E31211"/>
  </w:style>
  <w:style w:type="character" w:customStyle="1" w:styleId="A5">
    <w:name w:val="A5"/>
    <w:uiPriority w:val="99"/>
    <w:rsid w:val="0012345C"/>
    <w:rPr>
      <w:rFonts w:cs="Adobe Caslon Pro"/>
      <w:color w:val="000000"/>
      <w:sz w:val="13"/>
      <w:szCs w:val="13"/>
    </w:rPr>
  </w:style>
  <w:style w:type="paragraph" w:styleId="Caption">
    <w:name w:val="caption"/>
    <w:basedOn w:val="Normal"/>
    <w:next w:val="Normal"/>
    <w:qFormat/>
    <w:rsid w:val="00DD1DDB"/>
    <w:pPr>
      <w:spacing w:after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A18"/>
    <w:pPr>
      <w:spacing w:after="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-fpage">
    <w:name w:val="cit-fpage"/>
    <w:basedOn w:val="DefaultParagraphFont"/>
    <w:rsid w:val="009624AF"/>
  </w:style>
  <w:style w:type="character" w:styleId="Emphasis">
    <w:name w:val="Emphasis"/>
    <w:basedOn w:val="DefaultParagraphFont"/>
    <w:uiPriority w:val="20"/>
    <w:qFormat/>
    <w:rsid w:val="009624AF"/>
    <w:rPr>
      <w:i/>
      <w:iCs/>
    </w:rPr>
  </w:style>
  <w:style w:type="character" w:customStyle="1" w:styleId="apple-converted-space">
    <w:name w:val="apple-converted-space"/>
    <w:basedOn w:val="DefaultParagraphFont"/>
    <w:rsid w:val="00D5720A"/>
  </w:style>
  <w:style w:type="character" w:customStyle="1" w:styleId="Heading5Char">
    <w:name w:val="Heading 5 Char"/>
    <w:basedOn w:val="DefaultParagraphFont"/>
    <w:link w:val="Heading5"/>
    <w:rsid w:val="0073389F"/>
    <w:rPr>
      <w:rFonts w:ascii="Times New Roman" w:eastAsia="SimSun" w:hAnsi="Times New Roman" w:cs="Times New Roman"/>
      <w:i/>
      <w:iCs/>
      <w:kern w:val="2"/>
      <w:sz w:val="20"/>
      <w:szCs w:val="24"/>
      <w:lang w:eastAsia="zh-CN"/>
    </w:rPr>
  </w:style>
  <w:style w:type="character" w:customStyle="1" w:styleId="label">
    <w:name w:val="label"/>
    <w:basedOn w:val="DefaultParagraphFont"/>
    <w:rsid w:val="0073389F"/>
  </w:style>
  <w:style w:type="paragraph" w:styleId="ListParagraph">
    <w:name w:val="List Paragraph"/>
    <w:basedOn w:val="Normal"/>
    <w:uiPriority w:val="34"/>
    <w:qFormat/>
    <w:rsid w:val="00074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E3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3E3B"/>
  </w:style>
  <w:style w:type="paragraph" w:styleId="Footer">
    <w:name w:val="footer"/>
    <w:basedOn w:val="Normal"/>
    <w:link w:val="FooterChar"/>
    <w:uiPriority w:val="99"/>
    <w:semiHidden/>
    <w:unhideWhenUsed/>
    <w:rsid w:val="004D3E3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3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048">
              <w:marLeft w:val="82"/>
              <w:marRight w:val="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ohzena@hotmail.co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00617.04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Dr%20Aml\Desktop\Dr%20Mohamed%20abo%20Zena%20old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9898062947187076"/>
          <c:y val="7.4548524732507712E-2"/>
          <c:w val="0.6918817908054169"/>
          <c:h val="0.79954695294419231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400" b="1"/>
                      <a:t>**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44456404736303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**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400" b="1"/>
                      <a:t>**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6114101184070618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**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both"/>
            <c:errValType val="cust"/>
            <c:plus>
              <c:numRef>
                <c:f>Sheet2!$O$9:$O$13</c:f>
                <c:numCache>
                  <c:formatCode>General</c:formatCode>
                  <c:ptCount val="5"/>
                  <c:pt idx="0">
                    <c:v>48.8</c:v>
                  </c:pt>
                  <c:pt idx="1">
                    <c:v>16.75</c:v>
                  </c:pt>
                  <c:pt idx="2">
                    <c:v>26.86</c:v>
                  </c:pt>
                  <c:pt idx="3">
                    <c:v>17.05</c:v>
                  </c:pt>
                  <c:pt idx="4">
                    <c:v>8.56</c:v>
                  </c:pt>
                </c:numCache>
              </c:numRef>
            </c:plus>
            <c:minus>
              <c:numRef>
                <c:f>Sheet2!$O$9:$O$13</c:f>
                <c:numCache>
                  <c:formatCode>General</c:formatCode>
                  <c:ptCount val="5"/>
                  <c:pt idx="0">
                    <c:v>48.8</c:v>
                  </c:pt>
                  <c:pt idx="1">
                    <c:v>16.75</c:v>
                  </c:pt>
                  <c:pt idx="2">
                    <c:v>26.86</c:v>
                  </c:pt>
                  <c:pt idx="3">
                    <c:v>17.05</c:v>
                  </c:pt>
                  <c:pt idx="4">
                    <c:v>8.56</c:v>
                  </c:pt>
                </c:numCache>
              </c:numRef>
            </c:minus>
          </c:errBars>
          <c:cat>
            <c:strRef>
              <c:f>Sheet2!$M$9:$M$13</c:f>
              <c:strCache>
                <c:ptCount val="5"/>
                <c:pt idx="0">
                  <c:v>group A</c:v>
                </c:pt>
                <c:pt idx="1">
                  <c:v>group B</c:v>
                </c:pt>
                <c:pt idx="2">
                  <c:v>group C</c:v>
                </c:pt>
                <c:pt idx="3">
                  <c:v>group D</c:v>
                </c:pt>
                <c:pt idx="4">
                  <c:v>group E</c:v>
                </c:pt>
              </c:strCache>
            </c:strRef>
          </c:cat>
          <c:val>
            <c:numRef>
              <c:f>Sheet2!$N$9:$N$13</c:f>
              <c:numCache>
                <c:formatCode>General</c:formatCode>
                <c:ptCount val="5"/>
                <c:pt idx="0">
                  <c:v>213</c:v>
                </c:pt>
                <c:pt idx="1">
                  <c:v>78</c:v>
                </c:pt>
                <c:pt idx="2">
                  <c:v>126.8</c:v>
                </c:pt>
                <c:pt idx="3">
                  <c:v>84.75</c:v>
                </c:pt>
                <c:pt idx="4">
                  <c:v>70.7</c:v>
                </c:pt>
              </c:numCache>
            </c:numRef>
          </c:val>
        </c:ser>
        <c:axId val="62974976"/>
        <c:axId val="64295680"/>
      </c:barChart>
      <c:catAx>
        <c:axId val="629749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4295680"/>
        <c:crosses val="autoZero"/>
        <c:auto val="1"/>
        <c:lblAlgn val="ctr"/>
        <c:lblOffset val="100"/>
      </c:catAx>
      <c:valAx>
        <c:axId val="642956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2974976"/>
        <c:crosses val="autoZero"/>
        <c:crossBetween val="between"/>
      </c:valAx>
    </c:plotArea>
    <c:plotVisOnly val="1"/>
    <c:dispBlanksAs val="gap"/>
  </c:chart>
  <c:spPr>
    <a:ln w="25400">
      <a:solidFill>
        <a:srgbClr val="4BACC6"/>
      </a:solidFill>
    </a:ln>
  </c:spPr>
  <c:externalData r:id="rId2"/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0.56499</cdr:y>
    </cdr:from>
    <cdr:to>
      <cdr:x>0.21544</cdr:x>
      <cdr:y>0.75397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78295" y="1518699"/>
          <a:ext cx="786735" cy="50798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Administrator</cp:lastModifiedBy>
  <cp:revision>3</cp:revision>
  <cp:lastPrinted>2017-05-06T15:51:00Z</cp:lastPrinted>
  <dcterms:created xsi:type="dcterms:W3CDTF">2017-05-11T14:58:00Z</dcterms:created>
  <dcterms:modified xsi:type="dcterms:W3CDTF">2017-05-09T19:58:00Z</dcterms:modified>
</cp:coreProperties>
</file>