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96" w:rsidRPr="00645F69" w:rsidRDefault="00D21F3F" w:rsidP="00645F69">
      <w:pPr>
        <w:snapToGrid w:val="0"/>
        <w:jc w:val="center"/>
        <w:rPr>
          <w:b/>
          <w:sz w:val="20"/>
          <w:szCs w:val="20"/>
        </w:rPr>
      </w:pPr>
      <w:r w:rsidRPr="00645F69">
        <w:rPr>
          <w:b/>
          <w:sz w:val="20"/>
          <w:szCs w:val="20"/>
        </w:rPr>
        <w:t>Effect of Combined Oral Contraceptive Pills on Auditory Function</w:t>
      </w:r>
    </w:p>
    <w:p w:rsidR="00D21F3F" w:rsidRPr="00645F69" w:rsidRDefault="00D21F3F" w:rsidP="00645F69">
      <w:pPr>
        <w:pStyle w:val="Heading2"/>
        <w:snapToGrid w:val="0"/>
        <w:spacing w:before="0"/>
        <w:ind w:left="0" w:right="0"/>
        <w:jc w:val="center"/>
        <w:rPr>
          <w:b w:val="0"/>
          <w:bCs w:val="0"/>
          <w:sz w:val="20"/>
          <w:szCs w:val="20"/>
        </w:rPr>
      </w:pPr>
    </w:p>
    <w:p w:rsidR="00693733" w:rsidRPr="00645F69" w:rsidRDefault="00693733" w:rsidP="00645F69">
      <w:pPr>
        <w:widowControl/>
        <w:snapToGrid w:val="0"/>
        <w:jc w:val="center"/>
        <w:rPr>
          <w:sz w:val="20"/>
          <w:szCs w:val="20"/>
        </w:rPr>
      </w:pPr>
      <w:r w:rsidRPr="00645F69">
        <w:rPr>
          <w:sz w:val="20"/>
          <w:szCs w:val="20"/>
        </w:rPr>
        <w:t>Gehan</w:t>
      </w:r>
      <w:r w:rsidR="00CE1C06" w:rsidRPr="00645F69">
        <w:rPr>
          <w:sz w:val="20"/>
          <w:szCs w:val="20"/>
        </w:rPr>
        <w:t xml:space="preserve"> </w:t>
      </w:r>
      <w:r w:rsidRPr="00645F69">
        <w:rPr>
          <w:sz w:val="20"/>
          <w:szCs w:val="20"/>
        </w:rPr>
        <w:t>Abd El-Rahman El-Zarea</w:t>
      </w:r>
      <w:r w:rsidRPr="00645F69">
        <w:rPr>
          <w:sz w:val="20"/>
          <w:szCs w:val="20"/>
          <w:vertAlign w:val="superscript"/>
        </w:rPr>
        <w:t>1</w:t>
      </w:r>
      <w:r w:rsidRPr="00645F69">
        <w:rPr>
          <w:sz w:val="20"/>
          <w:szCs w:val="20"/>
        </w:rPr>
        <w:t>; Ali Abd–Eldaiem Ali</w:t>
      </w:r>
      <w:r w:rsidRPr="00645F69">
        <w:rPr>
          <w:sz w:val="20"/>
          <w:szCs w:val="20"/>
          <w:vertAlign w:val="superscript"/>
        </w:rPr>
        <w:t>1</w:t>
      </w:r>
      <w:r w:rsidRPr="00645F69">
        <w:rPr>
          <w:sz w:val="20"/>
          <w:szCs w:val="20"/>
        </w:rPr>
        <w:t>; Mohamed Mohame</w:t>
      </w:r>
      <w:r w:rsidR="00645F69" w:rsidRPr="00645F69">
        <w:rPr>
          <w:sz w:val="20"/>
          <w:szCs w:val="20"/>
        </w:rPr>
        <w:t>d</w:t>
      </w:r>
      <w:r w:rsidR="00645F69">
        <w:rPr>
          <w:sz w:val="20"/>
          <w:szCs w:val="20"/>
        </w:rPr>
        <w:t xml:space="preserve"> </w:t>
      </w:r>
      <w:r w:rsidR="00645F69" w:rsidRPr="00645F69">
        <w:rPr>
          <w:sz w:val="20"/>
          <w:szCs w:val="20"/>
        </w:rPr>
        <w:t>F</w:t>
      </w:r>
      <w:r w:rsidRPr="00645F69">
        <w:rPr>
          <w:sz w:val="20"/>
          <w:szCs w:val="20"/>
        </w:rPr>
        <w:t>rahat; Amr Mohamed Galal</w:t>
      </w:r>
      <w:r w:rsidR="00601DEE" w:rsidRPr="00645F69">
        <w:rPr>
          <w:sz w:val="20"/>
          <w:szCs w:val="20"/>
        </w:rPr>
        <w:t xml:space="preserve"> </w:t>
      </w:r>
      <w:r w:rsidRPr="00645F69">
        <w:rPr>
          <w:sz w:val="20"/>
          <w:szCs w:val="20"/>
        </w:rPr>
        <w:t>Arisha</w:t>
      </w:r>
    </w:p>
    <w:p w:rsidR="00641696" w:rsidRPr="00645F69" w:rsidRDefault="00641696" w:rsidP="00645F69">
      <w:pPr>
        <w:pStyle w:val="BodyText"/>
        <w:snapToGrid w:val="0"/>
        <w:jc w:val="center"/>
        <w:rPr>
          <w:b/>
          <w:sz w:val="20"/>
          <w:szCs w:val="20"/>
        </w:rPr>
      </w:pPr>
    </w:p>
    <w:p w:rsidR="00641696" w:rsidRPr="00645F69" w:rsidRDefault="00D21F3F" w:rsidP="00645F69">
      <w:pPr>
        <w:pStyle w:val="ListParagraph"/>
        <w:snapToGrid w:val="0"/>
        <w:spacing w:before="0"/>
        <w:ind w:left="0" w:right="0"/>
        <w:jc w:val="center"/>
        <w:rPr>
          <w:bCs/>
          <w:sz w:val="20"/>
          <w:szCs w:val="20"/>
        </w:rPr>
      </w:pPr>
      <w:r w:rsidRPr="00645F69">
        <w:rPr>
          <w:bCs/>
          <w:sz w:val="20"/>
          <w:szCs w:val="20"/>
          <w:vertAlign w:val="superscript"/>
        </w:rPr>
        <w:t>1</w:t>
      </w:r>
      <w:r w:rsidR="00AE7F37" w:rsidRPr="00645F69">
        <w:rPr>
          <w:bCs/>
          <w:sz w:val="20"/>
          <w:szCs w:val="20"/>
        </w:rPr>
        <w:t xml:space="preserve">Audiology </w:t>
      </w:r>
      <w:r w:rsidR="00CE1C06" w:rsidRPr="00645F69">
        <w:rPr>
          <w:bCs/>
          <w:sz w:val="20"/>
          <w:szCs w:val="20"/>
        </w:rPr>
        <w:t>–</w:t>
      </w:r>
      <w:r w:rsidR="00AE7F37" w:rsidRPr="00645F69">
        <w:rPr>
          <w:bCs/>
          <w:sz w:val="20"/>
          <w:szCs w:val="20"/>
        </w:rPr>
        <w:t>ENT</w:t>
      </w:r>
      <w:r w:rsidR="00CE1C06" w:rsidRPr="00645F69">
        <w:rPr>
          <w:bCs/>
          <w:sz w:val="20"/>
          <w:szCs w:val="20"/>
        </w:rPr>
        <w:t xml:space="preserve"> </w:t>
      </w:r>
      <w:r w:rsidR="00AE7F37" w:rsidRPr="00645F69">
        <w:rPr>
          <w:bCs/>
          <w:sz w:val="20"/>
          <w:szCs w:val="20"/>
        </w:rPr>
        <w:t>Department</w:t>
      </w:r>
      <w:r w:rsidRPr="00645F69">
        <w:rPr>
          <w:bCs/>
          <w:sz w:val="20"/>
          <w:szCs w:val="20"/>
        </w:rPr>
        <w:t>,</w:t>
      </w:r>
      <w:r w:rsidR="00AE7F37" w:rsidRPr="00645F69">
        <w:rPr>
          <w:bCs/>
          <w:sz w:val="20"/>
          <w:szCs w:val="20"/>
        </w:rPr>
        <w:t xml:space="preserve"> Faculty of Medicine</w:t>
      </w:r>
      <w:r w:rsidRPr="00645F69">
        <w:rPr>
          <w:bCs/>
          <w:sz w:val="20"/>
          <w:szCs w:val="20"/>
        </w:rPr>
        <w:t>,</w:t>
      </w:r>
      <w:r w:rsidR="00AE7F37" w:rsidRPr="00645F69">
        <w:rPr>
          <w:bCs/>
          <w:sz w:val="20"/>
          <w:szCs w:val="20"/>
        </w:rPr>
        <w:t xml:space="preserve"> AL-Azhar</w:t>
      </w:r>
      <w:r w:rsidR="00CE1C06" w:rsidRPr="00645F69">
        <w:rPr>
          <w:bCs/>
          <w:sz w:val="20"/>
          <w:szCs w:val="20"/>
        </w:rPr>
        <w:t xml:space="preserve"> </w:t>
      </w:r>
      <w:r w:rsidR="00AE7F37" w:rsidRPr="00645F69">
        <w:rPr>
          <w:bCs/>
          <w:sz w:val="20"/>
          <w:szCs w:val="20"/>
        </w:rPr>
        <w:t>University</w:t>
      </w:r>
      <w:r w:rsidRPr="00645F69">
        <w:rPr>
          <w:bCs/>
          <w:sz w:val="20"/>
          <w:szCs w:val="20"/>
        </w:rPr>
        <w:t>,</w:t>
      </w:r>
      <w:r w:rsidR="00CE1C06" w:rsidRPr="00645F69">
        <w:rPr>
          <w:bCs/>
          <w:sz w:val="20"/>
          <w:szCs w:val="20"/>
        </w:rPr>
        <w:t xml:space="preserve"> </w:t>
      </w:r>
      <w:r w:rsidRPr="00645F69">
        <w:rPr>
          <w:bCs/>
          <w:sz w:val="20"/>
          <w:szCs w:val="20"/>
        </w:rPr>
        <w:t>Egypt</w:t>
      </w:r>
    </w:p>
    <w:p w:rsidR="00641696" w:rsidRPr="00645F69" w:rsidRDefault="00D21F3F" w:rsidP="00645F69">
      <w:pPr>
        <w:pStyle w:val="ListParagraph"/>
        <w:snapToGrid w:val="0"/>
        <w:spacing w:before="0"/>
        <w:ind w:left="0" w:right="0"/>
        <w:jc w:val="center"/>
        <w:rPr>
          <w:bCs/>
          <w:sz w:val="20"/>
          <w:szCs w:val="20"/>
        </w:rPr>
      </w:pPr>
      <w:r w:rsidRPr="00645F69">
        <w:rPr>
          <w:bCs/>
          <w:sz w:val="20"/>
          <w:szCs w:val="20"/>
          <w:vertAlign w:val="superscript"/>
        </w:rPr>
        <w:t>2</w:t>
      </w:r>
      <w:r w:rsidR="00AE7F37" w:rsidRPr="00645F69">
        <w:rPr>
          <w:bCs/>
          <w:sz w:val="20"/>
          <w:szCs w:val="20"/>
        </w:rPr>
        <w:t>Obstetrics and</w:t>
      </w:r>
      <w:r w:rsidR="00CE1C06" w:rsidRPr="00645F69">
        <w:rPr>
          <w:bCs/>
          <w:sz w:val="20"/>
          <w:szCs w:val="20"/>
        </w:rPr>
        <w:t xml:space="preserve"> </w:t>
      </w:r>
      <w:r w:rsidR="00AE7F37" w:rsidRPr="00645F69">
        <w:rPr>
          <w:bCs/>
          <w:sz w:val="20"/>
          <w:szCs w:val="20"/>
        </w:rPr>
        <w:t>Gynecology</w:t>
      </w:r>
      <w:r w:rsidRPr="00645F69">
        <w:rPr>
          <w:bCs/>
          <w:sz w:val="20"/>
          <w:szCs w:val="20"/>
        </w:rPr>
        <w:t xml:space="preserve"> Department,</w:t>
      </w:r>
      <w:r w:rsidR="00AE7F37" w:rsidRPr="00645F69">
        <w:rPr>
          <w:bCs/>
          <w:sz w:val="20"/>
          <w:szCs w:val="20"/>
        </w:rPr>
        <w:t xml:space="preserve"> Faculty of Medicine</w:t>
      </w:r>
      <w:r w:rsidRPr="00645F69">
        <w:rPr>
          <w:bCs/>
          <w:sz w:val="20"/>
          <w:szCs w:val="20"/>
        </w:rPr>
        <w:t>,</w:t>
      </w:r>
      <w:r w:rsidR="00AE7F37" w:rsidRPr="00645F69">
        <w:rPr>
          <w:bCs/>
          <w:sz w:val="20"/>
          <w:szCs w:val="20"/>
        </w:rPr>
        <w:t xml:space="preserve"> AL-Azhar</w:t>
      </w:r>
      <w:r w:rsidR="00CE1C06" w:rsidRPr="00645F69">
        <w:rPr>
          <w:bCs/>
          <w:sz w:val="20"/>
          <w:szCs w:val="20"/>
        </w:rPr>
        <w:t xml:space="preserve"> </w:t>
      </w:r>
      <w:r w:rsidR="00AE7F37" w:rsidRPr="00645F69">
        <w:rPr>
          <w:bCs/>
          <w:sz w:val="20"/>
          <w:szCs w:val="20"/>
        </w:rPr>
        <w:t>University</w:t>
      </w:r>
      <w:r w:rsidRPr="00645F69">
        <w:rPr>
          <w:bCs/>
          <w:sz w:val="20"/>
          <w:szCs w:val="20"/>
        </w:rPr>
        <w:t>, Egypt</w:t>
      </w:r>
    </w:p>
    <w:p w:rsidR="009B2A3B" w:rsidRPr="00645F69" w:rsidRDefault="00AC0A39" w:rsidP="00645F69">
      <w:pPr>
        <w:widowControl/>
        <w:snapToGrid w:val="0"/>
        <w:jc w:val="center"/>
        <w:rPr>
          <w:rFonts w:eastAsiaTheme="minorEastAsia"/>
          <w:b/>
          <w:bCs/>
          <w:color w:val="000000" w:themeColor="text1"/>
          <w:sz w:val="20"/>
          <w:szCs w:val="20"/>
          <w:lang w:bidi="ar-EG"/>
        </w:rPr>
      </w:pPr>
      <w:hyperlink r:id="rId8" w:history="1">
        <w:r w:rsidR="009B2A3B" w:rsidRPr="00645F69">
          <w:rPr>
            <w:rFonts w:eastAsiaTheme="minorEastAsia"/>
            <w:color w:val="0000FF"/>
            <w:sz w:val="20"/>
            <w:szCs w:val="20"/>
            <w:u w:val="single"/>
            <w:lang w:bidi="ar-EG"/>
          </w:rPr>
          <w:t>Amrgalal1985@hotmail.com</w:t>
        </w:r>
      </w:hyperlink>
      <w:r w:rsidR="00147703">
        <w:rPr>
          <w:rFonts w:eastAsiaTheme="minorEastAsia" w:hint="eastAsia"/>
          <w:lang w:eastAsia="zh-CN"/>
        </w:rPr>
        <w:t>,</w:t>
      </w:r>
      <w:r w:rsidR="00152FAE" w:rsidRPr="00645F69">
        <w:rPr>
          <w:sz w:val="20"/>
        </w:rPr>
        <w:t xml:space="preserve"> </w:t>
      </w:r>
      <w:hyperlink r:id="rId9" w:history="1">
        <w:r w:rsidR="009B2A3B" w:rsidRPr="00645F69">
          <w:rPr>
            <w:rFonts w:eastAsiaTheme="minorEastAsia"/>
            <w:color w:val="0000FF"/>
            <w:sz w:val="20"/>
            <w:szCs w:val="20"/>
            <w:u w:val="single"/>
            <w:lang w:bidi="ar-EG"/>
          </w:rPr>
          <w:t>Amrgalal_1985@yahoo.com</w:t>
        </w:r>
      </w:hyperlink>
    </w:p>
    <w:p w:rsidR="00641696" w:rsidRPr="00645F69" w:rsidRDefault="00641696" w:rsidP="00645F69">
      <w:pPr>
        <w:pStyle w:val="BodyText"/>
        <w:snapToGrid w:val="0"/>
        <w:jc w:val="center"/>
        <w:rPr>
          <w:b/>
          <w:sz w:val="20"/>
          <w:szCs w:val="20"/>
        </w:rPr>
      </w:pPr>
      <w:bookmarkStart w:id="0" w:name="_GoBack"/>
      <w:bookmarkEnd w:id="0"/>
    </w:p>
    <w:p w:rsidR="00641696" w:rsidRPr="00645F69" w:rsidRDefault="008739CE" w:rsidP="00645F69">
      <w:pPr>
        <w:snapToGrid w:val="0"/>
        <w:jc w:val="both"/>
        <w:rPr>
          <w:sz w:val="20"/>
          <w:szCs w:val="20"/>
        </w:rPr>
      </w:pPr>
      <w:r w:rsidRPr="00645F69">
        <w:rPr>
          <w:b/>
          <w:sz w:val="20"/>
          <w:szCs w:val="20"/>
        </w:rPr>
        <w:t xml:space="preserve">Abstract </w:t>
      </w:r>
      <w:r w:rsidR="00AE7F37" w:rsidRPr="00645F69">
        <w:rPr>
          <w:b/>
          <w:sz w:val="20"/>
          <w:szCs w:val="20"/>
        </w:rPr>
        <w:t xml:space="preserve">Background: </w:t>
      </w:r>
      <w:r w:rsidR="00AE7F37" w:rsidRPr="00645F69">
        <w:rPr>
          <w:sz w:val="20"/>
          <w:szCs w:val="20"/>
        </w:rPr>
        <w:t xml:space="preserve">A lot of contraceptive methods are used by women for birth control such as oral contraceptive pills, contraceptive patch, vaginal contraceptive ring, contraceptive injection and the intra uterine device. One of these methods is oral contraceptive pills which may be combined or single. Combined oral contraceptive pills (COCP) contain estrogen and </w:t>
      </w:r>
      <w:r w:rsidRPr="00645F69">
        <w:rPr>
          <w:sz w:val="20"/>
          <w:szCs w:val="20"/>
        </w:rPr>
        <w:t>progesterone hormones</w:t>
      </w:r>
      <w:r w:rsidR="00D21F3F" w:rsidRPr="00645F69">
        <w:rPr>
          <w:sz w:val="20"/>
          <w:szCs w:val="20"/>
        </w:rPr>
        <w:t>, these are like pregnancy hormones</w:t>
      </w:r>
      <w:r w:rsidR="00A22695">
        <w:rPr>
          <w:rFonts w:eastAsiaTheme="minorEastAsia" w:hint="eastAsia"/>
          <w:sz w:val="20"/>
          <w:szCs w:val="20"/>
          <w:lang w:eastAsia="zh-CN"/>
        </w:rPr>
        <w:t xml:space="preserve"> </w:t>
      </w:r>
      <w:r w:rsidR="00AE7F37" w:rsidRPr="00645F69">
        <w:rPr>
          <w:sz w:val="20"/>
          <w:szCs w:val="20"/>
        </w:rPr>
        <w:t>preventing</w:t>
      </w:r>
      <w:r w:rsidR="00CE1C06" w:rsidRPr="00645F69">
        <w:rPr>
          <w:sz w:val="20"/>
          <w:szCs w:val="20"/>
        </w:rPr>
        <w:t xml:space="preserve"> </w:t>
      </w:r>
      <w:r w:rsidR="00AE7F37" w:rsidRPr="00645F69">
        <w:rPr>
          <w:sz w:val="20"/>
          <w:szCs w:val="20"/>
        </w:rPr>
        <w:t xml:space="preserve">fertilization from taking place. </w:t>
      </w:r>
      <w:r w:rsidR="00AE7F37" w:rsidRPr="00645F69">
        <w:rPr>
          <w:b/>
          <w:sz w:val="20"/>
          <w:szCs w:val="20"/>
        </w:rPr>
        <w:t xml:space="preserve">The aim: </w:t>
      </w:r>
      <w:r w:rsidR="00AE7F37" w:rsidRPr="00645F69">
        <w:rPr>
          <w:sz w:val="20"/>
          <w:szCs w:val="20"/>
        </w:rPr>
        <w:t>Hearing loss was observed in females who are using COCP, so this study was designed to explore the nature of auditory disorders in those females and to correlate the degree and configuration of hearing loss with the type and duration of COCP.</w:t>
      </w:r>
      <w:r w:rsidR="00CE1C06" w:rsidRPr="00645F69">
        <w:rPr>
          <w:b/>
          <w:sz w:val="20"/>
          <w:szCs w:val="20"/>
        </w:rPr>
        <w:t xml:space="preserve"> </w:t>
      </w:r>
      <w:r w:rsidR="00AE7F37" w:rsidRPr="00645F69">
        <w:rPr>
          <w:b/>
          <w:sz w:val="20"/>
          <w:szCs w:val="20"/>
        </w:rPr>
        <w:t>Subjects</w:t>
      </w:r>
      <w:r w:rsidR="00645F69">
        <w:rPr>
          <w:b/>
          <w:sz w:val="20"/>
          <w:szCs w:val="20"/>
        </w:rPr>
        <w:t xml:space="preserve"> </w:t>
      </w:r>
      <w:r w:rsidR="00CC5C4A" w:rsidRPr="00645F69">
        <w:rPr>
          <w:b/>
          <w:sz w:val="20"/>
          <w:szCs w:val="20"/>
        </w:rPr>
        <w:t>&amp;</w:t>
      </w:r>
      <w:r w:rsidR="00645F69">
        <w:rPr>
          <w:b/>
          <w:sz w:val="20"/>
          <w:szCs w:val="20"/>
        </w:rPr>
        <w:t xml:space="preserve"> </w:t>
      </w:r>
      <w:r w:rsidR="00AE7F37" w:rsidRPr="00645F69">
        <w:rPr>
          <w:b/>
          <w:sz w:val="20"/>
          <w:szCs w:val="20"/>
        </w:rPr>
        <w:t xml:space="preserve">method: </w:t>
      </w:r>
      <w:r w:rsidR="00AE7F37" w:rsidRPr="00645F69">
        <w:rPr>
          <w:sz w:val="20"/>
          <w:szCs w:val="20"/>
        </w:rPr>
        <w:t>This study included 30 females who were using COCP and 15 control females. Participants underwent a full history taking, basic audiological evaluation, DPOAE and neuro-otological ABR.</w:t>
      </w:r>
      <w:r w:rsidR="00CE1C06" w:rsidRPr="00645F69">
        <w:rPr>
          <w:b/>
          <w:sz w:val="20"/>
          <w:szCs w:val="20"/>
        </w:rPr>
        <w:t xml:space="preserve"> </w:t>
      </w:r>
      <w:r w:rsidR="00AE7F37" w:rsidRPr="00645F69">
        <w:rPr>
          <w:b/>
          <w:sz w:val="20"/>
          <w:szCs w:val="20"/>
        </w:rPr>
        <w:t xml:space="preserve">Results: </w:t>
      </w:r>
      <w:r w:rsidR="00AE7F37" w:rsidRPr="00645F69">
        <w:rPr>
          <w:sz w:val="20"/>
          <w:szCs w:val="20"/>
        </w:rPr>
        <w:t xml:space="preserve">26% of the study group (8 females) had hearing loss and 20% had tinnitus (6 females). 6 females had SNHL and 2 had conductive hearing loss. </w:t>
      </w:r>
      <w:r w:rsidR="00AE7F37" w:rsidRPr="00645F69">
        <w:rPr>
          <w:b/>
          <w:sz w:val="20"/>
          <w:szCs w:val="20"/>
        </w:rPr>
        <w:t>Conclusion</w:t>
      </w:r>
      <w:r w:rsidR="00AE7F37" w:rsidRPr="00645F69">
        <w:rPr>
          <w:sz w:val="20"/>
          <w:szCs w:val="20"/>
        </w:rPr>
        <w:t>: 26% had hearing loss and 20% had tinnitus. No correlation between the duration of using COCP with hearing loss.</w:t>
      </w:r>
    </w:p>
    <w:p w:rsidR="00645F69" w:rsidRPr="00645F69" w:rsidRDefault="00312450" w:rsidP="00645F69">
      <w:pPr>
        <w:snapToGrid w:val="0"/>
        <w:jc w:val="both"/>
        <w:rPr>
          <w:sz w:val="20"/>
          <w:szCs w:val="20"/>
        </w:rPr>
      </w:pPr>
      <w:r w:rsidRPr="00645F69">
        <w:rPr>
          <w:sz w:val="20"/>
          <w:szCs w:val="20"/>
        </w:rPr>
        <w:t>[</w:t>
      </w:r>
      <w:r w:rsidR="00693733" w:rsidRPr="00645F69">
        <w:rPr>
          <w:sz w:val="20"/>
          <w:szCs w:val="20"/>
        </w:rPr>
        <w:t>Geha</w:t>
      </w:r>
      <w:r w:rsidR="00645F69" w:rsidRPr="00645F69">
        <w:rPr>
          <w:sz w:val="20"/>
          <w:szCs w:val="20"/>
        </w:rPr>
        <w:t>n</w:t>
      </w:r>
      <w:r w:rsidR="00645F69">
        <w:rPr>
          <w:sz w:val="20"/>
          <w:szCs w:val="20"/>
        </w:rPr>
        <w:t xml:space="preserve"> </w:t>
      </w:r>
      <w:r w:rsidR="00645F69" w:rsidRPr="00645F69">
        <w:rPr>
          <w:sz w:val="20"/>
          <w:szCs w:val="20"/>
        </w:rPr>
        <w:t>A</w:t>
      </w:r>
      <w:r w:rsidR="00693733" w:rsidRPr="00645F69">
        <w:rPr>
          <w:sz w:val="20"/>
          <w:szCs w:val="20"/>
        </w:rPr>
        <w:t>bd El-Rahman El-Zarea; Ali Abd–Eldaiem Ali; Mohamed Mohamed</w:t>
      </w:r>
      <w:r w:rsidRPr="00645F69">
        <w:rPr>
          <w:sz w:val="20"/>
          <w:szCs w:val="20"/>
        </w:rPr>
        <w:t xml:space="preserve"> </w:t>
      </w:r>
      <w:r w:rsidR="00693733" w:rsidRPr="00645F69">
        <w:rPr>
          <w:sz w:val="20"/>
          <w:szCs w:val="20"/>
        </w:rPr>
        <w:t>Frahat; Amr Mohamed Galal</w:t>
      </w:r>
      <w:r w:rsidR="00645F69" w:rsidRPr="00645F69">
        <w:rPr>
          <w:rFonts w:eastAsiaTheme="minorEastAsia" w:hint="eastAsia"/>
          <w:sz w:val="20"/>
          <w:szCs w:val="20"/>
          <w:lang w:eastAsia="zh-CN"/>
        </w:rPr>
        <w:t xml:space="preserve"> </w:t>
      </w:r>
      <w:r w:rsidR="00693733" w:rsidRPr="00645F69">
        <w:rPr>
          <w:sz w:val="20"/>
          <w:szCs w:val="20"/>
        </w:rPr>
        <w:t>Arisha</w:t>
      </w:r>
      <w:r w:rsidR="00645F69">
        <w:rPr>
          <w:rFonts w:eastAsiaTheme="minorEastAsia" w:hint="eastAsia"/>
          <w:sz w:val="20"/>
          <w:szCs w:val="20"/>
          <w:lang w:eastAsia="zh-CN"/>
        </w:rPr>
        <w:t>.</w:t>
      </w:r>
      <w:r w:rsidRPr="00645F69">
        <w:rPr>
          <w:b/>
          <w:bCs/>
          <w:sz w:val="20"/>
          <w:szCs w:val="20"/>
        </w:rPr>
        <w:t xml:space="preserve"> </w:t>
      </w:r>
      <w:r w:rsidR="00D21F3F" w:rsidRPr="00645F69">
        <w:rPr>
          <w:b/>
          <w:bCs/>
          <w:sz w:val="20"/>
          <w:szCs w:val="20"/>
        </w:rPr>
        <w:t>Effect of Combined Oral Contraceptive Pills on Auditory Function</w:t>
      </w:r>
      <w:r w:rsidR="00645F69" w:rsidRPr="00645F69">
        <w:rPr>
          <w:b/>
          <w:bCs/>
          <w:sz w:val="20"/>
          <w:szCs w:val="20"/>
          <w:lang w:bidi="fa-IR"/>
        </w:rPr>
        <w:t>.</w:t>
      </w:r>
      <w:r w:rsidR="00645F69" w:rsidRPr="00645F69">
        <w:rPr>
          <w:bCs/>
          <w:i/>
          <w:sz w:val="20"/>
          <w:szCs w:val="20"/>
        </w:rPr>
        <w:t xml:space="preserve"> N Y Sci J</w:t>
      </w:r>
      <w:r w:rsidR="00645F69" w:rsidRPr="00645F69">
        <w:rPr>
          <w:bCs/>
          <w:sz w:val="20"/>
          <w:szCs w:val="20"/>
        </w:rPr>
        <w:t xml:space="preserve"> </w:t>
      </w:r>
      <w:r w:rsidR="00645F69" w:rsidRPr="00645F69">
        <w:rPr>
          <w:sz w:val="20"/>
          <w:szCs w:val="20"/>
        </w:rPr>
        <w:t>201</w:t>
      </w:r>
      <w:r w:rsidR="00645F69" w:rsidRPr="00645F69">
        <w:rPr>
          <w:rFonts w:hint="eastAsia"/>
          <w:sz w:val="20"/>
          <w:szCs w:val="20"/>
        </w:rPr>
        <w:t>7</w:t>
      </w:r>
      <w:r w:rsidR="00645F69" w:rsidRPr="00645F69">
        <w:rPr>
          <w:sz w:val="20"/>
          <w:szCs w:val="20"/>
        </w:rPr>
        <w:t>;</w:t>
      </w:r>
      <w:r w:rsidR="00645F69" w:rsidRPr="00645F69">
        <w:rPr>
          <w:rFonts w:hint="eastAsia"/>
          <w:sz w:val="20"/>
          <w:szCs w:val="20"/>
        </w:rPr>
        <w:t>10</w:t>
      </w:r>
      <w:r w:rsidR="00645F69" w:rsidRPr="00645F69">
        <w:rPr>
          <w:sz w:val="20"/>
          <w:szCs w:val="20"/>
        </w:rPr>
        <w:t>(</w:t>
      </w:r>
      <w:r w:rsidR="00645F69" w:rsidRPr="00645F69">
        <w:rPr>
          <w:rFonts w:hint="eastAsia"/>
          <w:sz w:val="20"/>
          <w:szCs w:val="20"/>
        </w:rPr>
        <w:t>6</w:t>
      </w:r>
      <w:r w:rsidR="00645F69" w:rsidRPr="00645F69">
        <w:rPr>
          <w:sz w:val="20"/>
          <w:szCs w:val="20"/>
        </w:rPr>
        <w:t>):</w:t>
      </w:r>
      <w:r w:rsidR="008B7631">
        <w:rPr>
          <w:noProof/>
          <w:color w:val="000000"/>
          <w:sz w:val="20"/>
          <w:szCs w:val="20"/>
        </w:rPr>
        <w:t>17</w:t>
      </w:r>
      <w:r w:rsidR="00645F69" w:rsidRPr="00645F69">
        <w:rPr>
          <w:color w:val="000000"/>
          <w:sz w:val="20"/>
          <w:szCs w:val="20"/>
        </w:rPr>
        <w:t>-</w:t>
      </w:r>
      <w:r w:rsidR="008B7631">
        <w:rPr>
          <w:noProof/>
          <w:color w:val="000000"/>
          <w:sz w:val="20"/>
          <w:szCs w:val="20"/>
        </w:rPr>
        <w:t>21</w:t>
      </w:r>
      <w:r w:rsidR="00645F69" w:rsidRPr="00645F69">
        <w:rPr>
          <w:sz w:val="20"/>
          <w:szCs w:val="20"/>
        </w:rPr>
        <w:t xml:space="preserve">]. </w:t>
      </w:r>
      <w:r w:rsidR="00645F69" w:rsidRPr="00645F69">
        <w:rPr>
          <w:iCs/>
          <w:color w:val="000000"/>
          <w:sz w:val="20"/>
          <w:szCs w:val="20"/>
        </w:rPr>
        <w:t>ISSN 1554-0200 (print); ISSN 2375-723X (online)</w:t>
      </w:r>
      <w:r w:rsidR="00645F69" w:rsidRPr="00645F69">
        <w:rPr>
          <w:sz w:val="20"/>
          <w:szCs w:val="20"/>
        </w:rPr>
        <w:t xml:space="preserve">. </w:t>
      </w:r>
      <w:hyperlink r:id="rId10" w:history="1">
        <w:r w:rsidR="00645F69" w:rsidRPr="00645F69">
          <w:rPr>
            <w:rStyle w:val="Hyperlink"/>
            <w:color w:val="0000FF"/>
            <w:sz w:val="20"/>
            <w:szCs w:val="20"/>
          </w:rPr>
          <w:t>http://www.sciencepub.net/newyork</w:t>
        </w:r>
      </w:hyperlink>
      <w:r w:rsidR="00645F69" w:rsidRPr="00645F69">
        <w:rPr>
          <w:sz w:val="20"/>
          <w:szCs w:val="20"/>
        </w:rPr>
        <w:t xml:space="preserve">. </w:t>
      </w:r>
      <w:r w:rsidR="00645F69" w:rsidRPr="00645F69">
        <w:rPr>
          <w:rFonts w:eastAsiaTheme="minorEastAsia" w:hint="eastAsia"/>
          <w:sz w:val="20"/>
          <w:szCs w:val="20"/>
          <w:lang w:eastAsia="zh-CN"/>
        </w:rPr>
        <w:t>3</w:t>
      </w:r>
      <w:r w:rsidR="00645F69" w:rsidRPr="00645F69">
        <w:rPr>
          <w:rFonts w:hint="eastAsia"/>
          <w:sz w:val="20"/>
          <w:szCs w:val="20"/>
        </w:rPr>
        <w:t xml:space="preserve">. </w:t>
      </w:r>
      <w:r w:rsidR="00645F69" w:rsidRPr="00645F69">
        <w:rPr>
          <w:color w:val="000000"/>
          <w:sz w:val="20"/>
          <w:szCs w:val="20"/>
          <w:shd w:val="clear" w:color="auto" w:fill="FFFFFF"/>
        </w:rPr>
        <w:t>doi:</w:t>
      </w:r>
      <w:hyperlink r:id="rId11" w:history="1">
        <w:r w:rsidR="00645F69" w:rsidRPr="00645F69">
          <w:rPr>
            <w:rStyle w:val="Hyperlink"/>
            <w:color w:val="0000FF"/>
            <w:sz w:val="20"/>
            <w:szCs w:val="20"/>
            <w:shd w:val="clear" w:color="auto" w:fill="FFFFFF"/>
          </w:rPr>
          <w:t>10.7537/mars</w:t>
        </w:r>
        <w:r w:rsidR="00645F69" w:rsidRPr="00645F69">
          <w:rPr>
            <w:rStyle w:val="Hyperlink"/>
            <w:rFonts w:hint="eastAsia"/>
            <w:color w:val="0000FF"/>
            <w:sz w:val="20"/>
            <w:szCs w:val="20"/>
            <w:shd w:val="clear" w:color="auto" w:fill="FFFFFF"/>
          </w:rPr>
          <w:t>nys100617.</w:t>
        </w:r>
        <w:r w:rsidR="00645F69" w:rsidRPr="00645F69">
          <w:rPr>
            <w:rStyle w:val="Hyperlink"/>
            <w:color w:val="0000FF"/>
            <w:sz w:val="20"/>
            <w:szCs w:val="20"/>
            <w:shd w:val="clear" w:color="auto" w:fill="FFFFFF"/>
          </w:rPr>
          <w:t>0</w:t>
        </w:r>
        <w:r w:rsidR="00645F69" w:rsidRPr="00645F69">
          <w:rPr>
            <w:rStyle w:val="Hyperlink"/>
            <w:rFonts w:eastAsiaTheme="minorEastAsia" w:hint="eastAsia"/>
            <w:color w:val="0000FF"/>
            <w:sz w:val="20"/>
            <w:szCs w:val="20"/>
            <w:shd w:val="clear" w:color="auto" w:fill="FFFFFF"/>
            <w:lang w:eastAsia="zh-CN"/>
          </w:rPr>
          <w:t>3</w:t>
        </w:r>
      </w:hyperlink>
      <w:r w:rsidR="00645F69" w:rsidRPr="00645F69">
        <w:rPr>
          <w:color w:val="000000"/>
          <w:sz w:val="20"/>
          <w:szCs w:val="20"/>
          <w:shd w:val="clear" w:color="auto" w:fill="FFFFFF"/>
        </w:rPr>
        <w:t>.</w:t>
      </w:r>
    </w:p>
    <w:p w:rsidR="004F24BC" w:rsidRPr="00645F69" w:rsidRDefault="004F24BC" w:rsidP="00645F69">
      <w:pPr>
        <w:widowControl/>
        <w:snapToGrid w:val="0"/>
        <w:jc w:val="both"/>
        <w:rPr>
          <w:b/>
          <w:sz w:val="20"/>
          <w:szCs w:val="20"/>
        </w:rPr>
      </w:pPr>
    </w:p>
    <w:p w:rsidR="00641696" w:rsidRPr="00645F69" w:rsidRDefault="00AE7F37" w:rsidP="00645F69">
      <w:pPr>
        <w:pStyle w:val="BodyText"/>
        <w:snapToGrid w:val="0"/>
        <w:jc w:val="both"/>
        <w:rPr>
          <w:sz w:val="20"/>
          <w:szCs w:val="20"/>
        </w:rPr>
      </w:pPr>
      <w:r w:rsidRPr="00645F69">
        <w:rPr>
          <w:b/>
          <w:sz w:val="20"/>
          <w:szCs w:val="20"/>
        </w:rPr>
        <w:t xml:space="preserve">Keywords: </w:t>
      </w:r>
      <w:r w:rsidRPr="00645F69">
        <w:rPr>
          <w:sz w:val="20"/>
          <w:szCs w:val="20"/>
        </w:rPr>
        <w:t>COCP, Hearing loss, Side effect, DPOAE, Tinnitus.</w:t>
      </w:r>
    </w:p>
    <w:p w:rsidR="00645F69" w:rsidRDefault="00645F69" w:rsidP="00645F69">
      <w:pPr>
        <w:pStyle w:val="Heading1"/>
        <w:snapToGrid w:val="0"/>
        <w:spacing w:before="0"/>
        <w:ind w:left="0"/>
        <w:jc w:val="both"/>
        <w:rPr>
          <w:sz w:val="20"/>
          <w:szCs w:val="20"/>
        </w:rPr>
      </w:pPr>
    </w:p>
    <w:p w:rsidR="00645F69" w:rsidRPr="00645F69" w:rsidRDefault="00645F69" w:rsidP="00645F69">
      <w:pPr>
        <w:pStyle w:val="Heading1"/>
        <w:snapToGrid w:val="0"/>
        <w:spacing w:before="0"/>
        <w:ind w:left="0"/>
        <w:jc w:val="both"/>
        <w:rPr>
          <w:sz w:val="20"/>
          <w:szCs w:val="20"/>
        </w:rPr>
        <w:sectPr w:rsidR="00645F69" w:rsidRPr="00645F69" w:rsidSect="008B7631">
          <w:headerReference w:type="default" r:id="rId12"/>
          <w:footerReference w:type="default" r:id="rId13"/>
          <w:type w:val="continuous"/>
          <w:pgSz w:w="12240" w:h="15840" w:code="1"/>
          <w:pgMar w:top="1440" w:right="1440" w:bottom="1440" w:left="1440" w:header="720" w:footer="720" w:gutter="0"/>
          <w:pgNumType w:start="17"/>
          <w:cols w:space="720"/>
          <w:docGrid w:linePitch="299"/>
        </w:sectPr>
      </w:pPr>
    </w:p>
    <w:p w:rsidR="00641696" w:rsidRPr="00645F69" w:rsidRDefault="00601DEE" w:rsidP="00645F69">
      <w:pPr>
        <w:pStyle w:val="Heading1"/>
        <w:snapToGrid w:val="0"/>
        <w:spacing w:before="0"/>
        <w:ind w:left="0"/>
        <w:jc w:val="both"/>
        <w:rPr>
          <w:sz w:val="20"/>
          <w:szCs w:val="20"/>
        </w:rPr>
      </w:pPr>
      <w:r w:rsidRPr="00645F69">
        <w:rPr>
          <w:sz w:val="20"/>
          <w:szCs w:val="20"/>
        </w:rPr>
        <w:lastRenderedPageBreak/>
        <w:t xml:space="preserve">1. </w:t>
      </w:r>
      <w:r w:rsidR="008739CE" w:rsidRPr="00645F69">
        <w:rPr>
          <w:sz w:val="20"/>
          <w:szCs w:val="20"/>
        </w:rPr>
        <w:t>Introduction and Rationale</w:t>
      </w:r>
    </w:p>
    <w:p w:rsidR="00641696" w:rsidRPr="00645F69" w:rsidRDefault="00AE7F37" w:rsidP="00645F69">
      <w:pPr>
        <w:pStyle w:val="BodyText"/>
        <w:snapToGrid w:val="0"/>
        <w:ind w:firstLine="425"/>
        <w:jc w:val="both"/>
        <w:rPr>
          <w:sz w:val="20"/>
          <w:szCs w:val="20"/>
        </w:rPr>
      </w:pPr>
      <w:r w:rsidRPr="00645F69">
        <w:rPr>
          <w:sz w:val="20"/>
          <w:szCs w:val="20"/>
        </w:rPr>
        <w:t>A lot of contraceptive methods are used by women for birth control such as oral contraceptive pills, contraceptive patch, vaginal contraceptive ring, contraceptive injection and the intra uterine device. All are effective methods of contraception that may be a good option for women. One of</w:t>
      </w:r>
      <w:r w:rsidR="00645F69">
        <w:rPr>
          <w:sz w:val="20"/>
          <w:szCs w:val="20"/>
        </w:rPr>
        <w:t xml:space="preserve"> </w:t>
      </w:r>
      <w:r w:rsidRPr="00645F69">
        <w:rPr>
          <w:sz w:val="20"/>
          <w:szCs w:val="20"/>
        </w:rPr>
        <w:t>these methods is oral contraceptive pills which may be combined orsingle</w:t>
      </w:r>
      <w:r w:rsidRPr="00645F69">
        <w:rPr>
          <w:b/>
          <w:sz w:val="20"/>
          <w:szCs w:val="20"/>
        </w:rPr>
        <w:t>1</w:t>
      </w:r>
      <w:r w:rsidRPr="00645F69">
        <w:rPr>
          <w:sz w:val="20"/>
          <w:szCs w:val="20"/>
        </w:rPr>
        <w:t>.</w:t>
      </w:r>
    </w:p>
    <w:p w:rsidR="00641696" w:rsidRPr="00645F69" w:rsidRDefault="00AE7F37" w:rsidP="00645F69">
      <w:pPr>
        <w:pStyle w:val="BodyText"/>
        <w:snapToGrid w:val="0"/>
        <w:ind w:firstLine="425"/>
        <w:jc w:val="both"/>
        <w:rPr>
          <w:b/>
          <w:sz w:val="20"/>
          <w:szCs w:val="20"/>
        </w:rPr>
      </w:pPr>
      <w:r w:rsidRPr="00645F69">
        <w:rPr>
          <w:sz w:val="20"/>
          <w:szCs w:val="20"/>
        </w:rPr>
        <w:t xml:space="preserve">Combined oral contraceptive pills (COCP) taken orally, preventing fertilization from taking place. This occurs through gonadotrophin secretion inhibition by the pituitary acting on the hypothalamus. The progesterone agent present in the pills suppresses leutinizing hormone (LH) secretion and the estrogen agent is responsible for the follicular stimulating hormone (FSH) secretion suppression. </w:t>
      </w:r>
      <w:r w:rsidRPr="00645F69">
        <w:rPr>
          <w:b/>
          <w:sz w:val="20"/>
          <w:szCs w:val="20"/>
        </w:rPr>
        <w:t xml:space="preserve">2. </w:t>
      </w:r>
      <w:r w:rsidRPr="00645F69">
        <w:rPr>
          <w:sz w:val="20"/>
          <w:szCs w:val="20"/>
        </w:rPr>
        <w:t>COCPs are currently used by more than 100 million women worldwide</w:t>
      </w:r>
      <w:r w:rsidRPr="00645F69">
        <w:rPr>
          <w:b/>
          <w:sz w:val="20"/>
          <w:szCs w:val="20"/>
        </w:rPr>
        <w:t>3</w:t>
      </w:r>
      <w:r w:rsidR="00645F69" w:rsidRPr="00645F69">
        <w:rPr>
          <w:b/>
          <w:sz w:val="20"/>
          <w:szCs w:val="20"/>
        </w:rPr>
        <w:t>.</w:t>
      </w:r>
      <w:r w:rsidR="00645F69">
        <w:rPr>
          <w:b/>
          <w:sz w:val="20"/>
          <w:szCs w:val="20"/>
        </w:rPr>
        <w:t xml:space="preserve"> </w:t>
      </w:r>
      <w:r w:rsidR="00645F69" w:rsidRPr="00645F69">
        <w:rPr>
          <w:sz w:val="20"/>
          <w:szCs w:val="20"/>
        </w:rPr>
        <w:t>E</w:t>
      </w:r>
      <w:r w:rsidRPr="00645F69">
        <w:rPr>
          <w:sz w:val="20"/>
          <w:szCs w:val="20"/>
        </w:rPr>
        <w:t xml:space="preserve">strogen interacts either directly or indirectly with estrogen receptors alpha (ERα) and beta (ERβ) </w:t>
      </w:r>
      <w:r w:rsidRPr="00645F69">
        <w:rPr>
          <w:b/>
          <w:sz w:val="20"/>
          <w:szCs w:val="20"/>
        </w:rPr>
        <w:t>4</w:t>
      </w:r>
      <w:r w:rsidRPr="00645F69">
        <w:rPr>
          <w:sz w:val="20"/>
          <w:szCs w:val="20"/>
        </w:rPr>
        <w:t xml:space="preserve">. Both ERα and ERβ are present in the inner ear of humans and animals, and both subtypes seem to be active in the hearing process </w:t>
      </w:r>
      <w:r w:rsidR="00D21F3F" w:rsidRPr="00645F69">
        <w:rPr>
          <w:b/>
          <w:sz w:val="20"/>
          <w:szCs w:val="20"/>
        </w:rPr>
        <w:t>5.</w:t>
      </w:r>
    </w:p>
    <w:p w:rsidR="00641696" w:rsidRPr="00645F69" w:rsidRDefault="00AE7F37" w:rsidP="00645F69">
      <w:pPr>
        <w:pStyle w:val="BodyText"/>
        <w:snapToGrid w:val="0"/>
        <w:ind w:firstLine="425"/>
        <w:jc w:val="both"/>
        <w:rPr>
          <w:b/>
          <w:sz w:val="20"/>
          <w:szCs w:val="20"/>
        </w:rPr>
      </w:pPr>
      <w:r w:rsidRPr="00645F69">
        <w:rPr>
          <w:sz w:val="20"/>
          <w:szCs w:val="20"/>
        </w:rPr>
        <w:t xml:space="preserve">There is no visible nuclear staining of progesterone </w:t>
      </w:r>
      <w:r w:rsidR="00D21F3F" w:rsidRPr="00645F69">
        <w:rPr>
          <w:sz w:val="20"/>
          <w:szCs w:val="20"/>
        </w:rPr>
        <w:t>receptors (</w:t>
      </w:r>
      <w:r w:rsidRPr="00645F69">
        <w:rPr>
          <w:sz w:val="20"/>
          <w:szCs w:val="20"/>
        </w:rPr>
        <w:t xml:space="preserve">PR's) in the striavascularis, organ of Corti or spiral ganglion in either human or rat inner ears, indicating that progesterone could not have a direct effect on the hearing modulation in the inner ear via its nuclear receptors. However, PR's have been shown in both osteoblasts and osteoclasts in the bone of humans, rats and mice. These findings lead us to conclude that there is no direct effect of progesterone </w:t>
      </w:r>
      <w:r w:rsidRPr="00645F69">
        <w:rPr>
          <w:sz w:val="20"/>
          <w:szCs w:val="20"/>
        </w:rPr>
        <w:lastRenderedPageBreak/>
        <w:t>on hearing</w:t>
      </w:r>
      <w:r w:rsidRPr="00645F69">
        <w:rPr>
          <w:b/>
          <w:sz w:val="20"/>
          <w:szCs w:val="20"/>
        </w:rPr>
        <w:t>6.</w:t>
      </w:r>
    </w:p>
    <w:p w:rsidR="00641696" w:rsidRPr="00645F69" w:rsidRDefault="00AE7F37" w:rsidP="00645F69">
      <w:pPr>
        <w:pStyle w:val="BodyText"/>
        <w:snapToGrid w:val="0"/>
        <w:ind w:firstLine="425"/>
        <w:jc w:val="both"/>
        <w:rPr>
          <w:b/>
          <w:sz w:val="20"/>
          <w:szCs w:val="20"/>
        </w:rPr>
      </w:pPr>
      <w:r w:rsidRPr="00645F69">
        <w:rPr>
          <w:sz w:val="20"/>
          <w:szCs w:val="20"/>
        </w:rPr>
        <w:t xml:space="preserve">Bittar claimed that the use of COCP may lower hearing thresholds, without altering stapedial reflex </w:t>
      </w:r>
      <w:r w:rsidRPr="00645F69">
        <w:rPr>
          <w:b/>
          <w:sz w:val="20"/>
          <w:szCs w:val="20"/>
        </w:rPr>
        <w:t>7</w:t>
      </w:r>
      <w:r w:rsidRPr="00645F69">
        <w:rPr>
          <w:sz w:val="20"/>
          <w:szCs w:val="20"/>
        </w:rPr>
        <w:t xml:space="preserve">. On the other hand, the use of COCP does not cause significant hearing loss, however it favors tinnitus symptoms </w:t>
      </w:r>
      <w:r w:rsidRPr="00645F69">
        <w:rPr>
          <w:b/>
          <w:sz w:val="20"/>
          <w:szCs w:val="20"/>
        </w:rPr>
        <w:t xml:space="preserve">8. </w:t>
      </w:r>
      <w:r w:rsidRPr="00645F69">
        <w:rPr>
          <w:sz w:val="20"/>
          <w:szCs w:val="20"/>
        </w:rPr>
        <w:t xml:space="preserve">Also COCP seems to have an effect on otoacoustic emissions (OAE), in a study on post-menopausal women using Hormonal Replacement Therapy (HRT) which consists of estrogen combined with progestin (progesterone) women revealed decline in OAE levels </w:t>
      </w:r>
      <w:r w:rsidRPr="00645F69">
        <w:rPr>
          <w:b/>
          <w:sz w:val="20"/>
          <w:szCs w:val="20"/>
        </w:rPr>
        <w:t>9.</w:t>
      </w:r>
    </w:p>
    <w:p w:rsidR="00641696" w:rsidRPr="00645F69" w:rsidRDefault="008739CE" w:rsidP="00645F69">
      <w:pPr>
        <w:pStyle w:val="Heading1"/>
        <w:snapToGrid w:val="0"/>
        <w:spacing w:before="0"/>
        <w:ind w:left="0"/>
        <w:jc w:val="both"/>
        <w:rPr>
          <w:sz w:val="20"/>
          <w:szCs w:val="20"/>
        </w:rPr>
      </w:pPr>
      <w:r w:rsidRPr="00645F69">
        <w:rPr>
          <w:sz w:val="20"/>
          <w:szCs w:val="20"/>
        </w:rPr>
        <w:t>Subjects, Equipment</w:t>
      </w:r>
      <w:r w:rsidR="00645F69" w:rsidRPr="00645F69">
        <w:rPr>
          <w:sz w:val="20"/>
          <w:szCs w:val="20"/>
        </w:rPr>
        <w:t>s</w:t>
      </w:r>
      <w:r w:rsidR="00645F69">
        <w:rPr>
          <w:sz w:val="20"/>
          <w:szCs w:val="20"/>
        </w:rPr>
        <w:t xml:space="preserve"> </w:t>
      </w:r>
      <w:r w:rsidR="00645F69" w:rsidRPr="00645F69">
        <w:rPr>
          <w:sz w:val="20"/>
          <w:szCs w:val="20"/>
        </w:rPr>
        <w:t>A</w:t>
      </w:r>
      <w:r w:rsidRPr="00645F69">
        <w:rPr>
          <w:sz w:val="20"/>
          <w:szCs w:val="20"/>
        </w:rPr>
        <w:t>nd Method:</w:t>
      </w:r>
    </w:p>
    <w:p w:rsidR="00641696" w:rsidRPr="00645F69" w:rsidRDefault="00AE7F37" w:rsidP="00645F69">
      <w:pPr>
        <w:pStyle w:val="BodyText"/>
        <w:snapToGrid w:val="0"/>
        <w:ind w:firstLine="425"/>
        <w:jc w:val="both"/>
        <w:rPr>
          <w:sz w:val="20"/>
          <w:szCs w:val="20"/>
        </w:rPr>
      </w:pPr>
      <w:r w:rsidRPr="00645F69">
        <w:rPr>
          <w:sz w:val="20"/>
          <w:szCs w:val="20"/>
        </w:rPr>
        <w:t>The subjects were divided into two groups:</w:t>
      </w:r>
    </w:p>
    <w:p w:rsidR="00641696" w:rsidRPr="00645F69" w:rsidRDefault="00AE7F37" w:rsidP="00645F69">
      <w:pPr>
        <w:pStyle w:val="BodyText"/>
        <w:snapToGrid w:val="0"/>
        <w:ind w:firstLine="425"/>
        <w:jc w:val="both"/>
        <w:rPr>
          <w:sz w:val="20"/>
          <w:szCs w:val="20"/>
        </w:rPr>
      </w:pPr>
      <w:r w:rsidRPr="00645F69">
        <w:rPr>
          <w:sz w:val="20"/>
          <w:szCs w:val="20"/>
        </w:rPr>
        <w:t xml:space="preserve">Study group (30 female subjects) this group is consisted of 30 female subjects. Control group (15 female subjects) this group consisted of 15 healthy volunteer women, who did not use contraceptive hormones or any other medications. They were selected </w:t>
      </w:r>
      <w:r w:rsidR="00601DEE" w:rsidRPr="00645F69">
        <w:rPr>
          <w:sz w:val="20"/>
          <w:szCs w:val="20"/>
        </w:rPr>
        <w:t>from relatives accompanying</w:t>
      </w:r>
      <w:r w:rsidRPr="00645F69">
        <w:rPr>
          <w:sz w:val="20"/>
          <w:szCs w:val="20"/>
        </w:rPr>
        <w:t xml:space="preserve"> patients. Equipment are sound treated room (locally made) according to international</w:t>
      </w:r>
      <w:r w:rsidR="00645F69">
        <w:rPr>
          <w:sz w:val="20"/>
          <w:szCs w:val="20"/>
        </w:rPr>
        <w:t xml:space="preserve"> </w:t>
      </w:r>
      <w:r w:rsidRPr="00645F69">
        <w:rPr>
          <w:sz w:val="20"/>
          <w:szCs w:val="20"/>
        </w:rPr>
        <w:t>specifications</w:t>
      </w:r>
      <w:r w:rsidR="00601DEE" w:rsidRPr="00645F69">
        <w:rPr>
          <w:sz w:val="20"/>
          <w:szCs w:val="20"/>
        </w:rPr>
        <w:t>, two</w:t>
      </w:r>
      <w:r w:rsidR="00645F69">
        <w:rPr>
          <w:sz w:val="20"/>
          <w:szCs w:val="20"/>
        </w:rPr>
        <w:t xml:space="preserve"> </w:t>
      </w:r>
      <w:r w:rsidRPr="00645F69">
        <w:rPr>
          <w:sz w:val="20"/>
          <w:szCs w:val="20"/>
        </w:rPr>
        <w:t>channel</w:t>
      </w:r>
      <w:r w:rsidR="00645F69">
        <w:rPr>
          <w:sz w:val="20"/>
          <w:szCs w:val="20"/>
        </w:rPr>
        <w:t xml:space="preserve"> </w:t>
      </w:r>
      <w:r w:rsidRPr="00645F69">
        <w:rPr>
          <w:sz w:val="20"/>
          <w:szCs w:val="20"/>
        </w:rPr>
        <w:t>calibrated</w:t>
      </w:r>
      <w:r w:rsidR="00645F69">
        <w:rPr>
          <w:sz w:val="20"/>
          <w:szCs w:val="20"/>
        </w:rPr>
        <w:t xml:space="preserve"> </w:t>
      </w:r>
      <w:r w:rsidRPr="00645F69">
        <w:rPr>
          <w:sz w:val="20"/>
          <w:szCs w:val="20"/>
        </w:rPr>
        <w:t>audiomete</w:t>
      </w:r>
      <w:r w:rsidR="00645F69" w:rsidRPr="00645F69">
        <w:rPr>
          <w:sz w:val="20"/>
          <w:szCs w:val="20"/>
        </w:rPr>
        <w:t>r</w:t>
      </w:r>
      <w:r w:rsidR="00645F69">
        <w:rPr>
          <w:sz w:val="20"/>
          <w:szCs w:val="20"/>
        </w:rPr>
        <w:t xml:space="preserve"> </w:t>
      </w:r>
      <w:r w:rsidR="00645F69" w:rsidRPr="00645F69">
        <w:rPr>
          <w:sz w:val="20"/>
          <w:szCs w:val="20"/>
        </w:rPr>
        <w:t>I</w:t>
      </w:r>
      <w:r w:rsidRPr="00645F69">
        <w:rPr>
          <w:sz w:val="20"/>
          <w:szCs w:val="20"/>
        </w:rPr>
        <w:t>nteracoustics, model AC40. Immittancemete</w:t>
      </w:r>
      <w:r w:rsidR="00645F69" w:rsidRPr="00645F69">
        <w:rPr>
          <w:sz w:val="20"/>
          <w:szCs w:val="20"/>
        </w:rPr>
        <w:t>r</w:t>
      </w:r>
      <w:r w:rsidR="00645F69">
        <w:rPr>
          <w:sz w:val="20"/>
          <w:szCs w:val="20"/>
        </w:rPr>
        <w:t xml:space="preserve"> </w:t>
      </w:r>
      <w:r w:rsidR="00645F69" w:rsidRPr="00645F69">
        <w:rPr>
          <w:sz w:val="20"/>
          <w:szCs w:val="20"/>
        </w:rPr>
        <w:t>I</w:t>
      </w:r>
      <w:r w:rsidRPr="00645F69">
        <w:rPr>
          <w:sz w:val="20"/>
          <w:szCs w:val="20"/>
        </w:rPr>
        <w:t>nteracoustics model GSI 39. Otoacoustic Emission Analyzer Madsen model (Celesta 503). Evoked Potential Audiometer model (Smart Intelligent Hearing System). The subjects of study and control groups were submitted to history taking, otological examination, basic audiological evaluation including pure Tone Audiometry air conduction hearing threshold level for octave frequencies betw</w:t>
      </w:r>
      <w:r w:rsidR="00A22695">
        <w:rPr>
          <w:rFonts w:eastAsiaTheme="minorEastAsia" w:hint="eastAsia"/>
          <w:sz w:val="20"/>
          <w:szCs w:val="20"/>
          <w:lang w:eastAsia="zh-CN"/>
        </w:rPr>
        <w:t>e</w:t>
      </w:r>
      <w:r w:rsidRPr="00645F69">
        <w:rPr>
          <w:sz w:val="20"/>
          <w:szCs w:val="20"/>
        </w:rPr>
        <w:t xml:space="preserve">en 250 to 8000 Hz and bone </w:t>
      </w:r>
      <w:r w:rsidRPr="00645F69">
        <w:rPr>
          <w:sz w:val="20"/>
          <w:szCs w:val="20"/>
        </w:rPr>
        <w:lastRenderedPageBreak/>
        <w:t xml:space="preserve">conduction hearing threshold level for octave frequencies between 500 to 4000 Hz. The threshold was taken as the faintest sound that the patient responds to 50% of the time </w:t>
      </w:r>
      <w:r w:rsidRPr="00645F69">
        <w:rPr>
          <w:b/>
          <w:sz w:val="20"/>
          <w:szCs w:val="20"/>
        </w:rPr>
        <w:t xml:space="preserve">10, 11. </w:t>
      </w:r>
      <w:r w:rsidRPr="00645F69">
        <w:rPr>
          <w:sz w:val="20"/>
          <w:szCs w:val="20"/>
        </w:rPr>
        <w:t xml:space="preserve">Immitancemetry including tympanometry and acoustic reflex tympanometry done at varying pressure ranging from +200 to -400 mm H2O, to evaluate the middle ear pressure and its compliance. Acoustic reflex thresholds elicited both ipsilaterally and contralaterally using pure tones of 500 to 4000 HZ. Distortion Product otoacoustic emission (DPOAE) the stimulus consisted of two equal intenisties, pure-tone signals at two different frequencies, i.e., f1 and f2 (f1 &lt; f2), that were generated simultaneously by the equipment with an f2/f1 ratio of 1.22. The two primaries were chosen so that their geometric mean was at the same test frequency used to obtain hearing thresholds and at a primary level of 70 dB SPL. The two signals were conducted separately in two transducers and, then, by silicon rubber tube to the probe housing so the two signals were conducted entirely independently and then acoustically mixed only in the external ear canal. Auditory Brain Stem Response (ABR) Recording were carried out with the subject lying down after </w:t>
      </w:r>
      <w:r w:rsidRPr="00645F69">
        <w:rPr>
          <w:sz w:val="20"/>
          <w:szCs w:val="20"/>
        </w:rPr>
        <w:lastRenderedPageBreak/>
        <w:t xml:space="preserve">good skin preparation over forehead and </w:t>
      </w:r>
      <w:r w:rsidR="00601DEE" w:rsidRPr="00645F69">
        <w:rPr>
          <w:sz w:val="20"/>
          <w:szCs w:val="20"/>
        </w:rPr>
        <w:t>mastoids to</w:t>
      </w:r>
      <w:r w:rsidRPr="00645F69">
        <w:rPr>
          <w:sz w:val="20"/>
          <w:szCs w:val="20"/>
        </w:rPr>
        <w:t xml:space="preserve"> reduce electrode impedance below 5 Kilo ohms. Disposable electrodes were attached to the scalp. Ipsilateral electrodes montage was used with the recording</w:t>
      </w:r>
      <w:r w:rsidR="00645F69">
        <w:rPr>
          <w:sz w:val="20"/>
          <w:szCs w:val="20"/>
        </w:rPr>
        <w:t xml:space="preserve"> </w:t>
      </w:r>
      <w:r w:rsidRPr="00645F69">
        <w:rPr>
          <w:sz w:val="20"/>
          <w:szCs w:val="20"/>
        </w:rPr>
        <w:t>electrode</w:t>
      </w:r>
      <w:r w:rsidR="00645F69">
        <w:rPr>
          <w:sz w:val="20"/>
          <w:szCs w:val="20"/>
        </w:rPr>
        <w:t xml:space="preserve"> </w:t>
      </w:r>
      <w:r w:rsidRPr="00645F69">
        <w:rPr>
          <w:sz w:val="20"/>
          <w:szCs w:val="20"/>
        </w:rPr>
        <w:t>on</w:t>
      </w:r>
      <w:r w:rsidR="00645F69">
        <w:rPr>
          <w:sz w:val="20"/>
          <w:szCs w:val="20"/>
        </w:rPr>
        <w:t xml:space="preserve"> </w:t>
      </w:r>
      <w:r w:rsidRPr="00645F69">
        <w:rPr>
          <w:sz w:val="20"/>
          <w:szCs w:val="20"/>
        </w:rPr>
        <w:t>the</w:t>
      </w:r>
      <w:r w:rsidR="00645F69">
        <w:rPr>
          <w:sz w:val="20"/>
          <w:szCs w:val="20"/>
        </w:rPr>
        <w:t xml:space="preserve"> </w:t>
      </w:r>
      <w:r w:rsidRPr="00645F69">
        <w:rPr>
          <w:sz w:val="20"/>
          <w:szCs w:val="20"/>
        </w:rPr>
        <w:t>fore_head</w:t>
      </w:r>
      <w:r w:rsidR="00601DEE" w:rsidRPr="00645F69">
        <w:rPr>
          <w:sz w:val="20"/>
          <w:szCs w:val="20"/>
        </w:rPr>
        <w:t>, the</w:t>
      </w:r>
      <w:r w:rsidR="00645F69">
        <w:rPr>
          <w:sz w:val="20"/>
          <w:szCs w:val="20"/>
        </w:rPr>
        <w:t xml:space="preserve"> </w:t>
      </w:r>
      <w:r w:rsidRPr="00645F69">
        <w:rPr>
          <w:sz w:val="20"/>
          <w:szCs w:val="20"/>
        </w:rPr>
        <w:t>reference</w:t>
      </w:r>
      <w:r w:rsidR="00645F69">
        <w:rPr>
          <w:sz w:val="20"/>
          <w:szCs w:val="20"/>
        </w:rPr>
        <w:t xml:space="preserve"> </w:t>
      </w:r>
      <w:r w:rsidRPr="00645F69">
        <w:rPr>
          <w:sz w:val="20"/>
          <w:szCs w:val="20"/>
        </w:rPr>
        <w:t>electrode</w:t>
      </w:r>
      <w:r w:rsidR="00645F69">
        <w:rPr>
          <w:sz w:val="20"/>
          <w:szCs w:val="20"/>
        </w:rPr>
        <w:t xml:space="preserve"> </w:t>
      </w:r>
      <w:r w:rsidRPr="00645F69">
        <w:rPr>
          <w:sz w:val="20"/>
          <w:szCs w:val="20"/>
        </w:rPr>
        <w:t>ontheipsilateral mastoid, and the ground electrode on the contralateral mastoid. Rarefaction click was used with the duration of 100 usec. It was presented at an intensity of 90 dB nHL and at repetition rate of 21.4 per second as low rep</w:t>
      </w:r>
      <w:r w:rsidR="00A22695">
        <w:rPr>
          <w:rFonts w:eastAsiaTheme="minorEastAsia" w:hint="eastAsia"/>
          <w:sz w:val="20"/>
          <w:szCs w:val="20"/>
          <w:lang w:eastAsia="zh-CN"/>
        </w:rPr>
        <w:t>e</w:t>
      </w:r>
      <w:r w:rsidRPr="00645F69">
        <w:rPr>
          <w:sz w:val="20"/>
          <w:szCs w:val="20"/>
        </w:rPr>
        <w:t>tition rate and 71.4 per second as high rep</w:t>
      </w:r>
      <w:r w:rsidR="00A22695">
        <w:rPr>
          <w:rFonts w:eastAsiaTheme="minorEastAsia" w:hint="eastAsia"/>
          <w:sz w:val="20"/>
          <w:szCs w:val="20"/>
          <w:lang w:eastAsia="zh-CN"/>
        </w:rPr>
        <w:t>e</w:t>
      </w:r>
      <w:r w:rsidRPr="00645F69">
        <w:rPr>
          <w:sz w:val="20"/>
          <w:szCs w:val="20"/>
        </w:rPr>
        <w:t>tition rate, a total of 1024 sweeps were obtained from the stimulated ear. Recordings were made with a band –pass filter of 100-3000 Hz in a time window of 12.5 ms. A minimum of 2 traces were recorded for each run to ensure the reproducibility of the waves. Latencies were considered to be prolonged when the latencies exceeded the mean 2SD of the normal controls. ABR to click stimuli was analyzed for morphology, repeatability, absolute latencies of wave I, III, and V as well as inter peak (I- III, III-V, and I- V) latencies at low repetition rate and wave V at high repetition rate.</w:t>
      </w:r>
    </w:p>
    <w:p w:rsidR="00645F69" w:rsidRPr="00645F69" w:rsidRDefault="00645F69" w:rsidP="00645F69">
      <w:pPr>
        <w:snapToGrid w:val="0"/>
        <w:ind w:firstLine="425"/>
        <w:jc w:val="both"/>
        <w:rPr>
          <w:sz w:val="20"/>
          <w:szCs w:val="20"/>
        </w:rPr>
        <w:sectPr w:rsidR="00645F69" w:rsidRPr="00645F69" w:rsidSect="00645F69">
          <w:headerReference w:type="default" r:id="rId14"/>
          <w:footerReference w:type="default" r:id="rId15"/>
          <w:type w:val="continuous"/>
          <w:pgSz w:w="12240" w:h="15840" w:code="1"/>
          <w:pgMar w:top="1440" w:right="1440" w:bottom="1440" w:left="1440" w:header="720" w:footer="720" w:gutter="0"/>
          <w:cols w:num="2" w:space="550"/>
          <w:docGrid w:linePitch="299"/>
        </w:sectPr>
      </w:pPr>
    </w:p>
    <w:p w:rsidR="004F24BC" w:rsidRPr="00645F69" w:rsidRDefault="004F24BC" w:rsidP="00645F69">
      <w:pPr>
        <w:pStyle w:val="Heading2"/>
        <w:snapToGrid w:val="0"/>
        <w:spacing w:before="0"/>
        <w:ind w:left="0" w:right="0"/>
        <w:jc w:val="center"/>
        <w:rPr>
          <w:sz w:val="20"/>
          <w:szCs w:val="20"/>
        </w:rPr>
      </w:pPr>
    </w:p>
    <w:p w:rsidR="004F24BC" w:rsidRPr="00645F69" w:rsidRDefault="004F24BC" w:rsidP="00645F69">
      <w:pPr>
        <w:pStyle w:val="Heading2"/>
        <w:snapToGrid w:val="0"/>
        <w:spacing w:before="0"/>
        <w:ind w:left="0" w:right="0"/>
        <w:jc w:val="center"/>
        <w:rPr>
          <w:sz w:val="20"/>
          <w:szCs w:val="20"/>
        </w:rPr>
      </w:pPr>
      <w:r w:rsidRPr="00645F69">
        <w:rPr>
          <w:sz w:val="20"/>
          <w:szCs w:val="20"/>
        </w:rPr>
        <w:t>Table (1): Mean</w:t>
      </w:r>
      <w:r w:rsidR="00645F69">
        <w:rPr>
          <w:sz w:val="20"/>
          <w:szCs w:val="20"/>
        </w:rPr>
        <w:t xml:space="preserve"> </w:t>
      </w:r>
      <w:r w:rsidR="00CC5C4A" w:rsidRPr="00645F69">
        <w:rPr>
          <w:sz w:val="20"/>
          <w:szCs w:val="20"/>
        </w:rPr>
        <w:t>&amp;</w:t>
      </w:r>
      <w:r w:rsidR="00645F69">
        <w:rPr>
          <w:sz w:val="20"/>
          <w:szCs w:val="20"/>
        </w:rPr>
        <w:t xml:space="preserve"> </w:t>
      </w:r>
      <w:r w:rsidRPr="00645F69">
        <w:rPr>
          <w:sz w:val="20"/>
          <w:szCs w:val="20"/>
        </w:rPr>
        <w:t>SD of contralateral acoustic reflex between study and control groups.</w:t>
      </w:r>
    </w:p>
    <w:tbl>
      <w:tblPr>
        <w:tblStyle w:val="TableGrid"/>
        <w:tblW w:w="4774" w:type="pct"/>
        <w:jc w:val="center"/>
        <w:tblInd w:w="433" w:type="dxa"/>
        <w:tblBorders>
          <w:insideH w:val="single" w:sz="6" w:space="0" w:color="000000" w:themeColor="text1"/>
          <w:insideV w:val="single" w:sz="6" w:space="0" w:color="000000" w:themeColor="text1"/>
        </w:tblBorders>
        <w:tblLook w:val="04A0"/>
      </w:tblPr>
      <w:tblGrid>
        <w:gridCol w:w="3870"/>
        <w:gridCol w:w="1423"/>
        <w:gridCol w:w="763"/>
        <w:gridCol w:w="1423"/>
        <w:gridCol w:w="656"/>
        <w:gridCol w:w="1008"/>
      </w:tblGrid>
      <w:tr w:rsidR="004F24BC" w:rsidRPr="00645F69" w:rsidTr="00A22695">
        <w:trPr>
          <w:jc w:val="center"/>
        </w:trPr>
        <w:tc>
          <w:tcPr>
            <w:tcW w:w="2117" w:type="pct"/>
            <w:vMerge w:val="restar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Contralateral acoustic reflex threshold Hz</w:t>
            </w:r>
          </w:p>
        </w:tc>
        <w:tc>
          <w:tcPr>
            <w:tcW w:w="2332" w:type="pct"/>
            <w:gridSpan w:val="4"/>
            <w:shd w:val="clear" w:color="auto" w:fill="auto"/>
          </w:tcPr>
          <w:p w:rsidR="004F24BC" w:rsidRPr="00645F69" w:rsidRDefault="004F24BC" w:rsidP="00645F69">
            <w:pPr>
              <w:pStyle w:val="TableParagraph"/>
              <w:snapToGrid w:val="0"/>
              <w:rPr>
                <w:b/>
                <w:color w:val="000000"/>
                <w:sz w:val="20"/>
                <w:szCs w:val="20"/>
              </w:rPr>
            </w:pPr>
            <w:r w:rsidRPr="00645F69">
              <w:rPr>
                <w:b/>
                <w:color w:val="000000"/>
                <w:sz w:val="20"/>
                <w:szCs w:val="20"/>
              </w:rPr>
              <w:t>Group</w:t>
            </w:r>
          </w:p>
        </w:tc>
        <w:tc>
          <w:tcPr>
            <w:tcW w:w="551" w:type="pct"/>
            <w:vMerge w:val="restart"/>
            <w:shd w:val="clear" w:color="auto" w:fill="auto"/>
          </w:tcPr>
          <w:p w:rsidR="004F24BC" w:rsidRPr="00645F69" w:rsidRDefault="00645F69" w:rsidP="00645F69">
            <w:pPr>
              <w:pStyle w:val="TableParagraph"/>
              <w:snapToGrid w:val="0"/>
              <w:jc w:val="both"/>
              <w:rPr>
                <w:b/>
                <w:color w:val="000000"/>
                <w:sz w:val="20"/>
                <w:szCs w:val="20"/>
              </w:rPr>
            </w:pPr>
            <w:r>
              <w:rPr>
                <w:b/>
                <w:color w:val="000000"/>
                <w:sz w:val="20"/>
                <w:szCs w:val="20"/>
              </w:rPr>
              <w:t xml:space="preserve"> </w:t>
            </w:r>
            <w:r w:rsidR="004F24BC" w:rsidRPr="00645F69">
              <w:rPr>
                <w:b/>
                <w:color w:val="000000"/>
                <w:sz w:val="20"/>
                <w:szCs w:val="20"/>
              </w:rPr>
              <w:t>P value</w:t>
            </w:r>
          </w:p>
        </w:tc>
      </w:tr>
      <w:tr w:rsidR="004F24BC" w:rsidRPr="00645F69" w:rsidTr="00A22695">
        <w:trPr>
          <w:jc w:val="center"/>
        </w:trPr>
        <w:tc>
          <w:tcPr>
            <w:tcW w:w="2117" w:type="pct"/>
            <w:vMerge/>
            <w:shd w:val="clear" w:color="auto" w:fill="auto"/>
          </w:tcPr>
          <w:p w:rsidR="004F24BC" w:rsidRPr="00645F69" w:rsidRDefault="004F24BC" w:rsidP="00645F69">
            <w:pPr>
              <w:snapToGrid w:val="0"/>
              <w:jc w:val="both"/>
              <w:rPr>
                <w:color w:val="000000"/>
                <w:sz w:val="20"/>
                <w:szCs w:val="20"/>
              </w:rPr>
            </w:pPr>
          </w:p>
        </w:tc>
        <w:tc>
          <w:tcPr>
            <w:tcW w:w="1195" w:type="pct"/>
            <w:gridSpan w:val="2"/>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Study</w:t>
            </w:r>
          </w:p>
        </w:tc>
        <w:tc>
          <w:tcPr>
            <w:tcW w:w="1137" w:type="pct"/>
            <w:gridSpan w:val="2"/>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Control</w:t>
            </w:r>
          </w:p>
        </w:tc>
        <w:tc>
          <w:tcPr>
            <w:tcW w:w="551" w:type="pct"/>
            <w:vMerge/>
            <w:shd w:val="clear" w:color="auto" w:fill="auto"/>
          </w:tcPr>
          <w:p w:rsidR="004F24BC" w:rsidRPr="00645F69" w:rsidRDefault="004F24BC" w:rsidP="00645F69">
            <w:pPr>
              <w:snapToGrid w:val="0"/>
              <w:jc w:val="both"/>
              <w:rPr>
                <w:color w:val="000000"/>
                <w:sz w:val="20"/>
                <w:szCs w:val="20"/>
              </w:rPr>
            </w:pPr>
          </w:p>
        </w:tc>
      </w:tr>
      <w:tr w:rsidR="004F24BC" w:rsidRPr="00645F69" w:rsidTr="00A22695">
        <w:trPr>
          <w:jc w:val="center"/>
        </w:trPr>
        <w:tc>
          <w:tcPr>
            <w:tcW w:w="2117" w:type="pct"/>
            <w:vMerge/>
            <w:shd w:val="clear" w:color="auto" w:fill="auto"/>
          </w:tcPr>
          <w:p w:rsidR="004F24BC" w:rsidRPr="00645F69" w:rsidRDefault="004F24BC" w:rsidP="00645F69">
            <w:pPr>
              <w:snapToGrid w:val="0"/>
              <w:jc w:val="both"/>
              <w:rPr>
                <w:color w:val="000000"/>
                <w:sz w:val="20"/>
                <w:szCs w:val="20"/>
              </w:rPr>
            </w:pP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Mean</w:t>
            </w:r>
          </w:p>
        </w:tc>
        <w:tc>
          <w:tcPr>
            <w:tcW w:w="417"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SD</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Mean</w:t>
            </w:r>
          </w:p>
        </w:tc>
        <w:tc>
          <w:tcPr>
            <w:tcW w:w="359"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SD</w:t>
            </w:r>
          </w:p>
        </w:tc>
        <w:tc>
          <w:tcPr>
            <w:tcW w:w="551" w:type="pct"/>
            <w:vMerge/>
            <w:shd w:val="clear" w:color="auto" w:fill="auto"/>
          </w:tcPr>
          <w:p w:rsidR="004F24BC" w:rsidRPr="00645F69" w:rsidRDefault="004F24BC" w:rsidP="00645F69">
            <w:pPr>
              <w:snapToGrid w:val="0"/>
              <w:jc w:val="both"/>
              <w:rPr>
                <w:color w:val="000000"/>
                <w:sz w:val="20"/>
                <w:szCs w:val="20"/>
              </w:rPr>
            </w:pPr>
          </w:p>
        </w:tc>
      </w:tr>
      <w:tr w:rsidR="004F24BC" w:rsidRPr="00645F69" w:rsidTr="00A22695">
        <w:trPr>
          <w:jc w:val="center"/>
        </w:trPr>
        <w:tc>
          <w:tcPr>
            <w:tcW w:w="2117"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500</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82.9</w:t>
            </w:r>
            <w:r w:rsidR="00645F69">
              <w:rPr>
                <w:b/>
                <w:color w:val="000000"/>
                <w:sz w:val="20"/>
                <w:szCs w:val="20"/>
              </w:rPr>
              <w:t xml:space="preserve"> </w:t>
            </w:r>
            <w:r w:rsidRPr="00645F69">
              <w:rPr>
                <w:b/>
                <w:color w:val="000000"/>
                <w:sz w:val="20"/>
                <w:szCs w:val="20"/>
              </w:rPr>
              <w:t>dBnHL</w:t>
            </w:r>
          </w:p>
        </w:tc>
        <w:tc>
          <w:tcPr>
            <w:tcW w:w="417"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3.8</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82.0</w:t>
            </w:r>
            <w:r w:rsidR="00645F69">
              <w:rPr>
                <w:b/>
                <w:color w:val="000000"/>
                <w:sz w:val="20"/>
                <w:szCs w:val="20"/>
              </w:rPr>
              <w:t xml:space="preserve"> </w:t>
            </w:r>
            <w:r w:rsidRPr="00645F69">
              <w:rPr>
                <w:b/>
                <w:color w:val="000000"/>
                <w:sz w:val="20"/>
                <w:szCs w:val="20"/>
              </w:rPr>
              <w:t>dBnHL</w:t>
            </w:r>
          </w:p>
        </w:tc>
        <w:tc>
          <w:tcPr>
            <w:tcW w:w="359"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2.7</w:t>
            </w:r>
          </w:p>
        </w:tc>
        <w:tc>
          <w:tcPr>
            <w:tcW w:w="551"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0.66</w:t>
            </w:r>
          </w:p>
        </w:tc>
      </w:tr>
      <w:tr w:rsidR="004F24BC" w:rsidRPr="00645F69" w:rsidTr="00A22695">
        <w:trPr>
          <w:jc w:val="center"/>
        </w:trPr>
        <w:tc>
          <w:tcPr>
            <w:tcW w:w="2117"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1000</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84.6</w:t>
            </w:r>
            <w:r w:rsidR="00645F69">
              <w:rPr>
                <w:b/>
                <w:color w:val="000000"/>
                <w:sz w:val="20"/>
                <w:szCs w:val="20"/>
              </w:rPr>
              <w:t xml:space="preserve"> </w:t>
            </w:r>
            <w:r w:rsidRPr="00645F69">
              <w:rPr>
                <w:b/>
                <w:color w:val="000000"/>
                <w:sz w:val="20"/>
                <w:szCs w:val="20"/>
              </w:rPr>
              <w:t>dBnHL</w:t>
            </w:r>
          </w:p>
        </w:tc>
        <w:tc>
          <w:tcPr>
            <w:tcW w:w="417"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3.3</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84.5</w:t>
            </w:r>
            <w:r w:rsidR="00645F69">
              <w:rPr>
                <w:b/>
                <w:color w:val="000000"/>
                <w:sz w:val="20"/>
                <w:szCs w:val="20"/>
              </w:rPr>
              <w:t xml:space="preserve"> </w:t>
            </w:r>
            <w:r w:rsidRPr="00645F69">
              <w:rPr>
                <w:b/>
                <w:color w:val="000000"/>
                <w:sz w:val="20"/>
                <w:szCs w:val="20"/>
              </w:rPr>
              <w:t>dBnHL</w:t>
            </w:r>
          </w:p>
        </w:tc>
        <w:tc>
          <w:tcPr>
            <w:tcW w:w="359"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2.3</w:t>
            </w:r>
          </w:p>
        </w:tc>
        <w:tc>
          <w:tcPr>
            <w:tcW w:w="551"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0.90</w:t>
            </w:r>
          </w:p>
        </w:tc>
      </w:tr>
      <w:tr w:rsidR="004F24BC" w:rsidRPr="00645F69" w:rsidTr="00A22695">
        <w:trPr>
          <w:jc w:val="center"/>
        </w:trPr>
        <w:tc>
          <w:tcPr>
            <w:tcW w:w="2117"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2000</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90.0</w:t>
            </w:r>
            <w:r w:rsidR="00645F69">
              <w:rPr>
                <w:b/>
                <w:color w:val="000000"/>
                <w:sz w:val="20"/>
                <w:szCs w:val="20"/>
              </w:rPr>
              <w:t xml:space="preserve"> </w:t>
            </w:r>
            <w:r w:rsidRPr="00645F69">
              <w:rPr>
                <w:b/>
                <w:color w:val="000000"/>
                <w:sz w:val="20"/>
                <w:szCs w:val="20"/>
              </w:rPr>
              <w:t>dBnHL</w:t>
            </w:r>
          </w:p>
        </w:tc>
        <w:tc>
          <w:tcPr>
            <w:tcW w:w="417"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8.5</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86.3</w:t>
            </w:r>
            <w:r w:rsidR="00645F69">
              <w:rPr>
                <w:b/>
                <w:color w:val="000000"/>
                <w:sz w:val="20"/>
                <w:szCs w:val="20"/>
              </w:rPr>
              <w:t xml:space="preserve"> </w:t>
            </w:r>
            <w:r w:rsidRPr="00645F69">
              <w:rPr>
                <w:b/>
                <w:color w:val="000000"/>
                <w:sz w:val="20"/>
                <w:szCs w:val="20"/>
              </w:rPr>
              <w:t>dBnHL</w:t>
            </w:r>
          </w:p>
        </w:tc>
        <w:tc>
          <w:tcPr>
            <w:tcW w:w="359"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2.5</w:t>
            </w:r>
          </w:p>
        </w:tc>
        <w:tc>
          <w:tcPr>
            <w:tcW w:w="551"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0.19</w:t>
            </w:r>
          </w:p>
        </w:tc>
      </w:tr>
      <w:tr w:rsidR="004F24BC" w:rsidRPr="00645F69" w:rsidTr="00A22695">
        <w:trPr>
          <w:jc w:val="center"/>
        </w:trPr>
        <w:tc>
          <w:tcPr>
            <w:tcW w:w="2117"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4000</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90.8</w:t>
            </w:r>
            <w:r w:rsidR="00645F69">
              <w:rPr>
                <w:b/>
                <w:color w:val="000000"/>
                <w:sz w:val="20"/>
                <w:szCs w:val="20"/>
              </w:rPr>
              <w:t xml:space="preserve"> </w:t>
            </w:r>
            <w:r w:rsidRPr="00645F69">
              <w:rPr>
                <w:b/>
                <w:color w:val="000000"/>
                <w:sz w:val="20"/>
                <w:szCs w:val="20"/>
              </w:rPr>
              <w:t>dBnHL</w:t>
            </w:r>
          </w:p>
        </w:tc>
        <w:tc>
          <w:tcPr>
            <w:tcW w:w="417"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10.3</w:t>
            </w:r>
          </w:p>
        </w:tc>
        <w:tc>
          <w:tcPr>
            <w:tcW w:w="778"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87.6</w:t>
            </w:r>
            <w:r w:rsidR="00645F69">
              <w:rPr>
                <w:b/>
                <w:color w:val="000000"/>
                <w:sz w:val="20"/>
                <w:szCs w:val="20"/>
              </w:rPr>
              <w:t xml:space="preserve"> </w:t>
            </w:r>
            <w:r w:rsidRPr="00645F69">
              <w:rPr>
                <w:b/>
                <w:color w:val="000000"/>
                <w:sz w:val="20"/>
                <w:szCs w:val="20"/>
              </w:rPr>
              <w:t>dBnHL</w:t>
            </w:r>
          </w:p>
        </w:tc>
        <w:tc>
          <w:tcPr>
            <w:tcW w:w="359" w:type="pct"/>
            <w:shd w:val="clear" w:color="auto" w:fill="auto"/>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2.4</w:t>
            </w:r>
          </w:p>
        </w:tc>
        <w:tc>
          <w:tcPr>
            <w:tcW w:w="551" w:type="pct"/>
            <w:shd w:val="clear" w:color="auto" w:fill="auto"/>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0.94</w:t>
            </w:r>
          </w:p>
        </w:tc>
      </w:tr>
    </w:tbl>
    <w:p w:rsidR="00645F69" w:rsidRPr="00645F69" w:rsidRDefault="00645F69" w:rsidP="00645F69">
      <w:pPr>
        <w:snapToGrid w:val="0"/>
        <w:ind w:firstLine="425"/>
        <w:jc w:val="both"/>
        <w:rPr>
          <w:rFonts w:eastAsiaTheme="minorEastAsia"/>
          <w:sz w:val="20"/>
          <w:szCs w:val="20"/>
          <w:lang w:eastAsia="zh-CN"/>
        </w:rPr>
      </w:pPr>
    </w:p>
    <w:p w:rsidR="00641696" w:rsidRPr="00645F69" w:rsidRDefault="00AE7F37" w:rsidP="00645F69">
      <w:pPr>
        <w:snapToGrid w:val="0"/>
        <w:jc w:val="center"/>
        <w:rPr>
          <w:b/>
          <w:sz w:val="20"/>
          <w:szCs w:val="20"/>
        </w:rPr>
      </w:pPr>
      <w:r w:rsidRPr="00645F69">
        <w:rPr>
          <w:b/>
          <w:sz w:val="20"/>
          <w:szCs w:val="20"/>
        </w:rPr>
        <w:t>Table (2): Basic audiological evaluation (PTA, SRT</w:t>
      </w:r>
      <w:r w:rsidR="00645F69">
        <w:rPr>
          <w:b/>
          <w:sz w:val="20"/>
          <w:szCs w:val="20"/>
        </w:rPr>
        <w:t xml:space="preserve"> </w:t>
      </w:r>
      <w:r w:rsidR="00CC5C4A" w:rsidRPr="00645F69">
        <w:rPr>
          <w:b/>
          <w:sz w:val="20"/>
          <w:szCs w:val="20"/>
        </w:rPr>
        <w:t>&amp;</w:t>
      </w:r>
      <w:r w:rsidR="00645F69">
        <w:rPr>
          <w:b/>
          <w:sz w:val="20"/>
          <w:szCs w:val="20"/>
        </w:rPr>
        <w:t xml:space="preserve"> </w:t>
      </w:r>
      <w:r w:rsidRPr="00645F69">
        <w:rPr>
          <w:b/>
          <w:sz w:val="20"/>
          <w:szCs w:val="20"/>
        </w:rPr>
        <w:t>WDS)</w:t>
      </w:r>
    </w:p>
    <w:tbl>
      <w:tblPr>
        <w:tblStyle w:val="TableGrid"/>
        <w:tblW w:w="4850" w:type="pct"/>
        <w:jc w:val="center"/>
        <w:tblInd w:w="288" w:type="dxa"/>
        <w:tblBorders>
          <w:insideH w:val="single" w:sz="6" w:space="0" w:color="000000" w:themeColor="text1"/>
          <w:insideV w:val="single" w:sz="6" w:space="0" w:color="000000" w:themeColor="text1"/>
        </w:tblBorders>
        <w:tblLook w:val="04A0"/>
      </w:tblPr>
      <w:tblGrid>
        <w:gridCol w:w="3588"/>
        <w:gridCol w:w="1492"/>
        <w:gridCol w:w="877"/>
        <w:gridCol w:w="1492"/>
        <w:gridCol w:w="749"/>
        <w:gridCol w:w="1091"/>
      </w:tblGrid>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PTA</w:t>
            </w:r>
          </w:p>
        </w:tc>
        <w:tc>
          <w:tcPr>
            <w:tcW w:w="2481" w:type="pct"/>
            <w:gridSpan w:val="4"/>
            <w:shd w:val="clear" w:color="auto" w:fill="auto"/>
          </w:tcPr>
          <w:p w:rsidR="00641696" w:rsidRPr="00645F69" w:rsidRDefault="00AE7F37" w:rsidP="00645F69">
            <w:pPr>
              <w:pStyle w:val="TableParagraph"/>
              <w:snapToGrid w:val="0"/>
              <w:rPr>
                <w:b/>
                <w:color w:val="000000"/>
                <w:sz w:val="20"/>
                <w:szCs w:val="20"/>
              </w:rPr>
            </w:pPr>
            <w:r w:rsidRPr="00645F69">
              <w:rPr>
                <w:b/>
                <w:color w:val="000000"/>
                <w:sz w:val="20"/>
                <w:szCs w:val="20"/>
                <w:shd w:val="clear" w:color="auto" w:fill="E6E6E6"/>
              </w:rPr>
              <w:t>Groups</w:t>
            </w:r>
          </w:p>
        </w:tc>
        <w:tc>
          <w:tcPr>
            <w:tcW w:w="588" w:type="pct"/>
            <w:vMerge w:val="restar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P value</w:t>
            </w: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Frequency Hz</w:t>
            </w:r>
          </w:p>
        </w:tc>
        <w:tc>
          <w:tcPr>
            <w:tcW w:w="1275" w:type="pct"/>
            <w:gridSpan w:val="2"/>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shd w:val="clear" w:color="auto" w:fill="E6E6E6"/>
              </w:rPr>
              <w:t>Study</w:t>
            </w:r>
          </w:p>
        </w:tc>
        <w:tc>
          <w:tcPr>
            <w:tcW w:w="1205" w:type="pct"/>
            <w:gridSpan w:val="2"/>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Control</w:t>
            </w:r>
          </w:p>
        </w:tc>
        <w:tc>
          <w:tcPr>
            <w:tcW w:w="588" w:type="pct"/>
            <w:vMerge/>
            <w:shd w:val="clear" w:color="auto" w:fill="auto"/>
          </w:tcPr>
          <w:p w:rsidR="00641696" w:rsidRPr="00645F69" w:rsidRDefault="00641696" w:rsidP="00645F69">
            <w:pPr>
              <w:snapToGrid w:val="0"/>
              <w:jc w:val="both"/>
              <w:rPr>
                <w:color w:val="000000"/>
                <w:sz w:val="20"/>
                <w:szCs w:val="20"/>
              </w:rPr>
            </w:pPr>
          </w:p>
        </w:tc>
      </w:tr>
      <w:tr w:rsidR="00641696" w:rsidRPr="00645F69" w:rsidTr="00A22695">
        <w:trPr>
          <w:jc w:val="center"/>
        </w:trPr>
        <w:tc>
          <w:tcPr>
            <w:tcW w:w="1932" w:type="pct"/>
            <w:shd w:val="clear" w:color="auto" w:fill="auto"/>
          </w:tcPr>
          <w:p w:rsidR="00641696" w:rsidRPr="00645F69" w:rsidRDefault="00641696" w:rsidP="00645F69">
            <w:pPr>
              <w:snapToGrid w:val="0"/>
              <w:jc w:val="both"/>
              <w:rPr>
                <w:color w:val="000000"/>
                <w:sz w:val="20"/>
                <w:szCs w:val="20"/>
              </w:rPr>
            </w:pP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Mean</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SD</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Mean</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SD</w:t>
            </w:r>
          </w:p>
        </w:tc>
        <w:tc>
          <w:tcPr>
            <w:tcW w:w="588" w:type="pct"/>
            <w:vMerge/>
            <w:shd w:val="clear" w:color="auto" w:fill="auto"/>
          </w:tcPr>
          <w:p w:rsidR="00641696" w:rsidRPr="00645F69" w:rsidRDefault="00641696" w:rsidP="00645F69">
            <w:pPr>
              <w:snapToGrid w:val="0"/>
              <w:jc w:val="both"/>
              <w:rPr>
                <w:color w:val="000000"/>
                <w:sz w:val="20"/>
                <w:szCs w:val="20"/>
              </w:rPr>
            </w:pP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250</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16.1 dBHL</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±5.1</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13.3 dBHL</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2.9</w:t>
            </w:r>
          </w:p>
        </w:tc>
        <w:tc>
          <w:tcPr>
            <w:tcW w:w="588"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shd w:val="clear" w:color="auto" w:fill="FFFF00"/>
              </w:rPr>
              <w:t>*0.03</w:t>
            </w:r>
            <w:r w:rsidRPr="00645F69">
              <w:rPr>
                <w:b/>
                <w:color w:val="000000"/>
                <w:sz w:val="20"/>
                <w:szCs w:val="20"/>
              </w:rPr>
              <w:t>*</w:t>
            </w: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500</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16.9 dBHL</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±5.4</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15.0 dBHL</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4.4</w:t>
            </w:r>
          </w:p>
        </w:tc>
        <w:tc>
          <w:tcPr>
            <w:tcW w:w="588"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0.25</w:t>
            </w: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1000</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19.6 dBHL</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±5.8</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13.8 dBHL</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3.4</w:t>
            </w:r>
          </w:p>
        </w:tc>
        <w:tc>
          <w:tcPr>
            <w:tcW w:w="588"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shd w:val="clear" w:color="auto" w:fill="FFFF00"/>
              </w:rPr>
              <w:t>*0.01*</w:t>
            </w: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2000</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20.3 dBHL</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±8.6</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13.0 dBHL</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3.5</w:t>
            </w:r>
          </w:p>
        </w:tc>
        <w:tc>
          <w:tcPr>
            <w:tcW w:w="588"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shd w:val="clear" w:color="auto" w:fill="FFFF00"/>
              </w:rPr>
              <w:t>*0.01*</w:t>
            </w: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4000</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22.8 dBHL</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±10.3</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13.0 dBHL</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4.1</w:t>
            </w:r>
          </w:p>
        </w:tc>
        <w:tc>
          <w:tcPr>
            <w:tcW w:w="588"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shd w:val="clear" w:color="auto" w:fill="FFFF00"/>
              </w:rPr>
              <w:t>*0.01*</w:t>
            </w: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8000</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22.8 dBHL</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±12.3</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13.6 dBHL</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4.3</w:t>
            </w:r>
          </w:p>
        </w:tc>
        <w:tc>
          <w:tcPr>
            <w:tcW w:w="588"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shd w:val="clear" w:color="auto" w:fill="FFFF00"/>
              </w:rPr>
              <w:t>*0.03*</w:t>
            </w:r>
          </w:p>
        </w:tc>
      </w:tr>
      <w:tr w:rsidR="00641696" w:rsidRPr="00645F69" w:rsidTr="00A22695">
        <w:trPr>
          <w:jc w:val="center"/>
        </w:trPr>
        <w:tc>
          <w:tcPr>
            <w:tcW w:w="193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Speech audiometry SRT dBnHL</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16.5 dBHL</w:t>
            </w:r>
          </w:p>
        </w:tc>
        <w:tc>
          <w:tcPr>
            <w:tcW w:w="472"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±6.2</w:t>
            </w:r>
          </w:p>
        </w:tc>
        <w:tc>
          <w:tcPr>
            <w:tcW w:w="803"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13.1 dBHL</w:t>
            </w:r>
          </w:p>
        </w:tc>
        <w:tc>
          <w:tcPr>
            <w:tcW w:w="402" w:type="pct"/>
            <w:shd w:val="clear" w:color="auto" w:fill="auto"/>
          </w:tcPr>
          <w:p w:rsidR="00641696" w:rsidRPr="00645F69" w:rsidRDefault="00AE7F37"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3.2</w:t>
            </w:r>
          </w:p>
        </w:tc>
        <w:tc>
          <w:tcPr>
            <w:tcW w:w="588" w:type="pct"/>
            <w:shd w:val="clear" w:color="auto" w:fill="auto"/>
          </w:tcPr>
          <w:p w:rsidR="00641696" w:rsidRPr="00645F69" w:rsidRDefault="00AE7F37" w:rsidP="00645F69">
            <w:pPr>
              <w:pStyle w:val="TableParagraph"/>
              <w:snapToGrid w:val="0"/>
              <w:jc w:val="both"/>
              <w:rPr>
                <w:b/>
                <w:color w:val="000000"/>
                <w:sz w:val="20"/>
                <w:szCs w:val="20"/>
              </w:rPr>
            </w:pPr>
            <w:r w:rsidRPr="00645F69">
              <w:rPr>
                <w:b/>
                <w:color w:val="000000"/>
                <w:sz w:val="20"/>
                <w:szCs w:val="20"/>
              </w:rPr>
              <w:t>0.08</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250</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16.1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±5.1</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13.3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2.9</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shd w:val="clear" w:color="auto" w:fill="FFFF00"/>
              </w:rPr>
              <w:t>*0.03</w:t>
            </w:r>
            <w:r w:rsidRPr="00645F69">
              <w:rPr>
                <w:b/>
                <w:color w:val="000000"/>
                <w:sz w:val="20"/>
                <w:szCs w:val="20"/>
              </w:rPr>
              <w:t>*</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500</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16.9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±5.4</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15.0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4.4</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0.25</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1000</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19.6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±5.8</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13.8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3.4</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shd w:val="clear" w:color="auto" w:fill="FFFF00"/>
              </w:rPr>
              <w:t>*0.01*</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2000</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20.3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±8.6</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13.0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3.5</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shd w:val="clear" w:color="auto" w:fill="FFFF00"/>
              </w:rPr>
              <w:t>*0.01*</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4000</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22.8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±10.3</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13.0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4.1</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shd w:val="clear" w:color="auto" w:fill="FFFF00"/>
              </w:rPr>
              <w:t>*0.01*</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8000</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22.8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±12.3</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13.6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4.3</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shd w:val="clear" w:color="auto" w:fill="FFFF00"/>
              </w:rPr>
              <w:t>*0.03*</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Speech audiometry SRT dBnHL</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16.5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±6.2</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13.1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3.2</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0.08</w:t>
            </w:r>
          </w:p>
        </w:tc>
      </w:tr>
      <w:tr w:rsidR="004F24BC" w:rsidRPr="00645F69" w:rsidTr="00A22695">
        <w:trPr>
          <w:jc w:val="center"/>
        </w:trPr>
        <w:tc>
          <w:tcPr>
            <w:tcW w:w="193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WDS (%)</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98.9 dBHL</w:t>
            </w:r>
          </w:p>
        </w:tc>
        <w:tc>
          <w:tcPr>
            <w:tcW w:w="4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±1.2</w:t>
            </w:r>
          </w:p>
        </w:tc>
        <w:tc>
          <w:tcPr>
            <w:tcW w:w="80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98.4 dBHL</w:t>
            </w:r>
          </w:p>
        </w:tc>
        <w:tc>
          <w:tcPr>
            <w:tcW w:w="40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1.1</w:t>
            </w:r>
          </w:p>
        </w:tc>
        <w:tc>
          <w:tcPr>
            <w:tcW w:w="58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0.21</w:t>
            </w:r>
          </w:p>
        </w:tc>
      </w:tr>
    </w:tbl>
    <w:p w:rsidR="004F24BC" w:rsidRPr="00645F69" w:rsidRDefault="004F24BC" w:rsidP="00645F69">
      <w:pPr>
        <w:snapToGrid w:val="0"/>
        <w:ind w:firstLine="425"/>
        <w:jc w:val="both"/>
        <w:rPr>
          <w:sz w:val="20"/>
          <w:szCs w:val="20"/>
        </w:rPr>
      </w:pPr>
    </w:p>
    <w:p w:rsidR="004F24BC" w:rsidRPr="00645F69" w:rsidRDefault="004F24BC" w:rsidP="00645F69">
      <w:pPr>
        <w:snapToGrid w:val="0"/>
        <w:jc w:val="center"/>
        <w:rPr>
          <w:b/>
          <w:sz w:val="20"/>
          <w:szCs w:val="20"/>
        </w:rPr>
      </w:pPr>
      <w:r w:rsidRPr="00645F69">
        <w:rPr>
          <w:b/>
          <w:sz w:val="20"/>
          <w:szCs w:val="20"/>
        </w:rPr>
        <w:lastRenderedPageBreak/>
        <w:t>Table (3): Mean</w:t>
      </w:r>
      <w:r w:rsidR="00645F69">
        <w:rPr>
          <w:b/>
          <w:sz w:val="20"/>
          <w:szCs w:val="20"/>
        </w:rPr>
        <w:t xml:space="preserve"> </w:t>
      </w:r>
      <w:r w:rsidR="00CC5C4A" w:rsidRPr="00645F69">
        <w:rPr>
          <w:b/>
          <w:sz w:val="20"/>
          <w:szCs w:val="20"/>
        </w:rPr>
        <w:t>&amp;</w:t>
      </w:r>
      <w:r w:rsidR="00645F69">
        <w:rPr>
          <w:b/>
          <w:sz w:val="20"/>
          <w:szCs w:val="20"/>
        </w:rPr>
        <w:t xml:space="preserve"> </w:t>
      </w:r>
      <w:r w:rsidRPr="00645F69">
        <w:rPr>
          <w:b/>
          <w:sz w:val="20"/>
          <w:szCs w:val="20"/>
        </w:rPr>
        <w:t>SD of DPOAE amplitude at different frequencies in both groups.</w:t>
      </w:r>
    </w:p>
    <w:tbl>
      <w:tblPr>
        <w:tblStyle w:val="TableGrid"/>
        <w:tblW w:w="4423" w:type="pct"/>
        <w:jc w:val="center"/>
        <w:tblInd w:w="738" w:type="dxa"/>
        <w:tblBorders>
          <w:insideH w:val="single" w:sz="6" w:space="0" w:color="000000" w:themeColor="text1"/>
          <w:insideV w:val="single" w:sz="6" w:space="0" w:color="000000" w:themeColor="text1"/>
        </w:tblBorders>
        <w:tblLook w:val="04A0"/>
      </w:tblPr>
      <w:tblGrid>
        <w:gridCol w:w="2118"/>
        <w:gridCol w:w="1647"/>
        <w:gridCol w:w="1199"/>
        <w:gridCol w:w="1349"/>
        <w:gridCol w:w="1033"/>
        <w:gridCol w:w="1125"/>
      </w:tblGrid>
      <w:tr w:rsidR="00645F69" w:rsidRPr="00645F69" w:rsidTr="00A22695">
        <w:trPr>
          <w:jc w:val="center"/>
        </w:trPr>
        <w:tc>
          <w:tcPr>
            <w:tcW w:w="1250" w:type="pct"/>
            <w:vMerge w:val="restart"/>
            <w:shd w:val="clear" w:color="auto" w:fill="auto"/>
            <w:vAlign w:val="center"/>
          </w:tcPr>
          <w:p w:rsidR="00645F69" w:rsidRPr="00645F69" w:rsidRDefault="00645F69" w:rsidP="00645F69">
            <w:pPr>
              <w:pStyle w:val="TableParagraph"/>
              <w:snapToGrid w:val="0"/>
              <w:jc w:val="both"/>
              <w:rPr>
                <w:color w:val="000000"/>
                <w:sz w:val="20"/>
                <w:szCs w:val="20"/>
              </w:rPr>
            </w:pPr>
            <w:r w:rsidRPr="00645F69">
              <w:rPr>
                <w:b/>
                <w:color w:val="000000"/>
                <w:sz w:val="20"/>
                <w:szCs w:val="20"/>
              </w:rPr>
              <w:t>OAE</w:t>
            </w:r>
            <w:r w:rsidRPr="00645F69">
              <w:rPr>
                <w:rFonts w:eastAsiaTheme="minorEastAsia" w:hint="eastAsia"/>
                <w:b/>
                <w:color w:val="000000"/>
                <w:sz w:val="20"/>
                <w:szCs w:val="20"/>
                <w:lang w:eastAsia="zh-CN"/>
              </w:rPr>
              <w:t xml:space="preserve"> </w:t>
            </w:r>
            <w:r w:rsidRPr="00645F69">
              <w:rPr>
                <w:b/>
                <w:color w:val="000000"/>
                <w:sz w:val="20"/>
                <w:szCs w:val="20"/>
              </w:rPr>
              <w:t>Frequency</w:t>
            </w:r>
          </w:p>
        </w:tc>
        <w:tc>
          <w:tcPr>
            <w:tcW w:w="3085" w:type="pct"/>
            <w:gridSpan w:val="4"/>
            <w:shd w:val="clear" w:color="auto" w:fill="auto"/>
            <w:vAlign w:val="center"/>
          </w:tcPr>
          <w:p w:rsidR="00645F69" w:rsidRPr="00645F69" w:rsidRDefault="00645F69" w:rsidP="00645F69">
            <w:pPr>
              <w:pStyle w:val="TableParagraph"/>
              <w:snapToGrid w:val="0"/>
              <w:rPr>
                <w:b/>
                <w:color w:val="000000"/>
                <w:sz w:val="20"/>
                <w:szCs w:val="20"/>
              </w:rPr>
            </w:pPr>
            <w:r w:rsidRPr="00645F69">
              <w:rPr>
                <w:b/>
                <w:color w:val="000000"/>
                <w:sz w:val="20"/>
                <w:szCs w:val="20"/>
              </w:rPr>
              <w:t>Group</w:t>
            </w:r>
          </w:p>
        </w:tc>
        <w:tc>
          <w:tcPr>
            <w:tcW w:w="665" w:type="pct"/>
            <w:vMerge w:val="restart"/>
            <w:shd w:val="clear" w:color="auto" w:fill="auto"/>
            <w:vAlign w:val="center"/>
          </w:tcPr>
          <w:p w:rsidR="00645F69" w:rsidRPr="00645F69" w:rsidRDefault="00645F69" w:rsidP="00645F69">
            <w:pPr>
              <w:pStyle w:val="TableParagraph"/>
              <w:snapToGrid w:val="0"/>
              <w:jc w:val="both"/>
              <w:rPr>
                <w:b/>
                <w:color w:val="000000"/>
                <w:sz w:val="20"/>
                <w:szCs w:val="20"/>
              </w:rPr>
            </w:pPr>
            <w:r w:rsidRPr="00645F69">
              <w:rPr>
                <w:b/>
                <w:color w:val="000000"/>
                <w:sz w:val="20"/>
                <w:szCs w:val="20"/>
              </w:rPr>
              <w:t>P value</w:t>
            </w:r>
          </w:p>
        </w:tc>
      </w:tr>
      <w:tr w:rsidR="00645F69" w:rsidRPr="00645F69" w:rsidTr="00A22695">
        <w:trPr>
          <w:jc w:val="center"/>
        </w:trPr>
        <w:tc>
          <w:tcPr>
            <w:tcW w:w="1250" w:type="pct"/>
            <w:vMerge/>
            <w:shd w:val="clear" w:color="auto" w:fill="auto"/>
            <w:vAlign w:val="center"/>
          </w:tcPr>
          <w:p w:rsidR="00645F69" w:rsidRPr="00645F69" w:rsidRDefault="00645F69" w:rsidP="00645F69">
            <w:pPr>
              <w:pStyle w:val="TableParagraph"/>
              <w:snapToGrid w:val="0"/>
              <w:jc w:val="both"/>
              <w:rPr>
                <w:b/>
                <w:color w:val="000000"/>
                <w:sz w:val="20"/>
                <w:szCs w:val="20"/>
              </w:rPr>
            </w:pPr>
          </w:p>
        </w:tc>
        <w:tc>
          <w:tcPr>
            <w:tcW w:w="1679" w:type="pct"/>
            <w:gridSpan w:val="2"/>
            <w:shd w:val="clear" w:color="auto" w:fill="auto"/>
            <w:vAlign w:val="center"/>
          </w:tcPr>
          <w:p w:rsidR="00645F69" w:rsidRPr="00645F69" w:rsidRDefault="00645F69" w:rsidP="00645F69">
            <w:pPr>
              <w:pStyle w:val="TableParagraph"/>
              <w:snapToGrid w:val="0"/>
              <w:jc w:val="both"/>
              <w:rPr>
                <w:color w:val="000000"/>
                <w:sz w:val="20"/>
                <w:szCs w:val="20"/>
              </w:rPr>
            </w:pPr>
            <w:r w:rsidRPr="00645F69">
              <w:rPr>
                <w:b/>
                <w:color w:val="000000"/>
                <w:sz w:val="20"/>
                <w:szCs w:val="20"/>
              </w:rPr>
              <w:t>Study</w:t>
            </w:r>
          </w:p>
        </w:tc>
        <w:tc>
          <w:tcPr>
            <w:tcW w:w="1406" w:type="pct"/>
            <w:gridSpan w:val="2"/>
            <w:shd w:val="clear" w:color="auto" w:fill="auto"/>
            <w:vAlign w:val="center"/>
          </w:tcPr>
          <w:p w:rsidR="00645F69" w:rsidRPr="00645F69" w:rsidRDefault="00645F69" w:rsidP="00645F69">
            <w:pPr>
              <w:pStyle w:val="TableParagraph"/>
              <w:snapToGrid w:val="0"/>
              <w:jc w:val="both"/>
              <w:rPr>
                <w:color w:val="000000"/>
                <w:sz w:val="20"/>
                <w:szCs w:val="20"/>
              </w:rPr>
            </w:pPr>
            <w:r w:rsidRPr="00645F69">
              <w:rPr>
                <w:b/>
                <w:color w:val="000000"/>
                <w:sz w:val="20"/>
                <w:szCs w:val="20"/>
              </w:rPr>
              <w:t>Control</w:t>
            </w:r>
          </w:p>
        </w:tc>
        <w:tc>
          <w:tcPr>
            <w:tcW w:w="665" w:type="pct"/>
            <w:vMerge/>
            <w:shd w:val="clear" w:color="auto" w:fill="auto"/>
            <w:vAlign w:val="center"/>
          </w:tcPr>
          <w:p w:rsidR="00645F69" w:rsidRPr="00645F69" w:rsidRDefault="00645F69" w:rsidP="00645F69">
            <w:pPr>
              <w:snapToGrid w:val="0"/>
              <w:jc w:val="both"/>
              <w:rPr>
                <w:color w:val="000000"/>
                <w:sz w:val="20"/>
                <w:szCs w:val="20"/>
              </w:rPr>
            </w:pPr>
          </w:p>
        </w:tc>
      </w:tr>
      <w:tr w:rsidR="004F24BC" w:rsidRPr="00645F69" w:rsidTr="00A22695">
        <w:trPr>
          <w:jc w:val="center"/>
        </w:trPr>
        <w:tc>
          <w:tcPr>
            <w:tcW w:w="1250"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Hz</w:t>
            </w:r>
          </w:p>
        </w:tc>
        <w:tc>
          <w:tcPr>
            <w:tcW w:w="9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Mean</w:t>
            </w:r>
          </w:p>
        </w:tc>
        <w:tc>
          <w:tcPr>
            <w:tcW w:w="70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SD</w:t>
            </w:r>
          </w:p>
        </w:tc>
        <w:tc>
          <w:tcPr>
            <w:tcW w:w="79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Mean</w:t>
            </w:r>
          </w:p>
        </w:tc>
        <w:tc>
          <w:tcPr>
            <w:tcW w:w="609"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SD</w:t>
            </w:r>
          </w:p>
        </w:tc>
        <w:tc>
          <w:tcPr>
            <w:tcW w:w="665" w:type="pct"/>
            <w:vMerge/>
            <w:shd w:val="clear" w:color="auto" w:fill="auto"/>
            <w:vAlign w:val="center"/>
          </w:tcPr>
          <w:p w:rsidR="004F24BC" w:rsidRPr="00645F69" w:rsidRDefault="004F24BC" w:rsidP="00645F69">
            <w:pPr>
              <w:snapToGrid w:val="0"/>
              <w:jc w:val="both"/>
              <w:rPr>
                <w:color w:val="000000"/>
                <w:sz w:val="20"/>
                <w:szCs w:val="20"/>
              </w:rPr>
            </w:pPr>
          </w:p>
        </w:tc>
      </w:tr>
      <w:tr w:rsidR="004F24BC" w:rsidRPr="00645F69" w:rsidTr="00A22695">
        <w:trPr>
          <w:jc w:val="center"/>
        </w:trPr>
        <w:tc>
          <w:tcPr>
            <w:tcW w:w="1250"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500</w:t>
            </w:r>
          </w:p>
        </w:tc>
        <w:tc>
          <w:tcPr>
            <w:tcW w:w="9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2.3 dB</w:t>
            </w:r>
          </w:p>
        </w:tc>
        <w:tc>
          <w:tcPr>
            <w:tcW w:w="70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1.7</w:t>
            </w:r>
          </w:p>
        </w:tc>
        <w:tc>
          <w:tcPr>
            <w:tcW w:w="79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2.2 dB</w:t>
            </w:r>
          </w:p>
        </w:tc>
        <w:tc>
          <w:tcPr>
            <w:tcW w:w="609"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1.3</w:t>
            </w:r>
          </w:p>
        </w:tc>
        <w:tc>
          <w:tcPr>
            <w:tcW w:w="66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0.84</w:t>
            </w:r>
          </w:p>
        </w:tc>
      </w:tr>
      <w:tr w:rsidR="004F24BC" w:rsidRPr="00645F69" w:rsidTr="00A22695">
        <w:trPr>
          <w:jc w:val="center"/>
        </w:trPr>
        <w:tc>
          <w:tcPr>
            <w:tcW w:w="1250"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1000</w:t>
            </w:r>
          </w:p>
        </w:tc>
        <w:tc>
          <w:tcPr>
            <w:tcW w:w="9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4.1 dB</w:t>
            </w:r>
          </w:p>
        </w:tc>
        <w:tc>
          <w:tcPr>
            <w:tcW w:w="70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1.5</w:t>
            </w:r>
          </w:p>
        </w:tc>
        <w:tc>
          <w:tcPr>
            <w:tcW w:w="79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4.8 dB</w:t>
            </w:r>
          </w:p>
        </w:tc>
        <w:tc>
          <w:tcPr>
            <w:tcW w:w="609"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1.3</w:t>
            </w:r>
          </w:p>
        </w:tc>
        <w:tc>
          <w:tcPr>
            <w:tcW w:w="66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0.20</w:t>
            </w:r>
          </w:p>
        </w:tc>
      </w:tr>
      <w:tr w:rsidR="004F24BC" w:rsidRPr="00645F69" w:rsidTr="00A22695">
        <w:trPr>
          <w:jc w:val="center"/>
        </w:trPr>
        <w:tc>
          <w:tcPr>
            <w:tcW w:w="1250"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2000</w:t>
            </w:r>
          </w:p>
        </w:tc>
        <w:tc>
          <w:tcPr>
            <w:tcW w:w="9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3.2 dB</w:t>
            </w:r>
          </w:p>
        </w:tc>
        <w:tc>
          <w:tcPr>
            <w:tcW w:w="70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1.7</w:t>
            </w:r>
          </w:p>
        </w:tc>
        <w:tc>
          <w:tcPr>
            <w:tcW w:w="79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3.3 dB</w:t>
            </w:r>
          </w:p>
        </w:tc>
        <w:tc>
          <w:tcPr>
            <w:tcW w:w="609"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0.8</w:t>
            </w:r>
          </w:p>
        </w:tc>
        <w:tc>
          <w:tcPr>
            <w:tcW w:w="66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0.90</w:t>
            </w:r>
          </w:p>
        </w:tc>
      </w:tr>
      <w:tr w:rsidR="004F24BC" w:rsidRPr="00645F69" w:rsidTr="00A22695">
        <w:trPr>
          <w:jc w:val="center"/>
        </w:trPr>
        <w:tc>
          <w:tcPr>
            <w:tcW w:w="1250"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4000</w:t>
            </w:r>
          </w:p>
        </w:tc>
        <w:tc>
          <w:tcPr>
            <w:tcW w:w="9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2.7 dB</w:t>
            </w:r>
          </w:p>
        </w:tc>
        <w:tc>
          <w:tcPr>
            <w:tcW w:w="70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6.1</w:t>
            </w:r>
          </w:p>
        </w:tc>
        <w:tc>
          <w:tcPr>
            <w:tcW w:w="79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6.4 dB</w:t>
            </w:r>
          </w:p>
        </w:tc>
        <w:tc>
          <w:tcPr>
            <w:tcW w:w="609"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1.1</w:t>
            </w:r>
          </w:p>
        </w:tc>
        <w:tc>
          <w:tcPr>
            <w:tcW w:w="66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shd w:val="clear" w:color="auto" w:fill="FFFF00"/>
              </w:rPr>
              <w:t>*0.01</w:t>
            </w:r>
            <w:r w:rsidRPr="00645F69">
              <w:rPr>
                <w:b/>
                <w:color w:val="000000"/>
                <w:sz w:val="20"/>
                <w:szCs w:val="20"/>
              </w:rPr>
              <w:t>*</w:t>
            </w:r>
          </w:p>
        </w:tc>
      </w:tr>
      <w:tr w:rsidR="004F24BC" w:rsidRPr="00645F69" w:rsidTr="00A22695">
        <w:trPr>
          <w:jc w:val="center"/>
        </w:trPr>
        <w:tc>
          <w:tcPr>
            <w:tcW w:w="1250"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8000</w:t>
            </w:r>
          </w:p>
        </w:tc>
        <w:tc>
          <w:tcPr>
            <w:tcW w:w="972"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1.00- dB</w:t>
            </w:r>
          </w:p>
        </w:tc>
        <w:tc>
          <w:tcPr>
            <w:tcW w:w="708"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10.7</w:t>
            </w:r>
          </w:p>
        </w:tc>
        <w:tc>
          <w:tcPr>
            <w:tcW w:w="79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4.7 dB</w:t>
            </w:r>
          </w:p>
        </w:tc>
        <w:tc>
          <w:tcPr>
            <w:tcW w:w="609"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1.3</w:t>
            </w:r>
          </w:p>
        </w:tc>
        <w:tc>
          <w:tcPr>
            <w:tcW w:w="66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0.06</w:t>
            </w:r>
          </w:p>
        </w:tc>
      </w:tr>
    </w:tbl>
    <w:p w:rsidR="00645F69" w:rsidRDefault="00645F69" w:rsidP="00645F69">
      <w:pPr>
        <w:snapToGrid w:val="0"/>
        <w:ind w:firstLine="425"/>
        <w:jc w:val="both"/>
        <w:rPr>
          <w:sz w:val="20"/>
          <w:szCs w:val="20"/>
        </w:rPr>
      </w:pPr>
    </w:p>
    <w:p w:rsidR="00641696" w:rsidRPr="00645F69" w:rsidRDefault="00AE7F37" w:rsidP="00645F69">
      <w:pPr>
        <w:snapToGrid w:val="0"/>
        <w:jc w:val="center"/>
        <w:rPr>
          <w:b/>
          <w:sz w:val="20"/>
          <w:szCs w:val="20"/>
        </w:rPr>
      </w:pPr>
      <w:r w:rsidRPr="00645F69">
        <w:rPr>
          <w:b/>
          <w:sz w:val="20"/>
          <w:szCs w:val="20"/>
        </w:rPr>
        <w:t>Table (4): Mean</w:t>
      </w:r>
      <w:r w:rsidR="00645F69">
        <w:rPr>
          <w:b/>
          <w:sz w:val="20"/>
          <w:szCs w:val="20"/>
        </w:rPr>
        <w:t xml:space="preserve"> </w:t>
      </w:r>
      <w:r w:rsidR="00CC5C4A" w:rsidRPr="00645F69">
        <w:rPr>
          <w:b/>
          <w:sz w:val="20"/>
          <w:szCs w:val="20"/>
        </w:rPr>
        <w:t>&amp;</w:t>
      </w:r>
      <w:r w:rsidR="00645F69">
        <w:rPr>
          <w:b/>
          <w:sz w:val="20"/>
          <w:szCs w:val="20"/>
        </w:rPr>
        <w:t xml:space="preserve"> </w:t>
      </w:r>
      <w:r w:rsidRPr="00645F69">
        <w:rPr>
          <w:b/>
          <w:sz w:val="20"/>
          <w:szCs w:val="20"/>
        </w:rPr>
        <w:t>SD in ABR wave latencies (absolute</w:t>
      </w:r>
      <w:r w:rsidR="00645F69">
        <w:rPr>
          <w:b/>
          <w:sz w:val="20"/>
          <w:szCs w:val="20"/>
        </w:rPr>
        <w:t xml:space="preserve"> </w:t>
      </w:r>
      <w:r w:rsidR="00CC5C4A" w:rsidRPr="00645F69">
        <w:rPr>
          <w:b/>
          <w:sz w:val="20"/>
          <w:szCs w:val="20"/>
        </w:rPr>
        <w:t>&amp;</w:t>
      </w:r>
      <w:r w:rsidR="00645F69">
        <w:rPr>
          <w:b/>
          <w:sz w:val="20"/>
          <w:szCs w:val="20"/>
        </w:rPr>
        <w:t xml:space="preserve"> </w:t>
      </w:r>
      <w:r w:rsidRPr="00645F69">
        <w:rPr>
          <w:b/>
          <w:sz w:val="20"/>
          <w:szCs w:val="20"/>
        </w:rPr>
        <w:t>inter-peak) in both groups.</w:t>
      </w:r>
    </w:p>
    <w:tbl>
      <w:tblPr>
        <w:tblStyle w:val="TableGrid"/>
        <w:tblW w:w="4709" w:type="pct"/>
        <w:jc w:val="center"/>
        <w:tblInd w:w="558" w:type="dxa"/>
        <w:tblBorders>
          <w:insideH w:val="single" w:sz="6" w:space="0" w:color="000000" w:themeColor="text1"/>
          <w:insideV w:val="single" w:sz="6" w:space="0" w:color="000000" w:themeColor="text1"/>
        </w:tblBorders>
        <w:tblLook w:val="04A0"/>
      </w:tblPr>
      <w:tblGrid>
        <w:gridCol w:w="2661"/>
        <w:gridCol w:w="1670"/>
        <w:gridCol w:w="929"/>
        <w:gridCol w:w="1670"/>
        <w:gridCol w:w="929"/>
        <w:gridCol w:w="1160"/>
      </w:tblGrid>
      <w:tr w:rsidR="004F24BC" w:rsidRPr="00645F69" w:rsidTr="00A22695">
        <w:trPr>
          <w:jc w:val="center"/>
        </w:trPr>
        <w:tc>
          <w:tcPr>
            <w:tcW w:w="1475" w:type="pct"/>
            <w:shd w:val="clear" w:color="auto" w:fill="auto"/>
            <w:vAlign w:val="center"/>
          </w:tcPr>
          <w:p w:rsidR="004F24BC" w:rsidRPr="00645F69" w:rsidRDefault="004F24BC" w:rsidP="00645F69">
            <w:pPr>
              <w:snapToGrid w:val="0"/>
              <w:jc w:val="both"/>
              <w:rPr>
                <w:color w:val="000000"/>
                <w:sz w:val="20"/>
                <w:szCs w:val="20"/>
              </w:rPr>
            </w:pPr>
          </w:p>
        </w:tc>
        <w:tc>
          <w:tcPr>
            <w:tcW w:w="2882" w:type="pct"/>
            <w:gridSpan w:val="4"/>
            <w:shd w:val="clear" w:color="auto" w:fill="auto"/>
            <w:vAlign w:val="center"/>
          </w:tcPr>
          <w:p w:rsidR="004F24BC" w:rsidRPr="00645F69" w:rsidRDefault="004F24BC" w:rsidP="00645F69">
            <w:pPr>
              <w:pStyle w:val="TableParagraph"/>
              <w:snapToGrid w:val="0"/>
              <w:rPr>
                <w:b/>
                <w:color w:val="000000"/>
                <w:sz w:val="20"/>
                <w:szCs w:val="20"/>
              </w:rPr>
            </w:pPr>
            <w:r w:rsidRPr="00645F69">
              <w:rPr>
                <w:b/>
                <w:color w:val="000000"/>
                <w:sz w:val="20"/>
                <w:szCs w:val="20"/>
              </w:rPr>
              <w:t>Group</w:t>
            </w:r>
          </w:p>
        </w:tc>
        <w:tc>
          <w:tcPr>
            <w:tcW w:w="643" w:type="pct"/>
            <w:vMerge w:val="restar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P</w:t>
            </w:r>
            <w:r w:rsidR="00645F69">
              <w:rPr>
                <w:rFonts w:eastAsiaTheme="minorEastAsia" w:hint="eastAsia"/>
                <w:b/>
                <w:color w:val="000000"/>
                <w:sz w:val="20"/>
                <w:szCs w:val="20"/>
                <w:lang w:eastAsia="zh-CN"/>
              </w:rPr>
              <w:t xml:space="preserve"> </w:t>
            </w:r>
            <w:r w:rsidRPr="00645F69">
              <w:rPr>
                <w:b/>
                <w:color w:val="000000"/>
                <w:sz w:val="20"/>
                <w:szCs w:val="20"/>
              </w:rPr>
              <w:t>value</w:t>
            </w: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ABR wave latencies</w:t>
            </w:r>
          </w:p>
        </w:tc>
        <w:tc>
          <w:tcPr>
            <w:tcW w:w="1441" w:type="pct"/>
            <w:gridSpan w:val="2"/>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Study</w:t>
            </w:r>
          </w:p>
        </w:tc>
        <w:tc>
          <w:tcPr>
            <w:tcW w:w="1441" w:type="pct"/>
            <w:gridSpan w:val="2"/>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Control</w:t>
            </w:r>
          </w:p>
        </w:tc>
        <w:tc>
          <w:tcPr>
            <w:tcW w:w="643" w:type="pct"/>
            <w:vMerge/>
            <w:shd w:val="clear" w:color="auto" w:fill="auto"/>
            <w:vAlign w:val="center"/>
          </w:tcPr>
          <w:p w:rsidR="004F24BC" w:rsidRPr="00645F69" w:rsidRDefault="004F24BC" w:rsidP="00645F69">
            <w:pPr>
              <w:snapToGrid w:val="0"/>
              <w:jc w:val="both"/>
              <w:rPr>
                <w:color w:val="000000"/>
                <w:sz w:val="20"/>
                <w:szCs w:val="20"/>
              </w:rPr>
            </w:pP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(absolute</w:t>
            </w:r>
            <w:r w:rsidR="00645F69">
              <w:rPr>
                <w:b/>
                <w:color w:val="000000"/>
                <w:sz w:val="20"/>
                <w:szCs w:val="20"/>
              </w:rPr>
              <w:t xml:space="preserve"> </w:t>
            </w:r>
            <w:r w:rsidR="00CC5C4A" w:rsidRPr="00645F69">
              <w:rPr>
                <w:b/>
                <w:color w:val="000000"/>
                <w:sz w:val="20"/>
                <w:szCs w:val="20"/>
              </w:rPr>
              <w:t>&amp;</w:t>
            </w:r>
            <w:r w:rsidR="00645F69">
              <w:rPr>
                <w:b/>
                <w:color w:val="000000"/>
                <w:sz w:val="20"/>
                <w:szCs w:val="20"/>
              </w:rPr>
              <w:t xml:space="preserve"> </w:t>
            </w:r>
            <w:r w:rsidRPr="00645F69">
              <w:rPr>
                <w:b/>
                <w:color w:val="000000"/>
                <w:sz w:val="20"/>
                <w:szCs w:val="20"/>
              </w:rPr>
              <w:t>inter- peak)</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Mean in 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SD</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Mean in 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SD</w:t>
            </w:r>
          </w:p>
        </w:tc>
        <w:tc>
          <w:tcPr>
            <w:tcW w:w="643" w:type="pct"/>
            <w:vMerge/>
            <w:shd w:val="clear" w:color="auto" w:fill="auto"/>
            <w:vAlign w:val="center"/>
          </w:tcPr>
          <w:p w:rsidR="004F24BC" w:rsidRPr="00645F69" w:rsidRDefault="004F24BC" w:rsidP="00645F69">
            <w:pPr>
              <w:snapToGrid w:val="0"/>
              <w:jc w:val="both"/>
              <w:rPr>
                <w:color w:val="000000"/>
                <w:sz w:val="20"/>
                <w:szCs w:val="20"/>
              </w:rPr>
            </w:pP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Wave I</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1.67ms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0.11</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1.66ms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0.11</w:t>
            </w:r>
          </w:p>
        </w:tc>
        <w:tc>
          <w:tcPr>
            <w:tcW w:w="64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0.83</w:t>
            </w: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Wave III</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3.67ms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0.09</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3.68ms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0.15</w:t>
            </w:r>
          </w:p>
        </w:tc>
        <w:tc>
          <w:tcPr>
            <w:tcW w:w="64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0.46</w:t>
            </w: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Wave V</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5.70ms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0.09</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5.70ms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0.10</w:t>
            </w:r>
          </w:p>
        </w:tc>
        <w:tc>
          <w:tcPr>
            <w:tcW w:w="64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0.79</w:t>
            </w: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Inter-peak I –III</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2.00ms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0.11</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2.02ms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0.15</w:t>
            </w:r>
          </w:p>
        </w:tc>
        <w:tc>
          <w:tcPr>
            <w:tcW w:w="64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0.69</w:t>
            </w: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Inter-peak III-V</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2.03ms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0.11</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2.01ms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0.14</w:t>
            </w:r>
          </w:p>
        </w:tc>
        <w:tc>
          <w:tcPr>
            <w:tcW w:w="64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0.33</w:t>
            </w: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Inter-peak I-V</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4.03ms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0.10</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4.03ms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0.12</w:t>
            </w:r>
          </w:p>
        </w:tc>
        <w:tc>
          <w:tcPr>
            <w:tcW w:w="64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0.93</w:t>
            </w:r>
          </w:p>
        </w:tc>
      </w:tr>
      <w:tr w:rsidR="004F24BC" w:rsidRPr="00645F69" w:rsidTr="00A22695">
        <w:trPr>
          <w:jc w:val="center"/>
        </w:trPr>
        <w:tc>
          <w:tcPr>
            <w:tcW w:w="147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Wave V (high repetition)</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5.91ms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0.08</w:t>
            </w:r>
          </w:p>
        </w:tc>
        <w:tc>
          <w:tcPr>
            <w:tcW w:w="926"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5.95ms</w:t>
            </w:r>
          </w:p>
        </w:tc>
        <w:tc>
          <w:tcPr>
            <w:tcW w:w="515"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color w:val="000000"/>
                <w:sz w:val="20"/>
                <w:szCs w:val="20"/>
              </w:rPr>
              <w:t>±</w:t>
            </w:r>
            <w:r w:rsidRPr="00645F69">
              <w:rPr>
                <w:b/>
                <w:color w:val="000000"/>
                <w:sz w:val="20"/>
                <w:szCs w:val="20"/>
              </w:rPr>
              <w:t>0.11</w:t>
            </w:r>
          </w:p>
        </w:tc>
        <w:tc>
          <w:tcPr>
            <w:tcW w:w="643" w:type="pct"/>
            <w:shd w:val="clear" w:color="auto" w:fill="auto"/>
            <w:vAlign w:val="center"/>
          </w:tcPr>
          <w:p w:rsidR="004F24BC" w:rsidRPr="00645F69" w:rsidRDefault="004F24BC" w:rsidP="00645F69">
            <w:pPr>
              <w:pStyle w:val="TableParagraph"/>
              <w:snapToGrid w:val="0"/>
              <w:jc w:val="both"/>
              <w:rPr>
                <w:b/>
                <w:color w:val="000000"/>
                <w:sz w:val="20"/>
                <w:szCs w:val="20"/>
              </w:rPr>
            </w:pPr>
            <w:r w:rsidRPr="00645F69">
              <w:rPr>
                <w:b/>
                <w:color w:val="000000"/>
                <w:sz w:val="20"/>
                <w:szCs w:val="20"/>
              </w:rPr>
              <w:t>0.40</w:t>
            </w:r>
          </w:p>
        </w:tc>
      </w:tr>
    </w:tbl>
    <w:p w:rsidR="00645F69" w:rsidRDefault="00645F69" w:rsidP="00645F69">
      <w:pPr>
        <w:pStyle w:val="BodyText"/>
        <w:snapToGrid w:val="0"/>
        <w:ind w:firstLine="425"/>
        <w:jc w:val="both"/>
        <w:rPr>
          <w:b/>
          <w:sz w:val="20"/>
          <w:szCs w:val="20"/>
        </w:rPr>
      </w:pPr>
    </w:p>
    <w:p w:rsidR="00645F69" w:rsidRPr="00645F69" w:rsidRDefault="00645F69" w:rsidP="00645F69">
      <w:pPr>
        <w:pStyle w:val="BodyText"/>
        <w:snapToGrid w:val="0"/>
        <w:ind w:firstLine="425"/>
        <w:jc w:val="both"/>
        <w:rPr>
          <w:b/>
          <w:sz w:val="20"/>
          <w:szCs w:val="20"/>
        </w:rPr>
        <w:sectPr w:rsidR="00645F69" w:rsidRPr="00645F69" w:rsidSect="00CC5C4A">
          <w:footerReference w:type="default" r:id="rId16"/>
          <w:type w:val="continuous"/>
          <w:pgSz w:w="12240" w:h="15840" w:code="1"/>
          <w:pgMar w:top="1440" w:right="1440" w:bottom="1440" w:left="1440" w:header="720" w:footer="720" w:gutter="0"/>
          <w:cols w:space="709"/>
          <w:docGrid w:linePitch="299"/>
        </w:sectPr>
      </w:pPr>
    </w:p>
    <w:p w:rsidR="00645F69" w:rsidRPr="00645F69" w:rsidRDefault="00645F69" w:rsidP="00645F69">
      <w:pPr>
        <w:pStyle w:val="Heading1"/>
        <w:snapToGrid w:val="0"/>
        <w:spacing w:before="0"/>
        <w:ind w:left="0"/>
        <w:jc w:val="both"/>
        <w:rPr>
          <w:sz w:val="20"/>
          <w:szCs w:val="20"/>
        </w:rPr>
      </w:pPr>
      <w:r w:rsidRPr="00645F69">
        <w:rPr>
          <w:sz w:val="20"/>
          <w:szCs w:val="20"/>
        </w:rPr>
        <w:lastRenderedPageBreak/>
        <w:t>Statistical analysis</w:t>
      </w:r>
    </w:p>
    <w:p w:rsidR="00645F69" w:rsidRPr="00645F69" w:rsidRDefault="00645F69" w:rsidP="00645F69">
      <w:pPr>
        <w:pStyle w:val="BodyText"/>
        <w:snapToGrid w:val="0"/>
        <w:ind w:firstLine="425"/>
        <w:jc w:val="both"/>
        <w:rPr>
          <w:sz w:val="20"/>
          <w:szCs w:val="20"/>
        </w:rPr>
      </w:pPr>
      <w:r w:rsidRPr="00645F69">
        <w:rPr>
          <w:sz w:val="20"/>
          <w:szCs w:val="20"/>
        </w:rPr>
        <w:t>Data were coded and entered using the statistical package SPSS (Statistical Package for the Social Sciences) version 23. Data was summarized using mean, standard deviation, median, minimum and maximum in quantitative data and using frequency (count) and relative frequency (percentage) for categorical data.</w:t>
      </w:r>
    </w:p>
    <w:p w:rsidR="00645F69" w:rsidRPr="00645F69" w:rsidRDefault="00645F69" w:rsidP="00645F69">
      <w:pPr>
        <w:snapToGrid w:val="0"/>
        <w:jc w:val="both"/>
        <w:rPr>
          <w:b/>
          <w:sz w:val="20"/>
          <w:szCs w:val="20"/>
        </w:rPr>
      </w:pPr>
    </w:p>
    <w:p w:rsidR="00645F69" w:rsidRPr="00645F69" w:rsidRDefault="00645F69" w:rsidP="00645F69">
      <w:pPr>
        <w:snapToGrid w:val="0"/>
        <w:jc w:val="both"/>
        <w:rPr>
          <w:b/>
          <w:sz w:val="20"/>
          <w:szCs w:val="20"/>
        </w:rPr>
      </w:pPr>
      <w:r w:rsidRPr="00645F69">
        <w:rPr>
          <w:b/>
          <w:sz w:val="20"/>
          <w:szCs w:val="20"/>
        </w:rPr>
        <w:t>3. Results</w:t>
      </w:r>
    </w:p>
    <w:p w:rsidR="00645F69" w:rsidRDefault="00645F69" w:rsidP="00645F69">
      <w:pPr>
        <w:pStyle w:val="BodyText"/>
        <w:snapToGrid w:val="0"/>
        <w:ind w:firstLine="425"/>
        <w:jc w:val="both"/>
        <w:rPr>
          <w:sz w:val="20"/>
          <w:szCs w:val="20"/>
        </w:rPr>
      </w:pPr>
      <w:r w:rsidRPr="00645F69">
        <w:rPr>
          <w:sz w:val="20"/>
          <w:szCs w:val="20"/>
        </w:rPr>
        <w:t>This study was performed in Audiology unit, ENT department, at AL- Hussin university hospital, from April 2016 to October 2016. Forty five females were enrolled in this study. Thirty females (30) using COCP were examined (study group). Fifteen females (15) who hadn’t hearing complaint were also examined and constituted the control group</w:t>
      </w:r>
      <w:r>
        <w:rPr>
          <w:sz w:val="20"/>
          <w:szCs w:val="20"/>
        </w:rPr>
        <w:t>.</w:t>
      </w:r>
    </w:p>
    <w:p w:rsidR="00645F69" w:rsidRDefault="00645F69" w:rsidP="00645F69">
      <w:pPr>
        <w:snapToGrid w:val="0"/>
        <w:jc w:val="both"/>
        <w:rPr>
          <w:rFonts w:eastAsiaTheme="minorEastAsia"/>
          <w:b/>
          <w:sz w:val="20"/>
          <w:szCs w:val="20"/>
          <w:lang w:eastAsia="zh-CN"/>
        </w:rPr>
      </w:pPr>
    </w:p>
    <w:p w:rsidR="00641696" w:rsidRPr="00645F69" w:rsidRDefault="004F24BC" w:rsidP="00645F69">
      <w:pPr>
        <w:snapToGrid w:val="0"/>
        <w:jc w:val="both"/>
        <w:rPr>
          <w:b/>
          <w:sz w:val="20"/>
          <w:szCs w:val="20"/>
        </w:rPr>
      </w:pPr>
      <w:r w:rsidRPr="00645F69">
        <w:rPr>
          <w:b/>
          <w:sz w:val="20"/>
          <w:szCs w:val="20"/>
        </w:rPr>
        <w:t xml:space="preserve">4. </w:t>
      </w:r>
      <w:r w:rsidR="00AE7F37" w:rsidRPr="00645F69">
        <w:rPr>
          <w:b/>
          <w:sz w:val="20"/>
          <w:szCs w:val="20"/>
        </w:rPr>
        <w:t>Discussion</w:t>
      </w:r>
    </w:p>
    <w:p w:rsidR="00641696" w:rsidRPr="00645F69" w:rsidRDefault="00AE7F37" w:rsidP="00645F69">
      <w:pPr>
        <w:pStyle w:val="BodyText"/>
        <w:snapToGrid w:val="0"/>
        <w:ind w:firstLine="425"/>
        <w:jc w:val="both"/>
        <w:rPr>
          <w:sz w:val="20"/>
          <w:szCs w:val="20"/>
        </w:rPr>
      </w:pPr>
      <w:r w:rsidRPr="00645F69">
        <w:rPr>
          <w:sz w:val="20"/>
          <w:szCs w:val="20"/>
        </w:rPr>
        <w:t xml:space="preserve">Combined oral contraceptive pills are currently used by more than 100 million women worldwide </w:t>
      </w:r>
      <w:r w:rsidRPr="00645F69">
        <w:rPr>
          <w:b/>
          <w:sz w:val="20"/>
          <w:szCs w:val="20"/>
        </w:rPr>
        <w:t xml:space="preserve">4. </w:t>
      </w:r>
      <w:r w:rsidRPr="00645F69">
        <w:rPr>
          <w:sz w:val="20"/>
          <w:szCs w:val="20"/>
        </w:rPr>
        <w:t xml:space="preserve">The Pills are used for birth control, they have also been used to treat other medical conditions, such as PCOS, </w:t>
      </w:r>
      <w:hyperlink r:id="rId17">
        <w:r w:rsidRPr="00645F69">
          <w:rPr>
            <w:sz w:val="20"/>
            <w:szCs w:val="20"/>
          </w:rPr>
          <w:t>endometriosis</w:t>
        </w:r>
      </w:hyperlink>
      <w:r w:rsidRPr="00645F69">
        <w:rPr>
          <w:sz w:val="20"/>
          <w:szCs w:val="20"/>
        </w:rPr>
        <w:t xml:space="preserve">, </w:t>
      </w:r>
      <w:hyperlink r:id="rId18">
        <w:r w:rsidRPr="00645F69">
          <w:rPr>
            <w:sz w:val="20"/>
            <w:szCs w:val="20"/>
          </w:rPr>
          <w:t>amenorrhea</w:t>
        </w:r>
      </w:hyperlink>
      <w:r w:rsidRPr="00645F69">
        <w:rPr>
          <w:sz w:val="20"/>
          <w:szCs w:val="20"/>
        </w:rPr>
        <w:t xml:space="preserve">, menstrual cramps, </w:t>
      </w:r>
      <w:hyperlink r:id="rId19">
        <w:r w:rsidRPr="00645F69">
          <w:rPr>
            <w:sz w:val="20"/>
            <w:szCs w:val="20"/>
          </w:rPr>
          <w:t>adenomyosis</w:t>
        </w:r>
      </w:hyperlink>
      <w:r w:rsidRPr="00645F69">
        <w:rPr>
          <w:sz w:val="20"/>
          <w:szCs w:val="20"/>
        </w:rPr>
        <w:t xml:space="preserve">, menorrhagia (excessive menstrual bleeding), menstruation related anemia and </w:t>
      </w:r>
      <w:hyperlink r:id="rId20">
        <w:r w:rsidRPr="00645F69">
          <w:rPr>
            <w:sz w:val="20"/>
            <w:szCs w:val="20"/>
          </w:rPr>
          <w:t>dysmenorrhea</w:t>
        </w:r>
      </w:hyperlink>
      <w:r w:rsidR="00A22695">
        <w:rPr>
          <w:rFonts w:eastAsiaTheme="minorEastAsia" w:hint="eastAsia"/>
          <w:lang w:eastAsia="zh-CN"/>
        </w:rPr>
        <w:t xml:space="preserve"> </w:t>
      </w:r>
      <w:r w:rsidRPr="00645F69">
        <w:rPr>
          <w:b/>
          <w:sz w:val="20"/>
          <w:szCs w:val="20"/>
        </w:rPr>
        <w:t xml:space="preserve">12. </w:t>
      </w:r>
      <w:r w:rsidRPr="00645F69">
        <w:rPr>
          <w:sz w:val="20"/>
          <w:szCs w:val="20"/>
        </w:rPr>
        <w:t xml:space="preserve">Our current study was designed to evaluate the hearing profiles of females who are taking COCP. Forty five females participated in this study, and their age range was 20-40 years. The study group consisted of 30 females. The basic audiological evaluations remained the keystone of the audiological diagnosis to define the degree, type and configuration </w:t>
      </w:r>
      <w:r w:rsidRPr="00645F69">
        <w:rPr>
          <w:sz w:val="20"/>
          <w:szCs w:val="20"/>
        </w:rPr>
        <w:lastRenderedPageBreak/>
        <w:t xml:space="preserve">of hearing loss </w:t>
      </w:r>
      <w:r w:rsidRPr="00645F69">
        <w:rPr>
          <w:b/>
          <w:sz w:val="20"/>
          <w:szCs w:val="20"/>
        </w:rPr>
        <w:t xml:space="preserve">13. </w:t>
      </w:r>
      <w:r w:rsidRPr="00645F69">
        <w:rPr>
          <w:sz w:val="20"/>
          <w:szCs w:val="20"/>
        </w:rPr>
        <w:t>In this study, twenty percent (6 females) of 30 females had bilateral SNHL that ranged from mild to moderate hearing loss and it affected all frequencies, with the high frequencies being the most affected, resulting</w:t>
      </w:r>
      <w:r w:rsidR="00645F69">
        <w:rPr>
          <w:sz w:val="20"/>
          <w:szCs w:val="20"/>
        </w:rPr>
        <w:t xml:space="preserve"> </w:t>
      </w:r>
      <w:r w:rsidRPr="00645F69">
        <w:rPr>
          <w:sz w:val="20"/>
          <w:szCs w:val="20"/>
        </w:rPr>
        <w:t>in</w:t>
      </w:r>
      <w:r w:rsidR="00645F69">
        <w:rPr>
          <w:sz w:val="20"/>
          <w:szCs w:val="20"/>
        </w:rPr>
        <w:t xml:space="preserve"> </w:t>
      </w:r>
      <w:r w:rsidRPr="00645F69">
        <w:rPr>
          <w:sz w:val="20"/>
          <w:szCs w:val="20"/>
        </w:rPr>
        <w:t>a</w:t>
      </w:r>
      <w:r w:rsidR="00645F69">
        <w:rPr>
          <w:sz w:val="20"/>
          <w:szCs w:val="20"/>
        </w:rPr>
        <w:t xml:space="preserve"> </w:t>
      </w:r>
      <w:r w:rsidRPr="00645F69">
        <w:rPr>
          <w:sz w:val="20"/>
          <w:szCs w:val="20"/>
        </w:rPr>
        <w:t>down</w:t>
      </w:r>
      <w:r w:rsidR="00645F69">
        <w:rPr>
          <w:sz w:val="20"/>
          <w:szCs w:val="20"/>
        </w:rPr>
        <w:t xml:space="preserve"> </w:t>
      </w:r>
      <w:r w:rsidRPr="00645F69">
        <w:rPr>
          <w:sz w:val="20"/>
          <w:szCs w:val="20"/>
        </w:rPr>
        <w:t>sloping</w:t>
      </w:r>
      <w:r w:rsidR="00645F69">
        <w:rPr>
          <w:sz w:val="20"/>
          <w:szCs w:val="20"/>
        </w:rPr>
        <w:t xml:space="preserve"> </w:t>
      </w:r>
      <w:r w:rsidRPr="00645F69">
        <w:rPr>
          <w:sz w:val="20"/>
          <w:szCs w:val="20"/>
        </w:rPr>
        <w:t>audiometric</w:t>
      </w:r>
      <w:r w:rsidR="00645F69">
        <w:rPr>
          <w:sz w:val="20"/>
          <w:szCs w:val="20"/>
        </w:rPr>
        <w:t xml:space="preserve"> </w:t>
      </w:r>
      <w:r w:rsidRPr="00645F69">
        <w:rPr>
          <w:sz w:val="20"/>
          <w:szCs w:val="20"/>
        </w:rPr>
        <w:t>configuration.</w:t>
      </w:r>
      <w:r w:rsidR="00645F69">
        <w:rPr>
          <w:sz w:val="20"/>
          <w:szCs w:val="20"/>
        </w:rPr>
        <w:t xml:space="preserve"> </w:t>
      </w:r>
      <w:r w:rsidRPr="00645F69">
        <w:rPr>
          <w:sz w:val="20"/>
          <w:szCs w:val="20"/>
        </w:rPr>
        <w:t>Seven</w:t>
      </w:r>
      <w:r w:rsidR="00645F69">
        <w:rPr>
          <w:sz w:val="20"/>
          <w:szCs w:val="20"/>
        </w:rPr>
        <w:t xml:space="preserve"> </w:t>
      </w:r>
      <w:r w:rsidRPr="00645F69">
        <w:rPr>
          <w:sz w:val="20"/>
          <w:szCs w:val="20"/>
        </w:rPr>
        <w:t>percent</w:t>
      </w:r>
      <w:r w:rsidR="00A22695">
        <w:rPr>
          <w:rFonts w:eastAsiaTheme="minorEastAsia" w:hint="eastAsia"/>
          <w:sz w:val="20"/>
          <w:szCs w:val="20"/>
          <w:lang w:eastAsia="zh-CN"/>
        </w:rPr>
        <w:t xml:space="preserve"> </w:t>
      </w:r>
      <w:r w:rsidRPr="00645F69">
        <w:rPr>
          <w:sz w:val="20"/>
          <w:szCs w:val="20"/>
        </w:rPr>
        <w:t>(2</w:t>
      </w:r>
      <w:r w:rsidR="00A22695">
        <w:rPr>
          <w:rFonts w:eastAsiaTheme="minorEastAsia" w:hint="eastAsia"/>
          <w:sz w:val="20"/>
          <w:szCs w:val="20"/>
          <w:lang w:eastAsia="zh-CN"/>
        </w:rPr>
        <w:t xml:space="preserve"> </w:t>
      </w:r>
      <w:r w:rsidRPr="00645F69">
        <w:rPr>
          <w:sz w:val="20"/>
          <w:szCs w:val="20"/>
        </w:rPr>
        <w:t xml:space="preserve">females) had bilateral conductive hearing loss. Seventy three percent (22 females) had normal hearing sensitivity. Twenty percent (6 females) was complaining of tinnitus. Some researchers have proposed that women with hormonal changes may experience alterations in auditory functions, such as in menopause woman, woman with hormonal contraceptive, or even during the ovarian cycle. Previous studies suggested that even the physiological fluctuation in reproductive hormones (estrogen and progesterone) during the ovarian cycle may influence auditory function </w:t>
      </w:r>
      <w:r w:rsidRPr="00645F69">
        <w:rPr>
          <w:b/>
          <w:sz w:val="20"/>
          <w:szCs w:val="20"/>
        </w:rPr>
        <w:t xml:space="preserve">14. </w:t>
      </w:r>
      <w:r w:rsidRPr="00645F69">
        <w:rPr>
          <w:sz w:val="20"/>
          <w:szCs w:val="20"/>
        </w:rPr>
        <w:t>Also, a lot of studies have shown that pills that contain estrogen and progesterone can alter hearing threshol</w:t>
      </w:r>
      <w:r w:rsidR="004F24BC" w:rsidRPr="00645F69">
        <w:rPr>
          <w:sz w:val="20"/>
          <w:szCs w:val="20"/>
        </w:rPr>
        <w:t xml:space="preserve">ds causing gradual hearing loss </w:t>
      </w:r>
      <w:r w:rsidRPr="00645F69">
        <w:rPr>
          <w:b/>
          <w:sz w:val="20"/>
          <w:szCs w:val="20"/>
        </w:rPr>
        <w:t xml:space="preserve">15. </w:t>
      </w:r>
      <w:r w:rsidRPr="00645F69">
        <w:rPr>
          <w:sz w:val="20"/>
          <w:szCs w:val="20"/>
        </w:rPr>
        <w:t>One report claimed that the</w:t>
      </w:r>
      <w:r w:rsidR="00645F69">
        <w:rPr>
          <w:sz w:val="20"/>
          <w:szCs w:val="20"/>
        </w:rPr>
        <w:t xml:space="preserve"> </w:t>
      </w:r>
      <w:r w:rsidRPr="00645F69">
        <w:rPr>
          <w:sz w:val="20"/>
          <w:szCs w:val="20"/>
        </w:rPr>
        <w:t xml:space="preserve">cause is that contraceptive drugs are potentially ototoxic substances </w:t>
      </w:r>
      <w:r w:rsidRPr="00645F69">
        <w:rPr>
          <w:b/>
          <w:sz w:val="20"/>
          <w:szCs w:val="20"/>
        </w:rPr>
        <w:t xml:space="preserve">16. </w:t>
      </w:r>
      <w:r w:rsidRPr="00645F69">
        <w:rPr>
          <w:sz w:val="20"/>
          <w:szCs w:val="20"/>
        </w:rPr>
        <w:t>Another report claimed the cause of this is that contraceptive drugs may produce changes in sodium and water reabsorption that take place during the ovarian cycle and this may affect the function of the peripheral auditory system, which could in turn affect homeostasis, causing hearing loss</w:t>
      </w:r>
      <w:r w:rsidRPr="00645F69">
        <w:rPr>
          <w:b/>
          <w:sz w:val="20"/>
          <w:szCs w:val="20"/>
        </w:rPr>
        <w:t>17.</w:t>
      </w:r>
    </w:p>
    <w:p w:rsidR="00641696" w:rsidRPr="00645F69" w:rsidRDefault="00AE7F37" w:rsidP="00645F69">
      <w:pPr>
        <w:pStyle w:val="BodyText"/>
        <w:snapToGrid w:val="0"/>
        <w:ind w:firstLine="425"/>
        <w:jc w:val="both"/>
        <w:rPr>
          <w:sz w:val="20"/>
          <w:szCs w:val="20"/>
        </w:rPr>
      </w:pPr>
      <w:r w:rsidRPr="00645F69">
        <w:rPr>
          <w:sz w:val="20"/>
          <w:szCs w:val="20"/>
        </w:rPr>
        <w:t xml:space="preserve">Third Explanation is that estrogen and progesterone affect body response to chemical vasopressor mediators, such as nicotine and phenylephrine. Hence, potentiate the effect of angiotensin II by direct action on cochlear vessel </w:t>
      </w:r>
      <w:r w:rsidRPr="00645F69">
        <w:rPr>
          <w:sz w:val="20"/>
          <w:szCs w:val="20"/>
        </w:rPr>
        <w:lastRenderedPageBreak/>
        <w:t>receptors, leading to vasoconstriction and decreasing cochlear</w:t>
      </w:r>
      <w:r w:rsidR="00645F69">
        <w:rPr>
          <w:sz w:val="20"/>
          <w:szCs w:val="20"/>
        </w:rPr>
        <w:t xml:space="preserve"> </w:t>
      </w:r>
      <w:r w:rsidRPr="00645F69">
        <w:rPr>
          <w:sz w:val="20"/>
          <w:szCs w:val="20"/>
        </w:rPr>
        <w:t>blood</w:t>
      </w:r>
      <w:r w:rsidR="00645F69">
        <w:rPr>
          <w:sz w:val="20"/>
          <w:szCs w:val="20"/>
        </w:rPr>
        <w:t xml:space="preserve"> </w:t>
      </w:r>
      <w:r w:rsidRPr="00645F69">
        <w:rPr>
          <w:sz w:val="20"/>
          <w:szCs w:val="20"/>
        </w:rPr>
        <w:t>flow</w:t>
      </w:r>
      <w:r w:rsidRPr="00645F69">
        <w:rPr>
          <w:b/>
          <w:sz w:val="20"/>
          <w:szCs w:val="20"/>
        </w:rPr>
        <w:t xml:space="preserve">18. </w:t>
      </w:r>
      <w:r w:rsidRPr="00645F69">
        <w:rPr>
          <w:sz w:val="20"/>
          <w:szCs w:val="20"/>
        </w:rPr>
        <w:t>On the other hand, some studies suggested a protective effect of</w:t>
      </w:r>
      <w:r w:rsidR="00645F69">
        <w:rPr>
          <w:sz w:val="20"/>
          <w:szCs w:val="20"/>
        </w:rPr>
        <w:t xml:space="preserve"> </w:t>
      </w:r>
      <w:r w:rsidRPr="00645F69">
        <w:rPr>
          <w:sz w:val="20"/>
          <w:szCs w:val="20"/>
        </w:rPr>
        <w:t xml:space="preserve">estrogen. </w:t>
      </w:r>
      <w:r w:rsidRPr="00645F69">
        <w:rPr>
          <w:b/>
          <w:sz w:val="20"/>
          <w:szCs w:val="20"/>
        </w:rPr>
        <w:t xml:space="preserve">Mitre et al., </w:t>
      </w:r>
      <w:r w:rsidRPr="00645F69">
        <w:rPr>
          <w:sz w:val="20"/>
          <w:szCs w:val="20"/>
        </w:rPr>
        <w:t>concluded that hearing loss does not seem to be</w:t>
      </w:r>
      <w:r w:rsidR="00645F69">
        <w:rPr>
          <w:sz w:val="20"/>
          <w:szCs w:val="20"/>
        </w:rPr>
        <w:t xml:space="preserve"> </w:t>
      </w:r>
      <w:r w:rsidRPr="00645F69">
        <w:rPr>
          <w:sz w:val="20"/>
          <w:szCs w:val="20"/>
        </w:rPr>
        <w:t xml:space="preserve">related to the use of oral hormonal contraceptives, since both the study and the control groups did not show alterations in their audiometric tests. Their study was carried out by taking history, audiometry examination for 30 women who used the oral hormonal contraceptive pills. In the study group, 100% of the sample (30 women) did not complain of hearing loss </w:t>
      </w:r>
      <w:r w:rsidRPr="00645F69">
        <w:rPr>
          <w:b/>
          <w:sz w:val="20"/>
          <w:szCs w:val="20"/>
        </w:rPr>
        <w:t>19</w:t>
      </w:r>
      <w:r w:rsidRPr="00645F69">
        <w:rPr>
          <w:sz w:val="20"/>
          <w:szCs w:val="20"/>
        </w:rPr>
        <w:t>. In addition,</w:t>
      </w:r>
      <w:r w:rsidR="00A22695">
        <w:rPr>
          <w:rFonts w:eastAsiaTheme="minorEastAsia" w:hint="eastAsia"/>
          <w:sz w:val="20"/>
          <w:szCs w:val="20"/>
          <w:lang w:eastAsia="zh-CN"/>
        </w:rPr>
        <w:t xml:space="preserve"> </w:t>
      </w:r>
      <w:r w:rsidRPr="00645F69">
        <w:rPr>
          <w:sz w:val="20"/>
          <w:szCs w:val="20"/>
        </w:rPr>
        <w:t>100%</w:t>
      </w:r>
      <w:r w:rsidR="00A22695">
        <w:rPr>
          <w:rFonts w:eastAsiaTheme="minorEastAsia" w:hint="eastAsia"/>
          <w:sz w:val="20"/>
          <w:szCs w:val="20"/>
          <w:lang w:eastAsia="zh-CN"/>
        </w:rPr>
        <w:t xml:space="preserve"> </w:t>
      </w:r>
      <w:r w:rsidRPr="00645F69">
        <w:rPr>
          <w:sz w:val="20"/>
          <w:szCs w:val="20"/>
        </w:rPr>
        <w:t>of</w:t>
      </w:r>
      <w:r w:rsidR="00A22695">
        <w:rPr>
          <w:rFonts w:eastAsiaTheme="minorEastAsia" w:hint="eastAsia"/>
          <w:sz w:val="20"/>
          <w:szCs w:val="20"/>
          <w:lang w:eastAsia="zh-CN"/>
        </w:rPr>
        <w:t xml:space="preserve"> </w:t>
      </w:r>
      <w:r w:rsidRPr="00645F69">
        <w:rPr>
          <w:sz w:val="20"/>
          <w:szCs w:val="20"/>
        </w:rPr>
        <w:t>the</w:t>
      </w:r>
      <w:r w:rsidR="00A22695">
        <w:rPr>
          <w:rFonts w:eastAsiaTheme="minorEastAsia" w:hint="eastAsia"/>
          <w:sz w:val="20"/>
          <w:szCs w:val="20"/>
          <w:lang w:eastAsia="zh-CN"/>
        </w:rPr>
        <w:t xml:space="preserve"> </w:t>
      </w:r>
      <w:r w:rsidRPr="00645F69">
        <w:rPr>
          <w:sz w:val="20"/>
          <w:szCs w:val="20"/>
        </w:rPr>
        <w:t>sample</w:t>
      </w:r>
      <w:r w:rsidR="00A22695">
        <w:rPr>
          <w:rFonts w:eastAsiaTheme="minorEastAsia" w:hint="eastAsia"/>
          <w:sz w:val="20"/>
          <w:szCs w:val="20"/>
          <w:lang w:eastAsia="zh-CN"/>
        </w:rPr>
        <w:t xml:space="preserve"> </w:t>
      </w:r>
      <w:r w:rsidRPr="00645F69">
        <w:rPr>
          <w:sz w:val="20"/>
          <w:szCs w:val="20"/>
        </w:rPr>
        <w:t>(30</w:t>
      </w:r>
      <w:r w:rsidR="00A22695">
        <w:rPr>
          <w:rFonts w:eastAsiaTheme="minorEastAsia" w:hint="eastAsia"/>
          <w:sz w:val="20"/>
          <w:szCs w:val="20"/>
          <w:lang w:eastAsia="zh-CN"/>
        </w:rPr>
        <w:t xml:space="preserve"> </w:t>
      </w:r>
      <w:r w:rsidRPr="00645F69">
        <w:rPr>
          <w:sz w:val="20"/>
          <w:szCs w:val="20"/>
        </w:rPr>
        <w:t>women)</w:t>
      </w:r>
      <w:r w:rsidR="00A22695">
        <w:rPr>
          <w:rFonts w:eastAsiaTheme="minorEastAsia" w:hint="eastAsia"/>
          <w:sz w:val="20"/>
          <w:szCs w:val="20"/>
          <w:lang w:eastAsia="zh-CN"/>
        </w:rPr>
        <w:t xml:space="preserve"> </w:t>
      </w:r>
      <w:r w:rsidRPr="00645F69">
        <w:rPr>
          <w:sz w:val="20"/>
          <w:szCs w:val="20"/>
        </w:rPr>
        <w:t>had</w:t>
      </w:r>
      <w:r w:rsidR="00A22695">
        <w:rPr>
          <w:rFonts w:eastAsiaTheme="minorEastAsia" w:hint="eastAsia"/>
          <w:sz w:val="20"/>
          <w:szCs w:val="20"/>
          <w:lang w:eastAsia="zh-CN"/>
        </w:rPr>
        <w:t xml:space="preserve"> </w:t>
      </w:r>
      <w:r w:rsidRPr="00645F69">
        <w:rPr>
          <w:sz w:val="20"/>
          <w:szCs w:val="20"/>
        </w:rPr>
        <w:t>audiometric</w:t>
      </w:r>
      <w:r w:rsidR="00A22695">
        <w:rPr>
          <w:rFonts w:eastAsiaTheme="minorEastAsia" w:hint="eastAsia"/>
          <w:sz w:val="20"/>
          <w:szCs w:val="20"/>
          <w:lang w:eastAsia="zh-CN"/>
        </w:rPr>
        <w:t xml:space="preserve"> </w:t>
      </w:r>
      <w:r w:rsidRPr="00645F69">
        <w:rPr>
          <w:sz w:val="20"/>
          <w:szCs w:val="20"/>
        </w:rPr>
        <w:t>test</w:t>
      </w:r>
      <w:r w:rsidR="00A22695">
        <w:rPr>
          <w:rFonts w:eastAsiaTheme="minorEastAsia" w:hint="eastAsia"/>
          <w:sz w:val="20"/>
          <w:szCs w:val="20"/>
          <w:lang w:eastAsia="zh-CN"/>
        </w:rPr>
        <w:t xml:space="preserve"> </w:t>
      </w:r>
      <w:r w:rsidRPr="00645F69">
        <w:rPr>
          <w:sz w:val="20"/>
          <w:szCs w:val="20"/>
        </w:rPr>
        <w:t>within</w:t>
      </w:r>
      <w:r w:rsidR="00A22695">
        <w:rPr>
          <w:rFonts w:eastAsiaTheme="minorEastAsia" w:hint="eastAsia"/>
          <w:sz w:val="20"/>
          <w:szCs w:val="20"/>
          <w:lang w:eastAsia="zh-CN"/>
        </w:rPr>
        <w:t xml:space="preserve"> </w:t>
      </w:r>
      <w:r w:rsidRPr="00645F69">
        <w:rPr>
          <w:sz w:val="20"/>
          <w:szCs w:val="20"/>
        </w:rPr>
        <w:t>the</w:t>
      </w:r>
      <w:r w:rsidR="00A22695">
        <w:rPr>
          <w:rFonts w:eastAsiaTheme="minorEastAsia" w:hint="eastAsia"/>
          <w:sz w:val="20"/>
          <w:szCs w:val="20"/>
          <w:lang w:eastAsia="zh-CN"/>
        </w:rPr>
        <w:t xml:space="preserve"> </w:t>
      </w:r>
      <w:r w:rsidRPr="00645F69">
        <w:rPr>
          <w:sz w:val="20"/>
          <w:szCs w:val="20"/>
        </w:rPr>
        <w:t xml:space="preserve">normal range. It was explained by that current contraceptive pills are mainly made up of low doses of estrogen and progesterone, thus reducing the occurrence of side effects. About third of the cases complained of tinnitus; 73.3% (22 women) complained of dizziness; 76.7% (23 women) reported sporadic headaches and 23.3% (7 women) complained of insomnia. The occurrence of tinnitus in the risk group was significant which was in agreement with this study, so tinnitus should be regarded as a warning signal that might require discontinuation of therapy </w:t>
      </w:r>
      <w:r w:rsidRPr="00645F69">
        <w:rPr>
          <w:b/>
          <w:sz w:val="20"/>
          <w:szCs w:val="20"/>
        </w:rPr>
        <w:t xml:space="preserve">20. </w:t>
      </w:r>
      <w:r w:rsidRPr="00645F69">
        <w:rPr>
          <w:sz w:val="20"/>
          <w:szCs w:val="20"/>
        </w:rPr>
        <w:t xml:space="preserve">Results also point that headache and insomnia complaints may not be related to the use of contraceptive medication, because there was no difference between the number of women in the risk group and in the control group who had these symptoms, as well as headache was reported were as sporadic and not as chronic-recurrent (migraine). In some scientific findings, migraines are closely related to the use of hormones. Also, the duration of using pills in this study was at least 6 months duration, we concluded that no relation between the duration of using the pills and appearance of hearing loss. </w:t>
      </w:r>
      <w:r w:rsidRPr="00645F69">
        <w:rPr>
          <w:b/>
          <w:sz w:val="20"/>
          <w:szCs w:val="20"/>
        </w:rPr>
        <w:t>Mitre et al.</w:t>
      </w:r>
      <w:r w:rsidR="00645F69" w:rsidRPr="00645F69">
        <w:rPr>
          <w:b/>
          <w:sz w:val="20"/>
          <w:szCs w:val="20"/>
        </w:rPr>
        <w:t>,</w:t>
      </w:r>
      <w:r w:rsidR="00645F69">
        <w:rPr>
          <w:b/>
          <w:sz w:val="20"/>
          <w:szCs w:val="20"/>
        </w:rPr>
        <w:t xml:space="preserve"> </w:t>
      </w:r>
      <w:r w:rsidR="00645F69" w:rsidRPr="00645F69">
        <w:rPr>
          <w:sz w:val="20"/>
          <w:szCs w:val="20"/>
        </w:rPr>
        <w:t>m</w:t>
      </w:r>
      <w:r w:rsidRPr="00645F69">
        <w:rPr>
          <w:sz w:val="20"/>
          <w:szCs w:val="20"/>
        </w:rPr>
        <w:t>ade their study with duration of using the pills 6 months duration at least and concluded no relation between the duration of use and hearing loss which was in agreement with this study</w:t>
      </w:r>
      <w:r w:rsidRPr="00645F69">
        <w:rPr>
          <w:b/>
          <w:sz w:val="20"/>
          <w:szCs w:val="20"/>
        </w:rPr>
        <w:t>19</w:t>
      </w:r>
      <w:r w:rsidRPr="00645F69">
        <w:rPr>
          <w:sz w:val="20"/>
          <w:szCs w:val="20"/>
        </w:rPr>
        <w:t>. Two cases were diagnosed as bilateral moderate conductive hearing loss with flat configuration in this study. The two cases was complaining of bilateral hearing loss and tinnitus not before using the pills, both had family history of hearing loss, one case complained of hearing loss after second pregnancy and the other case after third one. Both had intact tympanic membrane with absent acoustic reflex at 500Hz to 4000 Hz. One of them used COCP 1 year duration and the other 9 months duration, none of them was complaining of vertigo or ear discharge the most probable diagnosis was clinical otosclerosis. Clinical otosclerosisisa familial disease which is more frequent among women in</w:t>
      </w:r>
      <w:r w:rsidR="00645F69">
        <w:rPr>
          <w:sz w:val="20"/>
          <w:szCs w:val="20"/>
        </w:rPr>
        <w:t xml:space="preserve"> </w:t>
      </w:r>
      <w:r w:rsidRPr="00645F69">
        <w:rPr>
          <w:sz w:val="20"/>
          <w:szCs w:val="20"/>
        </w:rPr>
        <w:t xml:space="preserve">their reproductive years. The condition usually is aggravated by pregnancy. Endocrinologic variables may influence the time of onset and the course of the </w:t>
      </w:r>
      <w:r w:rsidRPr="00645F69">
        <w:rPr>
          <w:sz w:val="20"/>
          <w:szCs w:val="20"/>
        </w:rPr>
        <w:lastRenderedPageBreak/>
        <w:t xml:space="preserve">disease </w:t>
      </w:r>
      <w:r w:rsidRPr="00645F69">
        <w:rPr>
          <w:b/>
          <w:sz w:val="20"/>
          <w:szCs w:val="20"/>
        </w:rPr>
        <w:t xml:space="preserve">21. </w:t>
      </w:r>
      <w:r w:rsidRPr="00645F69">
        <w:rPr>
          <w:sz w:val="20"/>
          <w:szCs w:val="20"/>
        </w:rPr>
        <w:t>It is suspected that oral contraceptives might stimulate the onset of the disease. Six hundred nulliparous women between the ages of 16 and 30, who used a variety of oral contraceptive pills for 12–36 months, were examined. The hearing of these women was thoroughly investigated. The first audiometric examination of the 600 women revealed three cases (0.5%) of clinical otosclerosis and this was in agreement with this study. It seems that COCP act as a triggering factor in a genetically susceptible female</w:t>
      </w:r>
      <w:r w:rsidR="00645F69" w:rsidRPr="00645F69">
        <w:rPr>
          <w:sz w:val="20"/>
          <w:szCs w:val="20"/>
        </w:rPr>
        <w:t>.</w:t>
      </w:r>
      <w:r w:rsidR="00645F69">
        <w:rPr>
          <w:sz w:val="20"/>
          <w:szCs w:val="20"/>
        </w:rPr>
        <w:t xml:space="preserve"> </w:t>
      </w:r>
      <w:r w:rsidR="00645F69" w:rsidRPr="00645F69">
        <w:rPr>
          <w:sz w:val="20"/>
          <w:szCs w:val="20"/>
        </w:rPr>
        <w:t>A</w:t>
      </w:r>
      <w:r w:rsidRPr="00645F69">
        <w:rPr>
          <w:sz w:val="20"/>
          <w:szCs w:val="20"/>
        </w:rPr>
        <w:t>lso</w:t>
      </w:r>
      <w:r w:rsidR="00645F69" w:rsidRPr="00645F69">
        <w:rPr>
          <w:sz w:val="20"/>
          <w:szCs w:val="20"/>
        </w:rPr>
        <w:t>,</w:t>
      </w:r>
      <w:r w:rsidR="00645F69">
        <w:rPr>
          <w:sz w:val="20"/>
          <w:szCs w:val="20"/>
        </w:rPr>
        <w:t xml:space="preserve"> </w:t>
      </w:r>
      <w:r w:rsidR="00645F69" w:rsidRPr="00645F69">
        <w:rPr>
          <w:sz w:val="20"/>
          <w:szCs w:val="20"/>
        </w:rPr>
        <w:t>h</w:t>
      </w:r>
      <w:r w:rsidRPr="00645F69">
        <w:rPr>
          <w:sz w:val="20"/>
          <w:szCs w:val="20"/>
        </w:rPr>
        <w:t>yperprolactinemia</w:t>
      </w:r>
      <w:r w:rsidR="000C3A44">
        <w:rPr>
          <w:rFonts w:eastAsiaTheme="minorEastAsia" w:hint="eastAsia"/>
          <w:sz w:val="20"/>
          <w:szCs w:val="20"/>
          <w:lang w:eastAsia="zh-CN"/>
        </w:rPr>
        <w:t xml:space="preserve"> </w:t>
      </w:r>
      <w:r w:rsidRPr="00645F69">
        <w:rPr>
          <w:sz w:val="20"/>
          <w:szCs w:val="20"/>
        </w:rPr>
        <w:t>could</w:t>
      </w:r>
      <w:r w:rsidR="000C3A44">
        <w:rPr>
          <w:rFonts w:eastAsiaTheme="minorEastAsia" w:hint="eastAsia"/>
          <w:sz w:val="20"/>
          <w:szCs w:val="20"/>
          <w:lang w:eastAsia="zh-CN"/>
        </w:rPr>
        <w:t xml:space="preserve"> </w:t>
      </w:r>
      <w:r w:rsidRPr="00645F69">
        <w:rPr>
          <w:sz w:val="20"/>
          <w:szCs w:val="20"/>
        </w:rPr>
        <w:t>oppose</w:t>
      </w:r>
      <w:r w:rsidR="000C3A44">
        <w:rPr>
          <w:rFonts w:eastAsiaTheme="minorEastAsia" w:hint="eastAsia"/>
          <w:sz w:val="20"/>
          <w:szCs w:val="20"/>
          <w:lang w:eastAsia="zh-CN"/>
        </w:rPr>
        <w:t xml:space="preserve"> </w:t>
      </w:r>
      <w:r w:rsidRPr="00645F69">
        <w:rPr>
          <w:sz w:val="20"/>
          <w:szCs w:val="20"/>
        </w:rPr>
        <w:t>estrogen</w:t>
      </w:r>
      <w:r w:rsidR="000C3A44">
        <w:rPr>
          <w:rFonts w:eastAsiaTheme="minorEastAsia" w:hint="eastAsia"/>
          <w:sz w:val="20"/>
          <w:szCs w:val="20"/>
          <w:lang w:eastAsia="zh-CN"/>
        </w:rPr>
        <w:t xml:space="preserve"> </w:t>
      </w:r>
      <w:r w:rsidRPr="00645F69">
        <w:rPr>
          <w:sz w:val="20"/>
          <w:szCs w:val="20"/>
        </w:rPr>
        <w:t>protection</w:t>
      </w:r>
      <w:r w:rsidR="000C3A44">
        <w:rPr>
          <w:rFonts w:eastAsiaTheme="minorEastAsia" w:hint="eastAsia"/>
          <w:sz w:val="20"/>
          <w:szCs w:val="20"/>
          <w:lang w:eastAsia="zh-CN"/>
        </w:rPr>
        <w:t xml:space="preserve"> </w:t>
      </w:r>
      <w:r w:rsidRPr="00645F69">
        <w:rPr>
          <w:sz w:val="20"/>
          <w:szCs w:val="20"/>
        </w:rPr>
        <w:t>effect</w:t>
      </w:r>
      <w:r w:rsidR="000C3A44">
        <w:rPr>
          <w:rFonts w:eastAsiaTheme="minorEastAsia" w:hint="eastAsia"/>
          <w:sz w:val="20"/>
          <w:szCs w:val="20"/>
          <w:lang w:eastAsia="zh-CN"/>
        </w:rPr>
        <w:t xml:space="preserve"> </w:t>
      </w:r>
      <w:r w:rsidR="008739CE" w:rsidRPr="00645F69">
        <w:rPr>
          <w:b/>
          <w:bCs/>
          <w:sz w:val="20"/>
          <w:szCs w:val="20"/>
        </w:rPr>
        <w:t>22</w:t>
      </w:r>
      <w:r w:rsidR="008739CE" w:rsidRPr="00645F69">
        <w:rPr>
          <w:sz w:val="20"/>
          <w:szCs w:val="20"/>
        </w:rPr>
        <w:t xml:space="preserve">. </w:t>
      </w:r>
      <w:r w:rsidRPr="00645F69">
        <w:rPr>
          <w:sz w:val="20"/>
          <w:szCs w:val="20"/>
        </w:rPr>
        <w:t xml:space="preserve">In this study, DPOAEs were done as rapid, objective and non-invasive audiological procedures to study the cochlear function (outer hair cell function). Since distortion product otoacoustic emissions provide frequency- specific information based on discrete frequency stimuli, they often compared to audiometric configurations. In individuals with sensorineural hearing loss, distortion product otoacoustic emissions are often eliminated only for the stimulus frequency regions that coincide with the impaired region </w:t>
      </w:r>
      <w:r w:rsidRPr="00645F69">
        <w:rPr>
          <w:b/>
          <w:sz w:val="20"/>
          <w:szCs w:val="20"/>
        </w:rPr>
        <w:t xml:space="preserve">23. </w:t>
      </w:r>
      <w:r w:rsidRPr="00645F69">
        <w:rPr>
          <w:sz w:val="20"/>
          <w:szCs w:val="20"/>
        </w:rPr>
        <w:t xml:space="preserve">The response amplitudes were the same in the study group when compared with the DPOAE amplitude recorded from the control group except at 4000 Hz. </w:t>
      </w:r>
      <w:r w:rsidRPr="00645F69">
        <w:rPr>
          <w:b/>
          <w:sz w:val="20"/>
          <w:szCs w:val="20"/>
        </w:rPr>
        <w:t>Yellin</w:t>
      </w:r>
      <w:r w:rsidR="00645F69">
        <w:rPr>
          <w:b/>
          <w:sz w:val="20"/>
          <w:szCs w:val="20"/>
        </w:rPr>
        <w:t xml:space="preserve"> </w:t>
      </w:r>
      <w:r w:rsidR="00CC5C4A" w:rsidRPr="00645F69">
        <w:rPr>
          <w:b/>
          <w:sz w:val="20"/>
          <w:szCs w:val="20"/>
        </w:rPr>
        <w:t>&amp;</w:t>
      </w:r>
      <w:r w:rsidR="00645F69">
        <w:rPr>
          <w:b/>
          <w:sz w:val="20"/>
          <w:szCs w:val="20"/>
        </w:rPr>
        <w:t xml:space="preserve"> </w:t>
      </w:r>
      <w:r w:rsidRPr="00645F69">
        <w:rPr>
          <w:b/>
          <w:sz w:val="20"/>
          <w:szCs w:val="20"/>
        </w:rPr>
        <w:t>Stillman</w:t>
      </w:r>
      <w:r w:rsidR="00601DEE" w:rsidRPr="00645F69">
        <w:rPr>
          <w:sz w:val="20"/>
          <w:szCs w:val="20"/>
        </w:rPr>
        <w:t xml:space="preserve"> </w:t>
      </w:r>
      <w:r w:rsidRPr="00645F69">
        <w:rPr>
          <w:sz w:val="20"/>
          <w:szCs w:val="20"/>
        </w:rPr>
        <w:t xml:space="preserve">examined thirteen healthy females </w:t>
      </w:r>
      <w:r w:rsidRPr="00645F69">
        <w:rPr>
          <w:b/>
          <w:sz w:val="20"/>
          <w:szCs w:val="20"/>
        </w:rPr>
        <w:t>24</w:t>
      </w:r>
      <w:r w:rsidRPr="00645F69">
        <w:rPr>
          <w:sz w:val="20"/>
          <w:szCs w:val="20"/>
        </w:rPr>
        <w:t>. They ranged in age from 25 to 49 years. Hearing thresholds were screened at 15 dB HL between 500 and 4000 Hz and demonstrated sensitivity within normal limits for all subjects. Results confirm that DPOAE amplitudes are stable. Over the course of the study, DPOAE amplitudes showed no systematic changes, suggesting that OAEs are unaffected by hormonal changes</w:t>
      </w:r>
      <w:r w:rsidR="000C3A44">
        <w:rPr>
          <w:rFonts w:eastAsiaTheme="minorEastAsia" w:hint="eastAsia"/>
          <w:sz w:val="20"/>
          <w:szCs w:val="20"/>
          <w:lang w:eastAsia="zh-CN"/>
        </w:rPr>
        <w:t xml:space="preserve"> </w:t>
      </w:r>
      <w:r w:rsidRPr="00645F69">
        <w:rPr>
          <w:sz w:val="20"/>
          <w:szCs w:val="20"/>
        </w:rPr>
        <w:t>known</w:t>
      </w:r>
      <w:r w:rsidR="000C3A44">
        <w:rPr>
          <w:rFonts w:eastAsiaTheme="minorEastAsia" w:hint="eastAsia"/>
          <w:sz w:val="20"/>
          <w:szCs w:val="20"/>
          <w:lang w:eastAsia="zh-CN"/>
        </w:rPr>
        <w:t xml:space="preserve"> </w:t>
      </w:r>
      <w:r w:rsidRPr="00645F69">
        <w:rPr>
          <w:sz w:val="20"/>
          <w:szCs w:val="20"/>
        </w:rPr>
        <w:t>to</w:t>
      </w:r>
      <w:r w:rsidR="000C3A44">
        <w:rPr>
          <w:rFonts w:eastAsiaTheme="minorEastAsia" w:hint="eastAsia"/>
          <w:sz w:val="20"/>
          <w:szCs w:val="20"/>
          <w:lang w:eastAsia="zh-CN"/>
        </w:rPr>
        <w:t xml:space="preserve"> </w:t>
      </w:r>
      <w:r w:rsidRPr="00645F69">
        <w:rPr>
          <w:sz w:val="20"/>
          <w:szCs w:val="20"/>
        </w:rPr>
        <w:t>affect</w:t>
      </w:r>
      <w:r w:rsidR="000C3A44">
        <w:rPr>
          <w:rFonts w:eastAsiaTheme="minorEastAsia" w:hint="eastAsia"/>
          <w:sz w:val="20"/>
          <w:szCs w:val="20"/>
          <w:lang w:eastAsia="zh-CN"/>
        </w:rPr>
        <w:t xml:space="preserve"> </w:t>
      </w:r>
      <w:r w:rsidRPr="00645F69">
        <w:rPr>
          <w:sz w:val="20"/>
          <w:szCs w:val="20"/>
        </w:rPr>
        <w:t>auditory</w:t>
      </w:r>
      <w:r w:rsidR="000C3A44">
        <w:rPr>
          <w:rFonts w:eastAsiaTheme="minorEastAsia" w:hint="eastAsia"/>
          <w:sz w:val="20"/>
          <w:szCs w:val="20"/>
          <w:lang w:eastAsia="zh-CN"/>
        </w:rPr>
        <w:t xml:space="preserve"> </w:t>
      </w:r>
      <w:r w:rsidRPr="00645F69">
        <w:rPr>
          <w:sz w:val="20"/>
          <w:szCs w:val="20"/>
        </w:rPr>
        <w:t>measures</w:t>
      </w:r>
      <w:r w:rsidR="000C3A44">
        <w:rPr>
          <w:rFonts w:eastAsiaTheme="minorEastAsia" w:hint="eastAsia"/>
          <w:sz w:val="20"/>
          <w:szCs w:val="20"/>
          <w:lang w:eastAsia="zh-CN"/>
        </w:rPr>
        <w:t xml:space="preserve"> </w:t>
      </w:r>
      <w:r w:rsidRPr="00645F69">
        <w:rPr>
          <w:sz w:val="20"/>
          <w:szCs w:val="20"/>
        </w:rPr>
        <w:t>in</w:t>
      </w:r>
      <w:r w:rsidR="000C3A44">
        <w:rPr>
          <w:rFonts w:eastAsiaTheme="minorEastAsia" w:hint="eastAsia"/>
          <w:sz w:val="20"/>
          <w:szCs w:val="20"/>
          <w:lang w:eastAsia="zh-CN"/>
        </w:rPr>
        <w:t xml:space="preserve"> </w:t>
      </w:r>
      <w:r w:rsidRPr="00645F69">
        <w:rPr>
          <w:sz w:val="20"/>
          <w:szCs w:val="20"/>
        </w:rPr>
        <w:t>females</w:t>
      </w:r>
      <w:r w:rsidR="00645F69" w:rsidRPr="00645F69">
        <w:rPr>
          <w:sz w:val="20"/>
          <w:szCs w:val="20"/>
        </w:rPr>
        <w:t>.</w:t>
      </w:r>
      <w:r w:rsidR="00645F69">
        <w:rPr>
          <w:sz w:val="20"/>
          <w:szCs w:val="20"/>
        </w:rPr>
        <w:t xml:space="preserve"> </w:t>
      </w:r>
      <w:r w:rsidR="00645F69" w:rsidRPr="00645F69">
        <w:rPr>
          <w:sz w:val="20"/>
          <w:szCs w:val="20"/>
        </w:rPr>
        <w:t>I</w:t>
      </w:r>
      <w:r w:rsidRPr="00645F69">
        <w:rPr>
          <w:sz w:val="20"/>
          <w:szCs w:val="20"/>
        </w:rPr>
        <w:t>n</w:t>
      </w:r>
      <w:r w:rsidR="00A22695">
        <w:rPr>
          <w:rFonts w:eastAsiaTheme="minorEastAsia" w:hint="eastAsia"/>
          <w:sz w:val="20"/>
          <w:szCs w:val="20"/>
          <w:lang w:eastAsia="zh-CN"/>
        </w:rPr>
        <w:t xml:space="preserve"> </w:t>
      </w:r>
      <w:r w:rsidRPr="00645F69">
        <w:rPr>
          <w:sz w:val="20"/>
          <w:szCs w:val="20"/>
        </w:rPr>
        <w:t>this</w:t>
      </w:r>
      <w:r w:rsidR="00A22695">
        <w:rPr>
          <w:rFonts w:eastAsiaTheme="minorEastAsia" w:hint="eastAsia"/>
          <w:sz w:val="20"/>
          <w:szCs w:val="20"/>
          <w:lang w:eastAsia="zh-CN"/>
        </w:rPr>
        <w:t xml:space="preserve"> </w:t>
      </w:r>
      <w:r w:rsidRPr="00645F69">
        <w:rPr>
          <w:sz w:val="20"/>
          <w:szCs w:val="20"/>
        </w:rPr>
        <w:t>study</w:t>
      </w:r>
      <w:r w:rsidR="00645F69" w:rsidRPr="00645F69">
        <w:rPr>
          <w:sz w:val="20"/>
          <w:szCs w:val="20"/>
        </w:rPr>
        <w:t>,</w:t>
      </w:r>
      <w:r w:rsidR="00645F69">
        <w:rPr>
          <w:sz w:val="20"/>
          <w:szCs w:val="20"/>
        </w:rPr>
        <w:t xml:space="preserve"> </w:t>
      </w:r>
      <w:r w:rsidR="00645F69" w:rsidRPr="00645F69">
        <w:rPr>
          <w:sz w:val="20"/>
          <w:szCs w:val="20"/>
        </w:rPr>
        <w:t>t</w:t>
      </w:r>
      <w:r w:rsidRPr="00645F69">
        <w:rPr>
          <w:sz w:val="20"/>
          <w:szCs w:val="20"/>
        </w:rPr>
        <w:t>he</w:t>
      </w:r>
      <w:r w:rsidR="00A22695">
        <w:rPr>
          <w:rFonts w:eastAsiaTheme="minorEastAsia" w:hint="eastAsia"/>
          <w:sz w:val="20"/>
          <w:szCs w:val="20"/>
          <w:lang w:eastAsia="zh-CN"/>
        </w:rPr>
        <w:t xml:space="preserve"> </w:t>
      </w:r>
      <w:r w:rsidRPr="00645F69">
        <w:rPr>
          <w:sz w:val="20"/>
          <w:szCs w:val="20"/>
        </w:rPr>
        <w:t>results of ABR measurements showed that 100% had normal latency in the study group compared to the control group. There was no statistically significant difference in the absolute latency of all waves. Also, there was no difference in the inter-peak latencies. Also latency of wave V at high repetition rate which is an indication of retro_cochlear pathway was normal.</w:t>
      </w:r>
    </w:p>
    <w:p w:rsidR="00641696" w:rsidRPr="00645F69" w:rsidRDefault="00641696" w:rsidP="00645F69">
      <w:pPr>
        <w:pStyle w:val="BodyText"/>
        <w:snapToGrid w:val="0"/>
        <w:jc w:val="both"/>
        <w:rPr>
          <w:sz w:val="20"/>
          <w:szCs w:val="20"/>
        </w:rPr>
      </w:pPr>
    </w:p>
    <w:p w:rsidR="00641696" w:rsidRPr="00645F69" w:rsidRDefault="00AE7F37" w:rsidP="00645F69">
      <w:pPr>
        <w:pStyle w:val="Heading1"/>
        <w:snapToGrid w:val="0"/>
        <w:spacing w:before="0"/>
        <w:ind w:left="0"/>
        <w:jc w:val="both"/>
        <w:rPr>
          <w:sz w:val="20"/>
          <w:szCs w:val="20"/>
        </w:rPr>
      </w:pPr>
      <w:r w:rsidRPr="00645F69">
        <w:rPr>
          <w:sz w:val="20"/>
          <w:szCs w:val="20"/>
        </w:rPr>
        <w:t>Conclusion</w:t>
      </w:r>
    </w:p>
    <w:p w:rsidR="00641696" w:rsidRPr="00645F69" w:rsidRDefault="00AE7F37" w:rsidP="00645F69">
      <w:pPr>
        <w:pStyle w:val="Heading2"/>
        <w:snapToGrid w:val="0"/>
        <w:spacing w:before="0"/>
        <w:ind w:left="0" w:right="0"/>
        <w:rPr>
          <w:sz w:val="20"/>
          <w:szCs w:val="20"/>
        </w:rPr>
      </w:pPr>
      <w:r w:rsidRPr="00645F69">
        <w:rPr>
          <w:sz w:val="20"/>
          <w:szCs w:val="20"/>
        </w:rPr>
        <w:t>From the current study, the following can be concluded:</w:t>
      </w:r>
    </w:p>
    <w:p w:rsidR="00641696" w:rsidRPr="00645F69" w:rsidRDefault="00AE7F37" w:rsidP="00645F69">
      <w:pPr>
        <w:pStyle w:val="ListParagraph"/>
        <w:numPr>
          <w:ilvl w:val="1"/>
          <w:numId w:val="3"/>
        </w:numPr>
        <w:snapToGrid w:val="0"/>
        <w:spacing w:before="0"/>
        <w:ind w:left="0" w:right="0" w:firstLine="425"/>
        <w:rPr>
          <w:b/>
          <w:sz w:val="20"/>
          <w:szCs w:val="20"/>
        </w:rPr>
      </w:pPr>
      <w:r w:rsidRPr="00645F69">
        <w:rPr>
          <w:sz w:val="20"/>
          <w:szCs w:val="20"/>
        </w:rPr>
        <w:t>Current COCP are mainly made up of low dose of estrogen and progesterone so they reduce the occurrence of side</w:t>
      </w:r>
      <w:r w:rsidR="00A22695">
        <w:rPr>
          <w:rFonts w:eastAsiaTheme="minorEastAsia" w:hint="eastAsia"/>
          <w:sz w:val="20"/>
          <w:szCs w:val="20"/>
          <w:lang w:eastAsia="zh-CN"/>
        </w:rPr>
        <w:t xml:space="preserve"> </w:t>
      </w:r>
      <w:r w:rsidRPr="00645F69">
        <w:rPr>
          <w:sz w:val="20"/>
          <w:szCs w:val="20"/>
        </w:rPr>
        <w:t>effects</w:t>
      </w:r>
      <w:r w:rsidRPr="00645F69">
        <w:rPr>
          <w:b/>
          <w:sz w:val="20"/>
          <w:szCs w:val="20"/>
        </w:rPr>
        <w:t>.</w:t>
      </w:r>
    </w:p>
    <w:p w:rsidR="00641696" w:rsidRPr="00645F69" w:rsidRDefault="00AE7F37" w:rsidP="00645F69">
      <w:pPr>
        <w:pStyle w:val="ListParagraph"/>
        <w:numPr>
          <w:ilvl w:val="1"/>
          <w:numId w:val="3"/>
        </w:numPr>
        <w:snapToGrid w:val="0"/>
        <w:spacing w:before="0"/>
        <w:ind w:left="0" w:right="0" w:firstLine="425"/>
        <w:rPr>
          <w:sz w:val="20"/>
          <w:szCs w:val="20"/>
        </w:rPr>
      </w:pPr>
      <w:r w:rsidRPr="00645F69">
        <w:rPr>
          <w:sz w:val="20"/>
          <w:szCs w:val="20"/>
        </w:rPr>
        <w:t>COCP might act as a triggering factor in genetically susceptible females for audio-vestibulardys</w:t>
      </w:r>
      <w:r w:rsidR="000C3A44">
        <w:rPr>
          <w:rFonts w:eastAsiaTheme="minorEastAsia" w:hint="eastAsia"/>
          <w:sz w:val="20"/>
          <w:szCs w:val="20"/>
          <w:lang w:eastAsia="zh-CN"/>
        </w:rPr>
        <w:t xml:space="preserve"> </w:t>
      </w:r>
      <w:r w:rsidRPr="00645F69">
        <w:rPr>
          <w:sz w:val="20"/>
          <w:szCs w:val="20"/>
        </w:rPr>
        <w:t>function.</w:t>
      </w:r>
    </w:p>
    <w:p w:rsidR="00641696" w:rsidRPr="00645F69" w:rsidRDefault="00AE7F37" w:rsidP="00645F69">
      <w:pPr>
        <w:pStyle w:val="ListParagraph"/>
        <w:numPr>
          <w:ilvl w:val="1"/>
          <w:numId w:val="3"/>
        </w:numPr>
        <w:snapToGrid w:val="0"/>
        <w:spacing w:before="0"/>
        <w:ind w:left="0" w:right="0" w:firstLine="425"/>
        <w:rPr>
          <w:sz w:val="20"/>
          <w:szCs w:val="20"/>
        </w:rPr>
      </w:pPr>
      <w:r w:rsidRPr="00645F69">
        <w:rPr>
          <w:sz w:val="20"/>
          <w:szCs w:val="20"/>
        </w:rPr>
        <w:t>COCPs have an impact on auditory system in sort of tinnitus</w:t>
      </w:r>
      <w:r w:rsidR="00645F69">
        <w:rPr>
          <w:sz w:val="20"/>
          <w:szCs w:val="20"/>
        </w:rPr>
        <w:t xml:space="preserve"> </w:t>
      </w:r>
      <w:r w:rsidR="00CC5C4A" w:rsidRPr="00645F69">
        <w:rPr>
          <w:sz w:val="20"/>
          <w:szCs w:val="20"/>
        </w:rPr>
        <w:t>&amp;</w:t>
      </w:r>
      <w:r w:rsidR="00645F69">
        <w:rPr>
          <w:sz w:val="20"/>
          <w:szCs w:val="20"/>
        </w:rPr>
        <w:t xml:space="preserve"> </w:t>
      </w:r>
      <w:r w:rsidRPr="00645F69">
        <w:rPr>
          <w:sz w:val="20"/>
          <w:szCs w:val="20"/>
        </w:rPr>
        <w:t>hearingloss.</w:t>
      </w:r>
    </w:p>
    <w:p w:rsidR="00641696" w:rsidRPr="00645F69" w:rsidRDefault="00AE7F37" w:rsidP="00645F69">
      <w:pPr>
        <w:pStyle w:val="ListParagraph"/>
        <w:numPr>
          <w:ilvl w:val="1"/>
          <w:numId w:val="3"/>
        </w:numPr>
        <w:snapToGrid w:val="0"/>
        <w:spacing w:before="0"/>
        <w:ind w:left="0" w:right="0" w:firstLine="425"/>
        <w:rPr>
          <w:sz w:val="20"/>
          <w:szCs w:val="20"/>
        </w:rPr>
      </w:pPr>
      <w:r w:rsidRPr="00645F69">
        <w:rPr>
          <w:sz w:val="20"/>
          <w:szCs w:val="20"/>
        </w:rPr>
        <w:t>About one quarter of the females in study group had hearing loss and about 20% had</w:t>
      </w:r>
      <w:r w:rsidR="00A22695">
        <w:rPr>
          <w:rFonts w:eastAsiaTheme="minorEastAsia" w:hint="eastAsia"/>
          <w:sz w:val="20"/>
          <w:szCs w:val="20"/>
          <w:lang w:eastAsia="zh-CN"/>
        </w:rPr>
        <w:t xml:space="preserve"> </w:t>
      </w:r>
      <w:r w:rsidRPr="00645F69">
        <w:rPr>
          <w:sz w:val="20"/>
          <w:szCs w:val="20"/>
        </w:rPr>
        <w:t>tinnitus.</w:t>
      </w:r>
    </w:p>
    <w:p w:rsidR="00641696" w:rsidRPr="00645F69" w:rsidRDefault="00AE7F37" w:rsidP="00645F69">
      <w:pPr>
        <w:pStyle w:val="ListParagraph"/>
        <w:numPr>
          <w:ilvl w:val="1"/>
          <w:numId w:val="3"/>
        </w:numPr>
        <w:snapToGrid w:val="0"/>
        <w:spacing w:before="0"/>
        <w:ind w:left="0" w:right="0" w:firstLine="425"/>
        <w:rPr>
          <w:sz w:val="20"/>
          <w:szCs w:val="20"/>
        </w:rPr>
      </w:pPr>
      <w:r w:rsidRPr="00645F69">
        <w:rPr>
          <w:sz w:val="20"/>
          <w:szCs w:val="20"/>
        </w:rPr>
        <w:t xml:space="preserve">About 75% of total percentage of hearing loss </w:t>
      </w:r>
      <w:r w:rsidRPr="00645F69">
        <w:rPr>
          <w:sz w:val="20"/>
          <w:szCs w:val="20"/>
        </w:rPr>
        <w:lastRenderedPageBreak/>
        <w:t>was SNHL and 25% was conductive hearingloss.</w:t>
      </w:r>
    </w:p>
    <w:p w:rsidR="00641696" w:rsidRPr="00645F69" w:rsidRDefault="00AE7F37" w:rsidP="00645F69">
      <w:pPr>
        <w:pStyle w:val="ListParagraph"/>
        <w:numPr>
          <w:ilvl w:val="1"/>
          <w:numId w:val="3"/>
        </w:numPr>
        <w:snapToGrid w:val="0"/>
        <w:spacing w:before="0"/>
        <w:ind w:left="0" w:right="0" w:firstLine="425"/>
        <w:rPr>
          <w:sz w:val="20"/>
          <w:szCs w:val="20"/>
        </w:rPr>
      </w:pPr>
      <w:r w:rsidRPr="00645F69">
        <w:rPr>
          <w:sz w:val="20"/>
          <w:szCs w:val="20"/>
        </w:rPr>
        <w:t>No correlation between the duration of using COCP and hearingloss.</w:t>
      </w:r>
    </w:p>
    <w:p w:rsidR="004F24BC" w:rsidRPr="00645F69" w:rsidRDefault="004F24BC" w:rsidP="00645F69">
      <w:pPr>
        <w:pStyle w:val="Heading1"/>
        <w:snapToGrid w:val="0"/>
        <w:spacing w:before="0"/>
        <w:ind w:left="0"/>
        <w:jc w:val="both"/>
        <w:rPr>
          <w:sz w:val="20"/>
          <w:szCs w:val="20"/>
        </w:rPr>
      </w:pPr>
    </w:p>
    <w:p w:rsidR="00641696" w:rsidRPr="00645F69" w:rsidRDefault="004F24BC" w:rsidP="00645F69">
      <w:pPr>
        <w:pStyle w:val="Heading1"/>
        <w:snapToGrid w:val="0"/>
        <w:spacing w:before="0"/>
        <w:ind w:left="0"/>
        <w:jc w:val="both"/>
        <w:rPr>
          <w:sz w:val="20"/>
          <w:szCs w:val="20"/>
        </w:rPr>
      </w:pPr>
      <w:r w:rsidRPr="00645F69">
        <w:rPr>
          <w:sz w:val="20"/>
          <w:szCs w:val="20"/>
        </w:rPr>
        <w:t>References</w:t>
      </w:r>
    </w:p>
    <w:p w:rsidR="00641696" w:rsidRPr="00645F69" w:rsidRDefault="00AE7F37" w:rsidP="00645F69">
      <w:pPr>
        <w:pStyle w:val="Heading2"/>
        <w:numPr>
          <w:ilvl w:val="0"/>
          <w:numId w:val="2"/>
        </w:numPr>
        <w:snapToGrid w:val="0"/>
        <w:spacing w:before="0"/>
        <w:ind w:left="425" w:right="0" w:hanging="425"/>
        <w:rPr>
          <w:b w:val="0"/>
          <w:bCs w:val="0"/>
          <w:sz w:val="20"/>
          <w:szCs w:val="20"/>
        </w:rPr>
      </w:pPr>
      <w:r w:rsidRPr="00645F69">
        <w:rPr>
          <w:b w:val="0"/>
          <w:bCs w:val="0"/>
          <w:sz w:val="20"/>
          <w:szCs w:val="20"/>
        </w:rPr>
        <w:t>Scott S (2009): Common Reproductive Issues. Contraception</w:t>
      </w:r>
      <w:r w:rsidR="00645F69" w:rsidRPr="00645F69">
        <w:rPr>
          <w:b w:val="0"/>
          <w:bCs w:val="0"/>
          <w:sz w:val="20"/>
          <w:szCs w:val="20"/>
        </w:rPr>
        <w:t>.</w:t>
      </w:r>
      <w:r w:rsidR="00645F69">
        <w:rPr>
          <w:b w:val="0"/>
          <w:bCs w:val="0"/>
          <w:sz w:val="20"/>
          <w:szCs w:val="20"/>
        </w:rPr>
        <w:t xml:space="preserve"> </w:t>
      </w:r>
      <w:r w:rsidR="00645F69" w:rsidRPr="00645F69">
        <w:rPr>
          <w:b w:val="0"/>
          <w:bCs w:val="0"/>
          <w:sz w:val="20"/>
          <w:szCs w:val="20"/>
        </w:rPr>
        <w:t>L</w:t>
      </w:r>
      <w:r w:rsidRPr="00645F69">
        <w:rPr>
          <w:b w:val="0"/>
          <w:bCs w:val="0"/>
          <w:sz w:val="20"/>
          <w:szCs w:val="20"/>
        </w:rPr>
        <w:t>ippincott Williams</w:t>
      </w:r>
      <w:r w:rsidR="00645F69">
        <w:rPr>
          <w:b w:val="0"/>
          <w:bCs w:val="0"/>
          <w:sz w:val="20"/>
          <w:szCs w:val="20"/>
        </w:rPr>
        <w:t xml:space="preserve"> </w:t>
      </w:r>
      <w:r w:rsidR="00CC5C4A" w:rsidRPr="00645F69">
        <w:rPr>
          <w:b w:val="0"/>
          <w:bCs w:val="0"/>
          <w:sz w:val="20"/>
          <w:szCs w:val="20"/>
        </w:rPr>
        <w:t>&amp;</w:t>
      </w:r>
      <w:r w:rsidR="00645F69">
        <w:rPr>
          <w:b w:val="0"/>
          <w:bCs w:val="0"/>
          <w:sz w:val="20"/>
          <w:szCs w:val="20"/>
        </w:rPr>
        <w:t xml:space="preserve"> </w:t>
      </w:r>
      <w:r w:rsidRPr="00645F69">
        <w:rPr>
          <w:b w:val="0"/>
          <w:bCs w:val="0"/>
          <w:sz w:val="20"/>
          <w:szCs w:val="20"/>
        </w:rPr>
        <w:t>Wilkins;</w:t>
      </w:r>
      <w:r w:rsidR="000C3A44">
        <w:rPr>
          <w:rFonts w:eastAsiaTheme="minorEastAsia" w:hint="eastAsia"/>
          <w:b w:val="0"/>
          <w:bCs w:val="0"/>
          <w:sz w:val="20"/>
          <w:szCs w:val="20"/>
          <w:lang w:eastAsia="zh-CN"/>
        </w:rPr>
        <w:t xml:space="preserve"> </w:t>
      </w:r>
      <w:r w:rsidRPr="00645F69">
        <w:rPr>
          <w:b w:val="0"/>
          <w:bCs w:val="0"/>
          <w:sz w:val="20"/>
          <w:szCs w:val="20"/>
        </w:rPr>
        <w:t>119.</w:t>
      </w:r>
    </w:p>
    <w:p w:rsidR="00641696" w:rsidRPr="00645F69" w:rsidRDefault="00AE7F37" w:rsidP="00645F69">
      <w:pPr>
        <w:pStyle w:val="ListParagraph"/>
        <w:numPr>
          <w:ilvl w:val="0"/>
          <w:numId w:val="2"/>
        </w:numPr>
        <w:snapToGrid w:val="0"/>
        <w:spacing w:before="0"/>
        <w:ind w:left="425" w:right="0" w:hanging="425"/>
        <w:rPr>
          <w:sz w:val="20"/>
          <w:szCs w:val="20"/>
        </w:rPr>
      </w:pPr>
      <w:r w:rsidRPr="00645F69">
        <w:rPr>
          <w:sz w:val="20"/>
          <w:szCs w:val="20"/>
        </w:rPr>
        <w:t>Viana L, Martins M</w:t>
      </w:r>
      <w:r w:rsidR="00645F69">
        <w:rPr>
          <w:sz w:val="20"/>
          <w:szCs w:val="20"/>
        </w:rPr>
        <w:t xml:space="preserve"> </w:t>
      </w:r>
      <w:r w:rsidR="00CC5C4A" w:rsidRPr="00645F69">
        <w:rPr>
          <w:sz w:val="20"/>
          <w:szCs w:val="20"/>
        </w:rPr>
        <w:t>&amp;</w:t>
      </w:r>
      <w:r w:rsidR="00645F69">
        <w:rPr>
          <w:sz w:val="20"/>
          <w:szCs w:val="20"/>
        </w:rPr>
        <w:t xml:space="preserve"> </w:t>
      </w:r>
      <w:r w:rsidRPr="00645F69">
        <w:rPr>
          <w:sz w:val="20"/>
          <w:szCs w:val="20"/>
        </w:rPr>
        <w:t>Geber S (2001): Combined estrogen and progesterone pills, Hormonal contraception in Gynecology. 2nd edition. Rio de Janeiro: Medsi;</w:t>
      </w:r>
      <w:r w:rsidR="000C3A44">
        <w:rPr>
          <w:rFonts w:eastAsiaTheme="minorEastAsia" w:hint="eastAsia"/>
          <w:sz w:val="20"/>
          <w:szCs w:val="20"/>
          <w:lang w:eastAsia="zh-CN"/>
        </w:rPr>
        <w:t xml:space="preserve"> </w:t>
      </w:r>
      <w:r w:rsidRPr="00645F69">
        <w:rPr>
          <w:sz w:val="20"/>
          <w:szCs w:val="20"/>
        </w:rPr>
        <w:t>389-90.</w:t>
      </w:r>
    </w:p>
    <w:p w:rsidR="00641696" w:rsidRPr="00645F69" w:rsidRDefault="00AE7F37" w:rsidP="00645F69">
      <w:pPr>
        <w:pStyle w:val="ListParagraph"/>
        <w:numPr>
          <w:ilvl w:val="0"/>
          <w:numId w:val="2"/>
        </w:numPr>
        <w:snapToGrid w:val="0"/>
        <w:spacing w:before="0"/>
        <w:ind w:left="425" w:right="0" w:hanging="425"/>
        <w:rPr>
          <w:sz w:val="20"/>
          <w:szCs w:val="20"/>
        </w:rPr>
      </w:pPr>
      <w:r w:rsidRPr="00645F69">
        <w:rPr>
          <w:sz w:val="20"/>
          <w:szCs w:val="20"/>
        </w:rPr>
        <w:t xml:space="preserve">Mosher W, Martinez G, </w:t>
      </w:r>
      <w:hyperlink r:id="rId21">
        <w:r w:rsidRPr="00645F69">
          <w:rPr>
            <w:sz w:val="20"/>
            <w:szCs w:val="20"/>
          </w:rPr>
          <w:t>Chandra A</w:t>
        </w:r>
      </w:hyperlink>
      <w:r w:rsidRPr="00645F69">
        <w:rPr>
          <w:sz w:val="20"/>
          <w:szCs w:val="20"/>
        </w:rPr>
        <w:t>, Abma J</w:t>
      </w:r>
      <w:r w:rsidR="00645F69">
        <w:rPr>
          <w:sz w:val="20"/>
          <w:szCs w:val="20"/>
        </w:rPr>
        <w:t xml:space="preserve"> </w:t>
      </w:r>
      <w:r w:rsidR="00CC5C4A" w:rsidRPr="00645F69">
        <w:rPr>
          <w:sz w:val="20"/>
          <w:szCs w:val="20"/>
        </w:rPr>
        <w:t xml:space="preserve">&amp; </w:t>
      </w:r>
      <w:r w:rsidRPr="00645F69">
        <w:rPr>
          <w:sz w:val="20"/>
          <w:szCs w:val="20"/>
        </w:rPr>
        <w:t xml:space="preserve">Willson S (2004): </w:t>
      </w:r>
      <w:hyperlink r:id="rId22">
        <w:r w:rsidRPr="00645F69">
          <w:rPr>
            <w:sz w:val="20"/>
            <w:szCs w:val="20"/>
          </w:rPr>
          <w:t>Use</w:t>
        </w:r>
      </w:hyperlink>
      <w:r w:rsidR="00A22695">
        <w:rPr>
          <w:rFonts w:eastAsiaTheme="minorEastAsia" w:hint="eastAsia"/>
          <w:lang w:eastAsia="zh-CN"/>
        </w:rPr>
        <w:t xml:space="preserve"> </w:t>
      </w:r>
      <w:hyperlink r:id="rId23">
        <w:r w:rsidRPr="00645F69">
          <w:rPr>
            <w:sz w:val="20"/>
            <w:szCs w:val="20"/>
          </w:rPr>
          <w:t>of contraception and use of family planning services in the United</w:t>
        </w:r>
      </w:hyperlink>
      <w:r w:rsidR="00A22695">
        <w:rPr>
          <w:rFonts w:eastAsiaTheme="minorEastAsia" w:hint="eastAsia"/>
          <w:lang w:eastAsia="zh-CN"/>
        </w:rPr>
        <w:t xml:space="preserve"> </w:t>
      </w:r>
      <w:hyperlink r:id="rId24">
        <w:r w:rsidRPr="00645F69">
          <w:rPr>
            <w:sz w:val="20"/>
            <w:szCs w:val="20"/>
          </w:rPr>
          <w:t>States:</w:t>
        </w:r>
      </w:hyperlink>
      <w:r w:rsidR="00A22695">
        <w:rPr>
          <w:rFonts w:eastAsiaTheme="minorEastAsia" w:hint="eastAsia"/>
          <w:lang w:eastAsia="zh-CN"/>
        </w:rPr>
        <w:t xml:space="preserve"> </w:t>
      </w:r>
      <w:r w:rsidRPr="00645F69">
        <w:rPr>
          <w:sz w:val="20"/>
          <w:szCs w:val="20"/>
        </w:rPr>
        <w:t>Adv Data; (350):1–36.</w:t>
      </w:r>
    </w:p>
    <w:p w:rsidR="00641696" w:rsidRPr="00645F69" w:rsidRDefault="00AE7F37" w:rsidP="00645F69">
      <w:pPr>
        <w:pStyle w:val="ListParagraph"/>
        <w:numPr>
          <w:ilvl w:val="0"/>
          <w:numId w:val="2"/>
        </w:numPr>
        <w:snapToGrid w:val="0"/>
        <w:spacing w:before="0"/>
        <w:ind w:left="425" w:right="0" w:hanging="425"/>
        <w:rPr>
          <w:sz w:val="20"/>
          <w:szCs w:val="20"/>
        </w:rPr>
      </w:pPr>
      <w:r w:rsidRPr="00645F69">
        <w:rPr>
          <w:sz w:val="20"/>
          <w:szCs w:val="20"/>
        </w:rPr>
        <w:t>Charitidi K, Meltser I, Tahera Y</w:t>
      </w:r>
      <w:r w:rsidR="00645F69">
        <w:rPr>
          <w:sz w:val="20"/>
          <w:szCs w:val="20"/>
        </w:rPr>
        <w:t xml:space="preserve"> </w:t>
      </w:r>
      <w:r w:rsidR="00CC5C4A" w:rsidRPr="00645F69">
        <w:rPr>
          <w:sz w:val="20"/>
          <w:szCs w:val="20"/>
        </w:rPr>
        <w:t xml:space="preserve">&amp; </w:t>
      </w:r>
      <w:r w:rsidRPr="00645F69">
        <w:rPr>
          <w:sz w:val="20"/>
          <w:szCs w:val="20"/>
        </w:rPr>
        <w:t>Canlon B (2009): Functional responses of estrogen receptors in the male and female auditory system. Hear Res; 252 (1-2):71-8.</w:t>
      </w:r>
    </w:p>
    <w:p w:rsidR="00641696" w:rsidRPr="00645F69" w:rsidRDefault="00AE7F37" w:rsidP="00645F69">
      <w:pPr>
        <w:pStyle w:val="ListParagraph"/>
        <w:numPr>
          <w:ilvl w:val="0"/>
          <w:numId w:val="2"/>
        </w:numPr>
        <w:snapToGrid w:val="0"/>
        <w:spacing w:before="0"/>
        <w:ind w:left="425" w:right="0" w:hanging="425"/>
        <w:rPr>
          <w:sz w:val="20"/>
          <w:szCs w:val="20"/>
        </w:rPr>
      </w:pPr>
      <w:r w:rsidRPr="00645F69">
        <w:rPr>
          <w:sz w:val="20"/>
          <w:szCs w:val="20"/>
        </w:rPr>
        <w:t>Simonoska R, Stenberg A, Duan M, Yakimchuk K, Fridberger A, et al., (2009): Inner ear pathology and loss of hearing in estrogen receptor- beta deficient mice. J. Endocrinol; 201(3):397-406.</w:t>
      </w:r>
    </w:p>
    <w:p w:rsidR="00641696" w:rsidRPr="00645F69" w:rsidRDefault="00AE7F37" w:rsidP="00645F69">
      <w:pPr>
        <w:pStyle w:val="ListParagraph"/>
        <w:numPr>
          <w:ilvl w:val="0"/>
          <w:numId w:val="2"/>
        </w:numPr>
        <w:snapToGrid w:val="0"/>
        <w:spacing w:before="0"/>
        <w:ind w:left="425" w:right="0" w:hanging="425"/>
        <w:rPr>
          <w:sz w:val="20"/>
          <w:szCs w:val="20"/>
        </w:rPr>
      </w:pPr>
      <w:r w:rsidRPr="00645F69">
        <w:rPr>
          <w:sz w:val="20"/>
          <w:szCs w:val="20"/>
        </w:rPr>
        <w:t>Bonnard A, Sahlin L, Hultcrantz M</w:t>
      </w:r>
      <w:r w:rsidR="00645F69">
        <w:rPr>
          <w:sz w:val="20"/>
          <w:szCs w:val="20"/>
        </w:rPr>
        <w:t xml:space="preserve"> </w:t>
      </w:r>
      <w:r w:rsidR="00CC5C4A" w:rsidRPr="00645F69">
        <w:rPr>
          <w:sz w:val="20"/>
          <w:szCs w:val="20"/>
        </w:rPr>
        <w:t xml:space="preserve">&amp; </w:t>
      </w:r>
      <w:r w:rsidRPr="00645F69">
        <w:rPr>
          <w:sz w:val="20"/>
          <w:szCs w:val="20"/>
        </w:rPr>
        <w:t>Simonoska R (2013): No direct nuclear effect of progesterone in the inner ear: other possible pathways. Act</w:t>
      </w:r>
      <w:r w:rsidR="00645F69" w:rsidRPr="00645F69">
        <w:rPr>
          <w:sz w:val="20"/>
          <w:szCs w:val="20"/>
        </w:rPr>
        <w:t>a</w:t>
      </w:r>
      <w:r w:rsidR="00645F69">
        <w:rPr>
          <w:sz w:val="20"/>
          <w:szCs w:val="20"/>
        </w:rPr>
        <w:t xml:space="preserve"> </w:t>
      </w:r>
      <w:r w:rsidR="00645F69" w:rsidRPr="00645F69">
        <w:rPr>
          <w:sz w:val="20"/>
          <w:szCs w:val="20"/>
        </w:rPr>
        <w:t>O</w:t>
      </w:r>
      <w:r w:rsidRPr="00645F69">
        <w:rPr>
          <w:sz w:val="20"/>
          <w:szCs w:val="20"/>
        </w:rPr>
        <w:t>tolaryngol; 133 (12):1250-7.</w:t>
      </w:r>
    </w:p>
    <w:p w:rsidR="00641696" w:rsidRPr="00645F69" w:rsidRDefault="00AE7F37" w:rsidP="00645F69">
      <w:pPr>
        <w:pStyle w:val="ListParagraph"/>
        <w:numPr>
          <w:ilvl w:val="0"/>
          <w:numId w:val="2"/>
        </w:numPr>
        <w:snapToGrid w:val="0"/>
        <w:spacing w:before="0"/>
        <w:ind w:left="425" w:right="0" w:hanging="425"/>
        <w:rPr>
          <w:sz w:val="20"/>
          <w:szCs w:val="20"/>
        </w:rPr>
      </w:pPr>
      <w:r w:rsidRPr="00645F69">
        <w:rPr>
          <w:sz w:val="20"/>
          <w:szCs w:val="20"/>
        </w:rPr>
        <w:t>Bittar R (1997): Labyrinth hormonal hormones, estrogen and progesterone steroids. Sao Paulo: Arq Fund Otorrinolaringol Rev; 4:122-6.</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Domenico M</w:t>
      </w:r>
      <w:r w:rsidR="00645F69">
        <w:rPr>
          <w:bCs/>
          <w:sz w:val="20"/>
          <w:szCs w:val="20"/>
        </w:rPr>
        <w:t xml:space="preserve"> </w:t>
      </w:r>
      <w:r w:rsidR="00CC5C4A" w:rsidRPr="00645F69">
        <w:rPr>
          <w:bCs/>
          <w:sz w:val="20"/>
          <w:szCs w:val="20"/>
        </w:rPr>
        <w:t xml:space="preserve">&amp; </w:t>
      </w:r>
      <w:r w:rsidRPr="00645F69">
        <w:rPr>
          <w:bCs/>
          <w:sz w:val="20"/>
          <w:szCs w:val="20"/>
        </w:rPr>
        <w:t>Lorio M (2002): Audiological evaluation in women who use oral contraceptives. Set-dez; 14 (3):415-24.</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 xml:space="preserve">Robert N (2016): Hormone replacement therapy and its effects on human hearing, </w:t>
      </w:r>
      <w:hyperlink r:id="rId25">
        <w:r w:rsidRPr="00645F69">
          <w:rPr>
            <w:bCs/>
            <w:sz w:val="20"/>
            <w:szCs w:val="20"/>
          </w:rPr>
          <w:t>Hearing and Hormones</w:t>
        </w:r>
      </w:hyperlink>
      <w:r w:rsidRPr="00645F69">
        <w:rPr>
          <w:bCs/>
          <w:sz w:val="20"/>
          <w:szCs w:val="20"/>
        </w:rPr>
        <w:t xml:space="preserve">, series </w:t>
      </w:r>
      <w:hyperlink r:id="rId26">
        <w:r w:rsidRPr="00645F69">
          <w:rPr>
            <w:bCs/>
            <w:sz w:val="20"/>
            <w:szCs w:val="20"/>
          </w:rPr>
          <w:t>Springer Handbook of</w:t>
        </w:r>
      </w:hyperlink>
      <w:r w:rsidR="00A22695">
        <w:rPr>
          <w:rFonts w:eastAsiaTheme="minorEastAsia" w:hint="eastAsia"/>
          <w:lang w:eastAsia="zh-CN"/>
        </w:rPr>
        <w:t xml:space="preserve"> </w:t>
      </w:r>
      <w:hyperlink r:id="rId27">
        <w:r w:rsidRPr="00645F69">
          <w:rPr>
            <w:bCs/>
            <w:sz w:val="20"/>
            <w:szCs w:val="20"/>
          </w:rPr>
          <w:t>Auditory Research</w:t>
        </w:r>
      </w:hyperlink>
      <w:r w:rsidRPr="00645F69">
        <w:rPr>
          <w:bCs/>
          <w:sz w:val="20"/>
          <w:szCs w:val="20"/>
        </w:rPr>
        <w:t>; 57:191-209.</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Soliman S (1976): Speech discrimination audiometry using Arabic phonetically balanced wards. Ai</w:t>
      </w:r>
      <w:r w:rsidR="00645F69" w:rsidRPr="00645F69">
        <w:rPr>
          <w:bCs/>
          <w:sz w:val="20"/>
          <w:szCs w:val="20"/>
        </w:rPr>
        <w:t>n</w:t>
      </w:r>
      <w:r w:rsidR="00645F69">
        <w:rPr>
          <w:bCs/>
          <w:sz w:val="20"/>
          <w:szCs w:val="20"/>
        </w:rPr>
        <w:t xml:space="preserve"> </w:t>
      </w:r>
      <w:r w:rsidR="00645F69" w:rsidRPr="00645F69">
        <w:rPr>
          <w:bCs/>
          <w:sz w:val="20"/>
          <w:szCs w:val="20"/>
        </w:rPr>
        <w:t>S</w:t>
      </w:r>
      <w:r w:rsidRPr="00645F69">
        <w:rPr>
          <w:bCs/>
          <w:sz w:val="20"/>
          <w:szCs w:val="20"/>
        </w:rPr>
        <w:t>ham</w:t>
      </w:r>
      <w:r w:rsidR="00645F69" w:rsidRPr="00645F69">
        <w:rPr>
          <w:bCs/>
          <w:sz w:val="20"/>
          <w:szCs w:val="20"/>
        </w:rPr>
        <w:t>s</w:t>
      </w:r>
      <w:r w:rsidR="00645F69">
        <w:rPr>
          <w:bCs/>
          <w:sz w:val="20"/>
          <w:szCs w:val="20"/>
        </w:rPr>
        <w:t xml:space="preserve"> </w:t>
      </w:r>
      <w:r w:rsidR="00645F69" w:rsidRPr="00645F69">
        <w:rPr>
          <w:bCs/>
          <w:sz w:val="20"/>
          <w:szCs w:val="20"/>
        </w:rPr>
        <w:t>M</w:t>
      </w:r>
      <w:r w:rsidRPr="00645F69">
        <w:rPr>
          <w:bCs/>
          <w:sz w:val="20"/>
          <w:szCs w:val="20"/>
        </w:rPr>
        <w:t>ed</w:t>
      </w:r>
      <w:r w:rsidR="00645F69" w:rsidRPr="00645F69">
        <w:rPr>
          <w:bCs/>
          <w:sz w:val="20"/>
          <w:szCs w:val="20"/>
        </w:rPr>
        <w:t>.</w:t>
      </w:r>
      <w:r w:rsidR="00645F69">
        <w:rPr>
          <w:bCs/>
          <w:sz w:val="20"/>
          <w:szCs w:val="20"/>
        </w:rPr>
        <w:t xml:space="preserve"> </w:t>
      </w:r>
      <w:r w:rsidR="00645F69" w:rsidRPr="00645F69">
        <w:rPr>
          <w:bCs/>
          <w:sz w:val="20"/>
          <w:szCs w:val="20"/>
        </w:rPr>
        <w:t>J</w:t>
      </w:r>
      <w:r w:rsidRPr="00645F69">
        <w:rPr>
          <w:bCs/>
          <w:sz w:val="20"/>
          <w:szCs w:val="20"/>
        </w:rPr>
        <w:t>.; 27:27-30.</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Soliman S, Fathall</w:t>
      </w:r>
      <w:r w:rsidR="00645F69" w:rsidRPr="00645F69">
        <w:rPr>
          <w:bCs/>
          <w:sz w:val="20"/>
          <w:szCs w:val="20"/>
        </w:rPr>
        <w:t>a</w:t>
      </w:r>
      <w:r w:rsidR="00645F69">
        <w:rPr>
          <w:bCs/>
          <w:sz w:val="20"/>
          <w:szCs w:val="20"/>
        </w:rPr>
        <w:t xml:space="preserve"> </w:t>
      </w:r>
      <w:r w:rsidR="00645F69" w:rsidRPr="00645F69">
        <w:rPr>
          <w:bCs/>
          <w:sz w:val="20"/>
          <w:szCs w:val="20"/>
        </w:rPr>
        <w:t>A</w:t>
      </w:r>
      <w:r w:rsidR="00CC5C4A" w:rsidRPr="00645F69">
        <w:rPr>
          <w:bCs/>
          <w:sz w:val="20"/>
          <w:szCs w:val="20"/>
        </w:rPr>
        <w:t xml:space="preserve"> &amp; </w:t>
      </w:r>
      <w:r w:rsidRPr="00645F69">
        <w:rPr>
          <w:bCs/>
          <w:sz w:val="20"/>
          <w:szCs w:val="20"/>
        </w:rPr>
        <w:t>Shehata W (1985): Development of Arabic staggered Sponidac words test. In proceedings of English Annual Ain Shams Medical Congress; 2:1220-46.</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 xml:space="preserve">Harmon K, Drezner J, Gammons M, </w:t>
      </w:r>
      <w:hyperlink r:id="rId28">
        <w:r w:rsidRPr="00645F69">
          <w:rPr>
            <w:bCs/>
            <w:sz w:val="20"/>
            <w:szCs w:val="20"/>
          </w:rPr>
          <w:t>Guskiewicz K</w:t>
        </w:r>
      </w:hyperlink>
      <w:r w:rsidRPr="00645F69">
        <w:rPr>
          <w:bCs/>
          <w:sz w:val="20"/>
          <w:szCs w:val="20"/>
        </w:rPr>
        <w:t xml:space="preserve">, </w:t>
      </w:r>
      <w:hyperlink r:id="rId29">
        <w:r w:rsidRPr="00645F69">
          <w:rPr>
            <w:bCs/>
            <w:sz w:val="20"/>
            <w:szCs w:val="20"/>
          </w:rPr>
          <w:t>Halstead M</w:t>
        </w:r>
      </w:hyperlink>
      <w:r w:rsidRPr="00645F69">
        <w:rPr>
          <w:bCs/>
          <w:sz w:val="20"/>
          <w:szCs w:val="20"/>
        </w:rPr>
        <w:t xml:space="preserve"> et al., (2013): American Medical Society for Sports Medicine position statement: concussion in sport. Br J Sports Med; 47(1):15–</w:t>
      </w:r>
      <w:r w:rsidRPr="00645F69">
        <w:rPr>
          <w:bCs/>
          <w:sz w:val="20"/>
          <w:szCs w:val="20"/>
        </w:rPr>
        <w:lastRenderedPageBreak/>
        <w:t>26.</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Robinette M</w:t>
      </w:r>
      <w:r w:rsidR="00645F69">
        <w:rPr>
          <w:bCs/>
          <w:sz w:val="20"/>
          <w:szCs w:val="20"/>
        </w:rPr>
        <w:t xml:space="preserve"> </w:t>
      </w:r>
      <w:r w:rsidR="00CC5C4A" w:rsidRPr="00645F69">
        <w:rPr>
          <w:bCs/>
          <w:sz w:val="20"/>
          <w:szCs w:val="20"/>
        </w:rPr>
        <w:t xml:space="preserve">&amp; </w:t>
      </w:r>
      <w:r w:rsidRPr="00645F69">
        <w:rPr>
          <w:bCs/>
          <w:sz w:val="20"/>
          <w:szCs w:val="20"/>
        </w:rPr>
        <w:t>Cevette M (2002): Case history, integrating audiometric results, and clinical decision analysis. I</w:t>
      </w:r>
      <w:r w:rsidR="00645F69" w:rsidRPr="00645F69">
        <w:rPr>
          <w:bCs/>
          <w:sz w:val="20"/>
          <w:szCs w:val="20"/>
        </w:rPr>
        <w:t>n</w:t>
      </w:r>
      <w:r w:rsidR="00645F69">
        <w:rPr>
          <w:bCs/>
          <w:sz w:val="20"/>
          <w:szCs w:val="20"/>
        </w:rPr>
        <w:t xml:space="preserve"> </w:t>
      </w:r>
      <w:r w:rsidR="00645F69" w:rsidRPr="00645F69">
        <w:rPr>
          <w:bCs/>
          <w:sz w:val="20"/>
          <w:szCs w:val="20"/>
        </w:rPr>
        <w:t>K</w:t>
      </w:r>
      <w:r w:rsidRPr="00645F69">
        <w:rPr>
          <w:bCs/>
          <w:sz w:val="20"/>
          <w:szCs w:val="20"/>
        </w:rPr>
        <w:t>atz J., Burkard R., and Medwetsky L. (Eds.), Clinical Audiology, Lippincott and Wikins, United States of America;10:142-56.</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Adriztina I, Adnan A, Adenin I, Ichwanul A, Siti H</w:t>
      </w:r>
      <w:r w:rsidR="00645F69">
        <w:rPr>
          <w:bCs/>
          <w:sz w:val="20"/>
          <w:szCs w:val="20"/>
        </w:rPr>
        <w:t xml:space="preserve"> </w:t>
      </w:r>
      <w:r w:rsidR="00CC5C4A" w:rsidRPr="00645F69">
        <w:rPr>
          <w:bCs/>
          <w:sz w:val="20"/>
          <w:szCs w:val="20"/>
        </w:rPr>
        <w:t xml:space="preserve">&amp; </w:t>
      </w:r>
      <w:r w:rsidRPr="00645F69">
        <w:rPr>
          <w:bCs/>
          <w:sz w:val="20"/>
          <w:szCs w:val="20"/>
        </w:rPr>
        <w:t>Sorimuda S (2016): Influence Of Hormonal Changes On Audiologic Examination In Normal Ovarian Cycle Females. Int Arch Otorhinolaryngology. Thieme Publishing Ltda Rio de Janeiro; 20 (2):93.</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Sarmento T, Luiz A, Campos R, Moura H, Cristina S</w:t>
      </w:r>
      <w:r w:rsidR="00645F69">
        <w:rPr>
          <w:bCs/>
          <w:sz w:val="20"/>
          <w:szCs w:val="20"/>
        </w:rPr>
        <w:t xml:space="preserve"> </w:t>
      </w:r>
      <w:r w:rsidR="00CC5C4A" w:rsidRPr="00645F69">
        <w:rPr>
          <w:bCs/>
          <w:sz w:val="20"/>
          <w:szCs w:val="20"/>
        </w:rPr>
        <w:t>&amp;</w:t>
      </w:r>
      <w:r w:rsidR="00645F69">
        <w:rPr>
          <w:bCs/>
          <w:sz w:val="20"/>
          <w:szCs w:val="20"/>
        </w:rPr>
        <w:t xml:space="preserve"> </w:t>
      </w:r>
      <w:r w:rsidRPr="00645F69">
        <w:rPr>
          <w:bCs/>
          <w:sz w:val="20"/>
          <w:szCs w:val="20"/>
        </w:rPr>
        <w:t>Augusto C (2013): Effect of hormone replacement therapy on the auditory brainstem response of postmenopausal women. International Tinnitus Journal; 18 (2):122-8.</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Ganança M, Vieira R</w:t>
      </w:r>
      <w:r w:rsidR="00645F69">
        <w:rPr>
          <w:bCs/>
          <w:sz w:val="20"/>
          <w:szCs w:val="20"/>
        </w:rPr>
        <w:t xml:space="preserve"> </w:t>
      </w:r>
      <w:r w:rsidR="00CC5C4A" w:rsidRPr="00645F69">
        <w:rPr>
          <w:bCs/>
          <w:sz w:val="20"/>
          <w:szCs w:val="20"/>
        </w:rPr>
        <w:t xml:space="preserve">&amp; </w:t>
      </w:r>
      <w:r w:rsidRPr="00645F69">
        <w:rPr>
          <w:bCs/>
          <w:sz w:val="20"/>
          <w:szCs w:val="20"/>
        </w:rPr>
        <w:t>Caovilla H (1998): Otoneurology principles. Sao Paulo: Atheneu;65-6.</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Arruda P</w:t>
      </w:r>
      <w:r w:rsidR="00645F69">
        <w:rPr>
          <w:bCs/>
          <w:sz w:val="20"/>
          <w:szCs w:val="20"/>
        </w:rPr>
        <w:t xml:space="preserve"> </w:t>
      </w:r>
      <w:r w:rsidR="00CC5C4A" w:rsidRPr="00645F69">
        <w:rPr>
          <w:bCs/>
          <w:sz w:val="20"/>
          <w:szCs w:val="20"/>
        </w:rPr>
        <w:t>&amp;</w:t>
      </w:r>
      <w:r w:rsidR="00645F69">
        <w:rPr>
          <w:bCs/>
          <w:sz w:val="20"/>
          <w:szCs w:val="20"/>
        </w:rPr>
        <w:t xml:space="preserve"> </w:t>
      </w:r>
      <w:r w:rsidRPr="00645F69">
        <w:rPr>
          <w:bCs/>
          <w:sz w:val="20"/>
          <w:szCs w:val="20"/>
        </w:rPr>
        <w:t xml:space="preserve">Silva I (2008): </w:t>
      </w:r>
      <w:hyperlink r:id="rId30">
        <w:r w:rsidRPr="00645F69">
          <w:rPr>
            <w:bCs/>
            <w:sz w:val="20"/>
            <w:szCs w:val="20"/>
          </w:rPr>
          <w:t>Study of otoacoustic emissions during the</w:t>
        </w:r>
      </w:hyperlink>
      <w:r w:rsidR="00A22695">
        <w:rPr>
          <w:rFonts w:eastAsiaTheme="minorEastAsia" w:hint="eastAsia"/>
          <w:lang w:eastAsia="zh-CN"/>
        </w:rPr>
        <w:t xml:space="preserve"> </w:t>
      </w:r>
      <w:hyperlink r:id="rId31">
        <w:r w:rsidRPr="00645F69">
          <w:rPr>
            <w:bCs/>
            <w:sz w:val="20"/>
            <w:szCs w:val="20"/>
          </w:rPr>
          <w:t>female hormonal cycle</w:t>
        </w:r>
      </w:hyperlink>
      <w:r w:rsidRPr="00645F69">
        <w:rPr>
          <w:bCs/>
          <w:sz w:val="20"/>
          <w:szCs w:val="20"/>
        </w:rPr>
        <w:t>. Braz J Otorhinolaryngol; 74 (1)106-11.</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Godsland I, Crook D and Wynn V (1990): Low-dose oral contraceptives and carbohydrate metabolism. Am. J. Obstet. Gynecol; 163:348-53.</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Mitre E, Figueira A, Rocha A, Maria S</w:t>
      </w:r>
      <w:r w:rsidR="00645F69">
        <w:rPr>
          <w:bCs/>
          <w:sz w:val="20"/>
          <w:szCs w:val="20"/>
        </w:rPr>
        <w:t xml:space="preserve"> </w:t>
      </w:r>
      <w:r w:rsidR="00CC5C4A" w:rsidRPr="00645F69">
        <w:rPr>
          <w:bCs/>
          <w:sz w:val="20"/>
          <w:szCs w:val="20"/>
        </w:rPr>
        <w:t xml:space="preserve">&amp; </w:t>
      </w:r>
      <w:r w:rsidRPr="00645F69">
        <w:rPr>
          <w:bCs/>
          <w:sz w:val="20"/>
          <w:szCs w:val="20"/>
        </w:rPr>
        <w:t>Alves C (2006): Audiometric and vestibular evaluation in women using the hormonal contraceptive method. Rev Bras Otorrinolaringol; 72 (3):350-4.</w:t>
      </w:r>
    </w:p>
    <w:p w:rsidR="004F24BC" w:rsidRPr="00645F69" w:rsidRDefault="00AC0A39" w:rsidP="00645F69">
      <w:pPr>
        <w:pStyle w:val="ListParagraph"/>
        <w:numPr>
          <w:ilvl w:val="0"/>
          <w:numId w:val="2"/>
        </w:numPr>
        <w:snapToGrid w:val="0"/>
        <w:spacing w:before="0"/>
        <w:ind w:left="425" w:right="0" w:hanging="425"/>
        <w:rPr>
          <w:bCs/>
          <w:sz w:val="20"/>
          <w:szCs w:val="20"/>
        </w:rPr>
      </w:pPr>
      <w:hyperlink r:id="rId32">
        <w:r w:rsidR="004F24BC" w:rsidRPr="00645F69">
          <w:rPr>
            <w:bCs/>
            <w:sz w:val="20"/>
            <w:szCs w:val="20"/>
          </w:rPr>
          <w:t>Hanna G</w:t>
        </w:r>
      </w:hyperlink>
      <w:r w:rsidR="004F24BC" w:rsidRPr="00645F69">
        <w:rPr>
          <w:bCs/>
          <w:sz w:val="20"/>
          <w:szCs w:val="20"/>
        </w:rPr>
        <w:t xml:space="preserve"> (1986): Sudden deafness and the contraceptive pill. </w:t>
      </w:r>
      <w:hyperlink r:id="rId33">
        <w:r w:rsidR="004F24BC" w:rsidRPr="00645F69">
          <w:rPr>
            <w:bCs/>
            <w:sz w:val="20"/>
            <w:szCs w:val="20"/>
          </w:rPr>
          <w:t>J</w:t>
        </w:r>
      </w:hyperlink>
      <w:r w:rsidR="00A22695">
        <w:rPr>
          <w:rFonts w:eastAsiaTheme="minorEastAsia" w:hint="eastAsia"/>
          <w:lang w:eastAsia="zh-CN"/>
        </w:rPr>
        <w:t xml:space="preserve"> </w:t>
      </w:r>
      <w:hyperlink r:id="rId34">
        <w:r w:rsidR="004F24BC" w:rsidRPr="00645F69">
          <w:rPr>
            <w:bCs/>
            <w:sz w:val="20"/>
            <w:szCs w:val="20"/>
          </w:rPr>
          <w:t>Laryngo</w:t>
        </w:r>
        <w:r w:rsidR="00645F69" w:rsidRPr="00645F69">
          <w:rPr>
            <w:bCs/>
            <w:sz w:val="20"/>
            <w:szCs w:val="20"/>
          </w:rPr>
          <w:t>l</w:t>
        </w:r>
        <w:r w:rsidR="00645F69">
          <w:rPr>
            <w:bCs/>
            <w:sz w:val="20"/>
            <w:szCs w:val="20"/>
          </w:rPr>
          <w:t xml:space="preserve"> </w:t>
        </w:r>
        <w:r w:rsidR="00645F69" w:rsidRPr="00645F69">
          <w:rPr>
            <w:bCs/>
            <w:sz w:val="20"/>
            <w:szCs w:val="20"/>
          </w:rPr>
          <w:t>O</w:t>
        </w:r>
        <w:r w:rsidR="004F24BC" w:rsidRPr="00645F69">
          <w:rPr>
            <w:bCs/>
            <w:sz w:val="20"/>
            <w:szCs w:val="20"/>
          </w:rPr>
          <w:t>tol</w:t>
        </w:r>
      </w:hyperlink>
      <w:r w:rsidR="004F24BC" w:rsidRPr="00645F69">
        <w:rPr>
          <w:bCs/>
          <w:sz w:val="20"/>
          <w:szCs w:val="20"/>
        </w:rPr>
        <w:t>; 100 (6):701-6.</w:t>
      </w:r>
    </w:p>
    <w:p w:rsid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Tange R (2013): Some Historical Facts on Otosclerosis in Pregnancy. Int. Adv. Otol; 9(3)</w:t>
      </w:r>
      <w:r w:rsidR="00A22695">
        <w:rPr>
          <w:rFonts w:eastAsiaTheme="minorEastAsia" w:hint="eastAsia"/>
          <w:bCs/>
          <w:sz w:val="20"/>
          <w:szCs w:val="20"/>
          <w:lang w:eastAsia="zh-CN"/>
        </w:rPr>
        <w:t>;</w:t>
      </w:r>
      <w:r w:rsidRPr="00645F69">
        <w:rPr>
          <w:bCs/>
          <w:sz w:val="20"/>
          <w:szCs w:val="20"/>
        </w:rPr>
        <w:t>395-40</w:t>
      </w:r>
      <w:r w:rsidR="00645F69" w:rsidRPr="00645F69">
        <w:rPr>
          <w:bCs/>
          <w:sz w:val="20"/>
          <w:szCs w:val="20"/>
        </w:rPr>
        <w:t>2</w:t>
      </w:r>
      <w:r w:rsidR="00645F69">
        <w:rPr>
          <w:bCs/>
          <w:sz w:val="20"/>
          <w:szCs w:val="20"/>
        </w:rPr>
        <w:t>.</w:t>
      </w:r>
    </w:p>
    <w:p w:rsidR="004F24BC" w:rsidRPr="00645F69" w:rsidRDefault="00AC0A39" w:rsidP="00645F69">
      <w:pPr>
        <w:pStyle w:val="ListParagraph"/>
        <w:numPr>
          <w:ilvl w:val="0"/>
          <w:numId w:val="2"/>
        </w:numPr>
        <w:snapToGrid w:val="0"/>
        <w:spacing w:before="0"/>
        <w:ind w:left="425" w:right="0" w:hanging="425"/>
        <w:rPr>
          <w:bCs/>
          <w:sz w:val="20"/>
          <w:szCs w:val="20"/>
        </w:rPr>
      </w:pPr>
      <w:hyperlink r:id="rId35">
        <w:r w:rsidR="004F24BC" w:rsidRPr="00645F69">
          <w:rPr>
            <w:bCs/>
            <w:sz w:val="20"/>
            <w:szCs w:val="20"/>
          </w:rPr>
          <w:t>Podoshin L</w:t>
        </w:r>
      </w:hyperlink>
      <w:r w:rsidR="004F24BC" w:rsidRPr="00645F69">
        <w:rPr>
          <w:bCs/>
          <w:sz w:val="20"/>
          <w:szCs w:val="20"/>
        </w:rPr>
        <w:t xml:space="preserve">, </w:t>
      </w:r>
      <w:hyperlink r:id="rId36">
        <w:r w:rsidR="004F24BC" w:rsidRPr="00645F69">
          <w:rPr>
            <w:bCs/>
            <w:sz w:val="20"/>
            <w:szCs w:val="20"/>
          </w:rPr>
          <w:t>Gertner R</w:t>
        </w:r>
      </w:hyperlink>
      <w:r w:rsidR="004F24BC" w:rsidRPr="00645F69">
        <w:rPr>
          <w:bCs/>
          <w:sz w:val="20"/>
          <w:szCs w:val="20"/>
        </w:rPr>
        <w:t xml:space="preserve">, </w:t>
      </w:r>
      <w:hyperlink r:id="rId37">
        <w:r w:rsidR="004F24BC" w:rsidRPr="00645F69">
          <w:rPr>
            <w:bCs/>
            <w:sz w:val="20"/>
            <w:szCs w:val="20"/>
          </w:rPr>
          <w:t>Fradis M</w:t>
        </w:r>
      </w:hyperlink>
      <w:r w:rsidR="004F24BC" w:rsidRPr="00645F69">
        <w:rPr>
          <w:bCs/>
          <w:sz w:val="20"/>
          <w:szCs w:val="20"/>
        </w:rPr>
        <w:t xml:space="preserve">, </w:t>
      </w:r>
      <w:hyperlink r:id="rId38">
        <w:r w:rsidR="004F24BC" w:rsidRPr="00645F69">
          <w:rPr>
            <w:bCs/>
            <w:sz w:val="20"/>
            <w:szCs w:val="20"/>
          </w:rPr>
          <w:t>Feiglin H</w:t>
        </w:r>
      </w:hyperlink>
      <w:r w:rsidR="004F24BC" w:rsidRPr="00645F69">
        <w:rPr>
          <w:bCs/>
          <w:sz w:val="20"/>
          <w:szCs w:val="20"/>
        </w:rPr>
        <w:t xml:space="preserve">, </w:t>
      </w:r>
      <w:hyperlink r:id="rId39">
        <w:r w:rsidR="004F24BC" w:rsidRPr="00645F69">
          <w:rPr>
            <w:bCs/>
            <w:sz w:val="20"/>
            <w:szCs w:val="20"/>
          </w:rPr>
          <w:t>Eibschitz I</w:t>
        </w:r>
      </w:hyperlink>
      <w:r w:rsidR="004F24BC" w:rsidRPr="00645F69">
        <w:rPr>
          <w:bCs/>
          <w:sz w:val="20"/>
          <w:szCs w:val="20"/>
        </w:rPr>
        <w:t xml:space="preserve"> et al.,</w:t>
      </w:r>
      <w:r w:rsidR="00645F69">
        <w:rPr>
          <w:bCs/>
          <w:sz w:val="20"/>
          <w:szCs w:val="20"/>
        </w:rPr>
        <w:t xml:space="preserve"> </w:t>
      </w:r>
      <w:r w:rsidR="004F24BC" w:rsidRPr="00645F69">
        <w:rPr>
          <w:bCs/>
          <w:sz w:val="20"/>
          <w:szCs w:val="20"/>
        </w:rPr>
        <w:t xml:space="preserve">(1978): Oral contraceptive pills and clinical otosclerosis. </w:t>
      </w:r>
      <w:hyperlink r:id="rId40">
        <w:r w:rsidR="004F24BC" w:rsidRPr="00645F69">
          <w:rPr>
            <w:bCs/>
            <w:sz w:val="20"/>
            <w:szCs w:val="20"/>
          </w:rPr>
          <w:t>Int J Gynaecol</w:t>
        </w:r>
      </w:hyperlink>
      <w:r w:rsidR="00A22695">
        <w:rPr>
          <w:rFonts w:eastAsiaTheme="minorEastAsia" w:hint="eastAsia"/>
          <w:lang w:eastAsia="zh-CN"/>
        </w:rPr>
        <w:t xml:space="preserve"> </w:t>
      </w:r>
      <w:hyperlink r:id="rId41">
        <w:r w:rsidR="004F24BC" w:rsidRPr="00645F69">
          <w:rPr>
            <w:bCs/>
            <w:sz w:val="20"/>
            <w:szCs w:val="20"/>
          </w:rPr>
          <w:t>Obstet</w:t>
        </w:r>
      </w:hyperlink>
      <w:r w:rsidR="004F24BC" w:rsidRPr="00645F69">
        <w:rPr>
          <w:bCs/>
          <w:sz w:val="20"/>
          <w:szCs w:val="20"/>
        </w:rPr>
        <w:t>;15(6):554-5.</w:t>
      </w:r>
    </w:p>
    <w:p w:rsidR="004F24BC" w:rsidRPr="00645F69" w:rsidRDefault="004F24BC" w:rsidP="00645F69">
      <w:pPr>
        <w:pStyle w:val="ListParagraph"/>
        <w:numPr>
          <w:ilvl w:val="0"/>
          <w:numId w:val="2"/>
        </w:numPr>
        <w:snapToGrid w:val="0"/>
        <w:spacing w:before="0"/>
        <w:ind w:left="425" w:right="0" w:hanging="425"/>
        <w:rPr>
          <w:bCs/>
          <w:sz w:val="20"/>
          <w:szCs w:val="20"/>
        </w:rPr>
      </w:pPr>
      <w:r w:rsidRPr="00645F69">
        <w:rPr>
          <w:bCs/>
          <w:sz w:val="20"/>
          <w:szCs w:val="20"/>
        </w:rPr>
        <w:t>Bian L</w:t>
      </w:r>
      <w:r w:rsidR="00645F69">
        <w:rPr>
          <w:bCs/>
          <w:sz w:val="20"/>
          <w:szCs w:val="20"/>
        </w:rPr>
        <w:t xml:space="preserve"> </w:t>
      </w:r>
      <w:r w:rsidR="00CC5C4A" w:rsidRPr="00645F69">
        <w:rPr>
          <w:bCs/>
          <w:sz w:val="20"/>
          <w:szCs w:val="20"/>
        </w:rPr>
        <w:t>&amp;</w:t>
      </w:r>
      <w:r w:rsidR="00645F69">
        <w:rPr>
          <w:bCs/>
          <w:sz w:val="20"/>
          <w:szCs w:val="20"/>
        </w:rPr>
        <w:t xml:space="preserve"> </w:t>
      </w:r>
      <w:r w:rsidRPr="00645F69">
        <w:rPr>
          <w:bCs/>
          <w:sz w:val="20"/>
          <w:szCs w:val="20"/>
        </w:rPr>
        <w:t>Chen S (2008): Comparing the optimal signal conditions for recording cubic and quadratic distortion product otoacoustic emissions. The Journal of the Acoustical Society of America; 124 (6): 3739–50.</w:t>
      </w:r>
    </w:p>
    <w:p w:rsidR="00645F69" w:rsidRPr="00A22695" w:rsidRDefault="004F24BC" w:rsidP="00645F69">
      <w:pPr>
        <w:pStyle w:val="ListParagraph"/>
        <w:numPr>
          <w:ilvl w:val="0"/>
          <w:numId w:val="2"/>
        </w:numPr>
        <w:snapToGrid w:val="0"/>
        <w:spacing w:before="0"/>
        <w:ind w:left="425" w:right="0" w:hanging="425"/>
        <w:rPr>
          <w:bCs/>
          <w:sz w:val="20"/>
          <w:szCs w:val="20"/>
        </w:rPr>
      </w:pPr>
      <w:r w:rsidRPr="00A22695">
        <w:rPr>
          <w:bCs/>
          <w:sz w:val="20"/>
          <w:szCs w:val="20"/>
        </w:rPr>
        <w:t>Yellin M</w:t>
      </w:r>
      <w:r w:rsidR="00645F69" w:rsidRPr="00A22695">
        <w:rPr>
          <w:bCs/>
          <w:sz w:val="20"/>
          <w:szCs w:val="20"/>
        </w:rPr>
        <w:t xml:space="preserve"> </w:t>
      </w:r>
      <w:r w:rsidR="00CC5C4A" w:rsidRPr="00A22695">
        <w:rPr>
          <w:bCs/>
          <w:sz w:val="20"/>
          <w:szCs w:val="20"/>
        </w:rPr>
        <w:t xml:space="preserve">&amp; </w:t>
      </w:r>
      <w:r w:rsidRPr="00A22695">
        <w:rPr>
          <w:bCs/>
          <w:sz w:val="20"/>
          <w:szCs w:val="20"/>
        </w:rPr>
        <w:t>Stillman R (1999): Otoacoustic Emissions in Normal- Cycling Females. J Am Aca</w:t>
      </w:r>
      <w:r w:rsidR="00645F69" w:rsidRPr="00A22695">
        <w:rPr>
          <w:bCs/>
          <w:sz w:val="20"/>
          <w:szCs w:val="20"/>
        </w:rPr>
        <w:t>d A</w:t>
      </w:r>
      <w:r w:rsidRPr="00A22695">
        <w:rPr>
          <w:bCs/>
          <w:sz w:val="20"/>
          <w:szCs w:val="20"/>
        </w:rPr>
        <w:t>udiol; 10:400-8.</w:t>
      </w:r>
    </w:p>
    <w:p w:rsidR="00645F69" w:rsidRPr="00645F69" w:rsidRDefault="00645F69" w:rsidP="00645F69">
      <w:pPr>
        <w:pStyle w:val="ListParagraph"/>
        <w:snapToGrid w:val="0"/>
        <w:spacing w:before="0"/>
        <w:ind w:left="425" w:right="0" w:hanging="425"/>
        <w:rPr>
          <w:bCs/>
          <w:sz w:val="20"/>
          <w:szCs w:val="20"/>
        </w:rPr>
        <w:sectPr w:rsidR="00645F69" w:rsidRPr="00645F69" w:rsidSect="00645F69">
          <w:footerReference w:type="default" r:id="rId42"/>
          <w:type w:val="continuous"/>
          <w:pgSz w:w="12240" w:h="15840" w:code="1"/>
          <w:pgMar w:top="1440" w:right="1440" w:bottom="1440" w:left="1440" w:header="720" w:footer="720" w:gutter="0"/>
          <w:cols w:num="2" w:space="550"/>
          <w:docGrid w:linePitch="299"/>
        </w:sectPr>
      </w:pPr>
    </w:p>
    <w:p w:rsidR="00601DEE" w:rsidRPr="00645F69" w:rsidRDefault="00601DEE" w:rsidP="00645F69">
      <w:pPr>
        <w:pStyle w:val="ListParagraph"/>
        <w:snapToGrid w:val="0"/>
        <w:spacing w:before="0"/>
        <w:ind w:left="425" w:right="0" w:hanging="425"/>
        <w:rPr>
          <w:bCs/>
          <w:sz w:val="20"/>
          <w:szCs w:val="20"/>
        </w:rPr>
      </w:pPr>
    </w:p>
    <w:p w:rsidR="00CC5C4A" w:rsidRPr="00645F69" w:rsidRDefault="00CC5C4A" w:rsidP="00645F69">
      <w:pPr>
        <w:snapToGrid w:val="0"/>
        <w:ind w:left="425" w:hanging="425"/>
        <w:jc w:val="both"/>
        <w:rPr>
          <w:rFonts w:eastAsiaTheme="minorEastAsia"/>
          <w:bCs/>
          <w:sz w:val="20"/>
          <w:szCs w:val="20"/>
          <w:lang w:eastAsia="zh-CN"/>
        </w:rPr>
      </w:pPr>
    </w:p>
    <w:p w:rsidR="00641696" w:rsidRPr="00645F69" w:rsidRDefault="00CC5C4A" w:rsidP="00645F69">
      <w:pPr>
        <w:pStyle w:val="ListParagraph"/>
        <w:snapToGrid w:val="0"/>
        <w:spacing w:before="0"/>
        <w:ind w:left="425" w:right="0" w:hanging="425"/>
        <w:rPr>
          <w:bCs/>
          <w:sz w:val="20"/>
          <w:szCs w:val="20"/>
        </w:rPr>
      </w:pPr>
      <w:r w:rsidRPr="00645F69">
        <w:rPr>
          <w:bCs/>
          <w:noProof/>
          <w:sz w:val="20"/>
          <w:szCs w:val="20"/>
        </w:rPr>
        <w:t>5/1</w:t>
      </w:r>
      <w:r w:rsidR="00645F69" w:rsidRPr="00645F69">
        <w:rPr>
          <w:rFonts w:eastAsiaTheme="minorEastAsia" w:hint="eastAsia"/>
          <w:bCs/>
          <w:noProof/>
          <w:sz w:val="20"/>
          <w:szCs w:val="20"/>
          <w:lang w:eastAsia="zh-CN"/>
        </w:rPr>
        <w:t>0</w:t>
      </w:r>
      <w:r w:rsidRPr="00645F69">
        <w:rPr>
          <w:bCs/>
          <w:noProof/>
          <w:sz w:val="20"/>
          <w:szCs w:val="20"/>
        </w:rPr>
        <w:t>/2017</w:t>
      </w:r>
    </w:p>
    <w:sectPr w:rsidR="00641696" w:rsidRPr="00645F69" w:rsidSect="00CC5C4A">
      <w:footerReference w:type="default" r:id="rId43"/>
      <w:type w:val="continuous"/>
      <w:pgSz w:w="12240" w:h="15840" w:code="1"/>
      <w:pgMar w:top="1440" w:right="1440" w:bottom="1440" w:left="1440" w:header="720" w:footer="720" w:gutter="0"/>
      <w:cols w:num="2" w:space="709"/>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78" w:rsidRDefault="002C7578">
      <w:r>
        <w:separator/>
      </w:r>
    </w:p>
  </w:endnote>
  <w:endnote w:type="continuationSeparator" w:id="0">
    <w:p w:rsidR="002C7578" w:rsidRDefault="002C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gency FB">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69" w:rsidRPr="00645F69" w:rsidRDefault="00AC0A39" w:rsidP="00645F69">
    <w:pPr>
      <w:jc w:val="center"/>
      <w:rPr>
        <w:sz w:val="20"/>
      </w:rPr>
    </w:pPr>
    <w:r w:rsidRPr="00645F69">
      <w:rPr>
        <w:sz w:val="20"/>
      </w:rPr>
      <w:fldChar w:fldCharType="begin"/>
    </w:r>
    <w:r w:rsidR="00645F69" w:rsidRPr="00645F69">
      <w:rPr>
        <w:sz w:val="20"/>
      </w:rPr>
      <w:instrText xml:space="preserve"> page </w:instrText>
    </w:r>
    <w:r w:rsidRPr="00645F69">
      <w:rPr>
        <w:sz w:val="20"/>
      </w:rPr>
      <w:fldChar w:fldCharType="separate"/>
    </w:r>
    <w:r w:rsidR="00147703">
      <w:rPr>
        <w:noProof/>
        <w:sz w:val="20"/>
      </w:rPr>
      <w:t>17</w:t>
    </w:r>
    <w:r w:rsidRPr="00645F6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69" w:rsidRPr="00645F69" w:rsidRDefault="00AC0A39" w:rsidP="00645F69">
    <w:pPr>
      <w:jc w:val="center"/>
      <w:rPr>
        <w:sz w:val="20"/>
      </w:rPr>
    </w:pPr>
    <w:r w:rsidRPr="00645F69">
      <w:rPr>
        <w:sz w:val="20"/>
      </w:rPr>
      <w:fldChar w:fldCharType="begin"/>
    </w:r>
    <w:r w:rsidR="00645F69" w:rsidRPr="00645F69">
      <w:rPr>
        <w:sz w:val="20"/>
      </w:rPr>
      <w:instrText xml:space="preserve"> page </w:instrText>
    </w:r>
    <w:r w:rsidRPr="00645F69">
      <w:rPr>
        <w:sz w:val="20"/>
      </w:rPr>
      <w:fldChar w:fldCharType="separate"/>
    </w:r>
    <w:r w:rsidR="00147703">
      <w:rPr>
        <w:noProof/>
        <w:sz w:val="20"/>
      </w:rPr>
      <w:t>18</w:t>
    </w:r>
    <w:r w:rsidRPr="00645F6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69" w:rsidRPr="008B7631" w:rsidRDefault="00AC0A39" w:rsidP="008B7631">
    <w:pPr>
      <w:jc w:val="center"/>
      <w:rPr>
        <w:sz w:val="20"/>
      </w:rPr>
    </w:pPr>
    <w:r w:rsidRPr="008B7631">
      <w:rPr>
        <w:sz w:val="20"/>
      </w:rPr>
      <w:fldChar w:fldCharType="begin"/>
    </w:r>
    <w:r w:rsidR="008B7631" w:rsidRPr="008B7631">
      <w:rPr>
        <w:sz w:val="20"/>
      </w:rPr>
      <w:instrText xml:space="preserve"> page </w:instrText>
    </w:r>
    <w:r w:rsidRPr="008B7631">
      <w:rPr>
        <w:sz w:val="20"/>
      </w:rPr>
      <w:fldChar w:fldCharType="separate"/>
    </w:r>
    <w:r w:rsidR="00147703">
      <w:rPr>
        <w:noProof/>
        <w:sz w:val="20"/>
      </w:rPr>
      <w:t>19</w:t>
    </w:r>
    <w:r w:rsidRPr="008B763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69" w:rsidRPr="008B7631" w:rsidRDefault="00AC0A39" w:rsidP="008B7631">
    <w:pPr>
      <w:jc w:val="center"/>
      <w:rPr>
        <w:sz w:val="20"/>
      </w:rPr>
    </w:pPr>
    <w:r w:rsidRPr="008B7631">
      <w:rPr>
        <w:sz w:val="20"/>
      </w:rPr>
      <w:fldChar w:fldCharType="begin"/>
    </w:r>
    <w:r w:rsidR="008B7631" w:rsidRPr="008B7631">
      <w:rPr>
        <w:sz w:val="20"/>
      </w:rPr>
      <w:instrText xml:space="preserve"> page </w:instrText>
    </w:r>
    <w:r w:rsidRPr="008B7631">
      <w:rPr>
        <w:sz w:val="20"/>
      </w:rPr>
      <w:fldChar w:fldCharType="separate"/>
    </w:r>
    <w:r w:rsidR="00147703">
      <w:rPr>
        <w:noProof/>
        <w:sz w:val="20"/>
      </w:rPr>
      <w:t>21</w:t>
    </w:r>
    <w:r w:rsidRPr="008B763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69" w:rsidRDefault="00645F6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78" w:rsidRDefault="002C7578">
      <w:r>
        <w:separator/>
      </w:r>
    </w:p>
  </w:footnote>
  <w:footnote w:type="continuationSeparator" w:id="0">
    <w:p w:rsidR="002C7578" w:rsidRDefault="002C7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69" w:rsidRPr="00645F69" w:rsidRDefault="00645F69" w:rsidP="00645F69">
    <w:pPr>
      <w:pBdr>
        <w:bottom w:val="thinThickMediumGap" w:sz="12" w:space="1" w:color="auto"/>
      </w:pBdr>
      <w:tabs>
        <w:tab w:val="left" w:pos="851"/>
        <w:tab w:val="right" w:pos="8364"/>
      </w:tabs>
      <w:adjustRightInd w:val="0"/>
      <w:snapToGrid w:val="0"/>
      <w:jc w:val="both"/>
      <w:rPr>
        <w:iCs/>
        <w:sz w:val="20"/>
        <w:szCs w:val="20"/>
      </w:rPr>
    </w:pPr>
    <w:r w:rsidRPr="00645F69">
      <w:rPr>
        <w:rFonts w:hint="eastAsia"/>
        <w:sz w:val="20"/>
        <w:szCs w:val="20"/>
      </w:rPr>
      <w:tab/>
    </w:r>
    <w:r w:rsidRPr="00645F69">
      <w:rPr>
        <w:sz w:val="20"/>
        <w:szCs w:val="20"/>
      </w:rPr>
      <w:t>New York Science Journal 201</w:t>
    </w:r>
    <w:r w:rsidRPr="00645F69">
      <w:rPr>
        <w:rFonts w:hint="eastAsia"/>
        <w:sz w:val="20"/>
        <w:szCs w:val="20"/>
      </w:rPr>
      <w:t>7</w:t>
    </w:r>
    <w:r w:rsidRPr="00645F69">
      <w:rPr>
        <w:sz w:val="20"/>
        <w:szCs w:val="20"/>
      </w:rPr>
      <w:t>;</w:t>
    </w:r>
    <w:r w:rsidRPr="00645F69">
      <w:rPr>
        <w:rFonts w:hint="eastAsia"/>
        <w:sz w:val="20"/>
        <w:szCs w:val="20"/>
      </w:rPr>
      <w:t>10</w:t>
    </w:r>
    <w:r w:rsidRPr="00645F69">
      <w:rPr>
        <w:sz w:val="20"/>
        <w:szCs w:val="20"/>
      </w:rPr>
      <w:t>(</w:t>
    </w:r>
    <w:r w:rsidRPr="00645F69">
      <w:rPr>
        <w:rFonts w:hint="eastAsia"/>
        <w:sz w:val="20"/>
        <w:szCs w:val="20"/>
      </w:rPr>
      <w:t>6</w:t>
    </w:r>
    <w:r w:rsidRPr="00645F69">
      <w:rPr>
        <w:sz w:val="20"/>
        <w:szCs w:val="20"/>
      </w:rPr>
      <w:t>)</w:t>
    </w:r>
    <w:r w:rsidRPr="00645F69">
      <w:rPr>
        <w:iCs/>
        <w:sz w:val="20"/>
        <w:szCs w:val="20"/>
      </w:rPr>
      <w:t xml:space="preserve">     </w:t>
    </w:r>
    <w:r w:rsidRPr="00645F69">
      <w:rPr>
        <w:rFonts w:hint="eastAsia"/>
        <w:iCs/>
        <w:sz w:val="20"/>
        <w:szCs w:val="20"/>
      </w:rPr>
      <w:tab/>
    </w:r>
    <w:r w:rsidRPr="00645F69">
      <w:rPr>
        <w:iCs/>
        <w:sz w:val="20"/>
        <w:szCs w:val="20"/>
      </w:rPr>
      <w:t xml:space="preserve"> </w:t>
    </w:r>
    <w:r w:rsidRPr="00645F69">
      <w:rPr>
        <w:rFonts w:hint="eastAsia"/>
        <w:iCs/>
        <w:sz w:val="20"/>
        <w:szCs w:val="20"/>
      </w:rPr>
      <w:t xml:space="preserve"> </w:t>
    </w:r>
    <w:r w:rsidRPr="00645F69">
      <w:rPr>
        <w:iCs/>
        <w:sz w:val="20"/>
        <w:szCs w:val="20"/>
      </w:rPr>
      <w:t xml:space="preserve">   </w:t>
    </w:r>
    <w:hyperlink r:id="rId1" w:history="1">
      <w:r w:rsidRPr="00645F69">
        <w:rPr>
          <w:rStyle w:val="Hyperlink"/>
          <w:color w:val="0000FF"/>
          <w:sz w:val="20"/>
          <w:szCs w:val="20"/>
        </w:rPr>
        <w:t>http://www.sciencepub.net/newyork</w:t>
      </w:r>
    </w:hyperlink>
  </w:p>
  <w:p w:rsidR="00645F69" w:rsidRPr="00645F69" w:rsidRDefault="00645F69" w:rsidP="00645F6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31" w:rsidRPr="008B7631" w:rsidRDefault="008B7631" w:rsidP="008B7631">
    <w:pPr>
      <w:pBdr>
        <w:bottom w:val="thinThickMediumGap" w:sz="12" w:space="1" w:color="auto"/>
      </w:pBdr>
      <w:tabs>
        <w:tab w:val="left" w:pos="851"/>
        <w:tab w:val="right" w:pos="8364"/>
      </w:tabs>
      <w:adjustRightInd w:val="0"/>
      <w:snapToGrid w:val="0"/>
      <w:jc w:val="both"/>
      <w:rPr>
        <w:iCs/>
        <w:sz w:val="20"/>
        <w:szCs w:val="20"/>
      </w:rPr>
    </w:pPr>
    <w:r w:rsidRPr="008B7631">
      <w:rPr>
        <w:rFonts w:hint="eastAsia"/>
        <w:sz w:val="20"/>
        <w:szCs w:val="20"/>
      </w:rPr>
      <w:tab/>
    </w:r>
    <w:r w:rsidRPr="008B7631">
      <w:rPr>
        <w:sz w:val="20"/>
        <w:szCs w:val="20"/>
      </w:rPr>
      <w:t>New York Science Journal 201</w:t>
    </w:r>
    <w:r w:rsidRPr="008B7631">
      <w:rPr>
        <w:rFonts w:hint="eastAsia"/>
        <w:sz w:val="20"/>
        <w:szCs w:val="20"/>
      </w:rPr>
      <w:t>7</w:t>
    </w:r>
    <w:r w:rsidRPr="008B7631">
      <w:rPr>
        <w:sz w:val="20"/>
        <w:szCs w:val="20"/>
      </w:rPr>
      <w:t>;</w:t>
    </w:r>
    <w:r w:rsidRPr="008B7631">
      <w:rPr>
        <w:rFonts w:hint="eastAsia"/>
        <w:sz w:val="20"/>
        <w:szCs w:val="20"/>
      </w:rPr>
      <w:t>10</w:t>
    </w:r>
    <w:r w:rsidRPr="008B7631">
      <w:rPr>
        <w:sz w:val="20"/>
        <w:szCs w:val="20"/>
      </w:rPr>
      <w:t>(</w:t>
    </w:r>
    <w:r w:rsidRPr="008B7631">
      <w:rPr>
        <w:rFonts w:hint="eastAsia"/>
        <w:sz w:val="20"/>
        <w:szCs w:val="20"/>
      </w:rPr>
      <w:t>6</w:t>
    </w:r>
    <w:r w:rsidRPr="008B7631">
      <w:rPr>
        <w:sz w:val="20"/>
        <w:szCs w:val="20"/>
      </w:rPr>
      <w:t>)</w:t>
    </w:r>
    <w:r w:rsidRPr="008B7631">
      <w:rPr>
        <w:iCs/>
        <w:sz w:val="20"/>
        <w:szCs w:val="20"/>
      </w:rPr>
      <w:t xml:space="preserve">     </w:t>
    </w:r>
    <w:r w:rsidRPr="008B7631">
      <w:rPr>
        <w:rFonts w:hint="eastAsia"/>
        <w:iCs/>
        <w:sz w:val="20"/>
        <w:szCs w:val="20"/>
      </w:rPr>
      <w:tab/>
    </w:r>
    <w:r w:rsidRPr="008B7631">
      <w:rPr>
        <w:iCs/>
        <w:sz w:val="20"/>
        <w:szCs w:val="20"/>
      </w:rPr>
      <w:t xml:space="preserve"> </w:t>
    </w:r>
    <w:r w:rsidRPr="008B7631">
      <w:rPr>
        <w:rFonts w:hint="eastAsia"/>
        <w:iCs/>
        <w:sz w:val="20"/>
        <w:szCs w:val="20"/>
      </w:rPr>
      <w:t xml:space="preserve"> </w:t>
    </w:r>
    <w:r w:rsidRPr="008B7631">
      <w:rPr>
        <w:iCs/>
        <w:sz w:val="20"/>
        <w:szCs w:val="20"/>
      </w:rPr>
      <w:t xml:space="preserve">   </w:t>
    </w:r>
    <w:hyperlink r:id="rId1" w:history="1">
      <w:r w:rsidRPr="008B7631">
        <w:rPr>
          <w:rStyle w:val="Hyperlink"/>
          <w:color w:val="0000FF"/>
          <w:sz w:val="20"/>
          <w:szCs w:val="20"/>
        </w:rPr>
        <w:t>http://www.sciencepub.net/newyork</w:t>
      </w:r>
    </w:hyperlink>
  </w:p>
  <w:p w:rsidR="008B7631" w:rsidRPr="008B7631" w:rsidRDefault="008B7631" w:rsidP="008B763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43DD3"/>
    <w:multiLevelType w:val="hybridMultilevel"/>
    <w:tmpl w:val="D9705660"/>
    <w:lvl w:ilvl="0" w:tplc="0409000F">
      <w:start w:val="1"/>
      <w:numFmt w:val="decimal"/>
      <w:lvlText w:val="%1."/>
      <w:lvlJc w:val="left"/>
      <w:pPr>
        <w:ind w:left="100" w:hanging="378"/>
      </w:pPr>
      <w:rPr>
        <w:rFonts w:hint="default"/>
        <w:b w:val="0"/>
        <w:bCs w:val="0"/>
        <w:spacing w:val="0"/>
        <w:w w:val="100"/>
        <w:sz w:val="20"/>
        <w:szCs w:val="20"/>
      </w:rPr>
    </w:lvl>
    <w:lvl w:ilvl="1" w:tplc="34FCEF5A">
      <w:numFmt w:val="bullet"/>
      <w:lvlText w:val="•"/>
      <w:lvlJc w:val="left"/>
      <w:pPr>
        <w:ind w:left="976" w:hanging="378"/>
      </w:pPr>
      <w:rPr>
        <w:rFonts w:hint="default"/>
      </w:rPr>
    </w:lvl>
    <w:lvl w:ilvl="2" w:tplc="D10C4AB8">
      <w:numFmt w:val="bullet"/>
      <w:lvlText w:val="•"/>
      <w:lvlJc w:val="left"/>
      <w:pPr>
        <w:ind w:left="1852" w:hanging="378"/>
      </w:pPr>
      <w:rPr>
        <w:rFonts w:hint="default"/>
      </w:rPr>
    </w:lvl>
    <w:lvl w:ilvl="3" w:tplc="0CA2DDDC">
      <w:numFmt w:val="bullet"/>
      <w:lvlText w:val="•"/>
      <w:lvlJc w:val="left"/>
      <w:pPr>
        <w:ind w:left="2728" w:hanging="378"/>
      </w:pPr>
      <w:rPr>
        <w:rFonts w:hint="default"/>
      </w:rPr>
    </w:lvl>
    <w:lvl w:ilvl="4" w:tplc="D95E7F42">
      <w:numFmt w:val="bullet"/>
      <w:lvlText w:val="•"/>
      <w:lvlJc w:val="left"/>
      <w:pPr>
        <w:ind w:left="3604" w:hanging="378"/>
      </w:pPr>
      <w:rPr>
        <w:rFonts w:hint="default"/>
      </w:rPr>
    </w:lvl>
    <w:lvl w:ilvl="5" w:tplc="8D2A2684">
      <w:numFmt w:val="bullet"/>
      <w:lvlText w:val="•"/>
      <w:lvlJc w:val="left"/>
      <w:pPr>
        <w:ind w:left="4480" w:hanging="378"/>
      </w:pPr>
      <w:rPr>
        <w:rFonts w:hint="default"/>
      </w:rPr>
    </w:lvl>
    <w:lvl w:ilvl="6" w:tplc="18E8F20A">
      <w:numFmt w:val="bullet"/>
      <w:lvlText w:val="•"/>
      <w:lvlJc w:val="left"/>
      <w:pPr>
        <w:ind w:left="5356" w:hanging="378"/>
      </w:pPr>
      <w:rPr>
        <w:rFonts w:hint="default"/>
      </w:rPr>
    </w:lvl>
    <w:lvl w:ilvl="7" w:tplc="049C2276">
      <w:numFmt w:val="bullet"/>
      <w:lvlText w:val="•"/>
      <w:lvlJc w:val="left"/>
      <w:pPr>
        <w:ind w:left="6232" w:hanging="378"/>
      </w:pPr>
      <w:rPr>
        <w:rFonts w:hint="default"/>
      </w:rPr>
    </w:lvl>
    <w:lvl w:ilvl="8" w:tplc="67882786">
      <w:numFmt w:val="bullet"/>
      <w:lvlText w:val="•"/>
      <w:lvlJc w:val="left"/>
      <w:pPr>
        <w:ind w:left="7108" w:hanging="378"/>
      </w:pPr>
      <w:rPr>
        <w:rFonts w:hint="default"/>
      </w:rPr>
    </w:lvl>
  </w:abstractNum>
  <w:abstractNum w:abstractNumId="1">
    <w:nsid w:val="3B044C95"/>
    <w:multiLevelType w:val="hybridMultilevel"/>
    <w:tmpl w:val="761EE102"/>
    <w:lvl w:ilvl="0" w:tplc="B94A03CE">
      <w:start w:val="1"/>
      <w:numFmt w:val="decimal"/>
      <w:lvlText w:val="%1-"/>
      <w:lvlJc w:val="left"/>
      <w:pPr>
        <w:ind w:left="5089" w:hanging="269"/>
      </w:pPr>
      <w:rPr>
        <w:rFonts w:hint="default"/>
        <w:w w:val="100"/>
      </w:rPr>
    </w:lvl>
    <w:lvl w:ilvl="1" w:tplc="5D4E06C0">
      <w:numFmt w:val="bullet"/>
      <w:lvlText w:val="•"/>
      <w:lvlJc w:val="left"/>
      <w:pPr>
        <w:ind w:left="5965" w:hanging="269"/>
      </w:pPr>
      <w:rPr>
        <w:rFonts w:hint="default"/>
      </w:rPr>
    </w:lvl>
    <w:lvl w:ilvl="2" w:tplc="39E8F1F4">
      <w:numFmt w:val="bullet"/>
      <w:lvlText w:val="•"/>
      <w:lvlJc w:val="left"/>
      <w:pPr>
        <w:ind w:left="6841" w:hanging="269"/>
      </w:pPr>
      <w:rPr>
        <w:rFonts w:hint="default"/>
      </w:rPr>
    </w:lvl>
    <w:lvl w:ilvl="3" w:tplc="D5C224DA">
      <w:numFmt w:val="bullet"/>
      <w:lvlText w:val="•"/>
      <w:lvlJc w:val="left"/>
      <w:pPr>
        <w:ind w:left="7717" w:hanging="269"/>
      </w:pPr>
      <w:rPr>
        <w:rFonts w:hint="default"/>
      </w:rPr>
    </w:lvl>
    <w:lvl w:ilvl="4" w:tplc="47D66192">
      <w:numFmt w:val="bullet"/>
      <w:lvlText w:val="•"/>
      <w:lvlJc w:val="left"/>
      <w:pPr>
        <w:ind w:left="8593" w:hanging="269"/>
      </w:pPr>
      <w:rPr>
        <w:rFonts w:hint="default"/>
      </w:rPr>
    </w:lvl>
    <w:lvl w:ilvl="5" w:tplc="9D1E0A0E">
      <w:numFmt w:val="bullet"/>
      <w:lvlText w:val="•"/>
      <w:lvlJc w:val="left"/>
      <w:pPr>
        <w:ind w:left="9469" w:hanging="269"/>
      </w:pPr>
      <w:rPr>
        <w:rFonts w:hint="default"/>
      </w:rPr>
    </w:lvl>
    <w:lvl w:ilvl="6" w:tplc="0E509746">
      <w:numFmt w:val="bullet"/>
      <w:lvlText w:val="•"/>
      <w:lvlJc w:val="left"/>
      <w:pPr>
        <w:ind w:left="10345" w:hanging="269"/>
      </w:pPr>
      <w:rPr>
        <w:rFonts w:hint="default"/>
      </w:rPr>
    </w:lvl>
    <w:lvl w:ilvl="7" w:tplc="E28A78BC">
      <w:numFmt w:val="bullet"/>
      <w:lvlText w:val="•"/>
      <w:lvlJc w:val="left"/>
      <w:pPr>
        <w:ind w:left="11221" w:hanging="269"/>
      </w:pPr>
      <w:rPr>
        <w:rFonts w:hint="default"/>
      </w:rPr>
    </w:lvl>
    <w:lvl w:ilvl="8" w:tplc="325C6C7E">
      <w:numFmt w:val="bullet"/>
      <w:lvlText w:val="•"/>
      <w:lvlJc w:val="left"/>
      <w:pPr>
        <w:ind w:left="12097" w:hanging="269"/>
      </w:pPr>
      <w:rPr>
        <w:rFonts w:hint="default"/>
      </w:rPr>
    </w:lvl>
  </w:abstractNum>
  <w:abstractNum w:abstractNumId="2">
    <w:nsid w:val="48B20794"/>
    <w:multiLevelType w:val="hybridMultilevel"/>
    <w:tmpl w:val="E528D894"/>
    <w:lvl w:ilvl="0" w:tplc="40AA350C">
      <w:start w:val="1"/>
      <w:numFmt w:val="decimal"/>
      <w:lvlText w:val="%1-"/>
      <w:lvlJc w:val="left"/>
      <w:pPr>
        <w:ind w:left="6276" w:hanging="152"/>
        <w:jc w:val="right"/>
      </w:pPr>
      <w:rPr>
        <w:rFonts w:ascii="Agency FB" w:eastAsia="Agency FB" w:hAnsi="Agency FB" w:cs="Agency FB" w:hint="default"/>
        <w:b/>
        <w:bCs/>
        <w:spacing w:val="-4"/>
        <w:w w:val="100"/>
        <w:sz w:val="28"/>
        <w:szCs w:val="28"/>
      </w:rPr>
    </w:lvl>
    <w:lvl w:ilvl="1" w:tplc="57CCC266">
      <w:numFmt w:val="bullet"/>
      <w:lvlText w:val="•"/>
      <w:lvlJc w:val="left"/>
      <w:pPr>
        <w:ind w:left="6538" w:hanging="152"/>
      </w:pPr>
      <w:rPr>
        <w:rFonts w:hint="default"/>
      </w:rPr>
    </w:lvl>
    <w:lvl w:ilvl="2" w:tplc="38E2B16C">
      <w:numFmt w:val="bullet"/>
      <w:lvlText w:val="•"/>
      <w:lvlJc w:val="left"/>
      <w:pPr>
        <w:ind w:left="6796" w:hanging="152"/>
      </w:pPr>
      <w:rPr>
        <w:rFonts w:hint="default"/>
      </w:rPr>
    </w:lvl>
    <w:lvl w:ilvl="3" w:tplc="FE0A75D0">
      <w:numFmt w:val="bullet"/>
      <w:lvlText w:val="•"/>
      <w:lvlJc w:val="left"/>
      <w:pPr>
        <w:ind w:left="7054" w:hanging="152"/>
      </w:pPr>
      <w:rPr>
        <w:rFonts w:hint="default"/>
      </w:rPr>
    </w:lvl>
    <w:lvl w:ilvl="4" w:tplc="1076FC50">
      <w:numFmt w:val="bullet"/>
      <w:lvlText w:val="•"/>
      <w:lvlJc w:val="left"/>
      <w:pPr>
        <w:ind w:left="7312" w:hanging="152"/>
      </w:pPr>
      <w:rPr>
        <w:rFonts w:hint="default"/>
      </w:rPr>
    </w:lvl>
    <w:lvl w:ilvl="5" w:tplc="3030303A">
      <w:numFmt w:val="bullet"/>
      <w:lvlText w:val="•"/>
      <w:lvlJc w:val="left"/>
      <w:pPr>
        <w:ind w:left="7570" w:hanging="152"/>
      </w:pPr>
      <w:rPr>
        <w:rFonts w:hint="default"/>
      </w:rPr>
    </w:lvl>
    <w:lvl w:ilvl="6" w:tplc="888E58FE">
      <w:numFmt w:val="bullet"/>
      <w:lvlText w:val="•"/>
      <w:lvlJc w:val="left"/>
      <w:pPr>
        <w:ind w:left="7828" w:hanging="152"/>
      </w:pPr>
      <w:rPr>
        <w:rFonts w:hint="default"/>
      </w:rPr>
    </w:lvl>
    <w:lvl w:ilvl="7" w:tplc="94E0D482">
      <w:numFmt w:val="bullet"/>
      <w:lvlText w:val="•"/>
      <w:lvlJc w:val="left"/>
      <w:pPr>
        <w:ind w:left="8086" w:hanging="152"/>
      </w:pPr>
      <w:rPr>
        <w:rFonts w:hint="default"/>
      </w:rPr>
    </w:lvl>
    <w:lvl w:ilvl="8" w:tplc="31FA899E">
      <w:numFmt w:val="bullet"/>
      <w:lvlText w:val="•"/>
      <w:lvlJc w:val="left"/>
      <w:pPr>
        <w:ind w:left="8344" w:hanging="152"/>
      </w:pPr>
      <w:rPr>
        <w:rFonts w:hint="default"/>
      </w:rPr>
    </w:lvl>
  </w:abstractNum>
  <w:abstractNum w:abstractNumId="3">
    <w:nsid w:val="579C50D7"/>
    <w:multiLevelType w:val="hybridMultilevel"/>
    <w:tmpl w:val="8CBA2086"/>
    <w:lvl w:ilvl="0" w:tplc="E41A74EA">
      <w:start w:val="22"/>
      <w:numFmt w:val="decimal"/>
      <w:lvlText w:val="%1."/>
      <w:lvlJc w:val="left"/>
      <w:pPr>
        <w:ind w:left="100" w:hanging="452"/>
      </w:pPr>
      <w:rPr>
        <w:rFonts w:ascii="Calibri" w:eastAsia="Calibri" w:hAnsi="Calibri" w:cs="Calibri" w:hint="default"/>
        <w:b/>
        <w:bCs/>
        <w:spacing w:val="-1"/>
        <w:w w:val="100"/>
        <w:sz w:val="28"/>
        <w:szCs w:val="28"/>
      </w:rPr>
    </w:lvl>
    <w:lvl w:ilvl="1" w:tplc="13BA119A">
      <w:start w:val="1"/>
      <w:numFmt w:val="decimal"/>
      <w:lvlText w:val="%2)"/>
      <w:lvlJc w:val="left"/>
      <w:pPr>
        <w:ind w:left="360" w:hanging="360"/>
      </w:pPr>
      <w:rPr>
        <w:rFonts w:ascii="Times New Roman" w:eastAsia="Times New Roman" w:hAnsi="Times New Roman" w:cs="Times New Roman" w:hint="default"/>
        <w:b w:val="0"/>
        <w:bCs w:val="0"/>
        <w:spacing w:val="0"/>
        <w:w w:val="100"/>
        <w:sz w:val="20"/>
        <w:szCs w:val="20"/>
      </w:rPr>
    </w:lvl>
    <w:lvl w:ilvl="2" w:tplc="0CE86E32">
      <w:numFmt w:val="bullet"/>
      <w:lvlText w:val="•"/>
      <w:lvlJc w:val="left"/>
      <w:pPr>
        <w:ind w:left="1713" w:hanging="360"/>
      </w:pPr>
      <w:rPr>
        <w:rFonts w:hint="default"/>
      </w:rPr>
    </w:lvl>
    <w:lvl w:ilvl="3" w:tplc="F912EDF6">
      <w:numFmt w:val="bullet"/>
      <w:lvlText w:val="•"/>
      <w:lvlJc w:val="left"/>
      <w:pPr>
        <w:ind w:left="2606" w:hanging="360"/>
      </w:pPr>
      <w:rPr>
        <w:rFonts w:hint="default"/>
      </w:rPr>
    </w:lvl>
    <w:lvl w:ilvl="4" w:tplc="8C7A9546">
      <w:numFmt w:val="bullet"/>
      <w:lvlText w:val="•"/>
      <w:lvlJc w:val="left"/>
      <w:pPr>
        <w:ind w:left="3500" w:hanging="360"/>
      </w:pPr>
      <w:rPr>
        <w:rFonts w:hint="default"/>
      </w:rPr>
    </w:lvl>
    <w:lvl w:ilvl="5" w:tplc="23C2453A">
      <w:numFmt w:val="bullet"/>
      <w:lvlText w:val="•"/>
      <w:lvlJc w:val="left"/>
      <w:pPr>
        <w:ind w:left="4393" w:hanging="360"/>
      </w:pPr>
      <w:rPr>
        <w:rFonts w:hint="default"/>
      </w:rPr>
    </w:lvl>
    <w:lvl w:ilvl="6" w:tplc="1338A846">
      <w:numFmt w:val="bullet"/>
      <w:lvlText w:val="•"/>
      <w:lvlJc w:val="left"/>
      <w:pPr>
        <w:ind w:left="5286" w:hanging="360"/>
      </w:pPr>
      <w:rPr>
        <w:rFonts w:hint="default"/>
      </w:rPr>
    </w:lvl>
    <w:lvl w:ilvl="7" w:tplc="F2A680FE">
      <w:numFmt w:val="bullet"/>
      <w:lvlText w:val="•"/>
      <w:lvlJc w:val="left"/>
      <w:pPr>
        <w:ind w:left="6180" w:hanging="360"/>
      </w:pPr>
      <w:rPr>
        <w:rFonts w:hint="default"/>
      </w:rPr>
    </w:lvl>
    <w:lvl w:ilvl="8" w:tplc="0F207A12">
      <w:numFmt w:val="bullet"/>
      <w:lvlText w:val="•"/>
      <w:lvlJc w:val="left"/>
      <w:pPr>
        <w:ind w:left="7073" w:hanging="360"/>
      </w:pPr>
      <w:rPr>
        <w:rFonts w:hint="default"/>
      </w:rPr>
    </w:lvl>
  </w:abstractNum>
  <w:abstractNum w:abstractNumId="4">
    <w:nsid w:val="66214C02"/>
    <w:multiLevelType w:val="hybridMultilevel"/>
    <w:tmpl w:val="F9D63EA4"/>
    <w:lvl w:ilvl="0" w:tplc="0409000F">
      <w:start w:val="1"/>
      <w:numFmt w:val="decimal"/>
      <w:lvlText w:val="%1."/>
      <w:lvlJc w:val="left"/>
      <w:pPr>
        <w:ind w:left="100" w:hanging="237"/>
      </w:pPr>
      <w:rPr>
        <w:rFonts w:hint="default"/>
        <w:b w:val="0"/>
        <w:bCs w:val="0"/>
        <w:spacing w:val="0"/>
        <w:w w:val="100"/>
        <w:sz w:val="20"/>
        <w:szCs w:val="20"/>
      </w:rPr>
    </w:lvl>
    <w:lvl w:ilvl="1" w:tplc="706073C6">
      <w:numFmt w:val="bullet"/>
      <w:lvlText w:val="•"/>
      <w:lvlJc w:val="left"/>
      <w:pPr>
        <w:ind w:left="976" w:hanging="237"/>
      </w:pPr>
      <w:rPr>
        <w:rFonts w:hint="default"/>
      </w:rPr>
    </w:lvl>
    <w:lvl w:ilvl="2" w:tplc="F8962456">
      <w:numFmt w:val="bullet"/>
      <w:lvlText w:val="•"/>
      <w:lvlJc w:val="left"/>
      <w:pPr>
        <w:ind w:left="1852" w:hanging="237"/>
      </w:pPr>
      <w:rPr>
        <w:rFonts w:hint="default"/>
      </w:rPr>
    </w:lvl>
    <w:lvl w:ilvl="3" w:tplc="3FA8900A">
      <w:numFmt w:val="bullet"/>
      <w:lvlText w:val="•"/>
      <w:lvlJc w:val="left"/>
      <w:pPr>
        <w:ind w:left="2728" w:hanging="237"/>
      </w:pPr>
      <w:rPr>
        <w:rFonts w:hint="default"/>
      </w:rPr>
    </w:lvl>
    <w:lvl w:ilvl="4" w:tplc="631CBCFC">
      <w:numFmt w:val="bullet"/>
      <w:lvlText w:val="•"/>
      <w:lvlJc w:val="left"/>
      <w:pPr>
        <w:ind w:left="3604" w:hanging="237"/>
      </w:pPr>
      <w:rPr>
        <w:rFonts w:hint="default"/>
      </w:rPr>
    </w:lvl>
    <w:lvl w:ilvl="5" w:tplc="9E8A7DF8">
      <w:numFmt w:val="bullet"/>
      <w:lvlText w:val="•"/>
      <w:lvlJc w:val="left"/>
      <w:pPr>
        <w:ind w:left="4480" w:hanging="237"/>
      </w:pPr>
      <w:rPr>
        <w:rFonts w:hint="default"/>
      </w:rPr>
    </w:lvl>
    <w:lvl w:ilvl="6" w:tplc="F5402ADA">
      <w:numFmt w:val="bullet"/>
      <w:lvlText w:val="•"/>
      <w:lvlJc w:val="left"/>
      <w:pPr>
        <w:ind w:left="5356" w:hanging="237"/>
      </w:pPr>
      <w:rPr>
        <w:rFonts w:hint="default"/>
      </w:rPr>
    </w:lvl>
    <w:lvl w:ilvl="7" w:tplc="67E8BE5C">
      <w:numFmt w:val="bullet"/>
      <w:lvlText w:val="•"/>
      <w:lvlJc w:val="left"/>
      <w:pPr>
        <w:ind w:left="6232" w:hanging="237"/>
      </w:pPr>
      <w:rPr>
        <w:rFonts w:hint="default"/>
      </w:rPr>
    </w:lvl>
    <w:lvl w:ilvl="8" w:tplc="4C20009C">
      <w:numFmt w:val="bullet"/>
      <w:lvlText w:val="•"/>
      <w:lvlJc w:val="left"/>
      <w:pPr>
        <w:ind w:left="7108" w:hanging="237"/>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
  <w:rsids>
    <w:rsidRoot w:val="00641696"/>
    <w:rsid w:val="000C3A44"/>
    <w:rsid w:val="00144454"/>
    <w:rsid w:val="00147703"/>
    <w:rsid w:val="00152FAE"/>
    <w:rsid w:val="002C7578"/>
    <w:rsid w:val="002E1BAB"/>
    <w:rsid w:val="002F1D98"/>
    <w:rsid w:val="002F63F4"/>
    <w:rsid w:val="00312450"/>
    <w:rsid w:val="00444402"/>
    <w:rsid w:val="004F24BC"/>
    <w:rsid w:val="00561068"/>
    <w:rsid w:val="00601DEE"/>
    <w:rsid w:val="00641696"/>
    <w:rsid w:val="00645F69"/>
    <w:rsid w:val="00693733"/>
    <w:rsid w:val="007A00C3"/>
    <w:rsid w:val="0081247C"/>
    <w:rsid w:val="00816B49"/>
    <w:rsid w:val="008739CE"/>
    <w:rsid w:val="008B7631"/>
    <w:rsid w:val="008C2AEF"/>
    <w:rsid w:val="009A0AA2"/>
    <w:rsid w:val="009B2A3B"/>
    <w:rsid w:val="00A22695"/>
    <w:rsid w:val="00A835A6"/>
    <w:rsid w:val="00AC0A39"/>
    <w:rsid w:val="00AE7F37"/>
    <w:rsid w:val="00CC5C4A"/>
    <w:rsid w:val="00CE1C06"/>
    <w:rsid w:val="00D21F3F"/>
    <w:rsid w:val="00DB1406"/>
    <w:rsid w:val="00F72921"/>
    <w:rsid w:val="00F742E4"/>
    <w:rsid w:val="00FD4F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42E4"/>
    <w:rPr>
      <w:rFonts w:ascii="Times New Roman" w:eastAsia="Times New Roman" w:hAnsi="Times New Roman" w:cs="Times New Roman"/>
    </w:rPr>
  </w:style>
  <w:style w:type="paragraph" w:styleId="Heading1">
    <w:name w:val="heading 1"/>
    <w:basedOn w:val="Normal"/>
    <w:uiPriority w:val="1"/>
    <w:qFormat/>
    <w:rsid w:val="00F742E4"/>
    <w:pPr>
      <w:spacing w:before="54"/>
      <w:ind w:left="562"/>
      <w:jc w:val="center"/>
      <w:outlineLvl w:val="0"/>
    </w:pPr>
    <w:rPr>
      <w:b/>
      <w:bCs/>
      <w:sz w:val="36"/>
      <w:szCs w:val="36"/>
    </w:rPr>
  </w:style>
  <w:style w:type="paragraph" w:styleId="Heading2">
    <w:name w:val="heading 2"/>
    <w:basedOn w:val="Normal"/>
    <w:uiPriority w:val="1"/>
    <w:qFormat/>
    <w:rsid w:val="00F742E4"/>
    <w:pPr>
      <w:spacing w:before="5"/>
      <w:ind w:left="100" w:right="113"/>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42E4"/>
    <w:rPr>
      <w:sz w:val="28"/>
      <w:szCs w:val="28"/>
    </w:rPr>
  </w:style>
  <w:style w:type="paragraph" w:styleId="ListParagraph">
    <w:name w:val="List Paragraph"/>
    <w:basedOn w:val="Normal"/>
    <w:uiPriority w:val="1"/>
    <w:qFormat/>
    <w:rsid w:val="00F742E4"/>
    <w:pPr>
      <w:spacing w:before="5"/>
      <w:ind w:left="100" w:right="113"/>
      <w:jc w:val="both"/>
    </w:pPr>
  </w:style>
  <w:style w:type="paragraph" w:customStyle="1" w:styleId="TableParagraph">
    <w:name w:val="Table Paragraph"/>
    <w:basedOn w:val="Normal"/>
    <w:uiPriority w:val="1"/>
    <w:qFormat/>
    <w:rsid w:val="00F742E4"/>
    <w:pPr>
      <w:jc w:val="center"/>
    </w:pPr>
  </w:style>
  <w:style w:type="paragraph" w:styleId="Header">
    <w:name w:val="header"/>
    <w:basedOn w:val="Normal"/>
    <w:link w:val="HeaderChar"/>
    <w:uiPriority w:val="99"/>
    <w:unhideWhenUsed/>
    <w:rsid w:val="008739CE"/>
    <w:pPr>
      <w:tabs>
        <w:tab w:val="center" w:pos="4153"/>
        <w:tab w:val="right" w:pos="8306"/>
      </w:tabs>
    </w:pPr>
  </w:style>
  <w:style w:type="character" w:customStyle="1" w:styleId="HeaderChar">
    <w:name w:val="Header Char"/>
    <w:basedOn w:val="DefaultParagraphFont"/>
    <w:link w:val="Header"/>
    <w:uiPriority w:val="99"/>
    <w:rsid w:val="008739CE"/>
    <w:rPr>
      <w:rFonts w:ascii="Times New Roman" w:eastAsia="Times New Roman" w:hAnsi="Times New Roman" w:cs="Times New Roman"/>
    </w:rPr>
  </w:style>
  <w:style w:type="paragraph" w:styleId="Footer">
    <w:name w:val="footer"/>
    <w:basedOn w:val="Normal"/>
    <w:link w:val="FooterChar"/>
    <w:uiPriority w:val="99"/>
    <w:unhideWhenUsed/>
    <w:rsid w:val="008739CE"/>
    <w:pPr>
      <w:tabs>
        <w:tab w:val="center" w:pos="4153"/>
        <w:tab w:val="right" w:pos="8306"/>
      </w:tabs>
    </w:pPr>
  </w:style>
  <w:style w:type="character" w:customStyle="1" w:styleId="FooterChar">
    <w:name w:val="Footer Char"/>
    <w:basedOn w:val="DefaultParagraphFont"/>
    <w:link w:val="Footer"/>
    <w:uiPriority w:val="99"/>
    <w:rsid w:val="008739CE"/>
    <w:rPr>
      <w:rFonts w:ascii="Times New Roman" w:eastAsia="Times New Roman" w:hAnsi="Times New Roman" w:cs="Times New Roman"/>
    </w:rPr>
  </w:style>
  <w:style w:type="character" w:styleId="Hyperlink">
    <w:name w:val="Hyperlink"/>
    <w:basedOn w:val="DefaultParagraphFont"/>
    <w:uiPriority w:val="99"/>
    <w:unhideWhenUsed/>
    <w:rsid w:val="00601DEE"/>
    <w:rPr>
      <w:color w:val="0000FF" w:themeColor="hyperlink"/>
      <w:u w:val="single"/>
    </w:rPr>
  </w:style>
  <w:style w:type="table" w:styleId="TableGrid">
    <w:name w:val="Table Grid"/>
    <w:basedOn w:val="TableNormal"/>
    <w:uiPriority w:val="59"/>
    <w:rsid w:val="00645F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4"/>
      <w:ind w:left="562"/>
      <w:jc w:val="center"/>
      <w:outlineLvl w:val="0"/>
    </w:pPr>
    <w:rPr>
      <w:b/>
      <w:bCs/>
      <w:sz w:val="36"/>
      <w:szCs w:val="36"/>
    </w:rPr>
  </w:style>
  <w:style w:type="paragraph" w:styleId="Heading2">
    <w:name w:val="heading 2"/>
    <w:basedOn w:val="Normal"/>
    <w:uiPriority w:val="1"/>
    <w:qFormat/>
    <w:pPr>
      <w:spacing w:before="5"/>
      <w:ind w:left="100" w:right="113"/>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5"/>
      <w:ind w:left="100" w:right="113"/>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8739CE"/>
    <w:pPr>
      <w:tabs>
        <w:tab w:val="center" w:pos="4153"/>
        <w:tab w:val="right" w:pos="8306"/>
      </w:tabs>
    </w:pPr>
  </w:style>
  <w:style w:type="character" w:customStyle="1" w:styleId="HeaderChar">
    <w:name w:val="Header Char"/>
    <w:basedOn w:val="DefaultParagraphFont"/>
    <w:link w:val="Header"/>
    <w:uiPriority w:val="99"/>
    <w:rsid w:val="008739CE"/>
    <w:rPr>
      <w:rFonts w:ascii="Times New Roman" w:eastAsia="Times New Roman" w:hAnsi="Times New Roman" w:cs="Times New Roman"/>
    </w:rPr>
  </w:style>
  <w:style w:type="paragraph" w:styleId="Footer">
    <w:name w:val="footer"/>
    <w:basedOn w:val="Normal"/>
    <w:link w:val="FooterChar"/>
    <w:uiPriority w:val="99"/>
    <w:unhideWhenUsed/>
    <w:rsid w:val="008739CE"/>
    <w:pPr>
      <w:tabs>
        <w:tab w:val="center" w:pos="4153"/>
        <w:tab w:val="right" w:pos="8306"/>
      </w:tabs>
    </w:pPr>
  </w:style>
  <w:style w:type="character" w:customStyle="1" w:styleId="FooterChar">
    <w:name w:val="Footer Char"/>
    <w:basedOn w:val="DefaultParagraphFont"/>
    <w:link w:val="Footer"/>
    <w:uiPriority w:val="99"/>
    <w:rsid w:val="008739C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galal1985@hotmail.com" TargetMode="External"/><Relationship Id="rId13" Type="http://schemas.openxmlformats.org/officeDocument/2006/relationships/footer" Target="footer1.xml"/><Relationship Id="rId18" Type="http://schemas.openxmlformats.org/officeDocument/2006/relationships/hyperlink" Target="https://en.wikipedia.org/wiki/Amenorrhea" TargetMode="External"/><Relationship Id="rId26" Type="http://schemas.openxmlformats.org/officeDocument/2006/relationships/hyperlink" Target="http://link.springer.com/bookseries/2506" TargetMode="External"/><Relationship Id="rId39" Type="http://schemas.openxmlformats.org/officeDocument/2006/relationships/hyperlink" Target="https://www.ncbi.nlm.nih.gov/pubmed/?term=Eibschitz%20I%5BAuthor%5D&amp;amp;cauthor=true&amp;amp;cauthor_uid=29809" TargetMode="External"/><Relationship Id="rId3" Type="http://schemas.openxmlformats.org/officeDocument/2006/relationships/styles" Target="styles.xml"/><Relationship Id="rId21" Type="http://schemas.openxmlformats.org/officeDocument/2006/relationships/hyperlink" Target="http://www.ncbi.nlm.nih.gov/pubmed/?term=Chandra%20A%5BAuthor%5D&amp;amp;cauthor=true&amp;amp;cauthor_uid=15633582" TargetMode="External"/><Relationship Id="rId34" Type="http://schemas.openxmlformats.org/officeDocument/2006/relationships/hyperlink" Target="https://www.ncbi.nlm.nih.gov/pubmed/3723005"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n.wikipedia.org/wiki/Endometriosis" TargetMode="External"/><Relationship Id="rId25" Type="http://schemas.openxmlformats.org/officeDocument/2006/relationships/hyperlink" Target="http://link.springer.com/book/10.1007/978-3-319-26597-1" TargetMode="External"/><Relationship Id="rId33" Type="http://schemas.openxmlformats.org/officeDocument/2006/relationships/hyperlink" Target="https://www.ncbi.nlm.nih.gov/pubmed/3723005" TargetMode="External"/><Relationship Id="rId38" Type="http://schemas.openxmlformats.org/officeDocument/2006/relationships/hyperlink" Target="https://www.ncbi.nlm.nih.gov/pubmed/?term=Feiglin%20H%5BAuthor%5D&amp;amp;cauthor=true&amp;amp;cauthor_uid=29809"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en.wikipedia.org/wiki/Dysmenorrhea" TargetMode="External"/><Relationship Id="rId29" Type="http://schemas.openxmlformats.org/officeDocument/2006/relationships/hyperlink" Target="http://www.ncbi.nlm.nih.gov/pubmed/?term=Halstead%20M%5BAuthor%5D&amp;amp;cauthor=true&amp;amp;cauthor_uid=23269325" TargetMode="External"/><Relationship Id="rId41" Type="http://schemas.openxmlformats.org/officeDocument/2006/relationships/hyperlink" Target="https://www.ncbi.nlm.nih.gov/pubmed/298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00617.03" TargetMode="External"/><Relationship Id="rId24" Type="http://schemas.openxmlformats.org/officeDocument/2006/relationships/hyperlink" Target="http://www.cdc.gov/nchs/data/ad/ad350.pdf" TargetMode="External"/><Relationship Id="rId32" Type="http://schemas.openxmlformats.org/officeDocument/2006/relationships/hyperlink" Target="https://www.ncbi.nlm.nih.gov/pubmed/?term=Hanna%20GS%5BAuthor%5D&amp;amp;cauthor=true&amp;amp;cauthor_uid=3723005" TargetMode="External"/><Relationship Id="rId37" Type="http://schemas.openxmlformats.org/officeDocument/2006/relationships/hyperlink" Target="https://www.ncbi.nlm.nih.gov/pubmed/?term=Fradis%20M%5BAuthor%5D&amp;amp;cauthor=true&amp;amp;cauthor_uid=29809" TargetMode="External"/><Relationship Id="rId40" Type="http://schemas.openxmlformats.org/officeDocument/2006/relationships/hyperlink" Target="https://www.ncbi.nlm.nih.gov/pubmed/2980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dc.gov/nchs/data/ad/ad350.pdf" TargetMode="External"/><Relationship Id="rId28" Type="http://schemas.openxmlformats.org/officeDocument/2006/relationships/hyperlink" Target="http://www.ncbi.nlm.nih.gov/pubmed/?term=Guskiewicz%20K%5BAuthor%5D&amp;amp;cauthor=true&amp;amp;cauthor_uid=23269325" TargetMode="External"/><Relationship Id="rId36" Type="http://schemas.openxmlformats.org/officeDocument/2006/relationships/hyperlink" Target="https://www.ncbi.nlm.nih.gov/pubmed/?term=Gertner%20R%5BAuthor%5D&amp;amp;cauthor=true&amp;amp;cauthor_uid=29809" TargetMode="External"/><Relationship Id="rId10" Type="http://schemas.openxmlformats.org/officeDocument/2006/relationships/hyperlink" Target="http://www.sciencepub.net/newyork" TargetMode="External"/><Relationship Id="rId19" Type="http://schemas.openxmlformats.org/officeDocument/2006/relationships/hyperlink" Target="https://en.wikipedia.org/wiki/Adenomyosis" TargetMode="External"/><Relationship Id="rId31" Type="http://schemas.openxmlformats.org/officeDocument/2006/relationships/hyperlink" Target="https://www.thieme-connect.com/products/ejournals/linkout/10.1055/s-0035-1566305/id/JR0351or-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rgalal_1985@yahoo.com" TargetMode="External"/><Relationship Id="rId14" Type="http://schemas.openxmlformats.org/officeDocument/2006/relationships/header" Target="header2.xml"/><Relationship Id="rId22" Type="http://schemas.openxmlformats.org/officeDocument/2006/relationships/hyperlink" Target="http://www.cdc.gov/nchs/data/ad/ad350.pdf" TargetMode="External"/><Relationship Id="rId27" Type="http://schemas.openxmlformats.org/officeDocument/2006/relationships/hyperlink" Target="http://link.springer.com/bookseries/2506" TargetMode="External"/><Relationship Id="rId30" Type="http://schemas.openxmlformats.org/officeDocument/2006/relationships/hyperlink" Target="https://www.thieme-connect.com/products/ejournals/linkout/10.1055/s-0035-1566305/id/JR0351or-4" TargetMode="External"/><Relationship Id="rId35" Type="http://schemas.openxmlformats.org/officeDocument/2006/relationships/hyperlink" Target="https://www.ncbi.nlm.nih.gov/pubmed/?term=Podoshin%20L%5BAuthor%5D&amp;amp;cauthor=true&amp;amp;cauthor_uid=29809" TargetMode="External"/><Relationship Id="rId43"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2A02-7267-493D-B8A9-ECB590D2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2017-05-11T14:57:00Z</dcterms:created>
  <dcterms:modified xsi:type="dcterms:W3CDTF">2017-05-12T00:55:00Z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Microsoft® Word 2016</vt:lpwstr>
  </property>
  <property fmtid="{D5CDD505-2E9C-101B-9397-08002B2CF9AE}" pid="4" name="LastSaved">
    <vt:filetime>2017-05-08T00:00:00Z</vt:filetime>
  </property>
</Properties>
</file>