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D5" w:rsidRPr="00CC50E9" w:rsidRDefault="00C203EA" w:rsidP="00CC50E9">
      <w:pPr>
        <w:autoSpaceDE w:val="0"/>
        <w:autoSpaceDN w:val="0"/>
        <w:adjustRightInd w:val="0"/>
        <w:snapToGrid w:val="0"/>
        <w:spacing w:after="0" w:line="240" w:lineRule="auto"/>
        <w:jc w:val="center"/>
        <w:rPr>
          <w:rFonts w:ascii="Times New Roman" w:hAnsi="Times New Roman" w:cs="Times New Roman"/>
          <w:b/>
          <w:bCs/>
          <w:sz w:val="20"/>
          <w:szCs w:val="20"/>
        </w:rPr>
      </w:pPr>
      <w:r w:rsidRPr="00CC50E9">
        <w:rPr>
          <w:rFonts w:ascii="Times New Roman" w:hAnsi="Times New Roman" w:cs="Times New Roman"/>
          <w:b/>
          <w:bCs/>
          <w:sz w:val="20"/>
          <w:szCs w:val="20"/>
        </w:rPr>
        <w:t>Predictive Values of Platelet Indices and serum uric acid in Development of Preeclampsia</w:t>
      </w:r>
    </w:p>
    <w:p w:rsidR="00C203EA" w:rsidRPr="00CC50E9" w:rsidRDefault="00C203EA" w:rsidP="00CC50E9">
      <w:pPr>
        <w:autoSpaceDE w:val="0"/>
        <w:autoSpaceDN w:val="0"/>
        <w:adjustRightInd w:val="0"/>
        <w:snapToGrid w:val="0"/>
        <w:spacing w:after="0" w:line="240" w:lineRule="auto"/>
        <w:jc w:val="center"/>
        <w:rPr>
          <w:rFonts w:ascii="Times New Roman" w:hAnsi="Times New Roman" w:cs="Times New Roman"/>
          <w:b/>
          <w:bCs/>
          <w:sz w:val="20"/>
          <w:szCs w:val="20"/>
        </w:rPr>
      </w:pPr>
    </w:p>
    <w:p w:rsidR="00E96850" w:rsidRPr="00CC50E9" w:rsidRDefault="00CE552A" w:rsidP="00CC50E9">
      <w:pPr>
        <w:autoSpaceDE w:val="0"/>
        <w:autoSpaceDN w:val="0"/>
        <w:adjustRightInd w:val="0"/>
        <w:snapToGrid w:val="0"/>
        <w:spacing w:after="0" w:line="240" w:lineRule="auto"/>
        <w:jc w:val="center"/>
        <w:rPr>
          <w:rFonts w:ascii="Times New Roman" w:hAnsi="Times New Roman" w:cs="Times New Roman"/>
          <w:sz w:val="20"/>
          <w:szCs w:val="20"/>
        </w:rPr>
      </w:pPr>
      <w:r w:rsidRPr="00CC50E9">
        <w:rPr>
          <w:rFonts w:ascii="Times New Roman" w:hAnsi="Times New Roman" w:cs="Times New Roman"/>
          <w:sz w:val="20"/>
          <w:szCs w:val="20"/>
        </w:rPr>
        <w:t>Mohamed Samir</w:t>
      </w:r>
      <w:r w:rsidRPr="00CC50E9">
        <w:rPr>
          <w:rFonts w:ascii="Times New Roman" w:hAnsi="Times New Roman" w:cs="Times New Roman"/>
          <w:sz w:val="20"/>
          <w:szCs w:val="20"/>
          <w:vertAlign w:val="superscript"/>
        </w:rPr>
        <w:t>1</w:t>
      </w:r>
      <w:r w:rsidRPr="00CC50E9">
        <w:rPr>
          <w:rFonts w:ascii="Times New Roman" w:hAnsi="Times New Roman" w:cs="Times New Roman"/>
          <w:sz w:val="20"/>
          <w:szCs w:val="20"/>
        </w:rPr>
        <w:t>, Mohamed Khaled</w:t>
      </w:r>
      <w:r w:rsidR="0084714F" w:rsidRPr="00CC50E9">
        <w:rPr>
          <w:rFonts w:ascii="Times New Roman" w:hAnsi="Times New Roman" w:cs="Times New Roman"/>
          <w:sz w:val="20"/>
          <w:szCs w:val="20"/>
          <w:vertAlign w:val="superscript"/>
        </w:rPr>
        <w:t>1</w:t>
      </w:r>
      <w:r w:rsidRPr="00CC50E9">
        <w:rPr>
          <w:rFonts w:ascii="Times New Roman" w:hAnsi="Times New Roman" w:cs="Times New Roman"/>
          <w:sz w:val="20"/>
          <w:szCs w:val="20"/>
        </w:rPr>
        <w:t>, Mohamed Saied</w:t>
      </w:r>
      <w:r w:rsidR="0084714F" w:rsidRPr="00CC50E9">
        <w:rPr>
          <w:rFonts w:ascii="Times New Roman" w:hAnsi="Times New Roman" w:cs="Times New Roman"/>
          <w:sz w:val="20"/>
          <w:szCs w:val="20"/>
          <w:vertAlign w:val="superscript"/>
        </w:rPr>
        <w:t>2</w:t>
      </w:r>
      <w:r w:rsidRPr="00CC50E9">
        <w:rPr>
          <w:rFonts w:ascii="Times New Roman" w:hAnsi="Times New Roman" w:cs="Times New Roman"/>
          <w:sz w:val="20"/>
          <w:szCs w:val="20"/>
        </w:rPr>
        <w:t>, Mohamed Al khouly</w:t>
      </w:r>
      <w:r w:rsidR="0084714F" w:rsidRPr="00CC50E9">
        <w:rPr>
          <w:rFonts w:ascii="Times New Roman" w:hAnsi="Times New Roman" w:cs="Times New Roman"/>
          <w:sz w:val="20"/>
          <w:szCs w:val="20"/>
          <w:vertAlign w:val="superscript"/>
        </w:rPr>
        <w:t>1</w:t>
      </w:r>
      <w:r w:rsidR="00ED2E20" w:rsidRPr="00CC50E9">
        <w:rPr>
          <w:rFonts w:ascii="Times New Roman" w:hAnsi="Times New Roman" w:cs="Times New Roman"/>
          <w:sz w:val="20"/>
          <w:szCs w:val="20"/>
        </w:rPr>
        <w:t xml:space="preserve"> and Mohamed Ramadan</w:t>
      </w:r>
      <w:r w:rsidR="0084714F" w:rsidRPr="00CC50E9">
        <w:rPr>
          <w:rFonts w:ascii="Times New Roman" w:hAnsi="Times New Roman" w:cs="Times New Roman"/>
          <w:sz w:val="20"/>
          <w:szCs w:val="20"/>
          <w:vertAlign w:val="superscript"/>
        </w:rPr>
        <w:t>3</w:t>
      </w:r>
    </w:p>
    <w:p w:rsidR="000E1005" w:rsidRPr="00CC50E9" w:rsidRDefault="000E1005" w:rsidP="00CC50E9">
      <w:pPr>
        <w:autoSpaceDE w:val="0"/>
        <w:autoSpaceDN w:val="0"/>
        <w:adjustRightInd w:val="0"/>
        <w:snapToGrid w:val="0"/>
        <w:spacing w:after="0" w:line="240" w:lineRule="auto"/>
        <w:jc w:val="center"/>
        <w:rPr>
          <w:rFonts w:ascii="Times New Roman" w:hAnsi="Times New Roman" w:cs="Times New Roman"/>
          <w:b/>
          <w:bCs/>
          <w:sz w:val="20"/>
          <w:szCs w:val="20"/>
        </w:rPr>
      </w:pPr>
    </w:p>
    <w:p w:rsidR="000E1005" w:rsidRPr="00CC50E9" w:rsidRDefault="000E1005" w:rsidP="00CC50E9">
      <w:pPr>
        <w:autoSpaceDE w:val="0"/>
        <w:autoSpaceDN w:val="0"/>
        <w:adjustRightInd w:val="0"/>
        <w:snapToGrid w:val="0"/>
        <w:spacing w:after="0" w:line="240" w:lineRule="auto"/>
        <w:jc w:val="center"/>
        <w:rPr>
          <w:rFonts w:ascii="Times New Roman" w:hAnsi="Times New Roman" w:cs="Times New Roman"/>
          <w:bCs/>
          <w:sz w:val="20"/>
          <w:szCs w:val="20"/>
        </w:rPr>
      </w:pPr>
      <w:r w:rsidRPr="00CC50E9">
        <w:rPr>
          <w:rFonts w:ascii="Times New Roman" w:hAnsi="Times New Roman" w:cs="Times New Roman"/>
          <w:b/>
          <w:bCs/>
          <w:sz w:val="20"/>
          <w:szCs w:val="20"/>
          <w:vertAlign w:val="superscript"/>
        </w:rPr>
        <w:t>1</w:t>
      </w:r>
      <w:r w:rsidR="0084714F" w:rsidRPr="00CC50E9">
        <w:rPr>
          <w:rFonts w:ascii="Times New Roman" w:hAnsi="Times New Roman" w:cs="Times New Roman"/>
          <w:bCs/>
          <w:sz w:val="20"/>
          <w:szCs w:val="20"/>
        </w:rPr>
        <w:t xml:space="preserve">Department </w:t>
      </w:r>
      <w:r w:rsidRPr="00CC50E9">
        <w:rPr>
          <w:rFonts w:ascii="Times New Roman" w:hAnsi="Times New Roman" w:cs="Times New Roman"/>
          <w:bCs/>
          <w:sz w:val="20"/>
          <w:szCs w:val="20"/>
        </w:rPr>
        <w:t xml:space="preserve">of </w:t>
      </w:r>
      <w:r w:rsidR="0084714F" w:rsidRPr="00CC50E9">
        <w:rPr>
          <w:rFonts w:ascii="Times New Roman" w:hAnsi="Times New Roman" w:cs="Times New Roman"/>
          <w:bCs/>
          <w:sz w:val="20"/>
          <w:szCs w:val="20"/>
        </w:rPr>
        <w:t>Obstetrics</w:t>
      </w:r>
      <w:r w:rsidRPr="00CC50E9">
        <w:rPr>
          <w:rFonts w:ascii="Times New Roman" w:hAnsi="Times New Roman" w:cs="Times New Roman"/>
          <w:bCs/>
          <w:sz w:val="20"/>
          <w:szCs w:val="20"/>
        </w:rPr>
        <w:t xml:space="preserve"> and </w:t>
      </w:r>
      <w:r w:rsidR="0084714F" w:rsidRPr="00CC50E9">
        <w:rPr>
          <w:rFonts w:ascii="Times New Roman" w:hAnsi="Times New Roman" w:cs="Times New Roman"/>
          <w:bCs/>
          <w:sz w:val="20"/>
          <w:szCs w:val="20"/>
        </w:rPr>
        <w:t>Gynecology</w:t>
      </w:r>
      <w:r w:rsidRPr="00CC50E9">
        <w:rPr>
          <w:rFonts w:ascii="Times New Roman" w:hAnsi="Times New Roman" w:cs="Times New Roman"/>
          <w:bCs/>
          <w:sz w:val="20"/>
          <w:szCs w:val="20"/>
        </w:rPr>
        <w:t xml:space="preserve">, </w:t>
      </w:r>
      <w:r w:rsidR="0084714F" w:rsidRPr="00CC50E9">
        <w:rPr>
          <w:rFonts w:ascii="Times New Roman" w:hAnsi="Times New Roman" w:cs="Times New Roman"/>
          <w:bCs/>
          <w:sz w:val="20"/>
          <w:szCs w:val="20"/>
        </w:rPr>
        <w:t>Faculty of Medicine</w:t>
      </w:r>
      <w:r w:rsidR="001E3DAD" w:rsidRPr="00CC50E9">
        <w:rPr>
          <w:rFonts w:ascii="Times New Roman" w:hAnsi="Times New Roman" w:cs="Times New Roman"/>
          <w:bCs/>
          <w:sz w:val="20"/>
          <w:szCs w:val="20"/>
        </w:rPr>
        <w:t>, Al-</w:t>
      </w:r>
      <w:proofErr w:type="spellStart"/>
      <w:r w:rsidRPr="00CC50E9">
        <w:rPr>
          <w:rFonts w:ascii="Times New Roman" w:hAnsi="Times New Roman" w:cs="Times New Roman"/>
          <w:bCs/>
          <w:sz w:val="20"/>
          <w:szCs w:val="20"/>
        </w:rPr>
        <w:t>Azhar</w:t>
      </w:r>
      <w:proofErr w:type="spellEnd"/>
      <w:r w:rsidR="00ED2E20" w:rsidRPr="00CC50E9">
        <w:rPr>
          <w:rFonts w:ascii="Times New Roman" w:hAnsi="Times New Roman" w:cs="Times New Roman"/>
          <w:bCs/>
          <w:sz w:val="20"/>
          <w:szCs w:val="20"/>
        </w:rPr>
        <w:t xml:space="preserve"> </w:t>
      </w:r>
      <w:r w:rsidR="001E3DAD" w:rsidRPr="00CC50E9">
        <w:rPr>
          <w:rFonts w:ascii="Times New Roman" w:hAnsi="Times New Roman" w:cs="Times New Roman"/>
          <w:bCs/>
          <w:sz w:val="20"/>
          <w:szCs w:val="20"/>
        </w:rPr>
        <w:t>University</w:t>
      </w:r>
      <w:r w:rsidR="0084714F" w:rsidRPr="00CC50E9">
        <w:rPr>
          <w:rFonts w:ascii="Times New Roman" w:hAnsi="Times New Roman" w:cs="Times New Roman"/>
          <w:bCs/>
          <w:sz w:val="20"/>
          <w:szCs w:val="20"/>
        </w:rPr>
        <w:t>, Egypt</w:t>
      </w:r>
    </w:p>
    <w:p w:rsidR="0084714F" w:rsidRPr="00CC50E9" w:rsidRDefault="0084714F" w:rsidP="00CC50E9">
      <w:pPr>
        <w:autoSpaceDE w:val="0"/>
        <w:autoSpaceDN w:val="0"/>
        <w:adjustRightInd w:val="0"/>
        <w:snapToGrid w:val="0"/>
        <w:spacing w:after="0" w:line="240" w:lineRule="auto"/>
        <w:jc w:val="center"/>
        <w:rPr>
          <w:rFonts w:ascii="Times New Roman" w:hAnsi="Times New Roman" w:cs="Times New Roman"/>
          <w:bCs/>
          <w:sz w:val="20"/>
          <w:szCs w:val="20"/>
        </w:rPr>
      </w:pPr>
      <w:r w:rsidRPr="00CC50E9">
        <w:rPr>
          <w:rFonts w:ascii="Times New Roman" w:hAnsi="Times New Roman" w:cs="Times New Roman"/>
          <w:bCs/>
          <w:sz w:val="20"/>
          <w:szCs w:val="20"/>
          <w:vertAlign w:val="superscript"/>
        </w:rPr>
        <w:t>2</w:t>
      </w:r>
      <w:r w:rsidRPr="00CC50E9">
        <w:rPr>
          <w:rFonts w:ascii="Times New Roman" w:hAnsi="Times New Roman" w:cs="Times New Roman"/>
          <w:bCs/>
          <w:sz w:val="20"/>
          <w:szCs w:val="20"/>
        </w:rPr>
        <w:t>Department</w:t>
      </w:r>
      <w:r w:rsidR="000E1005" w:rsidRPr="00CC50E9">
        <w:rPr>
          <w:rFonts w:ascii="Times New Roman" w:hAnsi="Times New Roman" w:cs="Times New Roman"/>
          <w:bCs/>
          <w:sz w:val="20"/>
          <w:szCs w:val="20"/>
        </w:rPr>
        <w:t xml:space="preserve"> of </w:t>
      </w:r>
      <w:r w:rsidRPr="00CC50E9">
        <w:rPr>
          <w:rFonts w:ascii="Times New Roman" w:hAnsi="Times New Roman" w:cs="Times New Roman"/>
          <w:bCs/>
          <w:sz w:val="20"/>
          <w:szCs w:val="20"/>
        </w:rPr>
        <w:t>Clinical Pathology</w:t>
      </w:r>
      <w:r w:rsidR="001E3DAD" w:rsidRPr="00CC50E9">
        <w:rPr>
          <w:rFonts w:ascii="Times New Roman" w:hAnsi="Times New Roman" w:cs="Times New Roman"/>
          <w:bCs/>
          <w:sz w:val="20"/>
          <w:szCs w:val="20"/>
        </w:rPr>
        <w:t xml:space="preserve">, </w:t>
      </w:r>
      <w:r w:rsidRPr="00CC50E9">
        <w:rPr>
          <w:rFonts w:ascii="Times New Roman" w:hAnsi="Times New Roman" w:cs="Times New Roman"/>
          <w:bCs/>
          <w:sz w:val="20"/>
          <w:szCs w:val="20"/>
        </w:rPr>
        <w:t xml:space="preserve">Faculty of Medicine, </w:t>
      </w:r>
      <w:r w:rsidR="001E3DAD" w:rsidRPr="00CC50E9">
        <w:rPr>
          <w:rFonts w:ascii="Times New Roman" w:hAnsi="Times New Roman" w:cs="Times New Roman"/>
          <w:bCs/>
          <w:sz w:val="20"/>
          <w:szCs w:val="20"/>
        </w:rPr>
        <w:t>Al-</w:t>
      </w:r>
      <w:proofErr w:type="spellStart"/>
      <w:r w:rsidR="000E1005" w:rsidRPr="00CC50E9">
        <w:rPr>
          <w:rFonts w:ascii="Times New Roman" w:hAnsi="Times New Roman" w:cs="Times New Roman"/>
          <w:bCs/>
          <w:sz w:val="20"/>
          <w:szCs w:val="20"/>
        </w:rPr>
        <w:t>Azhar</w:t>
      </w:r>
      <w:proofErr w:type="spellEnd"/>
      <w:r w:rsidR="00ED2E20" w:rsidRPr="00CC50E9">
        <w:rPr>
          <w:rFonts w:ascii="Times New Roman" w:hAnsi="Times New Roman" w:cs="Times New Roman"/>
          <w:bCs/>
          <w:sz w:val="20"/>
          <w:szCs w:val="20"/>
        </w:rPr>
        <w:t xml:space="preserve"> </w:t>
      </w:r>
      <w:r w:rsidR="001E3DAD" w:rsidRPr="00CC50E9">
        <w:rPr>
          <w:rFonts w:ascii="Times New Roman" w:hAnsi="Times New Roman" w:cs="Times New Roman"/>
          <w:bCs/>
          <w:sz w:val="20"/>
          <w:szCs w:val="20"/>
        </w:rPr>
        <w:t>University</w:t>
      </w:r>
      <w:r w:rsidRPr="00CC50E9">
        <w:rPr>
          <w:rFonts w:ascii="Times New Roman" w:hAnsi="Times New Roman" w:cs="Times New Roman"/>
          <w:bCs/>
          <w:sz w:val="20"/>
          <w:szCs w:val="20"/>
        </w:rPr>
        <w:t>, Egypt</w:t>
      </w:r>
    </w:p>
    <w:p w:rsidR="00ED2E20" w:rsidRPr="00CC50E9" w:rsidRDefault="0084714F" w:rsidP="00CC50E9">
      <w:pPr>
        <w:autoSpaceDE w:val="0"/>
        <w:autoSpaceDN w:val="0"/>
        <w:adjustRightInd w:val="0"/>
        <w:snapToGrid w:val="0"/>
        <w:spacing w:after="0" w:line="240" w:lineRule="auto"/>
        <w:jc w:val="center"/>
        <w:rPr>
          <w:rFonts w:ascii="Times New Roman" w:hAnsi="Times New Roman" w:cs="Times New Roman"/>
          <w:bCs/>
          <w:sz w:val="20"/>
          <w:szCs w:val="20"/>
        </w:rPr>
      </w:pPr>
      <w:r w:rsidRPr="00CC50E9">
        <w:rPr>
          <w:rFonts w:ascii="Times New Roman" w:hAnsi="Times New Roman" w:cs="Times New Roman"/>
          <w:bCs/>
          <w:sz w:val="20"/>
          <w:szCs w:val="20"/>
          <w:vertAlign w:val="superscript"/>
        </w:rPr>
        <w:t>3</w:t>
      </w:r>
      <w:r w:rsidR="00ED2E20" w:rsidRPr="00CC50E9">
        <w:rPr>
          <w:rFonts w:ascii="Times New Roman" w:hAnsi="Times New Roman" w:cs="Times New Roman"/>
          <w:bCs/>
          <w:sz w:val="20"/>
          <w:szCs w:val="20"/>
        </w:rPr>
        <w:t xml:space="preserve">Resident of </w:t>
      </w:r>
      <w:r w:rsidRPr="00CC50E9">
        <w:rPr>
          <w:rFonts w:ascii="Times New Roman" w:hAnsi="Times New Roman" w:cs="Times New Roman"/>
          <w:bCs/>
          <w:sz w:val="20"/>
          <w:szCs w:val="20"/>
        </w:rPr>
        <w:t>Obstetrics and Gynecology</w:t>
      </w:r>
      <w:r w:rsidR="00ED2E20" w:rsidRPr="00CC50E9">
        <w:rPr>
          <w:rFonts w:ascii="Times New Roman" w:hAnsi="Times New Roman" w:cs="Times New Roman"/>
          <w:bCs/>
          <w:sz w:val="20"/>
          <w:szCs w:val="20"/>
        </w:rPr>
        <w:t xml:space="preserve">, </w:t>
      </w:r>
      <w:proofErr w:type="spellStart"/>
      <w:r w:rsidR="00ED2E20" w:rsidRPr="00CC50E9">
        <w:rPr>
          <w:rFonts w:ascii="Times New Roman" w:hAnsi="Times New Roman" w:cs="Times New Roman"/>
          <w:bCs/>
          <w:sz w:val="20"/>
          <w:szCs w:val="20"/>
        </w:rPr>
        <w:t>Sohag</w:t>
      </w:r>
      <w:proofErr w:type="spellEnd"/>
      <w:r w:rsidR="00ED2E20" w:rsidRPr="00CC50E9">
        <w:rPr>
          <w:rFonts w:ascii="Times New Roman" w:hAnsi="Times New Roman" w:cs="Times New Roman"/>
          <w:bCs/>
          <w:sz w:val="20"/>
          <w:szCs w:val="20"/>
        </w:rPr>
        <w:t xml:space="preserve"> </w:t>
      </w:r>
      <w:r w:rsidRPr="00CC50E9">
        <w:rPr>
          <w:rFonts w:ascii="Times New Roman" w:hAnsi="Times New Roman" w:cs="Times New Roman"/>
          <w:bCs/>
          <w:sz w:val="20"/>
          <w:szCs w:val="20"/>
        </w:rPr>
        <w:t>Teaching Hospital</w:t>
      </w:r>
      <w:r w:rsidR="00ED2E20" w:rsidRPr="00CC50E9">
        <w:rPr>
          <w:rFonts w:ascii="Times New Roman" w:hAnsi="Times New Roman" w:cs="Times New Roman"/>
          <w:bCs/>
          <w:sz w:val="20"/>
          <w:szCs w:val="20"/>
        </w:rPr>
        <w:t>, Egypt</w:t>
      </w:r>
    </w:p>
    <w:p w:rsidR="00DD6554" w:rsidRPr="00CC50E9" w:rsidRDefault="0032083E" w:rsidP="00CC50E9">
      <w:pPr>
        <w:autoSpaceDE w:val="0"/>
        <w:autoSpaceDN w:val="0"/>
        <w:adjustRightInd w:val="0"/>
        <w:snapToGrid w:val="0"/>
        <w:spacing w:after="0" w:line="240" w:lineRule="auto"/>
        <w:jc w:val="center"/>
        <w:rPr>
          <w:rFonts w:ascii="Times New Roman" w:hAnsi="Times New Roman" w:cs="Times New Roman"/>
          <w:bCs/>
          <w:sz w:val="20"/>
          <w:szCs w:val="20"/>
        </w:rPr>
      </w:pPr>
      <w:hyperlink r:id="rId7" w:history="1">
        <w:r w:rsidR="0084714F" w:rsidRPr="00CC50E9">
          <w:rPr>
            <w:rStyle w:val="Hyperlink"/>
            <w:rFonts w:ascii="Times New Roman" w:hAnsi="Times New Roman" w:cs="Times New Roman"/>
            <w:bCs/>
            <w:sz w:val="20"/>
            <w:szCs w:val="20"/>
          </w:rPr>
          <w:t>drmido_elmaazon@yahoo.com</w:t>
        </w:r>
      </w:hyperlink>
    </w:p>
    <w:p w:rsidR="00DD6554" w:rsidRPr="00CC50E9" w:rsidRDefault="00DD6554" w:rsidP="00CC50E9">
      <w:pPr>
        <w:autoSpaceDE w:val="0"/>
        <w:autoSpaceDN w:val="0"/>
        <w:adjustRightInd w:val="0"/>
        <w:snapToGrid w:val="0"/>
        <w:spacing w:after="0" w:line="240" w:lineRule="auto"/>
        <w:jc w:val="center"/>
        <w:rPr>
          <w:rFonts w:ascii="Times New Roman" w:hAnsi="Times New Roman" w:cs="Times New Roman"/>
          <w:bCs/>
          <w:sz w:val="20"/>
          <w:szCs w:val="20"/>
        </w:rPr>
      </w:pPr>
    </w:p>
    <w:p w:rsidR="003A0A76" w:rsidRPr="00CC50E9" w:rsidRDefault="0084714F" w:rsidP="00CC50E9">
      <w:pPr>
        <w:autoSpaceDE w:val="0"/>
        <w:autoSpaceDN w:val="0"/>
        <w:adjustRightInd w:val="0"/>
        <w:snapToGrid w:val="0"/>
        <w:spacing w:after="0" w:line="240" w:lineRule="auto"/>
        <w:jc w:val="both"/>
        <w:rPr>
          <w:rFonts w:ascii="Times New Roman" w:hAnsi="Times New Roman" w:cs="Times New Roman"/>
          <w:b/>
          <w:bCs/>
          <w:sz w:val="20"/>
          <w:szCs w:val="20"/>
        </w:rPr>
      </w:pPr>
      <w:r w:rsidRPr="00CC50E9">
        <w:rPr>
          <w:rFonts w:ascii="Times New Roman" w:hAnsi="Times New Roman" w:cs="Times New Roman"/>
          <w:b/>
          <w:bCs/>
          <w:sz w:val="20"/>
          <w:szCs w:val="20"/>
        </w:rPr>
        <w:t xml:space="preserve">Abstract: </w:t>
      </w:r>
      <w:r w:rsidR="00DD6554" w:rsidRPr="00CC50E9">
        <w:rPr>
          <w:rFonts w:ascii="Times New Roman" w:hAnsi="Times New Roman" w:cs="Times New Roman"/>
          <w:b/>
          <w:bCs/>
          <w:sz w:val="20"/>
          <w:szCs w:val="20"/>
        </w:rPr>
        <w:t xml:space="preserve">Aim: </w:t>
      </w:r>
      <w:r w:rsidR="00DD6554" w:rsidRPr="00CC50E9">
        <w:rPr>
          <w:rFonts w:ascii="Times New Roman" w:hAnsi="Times New Roman" w:cs="Times New Roman"/>
          <w:bCs/>
          <w:sz w:val="20"/>
          <w:szCs w:val="20"/>
        </w:rPr>
        <w:t>To evaluate the association between changes in platelet indices (platelet count, mean platelet volume, platelet distribution width) and serum uric acid and development of preeclampsia.</w:t>
      </w:r>
      <w:r w:rsidRPr="00CC50E9">
        <w:rPr>
          <w:rFonts w:ascii="Times New Roman" w:hAnsi="Times New Roman" w:cs="Times New Roman"/>
          <w:b/>
          <w:bCs/>
          <w:sz w:val="20"/>
          <w:szCs w:val="20"/>
        </w:rPr>
        <w:t xml:space="preserve"> </w:t>
      </w:r>
      <w:r w:rsidR="0086670D" w:rsidRPr="00CC50E9">
        <w:rPr>
          <w:rFonts w:ascii="Times New Roman" w:hAnsi="Times New Roman" w:cs="Times New Roman"/>
          <w:b/>
          <w:bCs/>
          <w:sz w:val="20"/>
          <w:szCs w:val="20"/>
        </w:rPr>
        <w:t>Materials and M</w:t>
      </w:r>
      <w:r w:rsidR="001E3DAD" w:rsidRPr="00CC50E9">
        <w:rPr>
          <w:rFonts w:ascii="Times New Roman" w:hAnsi="Times New Roman" w:cs="Times New Roman"/>
          <w:b/>
          <w:bCs/>
          <w:sz w:val="20"/>
          <w:szCs w:val="20"/>
        </w:rPr>
        <w:t>e</w:t>
      </w:r>
      <w:r w:rsidR="0086670D" w:rsidRPr="00CC50E9">
        <w:rPr>
          <w:rFonts w:ascii="Times New Roman" w:hAnsi="Times New Roman" w:cs="Times New Roman"/>
          <w:b/>
          <w:bCs/>
          <w:sz w:val="20"/>
          <w:szCs w:val="20"/>
        </w:rPr>
        <w:t xml:space="preserve">thods: </w:t>
      </w:r>
      <w:r w:rsidR="00C503BE" w:rsidRPr="00CC50E9">
        <w:rPr>
          <w:rFonts w:ascii="Times New Roman" w:hAnsi="Times New Roman" w:cs="Times New Roman"/>
          <w:bCs/>
          <w:sz w:val="20"/>
          <w:szCs w:val="20"/>
        </w:rPr>
        <w:t>T</w:t>
      </w:r>
      <w:r w:rsidR="0086670D" w:rsidRPr="00CC50E9">
        <w:rPr>
          <w:rFonts w:ascii="Times New Roman" w:hAnsi="Times New Roman" w:cs="Times New Roman"/>
          <w:bCs/>
          <w:sz w:val="20"/>
          <w:szCs w:val="20"/>
        </w:rPr>
        <w:t xml:space="preserve">hree hundred pregnant women more than 20 weeks of gestation with singleton pregnancy and normal blood pressure were enrolled after taking well-informed consent. At monthly intervals CBC (complete blood count) and serum uric acid was done from 20 weeks till 40 weeks of gestation. Data regarding changes in platelet indices and serum uric </w:t>
      </w:r>
      <w:r w:rsidR="00CB1306" w:rsidRPr="00CC50E9">
        <w:rPr>
          <w:rFonts w:ascii="Times New Roman" w:hAnsi="Times New Roman" w:cs="Times New Roman"/>
          <w:bCs/>
          <w:sz w:val="20"/>
          <w:szCs w:val="20"/>
        </w:rPr>
        <w:t>acid with</w:t>
      </w:r>
      <w:r w:rsidR="0086670D" w:rsidRPr="00CC50E9">
        <w:rPr>
          <w:rFonts w:ascii="Times New Roman" w:hAnsi="Times New Roman" w:cs="Times New Roman"/>
          <w:bCs/>
          <w:sz w:val="20"/>
          <w:szCs w:val="20"/>
        </w:rPr>
        <w:t xml:space="preserve"> increasing gestation was collected and analyzed.</w:t>
      </w:r>
      <w:r w:rsidRPr="00CC50E9">
        <w:rPr>
          <w:rFonts w:ascii="Times New Roman" w:hAnsi="Times New Roman" w:cs="Times New Roman"/>
          <w:b/>
          <w:bCs/>
          <w:sz w:val="20"/>
          <w:szCs w:val="20"/>
        </w:rPr>
        <w:t xml:space="preserve"> </w:t>
      </w:r>
      <w:r w:rsidR="0086670D" w:rsidRPr="00CC50E9">
        <w:rPr>
          <w:rFonts w:ascii="Times New Roman" w:hAnsi="Times New Roman" w:cs="Times New Roman"/>
          <w:b/>
          <w:bCs/>
          <w:sz w:val="20"/>
          <w:szCs w:val="20"/>
        </w:rPr>
        <w:t xml:space="preserve">Results: </w:t>
      </w:r>
      <w:r w:rsidR="0086670D" w:rsidRPr="00CC50E9">
        <w:rPr>
          <w:rFonts w:ascii="Times New Roman" w:hAnsi="Times New Roman" w:cs="Times New Roman"/>
          <w:bCs/>
          <w:sz w:val="20"/>
          <w:szCs w:val="20"/>
        </w:rPr>
        <w:t>Platelet count decreased significantly in patie</w:t>
      </w:r>
      <w:r w:rsidR="00FE5C53" w:rsidRPr="00CC50E9">
        <w:rPr>
          <w:rFonts w:ascii="Times New Roman" w:hAnsi="Times New Roman" w:cs="Times New Roman"/>
          <w:bCs/>
          <w:sz w:val="20"/>
          <w:szCs w:val="20"/>
        </w:rPr>
        <w:t xml:space="preserve">nts with </w:t>
      </w:r>
      <w:r w:rsidR="0086670D" w:rsidRPr="00CC50E9">
        <w:rPr>
          <w:rFonts w:ascii="Times New Roman" w:hAnsi="Times New Roman" w:cs="Times New Roman"/>
          <w:bCs/>
          <w:sz w:val="20"/>
          <w:szCs w:val="20"/>
        </w:rPr>
        <w:t>preeclampsia compared to nor</w:t>
      </w:r>
      <w:r w:rsidR="00FE5C53" w:rsidRPr="00CC50E9">
        <w:rPr>
          <w:rFonts w:ascii="Times New Roman" w:hAnsi="Times New Roman" w:cs="Times New Roman"/>
          <w:bCs/>
          <w:sz w:val="20"/>
          <w:szCs w:val="20"/>
        </w:rPr>
        <w:t xml:space="preserve">mal pregnant patients (219±63 </w:t>
      </w:r>
      <w:proofErr w:type="spellStart"/>
      <w:r w:rsidR="00FE5C53" w:rsidRPr="00CC50E9">
        <w:rPr>
          <w:rFonts w:ascii="Times New Roman" w:hAnsi="Times New Roman" w:cs="Times New Roman"/>
          <w:bCs/>
          <w:sz w:val="20"/>
          <w:szCs w:val="20"/>
        </w:rPr>
        <w:t>vs</w:t>
      </w:r>
      <w:proofErr w:type="spellEnd"/>
      <w:r w:rsidR="00FE5C53" w:rsidRPr="00CC50E9">
        <w:rPr>
          <w:rFonts w:ascii="Times New Roman" w:hAnsi="Times New Roman" w:cs="Times New Roman"/>
          <w:bCs/>
          <w:sz w:val="20"/>
          <w:szCs w:val="20"/>
        </w:rPr>
        <w:t xml:space="preserve"> 250±81.5 p&lt;0.003) serum uric acid increased significantly in patients with preeclampsia compared </w:t>
      </w:r>
      <w:r w:rsidR="003A0A76" w:rsidRPr="00CC50E9">
        <w:rPr>
          <w:rFonts w:ascii="Times New Roman" w:hAnsi="Times New Roman" w:cs="Times New Roman"/>
          <w:bCs/>
          <w:sz w:val="20"/>
          <w:szCs w:val="20"/>
        </w:rPr>
        <w:t xml:space="preserve">to normal pregnant patients(5.4±1.3 </w:t>
      </w:r>
      <w:proofErr w:type="spellStart"/>
      <w:r w:rsidR="003A0A76" w:rsidRPr="00CC50E9">
        <w:rPr>
          <w:rFonts w:ascii="Times New Roman" w:hAnsi="Times New Roman" w:cs="Times New Roman"/>
          <w:bCs/>
          <w:sz w:val="20"/>
          <w:szCs w:val="20"/>
        </w:rPr>
        <w:t>vs</w:t>
      </w:r>
      <w:proofErr w:type="spellEnd"/>
      <w:r w:rsidR="003A0A76" w:rsidRPr="00CC50E9">
        <w:rPr>
          <w:rFonts w:ascii="Times New Roman" w:hAnsi="Times New Roman" w:cs="Times New Roman"/>
          <w:bCs/>
          <w:sz w:val="20"/>
          <w:szCs w:val="20"/>
        </w:rPr>
        <w:t xml:space="preserve"> 3.8±0.6 p&lt;0.001) </w:t>
      </w:r>
      <w:r w:rsidR="0086670D" w:rsidRPr="00CC50E9">
        <w:rPr>
          <w:rFonts w:ascii="Times New Roman" w:hAnsi="Times New Roman" w:cs="Times New Roman"/>
          <w:bCs/>
          <w:sz w:val="20"/>
          <w:szCs w:val="20"/>
        </w:rPr>
        <w:t>Mean platelet vo</w:t>
      </w:r>
      <w:r w:rsidR="00FE5C53" w:rsidRPr="00CC50E9">
        <w:rPr>
          <w:rFonts w:ascii="Times New Roman" w:hAnsi="Times New Roman" w:cs="Times New Roman"/>
          <w:bCs/>
          <w:sz w:val="20"/>
          <w:szCs w:val="20"/>
        </w:rPr>
        <w:t>lume increased</w:t>
      </w:r>
      <w:r w:rsidR="003A0A76" w:rsidRPr="00CC50E9">
        <w:rPr>
          <w:rFonts w:ascii="Times New Roman" w:hAnsi="Times New Roman" w:cs="Times New Roman"/>
          <w:bCs/>
          <w:sz w:val="20"/>
          <w:szCs w:val="20"/>
        </w:rPr>
        <w:t xml:space="preserve"> non</w:t>
      </w:r>
      <w:r w:rsidR="00FE5C53" w:rsidRPr="00CC50E9">
        <w:rPr>
          <w:rFonts w:ascii="Times New Roman" w:hAnsi="Times New Roman" w:cs="Times New Roman"/>
          <w:bCs/>
          <w:sz w:val="20"/>
          <w:szCs w:val="20"/>
        </w:rPr>
        <w:t xml:space="preserve"> significantly in </w:t>
      </w:r>
      <w:r w:rsidR="0086670D" w:rsidRPr="00CC50E9">
        <w:rPr>
          <w:rFonts w:ascii="Times New Roman" w:hAnsi="Times New Roman" w:cs="Times New Roman"/>
          <w:bCs/>
          <w:sz w:val="20"/>
          <w:szCs w:val="20"/>
        </w:rPr>
        <w:t>preeclampsia patients (</w:t>
      </w:r>
      <w:r w:rsidR="003A0A76" w:rsidRPr="00CC50E9">
        <w:rPr>
          <w:rFonts w:ascii="Times New Roman" w:hAnsi="Times New Roman" w:cs="Times New Roman"/>
          <w:bCs/>
          <w:sz w:val="20"/>
          <w:szCs w:val="20"/>
        </w:rPr>
        <w:t>10.2±1.3</w:t>
      </w:r>
      <w:r w:rsidR="00FE5C53" w:rsidRPr="00CC50E9">
        <w:rPr>
          <w:rFonts w:ascii="Times New Roman" w:hAnsi="Times New Roman" w:cs="Times New Roman"/>
          <w:bCs/>
          <w:sz w:val="20"/>
          <w:szCs w:val="20"/>
        </w:rPr>
        <w:t>vs</w:t>
      </w:r>
      <w:r w:rsidR="003A0A76" w:rsidRPr="00CC50E9">
        <w:rPr>
          <w:rFonts w:ascii="Times New Roman" w:hAnsi="Times New Roman" w:cs="Times New Roman"/>
          <w:bCs/>
          <w:sz w:val="20"/>
          <w:szCs w:val="20"/>
        </w:rPr>
        <w:t>9.9±1.1</w:t>
      </w:r>
      <w:r w:rsidR="00FE5C53" w:rsidRPr="00CC50E9">
        <w:rPr>
          <w:rFonts w:ascii="Times New Roman" w:hAnsi="Times New Roman" w:cs="Times New Roman"/>
          <w:bCs/>
          <w:sz w:val="20"/>
          <w:szCs w:val="20"/>
        </w:rPr>
        <w:t xml:space="preserve">). Increase in PDW was </w:t>
      </w:r>
      <w:r w:rsidR="0086670D" w:rsidRPr="00CC50E9">
        <w:rPr>
          <w:rFonts w:ascii="Times New Roman" w:hAnsi="Times New Roman" w:cs="Times New Roman"/>
          <w:bCs/>
          <w:sz w:val="20"/>
          <w:szCs w:val="20"/>
        </w:rPr>
        <w:t>observed</w:t>
      </w:r>
      <w:r w:rsidR="0027352D">
        <w:rPr>
          <w:rFonts w:ascii="Times New Roman" w:hAnsi="Times New Roman" w:cs="Times New Roman" w:hint="eastAsia"/>
          <w:bCs/>
          <w:sz w:val="20"/>
          <w:szCs w:val="20"/>
          <w:lang w:eastAsia="zh-CN"/>
        </w:rPr>
        <w:t xml:space="preserve"> </w:t>
      </w:r>
      <w:proofErr w:type="gramStart"/>
      <w:r w:rsidR="003A0A76" w:rsidRPr="00CC50E9">
        <w:rPr>
          <w:rFonts w:ascii="Times New Roman" w:hAnsi="Times New Roman" w:cs="Times New Roman"/>
          <w:bCs/>
          <w:sz w:val="20"/>
          <w:szCs w:val="20"/>
        </w:rPr>
        <w:t>non</w:t>
      </w:r>
      <w:proofErr w:type="gramEnd"/>
      <w:r w:rsidR="0086670D" w:rsidRPr="00CC50E9">
        <w:rPr>
          <w:rFonts w:ascii="Times New Roman" w:hAnsi="Times New Roman" w:cs="Times New Roman"/>
          <w:bCs/>
          <w:sz w:val="20"/>
          <w:szCs w:val="20"/>
        </w:rPr>
        <w:t xml:space="preserve"> significantly in pat</w:t>
      </w:r>
      <w:r w:rsidR="00FE5C53" w:rsidRPr="00CC50E9">
        <w:rPr>
          <w:rFonts w:ascii="Times New Roman" w:hAnsi="Times New Roman" w:cs="Times New Roman"/>
          <w:bCs/>
          <w:sz w:val="20"/>
          <w:szCs w:val="20"/>
        </w:rPr>
        <w:t>ients with preeclampsia (</w:t>
      </w:r>
      <w:r w:rsidR="003A0A76" w:rsidRPr="00CC50E9">
        <w:rPr>
          <w:rFonts w:ascii="Times New Roman" w:hAnsi="Times New Roman" w:cs="Times New Roman"/>
          <w:bCs/>
          <w:sz w:val="20"/>
          <w:szCs w:val="20"/>
        </w:rPr>
        <w:t>13.9±3.3 vs13.8±2.3</w:t>
      </w:r>
      <w:r w:rsidR="0086670D" w:rsidRPr="00CC50E9">
        <w:rPr>
          <w:rFonts w:ascii="Times New Roman" w:hAnsi="Times New Roman" w:cs="Times New Roman"/>
          <w:bCs/>
          <w:sz w:val="20"/>
          <w:szCs w:val="20"/>
        </w:rPr>
        <w:t>).</w:t>
      </w:r>
      <w:r w:rsidRPr="00CC50E9">
        <w:rPr>
          <w:rFonts w:ascii="Times New Roman" w:hAnsi="Times New Roman" w:cs="Times New Roman"/>
          <w:b/>
          <w:bCs/>
          <w:sz w:val="20"/>
          <w:szCs w:val="20"/>
        </w:rPr>
        <w:t xml:space="preserve"> </w:t>
      </w:r>
      <w:r w:rsidR="00324C2D" w:rsidRPr="00CC50E9">
        <w:rPr>
          <w:rFonts w:ascii="Times New Roman" w:hAnsi="Times New Roman" w:cs="Times New Roman"/>
          <w:b/>
          <w:bCs/>
          <w:sz w:val="20"/>
          <w:szCs w:val="20"/>
        </w:rPr>
        <w:t>Conclusion:</w:t>
      </w:r>
      <w:r w:rsidRPr="00CC50E9">
        <w:rPr>
          <w:rFonts w:ascii="Times New Roman" w:hAnsi="Times New Roman" w:cs="Times New Roman"/>
          <w:b/>
          <w:bCs/>
          <w:sz w:val="20"/>
          <w:szCs w:val="20"/>
        </w:rPr>
        <w:t xml:space="preserve"> </w:t>
      </w:r>
      <w:r w:rsidR="00CD1934" w:rsidRPr="00CC50E9">
        <w:rPr>
          <w:rFonts w:ascii="Times New Roman" w:eastAsia="Calibri" w:hAnsi="Times New Roman" w:cs="Times New Roman"/>
          <w:sz w:val="20"/>
          <w:szCs w:val="20"/>
        </w:rPr>
        <w:t>There is a positive association between the decrease in platelet count and development of preeclampsia and there is a positive association between the increase in serum uric acid and development of preeclampsia</w:t>
      </w:r>
      <w:r w:rsidR="0027352D">
        <w:rPr>
          <w:rFonts w:ascii="Times New Roman" w:hAnsi="Times New Roman" w:cs="Times New Roman" w:hint="eastAsia"/>
          <w:sz w:val="20"/>
          <w:szCs w:val="20"/>
          <w:lang w:eastAsia="zh-CN"/>
        </w:rPr>
        <w:t>,</w:t>
      </w:r>
      <w:r w:rsidR="00CC50E9">
        <w:rPr>
          <w:rFonts w:ascii="Times New Roman" w:eastAsia="Calibri" w:hAnsi="Times New Roman" w:cs="Times New Roman"/>
          <w:sz w:val="20"/>
          <w:szCs w:val="20"/>
        </w:rPr>
        <w:t xml:space="preserve"> </w:t>
      </w:r>
      <w:r w:rsidR="00CC50E9" w:rsidRPr="00CC50E9">
        <w:rPr>
          <w:rFonts w:ascii="Times New Roman" w:eastAsia="Calibri" w:hAnsi="Times New Roman" w:cs="Times New Roman"/>
          <w:sz w:val="20"/>
          <w:szCs w:val="20"/>
        </w:rPr>
        <w:t>a</w:t>
      </w:r>
      <w:r w:rsidR="00C56409" w:rsidRPr="00CC50E9">
        <w:rPr>
          <w:rFonts w:ascii="Times New Roman" w:eastAsia="Calibri" w:hAnsi="Times New Roman" w:cs="Times New Roman"/>
          <w:sz w:val="20"/>
          <w:szCs w:val="20"/>
        </w:rPr>
        <w:t>lso increased mean platelet volume and platelet distribution width are</w:t>
      </w:r>
      <w:r w:rsidR="0027352D">
        <w:rPr>
          <w:rFonts w:ascii="Times New Roman" w:hAnsi="Times New Roman" w:cs="Times New Roman" w:hint="eastAsia"/>
          <w:sz w:val="20"/>
          <w:szCs w:val="20"/>
          <w:lang w:eastAsia="zh-CN"/>
        </w:rPr>
        <w:t xml:space="preserve"> </w:t>
      </w:r>
      <w:r w:rsidR="00C56409" w:rsidRPr="00CC50E9">
        <w:rPr>
          <w:rFonts w:ascii="Times New Roman" w:eastAsia="Calibri" w:hAnsi="Times New Roman" w:cs="Times New Roman"/>
          <w:sz w:val="20"/>
          <w:szCs w:val="20"/>
        </w:rPr>
        <w:t>n</w:t>
      </w:r>
      <w:r w:rsidR="0027352D">
        <w:rPr>
          <w:rFonts w:ascii="Times New Roman" w:hAnsi="Times New Roman" w:cs="Times New Roman" w:hint="eastAsia"/>
          <w:sz w:val="20"/>
          <w:szCs w:val="20"/>
          <w:lang w:eastAsia="zh-CN"/>
        </w:rPr>
        <w:t>o</w:t>
      </w:r>
      <w:r w:rsidR="002873BC" w:rsidRPr="00CC50E9">
        <w:rPr>
          <w:rFonts w:ascii="Times New Roman" w:eastAsia="Calibri" w:hAnsi="Times New Roman" w:cs="Times New Roman"/>
          <w:sz w:val="20"/>
          <w:szCs w:val="20"/>
        </w:rPr>
        <w:t>t a significant predictor for preeclampsia in pregnancy</w:t>
      </w:r>
      <w:r w:rsidR="00CC50E9" w:rsidRPr="00CC50E9">
        <w:rPr>
          <w:rFonts w:ascii="Times New Roman" w:eastAsia="Calibri" w:hAnsi="Times New Roman" w:cs="Times New Roman"/>
          <w:sz w:val="20"/>
          <w:szCs w:val="20"/>
        </w:rPr>
        <w:t>.</w:t>
      </w:r>
      <w:r w:rsidR="00CC50E9">
        <w:rPr>
          <w:rFonts w:ascii="Times New Roman" w:eastAsia="Calibri" w:hAnsi="Times New Roman" w:cs="Times New Roman"/>
          <w:sz w:val="20"/>
          <w:szCs w:val="20"/>
        </w:rPr>
        <w:t xml:space="preserve"> </w:t>
      </w:r>
      <w:r w:rsidR="00CC50E9" w:rsidRPr="00CC50E9">
        <w:rPr>
          <w:rFonts w:ascii="Times New Roman" w:eastAsia="Calibri" w:hAnsi="Times New Roman" w:cs="Times New Roman"/>
          <w:sz w:val="20"/>
          <w:szCs w:val="20"/>
          <w:lang w:val="en-GB" w:eastAsia="en-GB"/>
        </w:rPr>
        <w:t>T</w:t>
      </w:r>
      <w:r w:rsidR="00CD1934" w:rsidRPr="00CC50E9">
        <w:rPr>
          <w:rFonts w:ascii="Times New Roman" w:eastAsia="Calibri" w:hAnsi="Times New Roman" w:cs="Times New Roman"/>
          <w:sz w:val="20"/>
          <w:szCs w:val="20"/>
          <w:lang w:val="en-GB" w:eastAsia="en-GB"/>
        </w:rPr>
        <w:t xml:space="preserve">hus </w:t>
      </w:r>
      <w:r w:rsidR="00CB1306" w:rsidRPr="00CC50E9">
        <w:rPr>
          <w:rFonts w:ascii="Times New Roman" w:eastAsia="Calibri" w:hAnsi="Times New Roman" w:cs="Times New Roman"/>
          <w:sz w:val="20"/>
          <w:szCs w:val="20"/>
          <w:lang w:val="en-GB" w:eastAsia="en-GB"/>
        </w:rPr>
        <w:t>this study</w:t>
      </w:r>
      <w:r w:rsidR="00CD1934" w:rsidRPr="00CC50E9">
        <w:rPr>
          <w:rFonts w:ascii="Times New Roman" w:eastAsia="Calibri" w:hAnsi="Times New Roman" w:cs="Times New Roman"/>
          <w:sz w:val="20"/>
          <w:szCs w:val="20"/>
          <w:lang w:val="en-GB" w:eastAsia="en-GB"/>
        </w:rPr>
        <w:t xml:space="preserve"> reveals that serum uric acid is a more useful predictor marker than platelet </w:t>
      </w:r>
      <w:r w:rsidR="00CB1306" w:rsidRPr="00CC50E9">
        <w:rPr>
          <w:rFonts w:ascii="Times New Roman" w:eastAsia="Calibri" w:hAnsi="Times New Roman" w:cs="Times New Roman"/>
          <w:sz w:val="20"/>
          <w:szCs w:val="20"/>
          <w:lang w:val="en-GB" w:eastAsia="en-GB"/>
        </w:rPr>
        <w:t>indices in</w:t>
      </w:r>
      <w:r w:rsidR="00CD1934" w:rsidRPr="00CC50E9">
        <w:rPr>
          <w:rFonts w:ascii="Times New Roman" w:eastAsia="Calibri" w:hAnsi="Times New Roman" w:cs="Times New Roman"/>
          <w:sz w:val="20"/>
          <w:szCs w:val="20"/>
          <w:lang w:val="en-GB" w:eastAsia="en-GB"/>
        </w:rPr>
        <w:t xml:space="preserve"> predicting preeclampsia</w:t>
      </w:r>
      <w:r w:rsidR="00CD1934" w:rsidRPr="00CC50E9">
        <w:rPr>
          <w:rFonts w:ascii="Times New Roman" w:eastAsia="Calibri" w:hAnsi="Times New Roman" w:cs="Times New Roman"/>
          <w:sz w:val="20"/>
          <w:szCs w:val="20"/>
        </w:rPr>
        <w:t>.</w:t>
      </w:r>
    </w:p>
    <w:p w:rsidR="00CC50E9" w:rsidRPr="00CC50E9" w:rsidRDefault="00CB1306" w:rsidP="00CC50E9">
      <w:pPr>
        <w:snapToGrid w:val="0"/>
        <w:spacing w:after="0" w:line="240" w:lineRule="auto"/>
        <w:jc w:val="both"/>
        <w:rPr>
          <w:rFonts w:ascii="Times New Roman" w:hAnsi="Times New Roman" w:cs="Times New Roman"/>
          <w:sz w:val="20"/>
          <w:szCs w:val="20"/>
        </w:rPr>
      </w:pPr>
      <w:r w:rsidRPr="00CC50E9">
        <w:rPr>
          <w:rFonts w:ascii="Times New Roman" w:hAnsi="Times New Roman" w:cs="Times New Roman"/>
          <w:sz w:val="20"/>
          <w:szCs w:val="20"/>
        </w:rPr>
        <w:t xml:space="preserve">[Mohamed </w:t>
      </w:r>
      <w:proofErr w:type="spellStart"/>
      <w:r w:rsidRPr="00CC50E9">
        <w:rPr>
          <w:rFonts w:ascii="Times New Roman" w:hAnsi="Times New Roman" w:cs="Times New Roman"/>
          <w:sz w:val="20"/>
          <w:szCs w:val="20"/>
        </w:rPr>
        <w:t>Samir</w:t>
      </w:r>
      <w:proofErr w:type="spellEnd"/>
      <w:r w:rsidRPr="00CC50E9">
        <w:rPr>
          <w:rFonts w:ascii="Times New Roman" w:hAnsi="Times New Roman" w:cs="Times New Roman"/>
          <w:sz w:val="20"/>
          <w:szCs w:val="20"/>
        </w:rPr>
        <w:t xml:space="preserve">, Mohamed </w:t>
      </w:r>
      <w:proofErr w:type="spellStart"/>
      <w:r w:rsidRPr="00CC50E9">
        <w:rPr>
          <w:rFonts w:ascii="Times New Roman" w:hAnsi="Times New Roman" w:cs="Times New Roman"/>
          <w:sz w:val="20"/>
          <w:szCs w:val="20"/>
        </w:rPr>
        <w:t>Khaled</w:t>
      </w:r>
      <w:proofErr w:type="spellEnd"/>
      <w:r w:rsidRPr="00CC50E9">
        <w:rPr>
          <w:rFonts w:ascii="Times New Roman" w:hAnsi="Times New Roman" w:cs="Times New Roman"/>
          <w:sz w:val="20"/>
          <w:szCs w:val="20"/>
        </w:rPr>
        <w:t xml:space="preserve">, Mohamed Saied, Mohamed Al </w:t>
      </w:r>
      <w:proofErr w:type="spellStart"/>
      <w:r w:rsidRPr="00CC50E9">
        <w:rPr>
          <w:rFonts w:ascii="Times New Roman" w:hAnsi="Times New Roman" w:cs="Times New Roman"/>
          <w:sz w:val="20"/>
          <w:szCs w:val="20"/>
        </w:rPr>
        <w:t>khouly</w:t>
      </w:r>
      <w:proofErr w:type="spellEnd"/>
      <w:r w:rsidRPr="00CC50E9">
        <w:rPr>
          <w:rFonts w:ascii="Times New Roman" w:hAnsi="Times New Roman" w:cs="Times New Roman"/>
          <w:sz w:val="20"/>
          <w:szCs w:val="20"/>
        </w:rPr>
        <w:t xml:space="preserve"> and Mohamed Ramadan. </w:t>
      </w:r>
      <w:r w:rsidRPr="00CC50E9">
        <w:rPr>
          <w:rFonts w:ascii="Times New Roman" w:hAnsi="Times New Roman" w:cs="Times New Roman"/>
          <w:b/>
          <w:bCs/>
          <w:sz w:val="20"/>
          <w:szCs w:val="20"/>
        </w:rPr>
        <w:t>Predictive Values of Platelet Indices and serum uric acid in Development of Preeclampsia</w:t>
      </w:r>
      <w:r w:rsidR="00CC50E9" w:rsidRPr="00CC50E9">
        <w:rPr>
          <w:rFonts w:ascii="Times New Roman" w:eastAsia="Times New Roman" w:hAnsi="Times New Roman" w:cs="Times New Roman"/>
          <w:b/>
          <w:bCs/>
          <w:sz w:val="20"/>
          <w:szCs w:val="20"/>
          <w:lang w:bidi="fa-IR"/>
        </w:rPr>
        <w:t>.</w:t>
      </w:r>
      <w:r w:rsidR="00CC50E9" w:rsidRPr="00CC50E9">
        <w:rPr>
          <w:rFonts w:ascii="Times New Roman" w:hAnsi="Times New Roman" w:cs="Times New Roman"/>
          <w:bCs/>
          <w:i/>
          <w:sz w:val="20"/>
          <w:szCs w:val="20"/>
        </w:rPr>
        <w:t xml:space="preserve"> N Y </w:t>
      </w:r>
      <w:proofErr w:type="spellStart"/>
      <w:r w:rsidR="00CC50E9" w:rsidRPr="00CC50E9">
        <w:rPr>
          <w:rFonts w:ascii="Times New Roman" w:hAnsi="Times New Roman" w:cs="Times New Roman"/>
          <w:bCs/>
          <w:i/>
          <w:sz w:val="20"/>
          <w:szCs w:val="20"/>
        </w:rPr>
        <w:t>Sci</w:t>
      </w:r>
      <w:proofErr w:type="spellEnd"/>
      <w:r w:rsidR="00CC50E9" w:rsidRPr="00CC50E9">
        <w:rPr>
          <w:rFonts w:ascii="Times New Roman" w:hAnsi="Times New Roman" w:cs="Times New Roman"/>
          <w:bCs/>
          <w:i/>
          <w:sz w:val="20"/>
          <w:szCs w:val="20"/>
        </w:rPr>
        <w:t xml:space="preserve"> J</w:t>
      </w:r>
      <w:r w:rsidR="00CC50E9" w:rsidRPr="00CC50E9">
        <w:rPr>
          <w:rFonts w:ascii="Times New Roman" w:hAnsi="Times New Roman" w:cs="Times New Roman"/>
          <w:bCs/>
          <w:sz w:val="20"/>
          <w:szCs w:val="20"/>
        </w:rPr>
        <w:t xml:space="preserve"> </w:t>
      </w:r>
      <w:r w:rsidR="00CC50E9" w:rsidRPr="00CC50E9">
        <w:rPr>
          <w:rFonts w:ascii="Times New Roman" w:hAnsi="Times New Roman" w:cs="Times New Roman"/>
          <w:sz w:val="20"/>
          <w:szCs w:val="20"/>
        </w:rPr>
        <w:t>201</w:t>
      </w:r>
      <w:r w:rsidR="00CC50E9" w:rsidRPr="00CC50E9">
        <w:rPr>
          <w:rFonts w:ascii="Times New Roman" w:hAnsi="Times New Roman" w:cs="Times New Roman" w:hint="eastAsia"/>
          <w:sz w:val="20"/>
          <w:szCs w:val="20"/>
        </w:rPr>
        <w:t>7</w:t>
      </w:r>
      <w:proofErr w:type="gramStart"/>
      <w:r w:rsidR="00CC50E9" w:rsidRPr="00CC50E9">
        <w:rPr>
          <w:rFonts w:ascii="Times New Roman" w:hAnsi="Times New Roman" w:cs="Times New Roman"/>
          <w:sz w:val="20"/>
          <w:szCs w:val="20"/>
        </w:rPr>
        <w:t>;</w:t>
      </w:r>
      <w:r w:rsidR="00CC50E9" w:rsidRPr="00CC50E9">
        <w:rPr>
          <w:rFonts w:ascii="Times New Roman" w:hAnsi="Times New Roman" w:cs="Times New Roman" w:hint="eastAsia"/>
          <w:sz w:val="20"/>
          <w:szCs w:val="20"/>
        </w:rPr>
        <w:t>10</w:t>
      </w:r>
      <w:proofErr w:type="gramEnd"/>
      <w:r w:rsidR="00CC50E9" w:rsidRPr="00CC50E9">
        <w:rPr>
          <w:rFonts w:ascii="Times New Roman" w:hAnsi="Times New Roman" w:cs="Times New Roman"/>
          <w:sz w:val="20"/>
          <w:szCs w:val="20"/>
        </w:rPr>
        <w:t>(</w:t>
      </w:r>
      <w:r w:rsidR="00CC50E9" w:rsidRPr="00CC50E9">
        <w:rPr>
          <w:rFonts w:ascii="Times New Roman" w:hAnsi="Times New Roman" w:cs="Times New Roman" w:hint="eastAsia"/>
          <w:sz w:val="20"/>
          <w:szCs w:val="20"/>
        </w:rPr>
        <w:t>1</w:t>
      </w:r>
      <w:r w:rsidR="00CC50E9" w:rsidRPr="00CC50E9">
        <w:rPr>
          <w:rFonts w:ascii="Times New Roman" w:hAnsi="Times New Roman" w:cs="Times New Roman"/>
          <w:sz w:val="20"/>
          <w:szCs w:val="20"/>
        </w:rPr>
        <w:t>):</w:t>
      </w:r>
      <w:r w:rsidR="00EA3B9D">
        <w:rPr>
          <w:rFonts w:ascii="Times New Roman" w:hAnsi="Times New Roman" w:cs="Times New Roman"/>
          <w:noProof/>
          <w:color w:val="000000"/>
          <w:sz w:val="20"/>
          <w:szCs w:val="20"/>
        </w:rPr>
        <w:t>77</w:t>
      </w:r>
      <w:r w:rsidR="00CC50E9" w:rsidRPr="00CC50E9">
        <w:rPr>
          <w:rFonts w:ascii="Times New Roman" w:hAnsi="Times New Roman" w:cs="Times New Roman"/>
          <w:color w:val="000000"/>
          <w:sz w:val="20"/>
          <w:szCs w:val="20"/>
        </w:rPr>
        <w:t>-</w:t>
      </w:r>
      <w:r w:rsidR="00EA3B9D">
        <w:rPr>
          <w:rFonts w:ascii="Times New Roman" w:hAnsi="Times New Roman" w:cs="Times New Roman"/>
          <w:noProof/>
          <w:color w:val="000000"/>
          <w:sz w:val="20"/>
          <w:szCs w:val="20"/>
        </w:rPr>
        <w:t>80</w:t>
      </w:r>
      <w:r w:rsidR="00CC50E9" w:rsidRPr="00CC50E9">
        <w:rPr>
          <w:rFonts w:ascii="Times New Roman" w:hAnsi="Times New Roman" w:cs="Times New Roman"/>
          <w:sz w:val="20"/>
          <w:szCs w:val="20"/>
        </w:rPr>
        <w:t xml:space="preserve">]. </w:t>
      </w:r>
      <w:proofErr w:type="gramStart"/>
      <w:r w:rsidR="00CC50E9" w:rsidRPr="00CC50E9">
        <w:rPr>
          <w:rFonts w:ascii="Times New Roman" w:hAnsi="Times New Roman" w:cs="Times New Roman"/>
          <w:iCs/>
          <w:color w:val="000000"/>
          <w:sz w:val="20"/>
          <w:szCs w:val="20"/>
        </w:rPr>
        <w:t>ISSN 1554-0200 (print); ISSN 2375-723X (online)</w:t>
      </w:r>
      <w:r w:rsidR="00CC50E9" w:rsidRPr="00CC50E9">
        <w:rPr>
          <w:rFonts w:ascii="Times New Roman" w:hAnsi="Times New Roman" w:cs="Times New Roman"/>
          <w:sz w:val="20"/>
          <w:szCs w:val="20"/>
        </w:rPr>
        <w:t>.</w:t>
      </w:r>
      <w:proofErr w:type="gramEnd"/>
      <w:r w:rsidR="00CC50E9" w:rsidRPr="00CC50E9">
        <w:rPr>
          <w:rFonts w:ascii="Times New Roman" w:hAnsi="Times New Roman" w:cs="Times New Roman"/>
          <w:sz w:val="20"/>
          <w:szCs w:val="20"/>
        </w:rPr>
        <w:t xml:space="preserve"> </w:t>
      </w:r>
      <w:hyperlink r:id="rId8" w:history="1">
        <w:r w:rsidR="00CC50E9" w:rsidRPr="00CC50E9">
          <w:rPr>
            <w:rStyle w:val="Hyperlink"/>
            <w:rFonts w:ascii="Times New Roman" w:hAnsi="Times New Roman" w:cs="Times New Roman"/>
            <w:color w:val="0000FF"/>
            <w:sz w:val="20"/>
            <w:szCs w:val="20"/>
          </w:rPr>
          <w:t>http://www.sciencepub.net/newyork</w:t>
        </w:r>
      </w:hyperlink>
      <w:r w:rsidR="00CC50E9" w:rsidRPr="00CC50E9">
        <w:rPr>
          <w:rFonts w:ascii="Times New Roman" w:hAnsi="Times New Roman" w:cs="Times New Roman"/>
          <w:sz w:val="20"/>
          <w:szCs w:val="20"/>
        </w:rPr>
        <w:t xml:space="preserve">. </w:t>
      </w:r>
      <w:r w:rsidR="00CC50E9">
        <w:rPr>
          <w:rFonts w:ascii="Times New Roman" w:hAnsi="Times New Roman" w:cs="Times New Roman" w:hint="eastAsia"/>
          <w:sz w:val="20"/>
          <w:szCs w:val="20"/>
          <w:lang w:eastAsia="zh-CN"/>
        </w:rPr>
        <w:t>12</w:t>
      </w:r>
      <w:r w:rsidR="00CC50E9" w:rsidRPr="00CC50E9">
        <w:rPr>
          <w:rFonts w:ascii="Times New Roman" w:hAnsi="Times New Roman" w:cs="Times New Roman" w:hint="eastAsia"/>
          <w:sz w:val="20"/>
          <w:szCs w:val="20"/>
        </w:rPr>
        <w:t xml:space="preserve">. </w:t>
      </w:r>
      <w:proofErr w:type="gramStart"/>
      <w:r w:rsidR="00CC50E9" w:rsidRPr="00CC50E9">
        <w:rPr>
          <w:rFonts w:ascii="Times New Roman" w:hAnsi="Times New Roman" w:cs="Times New Roman"/>
          <w:color w:val="000000"/>
          <w:sz w:val="20"/>
          <w:szCs w:val="20"/>
          <w:shd w:val="clear" w:color="auto" w:fill="FFFFFF"/>
        </w:rPr>
        <w:t>doi</w:t>
      </w:r>
      <w:proofErr w:type="gramEnd"/>
      <w:r w:rsidR="00CC50E9" w:rsidRPr="00CC50E9">
        <w:rPr>
          <w:rFonts w:ascii="Times New Roman" w:hAnsi="Times New Roman" w:cs="Times New Roman"/>
          <w:color w:val="000000"/>
          <w:sz w:val="20"/>
          <w:szCs w:val="20"/>
          <w:shd w:val="clear" w:color="auto" w:fill="FFFFFF"/>
        </w:rPr>
        <w:t>:</w:t>
      </w:r>
      <w:hyperlink r:id="rId9" w:history="1">
        <w:r w:rsidR="00CC50E9" w:rsidRPr="00CC50E9">
          <w:rPr>
            <w:rStyle w:val="Hyperlink"/>
            <w:rFonts w:ascii="Times New Roman" w:hAnsi="Times New Roman" w:cs="Times New Roman"/>
            <w:color w:val="0000FF"/>
            <w:sz w:val="20"/>
            <w:szCs w:val="20"/>
            <w:shd w:val="clear" w:color="auto" w:fill="FFFFFF"/>
          </w:rPr>
          <w:t>10.7537/mars</w:t>
        </w:r>
        <w:r w:rsidR="00CC50E9" w:rsidRPr="00CC50E9">
          <w:rPr>
            <w:rStyle w:val="Hyperlink"/>
            <w:rFonts w:ascii="Times New Roman" w:hAnsi="Times New Roman" w:cs="Times New Roman" w:hint="eastAsia"/>
            <w:color w:val="0000FF"/>
            <w:sz w:val="20"/>
            <w:szCs w:val="20"/>
            <w:shd w:val="clear" w:color="auto" w:fill="FFFFFF"/>
          </w:rPr>
          <w:t>nys100117.</w:t>
        </w:r>
        <w:r w:rsidR="00CC50E9">
          <w:rPr>
            <w:rStyle w:val="Hyperlink"/>
            <w:rFonts w:ascii="Times New Roman" w:hAnsi="Times New Roman" w:cs="Times New Roman" w:hint="eastAsia"/>
            <w:color w:val="0000FF"/>
            <w:sz w:val="20"/>
            <w:szCs w:val="20"/>
            <w:shd w:val="clear" w:color="auto" w:fill="FFFFFF"/>
            <w:lang w:eastAsia="zh-CN"/>
          </w:rPr>
          <w:t>12</w:t>
        </w:r>
      </w:hyperlink>
      <w:r w:rsidR="00CC50E9" w:rsidRPr="00CC50E9">
        <w:rPr>
          <w:rFonts w:ascii="Times New Roman" w:hAnsi="Times New Roman" w:cs="Times New Roman"/>
          <w:color w:val="000000"/>
          <w:sz w:val="20"/>
          <w:szCs w:val="20"/>
          <w:shd w:val="clear" w:color="auto" w:fill="FFFFFF"/>
        </w:rPr>
        <w:t>.</w:t>
      </w:r>
    </w:p>
    <w:p w:rsidR="0084714F" w:rsidRPr="00CC50E9" w:rsidRDefault="0084714F" w:rsidP="00CC50E9">
      <w:pPr>
        <w:autoSpaceDE w:val="0"/>
        <w:autoSpaceDN w:val="0"/>
        <w:adjustRightInd w:val="0"/>
        <w:snapToGrid w:val="0"/>
        <w:spacing w:after="0" w:line="240" w:lineRule="auto"/>
        <w:jc w:val="both"/>
        <w:rPr>
          <w:rFonts w:ascii="Times New Roman" w:hAnsi="Times New Roman" w:cs="Times New Roman"/>
          <w:b/>
          <w:bCs/>
          <w:sz w:val="20"/>
          <w:szCs w:val="20"/>
        </w:rPr>
      </w:pPr>
    </w:p>
    <w:p w:rsidR="00C56409" w:rsidRPr="00CC50E9" w:rsidRDefault="00C56409" w:rsidP="00CC50E9">
      <w:pPr>
        <w:pStyle w:val="Default"/>
        <w:snapToGrid w:val="0"/>
        <w:jc w:val="both"/>
        <w:rPr>
          <w:sz w:val="20"/>
          <w:szCs w:val="20"/>
        </w:rPr>
      </w:pPr>
      <w:r w:rsidRPr="00CC50E9">
        <w:rPr>
          <w:b/>
          <w:bCs/>
          <w:sz w:val="20"/>
          <w:szCs w:val="20"/>
        </w:rPr>
        <w:t xml:space="preserve">Key words: </w:t>
      </w:r>
      <w:r w:rsidRPr="00CC50E9">
        <w:rPr>
          <w:sz w:val="20"/>
          <w:szCs w:val="20"/>
        </w:rPr>
        <w:t>Preeclampsia, Mean platelet volume, Platelet distribution width, Platelet count, uric acid</w:t>
      </w:r>
    </w:p>
    <w:p w:rsidR="00CC50E9" w:rsidRDefault="00CC50E9" w:rsidP="00CC50E9">
      <w:pPr>
        <w:pStyle w:val="Default"/>
        <w:snapToGrid w:val="0"/>
        <w:jc w:val="both"/>
        <w:rPr>
          <w:rFonts w:hint="eastAsia"/>
          <w:sz w:val="20"/>
          <w:szCs w:val="20"/>
          <w:lang w:eastAsia="zh-CN"/>
        </w:rPr>
      </w:pPr>
    </w:p>
    <w:p w:rsidR="0027352D" w:rsidRDefault="0027352D" w:rsidP="00CC50E9">
      <w:pPr>
        <w:pStyle w:val="Default"/>
        <w:snapToGrid w:val="0"/>
        <w:jc w:val="both"/>
        <w:rPr>
          <w:rFonts w:hint="eastAsia"/>
          <w:sz w:val="20"/>
          <w:szCs w:val="20"/>
          <w:lang w:eastAsia="zh-CN"/>
        </w:rPr>
      </w:pPr>
    </w:p>
    <w:p w:rsidR="00CC50E9" w:rsidRPr="00CC50E9" w:rsidRDefault="00CC50E9" w:rsidP="00CC50E9">
      <w:pPr>
        <w:pStyle w:val="Default"/>
        <w:snapToGrid w:val="0"/>
        <w:jc w:val="both"/>
        <w:rPr>
          <w:sz w:val="20"/>
          <w:szCs w:val="20"/>
        </w:rPr>
        <w:sectPr w:rsidR="00CC50E9" w:rsidRPr="00CC50E9" w:rsidSect="00EA3B9D">
          <w:headerReference w:type="default" r:id="rId10"/>
          <w:footerReference w:type="default" r:id="rId11"/>
          <w:type w:val="continuous"/>
          <w:pgSz w:w="12240" w:h="15840" w:code="1"/>
          <w:pgMar w:top="1440" w:right="1440" w:bottom="1440" w:left="1440" w:header="720" w:footer="720" w:gutter="0"/>
          <w:pgNumType w:start="77"/>
          <w:cols w:space="720"/>
          <w:docGrid w:linePitch="360"/>
        </w:sectPr>
      </w:pPr>
    </w:p>
    <w:p w:rsidR="00872179" w:rsidRPr="00CC50E9" w:rsidRDefault="00CB1306" w:rsidP="00CC50E9">
      <w:pPr>
        <w:pStyle w:val="Default"/>
        <w:snapToGrid w:val="0"/>
        <w:jc w:val="both"/>
        <w:rPr>
          <w:b/>
          <w:sz w:val="20"/>
          <w:szCs w:val="20"/>
        </w:rPr>
      </w:pPr>
      <w:r w:rsidRPr="00CC50E9">
        <w:rPr>
          <w:b/>
          <w:sz w:val="20"/>
          <w:szCs w:val="20"/>
        </w:rPr>
        <w:lastRenderedPageBreak/>
        <w:t>1. Introduction</w:t>
      </w:r>
    </w:p>
    <w:p w:rsidR="00872179" w:rsidRPr="00CC50E9" w:rsidRDefault="00E46D2A" w:rsidP="00CC50E9">
      <w:pPr>
        <w:pStyle w:val="Default"/>
        <w:snapToGrid w:val="0"/>
        <w:ind w:firstLine="425"/>
        <w:jc w:val="both"/>
        <w:rPr>
          <w:sz w:val="20"/>
          <w:szCs w:val="20"/>
        </w:rPr>
      </w:pPr>
      <w:r w:rsidRPr="00CC50E9">
        <w:rPr>
          <w:sz w:val="20"/>
          <w:szCs w:val="20"/>
        </w:rPr>
        <w:t>P</w:t>
      </w:r>
      <w:r w:rsidR="007F73D4" w:rsidRPr="00CC50E9">
        <w:rPr>
          <w:sz w:val="20"/>
          <w:szCs w:val="20"/>
        </w:rPr>
        <w:t>reeclampsia</w:t>
      </w:r>
      <w:r w:rsidRPr="00CC50E9">
        <w:rPr>
          <w:sz w:val="20"/>
          <w:szCs w:val="20"/>
        </w:rPr>
        <w:t xml:space="preserve"> is among the commonest medical disorders during pregnancy, it complicate about5-10% of pregnancies and continues to be a major cause of maternal and </w:t>
      </w:r>
      <w:proofErr w:type="spellStart"/>
      <w:r w:rsidRPr="00CC50E9">
        <w:rPr>
          <w:sz w:val="20"/>
          <w:szCs w:val="20"/>
        </w:rPr>
        <w:t>perinatal</w:t>
      </w:r>
      <w:proofErr w:type="spellEnd"/>
      <w:r w:rsidRPr="00CC50E9">
        <w:rPr>
          <w:sz w:val="20"/>
          <w:szCs w:val="20"/>
        </w:rPr>
        <w:t xml:space="preserve"> morbidity and mortality.</w:t>
      </w:r>
      <w:r w:rsidRPr="00CC50E9">
        <w:rPr>
          <w:sz w:val="20"/>
          <w:szCs w:val="20"/>
          <w:vertAlign w:val="superscript"/>
        </w:rPr>
        <w:t>1</w:t>
      </w:r>
      <w:r w:rsidRPr="00CC50E9">
        <w:rPr>
          <w:sz w:val="20"/>
          <w:szCs w:val="20"/>
        </w:rPr>
        <w:t>It is a multisystem disease of</w:t>
      </w:r>
      <w:r w:rsidR="00CC50E9">
        <w:rPr>
          <w:sz w:val="20"/>
          <w:szCs w:val="20"/>
        </w:rPr>
        <w:t xml:space="preserve"> </w:t>
      </w:r>
      <w:r w:rsidRPr="00CC50E9">
        <w:rPr>
          <w:sz w:val="20"/>
          <w:szCs w:val="20"/>
        </w:rPr>
        <w:t xml:space="preserve">unknown etiology and there is a constant search for better prognostic factors to predict the progression and severity of disease, alterations in coagulation, </w:t>
      </w:r>
      <w:proofErr w:type="spellStart"/>
      <w:r w:rsidRPr="00CC50E9">
        <w:rPr>
          <w:sz w:val="20"/>
          <w:szCs w:val="20"/>
        </w:rPr>
        <w:t>fibrinolysis</w:t>
      </w:r>
      <w:proofErr w:type="spellEnd"/>
      <w:r w:rsidRPr="00CC50E9">
        <w:rPr>
          <w:sz w:val="20"/>
          <w:szCs w:val="20"/>
        </w:rPr>
        <w:t xml:space="preserve"> and platelet are believed to play an important role in the pathogenesis of preeclampsia.</w:t>
      </w:r>
      <w:r w:rsidRPr="00CC50E9">
        <w:rPr>
          <w:sz w:val="20"/>
          <w:szCs w:val="20"/>
          <w:vertAlign w:val="superscript"/>
        </w:rPr>
        <w:t>2</w:t>
      </w:r>
      <w:r w:rsidR="0027352D">
        <w:rPr>
          <w:rFonts w:hint="eastAsia"/>
          <w:sz w:val="20"/>
          <w:szCs w:val="20"/>
          <w:vertAlign w:val="superscript"/>
          <w:lang w:eastAsia="zh-CN"/>
        </w:rPr>
        <w:t xml:space="preserve"> </w:t>
      </w:r>
      <w:r w:rsidR="0074251D" w:rsidRPr="00CC50E9">
        <w:rPr>
          <w:sz w:val="20"/>
          <w:szCs w:val="20"/>
        </w:rPr>
        <w:t xml:space="preserve">Preeclampsia </w:t>
      </w:r>
      <w:r w:rsidRPr="00CC50E9">
        <w:rPr>
          <w:sz w:val="20"/>
          <w:szCs w:val="20"/>
        </w:rPr>
        <w:t>occurs only in human female during pregnancy</w:t>
      </w:r>
      <w:r w:rsidR="0027352D">
        <w:rPr>
          <w:rFonts w:hint="eastAsia"/>
          <w:sz w:val="20"/>
          <w:szCs w:val="20"/>
          <w:lang w:eastAsia="zh-CN"/>
        </w:rPr>
        <w:t xml:space="preserve"> </w:t>
      </w:r>
      <w:r w:rsidRPr="00CC50E9">
        <w:rPr>
          <w:sz w:val="20"/>
          <w:szCs w:val="20"/>
        </w:rPr>
        <w:t>and characterized</w:t>
      </w:r>
      <w:r w:rsidR="00CC50E9">
        <w:rPr>
          <w:sz w:val="20"/>
          <w:szCs w:val="20"/>
        </w:rPr>
        <w:t xml:space="preserve"> </w:t>
      </w:r>
      <w:r w:rsidRPr="00CC50E9">
        <w:rPr>
          <w:sz w:val="20"/>
          <w:szCs w:val="20"/>
        </w:rPr>
        <w:t xml:space="preserve">by hypertension </w:t>
      </w:r>
      <w:r w:rsidR="009B36D5" w:rsidRPr="00CC50E9">
        <w:rPr>
          <w:sz w:val="20"/>
          <w:szCs w:val="20"/>
        </w:rPr>
        <w:t xml:space="preserve">with </w:t>
      </w:r>
      <w:proofErr w:type="spellStart"/>
      <w:r w:rsidR="009B36D5" w:rsidRPr="00CC50E9">
        <w:rPr>
          <w:sz w:val="20"/>
          <w:szCs w:val="20"/>
        </w:rPr>
        <w:t>proteinuria</w:t>
      </w:r>
      <w:proofErr w:type="spellEnd"/>
      <w:r w:rsidR="009B36D5" w:rsidRPr="00CC50E9">
        <w:rPr>
          <w:sz w:val="20"/>
          <w:szCs w:val="20"/>
        </w:rPr>
        <w:t xml:space="preserve"> and/or edema</w:t>
      </w:r>
      <w:r w:rsidR="00CC50E9" w:rsidRPr="00CC50E9">
        <w:rPr>
          <w:sz w:val="20"/>
          <w:szCs w:val="20"/>
        </w:rPr>
        <w:t>,</w:t>
      </w:r>
      <w:r w:rsidR="009B36D5" w:rsidRPr="00CC50E9">
        <w:rPr>
          <w:sz w:val="20"/>
          <w:szCs w:val="20"/>
        </w:rPr>
        <w:t xml:space="preserve"> </w:t>
      </w:r>
      <w:r w:rsidRPr="00CC50E9">
        <w:rPr>
          <w:sz w:val="20"/>
          <w:szCs w:val="20"/>
        </w:rPr>
        <w:t xml:space="preserve">it occurs usually after 20 weeks of pregnancy but might occur earlier in cases of vesicular mole, </w:t>
      </w:r>
      <w:proofErr w:type="spellStart"/>
      <w:r w:rsidRPr="00CC50E9">
        <w:rPr>
          <w:sz w:val="20"/>
          <w:szCs w:val="20"/>
        </w:rPr>
        <w:t>polyhydraminos</w:t>
      </w:r>
      <w:proofErr w:type="spellEnd"/>
      <w:r w:rsidRPr="00CC50E9">
        <w:rPr>
          <w:sz w:val="20"/>
          <w:szCs w:val="20"/>
        </w:rPr>
        <w:t xml:space="preserve"> and</w:t>
      </w:r>
      <w:r w:rsidR="00CC50E9">
        <w:rPr>
          <w:sz w:val="20"/>
          <w:szCs w:val="20"/>
        </w:rPr>
        <w:t xml:space="preserve"> </w:t>
      </w:r>
      <w:r w:rsidRPr="00CC50E9">
        <w:rPr>
          <w:sz w:val="20"/>
          <w:szCs w:val="20"/>
        </w:rPr>
        <w:t xml:space="preserve">multiple pregnancy. </w:t>
      </w:r>
      <w:proofErr w:type="gramStart"/>
      <w:r w:rsidRPr="00CC50E9">
        <w:rPr>
          <w:sz w:val="20"/>
          <w:szCs w:val="20"/>
        </w:rPr>
        <w:t>if</w:t>
      </w:r>
      <w:proofErr w:type="gramEnd"/>
      <w:r w:rsidRPr="00CC50E9">
        <w:rPr>
          <w:sz w:val="20"/>
          <w:szCs w:val="20"/>
        </w:rPr>
        <w:t xml:space="preserve"> it is untreated may end in eclampsia</w:t>
      </w:r>
      <w:r w:rsidR="0074251D" w:rsidRPr="00CC50E9">
        <w:rPr>
          <w:sz w:val="20"/>
          <w:szCs w:val="20"/>
        </w:rPr>
        <w:t>.</w:t>
      </w:r>
      <w:r w:rsidR="0074251D" w:rsidRPr="00CC50E9">
        <w:rPr>
          <w:sz w:val="20"/>
          <w:szCs w:val="20"/>
          <w:vertAlign w:val="superscript"/>
        </w:rPr>
        <w:t>3</w:t>
      </w:r>
    </w:p>
    <w:p w:rsidR="0074251D" w:rsidRPr="00CC50E9" w:rsidRDefault="0074251D" w:rsidP="00CC50E9">
      <w:pPr>
        <w:pStyle w:val="Default"/>
        <w:snapToGrid w:val="0"/>
        <w:jc w:val="both"/>
        <w:rPr>
          <w:sz w:val="20"/>
          <w:szCs w:val="20"/>
          <w:vertAlign w:val="superscript"/>
        </w:rPr>
      </w:pPr>
    </w:p>
    <w:p w:rsidR="0074251D" w:rsidRPr="00CC50E9" w:rsidRDefault="00CB1306" w:rsidP="00CC50E9">
      <w:pPr>
        <w:pStyle w:val="Default"/>
        <w:snapToGrid w:val="0"/>
        <w:jc w:val="both"/>
        <w:rPr>
          <w:b/>
          <w:sz w:val="20"/>
          <w:szCs w:val="20"/>
        </w:rPr>
      </w:pPr>
      <w:r w:rsidRPr="00CC50E9">
        <w:rPr>
          <w:b/>
          <w:sz w:val="20"/>
          <w:szCs w:val="20"/>
        </w:rPr>
        <w:t xml:space="preserve">2. </w:t>
      </w:r>
      <w:r w:rsidR="0084714F" w:rsidRPr="00CC50E9">
        <w:rPr>
          <w:b/>
          <w:sz w:val="20"/>
          <w:szCs w:val="20"/>
        </w:rPr>
        <w:t>Materials</w:t>
      </w:r>
      <w:r w:rsidRPr="00CC50E9">
        <w:rPr>
          <w:b/>
          <w:sz w:val="20"/>
          <w:szCs w:val="20"/>
        </w:rPr>
        <w:t xml:space="preserve"> </w:t>
      </w:r>
      <w:r w:rsidR="0084714F" w:rsidRPr="00CC50E9">
        <w:rPr>
          <w:b/>
          <w:sz w:val="20"/>
          <w:szCs w:val="20"/>
        </w:rPr>
        <w:t>and methods</w:t>
      </w:r>
    </w:p>
    <w:p w:rsidR="0074251D" w:rsidRPr="00CC50E9" w:rsidRDefault="00755930" w:rsidP="00CC50E9">
      <w:pPr>
        <w:pStyle w:val="Default"/>
        <w:snapToGrid w:val="0"/>
        <w:ind w:firstLine="425"/>
        <w:jc w:val="both"/>
        <w:rPr>
          <w:sz w:val="20"/>
          <w:szCs w:val="20"/>
        </w:rPr>
      </w:pPr>
      <w:r w:rsidRPr="00CC50E9">
        <w:rPr>
          <w:sz w:val="20"/>
          <w:szCs w:val="20"/>
        </w:rPr>
        <w:t>This prospective study was</w:t>
      </w:r>
      <w:r w:rsidR="00111894" w:rsidRPr="00CC50E9">
        <w:rPr>
          <w:sz w:val="20"/>
          <w:szCs w:val="20"/>
        </w:rPr>
        <w:t xml:space="preserve"> conducted in the Department of </w:t>
      </w:r>
      <w:r w:rsidRPr="00CC50E9">
        <w:rPr>
          <w:sz w:val="20"/>
          <w:szCs w:val="20"/>
        </w:rPr>
        <w:t xml:space="preserve">Obstetrics and Gynecology, </w:t>
      </w:r>
      <w:proofErr w:type="spellStart"/>
      <w:r w:rsidR="00111894" w:rsidRPr="00CC50E9">
        <w:rPr>
          <w:sz w:val="20"/>
          <w:szCs w:val="20"/>
        </w:rPr>
        <w:t>Sohag</w:t>
      </w:r>
      <w:proofErr w:type="spellEnd"/>
      <w:r w:rsidR="00CB1306" w:rsidRPr="00CC50E9">
        <w:rPr>
          <w:sz w:val="20"/>
          <w:szCs w:val="20"/>
        </w:rPr>
        <w:t xml:space="preserve"> teaching</w:t>
      </w:r>
      <w:r w:rsidR="00111894" w:rsidRPr="00CC50E9">
        <w:rPr>
          <w:sz w:val="20"/>
          <w:szCs w:val="20"/>
        </w:rPr>
        <w:t xml:space="preserve"> hospital</w:t>
      </w:r>
      <w:r w:rsidRPr="00CC50E9">
        <w:rPr>
          <w:sz w:val="20"/>
          <w:szCs w:val="20"/>
        </w:rPr>
        <w:t xml:space="preserve"> from </w:t>
      </w:r>
      <w:r w:rsidR="0027352D">
        <w:rPr>
          <w:rFonts w:hint="eastAsia"/>
          <w:sz w:val="20"/>
          <w:szCs w:val="20"/>
          <w:lang w:eastAsia="zh-CN"/>
        </w:rPr>
        <w:t>M</w:t>
      </w:r>
      <w:r w:rsidR="00111894" w:rsidRPr="00CC50E9">
        <w:rPr>
          <w:sz w:val="20"/>
          <w:szCs w:val="20"/>
        </w:rPr>
        <w:t>arch</w:t>
      </w:r>
      <w:r w:rsidRPr="00CC50E9">
        <w:rPr>
          <w:sz w:val="20"/>
          <w:szCs w:val="20"/>
        </w:rPr>
        <w:t xml:space="preserve"> 20</w:t>
      </w:r>
      <w:r w:rsidR="00111894" w:rsidRPr="00CC50E9">
        <w:rPr>
          <w:sz w:val="20"/>
          <w:szCs w:val="20"/>
        </w:rPr>
        <w:t>15</w:t>
      </w:r>
      <w:r w:rsidRPr="00CC50E9">
        <w:rPr>
          <w:sz w:val="20"/>
          <w:szCs w:val="20"/>
        </w:rPr>
        <w:t xml:space="preserve"> to </w:t>
      </w:r>
      <w:proofErr w:type="gramStart"/>
      <w:r w:rsidR="00111894" w:rsidRPr="00CC50E9">
        <w:rPr>
          <w:sz w:val="20"/>
          <w:szCs w:val="20"/>
        </w:rPr>
        <w:t>march</w:t>
      </w:r>
      <w:proofErr w:type="gramEnd"/>
      <w:r w:rsidR="00111894" w:rsidRPr="00CC50E9">
        <w:rPr>
          <w:sz w:val="20"/>
          <w:szCs w:val="20"/>
        </w:rPr>
        <w:t xml:space="preserve"> 2016</w:t>
      </w:r>
      <w:r w:rsidRPr="00CC50E9">
        <w:rPr>
          <w:sz w:val="20"/>
          <w:szCs w:val="20"/>
        </w:rPr>
        <w:t>, on</w:t>
      </w:r>
      <w:r w:rsidR="0027352D">
        <w:rPr>
          <w:rFonts w:hint="eastAsia"/>
          <w:sz w:val="20"/>
          <w:szCs w:val="20"/>
          <w:lang w:eastAsia="zh-CN"/>
        </w:rPr>
        <w:t xml:space="preserve"> </w:t>
      </w:r>
      <w:r w:rsidRPr="00CC50E9">
        <w:rPr>
          <w:sz w:val="20"/>
          <w:szCs w:val="20"/>
        </w:rPr>
        <w:t>pati</w:t>
      </w:r>
      <w:r w:rsidR="00191084" w:rsidRPr="00CC50E9">
        <w:rPr>
          <w:sz w:val="20"/>
          <w:szCs w:val="20"/>
        </w:rPr>
        <w:t xml:space="preserve">ents attending antenatal clinic and/or admitted in maternity </w:t>
      </w:r>
      <w:r w:rsidRPr="00CC50E9">
        <w:rPr>
          <w:sz w:val="20"/>
          <w:szCs w:val="20"/>
        </w:rPr>
        <w:t xml:space="preserve">wards. A total of </w:t>
      </w:r>
      <w:r w:rsidR="00191084" w:rsidRPr="00CC50E9">
        <w:rPr>
          <w:sz w:val="20"/>
          <w:szCs w:val="20"/>
        </w:rPr>
        <w:t>3</w:t>
      </w:r>
      <w:r w:rsidRPr="00CC50E9">
        <w:rPr>
          <w:sz w:val="20"/>
          <w:szCs w:val="20"/>
        </w:rPr>
        <w:t xml:space="preserve">50 pregnant women </w:t>
      </w:r>
      <w:r w:rsidR="00191084" w:rsidRPr="00CC50E9">
        <w:rPr>
          <w:sz w:val="20"/>
          <w:szCs w:val="20"/>
        </w:rPr>
        <w:t xml:space="preserve">more </w:t>
      </w:r>
      <w:r w:rsidRPr="00CC50E9">
        <w:rPr>
          <w:sz w:val="20"/>
          <w:szCs w:val="20"/>
        </w:rPr>
        <w:t>t</w:t>
      </w:r>
      <w:r w:rsidR="00191084" w:rsidRPr="00CC50E9">
        <w:rPr>
          <w:sz w:val="20"/>
          <w:szCs w:val="20"/>
        </w:rPr>
        <w:t>han</w:t>
      </w:r>
      <w:r w:rsidRPr="00CC50E9">
        <w:rPr>
          <w:sz w:val="20"/>
          <w:szCs w:val="20"/>
        </w:rPr>
        <w:t xml:space="preserve"> 20 </w:t>
      </w:r>
      <w:r w:rsidR="00191084" w:rsidRPr="00CC50E9">
        <w:rPr>
          <w:sz w:val="20"/>
          <w:szCs w:val="20"/>
        </w:rPr>
        <w:t xml:space="preserve">weeks of </w:t>
      </w:r>
      <w:r w:rsidRPr="00CC50E9">
        <w:rPr>
          <w:sz w:val="20"/>
          <w:szCs w:val="20"/>
        </w:rPr>
        <w:t>gestation with singleton preg</w:t>
      </w:r>
      <w:r w:rsidR="00191084" w:rsidRPr="00CC50E9">
        <w:rPr>
          <w:sz w:val="20"/>
          <w:szCs w:val="20"/>
        </w:rPr>
        <w:t xml:space="preserve">nancy </w:t>
      </w:r>
      <w:r w:rsidR="00191084" w:rsidRPr="00CC50E9">
        <w:rPr>
          <w:sz w:val="20"/>
          <w:szCs w:val="20"/>
        </w:rPr>
        <w:lastRenderedPageBreak/>
        <w:t xml:space="preserve">and normal blood pressure </w:t>
      </w:r>
      <w:r w:rsidRPr="00CC50E9">
        <w:rPr>
          <w:sz w:val="20"/>
          <w:szCs w:val="20"/>
        </w:rPr>
        <w:t>were enrolled after taking well-informed consent.</w:t>
      </w:r>
      <w:r w:rsidR="00191084" w:rsidRPr="00CC50E9">
        <w:rPr>
          <w:sz w:val="20"/>
          <w:szCs w:val="20"/>
        </w:rPr>
        <w:t xml:space="preserve"> Data was </w:t>
      </w:r>
      <w:r w:rsidRPr="00CC50E9">
        <w:rPr>
          <w:sz w:val="20"/>
          <w:szCs w:val="20"/>
        </w:rPr>
        <w:t xml:space="preserve">collected and analyzed from </w:t>
      </w:r>
      <w:r w:rsidR="00191084" w:rsidRPr="00CC50E9">
        <w:rPr>
          <w:sz w:val="20"/>
          <w:szCs w:val="20"/>
        </w:rPr>
        <w:t xml:space="preserve">300 patients as 50 patients were </w:t>
      </w:r>
      <w:r w:rsidRPr="00CC50E9">
        <w:rPr>
          <w:sz w:val="20"/>
          <w:szCs w:val="20"/>
        </w:rPr>
        <w:t>either fulfilling the exclusion cri</w:t>
      </w:r>
      <w:r w:rsidR="00191084" w:rsidRPr="00CC50E9">
        <w:rPr>
          <w:sz w:val="20"/>
          <w:szCs w:val="20"/>
        </w:rPr>
        <w:t xml:space="preserve">teria or those who did not come </w:t>
      </w:r>
      <w:r w:rsidRPr="00CC50E9">
        <w:rPr>
          <w:sz w:val="20"/>
          <w:szCs w:val="20"/>
        </w:rPr>
        <w:t>for follow-up. The de</w:t>
      </w:r>
      <w:r w:rsidR="00191084" w:rsidRPr="00CC50E9">
        <w:rPr>
          <w:sz w:val="20"/>
          <w:szCs w:val="20"/>
        </w:rPr>
        <w:t xml:space="preserve">mographic details, such as age, weight, parity, residence, </w:t>
      </w:r>
      <w:r w:rsidRPr="00CC50E9">
        <w:rPr>
          <w:sz w:val="20"/>
          <w:szCs w:val="20"/>
        </w:rPr>
        <w:t xml:space="preserve">socioeconomic status were noted. </w:t>
      </w:r>
      <w:proofErr w:type="spellStart"/>
      <w:r w:rsidRPr="00CC50E9">
        <w:rPr>
          <w:sz w:val="20"/>
          <w:szCs w:val="20"/>
        </w:rPr>
        <w:t>Bloodpre</w:t>
      </w:r>
      <w:r w:rsidR="00191084" w:rsidRPr="00CC50E9">
        <w:rPr>
          <w:sz w:val="20"/>
          <w:szCs w:val="20"/>
        </w:rPr>
        <w:t>ssure</w:t>
      </w:r>
      <w:proofErr w:type="spellEnd"/>
      <w:r w:rsidR="00191084" w:rsidRPr="00CC50E9">
        <w:rPr>
          <w:sz w:val="20"/>
          <w:szCs w:val="20"/>
        </w:rPr>
        <w:t xml:space="preserve"> was taken by </w:t>
      </w:r>
      <w:proofErr w:type="spellStart"/>
      <w:r w:rsidR="00191084" w:rsidRPr="00CC50E9">
        <w:rPr>
          <w:sz w:val="20"/>
          <w:szCs w:val="20"/>
        </w:rPr>
        <w:t>auscultatory</w:t>
      </w:r>
      <w:proofErr w:type="spellEnd"/>
      <w:r w:rsidR="00191084" w:rsidRPr="00CC50E9">
        <w:rPr>
          <w:sz w:val="20"/>
          <w:szCs w:val="20"/>
        </w:rPr>
        <w:t xml:space="preserve"> method in sitting position </w:t>
      </w:r>
      <w:r w:rsidRPr="00CC50E9">
        <w:rPr>
          <w:sz w:val="20"/>
          <w:szCs w:val="20"/>
        </w:rPr>
        <w:t>after making patient comfor</w:t>
      </w:r>
      <w:r w:rsidR="00191084" w:rsidRPr="00CC50E9">
        <w:rPr>
          <w:sz w:val="20"/>
          <w:szCs w:val="20"/>
        </w:rPr>
        <w:t xml:space="preserve">table. Patients were considered </w:t>
      </w:r>
      <w:r w:rsidRPr="00CC50E9">
        <w:rPr>
          <w:sz w:val="20"/>
          <w:szCs w:val="20"/>
        </w:rPr>
        <w:t>hypertensive if d</w:t>
      </w:r>
      <w:r w:rsidR="00191084" w:rsidRPr="00CC50E9">
        <w:rPr>
          <w:sz w:val="20"/>
          <w:szCs w:val="20"/>
        </w:rPr>
        <w:t xml:space="preserve">iastolic BP was greater than or equal to 90mm Hg on two </w:t>
      </w:r>
      <w:r w:rsidRPr="00CC50E9">
        <w:rPr>
          <w:sz w:val="20"/>
          <w:szCs w:val="20"/>
        </w:rPr>
        <w:t>oc</w:t>
      </w:r>
      <w:r w:rsidR="00191084" w:rsidRPr="00CC50E9">
        <w:rPr>
          <w:sz w:val="20"/>
          <w:szCs w:val="20"/>
        </w:rPr>
        <w:t xml:space="preserve">casions 4 hours apart or single reading of </w:t>
      </w:r>
      <w:r w:rsidRPr="00CC50E9">
        <w:rPr>
          <w:sz w:val="20"/>
          <w:szCs w:val="20"/>
        </w:rPr>
        <w:t>&gt;110 mm Hg. They wer</w:t>
      </w:r>
      <w:r w:rsidR="00191084" w:rsidRPr="00CC50E9">
        <w:rPr>
          <w:sz w:val="20"/>
          <w:szCs w:val="20"/>
        </w:rPr>
        <w:t xml:space="preserve">e further divided into mild and severe </w:t>
      </w:r>
      <w:r w:rsidRPr="00CC50E9">
        <w:rPr>
          <w:sz w:val="20"/>
          <w:szCs w:val="20"/>
        </w:rPr>
        <w:t xml:space="preserve">preeclampsia. Cases with </w:t>
      </w:r>
      <w:r w:rsidR="00191084" w:rsidRPr="00CC50E9">
        <w:rPr>
          <w:sz w:val="20"/>
          <w:szCs w:val="20"/>
        </w:rPr>
        <w:t xml:space="preserve">systolic BP between 140 and 160mm Hg and diastolic BP between 90 and 110 mm Hg were </w:t>
      </w:r>
      <w:r w:rsidRPr="00CC50E9">
        <w:rPr>
          <w:sz w:val="20"/>
          <w:szCs w:val="20"/>
        </w:rPr>
        <w:t>co</w:t>
      </w:r>
      <w:r w:rsidR="00191084" w:rsidRPr="00CC50E9">
        <w:rPr>
          <w:sz w:val="20"/>
          <w:szCs w:val="20"/>
        </w:rPr>
        <w:t>nsidered as mild and those with systolic BP greater than</w:t>
      </w:r>
      <w:r w:rsidRPr="00CC50E9">
        <w:rPr>
          <w:sz w:val="20"/>
          <w:szCs w:val="20"/>
        </w:rPr>
        <w:t>160 mm Hg and diastolic grea</w:t>
      </w:r>
      <w:r w:rsidR="00191084" w:rsidRPr="00CC50E9">
        <w:rPr>
          <w:sz w:val="20"/>
          <w:szCs w:val="20"/>
        </w:rPr>
        <w:t xml:space="preserve">ter than 110mm Hg were </w:t>
      </w:r>
      <w:r w:rsidRPr="00CC50E9">
        <w:rPr>
          <w:sz w:val="20"/>
          <w:szCs w:val="20"/>
        </w:rPr>
        <w:t>con</w:t>
      </w:r>
      <w:r w:rsidR="00191084" w:rsidRPr="00CC50E9">
        <w:rPr>
          <w:sz w:val="20"/>
          <w:szCs w:val="20"/>
        </w:rPr>
        <w:t xml:space="preserve">sidered as severe preeclampsia. </w:t>
      </w:r>
      <w:r w:rsidR="00C3292C" w:rsidRPr="00CC50E9">
        <w:rPr>
          <w:sz w:val="20"/>
          <w:szCs w:val="20"/>
        </w:rPr>
        <w:t xml:space="preserve">Blood samples were </w:t>
      </w:r>
      <w:r w:rsidRPr="00CC50E9">
        <w:rPr>
          <w:sz w:val="20"/>
          <w:szCs w:val="20"/>
        </w:rPr>
        <w:t>collected and sent for es</w:t>
      </w:r>
      <w:r w:rsidR="009B36D5" w:rsidRPr="00CC50E9">
        <w:rPr>
          <w:sz w:val="20"/>
          <w:szCs w:val="20"/>
        </w:rPr>
        <w:t xml:space="preserve">timation of platelet indices by </w:t>
      </w:r>
      <w:r w:rsidR="00C3292C" w:rsidRPr="00CC50E9">
        <w:rPr>
          <w:sz w:val="20"/>
          <w:szCs w:val="20"/>
        </w:rPr>
        <w:t xml:space="preserve">performing complete blood count (CBC) with fully automated </w:t>
      </w:r>
      <w:r w:rsidRPr="00CC50E9">
        <w:rPr>
          <w:sz w:val="20"/>
          <w:szCs w:val="20"/>
        </w:rPr>
        <w:t xml:space="preserve">quantitative hematology analyzer </w:t>
      </w:r>
      <w:proofErr w:type="spellStart"/>
      <w:r w:rsidRPr="00CC50E9">
        <w:rPr>
          <w:sz w:val="20"/>
          <w:szCs w:val="20"/>
        </w:rPr>
        <w:t>sysmex</w:t>
      </w:r>
      <w:proofErr w:type="spellEnd"/>
      <w:r w:rsidRPr="00CC50E9">
        <w:rPr>
          <w:sz w:val="20"/>
          <w:szCs w:val="20"/>
        </w:rPr>
        <w:t>;</w:t>
      </w:r>
      <w:r w:rsidR="00CB1306" w:rsidRPr="00CC50E9">
        <w:rPr>
          <w:sz w:val="20"/>
          <w:szCs w:val="20"/>
        </w:rPr>
        <w:t xml:space="preserve"> </w:t>
      </w:r>
      <w:r w:rsidR="001B4B9C" w:rsidRPr="00CC50E9">
        <w:rPr>
          <w:sz w:val="20"/>
          <w:szCs w:val="20"/>
        </w:rPr>
        <w:t>Z</w:t>
      </w:r>
      <w:r w:rsidRPr="00CC50E9">
        <w:rPr>
          <w:sz w:val="20"/>
          <w:szCs w:val="20"/>
        </w:rPr>
        <w:t xml:space="preserve"> K-</w:t>
      </w:r>
      <w:r w:rsidR="001B4B9C" w:rsidRPr="00CC50E9">
        <w:rPr>
          <w:sz w:val="20"/>
          <w:szCs w:val="20"/>
        </w:rPr>
        <w:t>21N</w:t>
      </w:r>
      <w:r w:rsidR="007F73D4" w:rsidRPr="00CC50E9">
        <w:rPr>
          <w:sz w:val="20"/>
          <w:szCs w:val="20"/>
        </w:rPr>
        <w:t xml:space="preserve"> and serum uric acid by performing serum uric acid level by </w:t>
      </w:r>
      <w:proofErr w:type="spellStart"/>
      <w:r w:rsidR="007F73D4" w:rsidRPr="00CC50E9">
        <w:rPr>
          <w:sz w:val="20"/>
          <w:szCs w:val="20"/>
        </w:rPr>
        <w:t>german</w:t>
      </w:r>
      <w:proofErr w:type="spellEnd"/>
      <w:r w:rsidR="007F73D4" w:rsidRPr="00CC50E9">
        <w:rPr>
          <w:sz w:val="20"/>
          <w:szCs w:val="20"/>
        </w:rPr>
        <w:t xml:space="preserve"> kits Human 5010 a</w:t>
      </w:r>
      <w:r w:rsidRPr="00CC50E9">
        <w:rPr>
          <w:sz w:val="20"/>
          <w:szCs w:val="20"/>
        </w:rPr>
        <w:t>. At each visit</w:t>
      </w:r>
      <w:r w:rsidR="0027352D">
        <w:rPr>
          <w:rFonts w:hint="eastAsia"/>
          <w:sz w:val="20"/>
          <w:szCs w:val="20"/>
          <w:lang w:eastAsia="zh-CN"/>
        </w:rPr>
        <w:t xml:space="preserve"> </w:t>
      </w:r>
      <w:r w:rsidRPr="00CC50E9">
        <w:rPr>
          <w:sz w:val="20"/>
          <w:szCs w:val="20"/>
        </w:rPr>
        <w:t xml:space="preserve">BP recorded and weight was </w:t>
      </w:r>
      <w:r w:rsidR="00C3292C" w:rsidRPr="00CC50E9">
        <w:rPr>
          <w:sz w:val="20"/>
          <w:szCs w:val="20"/>
        </w:rPr>
        <w:t>taken. At monthly intervals CBC</w:t>
      </w:r>
      <w:r w:rsidR="007F73D4" w:rsidRPr="00CC50E9">
        <w:rPr>
          <w:sz w:val="20"/>
          <w:szCs w:val="20"/>
        </w:rPr>
        <w:t xml:space="preserve"> and serum uric acid</w:t>
      </w:r>
      <w:r w:rsidR="0027352D">
        <w:rPr>
          <w:rFonts w:hint="eastAsia"/>
          <w:sz w:val="20"/>
          <w:szCs w:val="20"/>
          <w:lang w:eastAsia="zh-CN"/>
        </w:rPr>
        <w:t xml:space="preserve"> </w:t>
      </w:r>
      <w:r w:rsidRPr="00CC50E9">
        <w:rPr>
          <w:sz w:val="20"/>
          <w:szCs w:val="20"/>
        </w:rPr>
        <w:t xml:space="preserve">was done from 20 to </w:t>
      </w:r>
      <w:r w:rsidR="007F73D4" w:rsidRPr="00CC50E9">
        <w:rPr>
          <w:sz w:val="20"/>
          <w:szCs w:val="20"/>
        </w:rPr>
        <w:t>40</w:t>
      </w:r>
      <w:r w:rsidR="00C3292C" w:rsidRPr="00CC50E9">
        <w:rPr>
          <w:sz w:val="20"/>
          <w:szCs w:val="20"/>
        </w:rPr>
        <w:t xml:space="preserve">. The </w:t>
      </w:r>
      <w:r w:rsidR="00C3292C" w:rsidRPr="00CC50E9">
        <w:rPr>
          <w:sz w:val="20"/>
          <w:szCs w:val="20"/>
        </w:rPr>
        <w:lastRenderedPageBreak/>
        <w:t xml:space="preserve">person maintaining the observations was blinded </w:t>
      </w:r>
      <w:r w:rsidRPr="00CC50E9">
        <w:rPr>
          <w:sz w:val="20"/>
          <w:szCs w:val="20"/>
        </w:rPr>
        <w:t>f</w:t>
      </w:r>
      <w:r w:rsidR="00C3292C" w:rsidRPr="00CC50E9">
        <w:rPr>
          <w:sz w:val="20"/>
          <w:szCs w:val="20"/>
        </w:rPr>
        <w:t xml:space="preserve">rom the changes in BP. Patients developing hypertension </w:t>
      </w:r>
      <w:r w:rsidRPr="00CC50E9">
        <w:rPr>
          <w:sz w:val="20"/>
          <w:szCs w:val="20"/>
        </w:rPr>
        <w:t>during the study time were dea</w:t>
      </w:r>
      <w:r w:rsidR="00C3292C" w:rsidRPr="00CC50E9">
        <w:rPr>
          <w:sz w:val="20"/>
          <w:szCs w:val="20"/>
        </w:rPr>
        <w:t xml:space="preserve">lt by another set of clinicians </w:t>
      </w:r>
      <w:r w:rsidRPr="00CC50E9">
        <w:rPr>
          <w:sz w:val="20"/>
          <w:szCs w:val="20"/>
        </w:rPr>
        <w:t>and were called more frequent</w:t>
      </w:r>
      <w:r w:rsidR="00C3292C" w:rsidRPr="00CC50E9">
        <w:rPr>
          <w:sz w:val="20"/>
          <w:szCs w:val="20"/>
        </w:rPr>
        <w:t xml:space="preserve">ly according to the severity of </w:t>
      </w:r>
      <w:r w:rsidRPr="00CC50E9">
        <w:rPr>
          <w:sz w:val="20"/>
          <w:szCs w:val="20"/>
        </w:rPr>
        <w:t>hypertension and were invest</w:t>
      </w:r>
      <w:r w:rsidR="00C3292C" w:rsidRPr="00CC50E9">
        <w:rPr>
          <w:sz w:val="20"/>
          <w:szCs w:val="20"/>
        </w:rPr>
        <w:t>igated and treated accordingly</w:t>
      </w:r>
      <w:r w:rsidR="00CC50E9" w:rsidRPr="00CC50E9">
        <w:rPr>
          <w:sz w:val="20"/>
          <w:szCs w:val="20"/>
        </w:rPr>
        <w:t>.</w:t>
      </w:r>
      <w:r w:rsidR="00CC50E9">
        <w:rPr>
          <w:sz w:val="20"/>
          <w:szCs w:val="20"/>
        </w:rPr>
        <w:t xml:space="preserve"> </w:t>
      </w:r>
      <w:r w:rsidR="00CC50E9" w:rsidRPr="00CC50E9">
        <w:rPr>
          <w:sz w:val="20"/>
          <w:szCs w:val="20"/>
        </w:rPr>
        <w:t>T</w:t>
      </w:r>
      <w:r w:rsidR="00C3292C" w:rsidRPr="00CC50E9">
        <w:rPr>
          <w:sz w:val="20"/>
          <w:szCs w:val="20"/>
        </w:rPr>
        <w:t xml:space="preserve">he observer </w:t>
      </w:r>
      <w:r w:rsidRPr="00CC50E9">
        <w:rPr>
          <w:sz w:val="20"/>
          <w:szCs w:val="20"/>
        </w:rPr>
        <w:t>maintains the records of monthly CBC</w:t>
      </w:r>
      <w:r w:rsidR="007F73D4" w:rsidRPr="00CC50E9">
        <w:rPr>
          <w:sz w:val="20"/>
          <w:szCs w:val="20"/>
        </w:rPr>
        <w:t xml:space="preserve"> and serum uric acid level</w:t>
      </w:r>
      <w:r w:rsidRPr="00CC50E9">
        <w:rPr>
          <w:sz w:val="20"/>
          <w:szCs w:val="20"/>
        </w:rPr>
        <w:t xml:space="preserve"> was</w:t>
      </w:r>
      <w:r w:rsidR="0027352D">
        <w:rPr>
          <w:rFonts w:hint="eastAsia"/>
          <w:sz w:val="20"/>
          <w:szCs w:val="20"/>
          <w:lang w:eastAsia="zh-CN"/>
        </w:rPr>
        <w:t xml:space="preserve"> </w:t>
      </w:r>
      <w:r w:rsidRPr="00CC50E9">
        <w:rPr>
          <w:sz w:val="20"/>
          <w:szCs w:val="20"/>
        </w:rPr>
        <w:t>completely blinded off</w:t>
      </w:r>
      <w:r w:rsidR="0027352D">
        <w:rPr>
          <w:rFonts w:hint="eastAsia"/>
          <w:sz w:val="20"/>
          <w:szCs w:val="20"/>
          <w:lang w:eastAsia="zh-CN"/>
        </w:rPr>
        <w:t xml:space="preserve"> </w:t>
      </w:r>
      <w:r w:rsidRPr="00CC50E9">
        <w:rPr>
          <w:sz w:val="20"/>
          <w:szCs w:val="20"/>
        </w:rPr>
        <w:t>from this asp</w:t>
      </w:r>
      <w:r w:rsidR="00C3292C" w:rsidRPr="00CC50E9">
        <w:rPr>
          <w:sz w:val="20"/>
          <w:szCs w:val="20"/>
        </w:rPr>
        <w:t xml:space="preserve">ect. The cases delivered </w:t>
      </w:r>
      <w:r w:rsidRPr="00CC50E9">
        <w:rPr>
          <w:sz w:val="20"/>
          <w:szCs w:val="20"/>
        </w:rPr>
        <w:t>in the hospital and observation</w:t>
      </w:r>
      <w:r w:rsidR="00C3292C" w:rsidRPr="00CC50E9">
        <w:rPr>
          <w:sz w:val="20"/>
          <w:szCs w:val="20"/>
        </w:rPr>
        <w:t xml:space="preserve">s were also made regarding mode </w:t>
      </w:r>
      <w:r w:rsidRPr="00CC50E9">
        <w:rPr>
          <w:sz w:val="20"/>
          <w:szCs w:val="20"/>
        </w:rPr>
        <w:t xml:space="preserve">of delivery and condition of </w:t>
      </w:r>
      <w:r w:rsidR="00C3292C" w:rsidRPr="00CC50E9">
        <w:rPr>
          <w:sz w:val="20"/>
          <w:szCs w:val="20"/>
        </w:rPr>
        <w:t xml:space="preserve">baby. After completion of study </w:t>
      </w:r>
      <w:r w:rsidRPr="00CC50E9">
        <w:rPr>
          <w:sz w:val="20"/>
          <w:szCs w:val="20"/>
        </w:rPr>
        <w:t>the study group had pat</w:t>
      </w:r>
      <w:r w:rsidR="00C3292C" w:rsidRPr="00CC50E9">
        <w:rPr>
          <w:sz w:val="20"/>
          <w:szCs w:val="20"/>
        </w:rPr>
        <w:t xml:space="preserve">ients who remained </w:t>
      </w:r>
      <w:proofErr w:type="spellStart"/>
      <w:r w:rsidR="00C3292C" w:rsidRPr="00CC50E9">
        <w:rPr>
          <w:sz w:val="20"/>
          <w:szCs w:val="20"/>
        </w:rPr>
        <w:t>normotensive</w:t>
      </w:r>
      <w:proofErr w:type="spellEnd"/>
      <w:r w:rsidR="00C3292C" w:rsidRPr="00CC50E9">
        <w:rPr>
          <w:sz w:val="20"/>
          <w:szCs w:val="20"/>
        </w:rPr>
        <w:t xml:space="preserve"> </w:t>
      </w:r>
      <w:r w:rsidRPr="00CC50E9">
        <w:rPr>
          <w:sz w:val="20"/>
          <w:szCs w:val="20"/>
        </w:rPr>
        <w:t>throughout pregnancy and patients who developed hype</w:t>
      </w:r>
      <w:r w:rsidR="00C3292C" w:rsidRPr="00CC50E9">
        <w:rPr>
          <w:sz w:val="20"/>
          <w:szCs w:val="20"/>
        </w:rPr>
        <w:t xml:space="preserve">rtension </w:t>
      </w:r>
      <w:r w:rsidRPr="00CC50E9">
        <w:rPr>
          <w:sz w:val="20"/>
          <w:szCs w:val="20"/>
        </w:rPr>
        <w:t>and further c</w:t>
      </w:r>
      <w:r w:rsidR="00C3292C" w:rsidRPr="00CC50E9">
        <w:rPr>
          <w:sz w:val="20"/>
          <w:szCs w:val="20"/>
        </w:rPr>
        <w:t xml:space="preserve">lassified into mild and severe. </w:t>
      </w:r>
      <w:r w:rsidRPr="00CC50E9">
        <w:rPr>
          <w:sz w:val="20"/>
          <w:szCs w:val="20"/>
        </w:rPr>
        <w:t>Dat</w:t>
      </w:r>
      <w:r w:rsidR="007F73D4" w:rsidRPr="00CC50E9">
        <w:rPr>
          <w:sz w:val="20"/>
          <w:szCs w:val="20"/>
        </w:rPr>
        <w:t>a</w:t>
      </w:r>
      <w:r w:rsidRPr="00CC50E9">
        <w:rPr>
          <w:sz w:val="20"/>
          <w:szCs w:val="20"/>
        </w:rPr>
        <w:t xml:space="preserve"> </w:t>
      </w:r>
      <w:r w:rsidRPr="00CC50E9">
        <w:rPr>
          <w:sz w:val="20"/>
          <w:szCs w:val="20"/>
        </w:rPr>
        <w:lastRenderedPageBreak/>
        <w:t>regarding changes in p</w:t>
      </w:r>
      <w:r w:rsidR="00C3292C" w:rsidRPr="00CC50E9">
        <w:rPr>
          <w:sz w:val="20"/>
          <w:szCs w:val="20"/>
        </w:rPr>
        <w:t xml:space="preserve">latelet indices with increasing </w:t>
      </w:r>
      <w:r w:rsidRPr="00CC50E9">
        <w:rPr>
          <w:sz w:val="20"/>
          <w:szCs w:val="20"/>
        </w:rPr>
        <w:t xml:space="preserve">gestation was collected and </w:t>
      </w:r>
      <w:r w:rsidR="00CB1306" w:rsidRPr="00CC50E9">
        <w:rPr>
          <w:sz w:val="20"/>
          <w:szCs w:val="20"/>
        </w:rPr>
        <w:t>analyzed.</w:t>
      </w:r>
    </w:p>
    <w:p w:rsidR="00CC50E9" w:rsidRDefault="00CC50E9" w:rsidP="00CC50E9">
      <w:pPr>
        <w:pStyle w:val="Default"/>
        <w:snapToGrid w:val="0"/>
        <w:jc w:val="both"/>
        <w:rPr>
          <w:b/>
          <w:sz w:val="20"/>
          <w:szCs w:val="20"/>
          <w:lang w:eastAsia="zh-CN"/>
        </w:rPr>
      </w:pPr>
    </w:p>
    <w:p w:rsidR="007F73D4" w:rsidRPr="00CC50E9" w:rsidRDefault="00CB1306" w:rsidP="00CC50E9">
      <w:pPr>
        <w:pStyle w:val="Default"/>
        <w:snapToGrid w:val="0"/>
        <w:jc w:val="both"/>
        <w:rPr>
          <w:sz w:val="20"/>
          <w:szCs w:val="20"/>
        </w:rPr>
      </w:pPr>
      <w:r w:rsidRPr="00CC50E9">
        <w:rPr>
          <w:b/>
          <w:sz w:val="20"/>
          <w:szCs w:val="20"/>
        </w:rPr>
        <w:t xml:space="preserve">3. </w:t>
      </w:r>
      <w:r w:rsidR="0084714F" w:rsidRPr="00CC50E9">
        <w:rPr>
          <w:b/>
          <w:sz w:val="20"/>
          <w:szCs w:val="20"/>
        </w:rPr>
        <w:t>Results</w:t>
      </w:r>
    </w:p>
    <w:p w:rsidR="00CC50E9" w:rsidRDefault="00267211" w:rsidP="00CC50E9">
      <w:pPr>
        <w:pStyle w:val="Default"/>
        <w:snapToGrid w:val="0"/>
        <w:ind w:firstLine="425"/>
        <w:jc w:val="both"/>
        <w:rPr>
          <w:sz w:val="20"/>
          <w:szCs w:val="20"/>
        </w:rPr>
      </w:pPr>
      <w:r w:rsidRPr="00CC50E9">
        <w:rPr>
          <w:sz w:val="20"/>
          <w:szCs w:val="20"/>
        </w:rPr>
        <w:t>Demography: The mean age (± SD) of preeclampsia group was 2</w:t>
      </w:r>
      <w:r w:rsidR="00593FAD" w:rsidRPr="00CC50E9">
        <w:rPr>
          <w:sz w:val="20"/>
          <w:szCs w:val="20"/>
        </w:rPr>
        <w:t>6</w:t>
      </w:r>
      <w:r w:rsidRPr="00CC50E9">
        <w:rPr>
          <w:sz w:val="20"/>
          <w:szCs w:val="20"/>
        </w:rPr>
        <w:t>.5 (±</w:t>
      </w:r>
      <w:r w:rsidR="00593FAD" w:rsidRPr="00CC50E9">
        <w:rPr>
          <w:sz w:val="20"/>
          <w:szCs w:val="20"/>
        </w:rPr>
        <w:t>5</w:t>
      </w:r>
      <w:r w:rsidRPr="00CC50E9">
        <w:rPr>
          <w:sz w:val="20"/>
          <w:szCs w:val="20"/>
        </w:rPr>
        <w:t>.</w:t>
      </w:r>
      <w:r w:rsidR="00593FAD" w:rsidRPr="00CC50E9">
        <w:rPr>
          <w:sz w:val="20"/>
          <w:szCs w:val="20"/>
        </w:rPr>
        <w:t>8</w:t>
      </w:r>
      <w:r w:rsidRPr="00CC50E9">
        <w:rPr>
          <w:sz w:val="20"/>
          <w:szCs w:val="20"/>
        </w:rPr>
        <w:t>) years and that of control group was 2</w:t>
      </w:r>
      <w:r w:rsidR="00593FAD" w:rsidRPr="00CC50E9">
        <w:rPr>
          <w:sz w:val="20"/>
          <w:szCs w:val="20"/>
        </w:rPr>
        <w:t>6</w:t>
      </w:r>
      <w:r w:rsidRPr="00CC50E9">
        <w:rPr>
          <w:sz w:val="20"/>
          <w:szCs w:val="20"/>
        </w:rPr>
        <w:t>.3 (±</w:t>
      </w:r>
      <w:r w:rsidR="00593FAD" w:rsidRPr="00CC50E9">
        <w:rPr>
          <w:sz w:val="20"/>
          <w:szCs w:val="20"/>
        </w:rPr>
        <w:t>5</w:t>
      </w:r>
      <w:r w:rsidRPr="00CC50E9">
        <w:rPr>
          <w:sz w:val="20"/>
          <w:szCs w:val="20"/>
        </w:rPr>
        <w:t>.</w:t>
      </w:r>
      <w:r w:rsidR="00593FAD" w:rsidRPr="00CC50E9">
        <w:rPr>
          <w:sz w:val="20"/>
          <w:szCs w:val="20"/>
        </w:rPr>
        <w:t>4</w:t>
      </w:r>
      <w:r w:rsidRPr="00CC50E9">
        <w:rPr>
          <w:sz w:val="20"/>
          <w:szCs w:val="20"/>
        </w:rPr>
        <w:t>) years. The mean gestational age (± SD) of preeclampsia and control group was 3</w:t>
      </w:r>
      <w:r w:rsidR="00593FAD" w:rsidRPr="00CC50E9">
        <w:rPr>
          <w:sz w:val="20"/>
          <w:szCs w:val="20"/>
        </w:rPr>
        <w:t>5</w:t>
      </w:r>
      <w:r w:rsidRPr="00CC50E9">
        <w:rPr>
          <w:sz w:val="20"/>
          <w:szCs w:val="20"/>
        </w:rPr>
        <w:t>.9 (±</w:t>
      </w:r>
      <w:r w:rsidR="00593FAD" w:rsidRPr="00CC50E9">
        <w:rPr>
          <w:sz w:val="20"/>
          <w:szCs w:val="20"/>
        </w:rPr>
        <w:t>3</w:t>
      </w:r>
      <w:r w:rsidRPr="00CC50E9">
        <w:rPr>
          <w:sz w:val="20"/>
          <w:szCs w:val="20"/>
        </w:rPr>
        <w:t>.</w:t>
      </w:r>
      <w:r w:rsidR="00593FAD" w:rsidRPr="00CC50E9">
        <w:rPr>
          <w:sz w:val="20"/>
          <w:szCs w:val="20"/>
        </w:rPr>
        <w:t>6</w:t>
      </w:r>
      <w:r w:rsidRPr="00CC50E9">
        <w:rPr>
          <w:sz w:val="20"/>
          <w:szCs w:val="20"/>
        </w:rPr>
        <w:t>) and 3</w:t>
      </w:r>
      <w:r w:rsidR="00593FAD" w:rsidRPr="00CC50E9">
        <w:rPr>
          <w:sz w:val="20"/>
          <w:szCs w:val="20"/>
        </w:rPr>
        <w:t>1</w:t>
      </w:r>
      <w:r w:rsidRPr="00CC50E9">
        <w:rPr>
          <w:sz w:val="20"/>
          <w:szCs w:val="20"/>
        </w:rPr>
        <w:t>.6 (±</w:t>
      </w:r>
      <w:r w:rsidR="00593FAD" w:rsidRPr="00CC50E9">
        <w:rPr>
          <w:sz w:val="20"/>
          <w:szCs w:val="20"/>
        </w:rPr>
        <w:t>5</w:t>
      </w:r>
      <w:r w:rsidRPr="00CC50E9">
        <w:rPr>
          <w:sz w:val="20"/>
          <w:szCs w:val="20"/>
        </w:rPr>
        <w:t>.</w:t>
      </w:r>
      <w:r w:rsidR="00593FAD" w:rsidRPr="00CC50E9">
        <w:rPr>
          <w:sz w:val="20"/>
          <w:szCs w:val="20"/>
        </w:rPr>
        <w:t>8</w:t>
      </w:r>
      <w:r w:rsidRPr="00CC50E9">
        <w:rPr>
          <w:sz w:val="20"/>
          <w:szCs w:val="20"/>
        </w:rPr>
        <w:t xml:space="preserve">) respectively. Out of </w:t>
      </w:r>
      <w:r w:rsidR="00593FAD" w:rsidRPr="00CC50E9">
        <w:rPr>
          <w:sz w:val="20"/>
          <w:szCs w:val="20"/>
        </w:rPr>
        <w:t>1</w:t>
      </w:r>
      <w:r w:rsidRPr="00CC50E9">
        <w:rPr>
          <w:sz w:val="20"/>
          <w:szCs w:val="20"/>
        </w:rPr>
        <w:t>50 cases in preeclampsia gr</w:t>
      </w:r>
      <w:r w:rsidR="00593FAD" w:rsidRPr="00CC50E9">
        <w:rPr>
          <w:sz w:val="20"/>
          <w:szCs w:val="20"/>
        </w:rPr>
        <w:t xml:space="preserve">oup 60 (40%) were </w:t>
      </w:r>
      <w:proofErr w:type="spellStart"/>
      <w:r w:rsidR="00593FAD" w:rsidRPr="00CC50E9">
        <w:rPr>
          <w:sz w:val="20"/>
          <w:szCs w:val="20"/>
        </w:rPr>
        <w:t>primigravida</w:t>
      </w:r>
      <w:proofErr w:type="spellEnd"/>
      <w:r w:rsidR="00CC50E9" w:rsidRPr="00CC50E9">
        <w:rPr>
          <w:sz w:val="20"/>
          <w:szCs w:val="20"/>
        </w:rPr>
        <w:t>.</w:t>
      </w:r>
      <w:r w:rsidR="00CC50E9">
        <w:rPr>
          <w:sz w:val="20"/>
          <w:szCs w:val="20"/>
        </w:rPr>
        <w:t xml:space="preserve"> </w:t>
      </w:r>
      <w:r w:rsidR="00CC50E9" w:rsidRPr="00CC50E9">
        <w:rPr>
          <w:sz w:val="20"/>
          <w:szCs w:val="20"/>
        </w:rPr>
        <w:t>P</w:t>
      </w:r>
      <w:r w:rsidRPr="00CC50E9">
        <w:rPr>
          <w:sz w:val="20"/>
          <w:szCs w:val="20"/>
        </w:rPr>
        <w:t>latelet</w:t>
      </w:r>
      <w:r w:rsidR="00645A0E" w:rsidRPr="00CC50E9">
        <w:rPr>
          <w:sz w:val="20"/>
          <w:szCs w:val="20"/>
        </w:rPr>
        <w:t xml:space="preserve"> and serum uric acid</w:t>
      </w:r>
      <w:r w:rsidRPr="00CC50E9">
        <w:rPr>
          <w:sz w:val="20"/>
          <w:szCs w:val="20"/>
        </w:rPr>
        <w:t xml:space="preserve"> parameters in preeclampsia and control group: (Table 1)</w:t>
      </w:r>
      <w:r w:rsidR="0027352D">
        <w:rPr>
          <w:rFonts w:hint="eastAsia"/>
          <w:sz w:val="20"/>
          <w:szCs w:val="20"/>
          <w:lang w:eastAsia="zh-CN"/>
        </w:rPr>
        <w:t xml:space="preserve">. </w:t>
      </w:r>
      <w:r w:rsidRPr="00CC50E9">
        <w:rPr>
          <w:sz w:val="20"/>
          <w:szCs w:val="20"/>
        </w:rPr>
        <w:t>Comparison of the platelet</w:t>
      </w:r>
      <w:r w:rsidR="00645A0E" w:rsidRPr="00CC50E9">
        <w:rPr>
          <w:sz w:val="20"/>
          <w:szCs w:val="20"/>
        </w:rPr>
        <w:t xml:space="preserve"> and uric acid</w:t>
      </w:r>
      <w:r w:rsidRPr="00CC50E9">
        <w:rPr>
          <w:sz w:val="20"/>
          <w:szCs w:val="20"/>
        </w:rPr>
        <w:t xml:space="preserve"> parameter</w:t>
      </w:r>
      <w:r w:rsidR="00CC50E9" w:rsidRPr="00CC50E9">
        <w:rPr>
          <w:sz w:val="20"/>
          <w:szCs w:val="20"/>
        </w:rPr>
        <w:t>s</w:t>
      </w:r>
      <w:r w:rsidR="00CC50E9">
        <w:rPr>
          <w:sz w:val="20"/>
          <w:szCs w:val="20"/>
        </w:rPr>
        <w:t>.</w:t>
      </w:r>
    </w:p>
    <w:p w:rsidR="00CC50E9" w:rsidRPr="00CC50E9" w:rsidRDefault="00CC50E9" w:rsidP="00CC50E9">
      <w:pPr>
        <w:pStyle w:val="Default"/>
        <w:snapToGrid w:val="0"/>
        <w:ind w:firstLine="425"/>
        <w:jc w:val="both"/>
        <w:rPr>
          <w:sz w:val="20"/>
          <w:szCs w:val="20"/>
        </w:rPr>
        <w:sectPr w:rsidR="00CC50E9" w:rsidRPr="00CC50E9" w:rsidSect="00CC50E9">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CC50E9" w:rsidRPr="00CC50E9" w:rsidRDefault="00CC50E9" w:rsidP="00CC50E9">
      <w:pPr>
        <w:pStyle w:val="Default"/>
        <w:snapToGrid w:val="0"/>
        <w:jc w:val="center"/>
        <w:rPr>
          <w:sz w:val="20"/>
          <w:szCs w:val="20"/>
        </w:rPr>
      </w:pPr>
    </w:p>
    <w:p w:rsidR="0027352D" w:rsidRDefault="0027352D" w:rsidP="00CC50E9">
      <w:pPr>
        <w:pStyle w:val="Default"/>
        <w:snapToGrid w:val="0"/>
        <w:jc w:val="center"/>
        <w:rPr>
          <w:rFonts w:hint="eastAsia"/>
          <w:b/>
          <w:sz w:val="20"/>
          <w:szCs w:val="20"/>
          <w:lang w:eastAsia="zh-CN"/>
        </w:rPr>
      </w:pPr>
    </w:p>
    <w:p w:rsidR="00A15A12" w:rsidRPr="00CC50E9" w:rsidRDefault="00A15A12" w:rsidP="00CC50E9">
      <w:pPr>
        <w:pStyle w:val="Default"/>
        <w:snapToGrid w:val="0"/>
        <w:jc w:val="center"/>
        <w:rPr>
          <w:b/>
          <w:bCs/>
          <w:sz w:val="20"/>
          <w:szCs w:val="20"/>
        </w:rPr>
      </w:pPr>
      <w:r w:rsidRPr="00CC50E9">
        <w:rPr>
          <w:b/>
          <w:sz w:val="20"/>
          <w:szCs w:val="20"/>
        </w:rPr>
        <w:t>Table1:</w:t>
      </w:r>
      <w:r w:rsidR="0027352D">
        <w:rPr>
          <w:rFonts w:hint="eastAsia"/>
          <w:b/>
          <w:sz w:val="20"/>
          <w:szCs w:val="20"/>
          <w:lang w:eastAsia="zh-CN"/>
        </w:rPr>
        <w:t xml:space="preserve"> </w:t>
      </w:r>
      <w:r w:rsidRPr="00CC50E9">
        <w:rPr>
          <w:b/>
          <w:bCs/>
          <w:sz w:val="20"/>
          <w:szCs w:val="20"/>
        </w:rPr>
        <w:t>Platelet and biochemical indices in cases with PE and controls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1"/>
        <w:gridCol w:w="968"/>
        <w:gridCol w:w="856"/>
        <w:gridCol w:w="1777"/>
        <w:gridCol w:w="2312"/>
        <w:gridCol w:w="2712"/>
      </w:tblGrid>
      <w:tr w:rsidR="00CB1306" w:rsidRPr="00CC50E9" w:rsidTr="0027352D">
        <w:trPr>
          <w:cantSplit/>
          <w:jc w:val="center"/>
        </w:trPr>
        <w:tc>
          <w:tcPr>
            <w:tcW w:w="496" w:type="pct"/>
          </w:tcPr>
          <w:p w:rsidR="00CB1306" w:rsidRPr="00CC50E9" w:rsidRDefault="00CB1306" w:rsidP="00CC50E9">
            <w:pPr>
              <w:pStyle w:val="Default"/>
              <w:snapToGrid w:val="0"/>
              <w:jc w:val="both"/>
              <w:rPr>
                <w:b/>
                <w:bCs/>
                <w:sz w:val="20"/>
                <w:szCs w:val="20"/>
              </w:rPr>
            </w:pPr>
            <w:r w:rsidRPr="00CC50E9">
              <w:rPr>
                <w:b/>
                <w:bCs/>
                <w:sz w:val="20"/>
                <w:szCs w:val="20"/>
              </w:rPr>
              <w:t>p-value</w:t>
            </w:r>
          </w:p>
        </w:tc>
        <w:tc>
          <w:tcPr>
            <w:tcW w:w="505" w:type="pct"/>
            <w:noWrap/>
          </w:tcPr>
          <w:p w:rsidR="00CB1306" w:rsidRPr="00CC50E9" w:rsidRDefault="00CB1306" w:rsidP="00CC50E9">
            <w:pPr>
              <w:pStyle w:val="Default"/>
              <w:snapToGrid w:val="0"/>
              <w:jc w:val="both"/>
              <w:rPr>
                <w:b/>
                <w:bCs/>
                <w:sz w:val="20"/>
                <w:szCs w:val="20"/>
              </w:rPr>
            </w:pPr>
            <w:proofErr w:type="spellStart"/>
            <w:r w:rsidRPr="00CC50E9">
              <w:rPr>
                <w:b/>
                <w:bCs/>
                <w:sz w:val="20"/>
                <w:szCs w:val="20"/>
              </w:rPr>
              <w:t>df</w:t>
            </w:r>
            <w:proofErr w:type="spellEnd"/>
          </w:p>
        </w:tc>
        <w:tc>
          <w:tcPr>
            <w:tcW w:w="447" w:type="pct"/>
          </w:tcPr>
          <w:p w:rsidR="00CB1306" w:rsidRPr="00CC50E9" w:rsidRDefault="00CB1306" w:rsidP="00CC50E9">
            <w:pPr>
              <w:pStyle w:val="Default"/>
              <w:snapToGrid w:val="0"/>
              <w:jc w:val="both"/>
              <w:rPr>
                <w:b/>
                <w:bCs/>
                <w:sz w:val="20"/>
                <w:szCs w:val="20"/>
              </w:rPr>
            </w:pPr>
            <w:r w:rsidRPr="00CC50E9">
              <w:rPr>
                <w:b/>
                <w:bCs/>
                <w:sz w:val="20"/>
                <w:szCs w:val="20"/>
              </w:rPr>
              <w:t>t</w:t>
            </w:r>
          </w:p>
        </w:tc>
        <w:tc>
          <w:tcPr>
            <w:tcW w:w="928" w:type="pct"/>
          </w:tcPr>
          <w:p w:rsidR="00CB1306" w:rsidRPr="00CC50E9" w:rsidRDefault="00CB1306" w:rsidP="00CC50E9">
            <w:pPr>
              <w:pStyle w:val="Default"/>
              <w:snapToGrid w:val="0"/>
              <w:jc w:val="both"/>
              <w:rPr>
                <w:b/>
                <w:bCs/>
                <w:sz w:val="20"/>
                <w:szCs w:val="20"/>
              </w:rPr>
            </w:pPr>
            <w:r w:rsidRPr="00CC50E9">
              <w:rPr>
                <w:b/>
                <w:bCs/>
                <w:sz w:val="20"/>
                <w:szCs w:val="20"/>
              </w:rPr>
              <w:t>Control (n=150)</w:t>
            </w:r>
          </w:p>
        </w:tc>
        <w:tc>
          <w:tcPr>
            <w:tcW w:w="1207" w:type="pct"/>
          </w:tcPr>
          <w:p w:rsidR="00CB1306" w:rsidRPr="00CC50E9" w:rsidRDefault="00CB1306" w:rsidP="00CC50E9">
            <w:pPr>
              <w:pStyle w:val="Default"/>
              <w:snapToGrid w:val="0"/>
              <w:jc w:val="both"/>
              <w:rPr>
                <w:b/>
                <w:bCs/>
                <w:sz w:val="20"/>
                <w:szCs w:val="20"/>
              </w:rPr>
            </w:pPr>
            <w:r w:rsidRPr="00CC50E9">
              <w:rPr>
                <w:b/>
                <w:bCs/>
                <w:sz w:val="20"/>
                <w:szCs w:val="20"/>
              </w:rPr>
              <w:t>Preeclampsia (n=150)</w:t>
            </w:r>
          </w:p>
        </w:tc>
        <w:tc>
          <w:tcPr>
            <w:tcW w:w="1416" w:type="pct"/>
          </w:tcPr>
          <w:p w:rsidR="00CB1306" w:rsidRPr="00CC50E9" w:rsidRDefault="00CB1306" w:rsidP="00CC50E9">
            <w:pPr>
              <w:pStyle w:val="Default"/>
              <w:snapToGrid w:val="0"/>
              <w:jc w:val="both"/>
              <w:rPr>
                <w:b/>
                <w:bCs/>
                <w:sz w:val="20"/>
                <w:szCs w:val="20"/>
              </w:rPr>
            </w:pPr>
            <w:r w:rsidRPr="00CC50E9">
              <w:rPr>
                <w:b/>
                <w:bCs/>
                <w:sz w:val="20"/>
                <w:szCs w:val="20"/>
              </w:rPr>
              <w:t>Variable</w:t>
            </w:r>
          </w:p>
        </w:tc>
      </w:tr>
      <w:tr w:rsidR="00CB1306" w:rsidRPr="00CC50E9" w:rsidTr="0027352D">
        <w:trPr>
          <w:cantSplit/>
          <w:jc w:val="center"/>
        </w:trPr>
        <w:tc>
          <w:tcPr>
            <w:tcW w:w="496" w:type="pct"/>
          </w:tcPr>
          <w:p w:rsidR="00CB1306" w:rsidRPr="00CC50E9" w:rsidRDefault="00CB1306" w:rsidP="00CC50E9">
            <w:pPr>
              <w:pStyle w:val="Default"/>
              <w:snapToGrid w:val="0"/>
              <w:jc w:val="both"/>
              <w:rPr>
                <w:b/>
                <w:bCs/>
                <w:sz w:val="20"/>
                <w:szCs w:val="20"/>
              </w:rPr>
            </w:pPr>
            <w:r w:rsidRPr="00CC50E9">
              <w:rPr>
                <w:b/>
                <w:bCs/>
                <w:sz w:val="20"/>
                <w:szCs w:val="20"/>
              </w:rPr>
              <w:t>&lt;0.003</w:t>
            </w:r>
          </w:p>
        </w:tc>
        <w:tc>
          <w:tcPr>
            <w:tcW w:w="505" w:type="pct"/>
            <w:noWrap/>
          </w:tcPr>
          <w:p w:rsidR="00CB1306" w:rsidRPr="00CC50E9" w:rsidRDefault="00CB1306" w:rsidP="00CC50E9">
            <w:pPr>
              <w:pStyle w:val="Default"/>
              <w:snapToGrid w:val="0"/>
              <w:jc w:val="both"/>
              <w:rPr>
                <w:sz w:val="20"/>
                <w:szCs w:val="20"/>
              </w:rPr>
            </w:pPr>
            <w:r w:rsidRPr="00CC50E9">
              <w:rPr>
                <w:sz w:val="20"/>
                <w:szCs w:val="20"/>
              </w:rPr>
              <w:t>186.171</w:t>
            </w:r>
          </w:p>
        </w:tc>
        <w:tc>
          <w:tcPr>
            <w:tcW w:w="447" w:type="pct"/>
          </w:tcPr>
          <w:p w:rsidR="00CB1306" w:rsidRPr="00CC50E9" w:rsidRDefault="00CB1306" w:rsidP="00CC50E9">
            <w:pPr>
              <w:pStyle w:val="Default"/>
              <w:snapToGrid w:val="0"/>
              <w:jc w:val="both"/>
              <w:rPr>
                <w:sz w:val="20"/>
                <w:szCs w:val="20"/>
              </w:rPr>
            </w:pPr>
            <w:r w:rsidRPr="00CC50E9">
              <w:rPr>
                <w:sz w:val="20"/>
                <w:szCs w:val="20"/>
              </w:rPr>
              <w:t>-3.012</w:t>
            </w:r>
          </w:p>
        </w:tc>
        <w:tc>
          <w:tcPr>
            <w:tcW w:w="928" w:type="pct"/>
          </w:tcPr>
          <w:p w:rsidR="00CB1306" w:rsidRPr="00CC50E9" w:rsidRDefault="00CB1306" w:rsidP="00CC50E9">
            <w:pPr>
              <w:pStyle w:val="Default"/>
              <w:snapToGrid w:val="0"/>
              <w:jc w:val="both"/>
              <w:rPr>
                <w:sz w:val="20"/>
                <w:szCs w:val="20"/>
              </w:rPr>
            </w:pPr>
            <w:r w:rsidRPr="00CC50E9">
              <w:rPr>
                <w:sz w:val="20"/>
                <w:szCs w:val="20"/>
              </w:rPr>
              <w:t>250.2 ±81.5</w:t>
            </w:r>
          </w:p>
        </w:tc>
        <w:tc>
          <w:tcPr>
            <w:tcW w:w="1207" w:type="pct"/>
          </w:tcPr>
          <w:p w:rsidR="00CB1306" w:rsidRPr="00CC50E9" w:rsidRDefault="00CB1306" w:rsidP="00CC50E9">
            <w:pPr>
              <w:pStyle w:val="Default"/>
              <w:snapToGrid w:val="0"/>
              <w:jc w:val="both"/>
              <w:rPr>
                <w:sz w:val="20"/>
                <w:szCs w:val="20"/>
              </w:rPr>
            </w:pPr>
            <w:r w:rsidRPr="00CC50E9">
              <w:rPr>
                <w:sz w:val="20"/>
                <w:szCs w:val="20"/>
              </w:rPr>
              <w:t>219.1 ± 63.0</w:t>
            </w:r>
          </w:p>
        </w:tc>
        <w:tc>
          <w:tcPr>
            <w:tcW w:w="1416" w:type="pct"/>
          </w:tcPr>
          <w:p w:rsidR="00CB1306" w:rsidRPr="00CC50E9" w:rsidRDefault="00CB1306" w:rsidP="00CC50E9">
            <w:pPr>
              <w:pStyle w:val="Default"/>
              <w:snapToGrid w:val="0"/>
              <w:jc w:val="both"/>
              <w:rPr>
                <w:sz w:val="20"/>
                <w:szCs w:val="20"/>
              </w:rPr>
            </w:pPr>
            <w:r w:rsidRPr="00CC50E9">
              <w:rPr>
                <w:sz w:val="20"/>
                <w:szCs w:val="20"/>
              </w:rPr>
              <w:t>Platelet count (x1000/mm</w:t>
            </w:r>
            <w:r w:rsidRPr="00CC50E9">
              <w:rPr>
                <w:sz w:val="20"/>
                <w:szCs w:val="20"/>
                <w:vertAlign w:val="superscript"/>
              </w:rPr>
              <w:t>3</w:t>
            </w:r>
            <w:r w:rsidRPr="00CC50E9">
              <w:rPr>
                <w:sz w:val="20"/>
                <w:szCs w:val="20"/>
              </w:rPr>
              <w:t>)</w:t>
            </w:r>
          </w:p>
        </w:tc>
      </w:tr>
      <w:tr w:rsidR="00CB1306" w:rsidRPr="00CC50E9" w:rsidTr="0027352D">
        <w:trPr>
          <w:cantSplit/>
          <w:jc w:val="center"/>
        </w:trPr>
        <w:tc>
          <w:tcPr>
            <w:tcW w:w="496" w:type="pct"/>
          </w:tcPr>
          <w:p w:rsidR="00CB1306" w:rsidRPr="00CC50E9" w:rsidRDefault="00CB1306" w:rsidP="00CC50E9">
            <w:pPr>
              <w:pStyle w:val="Default"/>
              <w:snapToGrid w:val="0"/>
              <w:jc w:val="both"/>
              <w:rPr>
                <w:sz w:val="20"/>
                <w:szCs w:val="20"/>
              </w:rPr>
            </w:pPr>
            <w:r w:rsidRPr="00CC50E9">
              <w:rPr>
                <w:sz w:val="20"/>
                <w:szCs w:val="20"/>
              </w:rPr>
              <w:t>&lt;0.129</w:t>
            </w:r>
          </w:p>
        </w:tc>
        <w:tc>
          <w:tcPr>
            <w:tcW w:w="505" w:type="pct"/>
            <w:noWrap/>
          </w:tcPr>
          <w:p w:rsidR="00CB1306" w:rsidRPr="00CC50E9" w:rsidRDefault="00CB1306" w:rsidP="00CC50E9">
            <w:pPr>
              <w:pStyle w:val="Default"/>
              <w:snapToGrid w:val="0"/>
              <w:jc w:val="both"/>
              <w:rPr>
                <w:sz w:val="20"/>
                <w:szCs w:val="20"/>
              </w:rPr>
            </w:pPr>
            <w:r w:rsidRPr="00CC50E9">
              <w:rPr>
                <w:sz w:val="20"/>
                <w:szCs w:val="20"/>
              </w:rPr>
              <w:t>198</w:t>
            </w:r>
          </w:p>
        </w:tc>
        <w:tc>
          <w:tcPr>
            <w:tcW w:w="447" w:type="pct"/>
          </w:tcPr>
          <w:p w:rsidR="00CB1306" w:rsidRPr="00CC50E9" w:rsidRDefault="00CB1306" w:rsidP="00CC50E9">
            <w:pPr>
              <w:pStyle w:val="Default"/>
              <w:snapToGrid w:val="0"/>
              <w:jc w:val="both"/>
              <w:rPr>
                <w:sz w:val="20"/>
                <w:szCs w:val="20"/>
              </w:rPr>
            </w:pPr>
            <w:r w:rsidRPr="00CC50E9">
              <w:rPr>
                <w:sz w:val="20"/>
                <w:szCs w:val="20"/>
              </w:rPr>
              <w:t>1.526</w:t>
            </w:r>
          </w:p>
        </w:tc>
        <w:tc>
          <w:tcPr>
            <w:tcW w:w="928" w:type="pct"/>
          </w:tcPr>
          <w:p w:rsidR="00CB1306" w:rsidRPr="00CC50E9" w:rsidRDefault="00CB1306" w:rsidP="00CC50E9">
            <w:pPr>
              <w:pStyle w:val="Default"/>
              <w:snapToGrid w:val="0"/>
              <w:jc w:val="both"/>
              <w:rPr>
                <w:sz w:val="20"/>
                <w:szCs w:val="20"/>
              </w:rPr>
            </w:pPr>
            <w:r w:rsidRPr="00CC50E9">
              <w:rPr>
                <w:sz w:val="20"/>
                <w:szCs w:val="20"/>
              </w:rPr>
              <w:t>9.9 ±1.1</w:t>
            </w:r>
          </w:p>
        </w:tc>
        <w:tc>
          <w:tcPr>
            <w:tcW w:w="1207" w:type="pct"/>
          </w:tcPr>
          <w:p w:rsidR="00CB1306" w:rsidRPr="00CC50E9" w:rsidRDefault="00CB1306" w:rsidP="00CC50E9">
            <w:pPr>
              <w:pStyle w:val="Default"/>
              <w:snapToGrid w:val="0"/>
              <w:jc w:val="both"/>
              <w:rPr>
                <w:sz w:val="20"/>
                <w:szCs w:val="20"/>
              </w:rPr>
            </w:pPr>
            <w:r w:rsidRPr="00CC50E9">
              <w:rPr>
                <w:sz w:val="20"/>
                <w:szCs w:val="20"/>
              </w:rPr>
              <w:t>10.2 ± 1.3</w:t>
            </w:r>
          </w:p>
        </w:tc>
        <w:tc>
          <w:tcPr>
            <w:tcW w:w="1416" w:type="pct"/>
          </w:tcPr>
          <w:p w:rsidR="00CB1306" w:rsidRPr="00CC50E9" w:rsidRDefault="00CB1306" w:rsidP="00CC50E9">
            <w:pPr>
              <w:pStyle w:val="Default"/>
              <w:snapToGrid w:val="0"/>
              <w:jc w:val="both"/>
              <w:rPr>
                <w:sz w:val="20"/>
                <w:szCs w:val="20"/>
              </w:rPr>
            </w:pPr>
            <w:r w:rsidRPr="00CC50E9">
              <w:rPr>
                <w:sz w:val="20"/>
                <w:szCs w:val="20"/>
              </w:rPr>
              <w:t>MPV (fl)</w:t>
            </w:r>
          </w:p>
        </w:tc>
      </w:tr>
      <w:tr w:rsidR="00CB1306" w:rsidRPr="00CC50E9" w:rsidTr="0027352D">
        <w:trPr>
          <w:cantSplit/>
          <w:jc w:val="center"/>
        </w:trPr>
        <w:tc>
          <w:tcPr>
            <w:tcW w:w="496" w:type="pct"/>
          </w:tcPr>
          <w:p w:rsidR="00CB1306" w:rsidRPr="00CC50E9" w:rsidRDefault="00CB1306" w:rsidP="00CC50E9">
            <w:pPr>
              <w:pStyle w:val="Default"/>
              <w:snapToGrid w:val="0"/>
              <w:jc w:val="both"/>
              <w:rPr>
                <w:sz w:val="20"/>
                <w:szCs w:val="20"/>
              </w:rPr>
            </w:pPr>
            <w:r w:rsidRPr="00CC50E9">
              <w:rPr>
                <w:sz w:val="20"/>
                <w:szCs w:val="20"/>
              </w:rPr>
              <w:t>&lt;0.822</w:t>
            </w:r>
          </w:p>
        </w:tc>
        <w:tc>
          <w:tcPr>
            <w:tcW w:w="505" w:type="pct"/>
            <w:noWrap/>
          </w:tcPr>
          <w:p w:rsidR="00CB1306" w:rsidRPr="00CC50E9" w:rsidRDefault="00CB1306" w:rsidP="00CC50E9">
            <w:pPr>
              <w:pStyle w:val="Default"/>
              <w:snapToGrid w:val="0"/>
              <w:jc w:val="both"/>
              <w:rPr>
                <w:sz w:val="20"/>
                <w:szCs w:val="20"/>
              </w:rPr>
            </w:pPr>
            <w:r w:rsidRPr="00CC50E9">
              <w:rPr>
                <w:sz w:val="20"/>
                <w:szCs w:val="20"/>
              </w:rPr>
              <w:t>174.783</w:t>
            </w:r>
          </w:p>
        </w:tc>
        <w:tc>
          <w:tcPr>
            <w:tcW w:w="447" w:type="pct"/>
          </w:tcPr>
          <w:p w:rsidR="00CB1306" w:rsidRPr="00CC50E9" w:rsidRDefault="00CB1306" w:rsidP="00CC50E9">
            <w:pPr>
              <w:pStyle w:val="Default"/>
              <w:snapToGrid w:val="0"/>
              <w:jc w:val="both"/>
              <w:rPr>
                <w:sz w:val="20"/>
                <w:szCs w:val="20"/>
              </w:rPr>
            </w:pPr>
            <w:r w:rsidRPr="00CC50E9">
              <w:rPr>
                <w:sz w:val="20"/>
                <w:szCs w:val="20"/>
              </w:rPr>
              <w:t>-0.225</w:t>
            </w:r>
          </w:p>
        </w:tc>
        <w:tc>
          <w:tcPr>
            <w:tcW w:w="928" w:type="pct"/>
          </w:tcPr>
          <w:p w:rsidR="00CB1306" w:rsidRPr="00CC50E9" w:rsidRDefault="00CB1306" w:rsidP="00CC50E9">
            <w:pPr>
              <w:pStyle w:val="Default"/>
              <w:snapToGrid w:val="0"/>
              <w:jc w:val="both"/>
              <w:rPr>
                <w:sz w:val="20"/>
                <w:szCs w:val="20"/>
              </w:rPr>
            </w:pPr>
            <w:r w:rsidRPr="00CC50E9">
              <w:rPr>
                <w:sz w:val="20"/>
                <w:szCs w:val="20"/>
              </w:rPr>
              <w:t>13.8 ± 2.3</w:t>
            </w:r>
          </w:p>
        </w:tc>
        <w:tc>
          <w:tcPr>
            <w:tcW w:w="1207" w:type="pct"/>
          </w:tcPr>
          <w:p w:rsidR="00CB1306" w:rsidRPr="00CC50E9" w:rsidRDefault="00CB1306" w:rsidP="00CC50E9">
            <w:pPr>
              <w:pStyle w:val="Default"/>
              <w:snapToGrid w:val="0"/>
              <w:jc w:val="both"/>
              <w:rPr>
                <w:sz w:val="20"/>
                <w:szCs w:val="20"/>
              </w:rPr>
            </w:pPr>
            <w:r w:rsidRPr="00CC50E9">
              <w:rPr>
                <w:sz w:val="20"/>
                <w:szCs w:val="20"/>
              </w:rPr>
              <w:t>13.9 ± 3.3</w:t>
            </w:r>
          </w:p>
        </w:tc>
        <w:tc>
          <w:tcPr>
            <w:tcW w:w="1416" w:type="pct"/>
          </w:tcPr>
          <w:p w:rsidR="00CB1306" w:rsidRPr="00CC50E9" w:rsidRDefault="00CB1306" w:rsidP="00CC50E9">
            <w:pPr>
              <w:pStyle w:val="Default"/>
              <w:snapToGrid w:val="0"/>
              <w:jc w:val="both"/>
              <w:rPr>
                <w:sz w:val="20"/>
                <w:szCs w:val="20"/>
              </w:rPr>
            </w:pPr>
            <w:r w:rsidRPr="00CC50E9">
              <w:rPr>
                <w:sz w:val="20"/>
                <w:szCs w:val="20"/>
              </w:rPr>
              <w:t>PDW (%)</w:t>
            </w:r>
          </w:p>
        </w:tc>
      </w:tr>
      <w:tr w:rsidR="00CB1306" w:rsidRPr="00CC50E9" w:rsidTr="0027352D">
        <w:trPr>
          <w:cantSplit/>
          <w:jc w:val="center"/>
        </w:trPr>
        <w:tc>
          <w:tcPr>
            <w:tcW w:w="496" w:type="pct"/>
          </w:tcPr>
          <w:p w:rsidR="00CB1306" w:rsidRPr="00CC50E9" w:rsidRDefault="00CB1306" w:rsidP="00CC50E9">
            <w:pPr>
              <w:pStyle w:val="Default"/>
              <w:snapToGrid w:val="0"/>
              <w:jc w:val="both"/>
              <w:rPr>
                <w:b/>
                <w:bCs/>
                <w:sz w:val="20"/>
                <w:szCs w:val="20"/>
              </w:rPr>
            </w:pPr>
            <w:r w:rsidRPr="00CC50E9">
              <w:rPr>
                <w:b/>
                <w:bCs/>
                <w:sz w:val="20"/>
                <w:szCs w:val="20"/>
              </w:rPr>
              <w:t>&lt;0.001</w:t>
            </w:r>
          </w:p>
        </w:tc>
        <w:tc>
          <w:tcPr>
            <w:tcW w:w="505" w:type="pct"/>
            <w:noWrap/>
          </w:tcPr>
          <w:p w:rsidR="00CB1306" w:rsidRPr="00CC50E9" w:rsidRDefault="00CB1306" w:rsidP="00CC50E9">
            <w:pPr>
              <w:pStyle w:val="Default"/>
              <w:snapToGrid w:val="0"/>
              <w:jc w:val="both"/>
              <w:rPr>
                <w:sz w:val="20"/>
                <w:szCs w:val="20"/>
              </w:rPr>
            </w:pPr>
            <w:r w:rsidRPr="00CC50E9">
              <w:rPr>
                <w:sz w:val="20"/>
                <w:szCs w:val="20"/>
              </w:rPr>
              <w:t>142.281</w:t>
            </w:r>
          </w:p>
        </w:tc>
        <w:tc>
          <w:tcPr>
            <w:tcW w:w="447" w:type="pct"/>
          </w:tcPr>
          <w:p w:rsidR="00CB1306" w:rsidRPr="00CC50E9" w:rsidRDefault="00CB1306" w:rsidP="00CC50E9">
            <w:pPr>
              <w:pStyle w:val="Default"/>
              <w:snapToGrid w:val="0"/>
              <w:jc w:val="both"/>
              <w:rPr>
                <w:sz w:val="20"/>
                <w:szCs w:val="20"/>
              </w:rPr>
            </w:pPr>
            <w:r w:rsidRPr="00CC50E9">
              <w:rPr>
                <w:sz w:val="20"/>
                <w:szCs w:val="20"/>
              </w:rPr>
              <w:t>11.692</w:t>
            </w:r>
          </w:p>
        </w:tc>
        <w:tc>
          <w:tcPr>
            <w:tcW w:w="928" w:type="pct"/>
          </w:tcPr>
          <w:p w:rsidR="00CB1306" w:rsidRPr="00CC50E9" w:rsidRDefault="00CB1306" w:rsidP="00CC50E9">
            <w:pPr>
              <w:pStyle w:val="Default"/>
              <w:snapToGrid w:val="0"/>
              <w:jc w:val="both"/>
              <w:rPr>
                <w:sz w:val="20"/>
                <w:szCs w:val="20"/>
              </w:rPr>
            </w:pPr>
            <w:r w:rsidRPr="00CC50E9">
              <w:rPr>
                <w:sz w:val="20"/>
                <w:szCs w:val="20"/>
              </w:rPr>
              <w:t>3.8 ± 0.6</w:t>
            </w:r>
          </w:p>
        </w:tc>
        <w:tc>
          <w:tcPr>
            <w:tcW w:w="1207" w:type="pct"/>
          </w:tcPr>
          <w:p w:rsidR="00CB1306" w:rsidRPr="00CC50E9" w:rsidRDefault="00CB1306" w:rsidP="00CC50E9">
            <w:pPr>
              <w:pStyle w:val="Default"/>
              <w:snapToGrid w:val="0"/>
              <w:jc w:val="both"/>
              <w:rPr>
                <w:sz w:val="20"/>
                <w:szCs w:val="20"/>
              </w:rPr>
            </w:pPr>
            <w:r w:rsidRPr="00CC50E9">
              <w:rPr>
                <w:sz w:val="20"/>
                <w:szCs w:val="20"/>
              </w:rPr>
              <w:t>5.4 ± 1.3</w:t>
            </w:r>
          </w:p>
        </w:tc>
        <w:tc>
          <w:tcPr>
            <w:tcW w:w="1416" w:type="pct"/>
          </w:tcPr>
          <w:p w:rsidR="00CB1306" w:rsidRPr="00CC50E9" w:rsidRDefault="00CB1306" w:rsidP="00CC50E9">
            <w:pPr>
              <w:pStyle w:val="Default"/>
              <w:snapToGrid w:val="0"/>
              <w:jc w:val="both"/>
              <w:rPr>
                <w:sz w:val="20"/>
                <w:szCs w:val="20"/>
              </w:rPr>
            </w:pPr>
            <w:r w:rsidRPr="00CC50E9">
              <w:rPr>
                <w:sz w:val="20"/>
                <w:szCs w:val="20"/>
              </w:rPr>
              <w:t>Uric acid (mg/dl)</w:t>
            </w:r>
          </w:p>
        </w:tc>
      </w:tr>
    </w:tbl>
    <w:p w:rsidR="00A15A12" w:rsidRPr="00CC50E9" w:rsidRDefault="00A15A12" w:rsidP="00CC50E9">
      <w:pPr>
        <w:pStyle w:val="Default"/>
        <w:snapToGrid w:val="0"/>
        <w:jc w:val="center"/>
        <w:rPr>
          <w:b/>
          <w:bCs/>
          <w:sz w:val="20"/>
          <w:szCs w:val="20"/>
        </w:rPr>
      </w:pPr>
    </w:p>
    <w:p w:rsidR="0027352D" w:rsidRDefault="0027352D" w:rsidP="00CC50E9">
      <w:pPr>
        <w:pStyle w:val="Default"/>
        <w:snapToGrid w:val="0"/>
        <w:jc w:val="center"/>
        <w:rPr>
          <w:rFonts w:hint="eastAsia"/>
          <w:b/>
          <w:sz w:val="20"/>
          <w:szCs w:val="20"/>
          <w:lang w:eastAsia="zh-CN"/>
        </w:rPr>
      </w:pPr>
    </w:p>
    <w:p w:rsidR="00A15A12" w:rsidRPr="00CC50E9" w:rsidRDefault="00B118B9" w:rsidP="00CC50E9">
      <w:pPr>
        <w:pStyle w:val="Default"/>
        <w:snapToGrid w:val="0"/>
        <w:jc w:val="center"/>
        <w:rPr>
          <w:rFonts w:eastAsia="Calibri"/>
          <w:b/>
          <w:bCs/>
          <w:color w:val="auto"/>
          <w:sz w:val="20"/>
          <w:szCs w:val="20"/>
        </w:rPr>
      </w:pPr>
      <w:r w:rsidRPr="00CC50E9">
        <w:rPr>
          <w:b/>
          <w:sz w:val="20"/>
          <w:szCs w:val="20"/>
        </w:rPr>
        <w:t>Table2:</w:t>
      </w:r>
      <w:r w:rsidRPr="00CC50E9">
        <w:rPr>
          <w:rFonts w:eastAsia="Calibri"/>
          <w:b/>
          <w:bCs/>
          <w:color w:val="auto"/>
          <w:sz w:val="20"/>
          <w:szCs w:val="20"/>
        </w:rPr>
        <w:t xml:space="preserve"> Platelet and biochemical indices in cases of mild or severe PE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2"/>
        <w:gridCol w:w="535"/>
        <w:gridCol w:w="914"/>
        <w:gridCol w:w="2116"/>
        <w:gridCol w:w="1923"/>
        <w:gridCol w:w="3026"/>
      </w:tblGrid>
      <w:tr w:rsidR="00CB1306" w:rsidRPr="00CC50E9" w:rsidTr="0027352D">
        <w:trPr>
          <w:cantSplit/>
          <w:jc w:val="center"/>
        </w:trPr>
        <w:tc>
          <w:tcPr>
            <w:tcW w:w="554" w:type="pct"/>
          </w:tcPr>
          <w:p w:rsidR="00CB1306" w:rsidRPr="00CC50E9" w:rsidRDefault="00CB1306" w:rsidP="00CC50E9">
            <w:pPr>
              <w:snapToGrid w:val="0"/>
              <w:spacing w:after="0" w:line="240" w:lineRule="auto"/>
              <w:jc w:val="both"/>
              <w:rPr>
                <w:rFonts w:ascii="Times New Roman" w:hAnsi="Times New Roman" w:cs="Times New Roman"/>
                <w:b/>
                <w:bCs/>
                <w:color w:val="000000"/>
                <w:sz w:val="20"/>
                <w:szCs w:val="20"/>
              </w:rPr>
            </w:pPr>
            <w:r w:rsidRPr="00CC50E9">
              <w:rPr>
                <w:rFonts w:ascii="Times New Roman" w:hAnsi="Times New Roman" w:cs="Times New Roman"/>
                <w:b/>
                <w:bCs/>
                <w:color w:val="000000"/>
                <w:sz w:val="20"/>
                <w:szCs w:val="20"/>
              </w:rPr>
              <w:t>p-value</w:t>
            </w:r>
          </w:p>
        </w:tc>
        <w:tc>
          <w:tcPr>
            <w:tcW w:w="279" w:type="pct"/>
          </w:tcPr>
          <w:p w:rsidR="00CB1306" w:rsidRPr="00CC50E9" w:rsidRDefault="00CB1306" w:rsidP="00CC50E9">
            <w:pPr>
              <w:snapToGrid w:val="0"/>
              <w:spacing w:after="0" w:line="240" w:lineRule="auto"/>
              <w:jc w:val="both"/>
              <w:rPr>
                <w:rFonts w:ascii="Times New Roman" w:hAnsi="Times New Roman" w:cs="Times New Roman"/>
                <w:b/>
                <w:bCs/>
                <w:color w:val="000000"/>
                <w:sz w:val="20"/>
                <w:szCs w:val="20"/>
              </w:rPr>
            </w:pPr>
            <w:proofErr w:type="spellStart"/>
            <w:r w:rsidRPr="00CC50E9">
              <w:rPr>
                <w:rFonts w:ascii="Times New Roman" w:hAnsi="Times New Roman" w:cs="Times New Roman"/>
                <w:b/>
                <w:bCs/>
                <w:color w:val="000000"/>
                <w:sz w:val="20"/>
                <w:szCs w:val="20"/>
              </w:rPr>
              <w:t>Df</w:t>
            </w:r>
            <w:proofErr w:type="spellEnd"/>
          </w:p>
        </w:tc>
        <w:tc>
          <w:tcPr>
            <w:tcW w:w="477" w:type="pct"/>
          </w:tcPr>
          <w:p w:rsidR="00CB1306" w:rsidRPr="00CC50E9" w:rsidRDefault="00CB1306" w:rsidP="00CC50E9">
            <w:pPr>
              <w:snapToGrid w:val="0"/>
              <w:spacing w:after="0" w:line="240" w:lineRule="auto"/>
              <w:jc w:val="both"/>
              <w:rPr>
                <w:rFonts w:ascii="Times New Roman" w:hAnsi="Times New Roman" w:cs="Times New Roman"/>
                <w:b/>
                <w:bCs/>
                <w:color w:val="000000"/>
                <w:sz w:val="20"/>
                <w:szCs w:val="20"/>
              </w:rPr>
            </w:pPr>
            <w:r w:rsidRPr="00CC50E9">
              <w:rPr>
                <w:rFonts w:ascii="Times New Roman" w:hAnsi="Times New Roman" w:cs="Times New Roman"/>
                <w:b/>
                <w:bCs/>
                <w:color w:val="000000"/>
                <w:sz w:val="20"/>
                <w:szCs w:val="20"/>
              </w:rPr>
              <w:t>t</w:t>
            </w:r>
          </w:p>
        </w:tc>
        <w:tc>
          <w:tcPr>
            <w:tcW w:w="1105" w:type="pct"/>
          </w:tcPr>
          <w:p w:rsidR="00CB1306" w:rsidRPr="00CC50E9" w:rsidRDefault="00CB1306" w:rsidP="00CC50E9">
            <w:pPr>
              <w:snapToGrid w:val="0"/>
              <w:spacing w:after="0" w:line="240" w:lineRule="auto"/>
              <w:jc w:val="both"/>
              <w:rPr>
                <w:rFonts w:ascii="Times New Roman" w:hAnsi="Times New Roman" w:cs="Times New Roman"/>
                <w:b/>
                <w:bCs/>
                <w:color w:val="000000"/>
                <w:sz w:val="20"/>
                <w:szCs w:val="20"/>
              </w:rPr>
            </w:pPr>
            <w:r w:rsidRPr="00CC50E9">
              <w:rPr>
                <w:rFonts w:ascii="Times New Roman" w:hAnsi="Times New Roman" w:cs="Times New Roman"/>
                <w:b/>
                <w:bCs/>
                <w:color w:val="000000"/>
                <w:sz w:val="20"/>
                <w:szCs w:val="20"/>
              </w:rPr>
              <w:t>Severe PE (n=93)</w:t>
            </w:r>
          </w:p>
        </w:tc>
        <w:tc>
          <w:tcPr>
            <w:tcW w:w="1004" w:type="pct"/>
          </w:tcPr>
          <w:p w:rsidR="00CB1306" w:rsidRPr="00CC50E9" w:rsidRDefault="00CB1306" w:rsidP="0027352D">
            <w:pPr>
              <w:snapToGrid w:val="0"/>
              <w:spacing w:after="0" w:line="240" w:lineRule="auto"/>
              <w:jc w:val="both"/>
              <w:rPr>
                <w:rFonts w:ascii="Times New Roman" w:hAnsi="Times New Roman" w:cs="Times New Roman"/>
                <w:b/>
                <w:bCs/>
                <w:color w:val="000000"/>
                <w:sz w:val="20"/>
                <w:szCs w:val="20"/>
              </w:rPr>
            </w:pPr>
            <w:r w:rsidRPr="00CC50E9">
              <w:rPr>
                <w:rFonts w:ascii="Times New Roman" w:hAnsi="Times New Roman" w:cs="Times New Roman"/>
                <w:b/>
                <w:bCs/>
                <w:color w:val="000000"/>
                <w:sz w:val="20"/>
                <w:szCs w:val="20"/>
              </w:rPr>
              <w:t>Mild PE</w:t>
            </w:r>
            <w:r w:rsidR="0027352D">
              <w:rPr>
                <w:rFonts w:ascii="Times New Roman" w:hAnsi="Times New Roman" w:cs="Times New Roman" w:hint="eastAsia"/>
                <w:b/>
                <w:bCs/>
                <w:color w:val="000000"/>
                <w:sz w:val="20"/>
                <w:szCs w:val="20"/>
                <w:lang w:eastAsia="zh-CN"/>
              </w:rPr>
              <w:t xml:space="preserve"> </w:t>
            </w:r>
            <w:r w:rsidRPr="00CC50E9">
              <w:rPr>
                <w:rFonts w:ascii="Times New Roman" w:hAnsi="Times New Roman" w:cs="Times New Roman"/>
                <w:b/>
                <w:bCs/>
                <w:color w:val="000000"/>
                <w:sz w:val="20"/>
                <w:szCs w:val="20"/>
              </w:rPr>
              <w:t>(n=57)</w:t>
            </w:r>
          </w:p>
        </w:tc>
        <w:tc>
          <w:tcPr>
            <w:tcW w:w="1580" w:type="pct"/>
          </w:tcPr>
          <w:p w:rsidR="00CB1306" w:rsidRPr="00CC50E9" w:rsidRDefault="00CB1306" w:rsidP="00CC50E9">
            <w:pPr>
              <w:snapToGrid w:val="0"/>
              <w:spacing w:after="0" w:line="240" w:lineRule="auto"/>
              <w:jc w:val="both"/>
              <w:rPr>
                <w:rFonts w:ascii="Times New Roman" w:hAnsi="Times New Roman" w:cs="Times New Roman"/>
                <w:b/>
                <w:bCs/>
                <w:color w:val="000000"/>
                <w:sz w:val="20"/>
                <w:szCs w:val="20"/>
              </w:rPr>
            </w:pPr>
            <w:r w:rsidRPr="00CC50E9">
              <w:rPr>
                <w:rFonts w:ascii="Times New Roman" w:hAnsi="Times New Roman" w:cs="Times New Roman"/>
                <w:b/>
                <w:bCs/>
                <w:color w:val="000000"/>
                <w:sz w:val="20"/>
                <w:szCs w:val="20"/>
              </w:rPr>
              <w:t>Variable</w:t>
            </w:r>
          </w:p>
        </w:tc>
      </w:tr>
      <w:tr w:rsidR="00CB1306" w:rsidRPr="00CC50E9" w:rsidTr="0027352D">
        <w:trPr>
          <w:cantSplit/>
          <w:jc w:val="center"/>
        </w:trPr>
        <w:tc>
          <w:tcPr>
            <w:tcW w:w="554"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&lt;0.037</w:t>
            </w:r>
          </w:p>
        </w:tc>
        <w:tc>
          <w:tcPr>
            <w:tcW w:w="279"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98</w:t>
            </w:r>
          </w:p>
        </w:tc>
        <w:tc>
          <w:tcPr>
            <w:tcW w:w="477"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0.336</w:t>
            </w:r>
          </w:p>
        </w:tc>
        <w:tc>
          <w:tcPr>
            <w:tcW w:w="1105"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117.0 ± 76.2</w:t>
            </w:r>
          </w:p>
        </w:tc>
        <w:tc>
          <w:tcPr>
            <w:tcW w:w="1004" w:type="pct"/>
            <w:noWrap/>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2</w:t>
            </w:r>
            <w:r w:rsidRPr="00CC50E9">
              <w:rPr>
                <w:rFonts w:ascii="Times New Roman" w:hAnsi="Times New Roman" w:cs="Times New Roman"/>
                <w:b/>
                <w:bCs/>
                <w:color w:val="000000"/>
                <w:sz w:val="20"/>
                <w:szCs w:val="20"/>
              </w:rPr>
              <w:t>2</w:t>
            </w:r>
            <w:r w:rsidRPr="00CC50E9">
              <w:rPr>
                <w:rFonts w:ascii="Times New Roman" w:hAnsi="Times New Roman" w:cs="Times New Roman"/>
                <w:color w:val="000000"/>
                <w:sz w:val="20"/>
                <w:szCs w:val="20"/>
              </w:rPr>
              <w:t>2.7 ± 90.4</w:t>
            </w:r>
          </w:p>
        </w:tc>
        <w:tc>
          <w:tcPr>
            <w:tcW w:w="1580"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Platelet count (x1000/mm</w:t>
            </w:r>
            <w:r w:rsidRPr="00CC50E9">
              <w:rPr>
                <w:rFonts w:ascii="Times New Roman" w:hAnsi="Times New Roman" w:cs="Times New Roman"/>
                <w:color w:val="000000"/>
                <w:sz w:val="20"/>
                <w:szCs w:val="20"/>
                <w:vertAlign w:val="superscript"/>
              </w:rPr>
              <w:t>3</w:t>
            </w:r>
            <w:r w:rsidRPr="00CC50E9">
              <w:rPr>
                <w:rFonts w:ascii="Times New Roman" w:hAnsi="Times New Roman" w:cs="Times New Roman"/>
                <w:color w:val="000000"/>
                <w:sz w:val="20"/>
                <w:szCs w:val="20"/>
              </w:rPr>
              <w:t>)</w:t>
            </w:r>
          </w:p>
        </w:tc>
      </w:tr>
      <w:tr w:rsidR="00CB1306" w:rsidRPr="00CC50E9" w:rsidTr="0027352D">
        <w:trPr>
          <w:cantSplit/>
          <w:jc w:val="center"/>
        </w:trPr>
        <w:tc>
          <w:tcPr>
            <w:tcW w:w="554"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&lt;0.359</w:t>
            </w:r>
          </w:p>
        </w:tc>
        <w:tc>
          <w:tcPr>
            <w:tcW w:w="279"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98</w:t>
            </w:r>
          </w:p>
        </w:tc>
        <w:tc>
          <w:tcPr>
            <w:tcW w:w="477"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0.921</w:t>
            </w:r>
          </w:p>
        </w:tc>
        <w:tc>
          <w:tcPr>
            <w:tcW w:w="1105"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10.1 ± 1.2</w:t>
            </w:r>
          </w:p>
        </w:tc>
        <w:tc>
          <w:tcPr>
            <w:tcW w:w="1004" w:type="pct"/>
            <w:noWrap/>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10.4 ± 1.5</w:t>
            </w:r>
          </w:p>
        </w:tc>
        <w:tc>
          <w:tcPr>
            <w:tcW w:w="1580"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MPV (fl)</w:t>
            </w:r>
          </w:p>
        </w:tc>
      </w:tr>
      <w:tr w:rsidR="00CB1306" w:rsidRPr="00CC50E9" w:rsidTr="0027352D">
        <w:trPr>
          <w:cantSplit/>
          <w:jc w:val="center"/>
        </w:trPr>
        <w:tc>
          <w:tcPr>
            <w:tcW w:w="554"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&lt;0.742</w:t>
            </w:r>
          </w:p>
        </w:tc>
        <w:tc>
          <w:tcPr>
            <w:tcW w:w="279"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98</w:t>
            </w:r>
          </w:p>
        </w:tc>
        <w:tc>
          <w:tcPr>
            <w:tcW w:w="477"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0.330</w:t>
            </w:r>
          </w:p>
        </w:tc>
        <w:tc>
          <w:tcPr>
            <w:tcW w:w="1105"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13.7 ± 2.9</w:t>
            </w:r>
          </w:p>
        </w:tc>
        <w:tc>
          <w:tcPr>
            <w:tcW w:w="1004" w:type="pct"/>
            <w:noWrap/>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13.9 ± 4.0</w:t>
            </w:r>
          </w:p>
        </w:tc>
        <w:tc>
          <w:tcPr>
            <w:tcW w:w="1580"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PDW (%)</w:t>
            </w:r>
          </w:p>
        </w:tc>
      </w:tr>
      <w:tr w:rsidR="00CB1306" w:rsidRPr="00CC50E9" w:rsidTr="0027352D">
        <w:trPr>
          <w:cantSplit/>
          <w:jc w:val="center"/>
        </w:trPr>
        <w:tc>
          <w:tcPr>
            <w:tcW w:w="554" w:type="pct"/>
          </w:tcPr>
          <w:p w:rsidR="00CB1306" w:rsidRPr="00CC50E9" w:rsidRDefault="00CB1306" w:rsidP="00CC50E9">
            <w:pPr>
              <w:snapToGrid w:val="0"/>
              <w:spacing w:after="0" w:line="240" w:lineRule="auto"/>
              <w:jc w:val="both"/>
              <w:rPr>
                <w:rFonts w:ascii="Times New Roman" w:hAnsi="Times New Roman" w:cs="Times New Roman"/>
                <w:b/>
                <w:bCs/>
                <w:color w:val="000000"/>
                <w:sz w:val="20"/>
                <w:szCs w:val="20"/>
              </w:rPr>
            </w:pPr>
            <w:r w:rsidRPr="00CC50E9">
              <w:rPr>
                <w:rFonts w:ascii="Times New Roman" w:hAnsi="Times New Roman" w:cs="Times New Roman"/>
                <w:b/>
                <w:bCs/>
                <w:color w:val="000000"/>
                <w:sz w:val="20"/>
                <w:szCs w:val="20"/>
              </w:rPr>
              <w:t>&lt;0.001</w:t>
            </w:r>
          </w:p>
        </w:tc>
        <w:tc>
          <w:tcPr>
            <w:tcW w:w="279"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98</w:t>
            </w:r>
          </w:p>
        </w:tc>
        <w:tc>
          <w:tcPr>
            <w:tcW w:w="477"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-7.329</w:t>
            </w:r>
          </w:p>
        </w:tc>
        <w:tc>
          <w:tcPr>
            <w:tcW w:w="1105"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6.0 ± 1.1</w:t>
            </w:r>
          </w:p>
        </w:tc>
        <w:tc>
          <w:tcPr>
            <w:tcW w:w="1004" w:type="pct"/>
            <w:noWrap/>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4.5 ± 0.9</w:t>
            </w:r>
          </w:p>
        </w:tc>
        <w:tc>
          <w:tcPr>
            <w:tcW w:w="1580" w:type="pct"/>
          </w:tcPr>
          <w:p w:rsidR="00CB1306" w:rsidRPr="00CC50E9" w:rsidRDefault="00CB1306" w:rsidP="00CC50E9">
            <w:pPr>
              <w:snapToGrid w:val="0"/>
              <w:spacing w:after="0" w:line="240" w:lineRule="auto"/>
              <w:jc w:val="both"/>
              <w:rPr>
                <w:rFonts w:ascii="Times New Roman" w:hAnsi="Times New Roman" w:cs="Times New Roman"/>
                <w:color w:val="000000"/>
                <w:sz w:val="20"/>
                <w:szCs w:val="20"/>
              </w:rPr>
            </w:pPr>
            <w:r w:rsidRPr="00CC50E9">
              <w:rPr>
                <w:rFonts w:ascii="Times New Roman" w:hAnsi="Times New Roman" w:cs="Times New Roman"/>
                <w:color w:val="000000"/>
                <w:sz w:val="20"/>
                <w:szCs w:val="20"/>
              </w:rPr>
              <w:t>Uric acid (mg/dl)</w:t>
            </w:r>
          </w:p>
        </w:tc>
      </w:tr>
    </w:tbl>
    <w:p w:rsidR="00CC50E9" w:rsidRDefault="00CC50E9" w:rsidP="00CC50E9">
      <w:pPr>
        <w:pStyle w:val="Default"/>
        <w:snapToGrid w:val="0"/>
        <w:jc w:val="both"/>
        <w:rPr>
          <w:rFonts w:hint="eastAsia"/>
          <w:b/>
          <w:sz w:val="20"/>
          <w:szCs w:val="20"/>
          <w:lang w:eastAsia="zh-CN"/>
        </w:rPr>
      </w:pPr>
    </w:p>
    <w:p w:rsidR="0027352D" w:rsidRDefault="0027352D" w:rsidP="00CC50E9">
      <w:pPr>
        <w:pStyle w:val="Default"/>
        <w:snapToGrid w:val="0"/>
        <w:jc w:val="both"/>
        <w:rPr>
          <w:rFonts w:hint="eastAsia"/>
          <w:b/>
          <w:sz w:val="20"/>
          <w:szCs w:val="20"/>
          <w:lang w:eastAsia="zh-CN"/>
        </w:rPr>
      </w:pPr>
    </w:p>
    <w:p w:rsidR="00CC50E9" w:rsidRPr="00CC50E9" w:rsidRDefault="00CC50E9" w:rsidP="00CC50E9">
      <w:pPr>
        <w:pStyle w:val="Default"/>
        <w:snapToGrid w:val="0"/>
        <w:jc w:val="both"/>
        <w:rPr>
          <w:b/>
          <w:sz w:val="20"/>
          <w:szCs w:val="20"/>
        </w:rPr>
        <w:sectPr w:rsidR="00CC50E9" w:rsidRPr="00CC50E9" w:rsidSect="003E109E">
          <w:headerReference w:type="default" r:id="rId14"/>
          <w:footerReference w:type="default" r:id="rId15"/>
          <w:type w:val="continuous"/>
          <w:pgSz w:w="12240" w:h="15840" w:code="1"/>
          <w:pgMar w:top="1440" w:right="1440" w:bottom="1440" w:left="1440" w:header="720" w:footer="720" w:gutter="0"/>
          <w:cols w:space="720"/>
          <w:docGrid w:linePitch="360"/>
        </w:sectPr>
      </w:pPr>
    </w:p>
    <w:p w:rsidR="00B118B9" w:rsidRPr="00CC50E9" w:rsidRDefault="00B118B9" w:rsidP="00CC50E9">
      <w:pPr>
        <w:pStyle w:val="Default"/>
        <w:snapToGrid w:val="0"/>
        <w:ind w:firstLine="425"/>
        <w:jc w:val="both"/>
        <w:rPr>
          <w:sz w:val="20"/>
          <w:szCs w:val="20"/>
        </w:rPr>
      </w:pPr>
      <w:r w:rsidRPr="00CC50E9">
        <w:rPr>
          <w:sz w:val="20"/>
          <w:szCs w:val="20"/>
        </w:rPr>
        <w:lastRenderedPageBreak/>
        <w:t>Comparison of the platelet and uric acid parameters i.e., Platelet count, MPV</w:t>
      </w:r>
      <w:r w:rsidR="00CC50E9" w:rsidRPr="00CC50E9">
        <w:rPr>
          <w:sz w:val="20"/>
          <w:szCs w:val="20"/>
        </w:rPr>
        <w:t>,</w:t>
      </w:r>
      <w:r w:rsidRPr="00CC50E9">
        <w:rPr>
          <w:sz w:val="20"/>
          <w:szCs w:val="20"/>
        </w:rPr>
        <w:t xml:space="preserve"> PDW and uric acid among the preeclampsia and </w:t>
      </w:r>
      <w:proofErr w:type="spellStart"/>
      <w:r w:rsidRPr="00CC50E9">
        <w:rPr>
          <w:sz w:val="20"/>
          <w:szCs w:val="20"/>
        </w:rPr>
        <w:t>normotensive</w:t>
      </w:r>
      <w:proofErr w:type="spellEnd"/>
      <w:r w:rsidRPr="00CC50E9">
        <w:rPr>
          <w:sz w:val="20"/>
          <w:szCs w:val="20"/>
        </w:rPr>
        <w:t xml:space="preserve"> pregnant control group was done by using independent t test</w:t>
      </w:r>
      <w:r w:rsidR="00CC50E9" w:rsidRPr="00CC50E9">
        <w:rPr>
          <w:sz w:val="20"/>
          <w:szCs w:val="20"/>
        </w:rPr>
        <w:t>.</w:t>
      </w:r>
      <w:r w:rsidR="00CC50E9">
        <w:rPr>
          <w:sz w:val="20"/>
          <w:szCs w:val="20"/>
        </w:rPr>
        <w:t xml:space="preserve"> </w:t>
      </w:r>
      <w:r w:rsidR="00CC50E9" w:rsidRPr="00CC50E9">
        <w:rPr>
          <w:sz w:val="20"/>
          <w:szCs w:val="20"/>
        </w:rPr>
        <w:t>P</w:t>
      </w:r>
      <w:r w:rsidRPr="00CC50E9">
        <w:rPr>
          <w:sz w:val="20"/>
          <w:szCs w:val="20"/>
        </w:rPr>
        <w:t>latelet count was lower in the preeclampsia group as compared to control group and this was statistically significant (p &lt; 0.003) Though MPV was higher in preeclampsia group as compared to control group, the finding was not statistically significant (p&lt; 0.129)</w:t>
      </w:r>
      <w:r w:rsidR="00CC50E9" w:rsidRPr="00CC50E9">
        <w:rPr>
          <w:sz w:val="20"/>
          <w:szCs w:val="20"/>
        </w:rPr>
        <w:t>,</w:t>
      </w:r>
      <w:r w:rsidR="00CC50E9">
        <w:rPr>
          <w:sz w:val="20"/>
          <w:szCs w:val="20"/>
        </w:rPr>
        <w:t xml:space="preserve"> </w:t>
      </w:r>
      <w:r w:rsidR="00CC50E9" w:rsidRPr="00CC50E9">
        <w:rPr>
          <w:sz w:val="20"/>
          <w:szCs w:val="20"/>
        </w:rPr>
        <w:t>P</w:t>
      </w:r>
      <w:r w:rsidRPr="00CC50E9">
        <w:rPr>
          <w:sz w:val="20"/>
          <w:szCs w:val="20"/>
        </w:rPr>
        <w:t xml:space="preserve">DW was </w:t>
      </w:r>
      <w:proofErr w:type="spellStart"/>
      <w:r w:rsidRPr="00CC50E9">
        <w:rPr>
          <w:sz w:val="20"/>
          <w:szCs w:val="20"/>
        </w:rPr>
        <w:t>non</w:t>
      </w:r>
      <w:proofErr w:type="spellEnd"/>
      <w:r w:rsidR="00CC50E9">
        <w:rPr>
          <w:sz w:val="20"/>
          <w:szCs w:val="20"/>
        </w:rPr>
        <w:t xml:space="preserve"> </w:t>
      </w:r>
      <w:r w:rsidRPr="00CC50E9">
        <w:rPr>
          <w:sz w:val="20"/>
          <w:szCs w:val="20"/>
        </w:rPr>
        <w:t>significantly higher in preeclampsia group as compared to the control group (p&lt; 0.822)</w:t>
      </w:r>
      <w:r w:rsidR="00CC50E9" w:rsidRPr="00CC50E9">
        <w:rPr>
          <w:sz w:val="20"/>
          <w:szCs w:val="20"/>
        </w:rPr>
        <w:t>.</w:t>
      </w:r>
      <w:r w:rsidR="00CC50E9">
        <w:rPr>
          <w:sz w:val="20"/>
          <w:szCs w:val="20"/>
        </w:rPr>
        <w:t xml:space="preserve"> </w:t>
      </w:r>
      <w:proofErr w:type="gramStart"/>
      <w:r w:rsidR="00CC50E9" w:rsidRPr="00CC50E9">
        <w:rPr>
          <w:sz w:val="20"/>
          <w:szCs w:val="20"/>
        </w:rPr>
        <w:t>u</w:t>
      </w:r>
      <w:r w:rsidRPr="00CC50E9">
        <w:rPr>
          <w:sz w:val="20"/>
          <w:szCs w:val="20"/>
        </w:rPr>
        <w:t>ric</w:t>
      </w:r>
      <w:proofErr w:type="gramEnd"/>
      <w:r w:rsidRPr="00CC50E9">
        <w:rPr>
          <w:sz w:val="20"/>
          <w:szCs w:val="20"/>
        </w:rPr>
        <w:t xml:space="preserve"> acid was significantly higher in preeclampsia group as compared to control group</w:t>
      </w:r>
      <w:r w:rsidR="0027352D">
        <w:rPr>
          <w:rFonts w:hint="eastAsia"/>
          <w:sz w:val="20"/>
          <w:szCs w:val="20"/>
          <w:lang w:eastAsia="zh-CN"/>
        </w:rPr>
        <w:t xml:space="preserve"> </w:t>
      </w:r>
      <w:r w:rsidRPr="00CC50E9">
        <w:rPr>
          <w:sz w:val="20"/>
          <w:szCs w:val="20"/>
        </w:rPr>
        <w:t xml:space="preserve">(p&lt;0.001). </w:t>
      </w:r>
      <w:proofErr w:type="gramStart"/>
      <w:r w:rsidRPr="00CC50E9">
        <w:rPr>
          <w:sz w:val="20"/>
          <w:szCs w:val="20"/>
        </w:rPr>
        <w:t>Severity of preeclampsia (Table 2)</w:t>
      </w:r>
      <w:r w:rsidR="00CC50E9" w:rsidRPr="00CC50E9">
        <w:rPr>
          <w:sz w:val="20"/>
          <w:szCs w:val="20"/>
        </w:rPr>
        <w:t>.</w:t>
      </w:r>
      <w:proofErr w:type="gramEnd"/>
      <w:r w:rsidR="00CC50E9">
        <w:rPr>
          <w:sz w:val="20"/>
          <w:szCs w:val="20"/>
        </w:rPr>
        <w:t xml:space="preserve"> </w:t>
      </w:r>
      <w:r w:rsidR="00CC50E9" w:rsidRPr="00CC50E9">
        <w:rPr>
          <w:sz w:val="20"/>
          <w:szCs w:val="20"/>
        </w:rPr>
        <w:t>B</w:t>
      </w:r>
      <w:r w:rsidRPr="00CC50E9">
        <w:rPr>
          <w:sz w:val="20"/>
          <w:szCs w:val="20"/>
        </w:rPr>
        <w:t xml:space="preserve">ased on the criteria described in the methodology section, out of 150 cases in PE group; 57(38%) were mildly </w:t>
      </w:r>
      <w:proofErr w:type="spellStart"/>
      <w:r w:rsidRPr="00CC50E9">
        <w:rPr>
          <w:sz w:val="20"/>
          <w:szCs w:val="20"/>
        </w:rPr>
        <w:t>preeclamptic</w:t>
      </w:r>
      <w:proofErr w:type="spellEnd"/>
      <w:r w:rsidRPr="00CC50E9">
        <w:rPr>
          <w:sz w:val="20"/>
          <w:szCs w:val="20"/>
        </w:rPr>
        <w:t xml:space="preserve"> and 93 (62%) were severely </w:t>
      </w:r>
      <w:proofErr w:type="spellStart"/>
      <w:r w:rsidRPr="00CC50E9">
        <w:rPr>
          <w:sz w:val="20"/>
          <w:szCs w:val="20"/>
        </w:rPr>
        <w:t>preeclamptic</w:t>
      </w:r>
      <w:proofErr w:type="spellEnd"/>
      <w:r w:rsidRPr="00CC50E9">
        <w:rPr>
          <w:sz w:val="20"/>
          <w:szCs w:val="20"/>
        </w:rPr>
        <w:t>.</w:t>
      </w:r>
      <w:r w:rsidR="00CB1306" w:rsidRPr="00CC50E9">
        <w:rPr>
          <w:sz w:val="20"/>
          <w:szCs w:val="20"/>
        </w:rPr>
        <w:t xml:space="preserve"> A</w:t>
      </w:r>
      <w:r w:rsidRPr="00CC50E9">
        <w:rPr>
          <w:sz w:val="20"/>
          <w:szCs w:val="20"/>
        </w:rPr>
        <w:t xml:space="preserve">nalyze the platelet and uric acid parameters in the two PE group based on severity. P value of &lt; 0.005 was considered as statistically significant. Platelet count was low in patients with severe preeclampsia when compared to mild preeclampsia patients. These finding was statistically </w:t>
      </w:r>
      <w:r w:rsidRPr="00CC50E9">
        <w:rPr>
          <w:sz w:val="20"/>
          <w:szCs w:val="20"/>
        </w:rPr>
        <w:lastRenderedPageBreak/>
        <w:t>significant (p&lt;.0037)</w:t>
      </w:r>
      <w:r w:rsidR="00CC50E9" w:rsidRPr="00CC50E9">
        <w:rPr>
          <w:sz w:val="20"/>
          <w:szCs w:val="20"/>
        </w:rPr>
        <w:t>.</w:t>
      </w:r>
      <w:r w:rsidR="00CC50E9">
        <w:rPr>
          <w:sz w:val="20"/>
          <w:szCs w:val="20"/>
        </w:rPr>
        <w:t xml:space="preserve"> </w:t>
      </w:r>
      <w:r w:rsidR="00CC50E9" w:rsidRPr="00CC50E9">
        <w:rPr>
          <w:sz w:val="20"/>
          <w:szCs w:val="20"/>
        </w:rPr>
        <w:t>T</w:t>
      </w:r>
      <w:r w:rsidRPr="00CC50E9">
        <w:rPr>
          <w:sz w:val="20"/>
          <w:szCs w:val="20"/>
        </w:rPr>
        <w:t>here was increase in the PDW values with increasing severity of hypertension from mild to severe but was non-significant (p&lt;0.742). The MPV values in case of mild preeclampsia patients were high when compared to severe preeclampsia patients. However, these findings were not statistically significant (p&lt;0.359).</w:t>
      </w:r>
      <w:r w:rsidR="00CB1306" w:rsidRPr="00CC50E9">
        <w:rPr>
          <w:sz w:val="20"/>
          <w:szCs w:val="20"/>
        </w:rPr>
        <w:t xml:space="preserve"> T</w:t>
      </w:r>
      <w:r w:rsidRPr="00CC50E9">
        <w:rPr>
          <w:sz w:val="20"/>
          <w:szCs w:val="20"/>
        </w:rPr>
        <w:t xml:space="preserve">here was </w:t>
      </w:r>
      <w:r w:rsidR="00CB1306" w:rsidRPr="00CC50E9">
        <w:rPr>
          <w:sz w:val="20"/>
          <w:szCs w:val="20"/>
        </w:rPr>
        <w:t>significant increase</w:t>
      </w:r>
      <w:r w:rsidRPr="00CC50E9">
        <w:rPr>
          <w:sz w:val="20"/>
          <w:szCs w:val="20"/>
        </w:rPr>
        <w:t xml:space="preserve"> in uric acid with increasing the severity of PE (p&lt;0.001).</w:t>
      </w:r>
    </w:p>
    <w:p w:rsidR="00B118B9" w:rsidRPr="00CC50E9" w:rsidRDefault="00B118B9" w:rsidP="00CC50E9">
      <w:pPr>
        <w:pStyle w:val="Default"/>
        <w:snapToGrid w:val="0"/>
        <w:jc w:val="both"/>
        <w:rPr>
          <w:b/>
          <w:sz w:val="20"/>
          <w:szCs w:val="20"/>
        </w:rPr>
      </w:pPr>
    </w:p>
    <w:p w:rsidR="00DE3F6F" w:rsidRPr="00CC50E9" w:rsidRDefault="00CB1306" w:rsidP="00CC50E9">
      <w:pPr>
        <w:pStyle w:val="Default"/>
        <w:snapToGrid w:val="0"/>
        <w:jc w:val="both"/>
        <w:rPr>
          <w:b/>
          <w:sz w:val="20"/>
          <w:szCs w:val="20"/>
        </w:rPr>
      </w:pPr>
      <w:r w:rsidRPr="00CC50E9">
        <w:rPr>
          <w:b/>
          <w:sz w:val="20"/>
          <w:szCs w:val="20"/>
        </w:rPr>
        <w:t>4. Discussion</w:t>
      </w:r>
    </w:p>
    <w:p w:rsidR="00DE3F6F" w:rsidRPr="00CC50E9" w:rsidRDefault="00DE3F6F" w:rsidP="00CC50E9">
      <w:pPr>
        <w:pStyle w:val="Default"/>
        <w:snapToGrid w:val="0"/>
        <w:ind w:firstLine="425"/>
        <w:jc w:val="both"/>
        <w:rPr>
          <w:sz w:val="20"/>
          <w:szCs w:val="20"/>
        </w:rPr>
      </w:pPr>
      <w:r w:rsidRPr="00CC50E9">
        <w:rPr>
          <w:sz w:val="20"/>
          <w:szCs w:val="20"/>
        </w:rPr>
        <w:t>Preeclampsia is a leading cause of maternal mortality. The WHO estimates that over 100,000 women die from preeclampsia each year. Preeclampsia may lead to convulsions [</w:t>
      </w:r>
      <w:proofErr w:type="spellStart"/>
      <w:r w:rsidRPr="00CC50E9">
        <w:rPr>
          <w:sz w:val="20"/>
          <w:szCs w:val="20"/>
        </w:rPr>
        <w:t>eclampsia</w:t>
      </w:r>
      <w:proofErr w:type="spellEnd"/>
      <w:r w:rsidRPr="00CC50E9">
        <w:rPr>
          <w:sz w:val="20"/>
          <w:szCs w:val="20"/>
        </w:rPr>
        <w:t>], kidney failure, liver failure, and death of mother. It is also leading cause of both pre mature delivery and IUGR</w:t>
      </w:r>
      <w:r w:rsidRPr="00CC50E9">
        <w:rPr>
          <w:sz w:val="20"/>
          <w:szCs w:val="20"/>
          <w:vertAlign w:val="superscript"/>
        </w:rPr>
        <w:t>4</w:t>
      </w:r>
      <w:r w:rsidR="00CC50E9" w:rsidRPr="00CC50E9">
        <w:rPr>
          <w:sz w:val="20"/>
          <w:szCs w:val="20"/>
        </w:rPr>
        <w:t>.</w:t>
      </w:r>
      <w:r w:rsidR="00CC50E9">
        <w:rPr>
          <w:sz w:val="20"/>
          <w:szCs w:val="20"/>
        </w:rPr>
        <w:t xml:space="preserve"> </w:t>
      </w:r>
      <w:r w:rsidR="00CC50E9" w:rsidRPr="00CC50E9">
        <w:rPr>
          <w:sz w:val="20"/>
          <w:szCs w:val="20"/>
        </w:rPr>
        <w:t>A</w:t>
      </w:r>
      <w:r w:rsidRPr="00CC50E9">
        <w:rPr>
          <w:sz w:val="20"/>
          <w:szCs w:val="20"/>
        </w:rPr>
        <w:t xml:space="preserve"> glance at the literature reveals conflicting results over the role of platelets in diagnosing preeclampsia. Santos </w:t>
      </w:r>
      <w:r w:rsidRPr="00CC50E9">
        <w:rPr>
          <w:i/>
          <w:iCs/>
          <w:sz w:val="20"/>
          <w:szCs w:val="20"/>
        </w:rPr>
        <w:t>et al</w:t>
      </w:r>
      <w:r w:rsidRPr="00CC50E9">
        <w:rPr>
          <w:sz w:val="20"/>
          <w:szCs w:val="20"/>
        </w:rPr>
        <w:t xml:space="preserve">, found no difference in platelet count in </w:t>
      </w:r>
      <w:proofErr w:type="spellStart"/>
      <w:r w:rsidRPr="00CC50E9">
        <w:rPr>
          <w:sz w:val="20"/>
          <w:szCs w:val="20"/>
        </w:rPr>
        <w:t>normotensive</w:t>
      </w:r>
      <w:proofErr w:type="spellEnd"/>
      <w:r w:rsidRPr="00CC50E9">
        <w:rPr>
          <w:sz w:val="20"/>
          <w:szCs w:val="20"/>
        </w:rPr>
        <w:t xml:space="preserve"> and preeclampsia women. However, all other platelet indices were significantly higher in the preeclampsia</w:t>
      </w:r>
      <w:r w:rsidRPr="00CC50E9">
        <w:rPr>
          <w:sz w:val="20"/>
          <w:szCs w:val="20"/>
          <w:vertAlign w:val="superscript"/>
        </w:rPr>
        <w:t>5</w:t>
      </w:r>
      <w:r w:rsidRPr="00CC50E9">
        <w:rPr>
          <w:sz w:val="20"/>
          <w:szCs w:val="20"/>
        </w:rPr>
        <w:t>.</w:t>
      </w:r>
    </w:p>
    <w:p w:rsidR="00DE3F6F" w:rsidRPr="00CC50E9" w:rsidRDefault="00DE3F6F" w:rsidP="00CC50E9">
      <w:pPr>
        <w:pStyle w:val="Default"/>
        <w:snapToGrid w:val="0"/>
        <w:ind w:firstLine="425"/>
        <w:jc w:val="both"/>
        <w:rPr>
          <w:sz w:val="20"/>
          <w:szCs w:val="20"/>
        </w:rPr>
      </w:pPr>
      <w:proofErr w:type="spellStart"/>
      <w:r w:rsidRPr="00CC50E9">
        <w:rPr>
          <w:sz w:val="20"/>
          <w:szCs w:val="20"/>
        </w:rPr>
        <w:lastRenderedPageBreak/>
        <w:t>Ceyhan</w:t>
      </w:r>
      <w:proofErr w:type="spellEnd"/>
      <w:r w:rsidRPr="00CC50E9">
        <w:rPr>
          <w:sz w:val="20"/>
          <w:szCs w:val="20"/>
        </w:rPr>
        <w:t xml:space="preserve"> </w:t>
      </w:r>
      <w:r w:rsidRPr="00CC50E9">
        <w:rPr>
          <w:i/>
          <w:iCs/>
          <w:sz w:val="20"/>
          <w:szCs w:val="20"/>
        </w:rPr>
        <w:t>et al</w:t>
      </w:r>
      <w:r w:rsidRPr="00CC50E9">
        <w:rPr>
          <w:sz w:val="20"/>
          <w:szCs w:val="20"/>
        </w:rPr>
        <w:t xml:space="preserve"> observed no prognostic significance of complete blood count, platelet count and MPV on presence and/or severity of preeclampsia condition</w:t>
      </w:r>
      <w:r w:rsidRPr="00CC50E9">
        <w:rPr>
          <w:sz w:val="20"/>
          <w:szCs w:val="20"/>
          <w:vertAlign w:val="superscript"/>
        </w:rPr>
        <w:t>6</w:t>
      </w:r>
      <w:r w:rsidR="00CC50E9" w:rsidRPr="00CC50E9">
        <w:rPr>
          <w:sz w:val="20"/>
          <w:szCs w:val="20"/>
        </w:rPr>
        <w:t>.</w:t>
      </w:r>
      <w:r w:rsidR="00CC50E9">
        <w:rPr>
          <w:sz w:val="20"/>
          <w:szCs w:val="20"/>
        </w:rPr>
        <w:t xml:space="preserve"> </w:t>
      </w:r>
      <w:r w:rsidR="00CC50E9" w:rsidRPr="00CC50E9">
        <w:rPr>
          <w:sz w:val="20"/>
          <w:szCs w:val="20"/>
        </w:rPr>
        <w:t>H</w:t>
      </w:r>
      <w:r w:rsidRPr="00CC50E9">
        <w:rPr>
          <w:sz w:val="20"/>
          <w:szCs w:val="20"/>
        </w:rPr>
        <w:t xml:space="preserve">owever there are studies which establish significant difference in platelet count and platelet parameters in preeclampsia and </w:t>
      </w:r>
      <w:proofErr w:type="spellStart"/>
      <w:r w:rsidRPr="00CC50E9">
        <w:rPr>
          <w:sz w:val="20"/>
          <w:szCs w:val="20"/>
        </w:rPr>
        <w:t>normotensive</w:t>
      </w:r>
      <w:proofErr w:type="spellEnd"/>
      <w:r w:rsidRPr="00CC50E9">
        <w:rPr>
          <w:sz w:val="20"/>
          <w:szCs w:val="20"/>
        </w:rPr>
        <w:t xml:space="preserve"> pregnant women, thus suggesting these tests for diagnosis and predicting the severity of preeclampsia</w:t>
      </w:r>
      <w:r w:rsidR="00473C3C" w:rsidRPr="00CC50E9">
        <w:rPr>
          <w:sz w:val="20"/>
          <w:szCs w:val="20"/>
          <w:vertAlign w:val="superscript"/>
        </w:rPr>
        <w:t>4</w:t>
      </w:r>
      <w:r w:rsidR="00CC50E9" w:rsidRPr="00CC50E9">
        <w:rPr>
          <w:sz w:val="20"/>
          <w:szCs w:val="20"/>
        </w:rPr>
        <w:t>.</w:t>
      </w:r>
      <w:r w:rsidR="00CC50E9">
        <w:rPr>
          <w:sz w:val="20"/>
          <w:szCs w:val="20"/>
        </w:rPr>
        <w:t xml:space="preserve"> </w:t>
      </w:r>
      <w:r w:rsidR="00CC50E9" w:rsidRPr="00CC50E9">
        <w:rPr>
          <w:sz w:val="20"/>
          <w:szCs w:val="20"/>
        </w:rPr>
        <w:t>A</w:t>
      </w:r>
      <w:r w:rsidRPr="00CC50E9">
        <w:rPr>
          <w:sz w:val="20"/>
          <w:szCs w:val="20"/>
        </w:rPr>
        <w:t>s seen in the literature, platelet parameters in normal pregnancy show varying trends. Since platelet parameters are easily obtained in the cell counter report, they can be readily used by the clinicians in diagnosis and management of preeclampsia. Of all the hematological changes that occur in preeclampsia, change in platelet parameters are the most common hematological abnormality noted</w:t>
      </w:r>
      <w:r w:rsidR="00473C3C" w:rsidRPr="00CC50E9">
        <w:rPr>
          <w:sz w:val="20"/>
          <w:szCs w:val="20"/>
          <w:vertAlign w:val="superscript"/>
        </w:rPr>
        <w:t>7</w:t>
      </w:r>
      <w:r w:rsidRPr="00CC50E9">
        <w:rPr>
          <w:sz w:val="20"/>
          <w:szCs w:val="20"/>
        </w:rPr>
        <w:t>Other investigations are costly, unreliable and unsuitable for a routine hospital.</w:t>
      </w:r>
    </w:p>
    <w:p w:rsidR="00DE3F6F" w:rsidRPr="00CC50E9" w:rsidRDefault="00DE3F6F" w:rsidP="00CC50E9">
      <w:pPr>
        <w:pStyle w:val="Default"/>
        <w:snapToGrid w:val="0"/>
        <w:ind w:firstLine="425"/>
        <w:jc w:val="both"/>
        <w:rPr>
          <w:sz w:val="20"/>
          <w:szCs w:val="20"/>
        </w:rPr>
      </w:pPr>
      <w:r w:rsidRPr="00CC50E9">
        <w:rPr>
          <w:sz w:val="20"/>
          <w:szCs w:val="20"/>
        </w:rPr>
        <w:t>An attempt was made in the present study to determine the usefulness of platelet count, MPV and PDW</w:t>
      </w:r>
      <w:r w:rsidR="00473C3C" w:rsidRPr="00CC50E9">
        <w:rPr>
          <w:sz w:val="20"/>
          <w:szCs w:val="20"/>
        </w:rPr>
        <w:t xml:space="preserve"> and uric acid</w:t>
      </w:r>
      <w:r w:rsidRPr="00CC50E9">
        <w:rPr>
          <w:sz w:val="20"/>
          <w:szCs w:val="20"/>
        </w:rPr>
        <w:t xml:space="preserve"> in </w:t>
      </w:r>
      <w:r w:rsidR="00473C3C" w:rsidRPr="00CC50E9">
        <w:rPr>
          <w:sz w:val="20"/>
          <w:szCs w:val="20"/>
        </w:rPr>
        <w:t>prediction</w:t>
      </w:r>
      <w:r w:rsidRPr="00CC50E9">
        <w:rPr>
          <w:sz w:val="20"/>
          <w:szCs w:val="20"/>
        </w:rPr>
        <w:t xml:space="preserve"> of preeclampsia. A further attempt was made to assess whether these parameters can be used to predict the severity of preeclampsia.</w:t>
      </w:r>
    </w:p>
    <w:p w:rsidR="00DE3F6F" w:rsidRPr="00CC50E9" w:rsidRDefault="00473C3C" w:rsidP="00CC50E9">
      <w:pPr>
        <w:pStyle w:val="Default"/>
        <w:snapToGrid w:val="0"/>
        <w:ind w:firstLine="425"/>
        <w:jc w:val="both"/>
        <w:rPr>
          <w:sz w:val="20"/>
          <w:szCs w:val="20"/>
        </w:rPr>
      </w:pPr>
      <w:r w:rsidRPr="00CC50E9">
        <w:rPr>
          <w:sz w:val="20"/>
          <w:szCs w:val="20"/>
        </w:rPr>
        <w:t>60</w:t>
      </w:r>
      <w:r w:rsidR="00DE3F6F" w:rsidRPr="00CC50E9">
        <w:rPr>
          <w:sz w:val="20"/>
          <w:szCs w:val="20"/>
        </w:rPr>
        <w:t xml:space="preserve"> (</w:t>
      </w:r>
      <w:r w:rsidRPr="00CC50E9">
        <w:rPr>
          <w:sz w:val="20"/>
          <w:szCs w:val="20"/>
        </w:rPr>
        <w:t>40</w:t>
      </w:r>
      <w:r w:rsidR="00DE3F6F" w:rsidRPr="00CC50E9">
        <w:rPr>
          <w:sz w:val="20"/>
          <w:szCs w:val="20"/>
        </w:rPr>
        <w:t xml:space="preserve">%) of the total </w:t>
      </w:r>
      <w:r w:rsidRPr="00CC50E9">
        <w:rPr>
          <w:sz w:val="20"/>
          <w:szCs w:val="20"/>
        </w:rPr>
        <w:t>1</w:t>
      </w:r>
      <w:r w:rsidR="00DE3F6F" w:rsidRPr="00CC50E9">
        <w:rPr>
          <w:sz w:val="20"/>
          <w:szCs w:val="20"/>
        </w:rPr>
        <w:t xml:space="preserve">50 cases in the preeclampsia group were </w:t>
      </w:r>
      <w:proofErr w:type="spellStart"/>
      <w:r w:rsidR="00DE3F6F" w:rsidRPr="00CC50E9">
        <w:rPr>
          <w:sz w:val="20"/>
          <w:szCs w:val="20"/>
        </w:rPr>
        <w:t>primigravida</w:t>
      </w:r>
      <w:proofErr w:type="spellEnd"/>
      <w:r w:rsidR="00DE3F6F" w:rsidRPr="00CC50E9">
        <w:rPr>
          <w:sz w:val="20"/>
          <w:szCs w:val="20"/>
        </w:rPr>
        <w:t>. Similarly various studies have demonstrated bad obstetric history and previous history of hypertension as risk factors for preeclampsia</w:t>
      </w:r>
      <w:proofErr w:type="gramStart"/>
      <w:r w:rsidR="00CC50E9">
        <w:rPr>
          <w:rFonts w:hint="eastAsia"/>
          <w:sz w:val="20"/>
          <w:szCs w:val="20"/>
          <w:lang w:eastAsia="zh-CN"/>
        </w:rPr>
        <w:t>.</w:t>
      </w:r>
      <w:r w:rsidRPr="00CC50E9">
        <w:rPr>
          <w:sz w:val="20"/>
          <w:szCs w:val="20"/>
          <w:vertAlign w:val="superscript"/>
        </w:rPr>
        <w:t>(</w:t>
      </w:r>
      <w:proofErr w:type="gramEnd"/>
      <w:r w:rsidRPr="00CC50E9">
        <w:rPr>
          <w:sz w:val="20"/>
          <w:szCs w:val="20"/>
          <w:vertAlign w:val="superscript"/>
        </w:rPr>
        <w:t>8,9)</w:t>
      </w:r>
    </w:p>
    <w:p w:rsidR="002C6D50" w:rsidRPr="00CC50E9" w:rsidRDefault="00DE3F6F" w:rsidP="00CC50E9">
      <w:pPr>
        <w:pStyle w:val="Default"/>
        <w:snapToGrid w:val="0"/>
        <w:ind w:firstLine="425"/>
        <w:jc w:val="both"/>
        <w:rPr>
          <w:sz w:val="20"/>
          <w:szCs w:val="20"/>
          <w:vertAlign w:val="superscript"/>
        </w:rPr>
      </w:pPr>
      <w:r w:rsidRPr="00CC50E9">
        <w:rPr>
          <w:sz w:val="20"/>
          <w:szCs w:val="20"/>
        </w:rPr>
        <w:t xml:space="preserve">Platelet count was significantly decreased in preeclampsia patients as compared to normal pregnant controls. (Table 1) Similar findings were demonstrated by various other </w:t>
      </w:r>
      <w:proofErr w:type="gramStart"/>
      <w:r w:rsidRPr="00CC50E9">
        <w:rPr>
          <w:sz w:val="20"/>
          <w:szCs w:val="20"/>
        </w:rPr>
        <w:t>studies</w:t>
      </w:r>
      <w:r w:rsidR="00E66506" w:rsidRPr="00CC50E9">
        <w:rPr>
          <w:sz w:val="20"/>
          <w:szCs w:val="20"/>
          <w:vertAlign w:val="superscript"/>
        </w:rPr>
        <w:t>(</w:t>
      </w:r>
      <w:proofErr w:type="gramEnd"/>
      <w:r w:rsidR="00E66506" w:rsidRPr="00CC50E9">
        <w:rPr>
          <w:sz w:val="20"/>
          <w:szCs w:val="20"/>
          <w:vertAlign w:val="superscript"/>
        </w:rPr>
        <w:t>10.11.12)</w:t>
      </w:r>
      <w:r w:rsidRPr="00CC50E9">
        <w:rPr>
          <w:sz w:val="20"/>
          <w:szCs w:val="20"/>
        </w:rPr>
        <w:t xml:space="preserve"> According to the </w:t>
      </w:r>
      <w:proofErr w:type="spellStart"/>
      <w:r w:rsidRPr="00CC50E9">
        <w:rPr>
          <w:sz w:val="20"/>
          <w:szCs w:val="20"/>
        </w:rPr>
        <w:t>pathophysiology</w:t>
      </w:r>
      <w:proofErr w:type="spellEnd"/>
      <w:r w:rsidRPr="00CC50E9">
        <w:rPr>
          <w:sz w:val="20"/>
          <w:szCs w:val="20"/>
        </w:rPr>
        <w:t xml:space="preserve"> of preeclampsia, endothelial activation leads to increased platelet aggregation which in turn is responsible for </w:t>
      </w:r>
      <w:r w:rsidR="00E66506" w:rsidRPr="00CC50E9">
        <w:rPr>
          <w:sz w:val="20"/>
          <w:szCs w:val="20"/>
        </w:rPr>
        <w:t>decrease in the platelet count.</w:t>
      </w:r>
      <w:r w:rsidR="00CB1306" w:rsidRPr="00CC50E9">
        <w:rPr>
          <w:sz w:val="20"/>
          <w:szCs w:val="20"/>
        </w:rPr>
        <w:t xml:space="preserve"> </w:t>
      </w:r>
      <w:r w:rsidRPr="00CC50E9">
        <w:rPr>
          <w:sz w:val="20"/>
          <w:szCs w:val="20"/>
        </w:rPr>
        <w:t xml:space="preserve">In the present study, the platelet count decreased significantly with the </w:t>
      </w:r>
      <w:bookmarkStart w:id="0" w:name="_GoBack"/>
      <w:bookmarkEnd w:id="0"/>
      <w:r w:rsidRPr="00CC50E9">
        <w:rPr>
          <w:sz w:val="20"/>
          <w:szCs w:val="20"/>
        </w:rPr>
        <w:t xml:space="preserve">severity of preeclampsia. Similar findings were demonstrated by </w:t>
      </w:r>
      <w:proofErr w:type="spellStart"/>
      <w:r w:rsidRPr="00CC50E9">
        <w:rPr>
          <w:sz w:val="20"/>
          <w:szCs w:val="20"/>
        </w:rPr>
        <w:t>Shefali</w:t>
      </w:r>
      <w:proofErr w:type="spellEnd"/>
      <w:r w:rsidRPr="00CC50E9">
        <w:rPr>
          <w:sz w:val="20"/>
          <w:szCs w:val="20"/>
        </w:rPr>
        <w:t xml:space="preserve"> </w:t>
      </w:r>
      <w:r w:rsidRPr="00CC50E9">
        <w:rPr>
          <w:i/>
          <w:iCs/>
          <w:sz w:val="20"/>
          <w:szCs w:val="20"/>
        </w:rPr>
        <w:t>et al</w:t>
      </w:r>
      <w:r w:rsidRPr="00CC50E9">
        <w:rPr>
          <w:sz w:val="20"/>
          <w:szCs w:val="20"/>
        </w:rPr>
        <w:t xml:space="preserve"> who observed declining platelet count with severity of preeclampsia. They also noted that the decrease in platelet count was antedating significant increase in blood pressure by 4 to 6 weeks. As a result, the authors concluded that this Platelet parameter can be used to predict development of progressive hypertension in at risk patients. Due to increased consumption of platelets, bone marrow produces and release large platelets leading to increase MPV in preeclampsia. However literature reveals conflicting results regarding the relation between MPV and preeclampsia. There are studies which demonstrate increase in MPV even in healthy </w:t>
      </w:r>
      <w:proofErr w:type="gramStart"/>
      <w:r w:rsidRPr="00CC50E9">
        <w:rPr>
          <w:sz w:val="20"/>
          <w:szCs w:val="20"/>
        </w:rPr>
        <w:t>individuals</w:t>
      </w:r>
      <w:r w:rsidR="00E66506" w:rsidRPr="00CC50E9">
        <w:rPr>
          <w:sz w:val="20"/>
          <w:szCs w:val="20"/>
          <w:vertAlign w:val="superscript"/>
        </w:rPr>
        <w:t>(</w:t>
      </w:r>
      <w:proofErr w:type="gramEnd"/>
      <w:r w:rsidR="00E66506" w:rsidRPr="00CC50E9">
        <w:rPr>
          <w:sz w:val="20"/>
          <w:szCs w:val="20"/>
          <w:vertAlign w:val="superscript"/>
        </w:rPr>
        <w:t>13)</w:t>
      </w:r>
      <w:r w:rsidR="00CB1306" w:rsidRPr="00CC50E9">
        <w:rPr>
          <w:sz w:val="20"/>
          <w:szCs w:val="20"/>
        </w:rPr>
        <w:t xml:space="preserve"> </w:t>
      </w:r>
      <w:proofErr w:type="spellStart"/>
      <w:r w:rsidRPr="00CC50E9">
        <w:rPr>
          <w:sz w:val="20"/>
          <w:szCs w:val="20"/>
        </w:rPr>
        <w:t>Shefali</w:t>
      </w:r>
      <w:proofErr w:type="spellEnd"/>
      <w:r w:rsidRPr="00CC50E9">
        <w:rPr>
          <w:sz w:val="20"/>
          <w:szCs w:val="20"/>
        </w:rPr>
        <w:t xml:space="preserve"> et al., in their study described MPV as a good marker of platelet dysfunction in preeclampsia</w:t>
      </w:r>
      <w:r w:rsidR="00E66506" w:rsidRPr="00CC50E9">
        <w:rPr>
          <w:sz w:val="20"/>
          <w:szCs w:val="20"/>
          <w:vertAlign w:val="superscript"/>
        </w:rPr>
        <w:t>4</w:t>
      </w:r>
      <w:r w:rsidR="00E66506" w:rsidRPr="00CC50E9">
        <w:rPr>
          <w:sz w:val="20"/>
          <w:szCs w:val="20"/>
        </w:rPr>
        <w:t>.</w:t>
      </w:r>
      <w:r w:rsidRPr="00CC50E9">
        <w:rPr>
          <w:sz w:val="20"/>
          <w:szCs w:val="20"/>
        </w:rPr>
        <w:t xml:space="preserve"> In the present study there was no significant increase in MPV with increasing severity of preeclampsia. In the present study PDW was</w:t>
      </w:r>
      <w:r w:rsidR="0027352D">
        <w:rPr>
          <w:rFonts w:hint="eastAsia"/>
          <w:sz w:val="20"/>
          <w:szCs w:val="20"/>
          <w:lang w:eastAsia="zh-CN"/>
        </w:rPr>
        <w:t xml:space="preserve"> </w:t>
      </w:r>
      <w:proofErr w:type="spellStart"/>
      <w:proofErr w:type="gramStart"/>
      <w:r w:rsidR="00E66506" w:rsidRPr="00CC50E9">
        <w:rPr>
          <w:sz w:val="20"/>
          <w:szCs w:val="20"/>
        </w:rPr>
        <w:t>non</w:t>
      </w:r>
      <w:proofErr w:type="spellEnd"/>
      <w:proofErr w:type="gramEnd"/>
      <w:r w:rsidRPr="00CC50E9">
        <w:rPr>
          <w:sz w:val="20"/>
          <w:szCs w:val="20"/>
        </w:rPr>
        <w:t xml:space="preserve"> significantly higher in </w:t>
      </w:r>
      <w:r w:rsidRPr="00CC50E9">
        <w:rPr>
          <w:sz w:val="20"/>
          <w:szCs w:val="20"/>
        </w:rPr>
        <w:lastRenderedPageBreak/>
        <w:t xml:space="preserve">preeclampsia group than in normal control group. </w:t>
      </w:r>
      <w:r w:rsidR="00E66506" w:rsidRPr="00CC50E9">
        <w:rPr>
          <w:sz w:val="20"/>
          <w:szCs w:val="20"/>
        </w:rPr>
        <w:t>In the present study there was significant increase in uric acid in preeclampsia group compared to control group, also there was significant in</w:t>
      </w:r>
      <w:r w:rsidR="002C6D50" w:rsidRPr="00CC50E9">
        <w:rPr>
          <w:sz w:val="20"/>
          <w:szCs w:val="20"/>
        </w:rPr>
        <w:t>crease of uric acid with increasing the severity of preeclampsia. Similar findings were d</w:t>
      </w:r>
      <w:r w:rsidR="001E3DAD" w:rsidRPr="00CC50E9">
        <w:rPr>
          <w:sz w:val="20"/>
          <w:szCs w:val="20"/>
        </w:rPr>
        <w:t xml:space="preserve">emonstrated by </w:t>
      </w:r>
      <w:proofErr w:type="spellStart"/>
      <w:r w:rsidR="001E3DAD" w:rsidRPr="00CC50E9">
        <w:rPr>
          <w:sz w:val="20"/>
          <w:szCs w:val="20"/>
        </w:rPr>
        <w:t>sangeeta</w:t>
      </w:r>
      <w:proofErr w:type="spellEnd"/>
      <w:r w:rsidR="00CC50E9">
        <w:rPr>
          <w:sz w:val="20"/>
          <w:szCs w:val="20"/>
        </w:rPr>
        <w:t xml:space="preserve"> </w:t>
      </w:r>
      <w:r w:rsidR="001E3DAD" w:rsidRPr="00CC50E9">
        <w:rPr>
          <w:i/>
          <w:iCs/>
          <w:sz w:val="20"/>
          <w:szCs w:val="20"/>
        </w:rPr>
        <w:t>et al.</w:t>
      </w:r>
      <w:r w:rsidR="001E3DAD" w:rsidRPr="00CC50E9">
        <w:rPr>
          <w:sz w:val="20"/>
          <w:szCs w:val="20"/>
        </w:rPr>
        <w:t xml:space="preserve"> </w:t>
      </w:r>
      <w:r w:rsidR="002C6D50" w:rsidRPr="00CC50E9">
        <w:rPr>
          <w:sz w:val="20"/>
          <w:szCs w:val="20"/>
        </w:rPr>
        <w:t>which co</w:t>
      </w:r>
      <w:r w:rsidR="001E3DAD" w:rsidRPr="00CC50E9">
        <w:rPr>
          <w:sz w:val="20"/>
          <w:szCs w:val="20"/>
        </w:rPr>
        <w:t>n</w:t>
      </w:r>
      <w:r w:rsidR="002C6D50" w:rsidRPr="00CC50E9">
        <w:rPr>
          <w:sz w:val="20"/>
          <w:szCs w:val="20"/>
        </w:rPr>
        <w:t xml:space="preserve">cluded that </w:t>
      </w:r>
      <w:proofErr w:type="spellStart"/>
      <w:r w:rsidR="002C6D50" w:rsidRPr="00CC50E9">
        <w:rPr>
          <w:sz w:val="20"/>
          <w:szCs w:val="20"/>
        </w:rPr>
        <w:t>hyperuricemia</w:t>
      </w:r>
      <w:proofErr w:type="spellEnd"/>
      <w:r w:rsidR="002C6D50" w:rsidRPr="00CC50E9">
        <w:rPr>
          <w:sz w:val="20"/>
          <w:szCs w:val="20"/>
        </w:rPr>
        <w:t xml:space="preserve"> can be used as biomarker for prediction of preeclampsia</w:t>
      </w:r>
      <w:r w:rsidR="002C6D50" w:rsidRPr="00CC50E9">
        <w:rPr>
          <w:sz w:val="20"/>
          <w:szCs w:val="20"/>
          <w:vertAlign w:val="superscript"/>
        </w:rPr>
        <w:t>14.</w:t>
      </w:r>
    </w:p>
    <w:p w:rsidR="002C6D50" w:rsidRPr="00CC50E9" w:rsidRDefault="002C6D50" w:rsidP="00CC50E9">
      <w:pPr>
        <w:pStyle w:val="Default"/>
        <w:snapToGrid w:val="0"/>
        <w:jc w:val="both"/>
        <w:rPr>
          <w:sz w:val="20"/>
          <w:szCs w:val="20"/>
          <w:vertAlign w:val="superscript"/>
        </w:rPr>
      </w:pPr>
    </w:p>
    <w:p w:rsidR="0027352D" w:rsidRDefault="0027352D" w:rsidP="00CC50E9">
      <w:pPr>
        <w:pStyle w:val="Default"/>
        <w:snapToGrid w:val="0"/>
        <w:jc w:val="both"/>
        <w:rPr>
          <w:rFonts w:hint="eastAsia"/>
          <w:b/>
          <w:sz w:val="20"/>
          <w:szCs w:val="20"/>
          <w:lang w:eastAsia="zh-CN"/>
        </w:rPr>
      </w:pPr>
    </w:p>
    <w:p w:rsidR="002C6D50" w:rsidRPr="00CC50E9" w:rsidRDefault="00CB1306" w:rsidP="00CC50E9">
      <w:pPr>
        <w:pStyle w:val="Default"/>
        <w:snapToGrid w:val="0"/>
        <w:jc w:val="both"/>
        <w:rPr>
          <w:sz w:val="20"/>
          <w:szCs w:val="20"/>
        </w:rPr>
      </w:pPr>
      <w:r w:rsidRPr="00CC50E9">
        <w:rPr>
          <w:b/>
          <w:sz w:val="20"/>
          <w:szCs w:val="20"/>
        </w:rPr>
        <w:t>5. Conclusion</w:t>
      </w:r>
    </w:p>
    <w:p w:rsidR="002C6D50" w:rsidRPr="00CC50E9" w:rsidRDefault="002C6D50" w:rsidP="00CC50E9">
      <w:pPr>
        <w:pStyle w:val="Default"/>
        <w:snapToGrid w:val="0"/>
        <w:ind w:firstLine="425"/>
        <w:jc w:val="both"/>
        <w:rPr>
          <w:sz w:val="20"/>
          <w:szCs w:val="20"/>
        </w:rPr>
      </w:pPr>
      <w:r w:rsidRPr="00CC50E9">
        <w:rPr>
          <w:sz w:val="20"/>
          <w:szCs w:val="20"/>
        </w:rPr>
        <w:t>Platelet count and uric acid emerge as reliable indicator</w:t>
      </w:r>
      <w:r w:rsidR="006F3637" w:rsidRPr="00CC50E9">
        <w:rPr>
          <w:sz w:val="20"/>
          <w:szCs w:val="20"/>
        </w:rPr>
        <w:t>s</w:t>
      </w:r>
      <w:r w:rsidRPr="00CC50E9">
        <w:rPr>
          <w:sz w:val="20"/>
          <w:szCs w:val="20"/>
        </w:rPr>
        <w:t xml:space="preserve"> for diagnosing preeclampsia and predicting the severity of disease</w:t>
      </w:r>
      <w:r w:rsidR="00CC50E9" w:rsidRPr="00CC50E9">
        <w:rPr>
          <w:sz w:val="20"/>
          <w:szCs w:val="20"/>
        </w:rPr>
        <w:t>.</w:t>
      </w:r>
      <w:r w:rsidR="00CC50E9">
        <w:rPr>
          <w:sz w:val="20"/>
          <w:szCs w:val="20"/>
        </w:rPr>
        <w:t xml:space="preserve"> </w:t>
      </w:r>
      <w:proofErr w:type="gramStart"/>
      <w:r w:rsidR="00CC50E9" w:rsidRPr="00CC50E9">
        <w:rPr>
          <w:sz w:val="20"/>
          <w:szCs w:val="20"/>
        </w:rPr>
        <w:t>A</w:t>
      </w:r>
      <w:r w:rsidR="006F3637" w:rsidRPr="00CC50E9">
        <w:rPr>
          <w:sz w:val="20"/>
          <w:szCs w:val="20"/>
        </w:rPr>
        <w:t xml:space="preserve">lso increased MPV or </w:t>
      </w:r>
      <w:proofErr w:type="spellStart"/>
      <w:r w:rsidR="006F3637" w:rsidRPr="00CC50E9">
        <w:rPr>
          <w:sz w:val="20"/>
          <w:szCs w:val="20"/>
        </w:rPr>
        <w:t>PDWis</w:t>
      </w:r>
      <w:proofErr w:type="spellEnd"/>
      <w:r w:rsidR="006F3637" w:rsidRPr="00CC50E9">
        <w:rPr>
          <w:sz w:val="20"/>
          <w:szCs w:val="20"/>
        </w:rPr>
        <w:t xml:space="preserve"> not a significant predictor of preeclampsia in pregnancy.</w:t>
      </w:r>
      <w:proofErr w:type="gramEnd"/>
    </w:p>
    <w:p w:rsidR="006F3637" w:rsidRPr="00CC50E9" w:rsidRDefault="006F3637" w:rsidP="00CC50E9">
      <w:pPr>
        <w:pStyle w:val="Default"/>
        <w:snapToGrid w:val="0"/>
        <w:jc w:val="both"/>
        <w:rPr>
          <w:sz w:val="20"/>
          <w:szCs w:val="20"/>
        </w:rPr>
      </w:pPr>
    </w:p>
    <w:p w:rsidR="0027352D" w:rsidRDefault="0027352D" w:rsidP="00CC50E9">
      <w:pPr>
        <w:pStyle w:val="Default"/>
        <w:snapToGrid w:val="0"/>
        <w:jc w:val="both"/>
        <w:rPr>
          <w:rFonts w:hint="eastAsia"/>
          <w:b/>
          <w:sz w:val="20"/>
          <w:szCs w:val="20"/>
          <w:lang w:eastAsia="zh-CN"/>
        </w:rPr>
      </w:pPr>
    </w:p>
    <w:p w:rsidR="006F3637" w:rsidRPr="00CC50E9" w:rsidRDefault="00CB1306" w:rsidP="00CC50E9">
      <w:pPr>
        <w:pStyle w:val="Default"/>
        <w:snapToGrid w:val="0"/>
        <w:jc w:val="both"/>
        <w:rPr>
          <w:b/>
          <w:sz w:val="20"/>
          <w:szCs w:val="16"/>
        </w:rPr>
      </w:pPr>
      <w:r w:rsidRPr="00CC50E9">
        <w:rPr>
          <w:b/>
          <w:sz w:val="20"/>
          <w:szCs w:val="20"/>
        </w:rPr>
        <w:t>References</w:t>
      </w:r>
    </w:p>
    <w:p w:rsidR="006F3637" w:rsidRPr="00CC50E9" w:rsidRDefault="006F3637" w:rsidP="00CC50E9">
      <w:pPr>
        <w:pStyle w:val="Default"/>
        <w:numPr>
          <w:ilvl w:val="0"/>
          <w:numId w:val="2"/>
        </w:numPr>
        <w:snapToGrid w:val="0"/>
        <w:ind w:left="425" w:hanging="425"/>
        <w:jc w:val="both"/>
        <w:rPr>
          <w:sz w:val="20"/>
          <w:szCs w:val="16"/>
        </w:rPr>
      </w:pPr>
      <w:r w:rsidRPr="00CC50E9">
        <w:rPr>
          <w:sz w:val="20"/>
          <w:szCs w:val="16"/>
        </w:rPr>
        <w:t>Roberts JM</w:t>
      </w:r>
      <w:r w:rsidR="00CC50E9" w:rsidRPr="00CC50E9">
        <w:rPr>
          <w:sz w:val="20"/>
          <w:szCs w:val="16"/>
        </w:rPr>
        <w:t>,</w:t>
      </w:r>
      <w:r w:rsidR="00CC50E9">
        <w:rPr>
          <w:sz w:val="20"/>
          <w:szCs w:val="16"/>
        </w:rPr>
        <w:t xml:space="preserve"> </w:t>
      </w:r>
      <w:r w:rsidR="00CC50E9" w:rsidRPr="00CC50E9">
        <w:rPr>
          <w:sz w:val="20"/>
          <w:szCs w:val="16"/>
        </w:rPr>
        <w:t>C</w:t>
      </w:r>
      <w:r w:rsidRPr="00CC50E9">
        <w:rPr>
          <w:sz w:val="20"/>
          <w:szCs w:val="16"/>
        </w:rPr>
        <w:t>ooper DW. Pathogenesis and genetics of preeclampsia. Lancet 2001</w:t>
      </w:r>
      <w:proofErr w:type="gramStart"/>
      <w:r w:rsidRPr="00CC50E9">
        <w:rPr>
          <w:sz w:val="20"/>
          <w:szCs w:val="16"/>
        </w:rPr>
        <w:t>;357</w:t>
      </w:r>
      <w:proofErr w:type="gramEnd"/>
      <w:r w:rsidRPr="00CC50E9">
        <w:rPr>
          <w:sz w:val="20"/>
          <w:szCs w:val="16"/>
        </w:rPr>
        <w:t>(9249):53-56.</w:t>
      </w:r>
    </w:p>
    <w:p w:rsidR="006F3637" w:rsidRPr="00CC50E9" w:rsidRDefault="006F3637" w:rsidP="00CC50E9">
      <w:pPr>
        <w:pStyle w:val="Default"/>
        <w:numPr>
          <w:ilvl w:val="0"/>
          <w:numId w:val="2"/>
        </w:numPr>
        <w:snapToGrid w:val="0"/>
        <w:ind w:left="425" w:hanging="425"/>
        <w:jc w:val="both"/>
        <w:rPr>
          <w:sz w:val="20"/>
          <w:szCs w:val="16"/>
        </w:rPr>
      </w:pPr>
      <w:proofErr w:type="spellStart"/>
      <w:r w:rsidRPr="00CC50E9">
        <w:rPr>
          <w:sz w:val="20"/>
          <w:szCs w:val="16"/>
        </w:rPr>
        <w:t>Halligan</w:t>
      </w:r>
      <w:proofErr w:type="spellEnd"/>
      <w:r w:rsidRPr="00CC50E9">
        <w:rPr>
          <w:sz w:val="20"/>
          <w:szCs w:val="16"/>
        </w:rPr>
        <w:t xml:space="preserve"> A, </w:t>
      </w:r>
      <w:proofErr w:type="spellStart"/>
      <w:r w:rsidRPr="00CC50E9">
        <w:rPr>
          <w:sz w:val="20"/>
          <w:szCs w:val="16"/>
        </w:rPr>
        <w:t>Bonnar</w:t>
      </w:r>
      <w:proofErr w:type="spellEnd"/>
      <w:r w:rsidRPr="00CC50E9">
        <w:rPr>
          <w:sz w:val="20"/>
          <w:szCs w:val="16"/>
        </w:rPr>
        <w:t xml:space="preserve"> J, Sheppard B, et al. Haemostatic, </w:t>
      </w:r>
      <w:proofErr w:type="spellStart"/>
      <w:r w:rsidRPr="00CC50E9">
        <w:rPr>
          <w:sz w:val="20"/>
          <w:szCs w:val="16"/>
        </w:rPr>
        <w:t>fibrinolytic</w:t>
      </w:r>
      <w:proofErr w:type="spellEnd"/>
      <w:r w:rsidRPr="00CC50E9">
        <w:rPr>
          <w:sz w:val="20"/>
          <w:szCs w:val="16"/>
        </w:rPr>
        <w:t xml:space="preserve"> and endothelial variables in normal pregnancies and preeclampsia. Br J </w:t>
      </w:r>
      <w:proofErr w:type="spellStart"/>
      <w:r w:rsidRPr="00CC50E9">
        <w:rPr>
          <w:sz w:val="20"/>
          <w:szCs w:val="16"/>
        </w:rPr>
        <w:t>Obstet</w:t>
      </w:r>
      <w:proofErr w:type="spellEnd"/>
      <w:r w:rsidR="0027352D">
        <w:rPr>
          <w:rFonts w:hint="eastAsia"/>
          <w:sz w:val="20"/>
          <w:szCs w:val="16"/>
          <w:lang w:eastAsia="zh-CN"/>
        </w:rPr>
        <w:t xml:space="preserve"> </w:t>
      </w:r>
      <w:proofErr w:type="spellStart"/>
      <w:r w:rsidRPr="00CC50E9">
        <w:rPr>
          <w:sz w:val="20"/>
          <w:szCs w:val="16"/>
        </w:rPr>
        <w:t>Gynaecol</w:t>
      </w:r>
      <w:proofErr w:type="spellEnd"/>
      <w:r w:rsidRPr="00CC50E9">
        <w:rPr>
          <w:sz w:val="20"/>
          <w:szCs w:val="16"/>
        </w:rPr>
        <w:t xml:space="preserve"> 1994</w:t>
      </w:r>
      <w:proofErr w:type="gramStart"/>
      <w:r w:rsidRPr="00CC50E9">
        <w:rPr>
          <w:sz w:val="20"/>
          <w:szCs w:val="16"/>
        </w:rPr>
        <w:t>;101:488</w:t>
      </w:r>
      <w:proofErr w:type="gramEnd"/>
      <w:r w:rsidRPr="00CC50E9">
        <w:rPr>
          <w:sz w:val="20"/>
          <w:szCs w:val="16"/>
        </w:rPr>
        <w:t>.</w:t>
      </w:r>
    </w:p>
    <w:p w:rsidR="00CB1306" w:rsidRPr="00CC50E9" w:rsidRDefault="006F3637" w:rsidP="00CC50E9">
      <w:pPr>
        <w:pStyle w:val="Default"/>
        <w:numPr>
          <w:ilvl w:val="0"/>
          <w:numId w:val="2"/>
        </w:numPr>
        <w:snapToGrid w:val="0"/>
        <w:ind w:left="425" w:hanging="425"/>
        <w:jc w:val="both"/>
        <w:rPr>
          <w:sz w:val="20"/>
          <w:szCs w:val="16"/>
        </w:rPr>
      </w:pPr>
      <w:proofErr w:type="spellStart"/>
      <w:r w:rsidRPr="00CC50E9">
        <w:rPr>
          <w:sz w:val="20"/>
          <w:szCs w:val="16"/>
        </w:rPr>
        <w:t>Rosevear</w:t>
      </w:r>
      <w:proofErr w:type="spellEnd"/>
      <w:r w:rsidRPr="00CC50E9">
        <w:rPr>
          <w:sz w:val="20"/>
          <w:szCs w:val="16"/>
        </w:rPr>
        <w:t xml:space="preserve"> SK, </w:t>
      </w:r>
      <w:proofErr w:type="spellStart"/>
      <w:r w:rsidRPr="00CC50E9">
        <w:rPr>
          <w:sz w:val="20"/>
          <w:szCs w:val="16"/>
        </w:rPr>
        <w:t>Ligginis</w:t>
      </w:r>
      <w:proofErr w:type="spellEnd"/>
      <w:r w:rsidRPr="00CC50E9">
        <w:rPr>
          <w:sz w:val="20"/>
          <w:szCs w:val="16"/>
        </w:rPr>
        <w:t xml:space="preserve"> GC. Platelet dimensions in pregnancy induced hypertension. New Zealand Med J 1986</w:t>
      </w:r>
      <w:proofErr w:type="gramStart"/>
      <w:r w:rsidRPr="00CC50E9">
        <w:rPr>
          <w:sz w:val="20"/>
          <w:szCs w:val="16"/>
        </w:rPr>
        <w:t>;99</w:t>
      </w:r>
      <w:proofErr w:type="gramEnd"/>
      <w:r w:rsidRPr="00CC50E9">
        <w:rPr>
          <w:sz w:val="20"/>
          <w:szCs w:val="16"/>
        </w:rPr>
        <w:t>(802):356- 57.</w:t>
      </w:r>
    </w:p>
    <w:p w:rsidR="00CB1306" w:rsidRPr="00CC50E9" w:rsidRDefault="006F3637" w:rsidP="00CC50E9">
      <w:pPr>
        <w:pStyle w:val="Default"/>
        <w:numPr>
          <w:ilvl w:val="0"/>
          <w:numId w:val="2"/>
        </w:numPr>
        <w:snapToGrid w:val="0"/>
        <w:ind w:left="425" w:hanging="425"/>
        <w:jc w:val="both"/>
        <w:rPr>
          <w:sz w:val="20"/>
          <w:szCs w:val="16"/>
        </w:rPr>
      </w:pPr>
      <w:proofErr w:type="spellStart"/>
      <w:r w:rsidRPr="00CC50E9">
        <w:rPr>
          <w:sz w:val="20"/>
          <w:szCs w:val="16"/>
        </w:rPr>
        <w:t>Dadhich</w:t>
      </w:r>
      <w:proofErr w:type="spellEnd"/>
      <w:r w:rsidRPr="00CC50E9">
        <w:rPr>
          <w:sz w:val="20"/>
          <w:szCs w:val="16"/>
        </w:rPr>
        <w:t xml:space="preserve"> S, </w:t>
      </w:r>
      <w:proofErr w:type="spellStart"/>
      <w:r w:rsidRPr="00CC50E9">
        <w:rPr>
          <w:sz w:val="20"/>
          <w:szCs w:val="16"/>
        </w:rPr>
        <w:t>Agrawal</w:t>
      </w:r>
      <w:proofErr w:type="spellEnd"/>
      <w:r w:rsidRPr="00CC50E9">
        <w:rPr>
          <w:sz w:val="20"/>
          <w:szCs w:val="16"/>
        </w:rPr>
        <w:t xml:space="preserve"> S, </w:t>
      </w:r>
      <w:proofErr w:type="spellStart"/>
      <w:r w:rsidRPr="00CC50E9">
        <w:rPr>
          <w:sz w:val="20"/>
          <w:szCs w:val="16"/>
        </w:rPr>
        <w:t>Soni</w:t>
      </w:r>
      <w:proofErr w:type="spellEnd"/>
      <w:r w:rsidRPr="00CC50E9">
        <w:rPr>
          <w:sz w:val="20"/>
          <w:szCs w:val="16"/>
        </w:rPr>
        <w:t xml:space="preserve"> M, </w:t>
      </w:r>
      <w:proofErr w:type="spellStart"/>
      <w:r w:rsidRPr="00CC50E9">
        <w:rPr>
          <w:sz w:val="20"/>
          <w:szCs w:val="16"/>
        </w:rPr>
        <w:t>Choudhay</w:t>
      </w:r>
      <w:proofErr w:type="spellEnd"/>
      <w:r w:rsidRPr="00CC50E9">
        <w:rPr>
          <w:sz w:val="20"/>
          <w:szCs w:val="16"/>
        </w:rPr>
        <w:t xml:space="preserve"> R, Jain R, Sharma S et al (2012) Predictive value of platelet indices in development of preeclampsia. J South Asian </w:t>
      </w:r>
      <w:proofErr w:type="spellStart"/>
      <w:r w:rsidRPr="00CC50E9">
        <w:rPr>
          <w:sz w:val="20"/>
          <w:szCs w:val="16"/>
        </w:rPr>
        <w:t>Feder</w:t>
      </w:r>
      <w:proofErr w:type="spellEnd"/>
      <w:r w:rsidR="0027352D">
        <w:rPr>
          <w:rFonts w:hint="eastAsia"/>
          <w:sz w:val="20"/>
          <w:szCs w:val="16"/>
          <w:lang w:eastAsia="zh-CN"/>
        </w:rPr>
        <w:t xml:space="preserve"> </w:t>
      </w:r>
      <w:proofErr w:type="spellStart"/>
      <w:r w:rsidRPr="00CC50E9">
        <w:rPr>
          <w:sz w:val="20"/>
          <w:szCs w:val="16"/>
        </w:rPr>
        <w:t>Obst</w:t>
      </w:r>
      <w:proofErr w:type="spellEnd"/>
      <w:r w:rsidR="0027352D">
        <w:rPr>
          <w:rFonts w:hint="eastAsia"/>
          <w:sz w:val="20"/>
          <w:szCs w:val="16"/>
          <w:lang w:eastAsia="zh-CN"/>
        </w:rPr>
        <w:t xml:space="preserve"> </w:t>
      </w:r>
      <w:proofErr w:type="spellStart"/>
      <w:r w:rsidRPr="00CC50E9">
        <w:rPr>
          <w:sz w:val="20"/>
          <w:szCs w:val="16"/>
        </w:rPr>
        <w:t>Gynae</w:t>
      </w:r>
      <w:proofErr w:type="spellEnd"/>
      <w:r w:rsidRPr="00CC50E9">
        <w:rPr>
          <w:sz w:val="20"/>
          <w:szCs w:val="16"/>
        </w:rPr>
        <w:t xml:space="preserve"> 4:1721.</w:t>
      </w:r>
    </w:p>
    <w:p w:rsidR="00CB1306" w:rsidRPr="00CC50E9" w:rsidRDefault="006F3637" w:rsidP="00CC50E9">
      <w:pPr>
        <w:pStyle w:val="Default"/>
        <w:numPr>
          <w:ilvl w:val="0"/>
          <w:numId w:val="2"/>
        </w:numPr>
        <w:snapToGrid w:val="0"/>
        <w:ind w:left="425" w:hanging="425"/>
        <w:jc w:val="both"/>
        <w:rPr>
          <w:sz w:val="20"/>
          <w:szCs w:val="16"/>
        </w:rPr>
      </w:pPr>
      <w:r w:rsidRPr="00CC50E9">
        <w:rPr>
          <w:sz w:val="20"/>
          <w:szCs w:val="16"/>
        </w:rPr>
        <w:t xml:space="preserve">Santos, dos EV and José MF (2004) Measurement of platelet parameters in normal and </w:t>
      </w:r>
      <w:proofErr w:type="spellStart"/>
      <w:r w:rsidRPr="00CC50E9">
        <w:rPr>
          <w:sz w:val="20"/>
          <w:szCs w:val="16"/>
        </w:rPr>
        <w:t>preeclamptic</w:t>
      </w:r>
      <w:proofErr w:type="spellEnd"/>
      <w:r w:rsidRPr="00CC50E9">
        <w:rPr>
          <w:sz w:val="20"/>
          <w:szCs w:val="16"/>
        </w:rPr>
        <w:t xml:space="preserve"> pregnant women. Rev Bras </w:t>
      </w:r>
      <w:proofErr w:type="spellStart"/>
      <w:r w:rsidRPr="00CC50E9">
        <w:rPr>
          <w:sz w:val="20"/>
          <w:szCs w:val="16"/>
        </w:rPr>
        <w:t>Ginecol</w:t>
      </w:r>
      <w:proofErr w:type="spellEnd"/>
      <w:r w:rsidR="0027352D">
        <w:rPr>
          <w:rFonts w:hint="eastAsia"/>
          <w:sz w:val="20"/>
          <w:szCs w:val="16"/>
          <w:lang w:eastAsia="zh-CN"/>
        </w:rPr>
        <w:t xml:space="preserve"> </w:t>
      </w:r>
      <w:proofErr w:type="spellStart"/>
      <w:r w:rsidRPr="00CC50E9">
        <w:rPr>
          <w:sz w:val="20"/>
          <w:szCs w:val="16"/>
        </w:rPr>
        <w:t>Obstet</w:t>
      </w:r>
      <w:proofErr w:type="spellEnd"/>
      <w:r w:rsidRPr="00CC50E9">
        <w:rPr>
          <w:sz w:val="20"/>
          <w:szCs w:val="16"/>
        </w:rPr>
        <w:t xml:space="preserve"> 26:201-06.</w:t>
      </w:r>
    </w:p>
    <w:p w:rsidR="00CB1306" w:rsidRPr="00CC50E9" w:rsidRDefault="006F3637" w:rsidP="00CC50E9">
      <w:pPr>
        <w:pStyle w:val="Default"/>
        <w:numPr>
          <w:ilvl w:val="0"/>
          <w:numId w:val="2"/>
        </w:numPr>
        <w:snapToGrid w:val="0"/>
        <w:ind w:left="425" w:hanging="425"/>
        <w:jc w:val="both"/>
        <w:rPr>
          <w:sz w:val="20"/>
          <w:szCs w:val="16"/>
        </w:rPr>
      </w:pPr>
      <w:proofErr w:type="spellStart"/>
      <w:r w:rsidRPr="00CC50E9">
        <w:rPr>
          <w:sz w:val="20"/>
          <w:szCs w:val="16"/>
        </w:rPr>
        <w:t>Ceyhan</w:t>
      </w:r>
      <w:proofErr w:type="spellEnd"/>
      <w:r w:rsidRPr="00CC50E9">
        <w:rPr>
          <w:sz w:val="20"/>
          <w:szCs w:val="16"/>
        </w:rPr>
        <w:t xml:space="preserve"> T, </w:t>
      </w:r>
      <w:proofErr w:type="spellStart"/>
      <w:r w:rsidRPr="00CC50E9">
        <w:rPr>
          <w:sz w:val="20"/>
          <w:szCs w:val="16"/>
        </w:rPr>
        <w:t>Beyan</w:t>
      </w:r>
      <w:proofErr w:type="spellEnd"/>
      <w:r w:rsidRPr="00CC50E9">
        <w:rPr>
          <w:sz w:val="20"/>
          <w:szCs w:val="16"/>
        </w:rPr>
        <w:t xml:space="preserve"> C, </w:t>
      </w:r>
      <w:proofErr w:type="spellStart"/>
      <w:r w:rsidRPr="00CC50E9">
        <w:rPr>
          <w:sz w:val="20"/>
          <w:szCs w:val="16"/>
        </w:rPr>
        <w:t>Başer</w:t>
      </w:r>
      <w:proofErr w:type="spellEnd"/>
      <w:r w:rsidRPr="00CC50E9">
        <w:rPr>
          <w:sz w:val="20"/>
          <w:szCs w:val="16"/>
        </w:rPr>
        <w:t xml:space="preserve"> I, </w:t>
      </w:r>
      <w:proofErr w:type="spellStart"/>
      <w:r w:rsidRPr="00CC50E9">
        <w:rPr>
          <w:sz w:val="20"/>
          <w:szCs w:val="16"/>
        </w:rPr>
        <w:t>Kaptan</w:t>
      </w:r>
      <w:proofErr w:type="spellEnd"/>
      <w:r w:rsidR="0027352D">
        <w:rPr>
          <w:rFonts w:hint="eastAsia"/>
          <w:sz w:val="20"/>
          <w:szCs w:val="16"/>
          <w:lang w:eastAsia="zh-CN"/>
        </w:rPr>
        <w:t xml:space="preserve"> </w:t>
      </w:r>
      <w:r w:rsidRPr="00CC50E9">
        <w:rPr>
          <w:sz w:val="20"/>
          <w:szCs w:val="16"/>
        </w:rPr>
        <w:t xml:space="preserve">K, </w:t>
      </w:r>
      <w:proofErr w:type="spellStart"/>
      <w:r w:rsidRPr="00CC50E9">
        <w:rPr>
          <w:sz w:val="20"/>
          <w:szCs w:val="16"/>
        </w:rPr>
        <w:t>Güngör</w:t>
      </w:r>
      <w:proofErr w:type="spellEnd"/>
      <w:r w:rsidRPr="00CC50E9">
        <w:rPr>
          <w:sz w:val="20"/>
          <w:szCs w:val="16"/>
        </w:rPr>
        <w:t xml:space="preserve"> S and </w:t>
      </w:r>
      <w:proofErr w:type="spellStart"/>
      <w:r w:rsidRPr="00CC50E9">
        <w:rPr>
          <w:sz w:val="20"/>
          <w:szCs w:val="16"/>
        </w:rPr>
        <w:t>Ifran</w:t>
      </w:r>
      <w:proofErr w:type="spellEnd"/>
      <w:r w:rsidRPr="00CC50E9">
        <w:rPr>
          <w:sz w:val="20"/>
          <w:szCs w:val="16"/>
        </w:rPr>
        <w:t xml:space="preserve"> A (2006) the effect of pre-</w:t>
      </w:r>
      <w:proofErr w:type="spellStart"/>
      <w:r w:rsidRPr="00CC50E9">
        <w:rPr>
          <w:sz w:val="20"/>
          <w:szCs w:val="16"/>
        </w:rPr>
        <w:t>eclampsia</w:t>
      </w:r>
      <w:proofErr w:type="spellEnd"/>
      <w:r w:rsidRPr="00CC50E9">
        <w:rPr>
          <w:sz w:val="20"/>
          <w:szCs w:val="16"/>
        </w:rPr>
        <w:t xml:space="preserve"> on complete blood count, platelet count and mean platelet volume. Annals of Hematology 85:320-22.</w:t>
      </w:r>
    </w:p>
    <w:p w:rsidR="00CB1306" w:rsidRPr="00CC50E9" w:rsidRDefault="003D2789" w:rsidP="00CC50E9">
      <w:pPr>
        <w:pStyle w:val="Default"/>
        <w:numPr>
          <w:ilvl w:val="0"/>
          <w:numId w:val="2"/>
        </w:numPr>
        <w:snapToGrid w:val="0"/>
        <w:ind w:left="425" w:hanging="425"/>
        <w:jc w:val="both"/>
        <w:rPr>
          <w:sz w:val="20"/>
          <w:szCs w:val="16"/>
        </w:rPr>
      </w:pPr>
      <w:proofErr w:type="spellStart"/>
      <w:r w:rsidRPr="00CC50E9">
        <w:rPr>
          <w:sz w:val="20"/>
          <w:szCs w:val="16"/>
        </w:rPr>
        <w:t>Baha</w:t>
      </w:r>
      <w:proofErr w:type="spellEnd"/>
      <w:r w:rsidRPr="00CC50E9">
        <w:rPr>
          <w:sz w:val="20"/>
          <w:szCs w:val="16"/>
        </w:rPr>
        <w:t xml:space="preserve"> M </w:t>
      </w:r>
      <w:proofErr w:type="spellStart"/>
      <w:r w:rsidRPr="00CC50E9">
        <w:rPr>
          <w:sz w:val="20"/>
          <w:szCs w:val="16"/>
        </w:rPr>
        <w:t>Sibai</w:t>
      </w:r>
      <w:proofErr w:type="spellEnd"/>
      <w:r w:rsidRPr="00CC50E9">
        <w:rPr>
          <w:sz w:val="20"/>
          <w:szCs w:val="16"/>
        </w:rPr>
        <w:t xml:space="preserve"> (1996) Hypertension in pregnancy. In: S.G. </w:t>
      </w:r>
      <w:proofErr w:type="spellStart"/>
      <w:r w:rsidRPr="00CC50E9">
        <w:rPr>
          <w:sz w:val="20"/>
          <w:szCs w:val="16"/>
        </w:rPr>
        <w:t>Gabbe</w:t>
      </w:r>
      <w:proofErr w:type="spellEnd"/>
      <w:r w:rsidRPr="00CC50E9">
        <w:rPr>
          <w:sz w:val="20"/>
          <w:szCs w:val="16"/>
        </w:rPr>
        <w:t xml:space="preserve">, J.R. </w:t>
      </w:r>
      <w:proofErr w:type="spellStart"/>
      <w:r w:rsidRPr="00CC50E9">
        <w:rPr>
          <w:sz w:val="20"/>
          <w:szCs w:val="16"/>
        </w:rPr>
        <w:t>Niebyl</w:t>
      </w:r>
      <w:proofErr w:type="spellEnd"/>
      <w:r w:rsidRPr="00CC50E9">
        <w:rPr>
          <w:sz w:val="20"/>
          <w:szCs w:val="16"/>
        </w:rPr>
        <w:t>, J.L. Simpson (</w:t>
      </w:r>
      <w:proofErr w:type="spellStart"/>
      <w:proofErr w:type="gramStart"/>
      <w:r w:rsidRPr="00CC50E9">
        <w:rPr>
          <w:sz w:val="20"/>
          <w:szCs w:val="16"/>
        </w:rPr>
        <w:t>ed</w:t>
      </w:r>
      <w:proofErr w:type="spellEnd"/>
      <w:proofErr w:type="gramEnd"/>
      <w:r w:rsidRPr="00CC50E9">
        <w:rPr>
          <w:sz w:val="20"/>
          <w:szCs w:val="16"/>
        </w:rPr>
        <w:t xml:space="preserve">) </w:t>
      </w:r>
      <w:proofErr w:type="spellStart"/>
      <w:r w:rsidRPr="00CC50E9">
        <w:rPr>
          <w:sz w:val="20"/>
          <w:szCs w:val="16"/>
        </w:rPr>
        <w:t>Obst</w:t>
      </w:r>
      <w:proofErr w:type="spellEnd"/>
      <w:r w:rsidRPr="00CC50E9">
        <w:rPr>
          <w:sz w:val="20"/>
          <w:szCs w:val="16"/>
        </w:rPr>
        <w:t xml:space="preserve">. Normal and Problem of Pregnancies, 3rd </w:t>
      </w:r>
      <w:proofErr w:type="spellStart"/>
      <w:r w:rsidRPr="00CC50E9">
        <w:rPr>
          <w:sz w:val="20"/>
          <w:szCs w:val="16"/>
        </w:rPr>
        <w:t>edn</w:t>
      </w:r>
      <w:proofErr w:type="spellEnd"/>
      <w:r w:rsidRPr="00CC50E9">
        <w:rPr>
          <w:sz w:val="20"/>
          <w:szCs w:val="16"/>
        </w:rPr>
        <w:t>. Churchill Livingstone, New York, pp 935–91.</w:t>
      </w:r>
    </w:p>
    <w:p w:rsidR="00CB1306" w:rsidRPr="00CC50E9" w:rsidRDefault="003D2789" w:rsidP="00CC50E9">
      <w:pPr>
        <w:pStyle w:val="Default"/>
        <w:numPr>
          <w:ilvl w:val="0"/>
          <w:numId w:val="2"/>
        </w:numPr>
        <w:snapToGrid w:val="0"/>
        <w:ind w:left="425" w:hanging="425"/>
        <w:jc w:val="both"/>
        <w:rPr>
          <w:sz w:val="20"/>
          <w:szCs w:val="16"/>
        </w:rPr>
      </w:pPr>
      <w:proofErr w:type="spellStart"/>
      <w:r w:rsidRPr="00CC50E9">
        <w:rPr>
          <w:sz w:val="20"/>
          <w:szCs w:val="16"/>
        </w:rPr>
        <w:t>Hernández-Díaz</w:t>
      </w:r>
      <w:proofErr w:type="spellEnd"/>
      <w:r w:rsidRPr="00CC50E9">
        <w:rPr>
          <w:sz w:val="20"/>
          <w:szCs w:val="16"/>
        </w:rPr>
        <w:t xml:space="preserve"> S, </w:t>
      </w:r>
      <w:proofErr w:type="spellStart"/>
      <w:r w:rsidRPr="00CC50E9">
        <w:rPr>
          <w:sz w:val="20"/>
          <w:szCs w:val="16"/>
        </w:rPr>
        <w:t>Toh</w:t>
      </w:r>
      <w:proofErr w:type="spellEnd"/>
      <w:r w:rsidRPr="00CC50E9">
        <w:rPr>
          <w:sz w:val="20"/>
          <w:szCs w:val="16"/>
        </w:rPr>
        <w:t xml:space="preserve"> S, </w:t>
      </w:r>
      <w:proofErr w:type="spellStart"/>
      <w:r w:rsidRPr="00CC50E9">
        <w:rPr>
          <w:sz w:val="20"/>
          <w:szCs w:val="16"/>
        </w:rPr>
        <w:t>Cnattingius</w:t>
      </w:r>
      <w:proofErr w:type="spellEnd"/>
      <w:r w:rsidRPr="00CC50E9">
        <w:rPr>
          <w:sz w:val="20"/>
          <w:szCs w:val="16"/>
        </w:rPr>
        <w:t xml:space="preserve"> S (2009) Risk of </w:t>
      </w:r>
      <w:proofErr w:type="spellStart"/>
      <w:r w:rsidRPr="00CC50E9">
        <w:rPr>
          <w:sz w:val="20"/>
          <w:szCs w:val="16"/>
        </w:rPr>
        <w:t>Preclampsia</w:t>
      </w:r>
      <w:proofErr w:type="spellEnd"/>
      <w:r w:rsidRPr="00CC50E9">
        <w:rPr>
          <w:sz w:val="20"/>
          <w:szCs w:val="16"/>
        </w:rPr>
        <w:t xml:space="preserve"> in first and subsequent pregnancies: prospective cohort study. BMJ 18; 338.</w:t>
      </w:r>
    </w:p>
    <w:p w:rsidR="00CB1306" w:rsidRPr="00CC50E9" w:rsidRDefault="003D2789" w:rsidP="00CC50E9">
      <w:pPr>
        <w:pStyle w:val="Default"/>
        <w:numPr>
          <w:ilvl w:val="0"/>
          <w:numId w:val="2"/>
        </w:numPr>
        <w:snapToGrid w:val="0"/>
        <w:ind w:left="425" w:hanging="425"/>
        <w:jc w:val="both"/>
        <w:rPr>
          <w:sz w:val="20"/>
          <w:szCs w:val="16"/>
        </w:rPr>
      </w:pPr>
      <w:proofErr w:type="spellStart"/>
      <w:r w:rsidRPr="00CC50E9">
        <w:rPr>
          <w:sz w:val="20"/>
          <w:szCs w:val="16"/>
        </w:rPr>
        <w:t>Xiong</w:t>
      </w:r>
      <w:proofErr w:type="spellEnd"/>
      <w:r w:rsidRPr="00CC50E9">
        <w:rPr>
          <w:sz w:val="20"/>
          <w:szCs w:val="16"/>
        </w:rPr>
        <w:t xml:space="preserve"> X, Fraser WD, </w:t>
      </w:r>
      <w:proofErr w:type="spellStart"/>
      <w:r w:rsidRPr="00CC50E9">
        <w:rPr>
          <w:sz w:val="20"/>
          <w:szCs w:val="16"/>
        </w:rPr>
        <w:t>Demianczuk</w:t>
      </w:r>
      <w:proofErr w:type="spellEnd"/>
      <w:r w:rsidRPr="00CC50E9">
        <w:rPr>
          <w:sz w:val="20"/>
          <w:szCs w:val="16"/>
        </w:rPr>
        <w:t xml:space="preserve"> NN (2002) History of abortion, preterm, term birth, and risk of preeclampsia: a population-based study. </w:t>
      </w:r>
      <w:proofErr w:type="gramStart"/>
      <w:r w:rsidRPr="00CC50E9">
        <w:rPr>
          <w:sz w:val="20"/>
          <w:szCs w:val="16"/>
        </w:rPr>
        <w:t>Am</w:t>
      </w:r>
      <w:proofErr w:type="gramEnd"/>
      <w:r w:rsidRPr="00CC50E9">
        <w:rPr>
          <w:sz w:val="20"/>
          <w:szCs w:val="16"/>
        </w:rPr>
        <w:t xml:space="preserve"> J </w:t>
      </w:r>
      <w:proofErr w:type="spellStart"/>
      <w:r w:rsidRPr="00CC50E9">
        <w:rPr>
          <w:sz w:val="20"/>
          <w:szCs w:val="16"/>
        </w:rPr>
        <w:t>Obstet</w:t>
      </w:r>
      <w:proofErr w:type="spellEnd"/>
      <w:r w:rsidR="0027352D">
        <w:rPr>
          <w:rFonts w:hint="eastAsia"/>
          <w:sz w:val="20"/>
          <w:szCs w:val="16"/>
          <w:lang w:eastAsia="zh-CN"/>
        </w:rPr>
        <w:t xml:space="preserve"> </w:t>
      </w:r>
      <w:proofErr w:type="spellStart"/>
      <w:r w:rsidRPr="00CC50E9">
        <w:rPr>
          <w:sz w:val="20"/>
          <w:szCs w:val="16"/>
        </w:rPr>
        <w:t>Gynecol</w:t>
      </w:r>
      <w:proofErr w:type="spellEnd"/>
      <w:r w:rsidRPr="00CC50E9">
        <w:rPr>
          <w:sz w:val="20"/>
          <w:szCs w:val="16"/>
        </w:rPr>
        <w:t xml:space="preserve"> 187:1013-8.</w:t>
      </w:r>
    </w:p>
    <w:p w:rsidR="00CB1306" w:rsidRPr="00CC50E9" w:rsidRDefault="003D2789" w:rsidP="00CC50E9">
      <w:pPr>
        <w:pStyle w:val="Default"/>
        <w:numPr>
          <w:ilvl w:val="0"/>
          <w:numId w:val="2"/>
        </w:numPr>
        <w:snapToGrid w:val="0"/>
        <w:ind w:left="425" w:hanging="425"/>
        <w:jc w:val="both"/>
        <w:rPr>
          <w:sz w:val="20"/>
          <w:szCs w:val="16"/>
        </w:rPr>
      </w:pPr>
      <w:proofErr w:type="spellStart"/>
      <w:r w:rsidRPr="00CC50E9">
        <w:rPr>
          <w:sz w:val="20"/>
          <w:szCs w:val="16"/>
        </w:rPr>
        <w:lastRenderedPageBreak/>
        <w:t>Vamseedhar</w:t>
      </w:r>
      <w:proofErr w:type="spellEnd"/>
      <w:r w:rsidRPr="00CC50E9">
        <w:rPr>
          <w:sz w:val="20"/>
          <w:szCs w:val="16"/>
        </w:rPr>
        <w:t xml:space="preserve"> A, </w:t>
      </w:r>
      <w:proofErr w:type="spellStart"/>
      <w:r w:rsidRPr="00CC50E9">
        <w:rPr>
          <w:sz w:val="20"/>
          <w:szCs w:val="16"/>
        </w:rPr>
        <w:t>Srinivasa</w:t>
      </w:r>
      <w:proofErr w:type="spellEnd"/>
      <w:r w:rsidRPr="00CC50E9">
        <w:rPr>
          <w:sz w:val="20"/>
          <w:szCs w:val="16"/>
        </w:rPr>
        <w:t xml:space="preserve"> K, </w:t>
      </w:r>
      <w:proofErr w:type="spellStart"/>
      <w:r w:rsidRPr="00CC50E9">
        <w:rPr>
          <w:sz w:val="20"/>
          <w:szCs w:val="16"/>
        </w:rPr>
        <w:t>Santosh</w:t>
      </w:r>
      <w:proofErr w:type="spellEnd"/>
      <w:r w:rsidRPr="00CC50E9">
        <w:rPr>
          <w:sz w:val="20"/>
          <w:szCs w:val="16"/>
        </w:rPr>
        <w:t xml:space="preserve"> K Y, Suresh DR. (2011) Evaluation of platelet indices and platelet counts and their significance in pre-</w:t>
      </w:r>
      <w:proofErr w:type="spellStart"/>
      <w:r w:rsidRPr="00CC50E9">
        <w:rPr>
          <w:sz w:val="20"/>
          <w:szCs w:val="16"/>
        </w:rPr>
        <w:t>eclampsia</w:t>
      </w:r>
      <w:proofErr w:type="spellEnd"/>
      <w:r w:rsidRPr="00CC50E9">
        <w:rPr>
          <w:sz w:val="20"/>
          <w:szCs w:val="16"/>
        </w:rPr>
        <w:t xml:space="preserve"> and </w:t>
      </w:r>
      <w:proofErr w:type="spellStart"/>
      <w:r w:rsidRPr="00CC50E9">
        <w:rPr>
          <w:sz w:val="20"/>
          <w:szCs w:val="16"/>
        </w:rPr>
        <w:t>eclampsia</w:t>
      </w:r>
      <w:proofErr w:type="spellEnd"/>
      <w:r w:rsidRPr="00CC50E9">
        <w:rPr>
          <w:sz w:val="20"/>
          <w:szCs w:val="16"/>
        </w:rPr>
        <w:t xml:space="preserve">. </w:t>
      </w:r>
      <w:proofErr w:type="spellStart"/>
      <w:r w:rsidRPr="00CC50E9">
        <w:rPr>
          <w:sz w:val="20"/>
          <w:szCs w:val="16"/>
        </w:rPr>
        <w:t>Int</w:t>
      </w:r>
      <w:proofErr w:type="spellEnd"/>
      <w:r w:rsidRPr="00CC50E9">
        <w:rPr>
          <w:sz w:val="20"/>
          <w:szCs w:val="16"/>
        </w:rPr>
        <w:t xml:space="preserve"> J </w:t>
      </w:r>
      <w:proofErr w:type="spellStart"/>
      <w:r w:rsidRPr="00CC50E9">
        <w:rPr>
          <w:sz w:val="20"/>
          <w:szCs w:val="16"/>
        </w:rPr>
        <w:t>Biol</w:t>
      </w:r>
      <w:proofErr w:type="spellEnd"/>
      <w:r w:rsidRPr="00CC50E9">
        <w:rPr>
          <w:sz w:val="20"/>
          <w:szCs w:val="16"/>
        </w:rPr>
        <w:t xml:space="preserve"> Med Res 2:425 – 28.</w:t>
      </w:r>
    </w:p>
    <w:p w:rsidR="00CB1306" w:rsidRPr="00CC50E9" w:rsidRDefault="003D2789" w:rsidP="00CC50E9">
      <w:pPr>
        <w:pStyle w:val="Default"/>
        <w:numPr>
          <w:ilvl w:val="0"/>
          <w:numId w:val="2"/>
        </w:numPr>
        <w:snapToGrid w:val="0"/>
        <w:ind w:left="425" w:hanging="425"/>
        <w:jc w:val="both"/>
        <w:rPr>
          <w:sz w:val="20"/>
          <w:szCs w:val="16"/>
        </w:rPr>
      </w:pPr>
      <w:proofErr w:type="spellStart"/>
      <w:r w:rsidRPr="00CC50E9">
        <w:rPr>
          <w:sz w:val="20"/>
          <w:szCs w:val="16"/>
        </w:rPr>
        <w:t>Vrunda</w:t>
      </w:r>
      <w:proofErr w:type="spellEnd"/>
      <w:r w:rsidRPr="00CC50E9">
        <w:rPr>
          <w:sz w:val="20"/>
          <w:szCs w:val="16"/>
        </w:rPr>
        <w:t xml:space="preserve"> JK, </w:t>
      </w:r>
      <w:proofErr w:type="spellStart"/>
      <w:r w:rsidRPr="00CC50E9">
        <w:rPr>
          <w:sz w:val="20"/>
          <w:szCs w:val="16"/>
        </w:rPr>
        <w:t>Saila</w:t>
      </w:r>
      <w:proofErr w:type="spellEnd"/>
      <w:r w:rsidRPr="00CC50E9">
        <w:rPr>
          <w:sz w:val="20"/>
          <w:szCs w:val="16"/>
        </w:rPr>
        <w:t xml:space="preserve"> S (2004) Lowered Platelet Count. A prognostic index in pregnancy induced hypertension. J </w:t>
      </w:r>
      <w:proofErr w:type="spellStart"/>
      <w:r w:rsidRPr="00CC50E9">
        <w:rPr>
          <w:sz w:val="20"/>
          <w:szCs w:val="16"/>
        </w:rPr>
        <w:t>Obstet</w:t>
      </w:r>
      <w:proofErr w:type="spellEnd"/>
      <w:r w:rsidR="0027352D">
        <w:rPr>
          <w:rFonts w:hint="eastAsia"/>
          <w:sz w:val="20"/>
          <w:szCs w:val="16"/>
          <w:lang w:eastAsia="zh-CN"/>
        </w:rPr>
        <w:t xml:space="preserve"> </w:t>
      </w:r>
      <w:proofErr w:type="spellStart"/>
      <w:r w:rsidRPr="00CC50E9">
        <w:rPr>
          <w:sz w:val="20"/>
          <w:szCs w:val="16"/>
        </w:rPr>
        <w:t>Gynaecol</w:t>
      </w:r>
      <w:proofErr w:type="spellEnd"/>
      <w:r w:rsidR="0027352D">
        <w:rPr>
          <w:rFonts w:hint="eastAsia"/>
          <w:sz w:val="20"/>
          <w:szCs w:val="16"/>
          <w:lang w:eastAsia="zh-CN"/>
        </w:rPr>
        <w:t xml:space="preserve"> </w:t>
      </w:r>
      <w:proofErr w:type="spellStart"/>
      <w:r w:rsidRPr="00CC50E9">
        <w:rPr>
          <w:sz w:val="20"/>
          <w:szCs w:val="16"/>
        </w:rPr>
        <w:t>Ind</w:t>
      </w:r>
      <w:proofErr w:type="spellEnd"/>
      <w:r w:rsidRPr="00CC50E9">
        <w:rPr>
          <w:sz w:val="20"/>
          <w:szCs w:val="16"/>
        </w:rPr>
        <w:t xml:space="preserve"> 54:235–36.</w:t>
      </w:r>
    </w:p>
    <w:p w:rsidR="00CB1306" w:rsidRPr="00CC50E9" w:rsidRDefault="003D2789" w:rsidP="00CC50E9">
      <w:pPr>
        <w:pStyle w:val="Default"/>
        <w:numPr>
          <w:ilvl w:val="0"/>
          <w:numId w:val="2"/>
        </w:numPr>
        <w:snapToGrid w:val="0"/>
        <w:ind w:left="425" w:hanging="425"/>
        <w:jc w:val="both"/>
        <w:rPr>
          <w:sz w:val="20"/>
          <w:szCs w:val="16"/>
        </w:rPr>
      </w:pPr>
      <w:r w:rsidRPr="00CC50E9">
        <w:rPr>
          <w:sz w:val="20"/>
          <w:szCs w:val="16"/>
        </w:rPr>
        <w:t xml:space="preserve">Giles C, </w:t>
      </w:r>
      <w:proofErr w:type="spellStart"/>
      <w:r w:rsidRPr="00CC50E9">
        <w:rPr>
          <w:sz w:val="20"/>
          <w:szCs w:val="16"/>
        </w:rPr>
        <w:t>Inglis</w:t>
      </w:r>
      <w:proofErr w:type="spellEnd"/>
      <w:r w:rsidRPr="00CC50E9">
        <w:rPr>
          <w:sz w:val="20"/>
          <w:szCs w:val="16"/>
        </w:rPr>
        <w:t xml:space="preserve"> TC (1981) Thrombocytopenia and macro </w:t>
      </w:r>
      <w:proofErr w:type="spellStart"/>
      <w:r w:rsidRPr="00CC50E9">
        <w:rPr>
          <w:sz w:val="20"/>
          <w:szCs w:val="16"/>
        </w:rPr>
        <w:t>thrombocytosis</w:t>
      </w:r>
      <w:proofErr w:type="spellEnd"/>
      <w:r w:rsidRPr="00CC50E9">
        <w:rPr>
          <w:sz w:val="20"/>
          <w:szCs w:val="16"/>
        </w:rPr>
        <w:t xml:space="preserve"> in gestational hypertension. J </w:t>
      </w:r>
      <w:proofErr w:type="spellStart"/>
      <w:r w:rsidRPr="00CC50E9">
        <w:rPr>
          <w:sz w:val="20"/>
          <w:szCs w:val="16"/>
        </w:rPr>
        <w:t>Obstet</w:t>
      </w:r>
      <w:proofErr w:type="spellEnd"/>
      <w:r w:rsidR="0027352D">
        <w:rPr>
          <w:rFonts w:hint="eastAsia"/>
          <w:sz w:val="20"/>
          <w:szCs w:val="16"/>
          <w:lang w:eastAsia="zh-CN"/>
        </w:rPr>
        <w:t xml:space="preserve"> </w:t>
      </w:r>
      <w:proofErr w:type="spellStart"/>
      <w:r w:rsidRPr="00CC50E9">
        <w:rPr>
          <w:sz w:val="20"/>
          <w:szCs w:val="16"/>
        </w:rPr>
        <w:t>Gynaecol</w:t>
      </w:r>
      <w:proofErr w:type="spellEnd"/>
      <w:r w:rsidR="0027352D">
        <w:rPr>
          <w:rFonts w:hint="eastAsia"/>
          <w:sz w:val="20"/>
          <w:szCs w:val="16"/>
          <w:lang w:eastAsia="zh-CN"/>
        </w:rPr>
        <w:t xml:space="preserve"> </w:t>
      </w:r>
      <w:proofErr w:type="spellStart"/>
      <w:r w:rsidRPr="00CC50E9">
        <w:rPr>
          <w:sz w:val="20"/>
          <w:szCs w:val="16"/>
        </w:rPr>
        <w:t>Ind</w:t>
      </w:r>
      <w:proofErr w:type="spellEnd"/>
      <w:r w:rsidRPr="00CC50E9">
        <w:rPr>
          <w:sz w:val="20"/>
          <w:szCs w:val="16"/>
        </w:rPr>
        <w:t xml:space="preserve"> 88:1115–59.</w:t>
      </w:r>
    </w:p>
    <w:p w:rsidR="00CB1306" w:rsidRPr="00CC50E9" w:rsidRDefault="003D2789" w:rsidP="00CC50E9">
      <w:pPr>
        <w:pStyle w:val="Default"/>
        <w:numPr>
          <w:ilvl w:val="0"/>
          <w:numId w:val="2"/>
        </w:numPr>
        <w:snapToGrid w:val="0"/>
        <w:ind w:left="425" w:hanging="425"/>
        <w:jc w:val="both"/>
        <w:rPr>
          <w:sz w:val="20"/>
          <w:szCs w:val="16"/>
        </w:rPr>
      </w:pPr>
      <w:proofErr w:type="spellStart"/>
      <w:r w:rsidRPr="00CC50E9">
        <w:rPr>
          <w:sz w:val="20"/>
          <w:szCs w:val="16"/>
        </w:rPr>
        <w:lastRenderedPageBreak/>
        <w:t>Dogru</w:t>
      </w:r>
      <w:proofErr w:type="spellEnd"/>
      <w:r w:rsidRPr="00CC50E9">
        <w:rPr>
          <w:sz w:val="20"/>
          <w:szCs w:val="16"/>
        </w:rPr>
        <w:t xml:space="preserve"> Y H, </w:t>
      </w:r>
      <w:proofErr w:type="spellStart"/>
      <w:r w:rsidRPr="00CC50E9">
        <w:rPr>
          <w:sz w:val="20"/>
          <w:szCs w:val="16"/>
        </w:rPr>
        <w:t>Yucel</w:t>
      </w:r>
      <w:proofErr w:type="spellEnd"/>
      <w:r w:rsidRPr="00CC50E9">
        <w:rPr>
          <w:sz w:val="20"/>
          <w:szCs w:val="16"/>
        </w:rPr>
        <w:t xml:space="preserve"> N, </w:t>
      </w:r>
      <w:proofErr w:type="spellStart"/>
      <w:r w:rsidRPr="00CC50E9">
        <w:rPr>
          <w:sz w:val="20"/>
          <w:szCs w:val="16"/>
        </w:rPr>
        <w:t>Pelit</w:t>
      </w:r>
      <w:proofErr w:type="spellEnd"/>
      <w:r w:rsidRPr="00CC50E9">
        <w:rPr>
          <w:sz w:val="20"/>
          <w:szCs w:val="16"/>
        </w:rPr>
        <w:t xml:space="preserve"> CF, </w:t>
      </w:r>
      <w:proofErr w:type="spellStart"/>
      <w:r w:rsidRPr="00CC50E9">
        <w:rPr>
          <w:sz w:val="20"/>
          <w:szCs w:val="16"/>
        </w:rPr>
        <w:t>Bolat</w:t>
      </w:r>
      <w:proofErr w:type="spellEnd"/>
      <w:r w:rsidRPr="00CC50E9">
        <w:rPr>
          <w:sz w:val="20"/>
          <w:szCs w:val="16"/>
        </w:rPr>
        <w:t xml:space="preserve"> G (2011) </w:t>
      </w:r>
      <w:proofErr w:type="gramStart"/>
      <w:r w:rsidRPr="00CC50E9">
        <w:rPr>
          <w:sz w:val="20"/>
          <w:szCs w:val="16"/>
        </w:rPr>
        <w:t>The</w:t>
      </w:r>
      <w:proofErr w:type="gramEnd"/>
      <w:r w:rsidRPr="00CC50E9">
        <w:rPr>
          <w:sz w:val="20"/>
          <w:szCs w:val="16"/>
        </w:rPr>
        <w:t xml:space="preserve"> importance and evaluation of mean platelet volume on the severity of preeclampsia. Prenatal Journal 19:108-13.</w:t>
      </w:r>
    </w:p>
    <w:p w:rsidR="00CC50E9" w:rsidRPr="0027352D" w:rsidRDefault="003D2789" w:rsidP="00CC50E9">
      <w:pPr>
        <w:pStyle w:val="Default"/>
        <w:numPr>
          <w:ilvl w:val="0"/>
          <w:numId w:val="2"/>
        </w:numPr>
        <w:snapToGrid w:val="0"/>
        <w:ind w:left="425" w:hanging="425"/>
        <w:jc w:val="both"/>
        <w:rPr>
          <w:sz w:val="20"/>
          <w:szCs w:val="16"/>
          <w:lang w:eastAsia="zh-CN"/>
        </w:rPr>
      </w:pPr>
      <w:proofErr w:type="spellStart"/>
      <w:r w:rsidRPr="0027352D">
        <w:rPr>
          <w:sz w:val="20"/>
          <w:szCs w:val="16"/>
        </w:rPr>
        <w:t>Sangeeta</w:t>
      </w:r>
      <w:proofErr w:type="spellEnd"/>
      <w:r w:rsidRPr="0027352D">
        <w:rPr>
          <w:sz w:val="20"/>
          <w:szCs w:val="16"/>
        </w:rPr>
        <w:t xml:space="preserve"> N, </w:t>
      </w:r>
      <w:proofErr w:type="spellStart"/>
      <w:r w:rsidRPr="0027352D">
        <w:rPr>
          <w:sz w:val="20"/>
          <w:szCs w:val="16"/>
        </w:rPr>
        <w:t>Shainil</w:t>
      </w:r>
      <w:proofErr w:type="spellEnd"/>
      <w:r w:rsidRPr="0027352D">
        <w:rPr>
          <w:sz w:val="20"/>
          <w:szCs w:val="16"/>
        </w:rPr>
        <w:t xml:space="preserve"> L, </w:t>
      </w:r>
      <w:proofErr w:type="spellStart"/>
      <w:r w:rsidRPr="0027352D">
        <w:rPr>
          <w:sz w:val="20"/>
          <w:szCs w:val="16"/>
        </w:rPr>
        <w:t>Gomi</w:t>
      </w:r>
      <w:proofErr w:type="spellEnd"/>
      <w:r w:rsidR="0027352D" w:rsidRPr="0027352D">
        <w:rPr>
          <w:rFonts w:hint="eastAsia"/>
          <w:sz w:val="20"/>
          <w:szCs w:val="16"/>
          <w:lang w:eastAsia="zh-CN"/>
        </w:rPr>
        <w:t xml:space="preserve"> </w:t>
      </w:r>
      <w:r w:rsidRPr="0027352D">
        <w:rPr>
          <w:sz w:val="20"/>
          <w:szCs w:val="16"/>
        </w:rPr>
        <w:t>B</w:t>
      </w:r>
      <w:r w:rsidR="00CC50E9" w:rsidRPr="0027352D">
        <w:rPr>
          <w:sz w:val="20"/>
          <w:szCs w:val="16"/>
        </w:rPr>
        <w:t>,</w:t>
      </w:r>
      <w:r w:rsidRPr="0027352D">
        <w:rPr>
          <w:sz w:val="20"/>
          <w:szCs w:val="16"/>
        </w:rPr>
        <w:t xml:space="preserve"> 2013</w:t>
      </w:r>
      <w:r w:rsidR="00CC50E9" w:rsidRPr="0027352D">
        <w:rPr>
          <w:sz w:val="20"/>
          <w:szCs w:val="16"/>
        </w:rPr>
        <w:t>: s</w:t>
      </w:r>
      <w:r w:rsidRPr="0027352D">
        <w:rPr>
          <w:sz w:val="20"/>
          <w:szCs w:val="16"/>
        </w:rPr>
        <w:t xml:space="preserve">erum uric acid and </w:t>
      </w:r>
      <w:proofErr w:type="spellStart"/>
      <w:r w:rsidRPr="0027352D">
        <w:rPr>
          <w:sz w:val="20"/>
          <w:szCs w:val="16"/>
        </w:rPr>
        <w:t>homocystien</w:t>
      </w:r>
      <w:proofErr w:type="spellEnd"/>
      <w:r w:rsidRPr="0027352D">
        <w:rPr>
          <w:sz w:val="20"/>
          <w:szCs w:val="16"/>
        </w:rPr>
        <w:t xml:space="preserve"> as </w:t>
      </w:r>
      <w:proofErr w:type="spellStart"/>
      <w:r w:rsidRPr="0027352D">
        <w:rPr>
          <w:sz w:val="20"/>
          <w:szCs w:val="16"/>
        </w:rPr>
        <w:t>preditors</w:t>
      </w:r>
      <w:proofErr w:type="spellEnd"/>
      <w:r w:rsidRPr="0027352D">
        <w:rPr>
          <w:sz w:val="20"/>
          <w:szCs w:val="16"/>
        </w:rPr>
        <w:t xml:space="preserve"> of preeclampsia. Dept of </w:t>
      </w:r>
      <w:proofErr w:type="spellStart"/>
      <w:r w:rsidRPr="0027352D">
        <w:rPr>
          <w:sz w:val="20"/>
          <w:szCs w:val="16"/>
        </w:rPr>
        <w:t>obstet</w:t>
      </w:r>
      <w:proofErr w:type="spellEnd"/>
      <w:r w:rsidRPr="0027352D">
        <w:rPr>
          <w:sz w:val="20"/>
          <w:szCs w:val="16"/>
        </w:rPr>
        <w:t xml:space="preserve"> and </w:t>
      </w:r>
      <w:proofErr w:type="spellStart"/>
      <w:r w:rsidRPr="0027352D">
        <w:rPr>
          <w:sz w:val="20"/>
          <w:szCs w:val="16"/>
        </w:rPr>
        <w:t>gyn</w:t>
      </w:r>
      <w:proofErr w:type="spellEnd"/>
      <w:r w:rsidRPr="0027352D">
        <w:rPr>
          <w:sz w:val="20"/>
          <w:szCs w:val="16"/>
        </w:rPr>
        <w:t xml:space="preserve"> RIMS, India</w:t>
      </w:r>
      <w:r w:rsidR="00CC50E9" w:rsidRPr="0027352D">
        <w:rPr>
          <w:sz w:val="20"/>
          <w:szCs w:val="16"/>
        </w:rPr>
        <w:t>.</w:t>
      </w:r>
      <w:r w:rsidR="0027352D">
        <w:rPr>
          <w:rFonts w:hint="eastAsia"/>
          <w:sz w:val="20"/>
          <w:szCs w:val="16"/>
          <w:lang w:eastAsia="zh-CN"/>
        </w:rPr>
        <w:t xml:space="preserve"> </w:t>
      </w:r>
      <w:r w:rsidRPr="0027352D">
        <w:rPr>
          <w:sz w:val="20"/>
          <w:szCs w:val="16"/>
        </w:rPr>
        <w:t>J diabetes metabolism 4:259.</w:t>
      </w:r>
    </w:p>
    <w:p w:rsidR="00CC50E9" w:rsidRPr="00CC50E9" w:rsidRDefault="00CC50E9" w:rsidP="00CC50E9">
      <w:pPr>
        <w:pStyle w:val="Default"/>
        <w:snapToGrid w:val="0"/>
        <w:ind w:left="425" w:hanging="425"/>
        <w:jc w:val="both"/>
        <w:rPr>
          <w:sz w:val="20"/>
          <w:szCs w:val="16"/>
        </w:rPr>
        <w:sectPr w:rsidR="00CC50E9" w:rsidRPr="00CC50E9" w:rsidSect="00CC50E9">
          <w:headerReference w:type="default" r:id="rId16"/>
          <w:footerReference w:type="default" r:id="rId17"/>
          <w:type w:val="continuous"/>
          <w:pgSz w:w="12240" w:h="15840" w:code="1"/>
          <w:pgMar w:top="1440" w:right="1440" w:bottom="1440" w:left="1440" w:header="720" w:footer="720" w:gutter="0"/>
          <w:cols w:num="2" w:space="550"/>
          <w:docGrid w:linePitch="360"/>
        </w:sectPr>
      </w:pPr>
    </w:p>
    <w:p w:rsidR="00CC50E9" w:rsidRPr="00CC50E9" w:rsidRDefault="00CC50E9" w:rsidP="00CC50E9">
      <w:pPr>
        <w:pStyle w:val="Default"/>
        <w:snapToGrid w:val="0"/>
        <w:ind w:left="425" w:hanging="425"/>
        <w:jc w:val="both"/>
        <w:rPr>
          <w:sz w:val="20"/>
          <w:szCs w:val="16"/>
        </w:rPr>
      </w:pPr>
    </w:p>
    <w:p w:rsidR="00CC50E9" w:rsidRPr="00CC50E9" w:rsidRDefault="00CC50E9" w:rsidP="00CC50E9">
      <w:pPr>
        <w:pStyle w:val="Default"/>
        <w:snapToGrid w:val="0"/>
        <w:ind w:left="425" w:hanging="425"/>
        <w:jc w:val="both"/>
        <w:rPr>
          <w:sz w:val="20"/>
          <w:szCs w:val="20"/>
          <w:lang w:eastAsia="zh-CN"/>
        </w:rPr>
      </w:pPr>
    </w:p>
    <w:p w:rsidR="00CC50E9" w:rsidRPr="00CC50E9" w:rsidRDefault="00CC50E9" w:rsidP="00CC50E9">
      <w:pPr>
        <w:pStyle w:val="Default"/>
        <w:snapToGrid w:val="0"/>
        <w:ind w:left="425" w:hanging="425"/>
        <w:jc w:val="both"/>
        <w:rPr>
          <w:sz w:val="20"/>
          <w:szCs w:val="20"/>
          <w:lang w:eastAsia="zh-CN"/>
        </w:rPr>
      </w:pPr>
    </w:p>
    <w:p w:rsidR="00CB1306" w:rsidRPr="00CC50E9" w:rsidRDefault="00CC50E9" w:rsidP="00CC50E9">
      <w:pPr>
        <w:pStyle w:val="Default"/>
        <w:snapToGrid w:val="0"/>
        <w:ind w:left="425" w:hanging="425"/>
        <w:jc w:val="both"/>
        <w:rPr>
          <w:sz w:val="20"/>
          <w:szCs w:val="20"/>
        </w:rPr>
      </w:pPr>
      <w:r w:rsidRPr="00CC50E9">
        <w:rPr>
          <w:sz w:val="20"/>
          <w:szCs w:val="20"/>
        </w:rPr>
        <w:t>1/</w:t>
      </w:r>
      <w:r w:rsidRPr="00CC50E9">
        <w:rPr>
          <w:rFonts w:hint="eastAsia"/>
          <w:sz w:val="20"/>
          <w:szCs w:val="20"/>
          <w:lang w:eastAsia="zh-CN"/>
        </w:rPr>
        <w:t>8</w:t>
      </w:r>
      <w:r w:rsidRPr="00CC50E9">
        <w:rPr>
          <w:sz w:val="20"/>
          <w:szCs w:val="20"/>
        </w:rPr>
        <w:t>/2017</w:t>
      </w:r>
    </w:p>
    <w:sectPr w:rsidR="00CB1306" w:rsidRPr="00CC50E9" w:rsidSect="003E109E">
      <w:headerReference w:type="default" r:id="rId18"/>
      <w:footerReference w:type="default" r:id="rId1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9D" w:rsidRDefault="0086619D" w:rsidP="00755930">
      <w:pPr>
        <w:spacing w:after="0" w:line="240" w:lineRule="auto"/>
      </w:pPr>
      <w:r>
        <w:separator/>
      </w:r>
    </w:p>
  </w:endnote>
  <w:endnote w:type="continuationSeparator" w:id="0">
    <w:p w:rsidR="0086619D" w:rsidRDefault="0086619D" w:rsidP="00755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E9" w:rsidRPr="00CC50E9" w:rsidRDefault="0032083E" w:rsidP="00CC50E9">
    <w:pPr>
      <w:spacing w:after="0" w:line="240" w:lineRule="auto"/>
      <w:jc w:val="center"/>
      <w:rPr>
        <w:rFonts w:ascii="Times New Roman" w:hAnsi="Times New Roman" w:cs="Times New Roman"/>
        <w:sz w:val="20"/>
      </w:rPr>
    </w:pPr>
    <w:r w:rsidRPr="00CC50E9">
      <w:rPr>
        <w:rFonts w:ascii="Times New Roman" w:hAnsi="Times New Roman" w:cs="Times New Roman"/>
        <w:sz w:val="20"/>
      </w:rPr>
      <w:fldChar w:fldCharType="begin"/>
    </w:r>
    <w:r w:rsidR="00CC50E9" w:rsidRPr="00CC50E9">
      <w:rPr>
        <w:rFonts w:ascii="Times New Roman" w:hAnsi="Times New Roman" w:cs="Times New Roman"/>
        <w:sz w:val="20"/>
      </w:rPr>
      <w:instrText xml:space="preserve"> page </w:instrText>
    </w:r>
    <w:r w:rsidRPr="00CC50E9">
      <w:rPr>
        <w:rFonts w:ascii="Times New Roman" w:hAnsi="Times New Roman" w:cs="Times New Roman"/>
        <w:sz w:val="20"/>
      </w:rPr>
      <w:fldChar w:fldCharType="separate"/>
    </w:r>
    <w:r w:rsidR="0027352D">
      <w:rPr>
        <w:rFonts w:ascii="Times New Roman" w:hAnsi="Times New Roman" w:cs="Times New Roman"/>
        <w:noProof/>
        <w:sz w:val="20"/>
      </w:rPr>
      <w:t>77</w:t>
    </w:r>
    <w:r w:rsidRPr="00CC50E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E9" w:rsidRPr="00CC50E9" w:rsidRDefault="0032083E" w:rsidP="00CC50E9">
    <w:pPr>
      <w:spacing w:after="0" w:line="240" w:lineRule="auto"/>
      <w:jc w:val="center"/>
      <w:rPr>
        <w:rFonts w:ascii="Times New Roman" w:hAnsi="Times New Roman" w:cs="Times New Roman"/>
        <w:sz w:val="20"/>
      </w:rPr>
    </w:pPr>
    <w:r w:rsidRPr="00CC50E9">
      <w:rPr>
        <w:rFonts w:ascii="Times New Roman" w:hAnsi="Times New Roman" w:cs="Times New Roman"/>
        <w:sz w:val="20"/>
      </w:rPr>
      <w:fldChar w:fldCharType="begin"/>
    </w:r>
    <w:r w:rsidR="00CC50E9" w:rsidRPr="00CC50E9">
      <w:rPr>
        <w:rFonts w:ascii="Times New Roman" w:hAnsi="Times New Roman" w:cs="Times New Roman"/>
        <w:sz w:val="20"/>
      </w:rPr>
      <w:instrText xml:space="preserve"> page </w:instrText>
    </w:r>
    <w:r w:rsidRPr="00CC50E9">
      <w:rPr>
        <w:rFonts w:ascii="Times New Roman" w:hAnsi="Times New Roman" w:cs="Times New Roman"/>
        <w:sz w:val="20"/>
      </w:rPr>
      <w:fldChar w:fldCharType="separate"/>
    </w:r>
    <w:r w:rsidR="0027352D">
      <w:rPr>
        <w:rFonts w:ascii="Times New Roman" w:hAnsi="Times New Roman" w:cs="Times New Roman"/>
        <w:noProof/>
        <w:sz w:val="20"/>
      </w:rPr>
      <w:t>78</w:t>
    </w:r>
    <w:r w:rsidRPr="00CC50E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E9" w:rsidRPr="00CC50E9" w:rsidRDefault="0032083E" w:rsidP="00CC50E9">
    <w:pPr>
      <w:spacing w:after="0" w:line="240" w:lineRule="auto"/>
      <w:jc w:val="center"/>
      <w:rPr>
        <w:rFonts w:ascii="Times New Roman" w:hAnsi="Times New Roman" w:cs="Times New Roman"/>
        <w:sz w:val="20"/>
      </w:rPr>
    </w:pPr>
    <w:r w:rsidRPr="00CC50E9">
      <w:rPr>
        <w:rFonts w:ascii="Times New Roman" w:hAnsi="Times New Roman" w:cs="Times New Roman"/>
        <w:sz w:val="20"/>
      </w:rPr>
      <w:fldChar w:fldCharType="begin"/>
    </w:r>
    <w:r w:rsidR="00CC50E9" w:rsidRPr="00CC50E9">
      <w:rPr>
        <w:rFonts w:ascii="Times New Roman" w:hAnsi="Times New Roman" w:cs="Times New Roman"/>
        <w:sz w:val="20"/>
      </w:rPr>
      <w:instrText xml:space="preserve"> page </w:instrText>
    </w:r>
    <w:r w:rsidRPr="00CC50E9">
      <w:rPr>
        <w:rFonts w:ascii="Times New Roman" w:hAnsi="Times New Roman" w:cs="Times New Roman"/>
        <w:sz w:val="20"/>
      </w:rPr>
      <w:fldChar w:fldCharType="separate"/>
    </w:r>
    <w:r w:rsidR="00CC50E9">
      <w:rPr>
        <w:rFonts w:ascii="Times New Roman" w:hAnsi="Times New Roman" w:cs="Times New Roman"/>
        <w:noProof/>
        <w:sz w:val="20"/>
      </w:rPr>
      <w:t>1</w:t>
    </w:r>
    <w:r w:rsidRPr="00CC50E9">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E9" w:rsidRPr="00CC50E9" w:rsidRDefault="0032083E" w:rsidP="00CC50E9">
    <w:pPr>
      <w:spacing w:after="0" w:line="240" w:lineRule="auto"/>
      <w:jc w:val="center"/>
      <w:rPr>
        <w:rFonts w:ascii="Times New Roman" w:hAnsi="Times New Roman" w:cs="Times New Roman"/>
        <w:sz w:val="20"/>
      </w:rPr>
    </w:pPr>
    <w:r w:rsidRPr="00CC50E9">
      <w:rPr>
        <w:rFonts w:ascii="Times New Roman" w:hAnsi="Times New Roman" w:cs="Times New Roman"/>
        <w:sz w:val="20"/>
      </w:rPr>
      <w:fldChar w:fldCharType="begin"/>
    </w:r>
    <w:r w:rsidR="00CC50E9" w:rsidRPr="00CC50E9">
      <w:rPr>
        <w:rFonts w:ascii="Times New Roman" w:hAnsi="Times New Roman" w:cs="Times New Roman"/>
        <w:sz w:val="20"/>
      </w:rPr>
      <w:instrText xml:space="preserve"> page </w:instrText>
    </w:r>
    <w:r w:rsidRPr="00CC50E9">
      <w:rPr>
        <w:rFonts w:ascii="Times New Roman" w:hAnsi="Times New Roman" w:cs="Times New Roman"/>
        <w:sz w:val="20"/>
      </w:rPr>
      <w:fldChar w:fldCharType="separate"/>
    </w:r>
    <w:r w:rsidR="0027352D">
      <w:rPr>
        <w:rFonts w:ascii="Times New Roman" w:hAnsi="Times New Roman" w:cs="Times New Roman"/>
        <w:noProof/>
        <w:sz w:val="20"/>
      </w:rPr>
      <w:t>80</w:t>
    </w:r>
    <w:r w:rsidRPr="00CC50E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6D5" w:rsidRPr="00CC50E9" w:rsidRDefault="0032083E" w:rsidP="00CC50E9">
    <w:pPr>
      <w:spacing w:after="0" w:line="240" w:lineRule="auto"/>
      <w:jc w:val="center"/>
      <w:rPr>
        <w:rFonts w:ascii="Times New Roman" w:hAnsi="Times New Roman" w:cs="Times New Roman"/>
        <w:sz w:val="20"/>
      </w:rPr>
    </w:pPr>
    <w:r w:rsidRPr="00CC50E9">
      <w:rPr>
        <w:rFonts w:ascii="Times New Roman" w:hAnsi="Times New Roman" w:cs="Times New Roman"/>
        <w:sz w:val="20"/>
      </w:rPr>
      <w:fldChar w:fldCharType="begin"/>
    </w:r>
    <w:r w:rsidR="00CC50E9" w:rsidRPr="00CC50E9">
      <w:rPr>
        <w:rFonts w:ascii="Times New Roman" w:hAnsi="Times New Roman" w:cs="Times New Roman"/>
        <w:sz w:val="20"/>
      </w:rPr>
      <w:instrText xml:space="preserve"> page </w:instrText>
    </w:r>
    <w:r w:rsidRPr="00CC50E9">
      <w:rPr>
        <w:rFonts w:ascii="Times New Roman" w:hAnsi="Times New Roman" w:cs="Times New Roman"/>
        <w:sz w:val="20"/>
      </w:rPr>
      <w:fldChar w:fldCharType="separate"/>
    </w:r>
    <w:r w:rsidR="00CC50E9">
      <w:rPr>
        <w:rFonts w:ascii="Times New Roman" w:hAnsi="Times New Roman" w:cs="Times New Roman"/>
        <w:noProof/>
        <w:sz w:val="20"/>
      </w:rPr>
      <w:t>4</w:t>
    </w:r>
    <w:r w:rsidRPr="00CC50E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9D" w:rsidRDefault="0086619D" w:rsidP="00755930">
      <w:pPr>
        <w:spacing w:after="0" w:line="240" w:lineRule="auto"/>
      </w:pPr>
      <w:r>
        <w:separator/>
      </w:r>
    </w:p>
  </w:footnote>
  <w:footnote w:type="continuationSeparator" w:id="0">
    <w:p w:rsidR="0086619D" w:rsidRDefault="0086619D" w:rsidP="007559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E9" w:rsidRPr="00CC50E9" w:rsidRDefault="00CC50E9" w:rsidP="00CC50E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C50E9">
      <w:rPr>
        <w:rFonts w:ascii="Times New Roman" w:hAnsi="Times New Roman" w:cs="Times New Roman" w:hint="eastAsia"/>
        <w:sz w:val="20"/>
        <w:szCs w:val="20"/>
      </w:rPr>
      <w:tab/>
    </w:r>
    <w:r w:rsidRPr="00CC50E9">
      <w:rPr>
        <w:rFonts w:ascii="Times New Roman" w:hAnsi="Times New Roman" w:cs="Times New Roman"/>
        <w:sz w:val="20"/>
        <w:szCs w:val="20"/>
      </w:rPr>
      <w:t>New York Science Journal 201</w:t>
    </w:r>
    <w:r w:rsidRPr="00CC50E9">
      <w:rPr>
        <w:rFonts w:ascii="Times New Roman" w:hAnsi="Times New Roman" w:cs="Times New Roman" w:hint="eastAsia"/>
        <w:sz w:val="20"/>
        <w:szCs w:val="20"/>
      </w:rPr>
      <w:t>7</w:t>
    </w:r>
    <w:proofErr w:type="gramStart"/>
    <w:r w:rsidRPr="00CC50E9">
      <w:rPr>
        <w:rFonts w:ascii="Times New Roman" w:hAnsi="Times New Roman" w:cs="Times New Roman"/>
        <w:sz w:val="20"/>
        <w:szCs w:val="20"/>
      </w:rPr>
      <w:t>;</w:t>
    </w:r>
    <w:r w:rsidRPr="00CC50E9">
      <w:rPr>
        <w:rFonts w:ascii="Times New Roman" w:hAnsi="Times New Roman" w:cs="Times New Roman" w:hint="eastAsia"/>
        <w:sz w:val="20"/>
        <w:szCs w:val="20"/>
      </w:rPr>
      <w:t>10</w:t>
    </w:r>
    <w:proofErr w:type="gramEnd"/>
    <w:r w:rsidRPr="00CC50E9">
      <w:rPr>
        <w:rFonts w:ascii="Times New Roman" w:hAnsi="Times New Roman" w:cs="Times New Roman"/>
        <w:sz w:val="20"/>
        <w:szCs w:val="20"/>
      </w:rPr>
      <w:t>(</w:t>
    </w:r>
    <w:r w:rsidRPr="00CC50E9">
      <w:rPr>
        <w:rFonts w:ascii="Times New Roman" w:hAnsi="Times New Roman" w:cs="Times New Roman" w:hint="eastAsia"/>
        <w:sz w:val="20"/>
        <w:szCs w:val="20"/>
      </w:rPr>
      <w:t>1</w:t>
    </w:r>
    <w:r w:rsidRPr="00CC50E9">
      <w:rPr>
        <w:rFonts w:ascii="Times New Roman" w:hAnsi="Times New Roman" w:cs="Times New Roman"/>
        <w:sz w:val="20"/>
        <w:szCs w:val="20"/>
      </w:rPr>
      <w:t>)</w:t>
    </w:r>
    <w:r w:rsidRPr="00CC50E9">
      <w:rPr>
        <w:rFonts w:ascii="Times New Roman" w:hAnsi="Times New Roman" w:cs="Times New Roman"/>
        <w:iCs/>
        <w:sz w:val="20"/>
        <w:szCs w:val="20"/>
      </w:rPr>
      <w:t xml:space="preserve">     </w:t>
    </w:r>
    <w:r w:rsidRPr="00CC50E9">
      <w:rPr>
        <w:rFonts w:ascii="Times New Roman" w:hAnsi="Times New Roman" w:cs="Times New Roman" w:hint="eastAsia"/>
        <w:iCs/>
        <w:sz w:val="20"/>
        <w:szCs w:val="20"/>
      </w:rPr>
      <w:tab/>
    </w:r>
    <w:r w:rsidRPr="00CC50E9">
      <w:rPr>
        <w:rFonts w:ascii="Times New Roman" w:hAnsi="Times New Roman" w:cs="Times New Roman"/>
        <w:iCs/>
        <w:sz w:val="20"/>
        <w:szCs w:val="20"/>
      </w:rPr>
      <w:t xml:space="preserve"> </w:t>
    </w:r>
    <w:r w:rsidRPr="00CC50E9">
      <w:rPr>
        <w:rFonts w:ascii="Times New Roman" w:hAnsi="Times New Roman" w:cs="Times New Roman" w:hint="eastAsia"/>
        <w:iCs/>
        <w:sz w:val="20"/>
        <w:szCs w:val="20"/>
      </w:rPr>
      <w:t xml:space="preserve"> </w:t>
    </w:r>
    <w:r w:rsidRPr="00CC50E9">
      <w:rPr>
        <w:rFonts w:ascii="Times New Roman" w:hAnsi="Times New Roman" w:cs="Times New Roman"/>
        <w:iCs/>
        <w:sz w:val="20"/>
        <w:szCs w:val="20"/>
      </w:rPr>
      <w:t xml:space="preserve">   </w:t>
    </w:r>
    <w:hyperlink r:id="rId1" w:history="1">
      <w:r w:rsidRPr="00CC50E9">
        <w:rPr>
          <w:rStyle w:val="Hyperlink"/>
          <w:rFonts w:ascii="Times New Roman" w:hAnsi="Times New Roman" w:cs="Times New Roman"/>
          <w:color w:val="0000FF"/>
          <w:sz w:val="20"/>
          <w:szCs w:val="20"/>
        </w:rPr>
        <w:t>http://www.sciencepub.net/newyork</w:t>
      </w:r>
    </w:hyperlink>
  </w:p>
  <w:p w:rsidR="00CC50E9" w:rsidRPr="00CC50E9" w:rsidRDefault="00CC50E9" w:rsidP="00CC50E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E9" w:rsidRPr="00CC50E9" w:rsidRDefault="00CC50E9" w:rsidP="00CC50E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C50E9">
      <w:rPr>
        <w:rFonts w:ascii="Times New Roman" w:hAnsi="Times New Roman" w:cs="Times New Roman" w:hint="eastAsia"/>
        <w:sz w:val="20"/>
        <w:szCs w:val="20"/>
      </w:rPr>
      <w:tab/>
    </w:r>
    <w:r w:rsidRPr="00CC50E9">
      <w:rPr>
        <w:rFonts w:ascii="Times New Roman" w:hAnsi="Times New Roman" w:cs="Times New Roman"/>
        <w:sz w:val="20"/>
        <w:szCs w:val="20"/>
      </w:rPr>
      <w:t>New York Science Journal 201</w:t>
    </w:r>
    <w:r w:rsidRPr="00CC50E9">
      <w:rPr>
        <w:rFonts w:ascii="Times New Roman" w:hAnsi="Times New Roman" w:cs="Times New Roman" w:hint="eastAsia"/>
        <w:sz w:val="20"/>
        <w:szCs w:val="20"/>
      </w:rPr>
      <w:t>7</w:t>
    </w:r>
    <w:proofErr w:type="gramStart"/>
    <w:r w:rsidRPr="00CC50E9">
      <w:rPr>
        <w:rFonts w:ascii="Times New Roman" w:hAnsi="Times New Roman" w:cs="Times New Roman"/>
        <w:sz w:val="20"/>
        <w:szCs w:val="20"/>
      </w:rPr>
      <w:t>;</w:t>
    </w:r>
    <w:r w:rsidRPr="00CC50E9">
      <w:rPr>
        <w:rFonts w:ascii="Times New Roman" w:hAnsi="Times New Roman" w:cs="Times New Roman" w:hint="eastAsia"/>
        <w:sz w:val="20"/>
        <w:szCs w:val="20"/>
      </w:rPr>
      <w:t>10</w:t>
    </w:r>
    <w:proofErr w:type="gramEnd"/>
    <w:r w:rsidRPr="00CC50E9">
      <w:rPr>
        <w:rFonts w:ascii="Times New Roman" w:hAnsi="Times New Roman" w:cs="Times New Roman"/>
        <w:sz w:val="20"/>
        <w:szCs w:val="20"/>
      </w:rPr>
      <w:t>(</w:t>
    </w:r>
    <w:r w:rsidRPr="00CC50E9">
      <w:rPr>
        <w:rFonts w:ascii="Times New Roman" w:hAnsi="Times New Roman" w:cs="Times New Roman" w:hint="eastAsia"/>
        <w:sz w:val="20"/>
        <w:szCs w:val="20"/>
      </w:rPr>
      <w:t>1</w:t>
    </w:r>
    <w:r w:rsidRPr="00CC50E9">
      <w:rPr>
        <w:rFonts w:ascii="Times New Roman" w:hAnsi="Times New Roman" w:cs="Times New Roman"/>
        <w:sz w:val="20"/>
        <w:szCs w:val="20"/>
      </w:rPr>
      <w:t>)</w:t>
    </w:r>
    <w:r w:rsidRPr="00CC50E9">
      <w:rPr>
        <w:rFonts w:ascii="Times New Roman" w:hAnsi="Times New Roman" w:cs="Times New Roman"/>
        <w:iCs/>
        <w:sz w:val="20"/>
        <w:szCs w:val="20"/>
      </w:rPr>
      <w:t xml:space="preserve">     </w:t>
    </w:r>
    <w:r w:rsidRPr="00CC50E9">
      <w:rPr>
        <w:rFonts w:ascii="Times New Roman" w:hAnsi="Times New Roman" w:cs="Times New Roman" w:hint="eastAsia"/>
        <w:iCs/>
        <w:sz w:val="20"/>
        <w:szCs w:val="20"/>
      </w:rPr>
      <w:tab/>
    </w:r>
    <w:r w:rsidRPr="00CC50E9">
      <w:rPr>
        <w:rFonts w:ascii="Times New Roman" w:hAnsi="Times New Roman" w:cs="Times New Roman"/>
        <w:iCs/>
        <w:sz w:val="20"/>
        <w:szCs w:val="20"/>
      </w:rPr>
      <w:t xml:space="preserve"> </w:t>
    </w:r>
    <w:r w:rsidRPr="00CC50E9">
      <w:rPr>
        <w:rFonts w:ascii="Times New Roman" w:hAnsi="Times New Roman" w:cs="Times New Roman" w:hint="eastAsia"/>
        <w:iCs/>
        <w:sz w:val="20"/>
        <w:szCs w:val="20"/>
      </w:rPr>
      <w:t xml:space="preserve"> </w:t>
    </w:r>
    <w:r w:rsidRPr="00CC50E9">
      <w:rPr>
        <w:rFonts w:ascii="Times New Roman" w:hAnsi="Times New Roman" w:cs="Times New Roman"/>
        <w:iCs/>
        <w:sz w:val="20"/>
        <w:szCs w:val="20"/>
      </w:rPr>
      <w:t xml:space="preserve">   </w:t>
    </w:r>
    <w:hyperlink r:id="rId1" w:history="1">
      <w:r w:rsidRPr="00CC50E9">
        <w:rPr>
          <w:rStyle w:val="Hyperlink"/>
          <w:rFonts w:ascii="Times New Roman" w:hAnsi="Times New Roman" w:cs="Times New Roman"/>
          <w:color w:val="0000FF"/>
          <w:sz w:val="20"/>
          <w:szCs w:val="20"/>
        </w:rPr>
        <w:t>http://www.sciencepub.net/newyork</w:t>
      </w:r>
    </w:hyperlink>
  </w:p>
  <w:p w:rsidR="00CC50E9" w:rsidRPr="00CC50E9" w:rsidRDefault="00CC50E9" w:rsidP="00CC50E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E9" w:rsidRPr="00CC50E9" w:rsidRDefault="00CC50E9" w:rsidP="00CC50E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C50E9">
      <w:rPr>
        <w:rFonts w:ascii="Times New Roman" w:hAnsi="Times New Roman" w:cs="Times New Roman" w:hint="eastAsia"/>
        <w:sz w:val="20"/>
        <w:szCs w:val="20"/>
      </w:rPr>
      <w:tab/>
    </w:r>
    <w:r w:rsidRPr="00CC50E9">
      <w:rPr>
        <w:rFonts w:ascii="Times New Roman" w:hAnsi="Times New Roman" w:cs="Times New Roman"/>
        <w:sz w:val="20"/>
        <w:szCs w:val="20"/>
      </w:rPr>
      <w:t>New York Science Journal 201</w:t>
    </w:r>
    <w:r w:rsidRPr="00CC50E9">
      <w:rPr>
        <w:rFonts w:ascii="Times New Roman" w:hAnsi="Times New Roman" w:cs="Times New Roman" w:hint="eastAsia"/>
        <w:sz w:val="20"/>
        <w:szCs w:val="20"/>
      </w:rPr>
      <w:t>7</w:t>
    </w:r>
    <w:proofErr w:type="gramStart"/>
    <w:r w:rsidRPr="00CC50E9">
      <w:rPr>
        <w:rFonts w:ascii="Times New Roman" w:hAnsi="Times New Roman" w:cs="Times New Roman"/>
        <w:sz w:val="20"/>
        <w:szCs w:val="20"/>
      </w:rPr>
      <w:t>;</w:t>
    </w:r>
    <w:r w:rsidRPr="00CC50E9">
      <w:rPr>
        <w:rFonts w:ascii="Times New Roman" w:hAnsi="Times New Roman" w:cs="Times New Roman" w:hint="eastAsia"/>
        <w:sz w:val="20"/>
        <w:szCs w:val="20"/>
      </w:rPr>
      <w:t>10</w:t>
    </w:r>
    <w:proofErr w:type="gramEnd"/>
    <w:r w:rsidRPr="00CC50E9">
      <w:rPr>
        <w:rFonts w:ascii="Times New Roman" w:hAnsi="Times New Roman" w:cs="Times New Roman"/>
        <w:sz w:val="20"/>
        <w:szCs w:val="20"/>
      </w:rPr>
      <w:t>(</w:t>
    </w:r>
    <w:r w:rsidRPr="00CC50E9">
      <w:rPr>
        <w:rFonts w:ascii="Times New Roman" w:hAnsi="Times New Roman" w:cs="Times New Roman" w:hint="eastAsia"/>
        <w:sz w:val="20"/>
        <w:szCs w:val="20"/>
      </w:rPr>
      <w:t>1</w:t>
    </w:r>
    <w:r w:rsidRPr="00CC50E9">
      <w:rPr>
        <w:rFonts w:ascii="Times New Roman" w:hAnsi="Times New Roman" w:cs="Times New Roman"/>
        <w:sz w:val="20"/>
        <w:szCs w:val="20"/>
      </w:rPr>
      <w:t>)</w:t>
    </w:r>
    <w:r w:rsidRPr="00CC50E9">
      <w:rPr>
        <w:rFonts w:ascii="Times New Roman" w:hAnsi="Times New Roman" w:cs="Times New Roman"/>
        <w:iCs/>
        <w:sz w:val="20"/>
        <w:szCs w:val="20"/>
      </w:rPr>
      <w:t xml:space="preserve">     </w:t>
    </w:r>
    <w:r w:rsidRPr="00CC50E9">
      <w:rPr>
        <w:rFonts w:ascii="Times New Roman" w:hAnsi="Times New Roman" w:cs="Times New Roman" w:hint="eastAsia"/>
        <w:iCs/>
        <w:sz w:val="20"/>
        <w:szCs w:val="20"/>
      </w:rPr>
      <w:tab/>
    </w:r>
    <w:r w:rsidRPr="00CC50E9">
      <w:rPr>
        <w:rFonts w:ascii="Times New Roman" w:hAnsi="Times New Roman" w:cs="Times New Roman"/>
        <w:iCs/>
        <w:sz w:val="20"/>
        <w:szCs w:val="20"/>
      </w:rPr>
      <w:t xml:space="preserve"> </w:t>
    </w:r>
    <w:r w:rsidRPr="00CC50E9">
      <w:rPr>
        <w:rFonts w:ascii="Times New Roman" w:hAnsi="Times New Roman" w:cs="Times New Roman" w:hint="eastAsia"/>
        <w:iCs/>
        <w:sz w:val="20"/>
        <w:szCs w:val="20"/>
      </w:rPr>
      <w:t xml:space="preserve"> </w:t>
    </w:r>
    <w:r w:rsidRPr="00CC50E9">
      <w:rPr>
        <w:rFonts w:ascii="Times New Roman" w:hAnsi="Times New Roman" w:cs="Times New Roman"/>
        <w:iCs/>
        <w:sz w:val="20"/>
        <w:szCs w:val="20"/>
      </w:rPr>
      <w:t xml:space="preserve">   </w:t>
    </w:r>
    <w:hyperlink r:id="rId1" w:history="1">
      <w:r w:rsidRPr="00CC50E9">
        <w:rPr>
          <w:rStyle w:val="Hyperlink"/>
          <w:rFonts w:ascii="Times New Roman" w:hAnsi="Times New Roman" w:cs="Times New Roman"/>
          <w:color w:val="0000FF"/>
          <w:sz w:val="20"/>
          <w:szCs w:val="20"/>
        </w:rPr>
        <w:t>http://www.sciencepub.net/newyork</w:t>
      </w:r>
    </w:hyperlink>
  </w:p>
  <w:p w:rsidR="00CC50E9" w:rsidRPr="00CC50E9" w:rsidRDefault="00CC50E9" w:rsidP="00CC50E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E9" w:rsidRPr="00CC50E9" w:rsidRDefault="00CC50E9" w:rsidP="00CC50E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C50E9">
      <w:rPr>
        <w:rFonts w:ascii="Times New Roman" w:hAnsi="Times New Roman" w:cs="Times New Roman" w:hint="eastAsia"/>
        <w:sz w:val="20"/>
        <w:szCs w:val="20"/>
      </w:rPr>
      <w:tab/>
    </w:r>
    <w:r w:rsidRPr="00CC50E9">
      <w:rPr>
        <w:rFonts w:ascii="Times New Roman" w:hAnsi="Times New Roman" w:cs="Times New Roman"/>
        <w:sz w:val="20"/>
        <w:szCs w:val="20"/>
      </w:rPr>
      <w:t>New York Science Journal 201</w:t>
    </w:r>
    <w:r w:rsidRPr="00CC50E9">
      <w:rPr>
        <w:rFonts w:ascii="Times New Roman" w:hAnsi="Times New Roman" w:cs="Times New Roman" w:hint="eastAsia"/>
        <w:sz w:val="20"/>
        <w:szCs w:val="20"/>
      </w:rPr>
      <w:t>7</w:t>
    </w:r>
    <w:proofErr w:type="gramStart"/>
    <w:r w:rsidRPr="00CC50E9">
      <w:rPr>
        <w:rFonts w:ascii="Times New Roman" w:hAnsi="Times New Roman" w:cs="Times New Roman"/>
        <w:sz w:val="20"/>
        <w:szCs w:val="20"/>
      </w:rPr>
      <w:t>;</w:t>
    </w:r>
    <w:r w:rsidRPr="00CC50E9">
      <w:rPr>
        <w:rFonts w:ascii="Times New Roman" w:hAnsi="Times New Roman" w:cs="Times New Roman" w:hint="eastAsia"/>
        <w:sz w:val="20"/>
        <w:szCs w:val="20"/>
      </w:rPr>
      <w:t>10</w:t>
    </w:r>
    <w:proofErr w:type="gramEnd"/>
    <w:r w:rsidRPr="00CC50E9">
      <w:rPr>
        <w:rFonts w:ascii="Times New Roman" w:hAnsi="Times New Roman" w:cs="Times New Roman"/>
        <w:sz w:val="20"/>
        <w:szCs w:val="20"/>
      </w:rPr>
      <w:t>(</w:t>
    </w:r>
    <w:r w:rsidRPr="00CC50E9">
      <w:rPr>
        <w:rFonts w:ascii="Times New Roman" w:hAnsi="Times New Roman" w:cs="Times New Roman" w:hint="eastAsia"/>
        <w:sz w:val="20"/>
        <w:szCs w:val="20"/>
      </w:rPr>
      <w:t>1</w:t>
    </w:r>
    <w:r w:rsidRPr="00CC50E9">
      <w:rPr>
        <w:rFonts w:ascii="Times New Roman" w:hAnsi="Times New Roman" w:cs="Times New Roman"/>
        <w:sz w:val="20"/>
        <w:szCs w:val="20"/>
      </w:rPr>
      <w:t>)</w:t>
    </w:r>
    <w:r w:rsidRPr="00CC50E9">
      <w:rPr>
        <w:rFonts w:ascii="Times New Roman" w:hAnsi="Times New Roman" w:cs="Times New Roman"/>
        <w:iCs/>
        <w:sz w:val="20"/>
        <w:szCs w:val="20"/>
      </w:rPr>
      <w:t xml:space="preserve">     </w:t>
    </w:r>
    <w:r w:rsidRPr="00CC50E9">
      <w:rPr>
        <w:rFonts w:ascii="Times New Roman" w:hAnsi="Times New Roman" w:cs="Times New Roman" w:hint="eastAsia"/>
        <w:iCs/>
        <w:sz w:val="20"/>
        <w:szCs w:val="20"/>
      </w:rPr>
      <w:tab/>
    </w:r>
    <w:r w:rsidRPr="00CC50E9">
      <w:rPr>
        <w:rFonts w:ascii="Times New Roman" w:hAnsi="Times New Roman" w:cs="Times New Roman"/>
        <w:iCs/>
        <w:sz w:val="20"/>
        <w:szCs w:val="20"/>
      </w:rPr>
      <w:t xml:space="preserve"> </w:t>
    </w:r>
    <w:r w:rsidRPr="00CC50E9">
      <w:rPr>
        <w:rFonts w:ascii="Times New Roman" w:hAnsi="Times New Roman" w:cs="Times New Roman" w:hint="eastAsia"/>
        <w:iCs/>
        <w:sz w:val="20"/>
        <w:szCs w:val="20"/>
      </w:rPr>
      <w:t xml:space="preserve"> </w:t>
    </w:r>
    <w:r w:rsidRPr="00CC50E9">
      <w:rPr>
        <w:rFonts w:ascii="Times New Roman" w:hAnsi="Times New Roman" w:cs="Times New Roman"/>
        <w:iCs/>
        <w:sz w:val="20"/>
        <w:szCs w:val="20"/>
      </w:rPr>
      <w:t xml:space="preserve">   </w:t>
    </w:r>
    <w:hyperlink r:id="rId1" w:history="1">
      <w:r w:rsidRPr="00CC50E9">
        <w:rPr>
          <w:rStyle w:val="Hyperlink"/>
          <w:rFonts w:ascii="Times New Roman" w:hAnsi="Times New Roman" w:cs="Times New Roman"/>
          <w:color w:val="0000FF"/>
          <w:sz w:val="20"/>
          <w:szCs w:val="20"/>
        </w:rPr>
        <w:t>http://www.sciencepub.net/newyork</w:t>
      </w:r>
    </w:hyperlink>
  </w:p>
  <w:p w:rsidR="00CC50E9" w:rsidRPr="00CC50E9" w:rsidRDefault="00CC50E9" w:rsidP="00CC50E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E9" w:rsidRPr="00CC50E9" w:rsidRDefault="00CC50E9" w:rsidP="00CC50E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C50E9">
      <w:rPr>
        <w:rFonts w:ascii="Times New Roman" w:hAnsi="Times New Roman" w:cs="Times New Roman" w:hint="eastAsia"/>
        <w:sz w:val="20"/>
        <w:szCs w:val="20"/>
      </w:rPr>
      <w:tab/>
    </w:r>
    <w:r w:rsidRPr="00CC50E9">
      <w:rPr>
        <w:rFonts w:ascii="Times New Roman" w:hAnsi="Times New Roman" w:cs="Times New Roman"/>
        <w:sz w:val="20"/>
        <w:szCs w:val="20"/>
      </w:rPr>
      <w:t>New York Science Journal 201</w:t>
    </w:r>
    <w:r w:rsidRPr="00CC50E9">
      <w:rPr>
        <w:rFonts w:ascii="Times New Roman" w:hAnsi="Times New Roman" w:cs="Times New Roman" w:hint="eastAsia"/>
        <w:sz w:val="20"/>
        <w:szCs w:val="20"/>
      </w:rPr>
      <w:t>7</w:t>
    </w:r>
    <w:proofErr w:type="gramStart"/>
    <w:r w:rsidRPr="00CC50E9">
      <w:rPr>
        <w:rFonts w:ascii="Times New Roman" w:hAnsi="Times New Roman" w:cs="Times New Roman"/>
        <w:sz w:val="20"/>
        <w:szCs w:val="20"/>
      </w:rPr>
      <w:t>;</w:t>
    </w:r>
    <w:r w:rsidRPr="00CC50E9">
      <w:rPr>
        <w:rFonts w:ascii="Times New Roman" w:hAnsi="Times New Roman" w:cs="Times New Roman" w:hint="eastAsia"/>
        <w:sz w:val="20"/>
        <w:szCs w:val="20"/>
      </w:rPr>
      <w:t>10</w:t>
    </w:r>
    <w:proofErr w:type="gramEnd"/>
    <w:r w:rsidRPr="00CC50E9">
      <w:rPr>
        <w:rFonts w:ascii="Times New Roman" w:hAnsi="Times New Roman" w:cs="Times New Roman"/>
        <w:sz w:val="20"/>
        <w:szCs w:val="20"/>
      </w:rPr>
      <w:t>(</w:t>
    </w:r>
    <w:r w:rsidRPr="00CC50E9">
      <w:rPr>
        <w:rFonts w:ascii="Times New Roman" w:hAnsi="Times New Roman" w:cs="Times New Roman" w:hint="eastAsia"/>
        <w:sz w:val="20"/>
        <w:szCs w:val="20"/>
      </w:rPr>
      <w:t>1</w:t>
    </w:r>
    <w:r w:rsidRPr="00CC50E9">
      <w:rPr>
        <w:rFonts w:ascii="Times New Roman" w:hAnsi="Times New Roman" w:cs="Times New Roman"/>
        <w:sz w:val="20"/>
        <w:szCs w:val="20"/>
      </w:rPr>
      <w:t>)</w:t>
    </w:r>
    <w:r w:rsidRPr="00CC50E9">
      <w:rPr>
        <w:rFonts w:ascii="Times New Roman" w:hAnsi="Times New Roman" w:cs="Times New Roman"/>
        <w:iCs/>
        <w:sz w:val="20"/>
        <w:szCs w:val="20"/>
      </w:rPr>
      <w:t xml:space="preserve">     </w:t>
    </w:r>
    <w:r w:rsidRPr="00CC50E9">
      <w:rPr>
        <w:rFonts w:ascii="Times New Roman" w:hAnsi="Times New Roman" w:cs="Times New Roman" w:hint="eastAsia"/>
        <w:iCs/>
        <w:sz w:val="20"/>
        <w:szCs w:val="20"/>
      </w:rPr>
      <w:tab/>
    </w:r>
    <w:r w:rsidRPr="00CC50E9">
      <w:rPr>
        <w:rFonts w:ascii="Times New Roman" w:hAnsi="Times New Roman" w:cs="Times New Roman"/>
        <w:iCs/>
        <w:sz w:val="20"/>
        <w:szCs w:val="20"/>
      </w:rPr>
      <w:t xml:space="preserve"> </w:t>
    </w:r>
    <w:r w:rsidRPr="00CC50E9">
      <w:rPr>
        <w:rFonts w:ascii="Times New Roman" w:hAnsi="Times New Roman" w:cs="Times New Roman" w:hint="eastAsia"/>
        <w:iCs/>
        <w:sz w:val="20"/>
        <w:szCs w:val="20"/>
      </w:rPr>
      <w:t xml:space="preserve"> </w:t>
    </w:r>
    <w:r w:rsidRPr="00CC50E9">
      <w:rPr>
        <w:rFonts w:ascii="Times New Roman" w:hAnsi="Times New Roman" w:cs="Times New Roman"/>
        <w:iCs/>
        <w:sz w:val="20"/>
        <w:szCs w:val="20"/>
      </w:rPr>
      <w:t xml:space="preserve">   </w:t>
    </w:r>
    <w:hyperlink r:id="rId1" w:history="1">
      <w:r w:rsidRPr="00CC50E9">
        <w:rPr>
          <w:rStyle w:val="Hyperlink"/>
          <w:rFonts w:ascii="Times New Roman" w:hAnsi="Times New Roman" w:cs="Times New Roman"/>
          <w:color w:val="0000FF"/>
          <w:sz w:val="20"/>
          <w:szCs w:val="20"/>
        </w:rPr>
        <w:t>http://www.sciencepub.net/newyork</w:t>
      </w:r>
    </w:hyperlink>
  </w:p>
  <w:p w:rsidR="00CC50E9" w:rsidRPr="00CC50E9" w:rsidRDefault="00CC50E9" w:rsidP="00CC50E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27C3"/>
    <w:multiLevelType w:val="hybridMultilevel"/>
    <w:tmpl w:val="9EC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53468"/>
    <w:multiLevelType w:val="hybridMultilevel"/>
    <w:tmpl w:val="663EC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3E2E4C"/>
    <w:rsid w:val="000606AD"/>
    <w:rsid w:val="000E1005"/>
    <w:rsid w:val="00111894"/>
    <w:rsid w:val="00175255"/>
    <w:rsid w:val="00176F58"/>
    <w:rsid w:val="00191084"/>
    <w:rsid w:val="001B4B9C"/>
    <w:rsid w:val="001E3DAD"/>
    <w:rsid w:val="00267211"/>
    <w:rsid w:val="0027352D"/>
    <w:rsid w:val="002873BC"/>
    <w:rsid w:val="00293AAC"/>
    <w:rsid w:val="002A5941"/>
    <w:rsid w:val="002C6D50"/>
    <w:rsid w:val="00310466"/>
    <w:rsid w:val="0032083E"/>
    <w:rsid w:val="00324C2D"/>
    <w:rsid w:val="003A0A76"/>
    <w:rsid w:val="003D2789"/>
    <w:rsid w:val="003E109E"/>
    <w:rsid w:val="003E2E4C"/>
    <w:rsid w:val="00471137"/>
    <w:rsid w:val="00473C3C"/>
    <w:rsid w:val="004C0C39"/>
    <w:rsid w:val="00593FAD"/>
    <w:rsid w:val="005D351A"/>
    <w:rsid w:val="006332DB"/>
    <w:rsid w:val="00645A0E"/>
    <w:rsid w:val="006F3637"/>
    <w:rsid w:val="006F38C1"/>
    <w:rsid w:val="00716558"/>
    <w:rsid w:val="0074251D"/>
    <w:rsid w:val="00755930"/>
    <w:rsid w:val="007E34D4"/>
    <w:rsid w:val="007F73D4"/>
    <w:rsid w:val="0082191C"/>
    <w:rsid w:val="00825FED"/>
    <w:rsid w:val="0084714F"/>
    <w:rsid w:val="0086619D"/>
    <w:rsid w:val="0086670D"/>
    <w:rsid w:val="00872179"/>
    <w:rsid w:val="00905DB7"/>
    <w:rsid w:val="009978E9"/>
    <w:rsid w:val="009B36D5"/>
    <w:rsid w:val="00A15A12"/>
    <w:rsid w:val="00A43AFE"/>
    <w:rsid w:val="00B118B9"/>
    <w:rsid w:val="00B802A7"/>
    <w:rsid w:val="00C203EA"/>
    <w:rsid w:val="00C3292C"/>
    <w:rsid w:val="00C503BE"/>
    <w:rsid w:val="00C56409"/>
    <w:rsid w:val="00CB1306"/>
    <w:rsid w:val="00CC50E9"/>
    <w:rsid w:val="00CD1934"/>
    <w:rsid w:val="00CE552A"/>
    <w:rsid w:val="00DD6554"/>
    <w:rsid w:val="00DE2B94"/>
    <w:rsid w:val="00DE3F6F"/>
    <w:rsid w:val="00E46D2A"/>
    <w:rsid w:val="00E66506"/>
    <w:rsid w:val="00E96850"/>
    <w:rsid w:val="00EA3B9D"/>
    <w:rsid w:val="00ED2E20"/>
    <w:rsid w:val="00F400D6"/>
    <w:rsid w:val="00FE5C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40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55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930"/>
  </w:style>
  <w:style w:type="paragraph" w:styleId="Footer">
    <w:name w:val="footer"/>
    <w:basedOn w:val="Normal"/>
    <w:link w:val="FooterChar"/>
    <w:uiPriority w:val="99"/>
    <w:unhideWhenUsed/>
    <w:rsid w:val="00755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930"/>
  </w:style>
  <w:style w:type="character" w:styleId="Hyperlink">
    <w:name w:val="Hyperlink"/>
    <w:basedOn w:val="DefaultParagraphFont"/>
    <w:uiPriority w:val="99"/>
    <w:unhideWhenUsed/>
    <w:rsid w:val="008471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40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55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930"/>
  </w:style>
  <w:style w:type="paragraph" w:styleId="Footer">
    <w:name w:val="footer"/>
    <w:basedOn w:val="Normal"/>
    <w:link w:val="FooterChar"/>
    <w:uiPriority w:val="99"/>
    <w:unhideWhenUsed/>
    <w:rsid w:val="00755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9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rmido_elmaazon@yahoo.com"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nys100117.12" TargetMode="External"/><Relationship Id="rId14" Type="http://schemas.openxmlformats.org/officeDocument/2006/relationships/header" Target="header3.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3</cp:revision>
  <cp:lastPrinted>2017-01-09T04:28:00Z</cp:lastPrinted>
  <dcterms:created xsi:type="dcterms:W3CDTF">2017-01-10T12:35:00Z</dcterms:created>
  <dcterms:modified xsi:type="dcterms:W3CDTF">2017-01-09T10:52:00Z</dcterms:modified>
</cp:coreProperties>
</file>