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C1" w:rsidRPr="006B09B0" w:rsidRDefault="000266C1" w:rsidP="00B83D7E">
      <w:pPr>
        <w:snapToGrid w:val="0"/>
        <w:jc w:val="center"/>
        <w:rPr>
          <w:b/>
          <w:iCs/>
          <w:sz w:val="20"/>
          <w:szCs w:val="20"/>
        </w:rPr>
      </w:pPr>
      <w:r w:rsidRPr="006B09B0">
        <w:rPr>
          <w:b/>
          <w:iCs/>
          <w:sz w:val="20"/>
          <w:szCs w:val="20"/>
        </w:rPr>
        <w:t xml:space="preserve">Determination of the incidence of </w:t>
      </w:r>
      <w:proofErr w:type="spellStart"/>
      <w:r w:rsidRPr="006B09B0">
        <w:rPr>
          <w:b/>
          <w:iCs/>
          <w:sz w:val="20"/>
          <w:szCs w:val="20"/>
        </w:rPr>
        <w:t>Aspergillus</w:t>
      </w:r>
      <w:proofErr w:type="spellEnd"/>
      <w:r w:rsidRPr="006B09B0">
        <w:rPr>
          <w:b/>
          <w:iCs/>
          <w:sz w:val="20"/>
          <w:szCs w:val="20"/>
        </w:rPr>
        <w:t xml:space="preserve"> s</w:t>
      </w:r>
      <w:r w:rsidR="00630EE5" w:rsidRPr="006B09B0">
        <w:rPr>
          <w:b/>
          <w:iCs/>
          <w:sz w:val="20"/>
          <w:szCs w:val="20"/>
        </w:rPr>
        <w:t>pecies isolated from maize kerne</w:t>
      </w:r>
      <w:r w:rsidRPr="006B09B0">
        <w:rPr>
          <w:b/>
          <w:iCs/>
          <w:sz w:val="20"/>
          <w:szCs w:val="20"/>
        </w:rPr>
        <w:t>ls and maize based products in Jammu and Kashmir, India.</w:t>
      </w:r>
    </w:p>
    <w:p w:rsidR="00471E57" w:rsidRPr="006B09B0" w:rsidRDefault="00471E57" w:rsidP="00B83D7E">
      <w:pPr>
        <w:snapToGrid w:val="0"/>
        <w:jc w:val="center"/>
        <w:rPr>
          <w:sz w:val="20"/>
          <w:szCs w:val="20"/>
          <w:lang w:eastAsia="zh-CN"/>
        </w:rPr>
      </w:pPr>
    </w:p>
    <w:p w:rsidR="000266C1" w:rsidRPr="006B09B0" w:rsidRDefault="000266C1" w:rsidP="00B83D7E">
      <w:pPr>
        <w:snapToGrid w:val="0"/>
        <w:jc w:val="center"/>
        <w:rPr>
          <w:sz w:val="20"/>
          <w:szCs w:val="20"/>
        </w:rPr>
      </w:pPr>
      <w:proofErr w:type="spellStart"/>
      <w:r w:rsidRPr="006B09B0">
        <w:rPr>
          <w:sz w:val="20"/>
          <w:szCs w:val="20"/>
        </w:rPr>
        <w:t>Fayaz</w:t>
      </w:r>
      <w:proofErr w:type="spellEnd"/>
      <w:r w:rsidRPr="006B09B0">
        <w:rPr>
          <w:sz w:val="20"/>
          <w:szCs w:val="20"/>
        </w:rPr>
        <w:t xml:space="preserve"> Ahmad Shah</w:t>
      </w:r>
      <w:r w:rsidRPr="006B09B0">
        <w:rPr>
          <w:sz w:val="20"/>
          <w:szCs w:val="20"/>
          <w:vertAlign w:val="superscript"/>
        </w:rPr>
        <w:t>1</w:t>
      </w:r>
      <w:r w:rsidRPr="006B09B0">
        <w:rPr>
          <w:sz w:val="20"/>
          <w:szCs w:val="20"/>
        </w:rPr>
        <w:t xml:space="preserve">, </w:t>
      </w:r>
      <w:proofErr w:type="spellStart"/>
      <w:r w:rsidRPr="006B09B0">
        <w:rPr>
          <w:sz w:val="20"/>
          <w:szCs w:val="20"/>
        </w:rPr>
        <w:t>Sajad</w:t>
      </w:r>
      <w:proofErr w:type="spellEnd"/>
      <w:r w:rsidRPr="006B09B0">
        <w:rPr>
          <w:sz w:val="20"/>
          <w:szCs w:val="20"/>
        </w:rPr>
        <w:t xml:space="preserve"> Ahmad Bhat</w:t>
      </w:r>
      <w:r w:rsidRPr="006B09B0">
        <w:rPr>
          <w:sz w:val="20"/>
          <w:szCs w:val="20"/>
          <w:vertAlign w:val="superscript"/>
        </w:rPr>
        <w:t>2</w:t>
      </w:r>
      <w:r w:rsidRPr="006B09B0">
        <w:rPr>
          <w:sz w:val="20"/>
          <w:szCs w:val="20"/>
        </w:rPr>
        <w:t xml:space="preserve">, </w:t>
      </w:r>
      <w:proofErr w:type="spellStart"/>
      <w:r w:rsidRPr="006B09B0">
        <w:rPr>
          <w:sz w:val="20"/>
          <w:szCs w:val="20"/>
        </w:rPr>
        <w:t>Shabeer</w:t>
      </w:r>
      <w:proofErr w:type="spellEnd"/>
      <w:r w:rsidRPr="006B09B0">
        <w:rPr>
          <w:sz w:val="20"/>
          <w:szCs w:val="20"/>
        </w:rPr>
        <w:t xml:space="preserve"> Ahmad Wani</w:t>
      </w:r>
      <w:r w:rsidRPr="006B09B0">
        <w:rPr>
          <w:sz w:val="20"/>
          <w:szCs w:val="20"/>
          <w:vertAlign w:val="superscript"/>
        </w:rPr>
        <w:t>3</w:t>
      </w:r>
      <w:r w:rsidRPr="006B09B0">
        <w:rPr>
          <w:sz w:val="20"/>
          <w:szCs w:val="20"/>
        </w:rPr>
        <w:t xml:space="preserve">, </w:t>
      </w:r>
      <w:proofErr w:type="spellStart"/>
      <w:r w:rsidRPr="006B09B0">
        <w:rPr>
          <w:sz w:val="20"/>
          <w:szCs w:val="20"/>
        </w:rPr>
        <w:t>Ruqeya</w:t>
      </w:r>
      <w:proofErr w:type="spellEnd"/>
      <w:r w:rsidRPr="006B09B0">
        <w:rPr>
          <w:sz w:val="20"/>
          <w:szCs w:val="20"/>
        </w:rPr>
        <w:t xml:space="preserve"> Nazir</w:t>
      </w:r>
      <w:r w:rsidRPr="006B09B0">
        <w:rPr>
          <w:sz w:val="20"/>
          <w:szCs w:val="20"/>
          <w:vertAlign w:val="superscript"/>
        </w:rPr>
        <w:t>4</w:t>
      </w:r>
      <w:r w:rsidRPr="006B09B0">
        <w:rPr>
          <w:sz w:val="20"/>
          <w:szCs w:val="20"/>
        </w:rPr>
        <w:t xml:space="preserve"> and M. Z Chishti</w:t>
      </w:r>
      <w:r w:rsidRPr="006B09B0">
        <w:rPr>
          <w:sz w:val="20"/>
          <w:szCs w:val="20"/>
          <w:vertAlign w:val="superscript"/>
        </w:rPr>
        <w:t>5</w:t>
      </w:r>
    </w:p>
    <w:p w:rsidR="00471E57" w:rsidRPr="006B09B0" w:rsidRDefault="00471E57" w:rsidP="00B83D7E">
      <w:pPr>
        <w:snapToGrid w:val="0"/>
        <w:jc w:val="center"/>
        <w:rPr>
          <w:sz w:val="20"/>
          <w:szCs w:val="20"/>
        </w:rPr>
      </w:pPr>
    </w:p>
    <w:p w:rsidR="00471E57" w:rsidRPr="006B09B0" w:rsidRDefault="00593132" w:rsidP="00B83D7E">
      <w:pPr>
        <w:snapToGrid w:val="0"/>
        <w:jc w:val="center"/>
        <w:rPr>
          <w:sz w:val="20"/>
          <w:szCs w:val="20"/>
        </w:rPr>
      </w:pPr>
      <w:r w:rsidRPr="006B09B0">
        <w:rPr>
          <w:sz w:val="20"/>
          <w:szCs w:val="20"/>
          <w:vertAlign w:val="superscript"/>
        </w:rPr>
        <w:t>1.</w:t>
      </w:r>
      <w:r w:rsidR="000266C1" w:rsidRPr="006B09B0">
        <w:rPr>
          <w:sz w:val="20"/>
          <w:szCs w:val="20"/>
          <w:vertAlign w:val="superscript"/>
        </w:rPr>
        <w:t>2.4.5</w:t>
      </w:r>
      <w:r w:rsidR="00471E57" w:rsidRPr="006B09B0">
        <w:rPr>
          <w:sz w:val="20"/>
          <w:szCs w:val="20"/>
        </w:rPr>
        <w:t xml:space="preserve"> </w:t>
      </w:r>
      <w:r w:rsidR="00A51847" w:rsidRPr="006B09B0">
        <w:rPr>
          <w:sz w:val="20"/>
          <w:szCs w:val="20"/>
        </w:rPr>
        <w:t xml:space="preserve">Microbiology and Pathology Laboratory, </w:t>
      </w:r>
      <w:r w:rsidR="000266C1" w:rsidRPr="006B09B0">
        <w:rPr>
          <w:iCs/>
          <w:sz w:val="20"/>
          <w:szCs w:val="20"/>
        </w:rPr>
        <w:t>Centre of Research for Development, University of Kashmir, Srinagar, India, 190006</w:t>
      </w:r>
    </w:p>
    <w:p w:rsidR="00471E57" w:rsidRPr="006B09B0" w:rsidRDefault="000266C1" w:rsidP="00B83D7E">
      <w:pPr>
        <w:snapToGrid w:val="0"/>
        <w:jc w:val="center"/>
        <w:rPr>
          <w:sz w:val="20"/>
          <w:szCs w:val="20"/>
        </w:rPr>
      </w:pPr>
      <w:r w:rsidRPr="006B09B0">
        <w:rPr>
          <w:sz w:val="20"/>
          <w:szCs w:val="20"/>
          <w:vertAlign w:val="superscript"/>
        </w:rPr>
        <w:t>3</w:t>
      </w:r>
      <w:r w:rsidR="00593132" w:rsidRPr="006B09B0">
        <w:rPr>
          <w:sz w:val="20"/>
          <w:szCs w:val="20"/>
          <w:vertAlign w:val="superscript"/>
        </w:rPr>
        <w:t>.</w:t>
      </w:r>
      <w:r w:rsidR="006E6ACB" w:rsidRPr="006B09B0">
        <w:rPr>
          <w:sz w:val="20"/>
          <w:szCs w:val="20"/>
        </w:rPr>
        <w:t xml:space="preserve"> </w:t>
      </w:r>
      <w:r w:rsidRPr="006B09B0">
        <w:rPr>
          <w:sz w:val="20"/>
          <w:szCs w:val="20"/>
        </w:rPr>
        <w:t>Department of Zoology</w:t>
      </w:r>
      <w:r w:rsidR="00471E57" w:rsidRPr="006B09B0">
        <w:rPr>
          <w:sz w:val="20"/>
          <w:szCs w:val="20"/>
        </w:rPr>
        <w:t xml:space="preserve">, </w:t>
      </w:r>
      <w:r w:rsidRPr="006B09B0">
        <w:rPr>
          <w:iCs/>
          <w:sz w:val="20"/>
          <w:szCs w:val="20"/>
        </w:rPr>
        <w:t>University of Kashmir, Srinagar, India, 190006</w:t>
      </w:r>
    </w:p>
    <w:p w:rsidR="00471E57" w:rsidRPr="006B09B0" w:rsidRDefault="004F1302" w:rsidP="00B83D7E">
      <w:pPr>
        <w:snapToGrid w:val="0"/>
        <w:jc w:val="center"/>
        <w:rPr>
          <w:sz w:val="20"/>
          <w:szCs w:val="20"/>
        </w:rPr>
      </w:pPr>
      <w:hyperlink r:id="rId8" w:history="1">
        <w:r w:rsidR="000266C1" w:rsidRPr="006B09B0">
          <w:rPr>
            <w:rStyle w:val="Hyperlink"/>
            <w:sz w:val="20"/>
            <w:szCs w:val="20"/>
          </w:rPr>
          <w:t>shahfayaz232@gmail.com</w:t>
        </w:r>
      </w:hyperlink>
    </w:p>
    <w:p w:rsidR="001817C7" w:rsidRPr="006B09B0" w:rsidRDefault="001817C7" w:rsidP="00B83D7E">
      <w:pPr>
        <w:snapToGrid w:val="0"/>
        <w:jc w:val="center"/>
        <w:rPr>
          <w:sz w:val="20"/>
          <w:szCs w:val="20"/>
        </w:rPr>
      </w:pPr>
    </w:p>
    <w:p w:rsidR="000266C1" w:rsidRPr="006B09B0" w:rsidRDefault="00471E57" w:rsidP="00B83D7E">
      <w:pPr>
        <w:snapToGrid w:val="0"/>
        <w:jc w:val="both"/>
        <w:rPr>
          <w:sz w:val="20"/>
          <w:szCs w:val="20"/>
        </w:rPr>
      </w:pPr>
      <w:r w:rsidRPr="006B09B0">
        <w:rPr>
          <w:b/>
          <w:sz w:val="20"/>
          <w:szCs w:val="20"/>
        </w:rPr>
        <w:t>Abstract:</w:t>
      </w:r>
      <w:r w:rsidR="000266C1" w:rsidRPr="006B09B0">
        <w:rPr>
          <w:sz w:val="20"/>
          <w:szCs w:val="20"/>
        </w:rPr>
        <w:t xml:space="preserve"> Fungal contamination and </w:t>
      </w:r>
      <w:proofErr w:type="spellStart"/>
      <w:r w:rsidR="000266C1" w:rsidRPr="006B09B0">
        <w:rPr>
          <w:sz w:val="20"/>
          <w:szCs w:val="20"/>
        </w:rPr>
        <w:t>Aflatoxin</w:t>
      </w:r>
      <w:proofErr w:type="spellEnd"/>
      <w:r w:rsidR="000266C1" w:rsidRPr="006B09B0">
        <w:rPr>
          <w:sz w:val="20"/>
          <w:szCs w:val="20"/>
        </w:rPr>
        <w:t xml:space="preserve"> (AF) poisoning among maize and maize based products continues to exacerbate the food security crisis in India including temperate Jammu and Kashmir. This study determined the distribution and contamination levels of </w:t>
      </w:r>
      <w:proofErr w:type="spellStart"/>
      <w:r w:rsidR="000266C1" w:rsidRPr="006B09B0">
        <w:rPr>
          <w:i/>
          <w:iCs/>
          <w:sz w:val="20"/>
          <w:szCs w:val="20"/>
        </w:rPr>
        <w:t>Aspergillus</w:t>
      </w:r>
      <w:proofErr w:type="spellEnd"/>
      <w:r w:rsidR="000266C1" w:rsidRPr="006B09B0">
        <w:rPr>
          <w:i/>
          <w:iCs/>
          <w:sz w:val="20"/>
          <w:szCs w:val="20"/>
        </w:rPr>
        <w:t xml:space="preserve"> </w:t>
      </w:r>
      <w:r w:rsidR="000266C1" w:rsidRPr="006B09B0">
        <w:rPr>
          <w:sz w:val="20"/>
          <w:szCs w:val="20"/>
        </w:rPr>
        <w:t>spp. in maize and maize-based products. Maize grain samples (n=</w:t>
      </w:r>
      <w:r w:rsidR="00A51847" w:rsidRPr="006B09B0">
        <w:rPr>
          <w:sz w:val="20"/>
          <w:szCs w:val="20"/>
        </w:rPr>
        <w:t xml:space="preserve"> </w:t>
      </w:r>
      <w:r w:rsidR="000266C1" w:rsidRPr="006B09B0">
        <w:rPr>
          <w:sz w:val="20"/>
          <w:szCs w:val="20"/>
        </w:rPr>
        <w:t>455), semi-processed grain (n=</w:t>
      </w:r>
      <w:r w:rsidR="00A51847" w:rsidRPr="006B09B0">
        <w:rPr>
          <w:sz w:val="20"/>
          <w:szCs w:val="20"/>
        </w:rPr>
        <w:t xml:space="preserve"> </w:t>
      </w:r>
      <w:r w:rsidR="000266C1" w:rsidRPr="006B09B0">
        <w:rPr>
          <w:sz w:val="20"/>
          <w:szCs w:val="20"/>
        </w:rPr>
        <w:t>115), flour (n=</w:t>
      </w:r>
      <w:r w:rsidR="00A51847" w:rsidRPr="006B09B0">
        <w:rPr>
          <w:sz w:val="20"/>
          <w:szCs w:val="20"/>
        </w:rPr>
        <w:t xml:space="preserve"> </w:t>
      </w:r>
      <w:r w:rsidR="000266C1" w:rsidRPr="006B09B0">
        <w:rPr>
          <w:sz w:val="20"/>
          <w:szCs w:val="20"/>
        </w:rPr>
        <w:t xml:space="preserve">36), were collected during the 2013 and 2014 growing seasons. </w:t>
      </w:r>
      <w:proofErr w:type="spellStart"/>
      <w:r w:rsidR="000266C1" w:rsidRPr="006B09B0">
        <w:rPr>
          <w:i/>
          <w:iCs/>
          <w:sz w:val="20"/>
          <w:szCs w:val="20"/>
        </w:rPr>
        <w:t>Aspergillus</w:t>
      </w:r>
      <w:proofErr w:type="spellEnd"/>
      <w:r w:rsidR="000266C1" w:rsidRPr="006B09B0">
        <w:rPr>
          <w:i/>
          <w:iCs/>
          <w:sz w:val="20"/>
          <w:szCs w:val="20"/>
        </w:rPr>
        <w:t xml:space="preserve"> </w:t>
      </w:r>
      <w:r w:rsidR="000266C1" w:rsidRPr="006B09B0">
        <w:rPr>
          <w:sz w:val="20"/>
          <w:szCs w:val="20"/>
        </w:rPr>
        <w:t xml:space="preserve">spp. were isolated by growing on Potato Dextrose Agar (PDA) and Malt Extract Agar (MEA). Fungal species commonly isolated from the collected samples included </w:t>
      </w:r>
      <w:proofErr w:type="spellStart"/>
      <w:r w:rsidR="000266C1" w:rsidRPr="006B09B0">
        <w:rPr>
          <w:i/>
          <w:iCs/>
          <w:sz w:val="20"/>
          <w:szCs w:val="20"/>
        </w:rPr>
        <w:t>Aspergillus</w:t>
      </w:r>
      <w:proofErr w:type="spellEnd"/>
      <w:r w:rsidR="000266C1" w:rsidRPr="006B09B0">
        <w:rPr>
          <w:i/>
          <w:iCs/>
          <w:sz w:val="20"/>
          <w:szCs w:val="20"/>
        </w:rPr>
        <w:t xml:space="preserve"> </w:t>
      </w:r>
      <w:proofErr w:type="spellStart"/>
      <w:r w:rsidR="000266C1" w:rsidRPr="006B09B0">
        <w:rPr>
          <w:i/>
          <w:iCs/>
          <w:sz w:val="20"/>
          <w:szCs w:val="20"/>
        </w:rPr>
        <w:t>parasiticus</w:t>
      </w:r>
      <w:proofErr w:type="spellEnd"/>
      <w:r w:rsidR="000266C1" w:rsidRPr="006B09B0">
        <w:rPr>
          <w:sz w:val="20"/>
          <w:szCs w:val="20"/>
        </w:rPr>
        <w:t xml:space="preserve">, </w:t>
      </w:r>
      <w:proofErr w:type="spellStart"/>
      <w:r w:rsidR="000266C1" w:rsidRPr="006B09B0">
        <w:rPr>
          <w:i/>
          <w:iCs/>
          <w:sz w:val="20"/>
          <w:szCs w:val="20"/>
        </w:rPr>
        <w:t>A.niger</w:t>
      </w:r>
      <w:proofErr w:type="spellEnd"/>
      <w:r w:rsidR="000266C1" w:rsidRPr="006B09B0">
        <w:rPr>
          <w:i/>
          <w:iCs/>
          <w:sz w:val="20"/>
          <w:szCs w:val="20"/>
        </w:rPr>
        <w:t xml:space="preserve">, A. </w:t>
      </w:r>
      <w:proofErr w:type="spellStart"/>
      <w:r w:rsidR="000266C1" w:rsidRPr="006B09B0">
        <w:rPr>
          <w:i/>
          <w:iCs/>
          <w:sz w:val="20"/>
          <w:szCs w:val="20"/>
        </w:rPr>
        <w:t>flavus</w:t>
      </w:r>
      <w:proofErr w:type="spellEnd"/>
      <w:r w:rsidR="000266C1" w:rsidRPr="006B09B0">
        <w:rPr>
          <w:i/>
          <w:iCs/>
          <w:sz w:val="20"/>
          <w:szCs w:val="20"/>
        </w:rPr>
        <w:t xml:space="preserve">, A. </w:t>
      </w:r>
      <w:proofErr w:type="spellStart"/>
      <w:r w:rsidR="000266C1" w:rsidRPr="006B09B0">
        <w:rPr>
          <w:i/>
          <w:iCs/>
          <w:sz w:val="20"/>
          <w:szCs w:val="20"/>
        </w:rPr>
        <w:t>nomius</w:t>
      </w:r>
      <w:proofErr w:type="spellEnd"/>
      <w:r w:rsidR="000266C1" w:rsidRPr="006B09B0">
        <w:rPr>
          <w:i/>
          <w:iCs/>
          <w:sz w:val="20"/>
          <w:szCs w:val="20"/>
        </w:rPr>
        <w:t>, A. tamari</w:t>
      </w:r>
      <w:r w:rsidR="000266C1" w:rsidRPr="006B09B0">
        <w:rPr>
          <w:sz w:val="20"/>
          <w:szCs w:val="20"/>
        </w:rPr>
        <w:t xml:space="preserve"> and </w:t>
      </w:r>
      <w:r w:rsidR="000266C1" w:rsidRPr="006B09B0">
        <w:rPr>
          <w:i/>
          <w:iCs/>
          <w:sz w:val="20"/>
          <w:szCs w:val="20"/>
        </w:rPr>
        <w:t xml:space="preserve">A. </w:t>
      </w:r>
      <w:proofErr w:type="spellStart"/>
      <w:r w:rsidR="000266C1" w:rsidRPr="006B09B0">
        <w:rPr>
          <w:i/>
          <w:iCs/>
          <w:sz w:val="20"/>
          <w:szCs w:val="20"/>
        </w:rPr>
        <w:t>caelatus</w:t>
      </w:r>
      <w:proofErr w:type="spellEnd"/>
      <w:r w:rsidR="000266C1" w:rsidRPr="006B09B0">
        <w:rPr>
          <w:sz w:val="20"/>
          <w:szCs w:val="20"/>
        </w:rPr>
        <w:t xml:space="preserve"> with </w:t>
      </w:r>
      <w:r w:rsidR="0019071A" w:rsidRPr="006B09B0">
        <w:rPr>
          <w:i/>
          <w:iCs/>
          <w:sz w:val="20"/>
          <w:szCs w:val="20"/>
        </w:rPr>
        <w:t>A.</w:t>
      </w:r>
      <w:r w:rsidR="000266C1" w:rsidRPr="006B09B0">
        <w:rPr>
          <w:i/>
          <w:iCs/>
          <w:sz w:val="20"/>
          <w:szCs w:val="20"/>
        </w:rPr>
        <w:t xml:space="preserve"> </w:t>
      </w:r>
      <w:proofErr w:type="spellStart"/>
      <w:r w:rsidR="000266C1" w:rsidRPr="006B09B0">
        <w:rPr>
          <w:i/>
          <w:iCs/>
          <w:sz w:val="20"/>
          <w:szCs w:val="20"/>
        </w:rPr>
        <w:t>flavus</w:t>
      </w:r>
      <w:proofErr w:type="spellEnd"/>
      <w:r w:rsidR="000266C1" w:rsidRPr="006B09B0">
        <w:rPr>
          <w:i/>
          <w:iCs/>
          <w:sz w:val="20"/>
          <w:szCs w:val="20"/>
        </w:rPr>
        <w:t>, A</w:t>
      </w:r>
      <w:r w:rsidR="0019071A" w:rsidRPr="006B09B0">
        <w:rPr>
          <w:i/>
          <w:iCs/>
          <w:sz w:val="20"/>
          <w:szCs w:val="20"/>
        </w:rPr>
        <w:t>.</w:t>
      </w:r>
      <w:r w:rsidR="000266C1" w:rsidRPr="006B09B0">
        <w:rPr>
          <w:i/>
          <w:iCs/>
          <w:sz w:val="20"/>
          <w:szCs w:val="20"/>
        </w:rPr>
        <w:t xml:space="preserve"> </w:t>
      </w:r>
      <w:proofErr w:type="spellStart"/>
      <w:r w:rsidR="000266C1" w:rsidRPr="006B09B0">
        <w:rPr>
          <w:i/>
          <w:iCs/>
          <w:sz w:val="20"/>
          <w:szCs w:val="20"/>
        </w:rPr>
        <w:t>parasiticus</w:t>
      </w:r>
      <w:proofErr w:type="spellEnd"/>
      <w:r w:rsidR="000266C1" w:rsidRPr="006B09B0">
        <w:rPr>
          <w:sz w:val="20"/>
          <w:szCs w:val="20"/>
        </w:rPr>
        <w:t xml:space="preserve"> and </w:t>
      </w:r>
      <w:r w:rsidR="0019071A" w:rsidRPr="006B09B0">
        <w:rPr>
          <w:i/>
          <w:iCs/>
          <w:sz w:val="20"/>
          <w:szCs w:val="20"/>
        </w:rPr>
        <w:t>A.</w:t>
      </w:r>
      <w:r w:rsidR="000266C1" w:rsidRPr="006B09B0">
        <w:rPr>
          <w:i/>
          <w:iCs/>
          <w:sz w:val="20"/>
          <w:szCs w:val="20"/>
        </w:rPr>
        <w:t xml:space="preserve"> </w:t>
      </w:r>
      <w:proofErr w:type="spellStart"/>
      <w:r w:rsidR="000266C1" w:rsidRPr="006B09B0">
        <w:rPr>
          <w:i/>
          <w:iCs/>
          <w:sz w:val="20"/>
          <w:szCs w:val="20"/>
        </w:rPr>
        <w:t>niger</w:t>
      </w:r>
      <w:proofErr w:type="spellEnd"/>
      <w:r w:rsidR="0019071A" w:rsidRPr="006B09B0">
        <w:rPr>
          <w:sz w:val="20"/>
          <w:szCs w:val="20"/>
        </w:rPr>
        <w:t xml:space="preserve"> </w:t>
      </w:r>
      <w:r w:rsidR="000266C1" w:rsidRPr="006B09B0">
        <w:rPr>
          <w:sz w:val="20"/>
          <w:szCs w:val="20"/>
        </w:rPr>
        <w:t>being</w:t>
      </w:r>
      <w:r w:rsidR="00B83D7E" w:rsidRPr="006B09B0">
        <w:rPr>
          <w:sz w:val="20"/>
          <w:szCs w:val="20"/>
        </w:rPr>
        <w:t xml:space="preserve"> </w:t>
      </w:r>
      <w:r w:rsidR="000266C1" w:rsidRPr="006B09B0">
        <w:rPr>
          <w:sz w:val="20"/>
          <w:szCs w:val="20"/>
        </w:rPr>
        <w:t xml:space="preserve">most frequent in selected samples. The frequency of </w:t>
      </w:r>
      <w:r w:rsidR="000266C1" w:rsidRPr="006B09B0">
        <w:rPr>
          <w:i/>
          <w:iCs/>
          <w:sz w:val="20"/>
          <w:szCs w:val="20"/>
        </w:rPr>
        <w:t xml:space="preserve">A. </w:t>
      </w:r>
      <w:proofErr w:type="spellStart"/>
      <w:r w:rsidR="000266C1" w:rsidRPr="006B09B0">
        <w:rPr>
          <w:i/>
          <w:iCs/>
          <w:sz w:val="20"/>
          <w:szCs w:val="20"/>
        </w:rPr>
        <w:t>niger</w:t>
      </w:r>
      <w:proofErr w:type="spellEnd"/>
      <w:r w:rsidR="000266C1" w:rsidRPr="006B09B0">
        <w:rPr>
          <w:i/>
          <w:iCs/>
          <w:sz w:val="20"/>
          <w:szCs w:val="20"/>
        </w:rPr>
        <w:t xml:space="preserve"> </w:t>
      </w:r>
      <w:r w:rsidR="000266C1" w:rsidRPr="006B09B0">
        <w:rPr>
          <w:sz w:val="20"/>
          <w:szCs w:val="20"/>
        </w:rPr>
        <w:t>was higher in semi-processed grain than in whole grain and packed flour samples.</w:t>
      </w:r>
      <w:r w:rsidR="00630EE5" w:rsidRPr="006B09B0">
        <w:rPr>
          <w:sz w:val="20"/>
          <w:szCs w:val="20"/>
        </w:rPr>
        <w:t xml:space="preserve"> </w:t>
      </w:r>
      <w:r w:rsidR="000266C1" w:rsidRPr="006B09B0">
        <w:rPr>
          <w:sz w:val="20"/>
          <w:szCs w:val="20"/>
        </w:rPr>
        <w:t xml:space="preserve">The high temperature and periodic drought prevalent in the semi-arid regions could explain the higher levels of </w:t>
      </w:r>
      <w:r w:rsidR="000266C1" w:rsidRPr="006B09B0">
        <w:rPr>
          <w:i/>
          <w:iCs/>
          <w:sz w:val="20"/>
          <w:szCs w:val="20"/>
        </w:rPr>
        <w:t xml:space="preserve">A. </w:t>
      </w:r>
      <w:proofErr w:type="spellStart"/>
      <w:r w:rsidR="000266C1" w:rsidRPr="006B09B0">
        <w:rPr>
          <w:i/>
          <w:iCs/>
          <w:sz w:val="20"/>
          <w:szCs w:val="20"/>
        </w:rPr>
        <w:t>flavus</w:t>
      </w:r>
      <w:proofErr w:type="spellEnd"/>
      <w:r w:rsidR="00630EE5" w:rsidRPr="006B09B0">
        <w:rPr>
          <w:i/>
          <w:iCs/>
          <w:sz w:val="20"/>
          <w:szCs w:val="20"/>
        </w:rPr>
        <w:t xml:space="preserve">. </w:t>
      </w:r>
      <w:r w:rsidR="000266C1" w:rsidRPr="006B09B0">
        <w:rPr>
          <w:sz w:val="20"/>
          <w:szCs w:val="20"/>
        </w:rPr>
        <w:t xml:space="preserve">In addition, </w:t>
      </w:r>
      <w:proofErr w:type="spellStart"/>
      <w:r w:rsidR="000266C1" w:rsidRPr="006B09B0">
        <w:rPr>
          <w:sz w:val="20"/>
          <w:szCs w:val="20"/>
        </w:rPr>
        <w:t>unfavourable</w:t>
      </w:r>
      <w:proofErr w:type="spellEnd"/>
      <w:r w:rsidR="000266C1" w:rsidRPr="006B09B0">
        <w:rPr>
          <w:sz w:val="20"/>
          <w:szCs w:val="20"/>
        </w:rPr>
        <w:t xml:space="preserve"> drying and storage practices may aggravate the problem. Therefore, it is recommended that the careful monitoring of AF be continued.</w:t>
      </w:r>
    </w:p>
    <w:p w:rsidR="00295C94" w:rsidRPr="006B09B0" w:rsidRDefault="000266C1" w:rsidP="00B83D7E">
      <w:pPr>
        <w:snapToGrid w:val="0"/>
        <w:jc w:val="both"/>
        <w:rPr>
          <w:sz w:val="20"/>
          <w:szCs w:val="20"/>
        </w:rPr>
      </w:pPr>
      <w:r w:rsidRPr="006B09B0">
        <w:rPr>
          <w:sz w:val="20"/>
          <w:szCs w:val="20"/>
        </w:rPr>
        <w:t>[</w:t>
      </w:r>
      <w:proofErr w:type="spellStart"/>
      <w:r w:rsidRPr="006B09B0">
        <w:rPr>
          <w:sz w:val="20"/>
          <w:szCs w:val="20"/>
        </w:rPr>
        <w:t>Fayaz</w:t>
      </w:r>
      <w:proofErr w:type="spellEnd"/>
      <w:r w:rsidRPr="006B09B0">
        <w:rPr>
          <w:sz w:val="20"/>
          <w:szCs w:val="20"/>
        </w:rPr>
        <w:t xml:space="preserve"> AS, </w:t>
      </w:r>
      <w:proofErr w:type="spellStart"/>
      <w:r w:rsidRPr="006B09B0">
        <w:rPr>
          <w:sz w:val="20"/>
          <w:szCs w:val="20"/>
        </w:rPr>
        <w:t>Sajad</w:t>
      </w:r>
      <w:proofErr w:type="spellEnd"/>
      <w:r w:rsidRPr="006B09B0">
        <w:rPr>
          <w:sz w:val="20"/>
          <w:szCs w:val="20"/>
        </w:rPr>
        <w:t xml:space="preserve"> AB, </w:t>
      </w:r>
      <w:proofErr w:type="spellStart"/>
      <w:r w:rsidRPr="006B09B0">
        <w:rPr>
          <w:sz w:val="20"/>
          <w:szCs w:val="20"/>
        </w:rPr>
        <w:t>Shabeer</w:t>
      </w:r>
      <w:proofErr w:type="spellEnd"/>
      <w:r w:rsidRPr="006B09B0">
        <w:rPr>
          <w:sz w:val="20"/>
          <w:szCs w:val="20"/>
        </w:rPr>
        <w:t xml:space="preserve"> AW</w:t>
      </w:r>
      <w:r w:rsidR="006C4D4A" w:rsidRPr="006B09B0">
        <w:rPr>
          <w:sz w:val="20"/>
          <w:szCs w:val="20"/>
        </w:rPr>
        <w:t xml:space="preserve">, </w:t>
      </w:r>
      <w:proofErr w:type="spellStart"/>
      <w:r w:rsidR="006C4D4A" w:rsidRPr="006B09B0">
        <w:rPr>
          <w:sz w:val="20"/>
          <w:szCs w:val="20"/>
        </w:rPr>
        <w:t>Ruqeya</w:t>
      </w:r>
      <w:proofErr w:type="spellEnd"/>
      <w:r w:rsidR="006C4D4A" w:rsidRPr="006B09B0">
        <w:rPr>
          <w:sz w:val="20"/>
          <w:szCs w:val="20"/>
        </w:rPr>
        <w:t xml:space="preserve"> N, and </w:t>
      </w:r>
      <w:proofErr w:type="spellStart"/>
      <w:r w:rsidR="006C4D4A" w:rsidRPr="006B09B0">
        <w:rPr>
          <w:sz w:val="20"/>
          <w:szCs w:val="20"/>
        </w:rPr>
        <w:t>Chishti</w:t>
      </w:r>
      <w:proofErr w:type="spellEnd"/>
      <w:r w:rsidR="006C4D4A" w:rsidRPr="006B09B0">
        <w:rPr>
          <w:sz w:val="20"/>
          <w:szCs w:val="20"/>
        </w:rPr>
        <w:t xml:space="preserve"> MZ</w:t>
      </w:r>
      <w:r w:rsidR="0019071A" w:rsidRPr="006B09B0">
        <w:rPr>
          <w:sz w:val="20"/>
          <w:szCs w:val="20"/>
        </w:rPr>
        <w:t xml:space="preserve">. </w:t>
      </w:r>
      <w:r w:rsidR="0019071A" w:rsidRPr="006B09B0">
        <w:rPr>
          <w:b/>
          <w:sz w:val="20"/>
          <w:szCs w:val="20"/>
        </w:rPr>
        <w:t xml:space="preserve">Determination of the incidence of </w:t>
      </w:r>
      <w:proofErr w:type="spellStart"/>
      <w:r w:rsidR="0019071A" w:rsidRPr="006B09B0">
        <w:rPr>
          <w:b/>
          <w:sz w:val="20"/>
          <w:szCs w:val="20"/>
        </w:rPr>
        <w:t>Aspergillus</w:t>
      </w:r>
      <w:proofErr w:type="spellEnd"/>
      <w:r w:rsidR="0019071A" w:rsidRPr="006B09B0">
        <w:rPr>
          <w:b/>
          <w:sz w:val="20"/>
          <w:szCs w:val="20"/>
        </w:rPr>
        <w:t xml:space="preserve"> species isolated from maize kernels and maize based products in Jammu and Kashmir, India</w:t>
      </w:r>
      <w:r w:rsidR="00295C94" w:rsidRPr="006B09B0">
        <w:rPr>
          <w:rFonts w:eastAsia="Times New Roman"/>
          <w:b/>
          <w:bCs/>
          <w:sz w:val="20"/>
          <w:szCs w:val="20"/>
          <w:lang w:bidi="fa-IR"/>
        </w:rPr>
        <w:t>.</w:t>
      </w:r>
      <w:r w:rsidR="00295C94" w:rsidRPr="006B09B0">
        <w:rPr>
          <w:bCs/>
          <w:i/>
          <w:sz w:val="20"/>
          <w:szCs w:val="20"/>
        </w:rPr>
        <w:t xml:space="preserve"> N Y </w:t>
      </w:r>
      <w:proofErr w:type="spellStart"/>
      <w:r w:rsidR="00295C94" w:rsidRPr="006B09B0">
        <w:rPr>
          <w:bCs/>
          <w:i/>
          <w:sz w:val="20"/>
          <w:szCs w:val="20"/>
        </w:rPr>
        <w:t>Sci</w:t>
      </w:r>
      <w:proofErr w:type="spellEnd"/>
      <w:r w:rsidR="00295C94" w:rsidRPr="006B09B0">
        <w:rPr>
          <w:bCs/>
          <w:i/>
          <w:sz w:val="20"/>
          <w:szCs w:val="20"/>
        </w:rPr>
        <w:t xml:space="preserve"> J</w:t>
      </w:r>
      <w:r w:rsidR="00295C94" w:rsidRPr="006B09B0">
        <w:rPr>
          <w:bCs/>
          <w:sz w:val="20"/>
          <w:szCs w:val="20"/>
        </w:rPr>
        <w:t xml:space="preserve"> </w:t>
      </w:r>
      <w:r w:rsidR="00295C94" w:rsidRPr="006B09B0">
        <w:rPr>
          <w:sz w:val="20"/>
          <w:szCs w:val="20"/>
        </w:rPr>
        <w:t>2017;10(1):</w:t>
      </w:r>
      <w:r w:rsidR="0068052A" w:rsidRPr="006B09B0">
        <w:rPr>
          <w:noProof/>
          <w:color w:val="000000"/>
          <w:sz w:val="20"/>
          <w:szCs w:val="20"/>
        </w:rPr>
        <w:t>73</w:t>
      </w:r>
      <w:r w:rsidR="00295C94" w:rsidRPr="006B09B0">
        <w:rPr>
          <w:color w:val="000000"/>
          <w:sz w:val="20"/>
          <w:szCs w:val="20"/>
        </w:rPr>
        <w:t>-</w:t>
      </w:r>
      <w:r w:rsidR="0068052A" w:rsidRPr="006B09B0">
        <w:rPr>
          <w:noProof/>
          <w:color w:val="000000"/>
          <w:sz w:val="20"/>
          <w:szCs w:val="20"/>
        </w:rPr>
        <w:t>76</w:t>
      </w:r>
      <w:r w:rsidR="00295C94" w:rsidRPr="006B09B0">
        <w:rPr>
          <w:sz w:val="20"/>
          <w:szCs w:val="20"/>
        </w:rPr>
        <w:t xml:space="preserve">]. </w:t>
      </w:r>
      <w:r w:rsidR="00295C94" w:rsidRPr="006B09B0">
        <w:rPr>
          <w:iCs/>
          <w:color w:val="000000"/>
          <w:sz w:val="20"/>
          <w:szCs w:val="20"/>
        </w:rPr>
        <w:t>ISSN 1554-0200 (print); ISSN 2375-723X (online)</w:t>
      </w:r>
      <w:r w:rsidR="00295C94" w:rsidRPr="006B09B0">
        <w:rPr>
          <w:sz w:val="20"/>
          <w:szCs w:val="20"/>
        </w:rPr>
        <w:t xml:space="preserve">. </w:t>
      </w:r>
      <w:hyperlink r:id="rId9" w:history="1">
        <w:r w:rsidR="00295C94" w:rsidRPr="006B09B0">
          <w:rPr>
            <w:rStyle w:val="Hyperlink"/>
            <w:sz w:val="20"/>
            <w:szCs w:val="20"/>
          </w:rPr>
          <w:t>http://www.sciencepub.net/newyork</w:t>
        </w:r>
      </w:hyperlink>
      <w:r w:rsidR="00295C94" w:rsidRPr="006B09B0">
        <w:rPr>
          <w:sz w:val="20"/>
          <w:szCs w:val="20"/>
        </w:rPr>
        <w:t xml:space="preserve">. </w:t>
      </w:r>
      <w:r w:rsidR="00295C94" w:rsidRPr="006B09B0">
        <w:rPr>
          <w:sz w:val="20"/>
          <w:szCs w:val="20"/>
          <w:lang w:eastAsia="zh-CN"/>
        </w:rPr>
        <w:t>11</w:t>
      </w:r>
      <w:r w:rsidR="00295C94" w:rsidRPr="006B09B0">
        <w:rPr>
          <w:sz w:val="20"/>
          <w:szCs w:val="20"/>
        </w:rPr>
        <w:t xml:space="preserve">. </w:t>
      </w:r>
      <w:r w:rsidR="00295C94" w:rsidRPr="006B09B0">
        <w:rPr>
          <w:color w:val="000000"/>
          <w:sz w:val="20"/>
          <w:szCs w:val="20"/>
          <w:shd w:val="clear" w:color="auto" w:fill="FFFFFF"/>
        </w:rPr>
        <w:t>doi:</w:t>
      </w:r>
      <w:hyperlink r:id="rId10" w:history="1">
        <w:r w:rsidR="00295C94" w:rsidRPr="006B09B0">
          <w:rPr>
            <w:rStyle w:val="Hyperlink"/>
            <w:sz w:val="20"/>
            <w:szCs w:val="20"/>
            <w:shd w:val="clear" w:color="auto" w:fill="FFFFFF"/>
          </w:rPr>
          <w:t>10.7537/marsnys100117.</w:t>
        </w:r>
        <w:r w:rsidR="00295C94" w:rsidRPr="006B09B0">
          <w:rPr>
            <w:rStyle w:val="Hyperlink"/>
            <w:sz w:val="20"/>
            <w:szCs w:val="20"/>
            <w:shd w:val="clear" w:color="auto" w:fill="FFFFFF"/>
            <w:lang w:eastAsia="zh-CN"/>
          </w:rPr>
          <w:t>11</w:t>
        </w:r>
      </w:hyperlink>
      <w:r w:rsidR="00295C94" w:rsidRPr="006B09B0">
        <w:rPr>
          <w:color w:val="000000"/>
          <w:sz w:val="20"/>
          <w:szCs w:val="20"/>
          <w:shd w:val="clear" w:color="auto" w:fill="FFFFFF"/>
        </w:rPr>
        <w:t>.</w:t>
      </w:r>
    </w:p>
    <w:p w:rsidR="0019071A" w:rsidRPr="006B09B0" w:rsidRDefault="0019071A" w:rsidP="00B83D7E">
      <w:pPr>
        <w:snapToGrid w:val="0"/>
        <w:jc w:val="both"/>
        <w:rPr>
          <w:b/>
          <w:i/>
          <w:iCs/>
          <w:sz w:val="20"/>
          <w:szCs w:val="20"/>
        </w:rPr>
      </w:pPr>
    </w:p>
    <w:p w:rsidR="006C4D4A" w:rsidRPr="006B09B0" w:rsidRDefault="001817C7" w:rsidP="00B83D7E">
      <w:pPr>
        <w:snapToGrid w:val="0"/>
        <w:jc w:val="both"/>
        <w:rPr>
          <w:sz w:val="20"/>
          <w:szCs w:val="20"/>
        </w:rPr>
      </w:pPr>
      <w:r w:rsidRPr="006B09B0">
        <w:rPr>
          <w:b/>
          <w:sz w:val="20"/>
          <w:szCs w:val="20"/>
        </w:rPr>
        <w:t>Keywords:</w:t>
      </w:r>
      <w:r w:rsidR="00B83D7E" w:rsidRPr="006B09B0">
        <w:rPr>
          <w:sz w:val="20"/>
          <w:szCs w:val="20"/>
        </w:rPr>
        <w:t xml:space="preserve"> </w:t>
      </w:r>
      <w:r w:rsidR="006C4D4A" w:rsidRPr="006B09B0">
        <w:rPr>
          <w:sz w:val="20"/>
          <w:szCs w:val="20"/>
        </w:rPr>
        <w:t xml:space="preserve">Fungi, </w:t>
      </w:r>
      <w:proofErr w:type="spellStart"/>
      <w:r w:rsidR="006C4D4A" w:rsidRPr="006B09B0">
        <w:rPr>
          <w:i/>
          <w:iCs/>
          <w:sz w:val="20"/>
          <w:szCs w:val="20"/>
        </w:rPr>
        <w:t>Aspergillus</w:t>
      </w:r>
      <w:proofErr w:type="spellEnd"/>
      <w:r w:rsidR="006C4D4A" w:rsidRPr="006B09B0">
        <w:rPr>
          <w:i/>
          <w:iCs/>
          <w:sz w:val="20"/>
          <w:szCs w:val="20"/>
        </w:rPr>
        <w:t xml:space="preserve">, </w:t>
      </w:r>
      <w:r w:rsidR="006C4D4A" w:rsidRPr="006B09B0">
        <w:rPr>
          <w:sz w:val="20"/>
          <w:szCs w:val="20"/>
        </w:rPr>
        <w:t>stored food items, maize and maize based products</w:t>
      </w:r>
    </w:p>
    <w:p w:rsidR="00B83D7E" w:rsidRPr="006B09B0" w:rsidRDefault="00B83D7E" w:rsidP="00B83D7E">
      <w:pPr>
        <w:snapToGrid w:val="0"/>
        <w:jc w:val="both"/>
        <w:rPr>
          <w:b/>
          <w:sz w:val="20"/>
          <w:szCs w:val="20"/>
        </w:rPr>
      </w:pPr>
    </w:p>
    <w:p w:rsidR="00B83D7E" w:rsidRPr="006B09B0" w:rsidRDefault="00B83D7E" w:rsidP="00B83D7E">
      <w:pPr>
        <w:snapToGrid w:val="0"/>
        <w:jc w:val="both"/>
        <w:rPr>
          <w:b/>
          <w:sz w:val="20"/>
          <w:szCs w:val="20"/>
        </w:rPr>
        <w:sectPr w:rsidR="00B83D7E" w:rsidRPr="006B09B0" w:rsidSect="0068052A">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73"/>
          <w:cols w:space="720"/>
          <w:docGrid w:linePitch="360"/>
        </w:sectPr>
      </w:pPr>
    </w:p>
    <w:p w:rsidR="00471E57" w:rsidRPr="006B09B0" w:rsidRDefault="00471E57" w:rsidP="00B83D7E">
      <w:pPr>
        <w:snapToGrid w:val="0"/>
        <w:jc w:val="both"/>
        <w:rPr>
          <w:b/>
          <w:sz w:val="20"/>
          <w:szCs w:val="20"/>
        </w:rPr>
      </w:pPr>
      <w:r w:rsidRPr="006B09B0">
        <w:rPr>
          <w:b/>
          <w:sz w:val="20"/>
          <w:szCs w:val="20"/>
        </w:rPr>
        <w:lastRenderedPageBreak/>
        <w:t>1. Introduction</w:t>
      </w:r>
    </w:p>
    <w:p w:rsidR="006C4D4A" w:rsidRPr="006B09B0" w:rsidRDefault="006C4D4A" w:rsidP="00B83D7E">
      <w:pPr>
        <w:snapToGrid w:val="0"/>
        <w:ind w:firstLine="425"/>
        <w:jc w:val="both"/>
        <w:rPr>
          <w:b/>
          <w:sz w:val="20"/>
          <w:szCs w:val="20"/>
        </w:rPr>
      </w:pPr>
      <w:r w:rsidRPr="006B09B0">
        <w:rPr>
          <w:sz w:val="20"/>
          <w:szCs w:val="20"/>
        </w:rPr>
        <w:t>Food microbiology is an untouched field in Kashmir valley where majority of population derive their livelihood from agriculture and other related practices. In food microbiology, the utmost importance is the study of microorganisms involved in food spoilage and can risk human health (</w:t>
      </w:r>
      <w:proofErr w:type="spellStart"/>
      <w:r w:rsidRPr="006B09B0">
        <w:rPr>
          <w:sz w:val="20"/>
          <w:szCs w:val="20"/>
        </w:rPr>
        <w:t>Fratamico</w:t>
      </w:r>
      <w:proofErr w:type="spellEnd"/>
      <w:r w:rsidRPr="006B09B0">
        <w:rPr>
          <w:sz w:val="20"/>
          <w:szCs w:val="20"/>
        </w:rPr>
        <w:t xml:space="preserve"> PM and </w:t>
      </w:r>
      <w:proofErr w:type="spellStart"/>
      <w:r w:rsidRPr="006B09B0">
        <w:rPr>
          <w:sz w:val="20"/>
          <w:szCs w:val="20"/>
        </w:rPr>
        <w:t>Bayles</w:t>
      </w:r>
      <w:proofErr w:type="spellEnd"/>
      <w:r w:rsidRPr="006B09B0">
        <w:rPr>
          <w:sz w:val="20"/>
          <w:szCs w:val="20"/>
        </w:rPr>
        <w:t xml:space="preserve"> DO, 2005). The pathogens deteriorating the food items are the leading causes of illness and death in undeveloped countries, accounting approximately 1.8 million deaths annually (</w:t>
      </w:r>
      <w:proofErr w:type="spellStart"/>
      <w:r w:rsidRPr="006B09B0">
        <w:rPr>
          <w:sz w:val="20"/>
          <w:szCs w:val="20"/>
        </w:rPr>
        <w:t>Faruque</w:t>
      </w:r>
      <w:proofErr w:type="spellEnd"/>
      <w:r w:rsidRPr="006B09B0">
        <w:rPr>
          <w:sz w:val="20"/>
          <w:szCs w:val="20"/>
        </w:rPr>
        <w:t xml:space="preserve">, SM, 2012). The natural fungal flora associated with foods is dominated by three genera of fungi; </w:t>
      </w:r>
      <w:proofErr w:type="spellStart"/>
      <w:r w:rsidRPr="006B09B0">
        <w:rPr>
          <w:i/>
          <w:iCs/>
          <w:sz w:val="20"/>
          <w:szCs w:val="20"/>
        </w:rPr>
        <w:t>Aspergillus</w:t>
      </w:r>
      <w:proofErr w:type="spellEnd"/>
      <w:r w:rsidRPr="006B09B0">
        <w:rPr>
          <w:sz w:val="20"/>
          <w:szCs w:val="20"/>
        </w:rPr>
        <w:t xml:space="preserve">, </w:t>
      </w:r>
      <w:proofErr w:type="spellStart"/>
      <w:r w:rsidRPr="006B09B0">
        <w:rPr>
          <w:i/>
          <w:iCs/>
          <w:sz w:val="20"/>
          <w:szCs w:val="20"/>
        </w:rPr>
        <w:t>Fusarium</w:t>
      </w:r>
      <w:proofErr w:type="spellEnd"/>
      <w:r w:rsidRPr="006B09B0">
        <w:rPr>
          <w:sz w:val="20"/>
          <w:szCs w:val="20"/>
        </w:rPr>
        <w:t xml:space="preserve">, and </w:t>
      </w:r>
      <w:proofErr w:type="spellStart"/>
      <w:r w:rsidRPr="006B09B0">
        <w:rPr>
          <w:i/>
          <w:iCs/>
          <w:sz w:val="20"/>
          <w:szCs w:val="20"/>
        </w:rPr>
        <w:t>Penicillium</w:t>
      </w:r>
      <w:proofErr w:type="spellEnd"/>
      <w:r w:rsidRPr="006B09B0">
        <w:rPr>
          <w:i/>
          <w:iCs/>
          <w:sz w:val="20"/>
          <w:szCs w:val="20"/>
        </w:rPr>
        <w:t xml:space="preserve">, </w:t>
      </w:r>
      <w:r w:rsidRPr="006B09B0">
        <w:rPr>
          <w:sz w:val="20"/>
          <w:szCs w:val="20"/>
        </w:rPr>
        <w:t xml:space="preserve">which except for the </w:t>
      </w:r>
      <w:proofErr w:type="spellStart"/>
      <w:r w:rsidRPr="006B09B0">
        <w:rPr>
          <w:i/>
          <w:iCs/>
          <w:sz w:val="20"/>
          <w:szCs w:val="20"/>
        </w:rPr>
        <w:t>Fusarium</w:t>
      </w:r>
      <w:proofErr w:type="spellEnd"/>
      <w:r w:rsidRPr="006B09B0">
        <w:rPr>
          <w:i/>
          <w:iCs/>
          <w:sz w:val="20"/>
          <w:szCs w:val="20"/>
        </w:rPr>
        <w:t xml:space="preserve"> </w:t>
      </w:r>
      <w:r w:rsidRPr="006B09B0">
        <w:rPr>
          <w:sz w:val="20"/>
          <w:szCs w:val="20"/>
        </w:rPr>
        <w:t xml:space="preserve">plant pathogens, may include </w:t>
      </w:r>
      <w:proofErr w:type="spellStart"/>
      <w:r w:rsidRPr="006B09B0">
        <w:rPr>
          <w:sz w:val="20"/>
          <w:szCs w:val="20"/>
        </w:rPr>
        <w:t>commensals</w:t>
      </w:r>
      <w:proofErr w:type="spellEnd"/>
      <w:r w:rsidRPr="006B09B0">
        <w:rPr>
          <w:sz w:val="20"/>
          <w:szCs w:val="20"/>
        </w:rPr>
        <w:t xml:space="preserve"> as well as pathogens with majority of </w:t>
      </w:r>
      <w:proofErr w:type="spellStart"/>
      <w:r w:rsidRPr="006B09B0">
        <w:rPr>
          <w:sz w:val="20"/>
          <w:szCs w:val="20"/>
        </w:rPr>
        <w:t>Aspergillus</w:t>
      </w:r>
      <w:proofErr w:type="spellEnd"/>
      <w:r w:rsidRPr="006B09B0">
        <w:rPr>
          <w:sz w:val="20"/>
          <w:szCs w:val="20"/>
        </w:rPr>
        <w:t xml:space="preserve"> species being pathogenic. </w:t>
      </w:r>
      <w:proofErr w:type="spellStart"/>
      <w:r w:rsidRPr="006B09B0">
        <w:rPr>
          <w:bCs/>
          <w:i/>
          <w:iCs/>
          <w:sz w:val="20"/>
          <w:szCs w:val="20"/>
        </w:rPr>
        <w:t>Aspergillus</w:t>
      </w:r>
      <w:proofErr w:type="spellEnd"/>
      <w:r w:rsidRPr="006B09B0">
        <w:rPr>
          <w:bCs/>
          <w:i/>
          <w:iCs/>
          <w:sz w:val="20"/>
          <w:szCs w:val="20"/>
        </w:rPr>
        <w:t xml:space="preserve"> </w:t>
      </w:r>
      <w:proofErr w:type="spellStart"/>
      <w:r w:rsidRPr="006B09B0">
        <w:rPr>
          <w:bCs/>
          <w:i/>
          <w:iCs/>
          <w:sz w:val="20"/>
          <w:szCs w:val="20"/>
        </w:rPr>
        <w:t>flavus</w:t>
      </w:r>
      <w:proofErr w:type="spellEnd"/>
      <w:r w:rsidRPr="006B09B0">
        <w:rPr>
          <w:bCs/>
          <w:i/>
          <w:iCs/>
          <w:sz w:val="20"/>
          <w:szCs w:val="20"/>
        </w:rPr>
        <w:t>,</w:t>
      </w:r>
      <w:r w:rsidRPr="006B09B0">
        <w:rPr>
          <w:bCs/>
          <w:sz w:val="20"/>
          <w:szCs w:val="20"/>
        </w:rPr>
        <w:t xml:space="preserve"> </w:t>
      </w:r>
      <w:r w:rsidRPr="006B09B0">
        <w:rPr>
          <w:bCs/>
          <w:i/>
          <w:iCs/>
          <w:sz w:val="20"/>
          <w:szCs w:val="20"/>
        </w:rPr>
        <w:t xml:space="preserve">A. </w:t>
      </w:r>
      <w:proofErr w:type="spellStart"/>
      <w:r w:rsidRPr="006B09B0">
        <w:rPr>
          <w:bCs/>
          <w:i/>
          <w:iCs/>
          <w:sz w:val="20"/>
          <w:szCs w:val="20"/>
        </w:rPr>
        <w:t>parasiticus</w:t>
      </w:r>
      <w:proofErr w:type="spellEnd"/>
      <w:r w:rsidRPr="006B09B0">
        <w:rPr>
          <w:bCs/>
          <w:i/>
          <w:iCs/>
          <w:sz w:val="20"/>
          <w:szCs w:val="20"/>
        </w:rPr>
        <w:t xml:space="preserve"> and </w:t>
      </w:r>
      <w:proofErr w:type="spellStart"/>
      <w:r w:rsidRPr="006B09B0">
        <w:rPr>
          <w:bCs/>
          <w:i/>
          <w:iCs/>
          <w:sz w:val="20"/>
          <w:szCs w:val="20"/>
        </w:rPr>
        <w:t>Aspergillus</w:t>
      </w:r>
      <w:proofErr w:type="spellEnd"/>
      <w:r w:rsidRPr="006B09B0">
        <w:rPr>
          <w:bCs/>
          <w:i/>
          <w:iCs/>
          <w:sz w:val="20"/>
          <w:szCs w:val="20"/>
        </w:rPr>
        <w:t xml:space="preserve"> </w:t>
      </w:r>
      <w:proofErr w:type="spellStart"/>
      <w:r w:rsidRPr="006B09B0">
        <w:rPr>
          <w:bCs/>
          <w:i/>
          <w:iCs/>
          <w:sz w:val="20"/>
          <w:szCs w:val="20"/>
        </w:rPr>
        <w:t>niger</w:t>
      </w:r>
      <w:proofErr w:type="spellEnd"/>
      <w:r w:rsidRPr="006B09B0">
        <w:rPr>
          <w:bCs/>
          <w:i/>
          <w:iCs/>
          <w:sz w:val="20"/>
          <w:szCs w:val="20"/>
        </w:rPr>
        <w:t xml:space="preserve"> </w:t>
      </w:r>
      <w:r w:rsidRPr="006B09B0">
        <w:rPr>
          <w:bCs/>
          <w:sz w:val="20"/>
          <w:szCs w:val="20"/>
        </w:rPr>
        <w:t xml:space="preserve">are the most important </w:t>
      </w:r>
      <w:proofErr w:type="spellStart"/>
      <w:r w:rsidRPr="006B09B0">
        <w:rPr>
          <w:bCs/>
          <w:sz w:val="20"/>
          <w:szCs w:val="20"/>
        </w:rPr>
        <w:t>aflatoxigenic</w:t>
      </w:r>
      <w:proofErr w:type="spellEnd"/>
      <w:r w:rsidRPr="006B09B0">
        <w:rPr>
          <w:bCs/>
          <w:sz w:val="20"/>
          <w:szCs w:val="20"/>
        </w:rPr>
        <w:t>/pathogenic species naturally occurring in agricultural commodities (Pitt and Hocking, 1997).</w:t>
      </w:r>
      <w:r w:rsidR="00B83D7E" w:rsidRPr="006B09B0">
        <w:rPr>
          <w:bCs/>
          <w:sz w:val="20"/>
          <w:szCs w:val="20"/>
        </w:rPr>
        <w:t xml:space="preserve"> </w:t>
      </w:r>
      <w:r w:rsidRPr="006B09B0">
        <w:rPr>
          <w:bCs/>
          <w:sz w:val="20"/>
          <w:szCs w:val="20"/>
        </w:rPr>
        <w:t xml:space="preserve">Distributed worldwide in soil and air, these species can primarily colonize plants in the field and secondarily transfect harvested or stored plant products. Maize and walnuts are the common agricultural products commonly consumed in Kashmir. However, maize, maize based products and walnuts are vulnerable to degradation by </w:t>
      </w:r>
      <w:proofErr w:type="spellStart"/>
      <w:r w:rsidRPr="006B09B0">
        <w:rPr>
          <w:bCs/>
          <w:sz w:val="20"/>
          <w:szCs w:val="20"/>
        </w:rPr>
        <w:t>mycotoxigenic</w:t>
      </w:r>
      <w:proofErr w:type="spellEnd"/>
      <w:r w:rsidRPr="006B09B0">
        <w:rPr>
          <w:bCs/>
          <w:sz w:val="20"/>
          <w:szCs w:val="20"/>
        </w:rPr>
        <w:t xml:space="preserve"> fungi belonging to </w:t>
      </w:r>
      <w:proofErr w:type="spellStart"/>
      <w:r w:rsidRPr="006B09B0">
        <w:rPr>
          <w:bCs/>
          <w:i/>
          <w:iCs/>
          <w:sz w:val="20"/>
          <w:szCs w:val="20"/>
        </w:rPr>
        <w:t>Aspergillus</w:t>
      </w:r>
      <w:proofErr w:type="spellEnd"/>
      <w:r w:rsidRPr="006B09B0">
        <w:rPr>
          <w:bCs/>
          <w:i/>
          <w:iCs/>
          <w:sz w:val="20"/>
          <w:szCs w:val="20"/>
        </w:rPr>
        <w:t xml:space="preserve">, </w:t>
      </w:r>
      <w:proofErr w:type="spellStart"/>
      <w:r w:rsidRPr="006B09B0">
        <w:rPr>
          <w:bCs/>
          <w:i/>
          <w:iCs/>
          <w:sz w:val="20"/>
          <w:szCs w:val="20"/>
        </w:rPr>
        <w:lastRenderedPageBreak/>
        <w:t>Fusarium</w:t>
      </w:r>
      <w:proofErr w:type="spellEnd"/>
      <w:r w:rsidRPr="006B09B0">
        <w:rPr>
          <w:bCs/>
          <w:i/>
          <w:iCs/>
          <w:sz w:val="20"/>
          <w:szCs w:val="20"/>
        </w:rPr>
        <w:t xml:space="preserve"> </w:t>
      </w:r>
      <w:r w:rsidRPr="006B09B0">
        <w:rPr>
          <w:bCs/>
          <w:sz w:val="20"/>
          <w:szCs w:val="20"/>
        </w:rPr>
        <w:t xml:space="preserve">and </w:t>
      </w:r>
      <w:proofErr w:type="spellStart"/>
      <w:r w:rsidRPr="006B09B0">
        <w:rPr>
          <w:bCs/>
          <w:i/>
          <w:iCs/>
          <w:sz w:val="20"/>
          <w:szCs w:val="20"/>
        </w:rPr>
        <w:t>Penicillium</w:t>
      </w:r>
      <w:proofErr w:type="spellEnd"/>
      <w:r w:rsidRPr="006B09B0">
        <w:rPr>
          <w:bCs/>
          <w:i/>
          <w:iCs/>
          <w:sz w:val="20"/>
          <w:szCs w:val="20"/>
        </w:rPr>
        <w:t xml:space="preserve"> </w:t>
      </w:r>
      <w:r w:rsidRPr="006B09B0">
        <w:rPr>
          <w:bCs/>
          <w:sz w:val="20"/>
          <w:szCs w:val="20"/>
        </w:rPr>
        <w:t xml:space="preserve">genera. Contamination of maize by these fungi renders the grain unfit for human consumption due to </w:t>
      </w:r>
      <w:proofErr w:type="spellStart"/>
      <w:r w:rsidRPr="006B09B0">
        <w:rPr>
          <w:bCs/>
          <w:sz w:val="20"/>
          <w:szCs w:val="20"/>
        </w:rPr>
        <w:t>discolouration</w:t>
      </w:r>
      <w:proofErr w:type="spellEnd"/>
      <w:r w:rsidRPr="006B09B0">
        <w:rPr>
          <w:bCs/>
          <w:sz w:val="20"/>
          <w:szCs w:val="20"/>
        </w:rPr>
        <w:t xml:space="preserve">, reduction in nutritional value and most importantly the production of </w:t>
      </w:r>
      <w:proofErr w:type="spellStart"/>
      <w:r w:rsidRPr="006B09B0">
        <w:rPr>
          <w:bCs/>
          <w:sz w:val="20"/>
          <w:szCs w:val="20"/>
        </w:rPr>
        <w:t>Mycotoxins</w:t>
      </w:r>
      <w:proofErr w:type="spellEnd"/>
      <w:r w:rsidRPr="006B09B0">
        <w:rPr>
          <w:bCs/>
          <w:sz w:val="20"/>
          <w:szCs w:val="20"/>
        </w:rPr>
        <w:t xml:space="preserve">. The potential for spoilage and </w:t>
      </w:r>
      <w:proofErr w:type="spellStart"/>
      <w:r w:rsidRPr="006B09B0">
        <w:rPr>
          <w:bCs/>
          <w:sz w:val="20"/>
          <w:szCs w:val="20"/>
        </w:rPr>
        <w:t>mycotoxin</w:t>
      </w:r>
      <w:proofErr w:type="spellEnd"/>
      <w:r w:rsidRPr="006B09B0">
        <w:rPr>
          <w:bCs/>
          <w:sz w:val="20"/>
          <w:szCs w:val="20"/>
        </w:rPr>
        <w:t xml:space="preserve"> production depends upon the types of fungi present, the composition of the food and the conditions of handling and storage. For example, dried foods are susceptible to spoilage and toxin production if storage temperature is suitable for fungal growth (</w:t>
      </w:r>
      <w:proofErr w:type="spellStart"/>
      <w:r w:rsidRPr="006B09B0">
        <w:rPr>
          <w:bCs/>
          <w:sz w:val="20"/>
          <w:szCs w:val="20"/>
        </w:rPr>
        <w:t>Misra</w:t>
      </w:r>
      <w:proofErr w:type="spellEnd"/>
      <w:r w:rsidRPr="006B09B0">
        <w:rPr>
          <w:bCs/>
          <w:sz w:val="20"/>
          <w:szCs w:val="20"/>
        </w:rPr>
        <w:t>, 1981).</w:t>
      </w:r>
    </w:p>
    <w:p w:rsidR="00645069" w:rsidRPr="006B09B0" w:rsidRDefault="006C4D4A" w:rsidP="006B09B0">
      <w:pPr>
        <w:snapToGrid w:val="0"/>
        <w:ind w:firstLine="425"/>
        <w:jc w:val="both"/>
        <w:rPr>
          <w:b/>
          <w:sz w:val="20"/>
          <w:szCs w:val="20"/>
        </w:rPr>
      </w:pPr>
      <w:r w:rsidRPr="006B09B0">
        <w:rPr>
          <w:bCs/>
          <w:sz w:val="20"/>
          <w:szCs w:val="20"/>
        </w:rPr>
        <w:t xml:space="preserve">The present study was carried out to examine the </w:t>
      </w:r>
      <w:proofErr w:type="spellStart"/>
      <w:r w:rsidRPr="006B09B0">
        <w:rPr>
          <w:bCs/>
          <w:i/>
          <w:iCs/>
          <w:sz w:val="20"/>
          <w:szCs w:val="20"/>
        </w:rPr>
        <w:t>Aspergillus</w:t>
      </w:r>
      <w:proofErr w:type="spellEnd"/>
      <w:r w:rsidRPr="006B09B0">
        <w:rPr>
          <w:bCs/>
          <w:sz w:val="20"/>
          <w:szCs w:val="20"/>
        </w:rPr>
        <w:t xml:space="preserve"> population in food samples (maize and maize based products) from different regions in Kashmir and to find various species belonging to genus </w:t>
      </w:r>
      <w:proofErr w:type="spellStart"/>
      <w:r w:rsidRPr="006B09B0">
        <w:rPr>
          <w:bCs/>
          <w:i/>
          <w:iCs/>
          <w:sz w:val="20"/>
          <w:szCs w:val="20"/>
        </w:rPr>
        <w:t>Aspergillus</w:t>
      </w:r>
      <w:proofErr w:type="spellEnd"/>
      <w:r w:rsidRPr="006B09B0">
        <w:rPr>
          <w:bCs/>
          <w:sz w:val="20"/>
          <w:szCs w:val="20"/>
        </w:rPr>
        <w:t>.</w:t>
      </w:r>
    </w:p>
    <w:p w:rsidR="00471E57" w:rsidRPr="006B09B0" w:rsidRDefault="00471E57" w:rsidP="00B83D7E">
      <w:pPr>
        <w:snapToGrid w:val="0"/>
        <w:jc w:val="both"/>
        <w:rPr>
          <w:b/>
          <w:sz w:val="20"/>
          <w:szCs w:val="20"/>
        </w:rPr>
      </w:pPr>
      <w:r w:rsidRPr="006B09B0">
        <w:rPr>
          <w:b/>
          <w:sz w:val="20"/>
          <w:szCs w:val="20"/>
        </w:rPr>
        <w:t>2. Material and Methods</w:t>
      </w:r>
    </w:p>
    <w:p w:rsidR="006C4D4A" w:rsidRPr="006B09B0" w:rsidRDefault="006C4D4A" w:rsidP="00B83D7E">
      <w:pPr>
        <w:snapToGrid w:val="0"/>
        <w:jc w:val="both"/>
        <w:rPr>
          <w:b/>
          <w:sz w:val="20"/>
          <w:szCs w:val="20"/>
        </w:rPr>
      </w:pPr>
      <w:r w:rsidRPr="006B09B0">
        <w:rPr>
          <w:b/>
          <w:bCs/>
          <w:sz w:val="20"/>
          <w:szCs w:val="20"/>
        </w:rPr>
        <w:t>Sample collection</w:t>
      </w:r>
    </w:p>
    <w:p w:rsidR="006C4D4A" w:rsidRPr="006B09B0" w:rsidRDefault="006C4D4A" w:rsidP="00B83D7E">
      <w:pPr>
        <w:snapToGrid w:val="0"/>
        <w:ind w:firstLine="425"/>
        <w:jc w:val="both"/>
        <w:rPr>
          <w:b/>
          <w:sz w:val="20"/>
          <w:szCs w:val="20"/>
        </w:rPr>
      </w:pPr>
      <w:r w:rsidRPr="006B09B0">
        <w:rPr>
          <w:bCs/>
          <w:sz w:val="20"/>
          <w:szCs w:val="20"/>
        </w:rPr>
        <w:t>Sampling was carried out in three different regions of temperate Kashmir valley namely, north, south and central districts of Kashmir during the 2013 and 2014 cropping seasons (Table 1). Two kilograms of each of the following were collected; whole maize grain (455 samples), se</w:t>
      </w:r>
      <w:r w:rsidR="00A51847" w:rsidRPr="006B09B0">
        <w:rPr>
          <w:bCs/>
          <w:sz w:val="20"/>
          <w:szCs w:val="20"/>
        </w:rPr>
        <w:t xml:space="preserve">mi-processed grain (115 </w:t>
      </w:r>
      <w:r w:rsidRPr="006B09B0">
        <w:rPr>
          <w:bCs/>
          <w:sz w:val="20"/>
          <w:szCs w:val="20"/>
        </w:rPr>
        <w:t xml:space="preserve">samples) and maize flour (36 samples). The samples were collected from farmers and traders (shops and markets) in each of the three regions. Packed maize flour samples were collected from shops, markets and </w:t>
      </w:r>
      <w:r w:rsidRPr="006B09B0">
        <w:rPr>
          <w:bCs/>
          <w:sz w:val="20"/>
          <w:szCs w:val="20"/>
        </w:rPr>
        <w:lastRenderedPageBreak/>
        <w:t>farmers in the same regions. The samples were packed in sterilized polythene bags and stored at 4</w:t>
      </w:r>
      <w:r w:rsidRPr="006B09B0">
        <w:rPr>
          <w:bCs/>
          <w:sz w:val="20"/>
          <w:szCs w:val="20"/>
          <w:vertAlign w:val="superscript"/>
        </w:rPr>
        <w:t>0</w:t>
      </w:r>
      <w:r w:rsidRPr="006B09B0">
        <w:rPr>
          <w:bCs/>
          <w:sz w:val="20"/>
          <w:szCs w:val="20"/>
        </w:rPr>
        <w:t>C until analysis. Fungal isolation and culturing was done at Microbiology and Pathology laboratory, Centre of Research for Development, University of Kashmir, Srinagar, India.</w:t>
      </w:r>
    </w:p>
    <w:p w:rsidR="006C4D4A" w:rsidRPr="006B09B0" w:rsidRDefault="006C4D4A" w:rsidP="00B83D7E">
      <w:pPr>
        <w:snapToGrid w:val="0"/>
        <w:jc w:val="both"/>
        <w:rPr>
          <w:b/>
          <w:sz w:val="20"/>
          <w:szCs w:val="20"/>
        </w:rPr>
      </w:pPr>
      <w:r w:rsidRPr="006B09B0">
        <w:rPr>
          <w:b/>
          <w:sz w:val="20"/>
          <w:szCs w:val="20"/>
        </w:rPr>
        <w:t>Isolation and identification of fungi</w:t>
      </w:r>
    </w:p>
    <w:p w:rsidR="006C4D4A" w:rsidRPr="006B09B0" w:rsidRDefault="006C4D4A" w:rsidP="00B83D7E">
      <w:pPr>
        <w:snapToGrid w:val="0"/>
        <w:jc w:val="both"/>
        <w:rPr>
          <w:b/>
          <w:bCs/>
          <w:sz w:val="20"/>
          <w:szCs w:val="20"/>
        </w:rPr>
      </w:pPr>
      <w:r w:rsidRPr="006B09B0">
        <w:rPr>
          <w:b/>
          <w:bCs/>
          <w:sz w:val="20"/>
          <w:szCs w:val="20"/>
        </w:rPr>
        <w:t>Isolation of fungi by direct plating method</w:t>
      </w:r>
    </w:p>
    <w:p w:rsidR="006C4D4A" w:rsidRPr="006B09B0" w:rsidRDefault="006C4D4A" w:rsidP="00B83D7E">
      <w:pPr>
        <w:snapToGrid w:val="0"/>
        <w:ind w:firstLine="425"/>
        <w:jc w:val="both"/>
        <w:rPr>
          <w:sz w:val="20"/>
          <w:szCs w:val="20"/>
        </w:rPr>
      </w:pPr>
      <w:r w:rsidRPr="006B09B0">
        <w:rPr>
          <w:sz w:val="20"/>
          <w:szCs w:val="20"/>
        </w:rPr>
        <w:t xml:space="preserve">The method used for isolation of fungi was previously described by Abdullah </w:t>
      </w:r>
      <w:r w:rsidRPr="006B09B0">
        <w:rPr>
          <w:i/>
          <w:iCs/>
          <w:sz w:val="20"/>
          <w:szCs w:val="20"/>
        </w:rPr>
        <w:t>et al</w:t>
      </w:r>
      <w:r w:rsidRPr="006B09B0">
        <w:rPr>
          <w:sz w:val="20"/>
          <w:szCs w:val="20"/>
        </w:rPr>
        <w:t>. (2002). Twenty</w:t>
      </w:r>
      <w:r w:rsidR="00B83D7E" w:rsidRPr="006B09B0">
        <w:rPr>
          <w:sz w:val="20"/>
          <w:szCs w:val="20"/>
        </w:rPr>
        <w:t xml:space="preserve"> </w:t>
      </w:r>
      <w:r w:rsidRPr="006B09B0">
        <w:rPr>
          <w:sz w:val="20"/>
          <w:szCs w:val="20"/>
        </w:rPr>
        <w:t>grams of each sample were surface sterilized by 9% sodium hypochlorite solution (</w:t>
      </w:r>
      <w:proofErr w:type="spellStart"/>
      <w:r w:rsidRPr="006B09B0">
        <w:rPr>
          <w:sz w:val="20"/>
          <w:szCs w:val="20"/>
        </w:rPr>
        <w:t>NaOCl</w:t>
      </w:r>
      <w:proofErr w:type="spellEnd"/>
      <w:r w:rsidRPr="006B09B0">
        <w:rPr>
          <w:sz w:val="20"/>
          <w:szCs w:val="20"/>
        </w:rPr>
        <w:t>) in a sterile conical flask for 2-3 min, and then washed by distill water 3 times for 1-2 min to removing the toxic activity of the chemical agent on the samples. The disinfected samples transferred with sterile forceps into Petri dish contain sterilized Potato Dextrose Agar (PDA), at the rate of (4-6) pieces per plate, depending on the size of the particles, lager samples cut into small pieces. PDA supplemented with 0.5 mg Streptomycin</w:t>
      </w:r>
      <w:r w:rsidR="002E034E" w:rsidRPr="006B09B0">
        <w:rPr>
          <w:sz w:val="20"/>
          <w:szCs w:val="20"/>
        </w:rPr>
        <w:t>/ml</w:t>
      </w:r>
      <w:r w:rsidRPr="006B09B0">
        <w:rPr>
          <w:sz w:val="20"/>
          <w:szCs w:val="20"/>
        </w:rPr>
        <w:t xml:space="preserve"> to restrict bacterial growth. Three replicates were made and the plates were incuba</w:t>
      </w:r>
      <w:r w:rsidR="002E034E" w:rsidRPr="006B09B0">
        <w:rPr>
          <w:sz w:val="20"/>
          <w:szCs w:val="20"/>
        </w:rPr>
        <w:t xml:space="preserve">ted at 25°C for 5-7 days. Fungal </w:t>
      </w:r>
      <w:r w:rsidRPr="006B09B0">
        <w:rPr>
          <w:sz w:val="20"/>
          <w:szCs w:val="20"/>
        </w:rPr>
        <w:t>colonies were identified according to morphological and microscopic characteristics.</w:t>
      </w:r>
    </w:p>
    <w:p w:rsidR="006C4D4A" w:rsidRPr="006B09B0" w:rsidRDefault="006C4D4A" w:rsidP="00B83D7E">
      <w:pPr>
        <w:snapToGrid w:val="0"/>
        <w:jc w:val="both"/>
        <w:rPr>
          <w:sz w:val="20"/>
          <w:szCs w:val="20"/>
        </w:rPr>
      </w:pPr>
      <w:r w:rsidRPr="006B09B0">
        <w:rPr>
          <w:b/>
          <w:bCs/>
          <w:sz w:val="20"/>
          <w:szCs w:val="20"/>
        </w:rPr>
        <w:t xml:space="preserve">Isolation of sample surface </w:t>
      </w:r>
      <w:proofErr w:type="spellStart"/>
      <w:r w:rsidRPr="006B09B0">
        <w:rPr>
          <w:b/>
          <w:bCs/>
          <w:sz w:val="20"/>
          <w:szCs w:val="20"/>
        </w:rPr>
        <w:t>mycoflora</w:t>
      </w:r>
      <w:proofErr w:type="spellEnd"/>
    </w:p>
    <w:p w:rsidR="006C4D4A" w:rsidRPr="006B09B0" w:rsidRDefault="006C4D4A" w:rsidP="00B83D7E">
      <w:pPr>
        <w:snapToGrid w:val="0"/>
        <w:ind w:firstLine="425"/>
        <w:jc w:val="both"/>
        <w:rPr>
          <w:sz w:val="20"/>
          <w:szCs w:val="20"/>
        </w:rPr>
      </w:pPr>
      <w:r w:rsidRPr="006B09B0">
        <w:rPr>
          <w:sz w:val="20"/>
          <w:szCs w:val="20"/>
        </w:rPr>
        <w:t xml:space="preserve">The collected samples were directly cultured without surface sterilization at the rate of 6-8 samples/Petri plate into Petri dish containing sterilized malt extract agar (MEA) and Potato Dextrose Agar (PDA). Three replicates were made and the plates were incubated at 25°C for 5-7 days. Fungi colonies were identified according to morphological and microscopic characteristics (Pitt </w:t>
      </w:r>
      <w:r w:rsidRPr="006B09B0">
        <w:rPr>
          <w:i/>
          <w:iCs/>
          <w:sz w:val="20"/>
          <w:szCs w:val="20"/>
        </w:rPr>
        <w:t>et al</w:t>
      </w:r>
      <w:r w:rsidRPr="006B09B0">
        <w:rPr>
          <w:sz w:val="20"/>
          <w:szCs w:val="20"/>
        </w:rPr>
        <w:t>., 1992).</w:t>
      </w:r>
    </w:p>
    <w:p w:rsidR="006C4D4A" w:rsidRPr="006B09B0" w:rsidRDefault="006C4D4A" w:rsidP="00B83D7E">
      <w:pPr>
        <w:snapToGrid w:val="0"/>
        <w:jc w:val="both"/>
        <w:rPr>
          <w:b/>
          <w:bCs/>
          <w:sz w:val="20"/>
          <w:szCs w:val="20"/>
        </w:rPr>
      </w:pPr>
      <w:r w:rsidRPr="006B09B0">
        <w:rPr>
          <w:b/>
          <w:bCs/>
          <w:sz w:val="20"/>
          <w:szCs w:val="20"/>
        </w:rPr>
        <w:t>Isolation by Standard dilution method</w:t>
      </w:r>
    </w:p>
    <w:p w:rsidR="006C4D4A" w:rsidRPr="006B09B0" w:rsidRDefault="006C4D4A" w:rsidP="00B83D7E">
      <w:pPr>
        <w:snapToGrid w:val="0"/>
        <w:ind w:firstLine="425"/>
        <w:jc w:val="both"/>
        <w:rPr>
          <w:sz w:val="20"/>
          <w:szCs w:val="20"/>
        </w:rPr>
      </w:pPr>
      <w:r w:rsidRPr="006B09B0">
        <w:rPr>
          <w:sz w:val="20"/>
          <w:szCs w:val="20"/>
        </w:rPr>
        <w:t>Standard dilution method was used to determine total fungal count in maize flour.</w:t>
      </w:r>
      <w:r w:rsidR="002E034E" w:rsidRPr="006B09B0">
        <w:rPr>
          <w:sz w:val="20"/>
          <w:szCs w:val="20"/>
        </w:rPr>
        <w:t xml:space="preserve"> </w:t>
      </w:r>
      <w:r w:rsidRPr="006B09B0">
        <w:rPr>
          <w:sz w:val="20"/>
          <w:szCs w:val="20"/>
        </w:rPr>
        <w:t>Twenty grams of each composite sample (fine powder) were transferred int</w:t>
      </w:r>
      <w:r w:rsidR="002E034E" w:rsidRPr="006B09B0">
        <w:rPr>
          <w:sz w:val="20"/>
          <w:szCs w:val="20"/>
        </w:rPr>
        <w:t>o 250 ml</w:t>
      </w:r>
      <w:r w:rsidRPr="006B09B0">
        <w:rPr>
          <w:sz w:val="20"/>
          <w:szCs w:val="20"/>
        </w:rPr>
        <w:t xml:space="preserve"> conical flask containing 100 </w:t>
      </w:r>
      <w:proofErr w:type="spellStart"/>
      <w:r w:rsidRPr="006B09B0">
        <w:rPr>
          <w:sz w:val="20"/>
          <w:szCs w:val="20"/>
        </w:rPr>
        <w:t>mL</w:t>
      </w:r>
      <w:proofErr w:type="spellEnd"/>
      <w:r w:rsidRPr="006B09B0">
        <w:rPr>
          <w:sz w:val="20"/>
          <w:szCs w:val="20"/>
        </w:rPr>
        <w:t xml:space="preserve"> of sterile distilled water and were mechanically homogenized at constant speed for 15 min using (model). The sample-water suspension was allowed to stand for 10 min with intermittent shaking before being plated. Appropriate tenfold serial dilutio</w:t>
      </w:r>
      <w:r w:rsidR="002E034E" w:rsidRPr="006B09B0">
        <w:rPr>
          <w:sz w:val="20"/>
          <w:szCs w:val="20"/>
        </w:rPr>
        <w:t>ns (1:10) were prepared and 1 ml</w:t>
      </w:r>
      <w:r w:rsidRPr="006B09B0">
        <w:rPr>
          <w:sz w:val="20"/>
          <w:szCs w:val="20"/>
        </w:rPr>
        <w:t xml:space="preserve"> portions of suitable dilutions of the resulting samples suspension were used to inoculate Petri dishes each containing 20 m</w:t>
      </w:r>
      <w:r w:rsidR="002E034E" w:rsidRPr="006B09B0">
        <w:rPr>
          <w:sz w:val="20"/>
          <w:szCs w:val="20"/>
        </w:rPr>
        <w:t>l</w:t>
      </w:r>
      <w:r w:rsidRPr="006B09B0">
        <w:rPr>
          <w:sz w:val="20"/>
          <w:szCs w:val="20"/>
        </w:rPr>
        <w:t xml:space="preserve"> Potato Dextrose Agar (PDA) and Malt extract Agar (MEA). Plates were then incubated for 7 days at 28°C. Three replicates plates per medium were used for each sample and the developing fungi were counted and the number per mg dry sample was determined and identified according to several key processes. Data expressed are average of all these media. After incubation, the results were expressed in Colony-Forming Units (CFU) /g of samples; all plates were </w:t>
      </w:r>
      <w:r w:rsidRPr="006B09B0">
        <w:rPr>
          <w:sz w:val="20"/>
          <w:szCs w:val="20"/>
        </w:rPr>
        <w:lastRenderedPageBreak/>
        <w:t xml:space="preserve">examined visually, directly and with a microscope </w:t>
      </w:r>
      <w:r w:rsidR="002E034E" w:rsidRPr="006B09B0">
        <w:rPr>
          <w:sz w:val="20"/>
          <w:szCs w:val="20"/>
        </w:rPr>
        <w:t>(Anonymous</w:t>
      </w:r>
      <w:r w:rsidRPr="006B09B0">
        <w:rPr>
          <w:sz w:val="20"/>
          <w:szCs w:val="20"/>
        </w:rPr>
        <w:t>, 1996).</w:t>
      </w:r>
    </w:p>
    <w:p w:rsidR="006C4D4A" w:rsidRPr="006B09B0" w:rsidRDefault="006C4D4A" w:rsidP="00B83D7E">
      <w:pPr>
        <w:snapToGrid w:val="0"/>
        <w:jc w:val="both"/>
        <w:rPr>
          <w:b/>
          <w:bCs/>
          <w:sz w:val="20"/>
          <w:szCs w:val="20"/>
        </w:rPr>
      </w:pPr>
      <w:r w:rsidRPr="006B09B0">
        <w:rPr>
          <w:b/>
          <w:bCs/>
          <w:sz w:val="20"/>
          <w:szCs w:val="20"/>
        </w:rPr>
        <w:t>Fungal Species Identification and Counting of Colonies</w:t>
      </w:r>
    </w:p>
    <w:p w:rsidR="006C4D4A" w:rsidRPr="006B09B0" w:rsidRDefault="006C4D4A" w:rsidP="00B83D7E">
      <w:pPr>
        <w:snapToGrid w:val="0"/>
        <w:ind w:firstLine="425"/>
        <w:jc w:val="both"/>
        <w:rPr>
          <w:sz w:val="20"/>
          <w:szCs w:val="20"/>
        </w:rPr>
      </w:pPr>
      <w:r w:rsidRPr="006B09B0">
        <w:rPr>
          <w:sz w:val="20"/>
          <w:szCs w:val="20"/>
        </w:rPr>
        <w:t>Pure colonies on PDA and MEA</w:t>
      </w:r>
      <w:r w:rsidR="00B83D7E" w:rsidRPr="006B09B0">
        <w:rPr>
          <w:sz w:val="20"/>
          <w:szCs w:val="20"/>
        </w:rPr>
        <w:t xml:space="preserve"> </w:t>
      </w:r>
      <w:r w:rsidRPr="006B09B0">
        <w:rPr>
          <w:sz w:val="20"/>
          <w:szCs w:val="20"/>
        </w:rPr>
        <w:t xml:space="preserve">agar medium were sub-cultured onto the </w:t>
      </w:r>
      <w:proofErr w:type="spellStart"/>
      <w:r w:rsidRPr="006B09B0">
        <w:rPr>
          <w:sz w:val="20"/>
          <w:szCs w:val="20"/>
        </w:rPr>
        <w:t>Czapek</w:t>
      </w:r>
      <w:proofErr w:type="spellEnd"/>
      <w:r w:rsidRPr="006B09B0">
        <w:rPr>
          <w:sz w:val="20"/>
          <w:szCs w:val="20"/>
        </w:rPr>
        <w:t xml:space="preserve"> yeast extract agar (CYA; 1 g K2HPO4, 10 m</w:t>
      </w:r>
      <w:r w:rsidR="002E034E" w:rsidRPr="006B09B0">
        <w:rPr>
          <w:sz w:val="20"/>
          <w:szCs w:val="20"/>
        </w:rPr>
        <w:t>l</w:t>
      </w:r>
      <w:r w:rsidRPr="006B09B0">
        <w:rPr>
          <w:sz w:val="20"/>
          <w:szCs w:val="20"/>
        </w:rPr>
        <w:t xml:space="preserve"> </w:t>
      </w:r>
      <w:proofErr w:type="spellStart"/>
      <w:r w:rsidRPr="006B09B0">
        <w:rPr>
          <w:sz w:val="20"/>
          <w:szCs w:val="20"/>
        </w:rPr>
        <w:t>Czapek</w:t>
      </w:r>
      <w:proofErr w:type="spellEnd"/>
      <w:r w:rsidRPr="006B09B0">
        <w:rPr>
          <w:sz w:val="20"/>
          <w:szCs w:val="20"/>
        </w:rPr>
        <w:t xml:space="preserve"> concentrate, 5 g powdered yeast extract, 30 g sucrose, 15 g agar), whose pH was adjusted to 7.2 and the plates incubated at 30°C for 7 days. Species of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were identified based on cultural and morphological characteristics including colony </w:t>
      </w:r>
      <w:proofErr w:type="spellStart"/>
      <w:r w:rsidRPr="006B09B0">
        <w:rPr>
          <w:sz w:val="20"/>
          <w:szCs w:val="20"/>
        </w:rPr>
        <w:t>colour</w:t>
      </w:r>
      <w:proofErr w:type="spellEnd"/>
      <w:r w:rsidRPr="006B09B0">
        <w:rPr>
          <w:sz w:val="20"/>
          <w:szCs w:val="20"/>
        </w:rPr>
        <w:t xml:space="preserve">, size of </w:t>
      </w:r>
      <w:proofErr w:type="spellStart"/>
      <w:r w:rsidRPr="006B09B0">
        <w:rPr>
          <w:sz w:val="20"/>
          <w:szCs w:val="20"/>
        </w:rPr>
        <w:t>sclerotia</w:t>
      </w:r>
      <w:proofErr w:type="spellEnd"/>
      <w:r w:rsidRPr="006B09B0">
        <w:rPr>
          <w:sz w:val="20"/>
          <w:szCs w:val="20"/>
        </w:rPr>
        <w:t xml:space="preserve">, texture and conidial morphology characteristics (M. A. Klich,2002 ), and by comparison with reference strains Sheri Kashmir University of Agricultural Science (SKUAST) Kashmir. The reference cultures were </w:t>
      </w:r>
      <w:proofErr w:type="spellStart"/>
      <w:r w:rsidR="002E034E" w:rsidRPr="006B09B0">
        <w:rPr>
          <w:sz w:val="20"/>
          <w:szCs w:val="20"/>
        </w:rPr>
        <w:t>subcultured</w:t>
      </w:r>
      <w:proofErr w:type="spellEnd"/>
      <w:r w:rsidRPr="006B09B0">
        <w:rPr>
          <w:sz w:val="20"/>
          <w:szCs w:val="20"/>
        </w:rPr>
        <w:t xml:space="preserve"> at the same time of plating the </w:t>
      </w:r>
      <w:r w:rsidR="002E034E" w:rsidRPr="006B09B0">
        <w:rPr>
          <w:sz w:val="20"/>
          <w:szCs w:val="20"/>
        </w:rPr>
        <w:t>maize</w:t>
      </w:r>
      <w:r w:rsidRPr="006B09B0">
        <w:rPr>
          <w:sz w:val="20"/>
          <w:szCs w:val="20"/>
        </w:rPr>
        <w:t xml:space="preserve"> samples. Colonies of other isolated fungal pathogens were identified to genus level. The colony forming units (CFU) of each fungal species were counted using </w:t>
      </w:r>
      <w:proofErr w:type="spellStart"/>
      <w:r w:rsidRPr="006B09B0">
        <w:rPr>
          <w:sz w:val="20"/>
          <w:szCs w:val="20"/>
        </w:rPr>
        <w:t>Remis</w:t>
      </w:r>
      <w:proofErr w:type="spellEnd"/>
      <w:r w:rsidRPr="006B09B0">
        <w:rPr>
          <w:sz w:val="20"/>
          <w:szCs w:val="20"/>
        </w:rPr>
        <w:t xml:space="preserve"> colony Counter. Equation (a) was used to determine the population.</w:t>
      </w:r>
    </w:p>
    <w:p w:rsidR="00B83D7E" w:rsidRPr="006B09B0" w:rsidRDefault="006C4D4A" w:rsidP="00B83D7E">
      <w:pPr>
        <w:snapToGrid w:val="0"/>
        <w:ind w:firstLine="425"/>
        <w:jc w:val="both"/>
        <w:rPr>
          <w:sz w:val="20"/>
          <w:szCs w:val="20"/>
          <w:lang w:eastAsia="zh-CN"/>
        </w:rPr>
      </w:pPr>
      <w:r w:rsidRPr="006B09B0">
        <w:rPr>
          <w:sz w:val="20"/>
          <w:szCs w:val="20"/>
        </w:rPr>
        <w:t>Flour samples were serially diluted in sterile distilled water and 1 ml of the 10</w:t>
      </w:r>
      <w:r w:rsidRPr="006B09B0">
        <w:rPr>
          <w:sz w:val="20"/>
          <w:szCs w:val="20"/>
          <w:vertAlign w:val="superscript"/>
        </w:rPr>
        <w:t>-3</w:t>
      </w:r>
      <w:r w:rsidRPr="006B09B0">
        <w:rPr>
          <w:sz w:val="20"/>
          <w:szCs w:val="20"/>
        </w:rPr>
        <w:t xml:space="preserve"> and 10</w:t>
      </w:r>
      <w:r w:rsidRPr="006B09B0">
        <w:rPr>
          <w:sz w:val="20"/>
          <w:szCs w:val="20"/>
          <w:vertAlign w:val="superscript"/>
        </w:rPr>
        <w:t>-4</w:t>
      </w:r>
      <w:r w:rsidRPr="006B09B0">
        <w:rPr>
          <w:sz w:val="20"/>
          <w:szCs w:val="20"/>
        </w:rPr>
        <w:t xml:space="preserve"> dilutions was applied to plated </w:t>
      </w:r>
      <w:proofErr w:type="spellStart"/>
      <w:r w:rsidRPr="006B09B0">
        <w:rPr>
          <w:sz w:val="20"/>
          <w:szCs w:val="20"/>
        </w:rPr>
        <w:t>Czepak</w:t>
      </w:r>
      <w:proofErr w:type="spellEnd"/>
      <w:r w:rsidRPr="006B09B0">
        <w:rPr>
          <w:sz w:val="20"/>
          <w:szCs w:val="20"/>
        </w:rPr>
        <w:t xml:space="preserve"> </w:t>
      </w:r>
      <w:proofErr w:type="spellStart"/>
      <w:r w:rsidRPr="006B09B0">
        <w:rPr>
          <w:sz w:val="20"/>
          <w:szCs w:val="20"/>
        </w:rPr>
        <w:t>Dox</w:t>
      </w:r>
      <w:proofErr w:type="spellEnd"/>
      <w:r w:rsidRPr="006B09B0">
        <w:rPr>
          <w:sz w:val="20"/>
          <w:szCs w:val="20"/>
        </w:rPr>
        <w:t xml:space="preserve"> agar. The isolation plates were incubated at 25 °C for 14 days. The number of kernels showing growth of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species and the number of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colonies per dilution plate were determined. The number of colony forming units per gram (CFU/g) of soil and flour samples was calculated by multiplying the number of colonies by the respective dilution factor. Isolates of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spp. were sub-cultured on </w:t>
      </w:r>
      <w:proofErr w:type="spellStart"/>
      <w:r w:rsidRPr="006B09B0">
        <w:rPr>
          <w:sz w:val="20"/>
          <w:szCs w:val="20"/>
        </w:rPr>
        <w:t>Czapek</w:t>
      </w:r>
      <w:proofErr w:type="spellEnd"/>
      <w:r w:rsidRPr="006B09B0">
        <w:rPr>
          <w:sz w:val="20"/>
          <w:szCs w:val="20"/>
        </w:rPr>
        <w:t xml:space="preserve"> </w:t>
      </w:r>
      <w:proofErr w:type="spellStart"/>
      <w:r w:rsidRPr="006B09B0">
        <w:rPr>
          <w:sz w:val="20"/>
          <w:szCs w:val="20"/>
        </w:rPr>
        <w:t>Dox</w:t>
      </w:r>
      <w:proofErr w:type="spellEnd"/>
      <w:r w:rsidRPr="006B09B0">
        <w:rPr>
          <w:sz w:val="20"/>
          <w:szCs w:val="20"/>
        </w:rPr>
        <w:t xml:space="preserve"> agar, incubated for 7 to 14 days at 25 °C and identified to species level according to </w:t>
      </w:r>
      <w:proofErr w:type="spellStart"/>
      <w:r w:rsidRPr="006B09B0">
        <w:rPr>
          <w:sz w:val="20"/>
          <w:szCs w:val="20"/>
        </w:rPr>
        <w:t>Gao</w:t>
      </w:r>
      <w:proofErr w:type="spellEnd"/>
      <w:r w:rsidRPr="006B09B0">
        <w:rPr>
          <w:sz w:val="20"/>
          <w:szCs w:val="20"/>
        </w:rPr>
        <w:t xml:space="preserve"> et al (2007), </w:t>
      </w:r>
      <w:proofErr w:type="spellStart"/>
      <w:r w:rsidRPr="006B09B0">
        <w:rPr>
          <w:sz w:val="20"/>
          <w:szCs w:val="20"/>
        </w:rPr>
        <w:t>Raper</w:t>
      </w:r>
      <w:proofErr w:type="spellEnd"/>
      <w:r w:rsidRPr="006B09B0">
        <w:rPr>
          <w:sz w:val="20"/>
          <w:szCs w:val="20"/>
        </w:rPr>
        <w:t xml:space="preserve"> and Fennell (1965) and </w:t>
      </w:r>
      <w:proofErr w:type="spellStart"/>
      <w:r w:rsidRPr="006B09B0">
        <w:rPr>
          <w:sz w:val="20"/>
          <w:szCs w:val="20"/>
        </w:rPr>
        <w:t>Larone</w:t>
      </w:r>
      <w:proofErr w:type="spellEnd"/>
      <w:r w:rsidRPr="006B09B0">
        <w:rPr>
          <w:sz w:val="20"/>
          <w:szCs w:val="20"/>
        </w:rPr>
        <w:t xml:space="preserve"> (1995).</w:t>
      </w:r>
    </w:p>
    <w:p w:rsidR="00B83D7E" w:rsidRPr="006B09B0" w:rsidRDefault="00B83D7E" w:rsidP="00B83D7E">
      <w:pPr>
        <w:snapToGrid w:val="0"/>
        <w:jc w:val="center"/>
        <w:rPr>
          <w:sz w:val="20"/>
          <w:szCs w:val="20"/>
        </w:rPr>
      </w:pPr>
      <w:r w:rsidRPr="006B09B0">
        <w:rPr>
          <w:noProof/>
          <w:sz w:val="20"/>
          <w:szCs w:val="20"/>
          <w:lang w:eastAsia="zh-CN"/>
        </w:rPr>
        <w:drawing>
          <wp:inline distT="0" distB="0" distL="0" distR="0">
            <wp:extent cx="2110630" cy="2210463"/>
            <wp:effectExtent l="19050" t="0" r="3920" b="0"/>
            <wp:docPr id="3" name="Picture 1" descr="C:\Users\well come\Desktop\Ph.D topicrelated\images\mzy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 come\Desktop\Ph.D topicrelated\images\mzy1.tif"/>
                    <pic:cNvPicPr>
                      <a:picLocks noChangeAspect="1" noChangeArrowheads="1"/>
                    </pic:cNvPicPr>
                  </pic:nvPicPr>
                  <pic:blipFill>
                    <a:blip r:embed="rId14" cstate="print"/>
                    <a:srcRect/>
                    <a:stretch>
                      <a:fillRect/>
                    </a:stretch>
                  </pic:blipFill>
                  <pic:spPr bwMode="auto">
                    <a:xfrm>
                      <a:off x="0" y="0"/>
                      <a:ext cx="2110630" cy="2210463"/>
                    </a:xfrm>
                    <a:prstGeom prst="rect">
                      <a:avLst/>
                    </a:prstGeom>
                    <a:noFill/>
                    <a:ln w="9525">
                      <a:noFill/>
                      <a:miter lim="800000"/>
                      <a:headEnd/>
                      <a:tailEnd/>
                    </a:ln>
                  </pic:spPr>
                </pic:pic>
              </a:graphicData>
            </a:graphic>
          </wp:inline>
        </w:drawing>
      </w:r>
    </w:p>
    <w:p w:rsidR="00B83D7E" w:rsidRPr="006B09B0" w:rsidRDefault="00B83D7E" w:rsidP="00B83D7E">
      <w:pPr>
        <w:snapToGrid w:val="0"/>
        <w:jc w:val="center"/>
        <w:rPr>
          <w:b/>
          <w:sz w:val="20"/>
          <w:szCs w:val="20"/>
        </w:rPr>
      </w:pPr>
      <w:r w:rsidRPr="006B09B0">
        <w:rPr>
          <w:b/>
          <w:bCs/>
          <w:sz w:val="20"/>
          <w:szCs w:val="20"/>
        </w:rPr>
        <w:t>a. Dispersed conidia</w:t>
      </w:r>
    </w:p>
    <w:p w:rsidR="006C4D4A" w:rsidRPr="006B09B0" w:rsidRDefault="006C4D4A" w:rsidP="00B83D7E">
      <w:pPr>
        <w:snapToGrid w:val="0"/>
        <w:ind w:firstLine="425"/>
        <w:jc w:val="both"/>
        <w:rPr>
          <w:sz w:val="20"/>
          <w:szCs w:val="20"/>
        </w:rPr>
      </w:pPr>
      <w:r w:rsidRPr="006B09B0">
        <w:rPr>
          <w:sz w:val="20"/>
          <w:szCs w:val="20"/>
        </w:rPr>
        <w:t>(CFU/g peanuts) of the fungal species.</w:t>
      </w:r>
    </w:p>
    <w:p w:rsidR="006C4D4A" w:rsidRPr="006B09B0" w:rsidRDefault="006D7461" w:rsidP="00B83D7E">
      <w:pPr>
        <w:snapToGrid w:val="0"/>
        <w:ind w:firstLine="425"/>
        <w:jc w:val="both"/>
        <w:rPr>
          <w:sz w:val="20"/>
          <w:szCs w:val="20"/>
        </w:rPr>
      </w:pPr>
      <m:oMathPara>
        <m:oMath>
          <m:r>
            <w:rPr>
              <w:rFonts w:ascii="Cambria Math" w:eastAsia="Times New Roman" w:hAnsi="Cambria Math"/>
              <w:sz w:val="20"/>
              <w:szCs w:val="20"/>
              <w:lang w:eastAsia="en-US"/>
            </w:rPr>
            <m:t>CFU</m:t>
          </m:r>
          <m:r>
            <w:rPr>
              <w:rFonts w:ascii="Cambria Math" w:eastAsia="Times New Roman"/>
              <w:sz w:val="20"/>
              <w:szCs w:val="20"/>
              <w:lang w:eastAsia="en-US"/>
            </w:rPr>
            <m:t>/</m:t>
          </m:r>
          <m:r>
            <w:rPr>
              <w:rFonts w:ascii="Cambria Math" w:eastAsia="Times New Roman" w:hAnsi="Cambria Math"/>
              <w:sz w:val="20"/>
              <w:szCs w:val="20"/>
              <w:lang w:eastAsia="en-US"/>
            </w:rPr>
            <m:t>g</m:t>
          </m:r>
          <m:r>
            <w:rPr>
              <w:rFonts w:ascii="Cambria Math" w:eastAsia="Times New Roman"/>
              <w:sz w:val="20"/>
              <w:szCs w:val="20"/>
              <w:lang w:eastAsia="en-US"/>
            </w:rPr>
            <m:t xml:space="preserve">= </m:t>
          </m:r>
          <m:r>
            <w:rPr>
              <w:rFonts w:ascii="Cambria Math" w:eastAsia="Times New Roman" w:hAnsi="Cambria Math"/>
              <w:sz w:val="20"/>
              <w:szCs w:val="20"/>
              <w:lang w:eastAsia="en-US"/>
            </w:rPr>
            <m:t>Colony</m:t>
          </m:r>
          <m:r>
            <w:rPr>
              <w:rFonts w:ascii="Cambria Math" w:eastAsia="Times New Roman"/>
              <w:sz w:val="20"/>
              <w:szCs w:val="20"/>
              <w:lang w:eastAsia="en-US"/>
            </w:rPr>
            <m:t xml:space="preserve"> </m:t>
          </m:r>
          <m:r>
            <w:rPr>
              <w:rFonts w:ascii="Cambria Math" w:eastAsia="Times New Roman" w:hAnsi="Cambria Math"/>
              <w:sz w:val="20"/>
              <w:szCs w:val="20"/>
              <w:lang w:eastAsia="en-US"/>
            </w:rPr>
            <m:t>Counts</m:t>
          </m:r>
          <m:r>
            <w:rPr>
              <w:rFonts w:ascii="Cambria Math" w:eastAsia="Times New Roman"/>
              <w:sz w:val="20"/>
              <w:szCs w:val="20"/>
              <w:lang w:eastAsia="en-US"/>
            </w:rPr>
            <m:t>/</m:t>
          </m:r>
          <m:r>
            <w:rPr>
              <w:rFonts w:ascii="Cambria Math" w:eastAsia="Times New Roman" w:hAnsi="Cambria Math"/>
              <w:sz w:val="20"/>
              <w:szCs w:val="20"/>
              <w:lang w:eastAsia="en-US"/>
            </w:rPr>
            <m:t>volume</m:t>
          </m:r>
          <m:r>
            <w:rPr>
              <w:rFonts w:ascii="Cambria Math" w:eastAsia="Times New Roman"/>
              <w:sz w:val="20"/>
              <w:szCs w:val="20"/>
              <w:lang w:eastAsia="en-US"/>
            </w:rPr>
            <m:t xml:space="preserve"> </m:t>
          </m:r>
          <m:r>
            <w:rPr>
              <w:rFonts w:ascii="Cambria Math" w:eastAsia="Times New Roman" w:hAnsi="Cambria Math"/>
              <w:sz w:val="20"/>
              <w:szCs w:val="20"/>
              <w:lang w:eastAsia="en-US"/>
            </w:rPr>
            <m:t>plated</m:t>
          </m:r>
          <m:r>
            <w:rPr>
              <w:rFonts w:ascii="Cambria Math" w:eastAsia="Times New Roman"/>
              <w:sz w:val="20"/>
              <w:szCs w:val="20"/>
              <w:lang w:eastAsia="en-US"/>
            </w:rPr>
            <m:t xml:space="preserve"> </m:t>
          </m:r>
          <m:r>
            <w:rPr>
              <w:rFonts w:ascii="Cambria Math" w:eastAsia="Times New Roman"/>
              <w:sz w:val="20"/>
              <w:szCs w:val="20"/>
              <w:lang w:eastAsia="en-US"/>
            </w:rPr>
            <m:t>×</m:t>
          </m:r>
          <m:r>
            <w:rPr>
              <w:rFonts w:ascii="Cambria Math" w:eastAsia="Times New Roman"/>
              <w:sz w:val="20"/>
              <w:szCs w:val="20"/>
              <w:lang w:eastAsia="en-US"/>
            </w:rPr>
            <m:t xml:space="preserve"> </m:t>
          </m:r>
          <m:r>
            <w:rPr>
              <w:rFonts w:ascii="Cambria Math" w:eastAsia="Times New Roman" w:hAnsi="Cambria Math"/>
              <w:sz w:val="20"/>
              <w:szCs w:val="20"/>
              <w:lang w:eastAsia="en-US"/>
            </w:rPr>
            <m:t>dilution</m:t>
          </m:r>
          <m:r>
            <w:rPr>
              <w:rFonts w:ascii="Cambria Math" w:eastAsia="Times New Roman"/>
              <w:sz w:val="20"/>
              <w:szCs w:val="20"/>
              <w:lang w:eastAsia="en-US"/>
            </w:rPr>
            <m:t xml:space="preserve"> </m:t>
          </m:r>
          <m:r>
            <w:rPr>
              <w:rFonts w:ascii="Cambria Math" w:eastAsia="Times New Roman" w:hAnsi="Cambria Math"/>
              <w:sz w:val="20"/>
              <w:szCs w:val="20"/>
              <w:lang w:eastAsia="en-US"/>
            </w:rPr>
            <m:t>factor</m:t>
          </m:r>
        </m:oMath>
      </m:oMathPara>
    </w:p>
    <w:p w:rsidR="006C4D4A" w:rsidRPr="006B09B0" w:rsidRDefault="006C4D4A" w:rsidP="00B83D7E">
      <w:pPr>
        <w:snapToGrid w:val="0"/>
        <w:ind w:firstLine="425"/>
        <w:jc w:val="both"/>
        <w:rPr>
          <w:sz w:val="20"/>
          <w:szCs w:val="20"/>
          <w:lang w:eastAsia="zh-CN"/>
        </w:rPr>
      </w:pPr>
      <w:r w:rsidRPr="006B09B0">
        <w:rPr>
          <w:sz w:val="20"/>
          <w:szCs w:val="20"/>
        </w:rPr>
        <w:lastRenderedPageBreak/>
        <w:t>The volume plated was 10 ml while the dilution factors were 0.25 for the first dilution (10</w:t>
      </w:r>
      <w:r w:rsidRPr="006B09B0">
        <w:rPr>
          <w:sz w:val="20"/>
          <w:szCs w:val="20"/>
          <w:vertAlign w:val="superscript"/>
        </w:rPr>
        <w:t>-1</w:t>
      </w:r>
      <w:r w:rsidRPr="006B09B0">
        <w:rPr>
          <w:sz w:val="20"/>
          <w:szCs w:val="20"/>
        </w:rPr>
        <w:t>) and 0.025 for the second dilution (10</w:t>
      </w:r>
      <w:r w:rsidRPr="006B09B0">
        <w:rPr>
          <w:sz w:val="20"/>
          <w:szCs w:val="20"/>
          <w:vertAlign w:val="superscript"/>
        </w:rPr>
        <w:t>-2</w:t>
      </w:r>
      <w:r w:rsidRPr="006B09B0">
        <w:rPr>
          <w:sz w:val="20"/>
          <w:szCs w:val="20"/>
        </w:rPr>
        <w:t>).</w:t>
      </w:r>
    </w:p>
    <w:p w:rsidR="008F3361" w:rsidRPr="006B09B0" w:rsidRDefault="008F3361" w:rsidP="00B83D7E">
      <w:pPr>
        <w:snapToGrid w:val="0"/>
        <w:jc w:val="both"/>
        <w:rPr>
          <w:b/>
          <w:sz w:val="20"/>
          <w:szCs w:val="20"/>
        </w:rPr>
      </w:pPr>
    </w:p>
    <w:p w:rsidR="008F3361" w:rsidRPr="006B09B0" w:rsidRDefault="006D7461" w:rsidP="00B83D7E">
      <w:pPr>
        <w:snapToGrid w:val="0"/>
        <w:jc w:val="center"/>
        <w:rPr>
          <w:b/>
          <w:sz w:val="20"/>
          <w:szCs w:val="20"/>
        </w:rPr>
      </w:pPr>
      <w:r w:rsidRPr="006B09B0">
        <w:rPr>
          <w:b/>
          <w:noProof/>
          <w:sz w:val="20"/>
          <w:szCs w:val="20"/>
          <w:lang w:eastAsia="zh-CN"/>
        </w:rPr>
        <w:drawing>
          <wp:inline distT="0" distB="0" distL="0" distR="0">
            <wp:extent cx="2089785" cy="2232660"/>
            <wp:effectExtent l="19050" t="0" r="571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89785" cy="2232660"/>
                    </a:xfrm>
                    <a:prstGeom prst="rect">
                      <a:avLst/>
                    </a:prstGeom>
                    <a:noFill/>
                    <a:ln w="9525">
                      <a:noFill/>
                      <a:miter lim="800000"/>
                      <a:headEnd/>
                      <a:tailEnd/>
                    </a:ln>
                  </pic:spPr>
                </pic:pic>
              </a:graphicData>
            </a:graphic>
          </wp:inline>
        </w:drawing>
      </w:r>
    </w:p>
    <w:p w:rsidR="008F3361" w:rsidRPr="006B09B0" w:rsidRDefault="008F3361" w:rsidP="00B83D7E">
      <w:pPr>
        <w:snapToGrid w:val="0"/>
        <w:jc w:val="center"/>
        <w:rPr>
          <w:b/>
          <w:bCs/>
          <w:sz w:val="20"/>
          <w:szCs w:val="20"/>
        </w:rPr>
      </w:pPr>
      <w:r w:rsidRPr="006B09B0">
        <w:rPr>
          <w:b/>
          <w:bCs/>
          <w:sz w:val="20"/>
          <w:szCs w:val="20"/>
        </w:rPr>
        <w:t xml:space="preserve">c. </w:t>
      </w:r>
      <w:proofErr w:type="spellStart"/>
      <w:r w:rsidRPr="006B09B0">
        <w:rPr>
          <w:b/>
          <w:bCs/>
          <w:sz w:val="20"/>
          <w:szCs w:val="20"/>
        </w:rPr>
        <w:t>Conidiopores</w:t>
      </w:r>
      <w:proofErr w:type="spellEnd"/>
    </w:p>
    <w:p w:rsidR="008F3361" w:rsidRPr="006B09B0" w:rsidRDefault="008F3361" w:rsidP="00B83D7E">
      <w:pPr>
        <w:snapToGrid w:val="0"/>
        <w:jc w:val="center"/>
        <w:rPr>
          <w:b/>
          <w:bCs/>
          <w:sz w:val="20"/>
          <w:szCs w:val="20"/>
        </w:rPr>
      </w:pPr>
      <w:r w:rsidRPr="006B09B0">
        <w:rPr>
          <w:b/>
          <w:bCs/>
          <w:sz w:val="20"/>
          <w:szCs w:val="20"/>
        </w:rPr>
        <w:t>Fig.</w:t>
      </w:r>
      <w:r w:rsidR="006B09B0" w:rsidRPr="006B09B0">
        <w:rPr>
          <w:rFonts w:hint="eastAsia"/>
          <w:b/>
          <w:bCs/>
          <w:sz w:val="20"/>
          <w:szCs w:val="20"/>
          <w:lang w:eastAsia="zh-CN"/>
        </w:rPr>
        <w:t xml:space="preserve"> </w:t>
      </w:r>
      <w:r w:rsidRPr="006B09B0">
        <w:rPr>
          <w:b/>
          <w:bCs/>
          <w:sz w:val="20"/>
          <w:szCs w:val="20"/>
        </w:rPr>
        <w:t>1 Microscopic features of fungal spores.</w:t>
      </w:r>
    </w:p>
    <w:p w:rsidR="008F3361" w:rsidRPr="006B09B0" w:rsidRDefault="008F3361" w:rsidP="00B83D7E">
      <w:pPr>
        <w:snapToGrid w:val="0"/>
        <w:jc w:val="both"/>
        <w:rPr>
          <w:b/>
          <w:sz w:val="20"/>
          <w:szCs w:val="20"/>
          <w:lang w:eastAsia="zh-CN"/>
        </w:rPr>
      </w:pPr>
    </w:p>
    <w:p w:rsidR="00B83D7E" w:rsidRPr="006B09B0" w:rsidRDefault="00B83D7E" w:rsidP="00B83D7E">
      <w:pPr>
        <w:snapToGrid w:val="0"/>
        <w:ind w:firstLine="425"/>
        <w:jc w:val="both"/>
        <w:rPr>
          <w:sz w:val="20"/>
          <w:szCs w:val="20"/>
        </w:rPr>
      </w:pPr>
      <w:r w:rsidRPr="006B09B0">
        <w:rPr>
          <w:sz w:val="20"/>
          <w:szCs w:val="20"/>
        </w:rPr>
        <w:t xml:space="preserve">The </w:t>
      </w:r>
      <w:proofErr w:type="spellStart"/>
      <w:r w:rsidRPr="006B09B0">
        <w:rPr>
          <w:sz w:val="20"/>
          <w:szCs w:val="20"/>
        </w:rPr>
        <w:t>The</w:t>
      </w:r>
      <w:proofErr w:type="spellEnd"/>
      <w:r w:rsidRPr="006B09B0">
        <w:rPr>
          <w:sz w:val="20"/>
          <w:szCs w:val="20"/>
        </w:rPr>
        <w:t xml:space="preserve"> fungal strains isolated from 445 maize samples (whole grain, semi-processed and maize flour shelled) collected from farmers and markets from three regions of Kashmir are shown in Table 1</w:t>
      </w:r>
      <w:r w:rsidRPr="006B09B0">
        <w:rPr>
          <w:b/>
          <w:bCs/>
          <w:sz w:val="20"/>
          <w:szCs w:val="20"/>
        </w:rPr>
        <w:t>.</w:t>
      </w:r>
      <w:r w:rsidRPr="006B09B0">
        <w:rPr>
          <w:i/>
          <w:iCs/>
          <w:sz w:val="20"/>
          <w:szCs w:val="20"/>
        </w:rPr>
        <w:t xml:space="preserve"> </w:t>
      </w:r>
      <w:r w:rsidRPr="006B09B0">
        <w:rPr>
          <w:sz w:val="20"/>
          <w:szCs w:val="20"/>
        </w:rPr>
        <w:t xml:space="preserve">The specific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spp. isolated from whole and unprocessed maize grain were </w:t>
      </w:r>
      <w:r w:rsidRPr="006B09B0">
        <w:rPr>
          <w:i/>
          <w:iCs/>
          <w:sz w:val="20"/>
          <w:szCs w:val="20"/>
        </w:rPr>
        <w:t xml:space="preserve">A. </w:t>
      </w:r>
      <w:proofErr w:type="spellStart"/>
      <w:r w:rsidRPr="006B09B0">
        <w:rPr>
          <w:i/>
          <w:iCs/>
          <w:sz w:val="20"/>
          <w:szCs w:val="20"/>
        </w:rPr>
        <w:t>flavus</w:t>
      </w:r>
      <w:proofErr w:type="spellEnd"/>
      <w:r w:rsidRPr="006B09B0">
        <w:rPr>
          <w:i/>
          <w:iCs/>
          <w:sz w:val="20"/>
          <w:szCs w:val="20"/>
        </w:rPr>
        <w:t xml:space="preserve">, A. </w:t>
      </w:r>
      <w:proofErr w:type="spellStart"/>
      <w:r w:rsidRPr="006B09B0">
        <w:rPr>
          <w:i/>
          <w:iCs/>
          <w:sz w:val="20"/>
          <w:szCs w:val="20"/>
        </w:rPr>
        <w:t>niger</w:t>
      </w:r>
      <w:proofErr w:type="spellEnd"/>
      <w:r w:rsidRPr="006B09B0">
        <w:rPr>
          <w:i/>
          <w:iCs/>
          <w:sz w:val="20"/>
          <w:szCs w:val="20"/>
        </w:rPr>
        <w:t xml:space="preserve">, A. </w:t>
      </w:r>
      <w:proofErr w:type="spellStart"/>
      <w:r w:rsidRPr="006B09B0">
        <w:rPr>
          <w:i/>
          <w:iCs/>
          <w:sz w:val="20"/>
          <w:szCs w:val="20"/>
        </w:rPr>
        <w:t>fumigatus</w:t>
      </w:r>
      <w:proofErr w:type="spellEnd"/>
      <w:r w:rsidRPr="006B09B0">
        <w:rPr>
          <w:i/>
          <w:iCs/>
          <w:sz w:val="20"/>
          <w:szCs w:val="20"/>
        </w:rPr>
        <w:t xml:space="preserve">, A. </w:t>
      </w:r>
      <w:proofErr w:type="spellStart"/>
      <w:r w:rsidRPr="006B09B0">
        <w:rPr>
          <w:i/>
          <w:iCs/>
          <w:sz w:val="20"/>
          <w:szCs w:val="20"/>
        </w:rPr>
        <w:t>versicolor</w:t>
      </w:r>
      <w:proofErr w:type="spellEnd"/>
      <w:r w:rsidRPr="006B09B0">
        <w:rPr>
          <w:i/>
          <w:iCs/>
          <w:sz w:val="20"/>
          <w:szCs w:val="20"/>
        </w:rPr>
        <w:t xml:space="preserve">, A. </w:t>
      </w:r>
      <w:proofErr w:type="spellStart"/>
      <w:r w:rsidRPr="006B09B0">
        <w:rPr>
          <w:i/>
          <w:iCs/>
          <w:sz w:val="20"/>
          <w:szCs w:val="20"/>
        </w:rPr>
        <w:t>terreus</w:t>
      </w:r>
      <w:proofErr w:type="spellEnd"/>
      <w:r w:rsidRPr="006B09B0">
        <w:rPr>
          <w:i/>
          <w:iCs/>
          <w:sz w:val="20"/>
          <w:szCs w:val="20"/>
        </w:rPr>
        <w:t xml:space="preserve">, A. </w:t>
      </w:r>
      <w:proofErr w:type="spellStart"/>
      <w:r w:rsidRPr="006B09B0">
        <w:rPr>
          <w:i/>
          <w:iCs/>
          <w:sz w:val="20"/>
          <w:szCs w:val="20"/>
        </w:rPr>
        <w:t>clavatus</w:t>
      </w:r>
      <w:proofErr w:type="spellEnd"/>
      <w:r w:rsidRPr="006B09B0">
        <w:rPr>
          <w:i/>
          <w:iCs/>
          <w:sz w:val="20"/>
          <w:szCs w:val="20"/>
        </w:rPr>
        <w:t xml:space="preserve"> </w:t>
      </w:r>
      <w:r w:rsidRPr="006B09B0">
        <w:rPr>
          <w:sz w:val="20"/>
          <w:szCs w:val="20"/>
        </w:rPr>
        <w:t xml:space="preserve">and </w:t>
      </w:r>
      <w:r w:rsidRPr="006B09B0">
        <w:rPr>
          <w:i/>
          <w:iCs/>
          <w:sz w:val="20"/>
          <w:szCs w:val="20"/>
        </w:rPr>
        <w:t xml:space="preserve">A. </w:t>
      </w:r>
      <w:proofErr w:type="spellStart"/>
      <w:r w:rsidRPr="006B09B0">
        <w:rPr>
          <w:i/>
          <w:iCs/>
          <w:sz w:val="20"/>
          <w:szCs w:val="20"/>
        </w:rPr>
        <w:t>ochraceus</w:t>
      </w:r>
      <w:proofErr w:type="spellEnd"/>
      <w:r w:rsidRPr="006B09B0">
        <w:rPr>
          <w:sz w:val="20"/>
          <w:szCs w:val="20"/>
        </w:rPr>
        <w:t xml:space="preserve">. The most frequently isolated were </w:t>
      </w:r>
      <w:r w:rsidRPr="006B09B0">
        <w:rPr>
          <w:i/>
          <w:iCs/>
          <w:sz w:val="20"/>
          <w:szCs w:val="20"/>
        </w:rPr>
        <w:t xml:space="preserve">A. </w:t>
      </w:r>
      <w:proofErr w:type="spellStart"/>
      <w:r w:rsidRPr="006B09B0">
        <w:rPr>
          <w:i/>
          <w:iCs/>
          <w:sz w:val="20"/>
          <w:szCs w:val="20"/>
        </w:rPr>
        <w:lastRenderedPageBreak/>
        <w:t>flavus</w:t>
      </w:r>
      <w:proofErr w:type="spellEnd"/>
      <w:r w:rsidRPr="006B09B0">
        <w:rPr>
          <w:i/>
          <w:iCs/>
          <w:sz w:val="20"/>
          <w:szCs w:val="20"/>
        </w:rPr>
        <w:t xml:space="preserve"> </w:t>
      </w:r>
      <w:r w:rsidRPr="006B09B0">
        <w:rPr>
          <w:sz w:val="20"/>
          <w:szCs w:val="20"/>
        </w:rPr>
        <w:t xml:space="preserve">and </w:t>
      </w:r>
      <w:r w:rsidRPr="006B09B0">
        <w:rPr>
          <w:i/>
          <w:iCs/>
          <w:sz w:val="20"/>
          <w:szCs w:val="20"/>
        </w:rPr>
        <w:t xml:space="preserve">A. </w:t>
      </w:r>
      <w:proofErr w:type="spellStart"/>
      <w:r w:rsidRPr="006B09B0">
        <w:rPr>
          <w:i/>
          <w:iCs/>
          <w:sz w:val="20"/>
          <w:szCs w:val="20"/>
        </w:rPr>
        <w:t>niger</w:t>
      </w:r>
      <w:proofErr w:type="spellEnd"/>
      <w:r w:rsidRPr="006B09B0">
        <w:rPr>
          <w:i/>
          <w:iCs/>
          <w:sz w:val="20"/>
          <w:szCs w:val="20"/>
        </w:rPr>
        <w:t xml:space="preserve">, </w:t>
      </w:r>
      <w:r w:rsidRPr="006B09B0">
        <w:rPr>
          <w:sz w:val="20"/>
          <w:szCs w:val="20"/>
        </w:rPr>
        <w:t xml:space="preserve">while </w:t>
      </w:r>
      <w:proofErr w:type="spellStart"/>
      <w:r w:rsidRPr="006B09B0">
        <w:rPr>
          <w:i/>
          <w:iCs/>
          <w:sz w:val="20"/>
          <w:szCs w:val="20"/>
        </w:rPr>
        <w:t>A.tamari</w:t>
      </w:r>
      <w:proofErr w:type="spellEnd"/>
      <w:r w:rsidRPr="006B09B0">
        <w:rPr>
          <w:i/>
          <w:iCs/>
          <w:sz w:val="20"/>
          <w:szCs w:val="20"/>
        </w:rPr>
        <w:t xml:space="preserve"> </w:t>
      </w:r>
      <w:r w:rsidRPr="006B09B0">
        <w:rPr>
          <w:sz w:val="20"/>
          <w:szCs w:val="20"/>
        </w:rPr>
        <w:t xml:space="preserve">was the least frequently isolated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species and was mainly isolated in samples from the central Kashmir (Tables 2). Higher </w:t>
      </w:r>
      <w:proofErr w:type="spellStart"/>
      <w:r w:rsidRPr="006B09B0">
        <w:rPr>
          <w:i/>
          <w:iCs/>
          <w:sz w:val="20"/>
          <w:szCs w:val="20"/>
        </w:rPr>
        <w:t>Aspergillus</w:t>
      </w:r>
      <w:proofErr w:type="spellEnd"/>
      <w:r w:rsidRPr="006B09B0">
        <w:rPr>
          <w:i/>
          <w:iCs/>
          <w:sz w:val="20"/>
          <w:szCs w:val="20"/>
        </w:rPr>
        <w:t xml:space="preserve"> </w:t>
      </w:r>
      <w:proofErr w:type="spellStart"/>
      <w:r w:rsidRPr="006B09B0">
        <w:rPr>
          <w:sz w:val="20"/>
          <w:szCs w:val="20"/>
        </w:rPr>
        <w:t>spp</w:t>
      </w:r>
      <w:proofErr w:type="spellEnd"/>
      <w:r w:rsidRPr="006B09B0">
        <w:rPr>
          <w:sz w:val="20"/>
          <w:szCs w:val="20"/>
        </w:rPr>
        <w:t xml:space="preserve"> isolation frequencies were recorded in grain samples from south and central Kashmir region than those from north Kashmir probably due to low temperature in this region. Grain samples collected from farmers in the </w:t>
      </w:r>
      <w:proofErr w:type="spellStart"/>
      <w:r w:rsidRPr="006B09B0">
        <w:rPr>
          <w:sz w:val="20"/>
          <w:szCs w:val="20"/>
        </w:rPr>
        <w:t>cental</w:t>
      </w:r>
      <w:proofErr w:type="spellEnd"/>
      <w:r w:rsidRPr="006B09B0">
        <w:rPr>
          <w:sz w:val="20"/>
          <w:szCs w:val="20"/>
        </w:rPr>
        <w:t xml:space="preserve"> and north region had higher incidences of </w:t>
      </w:r>
      <w:r w:rsidRPr="006B09B0">
        <w:rPr>
          <w:i/>
          <w:iCs/>
          <w:sz w:val="20"/>
          <w:szCs w:val="20"/>
        </w:rPr>
        <w:t xml:space="preserve">A. </w:t>
      </w:r>
      <w:proofErr w:type="spellStart"/>
      <w:r w:rsidRPr="006B09B0">
        <w:rPr>
          <w:i/>
          <w:iCs/>
          <w:sz w:val="20"/>
          <w:szCs w:val="20"/>
        </w:rPr>
        <w:t>flavus</w:t>
      </w:r>
      <w:proofErr w:type="spellEnd"/>
      <w:r w:rsidRPr="006B09B0">
        <w:rPr>
          <w:i/>
          <w:iCs/>
          <w:sz w:val="20"/>
          <w:szCs w:val="20"/>
        </w:rPr>
        <w:t xml:space="preserve">, </w:t>
      </w:r>
      <w:r w:rsidRPr="006B09B0">
        <w:rPr>
          <w:sz w:val="20"/>
          <w:szCs w:val="20"/>
        </w:rPr>
        <w:t>of up to 19% compared to grain from traders.</w:t>
      </w:r>
    </w:p>
    <w:p w:rsidR="00B83D7E" w:rsidRPr="006B09B0" w:rsidRDefault="00B83D7E" w:rsidP="00B83D7E">
      <w:pPr>
        <w:snapToGrid w:val="0"/>
        <w:jc w:val="both"/>
        <w:rPr>
          <w:b/>
          <w:sz w:val="20"/>
          <w:szCs w:val="20"/>
          <w:lang w:eastAsia="zh-CN"/>
        </w:rPr>
      </w:pPr>
    </w:p>
    <w:p w:rsidR="00471E57" w:rsidRPr="006B09B0" w:rsidRDefault="00471E57" w:rsidP="00B83D7E">
      <w:pPr>
        <w:snapToGrid w:val="0"/>
        <w:jc w:val="both"/>
        <w:rPr>
          <w:b/>
          <w:sz w:val="20"/>
          <w:szCs w:val="20"/>
        </w:rPr>
      </w:pPr>
      <w:r w:rsidRPr="006B09B0">
        <w:rPr>
          <w:b/>
          <w:sz w:val="20"/>
          <w:szCs w:val="20"/>
        </w:rPr>
        <w:t>3. Results</w:t>
      </w:r>
    </w:p>
    <w:p w:rsidR="00673097" w:rsidRPr="006B09B0" w:rsidRDefault="00673097" w:rsidP="00B83D7E">
      <w:pPr>
        <w:snapToGrid w:val="0"/>
        <w:ind w:firstLine="425"/>
        <w:jc w:val="both"/>
        <w:rPr>
          <w:sz w:val="20"/>
          <w:szCs w:val="20"/>
        </w:rPr>
      </w:pPr>
      <w:r w:rsidRPr="006B09B0">
        <w:rPr>
          <w:sz w:val="20"/>
          <w:szCs w:val="20"/>
        </w:rPr>
        <w:t xml:space="preserve">The semi-processed grain and flour samples contained the highest (25%) incidence of </w:t>
      </w:r>
      <w:r w:rsidRPr="006B09B0">
        <w:rPr>
          <w:i/>
          <w:iCs/>
          <w:sz w:val="20"/>
          <w:szCs w:val="20"/>
        </w:rPr>
        <w:t xml:space="preserve">A. </w:t>
      </w:r>
      <w:proofErr w:type="spellStart"/>
      <w:r w:rsidRPr="006B09B0">
        <w:rPr>
          <w:i/>
          <w:iCs/>
          <w:sz w:val="20"/>
          <w:szCs w:val="20"/>
        </w:rPr>
        <w:t>flavus</w:t>
      </w:r>
      <w:proofErr w:type="spellEnd"/>
      <w:r w:rsidRPr="006B09B0">
        <w:rPr>
          <w:i/>
          <w:iCs/>
          <w:sz w:val="20"/>
          <w:szCs w:val="20"/>
        </w:rPr>
        <w:t xml:space="preserve"> </w:t>
      </w:r>
      <w:r w:rsidR="00A51847" w:rsidRPr="006B09B0">
        <w:rPr>
          <w:sz w:val="20"/>
          <w:szCs w:val="20"/>
        </w:rPr>
        <w:t>(Figures1; Table 2</w:t>
      </w:r>
      <w:r w:rsidRPr="006B09B0">
        <w:rPr>
          <w:sz w:val="20"/>
          <w:szCs w:val="20"/>
        </w:rPr>
        <w:t xml:space="preserve">). Other </w:t>
      </w:r>
      <w:proofErr w:type="spellStart"/>
      <w:r w:rsidRPr="006B09B0">
        <w:rPr>
          <w:i/>
          <w:iCs/>
          <w:sz w:val="20"/>
          <w:szCs w:val="20"/>
        </w:rPr>
        <w:t>Aspergillus</w:t>
      </w:r>
      <w:proofErr w: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
          <w:szCs w:val="20"/>
        </w:rPr>
        <w:t xml:space="preserve">A. </w:t>
      </w:r>
      <w:proofErr w:type="spellStart"/>
      <w:r w:rsidRPr="006B09B0">
        <w:rPr>
          <w:i/>
          <w:iCs/>
          <w:sz w:val="20"/>
          <w:szCs w:val="20"/>
        </w:rPr>
        <w:t>fumigatus</w:t>
      </w:r>
      <w:proofErr w:type="spellEnd"/>
      <w:r w:rsidRPr="006B09B0">
        <w:rPr>
          <w:i/>
          <w:iCs/>
          <w:sz w:val="20"/>
          <w:szCs w:val="20"/>
        </w:rPr>
        <w:t xml:space="preserve">, A. </w:t>
      </w:r>
      <w:proofErr w:type="spellStart"/>
      <w:r w:rsidRPr="006B09B0">
        <w:rPr>
          <w:i/>
          <w:iCs/>
          <w:sz w:val="20"/>
          <w:szCs w:val="20"/>
        </w:rPr>
        <w:t>niger</w:t>
      </w:r>
      <w:proofErr w:type="spellEnd"/>
      <w:r w:rsidRPr="006B09B0">
        <w:rPr>
          <w:i/>
          <w:iCs/>
          <w:sz w:val="20"/>
          <w:szCs w:val="20"/>
        </w:rPr>
        <w:t xml:space="preserve">. A. </w:t>
      </w:r>
      <w:proofErr w:type="spellStart"/>
      <w:r w:rsidRPr="006B09B0">
        <w:rPr>
          <w:i/>
          <w:iCs/>
          <w:sz w:val="20"/>
          <w:szCs w:val="20"/>
        </w:rPr>
        <w:t>terreus</w:t>
      </w:r>
      <w:proofErr w:type="spellEnd"/>
      <w:r w:rsidRPr="006B09B0">
        <w:rPr>
          <w:i/>
          <w:iCs/>
          <w:sz w:val="20"/>
          <w:szCs w:val="20"/>
        </w:rPr>
        <w:t xml:space="preserve"> </w:t>
      </w:r>
      <w:r w:rsidRPr="006B09B0">
        <w:rPr>
          <w:sz w:val="20"/>
          <w:szCs w:val="20"/>
        </w:rPr>
        <w:t xml:space="preserve">and </w:t>
      </w:r>
      <w:r w:rsidRPr="006B09B0">
        <w:rPr>
          <w:i/>
          <w:iCs/>
          <w:sz w:val="20"/>
          <w:szCs w:val="20"/>
        </w:rPr>
        <w:t xml:space="preserve">A. </w:t>
      </w:r>
      <w:proofErr w:type="spellStart"/>
      <w:r w:rsidRPr="006B09B0">
        <w:rPr>
          <w:i/>
          <w:iCs/>
          <w:sz w:val="20"/>
          <w:szCs w:val="20"/>
        </w:rPr>
        <w:t>versicolor</w:t>
      </w:r>
      <w:proofErr w:type="spellEnd"/>
      <w:r w:rsidRPr="006B09B0">
        <w:rPr>
          <w:sz w:val="20"/>
          <w:szCs w:val="20"/>
        </w:rPr>
        <w:t xml:space="preserve">. Maize flour collected directly from farmers contained higher levels of </w:t>
      </w:r>
      <w:r w:rsidRPr="006B09B0">
        <w:rPr>
          <w:i/>
          <w:iCs/>
          <w:sz w:val="20"/>
          <w:szCs w:val="20"/>
        </w:rPr>
        <w:t xml:space="preserve">A. </w:t>
      </w:r>
      <w:proofErr w:type="spellStart"/>
      <w:r w:rsidRPr="006B09B0">
        <w:rPr>
          <w:i/>
          <w:iCs/>
          <w:sz w:val="20"/>
          <w:szCs w:val="20"/>
        </w:rPr>
        <w:t>flavus</w:t>
      </w:r>
      <w:proofErr w:type="spellEnd"/>
      <w:r w:rsidRPr="006B09B0">
        <w:rPr>
          <w:i/>
          <w:iCs/>
          <w:sz w:val="20"/>
          <w:szCs w:val="20"/>
        </w:rPr>
        <w:t xml:space="preserve"> </w:t>
      </w:r>
      <w:r w:rsidRPr="006B09B0">
        <w:rPr>
          <w:sz w:val="20"/>
          <w:szCs w:val="20"/>
        </w:rPr>
        <w:t>with up to 6.9 x 103 CFU/g, than packed flour bought from shops and markets (Figure 3).</w:t>
      </w:r>
    </w:p>
    <w:p w:rsidR="00673097" w:rsidRPr="006B09B0" w:rsidRDefault="00673097" w:rsidP="00B83D7E">
      <w:pPr>
        <w:snapToGrid w:val="0"/>
        <w:ind w:firstLine="425"/>
        <w:jc w:val="both"/>
        <w:rPr>
          <w:sz w:val="20"/>
          <w:szCs w:val="20"/>
        </w:rPr>
      </w:pPr>
      <w:r w:rsidRPr="006B09B0">
        <w:rPr>
          <w:sz w:val="20"/>
          <w:szCs w:val="20"/>
        </w:rPr>
        <w:t xml:space="preserve">The mean counts of the fungal colonies ranged from 4 x 102 to 16 x 203 </w:t>
      </w:r>
      <w:proofErr w:type="spellStart"/>
      <w:r w:rsidRPr="006B09B0">
        <w:rPr>
          <w:sz w:val="20"/>
          <w:szCs w:val="20"/>
        </w:rPr>
        <w:t>cfu</w:t>
      </w:r>
      <w:proofErr w:type="spellEnd"/>
      <w:r w:rsidRPr="006B09B0">
        <w:rPr>
          <w:sz w:val="20"/>
          <w:szCs w:val="20"/>
        </w:rPr>
        <w:t>/g</w:t>
      </w:r>
      <w:r w:rsidR="00B83D7E" w:rsidRPr="006B09B0">
        <w:rPr>
          <w:sz w:val="20"/>
          <w:szCs w:val="20"/>
        </w:rPr>
        <w:t>. W</w:t>
      </w:r>
      <w:r w:rsidRPr="006B09B0">
        <w:rPr>
          <w:sz w:val="20"/>
          <w:szCs w:val="20"/>
        </w:rPr>
        <w:t xml:space="preserve">hole maize grains and </w:t>
      </w:r>
      <w:proofErr w:type="spellStart"/>
      <w:r w:rsidRPr="006B09B0">
        <w:rPr>
          <w:sz w:val="20"/>
          <w:szCs w:val="20"/>
        </w:rPr>
        <w:t>semiprocessed</w:t>
      </w:r>
      <w:proofErr w:type="spellEnd"/>
      <w:r w:rsidRPr="006B09B0">
        <w:rPr>
          <w:sz w:val="20"/>
          <w:szCs w:val="20"/>
        </w:rPr>
        <w:t xml:space="preserve"> maize from farmers were highly contaminated by total fungi. The commonly isolated fungi were species of </w:t>
      </w:r>
      <w:proofErr w:type="spellStart"/>
      <w:r w:rsidRPr="006B09B0">
        <w:rPr>
          <w:i/>
          <w:iCs/>
          <w:sz w:val="20"/>
          <w:szCs w:val="20"/>
        </w:rPr>
        <w:t>Aspergillus</w:t>
      </w:r>
      <w:proofErr w:type="spellEnd"/>
      <w:r w:rsidRPr="006B09B0">
        <w:rPr>
          <w:sz w:val="20"/>
          <w:szCs w:val="20"/>
        </w:rPr>
        <w:t xml:space="preserve">, </w:t>
      </w:r>
      <w:proofErr w:type="spellStart"/>
      <w:r w:rsidRPr="006B09B0">
        <w:rPr>
          <w:i/>
          <w:iCs/>
          <w:sz w:val="20"/>
          <w:szCs w:val="20"/>
        </w:rPr>
        <w:t>Penicillium</w:t>
      </w:r>
      <w:proofErr w:type="spellEnd"/>
      <w:r w:rsidRPr="006B09B0">
        <w:rPr>
          <w:i/>
          <w:iCs/>
          <w:sz w:val="20"/>
          <w:szCs w:val="20"/>
        </w:rPr>
        <w:t xml:space="preserve"> </w:t>
      </w:r>
      <w:r w:rsidRPr="006B09B0">
        <w:rPr>
          <w:sz w:val="20"/>
          <w:szCs w:val="20"/>
        </w:rPr>
        <w:t xml:space="preserve">and </w:t>
      </w:r>
      <w:proofErr w:type="spellStart"/>
      <w:r w:rsidRPr="006B09B0">
        <w:rPr>
          <w:i/>
          <w:iCs/>
          <w:sz w:val="20"/>
          <w:szCs w:val="20"/>
        </w:rPr>
        <w:t>Mucor</w:t>
      </w:r>
      <w:proofErr w:type="spellEnd"/>
      <w:r w:rsidR="00630EE5" w:rsidRPr="006B09B0">
        <w:rPr>
          <w:sz w:val="20"/>
          <w:szCs w:val="20"/>
        </w:rPr>
        <w:t>. The most repre</w:t>
      </w:r>
      <w:r w:rsidRPr="006B09B0">
        <w:rPr>
          <w:sz w:val="20"/>
          <w:szCs w:val="20"/>
        </w:rPr>
        <w:t xml:space="preserve">sented genus in contaminated samples was </w:t>
      </w:r>
      <w:proofErr w:type="spellStart"/>
      <w:r w:rsidRPr="006B09B0">
        <w:rPr>
          <w:i/>
          <w:iCs/>
          <w:sz w:val="20"/>
          <w:szCs w:val="20"/>
        </w:rPr>
        <w:t>Aspergillus</w:t>
      </w:r>
      <w:proofErr w:type="spellEnd"/>
      <w:r w:rsidRPr="006B09B0">
        <w:rPr>
          <w:sz w:val="20"/>
          <w:szCs w:val="20"/>
        </w:rPr>
        <w:t>, which was isolated in all analyzed samples with the mean percentage of 64.0%.</w:t>
      </w:r>
    </w:p>
    <w:p w:rsidR="00B83D7E" w:rsidRPr="006B09B0" w:rsidRDefault="00B83D7E" w:rsidP="00B83D7E">
      <w:pPr>
        <w:snapToGrid w:val="0"/>
        <w:ind w:firstLine="425"/>
        <w:jc w:val="both"/>
        <w:rPr>
          <w:sz w:val="20"/>
          <w:szCs w:val="20"/>
        </w:rPr>
        <w:sectPr w:rsidR="00B83D7E" w:rsidRPr="006B09B0" w:rsidSect="0055371B">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576"/>
          <w:docGrid w:linePitch="360"/>
        </w:sectPr>
      </w:pPr>
    </w:p>
    <w:p w:rsidR="00295C94" w:rsidRPr="006B09B0" w:rsidRDefault="00295C94" w:rsidP="00B83D7E">
      <w:pPr>
        <w:snapToGrid w:val="0"/>
        <w:ind w:firstLine="425"/>
        <w:jc w:val="both"/>
        <w:rPr>
          <w:b/>
          <w:bCs/>
          <w:sz w:val="20"/>
          <w:szCs w:val="20"/>
          <w:lang w:eastAsia="zh-CN"/>
        </w:rPr>
      </w:pPr>
    </w:p>
    <w:p w:rsidR="00295C94" w:rsidRPr="006B09B0" w:rsidRDefault="00295C94" w:rsidP="00B83D7E">
      <w:pPr>
        <w:pStyle w:val="Default"/>
        <w:tabs>
          <w:tab w:val="left" w:pos="7659"/>
        </w:tabs>
        <w:snapToGrid w:val="0"/>
        <w:jc w:val="center"/>
        <w:rPr>
          <w:b/>
          <w:bCs/>
          <w:color w:val="auto"/>
          <w:sz w:val="20"/>
          <w:szCs w:val="20"/>
        </w:rPr>
      </w:pPr>
      <w:r w:rsidRPr="006B09B0">
        <w:rPr>
          <w:b/>
          <w:bCs/>
          <w:iCs/>
          <w:color w:val="auto"/>
          <w:sz w:val="20"/>
          <w:szCs w:val="20"/>
        </w:rPr>
        <w:t>Table</w:t>
      </w:r>
      <w:r w:rsidR="006B09B0" w:rsidRPr="006B09B0">
        <w:rPr>
          <w:rFonts w:eastAsiaTheme="minorEastAsia" w:hint="eastAsia"/>
          <w:b/>
          <w:bCs/>
          <w:iCs/>
          <w:color w:val="auto"/>
          <w:sz w:val="20"/>
          <w:szCs w:val="20"/>
          <w:lang w:eastAsia="zh-CN"/>
        </w:rPr>
        <w:t xml:space="preserve"> </w:t>
      </w:r>
      <w:r w:rsidRPr="006B09B0">
        <w:rPr>
          <w:b/>
          <w:bCs/>
          <w:iCs/>
          <w:color w:val="auto"/>
          <w:sz w:val="20"/>
          <w:szCs w:val="20"/>
        </w:rPr>
        <w:t>1</w:t>
      </w:r>
      <w:r w:rsidR="006B09B0" w:rsidRPr="006B09B0">
        <w:rPr>
          <w:rFonts w:eastAsiaTheme="minorEastAsia" w:hint="eastAsia"/>
          <w:b/>
          <w:bCs/>
          <w:iCs/>
          <w:color w:val="auto"/>
          <w:sz w:val="20"/>
          <w:szCs w:val="20"/>
          <w:lang w:eastAsia="zh-CN"/>
        </w:rPr>
        <w:t>．</w:t>
      </w:r>
      <w:r w:rsidRPr="006B09B0">
        <w:rPr>
          <w:b/>
          <w:bCs/>
          <w:color w:val="auto"/>
          <w:sz w:val="20"/>
          <w:szCs w:val="20"/>
        </w:rPr>
        <w:t>Type of samples collected from farmers and traders (shops and markets) in Kashmir</w:t>
      </w:r>
    </w:p>
    <w:tbl>
      <w:tblPr>
        <w:tblStyle w:val="TableGrid"/>
        <w:tblW w:w="0" w:type="auto"/>
        <w:jc w:val="center"/>
        <w:tblLook w:val="04A0"/>
      </w:tblPr>
      <w:tblGrid>
        <w:gridCol w:w="2093"/>
        <w:gridCol w:w="1134"/>
        <w:gridCol w:w="1245"/>
        <w:gridCol w:w="1298"/>
        <w:gridCol w:w="1254"/>
        <w:gridCol w:w="1298"/>
        <w:gridCol w:w="1254"/>
      </w:tblGrid>
      <w:tr w:rsidR="006C3454" w:rsidRPr="006B09B0" w:rsidTr="006B09B0">
        <w:trPr>
          <w:jc w:val="center"/>
        </w:trPr>
        <w:tc>
          <w:tcPr>
            <w:tcW w:w="2093" w:type="dxa"/>
            <w:vAlign w:val="center"/>
          </w:tcPr>
          <w:p w:rsidR="006C3454" w:rsidRPr="006B09B0" w:rsidRDefault="006C3454" w:rsidP="00B83D7E">
            <w:pPr>
              <w:snapToGrid w:val="0"/>
              <w:jc w:val="both"/>
              <w:rPr>
                <w:color w:val="000000"/>
                <w:sz w:val="20"/>
                <w:szCs w:val="20"/>
              </w:rPr>
            </w:pPr>
            <w:r w:rsidRPr="006B09B0">
              <w:rPr>
                <w:b/>
                <w:bCs/>
                <w:color w:val="000000"/>
                <w:sz w:val="20"/>
                <w:szCs w:val="20"/>
              </w:rPr>
              <w:t>Sample Type</w:t>
            </w:r>
          </w:p>
        </w:tc>
        <w:tc>
          <w:tcPr>
            <w:tcW w:w="2379" w:type="dxa"/>
            <w:gridSpan w:val="2"/>
            <w:vAlign w:val="center"/>
          </w:tcPr>
          <w:p w:rsidR="006C3454" w:rsidRPr="006B09B0" w:rsidRDefault="006C3454" w:rsidP="00B83D7E">
            <w:pPr>
              <w:snapToGrid w:val="0"/>
              <w:jc w:val="both"/>
              <w:rPr>
                <w:color w:val="000000"/>
                <w:sz w:val="20"/>
                <w:szCs w:val="20"/>
              </w:rPr>
            </w:pPr>
            <w:r w:rsidRPr="006B09B0">
              <w:rPr>
                <w:b/>
                <w:bCs/>
                <w:color w:val="000000"/>
                <w:sz w:val="20"/>
                <w:szCs w:val="20"/>
              </w:rPr>
              <w:t>South Kashmir</w:t>
            </w:r>
          </w:p>
        </w:tc>
        <w:tc>
          <w:tcPr>
            <w:tcW w:w="0" w:type="auto"/>
            <w:gridSpan w:val="2"/>
            <w:vAlign w:val="center"/>
          </w:tcPr>
          <w:p w:rsidR="006C3454" w:rsidRPr="006B09B0" w:rsidRDefault="006C3454" w:rsidP="00B83D7E">
            <w:pPr>
              <w:snapToGrid w:val="0"/>
              <w:jc w:val="both"/>
              <w:rPr>
                <w:color w:val="000000"/>
                <w:sz w:val="20"/>
                <w:szCs w:val="20"/>
              </w:rPr>
            </w:pPr>
            <w:r w:rsidRPr="006B09B0">
              <w:rPr>
                <w:b/>
                <w:bCs/>
                <w:color w:val="000000"/>
                <w:sz w:val="20"/>
                <w:szCs w:val="20"/>
              </w:rPr>
              <w:t>Central Kashmir</w:t>
            </w:r>
          </w:p>
        </w:tc>
        <w:tc>
          <w:tcPr>
            <w:tcW w:w="0" w:type="auto"/>
            <w:gridSpan w:val="2"/>
            <w:vAlign w:val="center"/>
          </w:tcPr>
          <w:p w:rsidR="006C3454" w:rsidRPr="006B09B0" w:rsidRDefault="006C3454" w:rsidP="00B83D7E">
            <w:pPr>
              <w:snapToGrid w:val="0"/>
              <w:jc w:val="both"/>
              <w:rPr>
                <w:color w:val="000000"/>
                <w:sz w:val="20"/>
                <w:szCs w:val="20"/>
              </w:rPr>
            </w:pPr>
            <w:r w:rsidRPr="006B09B0">
              <w:rPr>
                <w:b/>
                <w:bCs/>
                <w:color w:val="000000"/>
                <w:sz w:val="20"/>
                <w:szCs w:val="20"/>
              </w:rPr>
              <w:t>North Kashmir</w:t>
            </w:r>
          </w:p>
        </w:tc>
      </w:tr>
      <w:tr w:rsidR="006C3454" w:rsidRPr="006B09B0" w:rsidTr="006B09B0">
        <w:trPr>
          <w:jc w:val="center"/>
        </w:trPr>
        <w:tc>
          <w:tcPr>
            <w:tcW w:w="2093" w:type="dxa"/>
            <w:vAlign w:val="center"/>
          </w:tcPr>
          <w:p w:rsidR="006C3454" w:rsidRPr="006B09B0" w:rsidRDefault="006C3454" w:rsidP="00B83D7E">
            <w:pPr>
              <w:snapToGrid w:val="0"/>
              <w:jc w:val="both"/>
              <w:rPr>
                <w:color w:val="000000"/>
                <w:sz w:val="20"/>
                <w:szCs w:val="20"/>
              </w:rPr>
            </w:pPr>
          </w:p>
        </w:tc>
        <w:tc>
          <w:tcPr>
            <w:tcW w:w="1134" w:type="dxa"/>
            <w:vAlign w:val="center"/>
          </w:tcPr>
          <w:p w:rsidR="006C3454" w:rsidRPr="006B09B0" w:rsidRDefault="006C3454" w:rsidP="00B83D7E">
            <w:pPr>
              <w:snapToGrid w:val="0"/>
              <w:jc w:val="both"/>
              <w:rPr>
                <w:color w:val="000000"/>
                <w:sz w:val="20"/>
                <w:szCs w:val="20"/>
              </w:rPr>
            </w:pPr>
            <w:r w:rsidRPr="006B09B0">
              <w:rPr>
                <w:color w:val="000000"/>
                <w:sz w:val="20"/>
                <w:szCs w:val="20"/>
              </w:rPr>
              <w:t>From Farmers</w:t>
            </w:r>
          </w:p>
        </w:tc>
        <w:tc>
          <w:tcPr>
            <w:tcW w:w="1245" w:type="dxa"/>
            <w:vAlign w:val="center"/>
          </w:tcPr>
          <w:p w:rsidR="006C3454" w:rsidRPr="006B09B0" w:rsidRDefault="006C3454" w:rsidP="00B83D7E">
            <w:pPr>
              <w:snapToGrid w:val="0"/>
              <w:jc w:val="both"/>
              <w:rPr>
                <w:color w:val="000000"/>
                <w:sz w:val="20"/>
                <w:szCs w:val="20"/>
              </w:rPr>
            </w:pPr>
            <w:r w:rsidRPr="006B09B0">
              <w:rPr>
                <w:color w:val="000000"/>
                <w:sz w:val="20"/>
                <w:szCs w:val="20"/>
              </w:rPr>
              <w:t>From Traders</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From Farmers</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From Traders</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From Farmers</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From Traders</w:t>
            </w:r>
          </w:p>
        </w:tc>
      </w:tr>
      <w:tr w:rsidR="006C3454" w:rsidRPr="006B09B0" w:rsidTr="006B09B0">
        <w:trPr>
          <w:jc w:val="center"/>
        </w:trPr>
        <w:tc>
          <w:tcPr>
            <w:tcW w:w="2093" w:type="dxa"/>
            <w:vAlign w:val="center"/>
          </w:tcPr>
          <w:p w:rsidR="006C3454" w:rsidRPr="006B09B0" w:rsidRDefault="006C3454" w:rsidP="00B83D7E">
            <w:pPr>
              <w:snapToGrid w:val="0"/>
              <w:jc w:val="both"/>
              <w:rPr>
                <w:color w:val="000000"/>
                <w:sz w:val="20"/>
                <w:szCs w:val="20"/>
              </w:rPr>
            </w:pPr>
            <w:r w:rsidRPr="006B09B0">
              <w:rPr>
                <w:color w:val="000000"/>
                <w:sz w:val="20"/>
                <w:szCs w:val="20"/>
              </w:rPr>
              <w:t>Whole grain</w:t>
            </w:r>
          </w:p>
        </w:tc>
        <w:tc>
          <w:tcPr>
            <w:tcW w:w="1134" w:type="dxa"/>
            <w:vAlign w:val="center"/>
          </w:tcPr>
          <w:p w:rsidR="006C3454" w:rsidRPr="006B09B0" w:rsidRDefault="006C3454" w:rsidP="00B83D7E">
            <w:pPr>
              <w:snapToGrid w:val="0"/>
              <w:jc w:val="both"/>
              <w:rPr>
                <w:color w:val="000000"/>
                <w:sz w:val="20"/>
                <w:szCs w:val="20"/>
              </w:rPr>
            </w:pPr>
            <w:r w:rsidRPr="006B09B0">
              <w:rPr>
                <w:color w:val="000000"/>
                <w:sz w:val="20"/>
                <w:szCs w:val="20"/>
              </w:rPr>
              <w:t>50</w:t>
            </w:r>
          </w:p>
        </w:tc>
        <w:tc>
          <w:tcPr>
            <w:tcW w:w="1245" w:type="dxa"/>
            <w:vAlign w:val="center"/>
          </w:tcPr>
          <w:p w:rsidR="006C3454" w:rsidRPr="006B09B0" w:rsidRDefault="006C3454" w:rsidP="00B83D7E">
            <w:pPr>
              <w:snapToGrid w:val="0"/>
              <w:jc w:val="both"/>
              <w:rPr>
                <w:color w:val="000000"/>
                <w:sz w:val="20"/>
                <w:szCs w:val="20"/>
              </w:rPr>
            </w:pPr>
            <w:r w:rsidRPr="006B09B0">
              <w:rPr>
                <w:color w:val="000000"/>
                <w:sz w:val="20"/>
                <w:szCs w:val="20"/>
              </w:rPr>
              <w:t>60</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40</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30</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55</w:t>
            </w:r>
          </w:p>
        </w:tc>
        <w:tc>
          <w:tcPr>
            <w:tcW w:w="0" w:type="auto"/>
            <w:vAlign w:val="center"/>
          </w:tcPr>
          <w:p w:rsidR="006C3454" w:rsidRPr="006B09B0" w:rsidRDefault="006C3454" w:rsidP="00B83D7E">
            <w:pPr>
              <w:snapToGrid w:val="0"/>
              <w:jc w:val="both"/>
              <w:rPr>
                <w:color w:val="000000"/>
                <w:sz w:val="20"/>
                <w:szCs w:val="20"/>
              </w:rPr>
            </w:pPr>
            <w:r w:rsidRPr="006B09B0">
              <w:rPr>
                <w:color w:val="000000"/>
                <w:sz w:val="20"/>
                <w:szCs w:val="20"/>
              </w:rPr>
              <w:t>35</w:t>
            </w:r>
          </w:p>
        </w:tc>
      </w:tr>
      <w:tr w:rsidR="00295C94" w:rsidRPr="006B09B0" w:rsidTr="006B09B0">
        <w:trPr>
          <w:jc w:val="center"/>
        </w:trPr>
        <w:tc>
          <w:tcPr>
            <w:tcW w:w="2093" w:type="dxa"/>
            <w:vAlign w:val="center"/>
          </w:tcPr>
          <w:p w:rsidR="00295C94" w:rsidRPr="006B09B0" w:rsidRDefault="00295C94" w:rsidP="00B83D7E">
            <w:pPr>
              <w:snapToGrid w:val="0"/>
              <w:jc w:val="both"/>
              <w:rPr>
                <w:color w:val="000000"/>
                <w:sz w:val="20"/>
                <w:szCs w:val="20"/>
              </w:rPr>
            </w:pPr>
            <w:r w:rsidRPr="006B09B0">
              <w:rPr>
                <w:color w:val="000000"/>
                <w:sz w:val="20"/>
                <w:szCs w:val="20"/>
              </w:rPr>
              <w:t>Grain From stores</w:t>
            </w:r>
          </w:p>
        </w:tc>
        <w:tc>
          <w:tcPr>
            <w:tcW w:w="1134" w:type="dxa"/>
            <w:vAlign w:val="center"/>
          </w:tcPr>
          <w:p w:rsidR="00295C94" w:rsidRPr="006B09B0" w:rsidRDefault="00295C94" w:rsidP="00B83D7E">
            <w:pPr>
              <w:snapToGrid w:val="0"/>
              <w:jc w:val="both"/>
              <w:rPr>
                <w:color w:val="000000"/>
                <w:sz w:val="20"/>
                <w:szCs w:val="20"/>
              </w:rPr>
            </w:pPr>
            <w:r w:rsidRPr="006B09B0">
              <w:rPr>
                <w:color w:val="000000"/>
                <w:sz w:val="20"/>
                <w:szCs w:val="20"/>
              </w:rPr>
              <w:t>60</w:t>
            </w:r>
          </w:p>
        </w:tc>
        <w:tc>
          <w:tcPr>
            <w:tcW w:w="1245" w:type="dxa"/>
            <w:vAlign w:val="center"/>
          </w:tcPr>
          <w:p w:rsidR="00295C94" w:rsidRPr="006B09B0" w:rsidRDefault="00295C94" w:rsidP="00B83D7E">
            <w:pPr>
              <w:snapToGrid w:val="0"/>
              <w:jc w:val="both"/>
              <w:rPr>
                <w:color w:val="000000"/>
                <w:sz w:val="20"/>
                <w:szCs w:val="20"/>
              </w:rPr>
            </w:pPr>
            <w:r w:rsidRPr="006B09B0">
              <w:rPr>
                <w:color w:val="000000"/>
                <w:sz w:val="20"/>
                <w:szCs w:val="20"/>
              </w:rPr>
              <w:t>40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30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25</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20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40</w:t>
            </w:r>
          </w:p>
        </w:tc>
      </w:tr>
      <w:tr w:rsidR="00295C94" w:rsidRPr="006B09B0" w:rsidTr="006B09B0">
        <w:trPr>
          <w:jc w:val="center"/>
        </w:trPr>
        <w:tc>
          <w:tcPr>
            <w:tcW w:w="2093" w:type="dxa"/>
            <w:vAlign w:val="center"/>
          </w:tcPr>
          <w:p w:rsidR="00295C94" w:rsidRPr="006B09B0" w:rsidRDefault="00295C94" w:rsidP="00B83D7E">
            <w:pPr>
              <w:snapToGrid w:val="0"/>
              <w:jc w:val="both"/>
              <w:rPr>
                <w:color w:val="000000"/>
                <w:sz w:val="20"/>
                <w:szCs w:val="20"/>
              </w:rPr>
            </w:pPr>
            <w:r w:rsidRPr="006B09B0">
              <w:rPr>
                <w:color w:val="000000"/>
                <w:sz w:val="20"/>
                <w:szCs w:val="20"/>
              </w:rPr>
              <w:t>Semi Processed grain</w:t>
            </w:r>
          </w:p>
        </w:tc>
        <w:tc>
          <w:tcPr>
            <w:tcW w:w="1134" w:type="dxa"/>
            <w:vAlign w:val="center"/>
          </w:tcPr>
          <w:p w:rsidR="00295C94" w:rsidRPr="006B09B0" w:rsidRDefault="00295C94" w:rsidP="00B83D7E">
            <w:pPr>
              <w:snapToGrid w:val="0"/>
              <w:jc w:val="both"/>
              <w:rPr>
                <w:color w:val="000000"/>
                <w:sz w:val="20"/>
                <w:szCs w:val="20"/>
              </w:rPr>
            </w:pPr>
            <w:r w:rsidRPr="006B09B0">
              <w:rPr>
                <w:color w:val="000000"/>
                <w:sz w:val="20"/>
                <w:szCs w:val="20"/>
              </w:rPr>
              <w:t>40</w:t>
            </w:r>
          </w:p>
        </w:tc>
        <w:tc>
          <w:tcPr>
            <w:tcW w:w="1245" w:type="dxa"/>
            <w:vAlign w:val="center"/>
          </w:tcPr>
          <w:p w:rsidR="00295C94" w:rsidRPr="006B09B0" w:rsidRDefault="00295C94" w:rsidP="00B83D7E">
            <w:pPr>
              <w:snapToGrid w:val="0"/>
              <w:jc w:val="both"/>
              <w:rPr>
                <w:color w:val="000000"/>
                <w:sz w:val="20"/>
                <w:szCs w:val="20"/>
              </w:rPr>
            </w:pPr>
            <w:r w:rsidRPr="006B09B0">
              <w:rPr>
                <w:color w:val="000000"/>
                <w:sz w:val="20"/>
                <w:szCs w:val="20"/>
              </w:rPr>
              <w:t>30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20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25</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r>
      <w:tr w:rsidR="00295C94" w:rsidRPr="006B09B0" w:rsidTr="006B09B0">
        <w:trPr>
          <w:jc w:val="center"/>
        </w:trPr>
        <w:tc>
          <w:tcPr>
            <w:tcW w:w="2093" w:type="dxa"/>
            <w:vAlign w:val="center"/>
          </w:tcPr>
          <w:p w:rsidR="00295C94" w:rsidRPr="006B09B0" w:rsidRDefault="00295C94" w:rsidP="00B83D7E">
            <w:pPr>
              <w:snapToGrid w:val="0"/>
              <w:jc w:val="both"/>
              <w:rPr>
                <w:color w:val="000000"/>
                <w:sz w:val="20"/>
                <w:szCs w:val="20"/>
              </w:rPr>
            </w:pPr>
            <w:r w:rsidRPr="006B09B0">
              <w:rPr>
                <w:color w:val="000000"/>
                <w:sz w:val="20"/>
                <w:szCs w:val="20"/>
              </w:rPr>
              <w:t>Flour in packed bags</w:t>
            </w:r>
          </w:p>
        </w:tc>
        <w:tc>
          <w:tcPr>
            <w:tcW w:w="1134" w:type="dxa"/>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1245" w:type="dxa"/>
            <w:vAlign w:val="center"/>
          </w:tcPr>
          <w:p w:rsidR="00295C94" w:rsidRPr="006B09B0" w:rsidRDefault="00295C94" w:rsidP="00B83D7E">
            <w:pPr>
              <w:snapToGrid w:val="0"/>
              <w:jc w:val="both"/>
              <w:rPr>
                <w:color w:val="000000"/>
                <w:sz w:val="20"/>
                <w:szCs w:val="20"/>
              </w:rPr>
            </w:pPr>
            <w:r w:rsidRPr="006B09B0">
              <w:rPr>
                <w:color w:val="000000"/>
                <w:sz w:val="20"/>
                <w:szCs w:val="20"/>
              </w:rPr>
              <w:t>10</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5</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6</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8</w:t>
            </w:r>
          </w:p>
        </w:tc>
      </w:tr>
      <w:tr w:rsidR="00295C94" w:rsidRPr="006B09B0" w:rsidTr="006B09B0">
        <w:trPr>
          <w:jc w:val="center"/>
        </w:trPr>
        <w:tc>
          <w:tcPr>
            <w:tcW w:w="2093" w:type="dxa"/>
            <w:vAlign w:val="center"/>
          </w:tcPr>
          <w:p w:rsidR="00295C94" w:rsidRPr="006B09B0" w:rsidRDefault="00295C94" w:rsidP="00B83D7E">
            <w:pPr>
              <w:snapToGrid w:val="0"/>
              <w:jc w:val="both"/>
              <w:rPr>
                <w:color w:val="000000"/>
                <w:sz w:val="20"/>
                <w:szCs w:val="20"/>
              </w:rPr>
            </w:pPr>
            <w:r w:rsidRPr="006B09B0">
              <w:rPr>
                <w:color w:val="000000"/>
                <w:sz w:val="20"/>
                <w:szCs w:val="20"/>
              </w:rPr>
              <w:t>Flour in open bags</w:t>
            </w:r>
          </w:p>
        </w:tc>
        <w:tc>
          <w:tcPr>
            <w:tcW w:w="1134" w:type="dxa"/>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1245" w:type="dxa"/>
            <w:vAlign w:val="center"/>
          </w:tcPr>
          <w:p w:rsidR="00295C94" w:rsidRPr="006B09B0" w:rsidRDefault="00295C94" w:rsidP="00B83D7E">
            <w:pPr>
              <w:snapToGrid w:val="0"/>
              <w:jc w:val="both"/>
              <w:rPr>
                <w:color w:val="000000"/>
                <w:sz w:val="20"/>
                <w:szCs w:val="20"/>
              </w:rPr>
            </w:pPr>
            <w:r w:rsidRPr="006B09B0">
              <w:rPr>
                <w:color w:val="000000"/>
                <w:sz w:val="20"/>
                <w:szCs w:val="20"/>
              </w:rPr>
              <w:t>5</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2</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c>
          <w:tcPr>
            <w:tcW w:w="0" w:type="auto"/>
            <w:vAlign w:val="center"/>
          </w:tcPr>
          <w:p w:rsidR="00295C94" w:rsidRPr="006B09B0" w:rsidRDefault="00295C94" w:rsidP="00B83D7E">
            <w:pPr>
              <w:snapToGrid w:val="0"/>
              <w:jc w:val="both"/>
              <w:rPr>
                <w:color w:val="000000"/>
                <w:sz w:val="20"/>
                <w:szCs w:val="20"/>
              </w:rPr>
            </w:pPr>
            <w:r w:rsidRPr="006B09B0">
              <w:rPr>
                <w:color w:val="000000"/>
                <w:sz w:val="20"/>
                <w:szCs w:val="20"/>
              </w:rPr>
              <w:t>-</w:t>
            </w:r>
          </w:p>
        </w:tc>
      </w:tr>
    </w:tbl>
    <w:p w:rsidR="00295C94" w:rsidRPr="006B09B0" w:rsidRDefault="00295C94" w:rsidP="00B83D7E">
      <w:pPr>
        <w:snapToGrid w:val="0"/>
        <w:ind w:firstLine="425"/>
        <w:jc w:val="both"/>
        <w:rPr>
          <w:sz w:val="20"/>
          <w:szCs w:val="20"/>
          <w:lang w:eastAsia="zh-CN"/>
        </w:rPr>
      </w:pPr>
    </w:p>
    <w:p w:rsidR="008F3361" w:rsidRPr="006B09B0" w:rsidRDefault="008F3361" w:rsidP="00B83D7E">
      <w:pPr>
        <w:snapToGrid w:val="0"/>
        <w:jc w:val="both"/>
        <w:rPr>
          <w:b/>
          <w:bCs/>
          <w:sz w:val="20"/>
          <w:szCs w:val="20"/>
        </w:rPr>
      </w:pPr>
      <w:r w:rsidRPr="006B09B0">
        <w:rPr>
          <w:b/>
          <w:bCs/>
          <w:sz w:val="20"/>
          <w:szCs w:val="20"/>
        </w:rPr>
        <w:t xml:space="preserve">Table 2. Percent incidence of different </w:t>
      </w:r>
      <w:proofErr w:type="spellStart"/>
      <w:r w:rsidRPr="006B09B0">
        <w:rPr>
          <w:b/>
          <w:bCs/>
          <w:sz w:val="20"/>
          <w:szCs w:val="20"/>
        </w:rPr>
        <w:t>Aspergillus</w:t>
      </w:r>
      <w:proofErr w:type="spellEnd"/>
      <w:r w:rsidRPr="006B09B0">
        <w:rPr>
          <w:b/>
          <w:bCs/>
          <w:sz w:val="20"/>
          <w:szCs w:val="20"/>
        </w:rPr>
        <w:t xml:space="preserve"> species isolated from infected maize grain, semi-processed maize grain and processed maize grain from south</w:t>
      </w:r>
      <w:r w:rsidR="00B83D7E" w:rsidRPr="006B09B0">
        <w:rPr>
          <w:b/>
          <w:bCs/>
          <w:sz w:val="20"/>
          <w:szCs w:val="20"/>
        </w:rPr>
        <w:t>, c</w:t>
      </w:r>
      <w:r w:rsidRPr="006B09B0">
        <w:rPr>
          <w:b/>
          <w:bCs/>
          <w:sz w:val="20"/>
          <w:szCs w:val="20"/>
        </w:rPr>
        <w:t>entral and north</w:t>
      </w:r>
      <w:r w:rsidR="0044737E" w:rsidRPr="006B09B0">
        <w:rPr>
          <w:b/>
          <w:bCs/>
          <w:sz w:val="20"/>
          <w:szCs w:val="20"/>
        </w:rPr>
        <w:t xml:space="preserve"> </w:t>
      </w:r>
      <w:r w:rsidRPr="006B09B0">
        <w:rPr>
          <w:b/>
          <w:bCs/>
          <w:sz w:val="20"/>
          <w:szCs w:val="20"/>
        </w:rPr>
        <w:t>Kashmir</w:t>
      </w:r>
    </w:p>
    <w:tbl>
      <w:tblPr>
        <w:tblStyle w:val="TableGrid"/>
        <w:tblW w:w="5000" w:type="pct"/>
        <w:jc w:val="center"/>
        <w:tblLook w:val="04A0"/>
      </w:tblPr>
      <w:tblGrid>
        <w:gridCol w:w="973"/>
        <w:gridCol w:w="942"/>
        <w:gridCol w:w="871"/>
        <w:gridCol w:w="1195"/>
        <w:gridCol w:w="691"/>
        <w:gridCol w:w="751"/>
        <w:gridCol w:w="1086"/>
        <w:gridCol w:w="1230"/>
        <w:gridCol w:w="1027"/>
        <w:gridCol w:w="810"/>
      </w:tblGrid>
      <w:tr w:rsidR="00B83D7E" w:rsidRPr="006B09B0" w:rsidTr="006B09B0">
        <w:trPr>
          <w:jc w:val="center"/>
        </w:trPr>
        <w:tc>
          <w:tcPr>
            <w:tcW w:w="508" w:type="pct"/>
            <w:vAlign w:val="center"/>
          </w:tcPr>
          <w:p w:rsidR="00B83D7E" w:rsidRPr="006B09B0" w:rsidRDefault="00B83D7E" w:rsidP="00B83D7E">
            <w:pPr>
              <w:snapToGrid w:val="0"/>
              <w:jc w:val="both"/>
              <w:rPr>
                <w:color w:val="000000"/>
                <w:sz w:val="20"/>
                <w:szCs w:val="20"/>
              </w:rPr>
            </w:pPr>
            <w:r w:rsidRPr="006B09B0">
              <w:rPr>
                <w:color w:val="000000"/>
                <w:sz w:val="20"/>
                <w:szCs w:val="20"/>
              </w:rPr>
              <w:t>Sample</w:t>
            </w:r>
          </w:p>
        </w:tc>
        <w:tc>
          <w:tcPr>
            <w:tcW w:w="947" w:type="pct"/>
            <w:gridSpan w:val="2"/>
            <w:vAlign w:val="center"/>
          </w:tcPr>
          <w:p w:rsidR="00B83D7E" w:rsidRPr="006B09B0" w:rsidRDefault="00B83D7E" w:rsidP="00B83D7E">
            <w:pPr>
              <w:snapToGrid w:val="0"/>
              <w:jc w:val="both"/>
              <w:rPr>
                <w:color w:val="000000"/>
                <w:sz w:val="20"/>
                <w:szCs w:val="20"/>
              </w:rPr>
            </w:pPr>
          </w:p>
        </w:tc>
        <w:tc>
          <w:tcPr>
            <w:tcW w:w="624"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361"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392"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567"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642"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536"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c>
          <w:tcPr>
            <w:tcW w:w="423" w:type="pct"/>
            <w:vAlign w:val="center"/>
          </w:tcPr>
          <w:p w:rsidR="00B83D7E" w:rsidRPr="006B09B0" w:rsidRDefault="00B83D7E" w:rsidP="00B83D7E">
            <w:pPr>
              <w:snapToGrid w:val="0"/>
              <w:jc w:val="both"/>
              <w:rPr>
                <w:color w:val="000000"/>
                <w:sz w:val="20"/>
                <w:szCs w:val="20"/>
              </w:rPr>
            </w:pPr>
            <w:r w:rsidRPr="006B09B0">
              <w:rPr>
                <w:i/>
                <w:iCs/>
                <w:color w:val="000000"/>
                <w:sz w:val="20"/>
                <w:szCs w:val="20"/>
              </w:rPr>
              <w:t>A</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Type</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Source</w:t>
            </w:r>
          </w:p>
        </w:tc>
        <w:tc>
          <w:tcPr>
            <w:tcW w:w="454" w:type="pct"/>
            <w:vAlign w:val="center"/>
          </w:tcPr>
          <w:p w:rsidR="0044737E" w:rsidRPr="006B09B0" w:rsidRDefault="0044737E" w:rsidP="00B83D7E">
            <w:pPr>
              <w:snapToGrid w:val="0"/>
              <w:jc w:val="both"/>
              <w:rPr>
                <w:i/>
                <w:iCs/>
                <w:color w:val="000000"/>
                <w:sz w:val="20"/>
                <w:szCs w:val="20"/>
              </w:rPr>
            </w:pPr>
            <w:r w:rsidRPr="006B09B0">
              <w:rPr>
                <w:color w:val="000000"/>
                <w:sz w:val="20"/>
                <w:szCs w:val="20"/>
              </w:rPr>
              <w:t>Region</w:t>
            </w:r>
          </w:p>
        </w:tc>
        <w:tc>
          <w:tcPr>
            <w:tcW w:w="624"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parasiticus</w:t>
            </w:r>
            <w:proofErr w:type="spellEnd"/>
          </w:p>
        </w:tc>
        <w:tc>
          <w:tcPr>
            <w:tcW w:w="361"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niger</w:t>
            </w:r>
            <w:proofErr w:type="spellEnd"/>
          </w:p>
        </w:tc>
        <w:tc>
          <w:tcPr>
            <w:tcW w:w="392"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flavus</w:t>
            </w:r>
            <w:proofErr w:type="spellEnd"/>
          </w:p>
        </w:tc>
        <w:tc>
          <w:tcPr>
            <w:tcW w:w="567"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fumigatus</w:t>
            </w:r>
            <w:proofErr w:type="spellEnd"/>
          </w:p>
        </w:tc>
        <w:tc>
          <w:tcPr>
            <w:tcW w:w="642"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ochraceous</w:t>
            </w:r>
            <w:proofErr w:type="spellEnd"/>
          </w:p>
        </w:tc>
        <w:tc>
          <w:tcPr>
            <w:tcW w:w="536" w:type="pct"/>
            <w:vAlign w:val="center"/>
          </w:tcPr>
          <w:p w:rsidR="0044737E" w:rsidRPr="006B09B0" w:rsidRDefault="0044737E" w:rsidP="00B83D7E">
            <w:pPr>
              <w:snapToGrid w:val="0"/>
              <w:jc w:val="both"/>
              <w:rPr>
                <w:i/>
                <w:iCs/>
                <w:color w:val="000000"/>
                <w:sz w:val="20"/>
                <w:szCs w:val="20"/>
              </w:rPr>
            </w:pPr>
            <w:proofErr w:type="spellStart"/>
            <w:r w:rsidRPr="006B09B0">
              <w:rPr>
                <w:i/>
                <w:iCs/>
                <w:color w:val="000000"/>
                <w:sz w:val="20"/>
                <w:szCs w:val="20"/>
              </w:rPr>
              <w:t>vesicolor</w:t>
            </w:r>
            <w:proofErr w:type="spellEnd"/>
          </w:p>
        </w:tc>
        <w:tc>
          <w:tcPr>
            <w:tcW w:w="423" w:type="pct"/>
            <w:vAlign w:val="center"/>
          </w:tcPr>
          <w:p w:rsidR="0044737E" w:rsidRPr="006B09B0" w:rsidRDefault="0044737E" w:rsidP="00B83D7E">
            <w:pPr>
              <w:snapToGrid w:val="0"/>
              <w:jc w:val="both"/>
              <w:rPr>
                <w:i/>
                <w:iCs/>
                <w:color w:val="000000"/>
                <w:sz w:val="20"/>
                <w:szCs w:val="20"/>
              </w:rPr>
            </w:pPr>
            <w:r w:rsidRPr="006B09B0">
              <w:rPr>
                <w:i/>
                <w:iCs/>
                <w:color w:val="000000"/>
                <w:sz w:val="20"/>
                <w:szCs w:val="20"/>
              </w:rPr>
              <w:t>tamari</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Traders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Central</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7</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12</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8</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4</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0.5</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0.2</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0.1</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Traders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South</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8</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9</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4</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2</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0.8</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0.6</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0.0</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Farmers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Central</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5</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11</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6</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0.9</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0.3</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0.4</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0.2</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Farmers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North</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9</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5</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2</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0.9</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0.2</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0.0</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 sp</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Traders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Central</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2</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5</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0.6</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 sp</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Farmers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South</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14</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9</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2</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0.1</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0.0</w:t>
            </w:r>
          </w:p>
        </w:tc>
      </w:tr>
      <w:tr w:rsidR="0044737E" w:rsidRPr="006B09B0" w:rsidTr="006B09B0">
        <w:trPr>
          <w:jc w:val="center"/>
        </w:trPr>
        <w:tc>
          <w:tcPr>
            <w:tcW w:w="508" w:type="pct"/>
            <w:vAlign w:val="center"/>
          </w:tcPr>
          <w:p w:rsidR="0044737E" w:rsidRPr="006B09B0" w:rsidRDefault="0044737E" w:rsidP="00B83D7E">
            <w:pPr>
              <w:snapToGrid w:val="0"/>
              <w:jc w:val="both"/>
              <w:rPr>
                <w:color w:val="000000"/>
                <w:sz w:val="20"/>
                <w:szCs w:val="20"/>
              </w:rPr>
            </w:pPr>
            <w:r w:rsidRPr="006B09B0">
              <w:rPr>
                <w:color w:val="000000"/>
                <w:sz w:val="20"/>
                <w:szCs w:val="20"/>
              </w:rPr>
              <w:t>Grain p</w:t>
            </w:r>
          </w:p>
        </w:tc>
        <w:tc>
          <w:tcPr>
            <w:tcW w:w="492" w:type="pct"/>
            <w:vAlign w:val="center"/>
          </w:tcPr>
          <w:p w:rsidR="0044737E" w:rsidRPr="006B09B0" w:rsidRDefault="0044737E" w:rsidP="00B83D7E">
            <w:pPr>
              <w:snapToGrid w:val="0"/>
              <w:jc w:val="both"/>
              <w:rPr>
                <w:color w:val="000000"/>
                <w:sz w:val="20"/>
                <w:szCs w:val="20"/>
              </w:rPr>
            </w:pPr>
            <w:r w:rsidRPr="006B09B0">
              <w:rPr>
                <w:color w:val="000000"/>
                <w:sz w:val="20"/>
                <w:szCs w:val="20"/>
              </w:rPr>
              <w:t>Traders</w:t>
            </w:r>
          </w:p>
        </w:tc>
        <w:tc>
          <w:tcPr>
            <w:tcW w:w="454" w:type="pct"/>
            <w:vAlign w:val="center"/>
          </w:tcPr>
          <w:p w:rsidR="0044737E" w:rsidRPr="006B09B0" w:rsidRDefault="0044737E" w:rsidP="00B83D7E">
            <w:pPr>
              <w:snapToGrid w:val="0"/>
              <w:jc w:val="both"/>
              <w:rPr>
                <w:color w:val="000000"/>
                <w:sz w:val="20"/>
                <w:szCs w:val="20"/>
              </w:rPr>
            </w:pPr>
            <w:r w:rsidRPr="006B09B0">
              <w:rPr>
                <w:color w:val="000000"/>
                <w:sz w:val="20"/>
                <w:szCs w:val="20"/>
              </w:rPr>
              <w:t>North</w:t>
            </w:r>
          </w:p>
        </w:tc>
        <w:tc>
          <w:tcPr>
            <w:tcW w:w="624" w:type="pct"/>
            <w:vAlign w:val="center"/>
          </w:tcPr>
          <w:p w:rsidR="0044737E" w:rsidRPr="006B09B0" w:rsidRDefault="0044737E" w:rsidP="00B83D7E">
            <w:pPr>
              <w:snapToGrid w:val="0"/>
              <w:jc w:val="both"/>
              <w:rPr>
                <w:color w:val="000000"/>
                <w:sz w:val="20"/>
                <w:szCs w:val="20"/>
              </w:rPr>
            </w:pPr>
            <w:r w:rsidRPr="006B09B0">
              <w:rPr>
                <w:color w:val="000000"/>
                <w:sz w:val="20"/>
                <w:szCs w:val="20"/>
              </w:rPr>
              <w:t>3</w:t>
            </w:r>
          </w:p>
        </w:tc>
        <w:tc>
          <w:tcPr>
            <w:tcW w:w="361" w:type="pct"/>
            <w:vAlign w:val="center"/>
          </w:tcPr>
          <w:p w:rsidR="0044737E" w:rsidRPr="006B09B0" w:rsidRDefault="0044737E" w:rsidP="00B83D7E">
            <w:pPr>
              <w:snapToGrid w:val="0"/>
              <w:jc w:val="both"/>
              <w:rPr>
                <w:color w:val="000000"/>
                <w:sz w:val="20"/>
                <w:szCs w:val="20"/>
              </w:rPr>
            </w:pPr>
            <w:r w:rsidRPr="006B09B0">
              <w:rPr>
                <w:color w:val="000000"/>
                <w:sz w:val="20"/>
                <w:szCs w:val="20"/>
              </w:rPr>
              <w:t>2</w:t>
            </w:r>
          </w:p>
        </w:tc>
        <w:tc>
          <w:tcPr>
            <w:tcW w:w="392" w:type="pct"/>
            <w:vAlign w:val="center"/>
          </w:tcPr>
          <w:p w:rsidR="0044737E" w:rsidRPr="006B09B0" w:rsidRDefault="0044737E" w:rsidP="00B83D7E">
            <w:pPr>
              <w:snapToGrid w:val="0"/>
              <w:jc w:val="both"/>
              <w:rPr>
                <w:color w:val="000000"/>
                <w:sz w:val="20"/>
                <w:szCs w:val="20"/>
              </w:rPr>
            </w:pPr>
            <w:r w:rsidRPr="006B09B0">
              <w:rPr>
                <w:color w:val="000000"/>
                <w:sz w:val="20"/>
                <w:szCs w:val="20"/>
              </w:rPr>
              <w:t>1</w:t>
            </w:r>
          </w:p>
        </w:tc>
        <w:tc>
          <w:tcPr>
            <w:tcW w:w="567"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642"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536"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c>
          <w:tcPr>
            <w:tcW w:w="423" w:type="pct"/>
            <w:vAlign w:val="center"/>
          </w:tcPr>
          <w:p w:rsidR="0044737E" w:rsidRPr="006B09B0" w:rsidRDefault="0044737E" w:rsidP="00B83D7E">
            <w:pPr>
              <w:snapToGrid w:val="0"/>
              <w:jc w:val="both"/>
              <w:rPr>
                <w:color w:val="000000"/>
                <w:sz w:val="20"/>
                <w:szCs w:val="20"/>
              </w:rPr>
            </w:pPr>
            <w:r w:rsidRPr="006B09B0">
              <w:rPr>
                <w:color w:val="000000"/>
                <w:sz w:val="20"/>
                <w:szCs w:val="20"/>
              </w:rPr>
              <w:t>-</w:t>
            </w:r>
          </w:p>
        </w:tc>
      </w:tr>
    </w:tbl>
    <w:p w:rsidR="0044737E" w:rsidRPr="006B09B0" w:rsidRDefault="0044737E" w:rsidP="00B83D7E">
      <w:pPr>
        <w:snapToGrid w:val="0"/>
        <w:jc w:val="both"/>
        <w:rPr>
          <w:sz w:val="20"/>
          <w:szCs w:val="20"/>
          <w:lang w:eastAsia="zh-CN"/>
        </w:rPr>
      </w:pPr>
      <w:r w:rsidRPr="006B09B0">
        <w:rPr>
          <w:sz w:val="20"/>
          <w:szCs w:val="20"/>
        </w:rPr>
        <w:t>SP= semi processed</w:t>
      </w:r>
      <w:r w:rsidR="00B83D7E" w:rsidRPr="006B09B0">
        <w:rPr>
          <w:sz w:val="20"/>
          <w:szCs w:val="20"/>
        </w:rPr>
        <w:t>,</w:t>
      </w:r>
      <w:r w:rsidRPr="006B09B0">
        <w:rPr>
          <w:sz w:val="20"/>
          <w:szCs w:val="20"/>
        </w:rPr>
        <w:t xml:space="preserve"> P= processed, South= south Kashmir, North= north Kashmir, Central= central Kashmir</w:t>
      </w:r>
    </w:p>
    <w:p w:rsidR="0044737E" w:rsidRPr="006B09B0" w:rsidRDefault="0044737E" w:rsidP="00B83D7E">
      <w:pPr>
        <w:snapToGrid w:val="0"/>
        <w:ind w:firstLine="425"/>
        <w:jc w:val="both"/>
        <w:rPr>
          <w:rFonts w:hint="eastAsia"/>
          <w:sz w:val="20"/>
          <w:szCs w:val="20"/>
          <w:lang w:eastAsia="zh-CN"/>
        </w:rPr>
      </w:pPr>
    </w:p>
    <w:p w:rsidR="006B09B0" w:rsidRPr="006B09B0" w:rsidRDefault="006B09B0" w:rsidP="00B83D7E">
      <w:pPr>
        <w:snapToGrid w:val="0"/>
        <w:ind w:firstLine="425"/>
        <w:jc w:val="both"/>
        <w:rPr>
          <w:sz w:val="20"/>
          <w:szCs w:val="20"/>
          <w:lang w:eastAsia="zh-CN"/>
        </w:rPr>
      </w:pPr>
    </w:p>
    <w:p w:rsidR="002245EB" w:rsidRPr="006B09B0" w:rsidRDefault="00645069" w:rsidP="00B83D7E">
      <w:pPr>
        <w:pStyle w:val="Default"/>
        <w:snapToGrid w:val="0"/>
        <w:jc w:val="center"/>
        <w:rPr>
          <w:b/>
          <w:bCs/>
          <w:color w:val="auto"/>
          <w:sz w:val="20"/>
          <w:szCs w:val="20"/>
        </w:rPr>
      </w:pPr>
      <w:r w:rsidRPr="006B09B0">
        <w:rPr>
          <w:b/>
          <w:noProof/>
          <w:sz w:val="20"/>
          <w:szCs w:val="20"/>
          <w:lang w:eastAsia="zh-CN"/>
        </w:rPr>
        <w:lastRenderedPageBreak/>
        <w:drawing>
          <wp:inline distT="0" distB="0" distL="0" distR="0">
            <wp:extent cx="5356032" cy="2226365"/>
            <wp:effectExtent l="19050" t="0" r="16068" b="2485"/>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3361" w:rsidRPr="006B09B0" w:rsidRDefault="006B09B0" w:rsidP="00B83D7E">
      <w:pPr>
        <w:pStyle w:val="Default"/>
        <w:snapToGrid w:val="0"/>
        <w:jc w:val="both"/>
        <w:rPr>
          <w:b/>
          <w:bCs/>
          <w:color w:val="auto"/>
          <w:sz w:val="20"/>
          <w:szCs w:val="20"/>
        </w:rPr>
      </w:pPr>
      <w:r w:rsidRPr="006B09B0">
        <w:rPr>
          <w:b/>
          <w:bCs/>
          <w:color w:val="auto"/>
          <w:sz w:val="20"/>
          <w:szCs w:val="20"/>
        </w:rPr>
        <w:t>Figure</w:t>
      </w:r>
      <w:r w:rsidRPr="006B09B0">
        <w:rPr>
          <w:rFonts w:eastAsiaTheme="minorEastAsia" w:hint="eastAsia"/>
          <w:b/>
          <w:bCs/>
          <w:color w:val="auto"/>
          <w:sz w:val="20"/>
          <w:szCs w:val="20"/>
          <w:lang w:eastAsia="zh-CN"/>
        </w:rPr>
        <w:t xml:space="preserve"> </w:t>
      </w:r>
      <w:r w:rsidR="00A51847" w:rsidRPr="006B09B0">
        <w:rPr>
          <w:b/>
          <w:bCs/>
          <w:color w:val="auto"/>
          <w:sz w:val="20"/>
          <w:szCs w:val="20"/>
        </w:rPr>
        <w:t>1</w:t>
      </w:r>
      <w:r w:rsidRPr="006B09B0">
        <w:rPr>
          <w:rFonts w:eastAsiaTheme="minorEastAsia" w:hint="eastAsia"/>
          <w:b/>
          <w:bCs/>
          <w:color w:val="auto"/>
          <w:sz w:val="20"/>
          <w:szCs w:val="20"/>
          <w:lang w:eastAsia="zh-CN"/>
        </w:rPr>
        <w:t>.</w:t>
      </w:r>
      <w:r w:rsidR="00B83D7E" w:rsidRPr="006B09B0">
        <w:rPr>
          <w:b/>
          <w:bCs/>
          <w:color w:val="auto"/>
          <w:sz w:val="20"/>
          <w:szCs w:val="20"/>
        </w:rPr>
        <w:t xml:space="preserve"> </w:t>
      </w:r>
      <w:r w:rsidR="00A51847" w:rsidRPr="006B09B0">
        <w:rPr>
          <w:b/>
          <w:bCs/>
          <w:color w:val="auto"/>
          <w:sz w:val="20"/>
          <w:szCs w:val="20"/>
        </w:rPr>
        <w:t xml:space="preserve">Mean number of colony forming units (CFU/g) of </w:t>
      </w:r>
      <w:proofErr w:type="spellStart"/>
      <w:r w:rsidR="00A51847" w:rsidRPr="006B09B0">
        <w:rPr>
          <w:b/>
          <w:bCs/>
          <w:i/>
          <w:iCs/>
          <w:color w:val="auto"/>
          <w:sz w:val="20"/>
          <w:szCs w:val="20"/>
        </w:rPr>
        <w:t>Aspergillus</w:t>
      </w:r>
      <w:proofErr w:type="spellEnd"/>
      <w:r w:rsidR="00A51847" w:rsidRPr="006B09B0">
        <w:rPr>
          <w:b/>
          <w:bCs/>
          <w:i/>
          <w:iCs/>
          <w:color w:val="auto"/>
          <w:sz w:val="20"/>
          <w:szCs w:val="20"/>
        </w:rPr>
        <w:t xml:space="preserve"> </w:t>
      </w:r>
      <w:r w:rsidR="00A51847" w:rsidRPr="006B09B0">
        <w:rPr>
          <w:b/>
          <w:bCs/>
          <w:color w:val="auto"/>
          <w:sz w:val="20"/>
          <w:szCs w:val="20"/>
        </w:rPr>
        <w:t>species isolated from maize flour collected from farmers and traders in Kashmir</w:t>
      </w:r>
    </w:p>
    <w:p w:rsidR="00B83D7E" w:rsidRPr="006B09B0" w:rsidRDefault="00B83D7E" w:rsidP="00B83D7E">
      <w:pPr>
        <w:snapToGrid w:val="0"/>
        <w:jc w:val="both"/>
        <w:rPr>
          <w:b/>
          <w:sz w:val="20"/>
          <w:szCs w:val="20"/>
          <w:lang w:eastAsia="zh-CN"/>
        </w:rPr>
      </w:pPr>
    </w:p>
    <w:p w:rsidR="00B83D7E" w:rsidRPr="006B09B0" w:rsidRDefault="00B83D7E" w:rsidP="00B83D7E">
      <w:pPr>
        <w:snapToGrid w:val="0"/>
        <w:jc w:val="both"/>
        <w:rPr>
          <w:b/>
          <w:sz w:val="20"/>
          <w:szCs w:val="20"/>
          <w:lang w:eastAsia="zh-CN"/>
        </w:rPr>
        <w:sectPr w:rsidR="00B83D7E" w:rsidRPr="006B09B0" w:rsidSect="0055371B">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576"/>
          <w:docGrid w:linePitch="360"/>
        </w:sectPr>
      </w:pPr>
    </w:p>
    <w:p w:rsidR="00471E57" w:rsidRPr="006B09B0" w:rsidRDefault="00471E57" w:rsidP="00B83D7E">
      <w:pPr>
        <w:snapToGrid w:val="0"/>
        <w:jc w:val="both"/>
        <w:rPr>
          <w:b/>
          <w:sz w:val="20"/>
          <w:szCs w:val="20"/>
        </w:rPr>
      </w:pPr>
      <w:r w:rsidRPr="006B09B0">
        <w:rPr>
          <w:b/>
          <w:sz w:val="20"/>
          <w:szCs w:val="20"/>
        </w:rPr>
        <w:lastRenderedPageBreak/>
        <w:t>4. Discussions</w:t>
      </w:r>
    </w:p>
    <w:p w:rsidR="00B83D7E" w:rsidRPr="006B09B0" w:rsidRDefault="00BD1DC6" w:rsidP="00B83D7E">
      <w:pPr>
        <w:snapToGrid w:val="0"/>
        <w:ind w:firstLine="425"/>
        <w:jc w:val="both"/>
        <w:rPr>
          <w:sz w:val="20"/>
          <w:szCs w:val="20"/>
        </w:rPr>
      </w:pPr>
      <w:r w:rsidRPr="006B09B0">
        <w:rPr>
          <w:color w:val="000000"/>
          <w:sz w:val="20"/>
          <w:szCs w:val="20"/>
          <w:lang w:eastAsia="en-US"/>
        </w:rPr>
        <w:t xml:space="preserve">This study provides the comprehensive documentation of the distribution of </w:t>
      </w:r>
      <w:proofErr w:type="spellStart"/>
      <w:r w:rsidRPr="006B09B0">
        <w:rPr>
          <w:color w:val="000000"/>
          <w:sz w:val="20"/>
          <w:szCs w:val="20"/>
          <w:lang w:eastAsia="en-US"/>
        </w:rPr>
        <w:t>Aspergillus</w:t>
      </w:r>
      <w:proofErr w:type="spellEnd"/>
      <w:r w:rsidRPr="006B09B0">
        <w:rPr>
          <w:color w:val="000000"/>
          <w:sz w:val="20"/>
          <w:szCs w:val="20"/>
          <w:lang w:eastAsia="en-US"/>
        </w:rPr>
        <w:t xml:space="preserve"> </w:t>
      </w:r>
      <w:r w:rsidR="00630EE5" w:rsidRPr="006B09B0">
        <w:rPr>
          <w:color w:val="000000"/>
          <w:sz w:val="20"/>
          <w:szCs w:val="20"/>
          <w:lang w:eastAsia="en-US"/>
        </w:rPr>
        <w:t xml:space="preserve">species maize and maize based products in Kashmir valley. </w:t>
      </w:r>
      <w:r w:rsidR="00630EE5" w:rsidRPr="006B09B0">
        <w:rPr>
          <w:sz w:val="20"/>
          <w:szCs w:val="20"/>
        </w:rPr>
        <w:t xml:space="preserve">The commonly isolated fungi were species of </w:t>
      </w:r>
      <w:proofErr w:type="spellStart"/>
      <w:r w:rsidR="00630EE5" w:rsidRPr="006B09B0">
        <w:rPr>
          <w:i/>
          <w:iCs/>
          <w:sz w:val="20"/>
          <w:szCs w:val="20"/>
        </w:rPr>
        <w:t>Aspergillus</w:t>
      </w:r>
      <w:proofErr w:type="spellEnd"/>
      <w:r w:rsidR="00630EE5" w:rsidRPr="006B09B0">
        <w:rPr>
          <w:sz w:val="20"/>
          <w:szCs w:val="20"/>
        </w:rPr>
        <w:t xml:space="preserve">, </w:t>
      </w:r>
      <w:proofErr w:type="spellStart"/>
      <w:r w:rsidR="00630EE5" w:rsidRPr="006B09B0">
        <w:rPr>
          <w:i/>
          <w:iCs/>
          <w:sz w:val="20"/>
          <w:szCs w:val="20"/>
        </w:rPr>
        <w:t>Penicillium</w:t>
      </w:r>
      <w:proofErr w:type="spellEnd"/>
      <w:r w:rsidR="00630EE5" w:rsidRPr="006B09B0">
        <w:rPr>
          <w:i/>
          <w:iCs/>
          <w:sz w:val="20"/>
          <w:szCs w:val="20"/>
        </w:rPr>
        <w:t xml:space="preserve"> </w:t>
      </w:r>
      <w:r w:rsidR="00630EE5" w:rsidRPr="006B09B0">
        <w:rPr>
          <w:sz w:val="20"/>
          <w:szCs w:val="20"/>
        </w:rPr>
        <w:t xml:space="preserve">and </w:t>
      </w:r>
      <w:proofErr w:type="spellStart"/>
      <w:r w:rsidR="00630EE5" w:rsidRPr="006B09B0">
        <w:rPr>
          <w:i/>
          <w:iCs/>
          <w:sz w:val="20"/>
          <w:szCs w:val="20"/>
        </w:rPr>
        <w:t>Mucor</w:t>
      </w:r>
      <w:proofErr w:type="spellEnd"/>
      <w:r w:rsidR="00630EE5" w:rsidRPr="006B09B0">
        <w:rPr>
          <w:sz w:val="20"/>
          <w:szCs w:val="20"/>
        </w:rPr>
        <w:t xml:space="preserve">. The most represented genus in contaminated samples was </w:t>
      </w:r>
      <w:proofErr w:type="spellStart"/>
      <w:r w:rsidR="00630EE5" w:rsidRPr="006B09B0">
        <w:rPr>
          <w:i/>
          <w:iCs/>
          <w:sz w:val="20"/>
          <w:szCs w:val="20"/>
        </w:rPr>
        <w:t>Aspergillus</w:t>
      </w:r>
      <w:proofErr w:type="spellEnd"/>
      <w:r w:rsidR="00630EE5" w:rsidRPr="006B09B0">
        <w:rPr>
          <w:sz w:val="20"/>
          <w:szCs w:val="20"/>
        </w:rPr>
        <w:t xml:space="preserve">, which was isolated in all analyzed samples with the mean percentage of 64.0%. The semi-processed grain and flour samples contained the highest (25%) incidence of </w:t>
      </w:r>
      <w:r w:rsidR="00630EE5" w:rsidRPr="006B09B0">
        <w:rPr>
          <w:i/>
          <w:iCs/>
          <w:sz w:val="20"/>
          <w:szCs w:val="20"/>
        </w:rPr>
        <w:t xml:space="preserve">A. </w:t>
      </w:r>
      <w:proofErr w:type="spellStart"/>
      <w:r w:rsidR="00630EE5" w:rsidRPr="006B09B0">
        <w:rPr>
          <w:i/>
          <w:iCs/>
          <w:sz w:val="20"/>
          <w:szCs w:val="20"/>
        </w:rPr>
        <w:t>flavus</w:t>
      </w:r>
      <w:proofErr w:type="spellEnd"/>
      <w:r w:rsidR="00630EE5" w:rsidRPr="006B09B0">
        <w:rPr>
          <w:i/>
          <w:iCs/>
          <w:sz w:val="20"/>
          <w:szCs w:val="20"/>
        </w:rPr>
        <w:t xml:space="preserve">. </w:t>
      </w:r>
      <w:r w:rsidR="00630EE5" w:rsidRPr="006B09B0">
        <w:rPr>
          <w:sz w:val="20"/>
          <w:szCs w:val="20"/>
        </w:rPr>
        <w:t xml:space="preserve">Other </w:t>
      </w:r>
      <w:proofErr w:type="spellStart"/>
      <w:r w:rsidR="00630EE5" w:rsidRPr="006B09B0">
        <w:rPr>
          <w:i/>
          <w:iCs/>
          <w:sz w:val="20"/>
          <w:szCs w:val="20"/>
        </w:rPr>
        <w:t>Aspergillus</w:t>
      </w:r>
      <w:proofErr w:type="spellEnd"/>
      <w:r w:rsidR="00630EE5" w:rsidRPr="006B09B0">
        <w:rPr>
          <w:i/>
          <w:iCs/>
          <w:sz w:val="20"/>
          <w:szCs w:val="20"/>
        </w:rPr>
        <w:t xml:space="preserve"> </w:t>
      </w:r>
      <w:r w:rsidR="00630EE5" w:rsidRPr="006B09B0">
        <w:rPr>
          <w:sz w:val="20"/>
          <w:szCs w:val="20"/>
        </w:rPr>
        <w:t xml:space="preserve">spp. isolated from processed grain and flour samples were </w:t>
      </w:r>
      <w:r w:rsidR="00630EE5" w:rsidRPr="006B09B0">
        <w:rPr>
          <w:i/>
          <w:iCs/>
          <w:sz w:val="20"/>
          <w:szCs w:val="20"/>
        </w:rPr>
        <w:t xml:space="preserve">A. </w:t>
      </w:r>
      <w:proofErr w:type="spellStart"/>
      <w:r w:rsidR="00630EE5" w:rsidRPr="006B09B0">
        <w:rPr>
          <w:i/>
          <w:iCs/>
          <w:sz w:val="20"/>
          <w:szCs w:val="20"/>
        </w:rPr>
        <w:t>fumigatus</w:t>
      </w:r>
      <w:proofErr w:type="spellEnd"/>
      <w:r w:rsidR="00630EE5" w:rsidRPr="006B09B0">
        <w:rPr>
          <w:i/>
          <w:iCs/>
          <w:sz w:val="20"/>
          <w:szCs w:val="20"/>
        </w:rPr>
        <w:t xml:space="preserve">, A. </w:t>
      </w:r>
      <w:proofErr w:type="spellStart"/>
      <w:r w:rsidR="00630EE5" w:rsidRPr="006B09B0">
        <w:rPr>
          <w:i/>
          <w:iCs/>
          <w:sz w:val="20"/>
          <w:szCs w:val="20"/>
        </w:rPr>
        <w:t>niger</w:t>
      </w:r>
      <w:proofErr w:type="spellEnd"/>
      <w:r w:rsidR="00630EE5" w:rsidRPr="006B09B0">
        <w:rPr>
          <w:i/>
          <w:iCs/>
          <w:sz w:val="20"/>
          <w:szCs w:val="20"/>
        </w:rPr>
        <w:t xml:space="preserve">. A. </w:t>
      </w:r>
      <w:proofErr w:type="spellStart"/>
      <w:r w:rsidR="00630EE5" w:rsidRPr="006B09B0">
        <w:rPr>
          <w:i/>
          <w:iCs/>
          <w:sz w:val="20"/>
          <w:szCs w:val="20"/>
        </w:rPr>
        <w:t>terreus</w:t>
      </w:r>
      <w:proofErr w:type="spellEnd"/>
      <w:r w:rsidR="00630EE5" w:rsidRPr="006B09B0">
        <w:rPr>
          <w:i/>
          <w:iCs/>
          <w:sz w:val="20"/>
          <w:szCs w:val="20"/>
        </w:rPr>
        <w:t xml:space="preserve"> </w:t>
      </w:r>
      <w:r w:rsidR="00630EE5" w:rsidRPr="006B09B0">
        <w:rPr>
          <w:sz w:val="20"/>
          <w:szCs w:val="20"/>
        </w:rPr>
        <w:t>and</w:t>
      </w:r>
      <w:r w:rsidR="00B83D7E" w:rsidRPr="006B09B0">
        <w:rPr>
          <w:sz w:val="20"/>
          <w:szCs w:val="20"/>
        </w:rPr>
        <w:t xml:space="preserve"> </w:t>
      </w:r>
      <w:r w:rsidR="00630EE5" w:rsidRPr="006B09B0">
        <w:rPr>
          <w:i/>
          <w:iCs/>
          <w:sz w:val="20"/>
          <w:szCs w:val="20"/>
        </w:rPr>
        <w:t xml:space="preserve">A. </w:t>
      </w:r>
      <w:proofErr w:type="spellStart"/>
      <w:r w:rsidR="00630EE5" w:rsidRPr="006B09B0">
        <w:rPr>
          <w:i/>
          <w:iCs/>
          <w:sz w:val="20"/>
          <w:szCs w:val="20"/>
        </w:rPr>
        <w:t>versicolor</w:t>
      </w:r>
      <w:proofErr w:type="spellEnd"/>
      <w:r w:rsidR="00630EE5" w:rsidRPr="006B09B0">
        <w:rPr>
          <w:sz w:val="20"/>
          <w:szCs w:val="20"/>
        </w:rPr>
        <w:t>.</w:t>
      </w:r>
      <w:r w:rsidR="00B83D7E" w:rsidRPr="006B09B0">
        <w:rPr>
          <w:sz w:val="20"/>
          <w:szCs w:val="20"/>
        </w:rPr>
        <w:t xml:space="preserve"> </w:t>
      </w:r>
      <w:r w:rsidR="00630EE5" w:rsidRPr="006B09B0">
        <w:rPr>
          <w:sz w:val="20"/>
          <w:szCs w:val="20"/>
        </w:rPr>
        <w:t xml:space="preserve">Higher </w:t>
      </w:r>
      <w:proofErr w:type="spellStart"/>
      <w:r w:rsidR="00630EE5" w:rsidRPr="006B09B0">
        <w:rPr>
          <w:i/>
          <w:iCs/>
          <w:sz w:val="20"/>
          <w:szCs w:val="20"/>
        </w:rPr>
        <w:t>Aspergillus</w:t>
      </w:r>
      <w:proofErr w:type="spellEnd"/>
      <w:r w:rsidR="00630EE5" w:rsidRPr="006B09B0">
        <w:rPr>
          <w:i/>
          <w:iCs/>
          <w:sz w:val="20"/>
          <w:szCs w:val="20"/>
        </w:rPr>
        <w:t xml:space="preserve"> </w:t>
      </w:r>
      <w:proofErr w:type="spellStart"/>
      <w:r w:rsidR="00630EE5" w:rsidRPr="006B09B0">
        <w:rPr>
          <w:sz w:val="20"/>
          <w:szCs w:val="20"/>
        </w:rPr>
        <w:t>spp</w:t>
      </w:r>
      <w:proofErr w:type="spellEnd"/>
      <w:r w:rsidR="00630EE5" w:rsidRPr="006B09B0">
        <w:rPr>
          <w:sz w:val="20"/>
          <w:szCs w:val="20"/>
        </w:rPr>
        <w:t xml:space="preserve"> isolation frequencies were recorded in grain samples from south and central Kashmir region than those from north Kashmir probably due to low temperature in this region. Grain samples collected from farmers in the </w:t>
      </w:r>
      <w:proofErr w:type="spellStart"/>
      <w:r w:rsidR="00630EE5" w:rsidRPr="006B09B0">
        <w:rPr>
          <w:sz w:val="20"/>
          <w:szCs w:val="20"/>
        </w:rPr>
        <w:t>cental</w:t>
      </w:r>
      <w:proofErr w:type="spellEnd"/>
      <w:r w:rsidR="00630EE5" w:rsidRPr="006B09B0">
        <w:rPr>
          <w:sz w:val="20"/>
          <w:szCs w:val="20"/>
        </w:rPr>
        <w:t xml:space="preserve"> and north region had higher incidences of </w:t>
      </w:r>
      <w:r w:rsidR="00630EE5" w:rsidRPr="006B09B0">
        <w:rPr>
          <w:i/>
          <w:iCs/>
          <w:sz w:val="20"/>
          <w:szCs w:val="20"/>
        </w:rPr>
        <w:t xml:space="preserve">A. </w:t>
      </w:r>
      <w:proofErr w:type="spellStart"/>
      <w:r w:rsidR="00630EE5" w:rsidRPr="006B09B0">
        <w:rPr>
          <w:i/>
          <w:iCs/>
          <w:sz w:val="20"/>
          <w:szCs w:val="20"/>
        </w:rPr>
        <w:t>flavus</w:t>
      </w:r>
      <w:proofErr w:type="spellEnd"/>
      <w:r w:rsidR="00630EE5" w:rsidRPr="006B09B0">
        <w:rPr>
          <w:i/>
          <w:iCs/>
          <w:sz w:val="20"/>
          <w:szCs w:val="20"/>
        </w:rPr>
        <w:t xml:space="preserve">, </w:t>
      </w:r>
      <w:r w:rsidR="00630EE5" w:rsidRPr="006B09B0">
        <w:rPr>
          <w:sz w:val="20"/>
          <w:szCs w:val="20"/>
        </w:rPr>
        <w:t>of up to 19% compared to grain from trader</w:t>
      </w:r>
      <w:r w:rsidR="00B83D7E" w:rsidRPr="006B09B0">
        <w:rPr>
          <w:sz w:val="20"/>
          <w:szCs w:val="20"/>
        </w:rPr>
        <w:t>s.</w:t>
      </w:r>
    </w:p>
    <w:p w:rsidR="00E52EA0" w:rsidRPr="006B09B0" w:rsidRDefault="00E52EA0" w:rsidP="00B83D7E">
      <w:pPr>
        <w:snapToGrid w:val="0"/>
        <w:jc w:val="both"/>
        <w:rPr>
          <w:sz w:val="20"/>
          <w:szCs w:val="20"/>
        </w:rPr>
      </w:pPr>
    </w:p>
    <w:p w:rsidR="00471E57" w:rsidRPr="006B09B0" w:rsidRDefault="00C44596" w:rsidP="00B83D7E">
      <w:pPr>
        <w:snapToGrid w:val="0"/>
        <w:jc w:val="both"/>
        <w:rPr>
          <w:b/>
          <w:sz w:val="20"/>
          <w:szCs w:val="20"/>
        </w:rPr>
      </w:pPr>
      <w:r w:rsidRPr="006B09B0">
        <w:rPr>
          <w:b/>
          <w:sz w:val="20"/>
          <w:szCs w:val="20"/>
        </w:rPr>
        <w:t>Acknowledgements:</w:t>
      </w:r>
    </w:p>
    <w:p w:rsidR="00471E57" w:rsidRPr="006B09B0" w:rsidRDefault="006C4D4A" w:rsidP="00B83D7E">
      <w:pPr>
        <w:snapToGrid w:val="0"/>
        <w:ind w:firstLine="425"/>
        <w:jc w:val="both"/>
        <w:rPr>
          <w:sz w:val="20"/>
          <w:szCs w:val="20"/>
        </w:rPr>
      </w:pPr>
      <w:r w:rsidRPr="006B09B0">
        <w:rPr>
          <w:bCs/>
          <w:sz w:val="20"/>
          <w:szCs w:val="20"/>
        </w:rPr>
        <w:t>The author is highly indebted to worthy supervisor for her valuable guidance. Special thanks to Director, Centre of Research for Development, University of Kashmir for providing the lab facilities to carry out the work. Author is also thankful to University Grants Commission, India for providing financial assistance</w:t>
      </w:r>
      <w:r w:rsidR="007F763B" w:rsidRPr="006B09B0">
        <w:rPr>
          <w:sz w:val="20"/>
          <w:szCs w:val="20"/>
        </w:rPr>
        <w:t>.</w:t>
      </w:r>
    </w:p>
    <w:p w:rsidR="006B09B0" w:rsidRPr="006B09B0" w:rsidRDefault="006B09B0" w:rsidP="00B83D7E">
      <w:pPr>
        <w:snapToGrid w:val="0"/>
        <w:jc w:val="both"/>
        <w:rPr>
          <w:rFonts w:hint="eastAsia"/>
          <w:sz w:val="20"/>
          <w:szCs w:val="20"/>
          <w:lang w:eastAsia="zh-CN"/>
        </w:rPr>
      </w:pPr>
    </w:p>
    <w:p w:rsidR="00471E57" w:rsidRPr="006B09B0" w:rsidRDefault="00471E57" w:rsidP="00B83D7E">
      <w:pPr>
        <w:snapToGrid w:val="0"/>
        <w:jc w:val="both"/>
        <w:rPr>
          <w:b/>
          <w:sz w:val="20"/>
          <w:szCs w:val="20"/>
        </w:rPr>
      </w:pPr>
      <w:r w:rsidRPr="006B09B0">
        <w:rPr>
          <w:b/>
          <w:sz w:val="20"/>
          <w:szCs w:val="20"/>
        </w:rPr>
        <w:t>Corresponding Author:</w:t>
      </w:r>
    </w:p>
    <w:p w:rsidR="0049143E" w:rsidRPr="006B09B0" w:rsidRDefault="00CB4873" w:rsidP="00B83D7E">
      <w:pPr>
        <w:snapToGrid w:val="0"/>
        <w:jc w:val="both"/>
        <w:rPr>
          <w:sz w:val="20"/>
          <w:szCs w:val="20"/>
        </w:rPr>
      </w:pPr>
      <w:proofErr w:type="spellStart"/>
      <w:r w:rsidRPr="006B09B0">
        <w:rPr>
          <w:sz w:val="20"/>
          <w:szCs w:val="20"/>
        </w:rPr>
        <w:t>Fayaz</w:t>
      </w:r>
      <w:proofErr w:type="spellEnd"/>
      <w:r w:rsidRPr="006B09B0">
        <w:rPr>
          <w:sz w:val="20"/>
          <w:szCs w:val="20"/>
        </w:rPr>
        <w:t xml:space="preserve"> Ahmad Shah</w:t>
      </w:r>
    </w:p>
    <w:p w:rsidR="00CB4873" w:rsidRPr="006B09B0" w:rsidRDefault="00CB4873" w:rsidP="00B83D7E">
      <w:pPr>
        <w:snapToGrid w:val="0"/>
        <w:jc w:val="both"/>
        <w:rPr>
          <w:sz w:val="20"/>
          <w:szCs w:val="20"/>
        </w:rPr>
      </w:pPr>
      <w:r w:rsidRPr="006B09B0">
        <w:rPr>
          <w:sz w:val="20"/>
          <w:szCs w:val="20"/>
        </w:rPr>
        <w:t>Microbiology and Pathology Laboratory</w:t>
      </w:r>
    </w:p>
    <w:p w:rsidR="0049143E" w:rsidRPr="006B09B0" w:rsidRDefault="00CB4873" w:rsidP="00B83D7E">
      <w:pPr>
        <w:snapToGrid w:val="0"/>
        <w:jc w:val="both"/>
        <w:rPr>
          <w:sz w:val="20"/>
          <w:szCs w:val="20"/>
        </w:rPr>
      </w:pPr>
      <w:r w:rsidRPr="006B09B0">
        <w:rPr>
          <w:sz w:val="20"/>
          <w:szCs w:val="20"/>
        </w:rPr>
        <w:t>Centre of Research for Development</w:t>
      </w:r>
    </w:p>
    <w:p w:rsidR="0049143E" w:rsidRPr="006B09B0" w:rsidRDefault="00CB4873" w:rsidP="00B83D7E">
      <w:pPr>
        <w:snapToGrid w:val="0"/>
        <w:jc w:val="both"/>
        <w:rPr>
          <w:sz w:val="20"/>
          <w:szCs w:val="20"/>
          <w:lang w:eastAsia="zh-CN"/>
        </w:rPr>
      </w:pPr>
      <w:r w:rsidRPr="006B09B0">
        <w:rPr>
          <w:sz w:val="20"/>
          <w:szCs w:val="20"/>
        </w:rPr>
        <w:lastRenderedPageBreak/>
        <w:t>University of Kashmir, Srinagar 19006</w:t>
      </w:r>
      <w:r w:rsidR="00471E57" w:rsidRPr="006B09B0">
        <w:rPr>
          <w:sz w:val="20"/>
          <w:szCs w:val="20"/>
        </w:rPr>
        <w:t>, India</w:t>
      </w:r>
    </w:p>
    <w:p w:rsidR="00997A8E" w:rsidRPr="006B09B0" w:rsidRDefault="00C157EE" w:rsidP="00B83D7E">
      <w:pPr>
        <w:snapToGrid w:val="0"/>
        <w:jc w:val="both"/>
        <w:rPr>
          <w:sz w:val="20"/>
          <w:szCs w:val="20"/>
          <w:lang w:eastAsia="zh-CN"/>
        </w:rPr>
      </w:pPr>
      <w:r w:rsidRPr="006B09B0">
        <w:rPr>
          <w:sz w:val="20"/>
          <w:szCs w:val="20"/>
          <w:lang w:eastAsia="zh-CN"/>
        </w:rPr>
        <w:t>Telephone: 9906692088</w:t>
      </w:r>
    </w:p>
    <w:p w:rsidR="00471E57" w:rsidRPr="006B09B0" w:rsidRDefault="00471E57" w:rsidP="00B83D7E">
      <w:pPr>
        <w:snapToGrid w:val="0"/>
        <w:jc w:val="both"/>
        <w:rPr>
          <w:rFonts w:hint="eastAsia"/>
          <w:sz w:val="20"/>
          <w:szCs w:val="20"/>
          <w:lang w:eastAsia="zh-CN"/>
        </w:rPr>
      </w:pPr>
      <w:r w:rsidRPr="006B09B0">
        <w:rPr>
          <w:sz w:val="20"/>
          <w:szCs w:val="20"/>
        </w:rPr>
        <w:t xml:space="preserve">E-mail: </w:t>
      </w:r>
      <w:hyperlink r:id="rId23" w:history="1">
        <w:r w:rsidR="006B09B0" w:rsidRPr="006B09B0">
          <w:rPr>
            <w:rStyle w:val="Hyperlink"/>
            <w:sz w:val="20"/>
            <w:szCs w:val="20"/>
          </w:rPr>
          <w:t>shahfayaz232@gmail.com</w:t>
        </w:r>
      </w:hyperlink>
      <w:r w:rsidR="006B09B0" w:rsidRPr="006B09B0">
        <w:rPr>
          <w:rFonts w:hint="eastAsia"/>
          <w:sz w:val="20"/>
          <w:szCs w:val="20"/>
          <w:lang w:eastAsia="zh-CN"/>
        </w:rPr>
        <w:t xml:space="preserve"> </w:t>
      </w:r>
    </w:p>
    <w:p w:rsidR="00B83D7E" w:rsidRPr="006B09B0" w:rsidRDefault="00B83D7E" w:rsidP="00B83D7E">
      <w:pPr>
        <w:snapToGrid w:val="0"/>
        <w:jc w:val="both"/>
        <w:rPr>
          <w:b/>
          <w:sz w:val="20"/>
          <w:szCs w:val="20"/>
          <w:lang w:eastAsia="zh-CN"/>
        </w:rPr>
      </w:pPr>
    </w:p>
    <w:p w:rsidR="00471E57" w:rsidRPr="006B09B0" w:rsidRDefault="00471E57" w:rsidP="00B83D7E">
      <w:pPr>
        <w:snapToGrid w:val="0"/>
        <w:jc w:val="both"/>
        <w:rPr>
          <w:b/>
          <w:sz w:val="20"/>
          <w:szCs w:val="20"/>
        </w:rPr>
      </w:pPr>
      <w:r w:rsidRPr="006B09B0">
        <w:rPr>
          <w:b/>
          <w:sz w:val="20"/>
          <w:szCs w:val="20"/>
        </w:rPr>
        <w:t>References</w:t>
      </w:r>
    </w:p>
    <w:p w:rsidR="00B83D7E" w:rsidRPr="006B09B0" w:rsidRDefault="00D8184C" w:rsidP="00B83D7E">
      <w:pPr>
        <w:numPr>
          <w:ilvl w:val="0"/>
          <w:numId w:val="8"/>
        </w:numPr>
        <w:snapToGrid w:val="0"/>
        <w:ind w:left="425" w:hanging="425"/>
        <w:jc w:val="both"/>
        <w:rPr>
          <w:sz w:val="19"/>
          <w:szCs w:val="19"/>
        </w:rPr>
      </w:pPr>
      <w:r w:rsidRPr="006B09B0">
        <w:rPr>
          <w:sz w:val="19"/>
          <w:szCs w:val="19"/>
        </w:rPr>
        <w:t>Abdullah S</w:t>
      </w:r>
      <w:r w:rsidR="005A4022" w:rsidRPr="006B09B0">
        <w:rPr>
          <w:sz w:val="19"/>
          <w:szCs w:val="19"/>
        </w:rPr>
        <w:t xml:space="preserve">K., </w:t>
      </w:r>
      <w:r w:rsidR="00673097" w:rsidRPr="006B09B0">
        <w:rPr>
          <w:sz w:val="19"/>
          <w:szCs w:val="19"/>
        </w:rPr>
        <w:t>Al-</w:t>
      </w:r>
      <w:proofErr w:type="spellStart"/>
      <w:r w:rsidR="00673097" w:rsidRPr="006B09B0">
        <w:rPr>
          <w:sz w:val="19"/>
          <w:szCs w:val="19"/>
        </w:rPr>
        <w:t>Saad</w:t>
      </w:r>
      <w:proofErr w:type="spellEnd"/>
      <w:r w:rsidR="00673097" w:rsidRPr="006B09B0">
        <w:rPr>
          <w:sz w:val="19"/>
          <w:szCs w:val="19"/>
        </w:rPr>
        <w:t xml:space="preserve"> </w:t>
      </w:r>
      <w:r w:rsidRPr="006B09B0">
        <w:rPr>
          <w:sz w:val="19"/>
          <w:szCs w:val="19"/>
        </w:rPr>
        <w:t>I,</w:t>
      </w:r>
      <w:r w:rsidR="005A4022" w:rsidRPr="006B09B0">
        <w:rPr>
          <w:sz w:val="19"/>
          <w:szCs w:val="19"/>
        </w:rPr>
        <w:t xml:space="preserve"> </w:t>
      </w:r>
      <w:proofErr w:type="spellStart"/>
      <w:r w:rsidR="005A4022" w:rsidRPr="006B09B0">
        <w:rPr>
          <w:sz w:val="19"/>
          <w:szCs w:val="19"/>
        </w:rPr>
        <w:t>Essa</w:t>
      </w:r>
      <w:proofErr w:type="spellEnd"/>
      <w:r w:rsidR="00673097" w:rsidRPr="006B09B0">
        <w:rPr>
          <w:sz w:val="19"/>
          <w:szCs w:val="19"/>
        </w:rPr>
        <w:t xml:space="preserve"> </w:t>
      </w:r>
      <w:r w:rsidRPr="006B09B0">
        <w:rPr>
          <w:sz w:val="19"/>
          <w:szCs w:val="19"/>
        </w:rPr>
        <w:t>RA.</w:t>
      </w:r>
      <w:r w:rsidR="005A4022" w:rsidRPr="006B09B0">
        <w:rPr>
          <w:sz w:val="19"/>
          <w:szCs w:val="19"/>
        </w:rPr>
        <w:t xml:space="preserve"> </w:t>
      </w:r>
      <w:proofErr w:type="spellStart"/>
      <w:r w:rsidR="005A4022" w:rsidRPr="006B09B0">
        <w:rPr>
          <w:sz w:val="19"/>
          <w:szCs w:val="19"/>
        </w:rPr>
        <w:t>Mycobiota</w:t>
      </w:r>
      <w:proofErr w:type="spellEnd"/>
      <w:r w:rsidR="005A4022" w:rsidRPr="006B09B0">
        <w:rPr>
          <w:sz w:val="19"/>
          <w:szCs w:val="19"/>
        </w:rPr>
        <w:t xml:space="preserve"> and natural occurrence of </w:t>
      </w:r>
      <w:proofErr w:type="spellStart"/>
      <w:r w:rsidR="005A4022" w:rsidRPr="006B09B0">
        <w:rPr>
          <w:sz w:val="19"/>
          <w:szCs w:val="19"/>
        </w:rPr>
        <w:t>sterigmatocysin</w:t>
      </w:r>
      <w:proofErr w:type="spellEnd"/>
      <w:r w:rsidR="005A4022" w:rsidRPr="006B09B0">
        <w:rPr>
          <w:sz w:val="19"/>
          <w:szCs w:val="19"/>
        </w:rPr>
        <w:t xml:space="preserve"> in herbal drugs in Iraq. </w:t>
      </w:r>
      <w:proofErr w:type="spellStart"/>
      <w:r w:rsidR="005A4022" w:rsidRPr="006B09B0">
        <w:rPr>
          <w:sz w:val="19"/>
          <w:szCs w:val="19"/>
        </w:rPr>
        <w:t>Basrah</w:t>
      </w:r>
      <w:proofErr w:type="spellEnd"/>
      <w:r w:rsidR="005A4022" w:rsidRPr="006B09B0">
        <w:rPr>
          <w:sz w:val="19"/>
          <w:szCs w:val="19"/>
        </w:rPr>
        <w:t xml:space="preserve"> J. Sci. B.</w:t>
      </w:r>
      <w:r w:rsidRPr="006B09B0">
        <w:rPr>
          <w:sz w:val="19"/>
          <w:szCs w:val="19"/>
        </w:rPr>
        <w:t xml:space="preserve"> 2002;</w:t>
      </w:r>
      <w:r w:rsidR="00BD1DC6" w:rsidRPr="006B09B0">
        <w:rPr>
          <w:sz w:val="19"/>
          <w:szCs w:val="19"/>
        </w:rPr>
        <w:t xml:space="preserve"> </w:t>
      </w:r>
      <w:r w:rsidR="005A4022" w:rsidRPr="006B09B0">
        <w:rPr>
          <w:sz w:val="19"/>
          <w:szCs w:val="19"/>
        </w:rPr>
        <w:t>20: 1-8.</w:t>
      </w:r>
    </w:p>
    <w:p w:rsidR="00B83D7E" w:rsidRPr="006B09B0" w:rsidRDefault="00D8184C" w:rsidP="00B83D7E">
      <w:pPr>
        <w:numPr>
          <w:ilvl w:val="0"/>
          <w:numId w:val="8"/>
        </w:numPr>
        <w:snapToGrid w:val="0"/>
        <w:ind w:left="425" w:hanging="425"/>
        <w:jc w:val="both"/>
        <w:rPr>
          <w:sz w:val="19"/>
          <w:szCs w:val="19"/>
        </w:rPr>
      </w:pPr>
      <w:r w:rsidRPr="006B09B0">
        <w:rPr>
          <w:sz w:val="19"/>
          <w:szCs w:val="19"/>
        </w:rPr>
        <w:t xml:space="preserve">Anonymous. </w:t>
      </w:r>
      <w:r w:rsidR="005A4022" w:rsidRPr="006B09B0">
        <w:rPr>
          <w:sz w:val="19"/>
          <w:szCs w:val="19"/>
        </w:rPr>
        <w:t>International rules fo</w:t>
      </w:r>
      <w:r w:rsidRPr="006B09B0">
        <w:rPr>
          <w:sz w:val="19"/>
          <w:szCs w:val="19"/>
        </w:rPr>
        <w:t>r seed testing. Seed Sci. Tech.</w:t>
      </w:r>
      <w:r w:rsidR="005A4022" w:rsidRPr="006B09B0">
        <w:rPr>
          <w:sz w:val="19"/>
          <w:szCs w:val="19"/>
        </w:rPr>
        <w:t xml:space="preserve"> </w:t>
      </w:r>
      <w:r w:rsidRPr="006B09B0">
        <w:rPr>
          <w:sz w:val="19"/>
          <w:szCs w:val="19"/>
        </w:rPr>
        <w:t>1996;</w:t>
      </w:r>
      <w:r w:rsidR="00BD1DC6" w:rsidRPr="006B09B0">
        <w:rPr>
          <w:sz w:val="19"/>
          <w:szCs w:val="19"/>
        </w:rPr>
        <w:t xml:space="preserve"> </w:t>
      </w:r>
      <w:r w:rsidR="005A4022" w:rsidRPr="006B09B0">
        <w:rPr>
          <w:sz w:val="19"/>
          <w:szCs w:val="19"/>
        </w:rPr>
        <w:t>24: 1-335.</w:t>
      </w:r>
    </w:p>
    <w:p w:rsidR="00B83D7E" w:rsidRPr="006B09B0" w:rsidRDefault="00D8184C" w:rsidP="00B83D7E">
      <w:pPr>
        <w:numPr>
          <w:ilvl w:val="0"/>
          <w:numId w:val="8"/>
        </w:numPr>
        <w:snapToGrid w:val="0"/>
        <w:ind w:left="425" w:hanging="425"/>
        <w:jc w:val="both"/>
        <w:rPr>
          <w:sz w:val="19"/>
          <w:szCs w:val="19"/>
        </w:rPr>
      </w:pPr>
      <w:proofErr w:type="spellStart"/>
      <w:r w:rsidRPr="006B09B0">
        <w:rPr>
          <w:sz w:val="19"/>
          <w:szCs w:val="19"/>
        </w:rPr>
        <w:t>Misra</w:t>
      </w:r>
      <w:proofErr w:type="spellEnd"/>
      <w:r w:rsidRPr="006B09B0">
        <w:rPr>
          <w:sz w:val="19"/>
          <w:szCs w:val="19"/>
        </w:rPr>
        <w:t xml:space="preserve"> N. </w:t>
      </w:r>
      <w:r w:rsidR="005A4022" w:rsidRPr="006B09B0">
        <w:rPr>
          <w:sz w:val="19"/>
          <w:szCs w:val="19"/>
        </w:rPr>
        <w:t xml:space="preserve">Influence of temperature and relative humidity on fungal flora of some spices in storage. Z. </w:t>
      </w:r>
      <w:proofErr w:type="spellStart"/>
      <w:r w:rsidR="005A4022" w:rsidRPr="006B09B0">
        <w:rPr>
          <w:sz w:val="19"/>
          <w:szCs w:val="19"/>
        </w:rPr>
        <w:t>Lebensm</w:t>
      </w:r>
      <w:proofErr w:type="spellEnd"/>
      <w:r w:rsidR="005A4022" w:rsidRPr="006B09B0">
        <w:rPr>
          <w:sz w:val="19"/>
          <w:szCs w:val="19"/>
        </w:rPr>
        <w:t xml:space="preserve">. </w:t>
      </w:r>
      <w:proofErr w:type="spellStart"/>
      <w:r w:rsidR="005A4022" w:rsidRPr="006B09B0">
        <w:rPr>
          <w:sz w:val="19"/>
          <w:szCs w:val="19"/>
        </w:rPr>
        <w:t>Unter</w:t>
      </w:r>
      <w:proofErr w:type="spellEnd"/>
      <w:r w:rsidR="005A4022" w:rsidRPr="006B09B0">
        <w:rPr>
          <w:sz w:val="19"/>
          <w:szCs w:val="19"/>
        </w:rPr>
        <w:t xml:space="preserve">. </w:t>
      </w:r>
      <w:proofErr w:type="spellStart"/>
      <w:r w:rsidR="005A4022" w:rsidRPr="006B09B0">
        <w:rPr>
          <w:sz w:val="19"/>
          <w:szCs w:val="19"/>
        </w:rPr>
        <w:t>Forsch</w:t>
      </w:r>
      <w:proofErr w:type="spellEnd"/>
      <w:r w:rsidRPr="006B09B0">
        <w:rPr>
          <w:sz w:val="19"/>
          <w:szCs w:val="19"/>
        </w:rPr>
        <w:t>. 1981;</w:t>
      </w:r>
      <w:r w:rsidR="00BD1DC6" w:rsidRPr="006B09B0">
        <w:rPr>
          <w:sz w:val="19"/>
          <w:szCs w:val="19"/>
        </w:rPr>
        <w:t xml:space="preserve"> </w:t>
      </w:r>
      <w:r w:rsidR="005A4022" w:rsidRPr="006B09B0">
        <w:rPr>
          <w:sz w:val="19"/>
          <w:szCs w:val="19"/>
        </w:rPr>
        <w:t>172(1): 30-31.</w:t>
      </w:r>
    </w:p>
    <w:p w:rsidR="00B83D7E" w:rsidRPr="006B09B0" w:rsidRDefault="00D8184C" w:rsidP="00B83D7E">
      <w:pPr>
        <w:numPr>
          <w:ilvl w:val="0"/>
          <w:numId w:val="8"/>
        </w:numPr>
        <w:snapToGrid w:val="0"/>
        <w:ind w:left="425" w:hanging="425"/>
        <w:jc w:val="both"/>
        <w:rPr>
          <w:b/>
          <w:bCs/>
          <w:sz w:val="19"/>
          <w:szCs w:val="19"/>
        </w:rPr>
      </w:pPr>
      <w:proofErr w:type="spellStart"/>
      <w:r w:rsidRPr="006B09B0">
        <w:rPr>
          <w:sz w:val="19"/>
          <w:szCs w:val="19"/>
        </w:rPr>
        <w:t>Larone</w:t>
      </w:r>
      <w:proofErr w:type="spellEnd"/>
      <w:r w:rsidRPr="006B09B0">
        <w:rPr>
          <w:sz w:val="19"/>
          <w:szCs w:val="19"/>
        </w:rPr>
        <w:t xml:space="preserve"> DH.</w:t>
      </w:r>
      <w:r w:rsidR="005A4022" w:rsidRPr="006B09B0">
        <w:rPr>
          <w:sz w:val="19"/>
          <w:szCs w:val="19"/>
        </w:rPr>
        <w:t xml:space="preserve"> Medically Important Fungi: A Guide to Identification. ASM Press, </w:t>
      </w:r>
      <w:proofErr w:type="spellStart"/>
      <w:r w:rsidR="005A4022" w:rsidRPr="006B09B0">
        <w:rPr>
          <w:sz w:val="19"/>
          <w:szCs w:val="19"/>
        </w:rPr>
        <w:t>Washinton</w:t>
      </w:r>
      <w:proofErr w:type="spellEnd"/>
      <w:r w:rsidR="005A4022" w:rsidRPr="006B09B0">
        <w:rPr>
          <w:sz w:val="19"/>
          <w:szCs w:val="19"/>
        </w:rPr>
        <w:t xml:space="preserve">, DC, </w:t>
      </w:r>
      <w:r w:rsidRPr="006B09B0">
        <w:rPr>
          <w:sz w:val="19"/>
          <w:szCs w:val="19"/>
        </w:rPr>
        <w:t>1995;</w:t>
      </w:r>
      <w:r w:rsidR="00BD1DC6" w:rsidRPr="006B09B0">
        <w:rPr>
          <w:sz w:val="19"/>
          <w:szCs w:val="19"/>
        </w:rPr>
        <w:t xml:space="preserve"> </w:t>
      </w:r>
      <w:r w:rsidR="005A4022" w:rsidRPr="006B09B0">
        <w:rPr>
          <w:sz w:val="19"/>
          <w:szCs w:val="19"/>
        </w:rPr>
        <w:t>pp: 274.</w:t>
      </w:r>
    </w:p>
    <w:p w:rsidR="00B83D7E" w:rsidRPr="006B09B0" w:rsidRDefault="00D8184C" w:rsidP="00B83D7E">
      <w:pPr>
        <w:numPr>
          <w:ilvl w:val="0"/>
          <w:numId w:val="8"/>
        </w:numPr>
        <w:snapToGrid w:val="0"/>
        <w:ind w:left="425" w:hanging="425"/>
        <w:jc w:val="both"/>
        <w:rPr>
          <w:sz w:val="19"/>
          <w:szCs w:val="19"/>
        </w:rPr>
      </w:pPr>
      <w:r w:rsidRPr="006B09B0">
        <w:rPr>
          <w:sz w:val="19"/>
          <w:szCs w:val="19"/>
        </w:rPr>
        <w:t>Pitt J</w:t>
      </w:r>
      <w:r w:rsidR="005A4022" w:rsidRPr="006B09B0">
        <w:rPr>
          <w:sz w:val="19"/>
          <w:szCs w:val="19"/>
        </w:rPr>
        <w:t>I</w:t>
      </w:r>
      <w:r w:rsidRPr="006B09B0">
        <w:rPr>
          <w:sz w:val="19"/>
          <w:szCs w:val="19"/>
        </w:rPr>
        <w:t xml:space="preserve">, </w:t>
      </w:r>
      <w:r w:rsidR="005A4022" w:rsidRPr="006B09B0">
        <w:rPr>
          <w:sz w:val="19"/>
          <w:szCs w:val="19"/>
        </w:rPr>
        <w:t xml:space="preserve">Hocking </w:t>
      </w:r>
      <w:r w:rsidRPr="006B09B0">
        <w:rPr>
          <w:sz w:val="19"/>
          <w:szCs w:val="19"/>
        </w:rPr>
        <w:t xml:space="preserve">AD. </w:t>
      </w:r>
      <w:r w:rsidR="005A4022" w:rsidRPr="006B09B0">
        <w:rPr>
          <w:sz w:val="19"/>
          <w:szCs w:val="19"/>
        </w:rPr>
        <w:t>Fungi and Food Spoilage. Blackie Academic and Professional, London, UK</w:t>
      </w:r>
      <w:r w:rsidRPr="006B09B0">
        <w:rPr>
          <w:sz w:val="19"/>
          <w:szCs w:val="19"/>
        </w:rPr>
        <w:t xml:space="preserve"> 1997;</w:t>
      </w:r>
      <w:r w:rsidR="00BD1DC6" w:rsidRPr="006B09B0">
        <w:rPr>
          <w:sz w:val="19"/>
          <w:szCs w:val="19"/>
        </w:rPr>
        <w:t xml:space="preserve"> </w:t>
      </w:r>
      <w:r w:rsidR="005A4022" w:rsidRPr="006B09B0">
        <w:rPr>
          <w:sz w:val="19"/>
          <w:szCs w:val="19"/>
        </w:rPr>
        <w:t>593 pp.</w:t>
      </w:r>
    </w:p>
    <w:p w:rsidR="00B83D7E" w:rsidRPr="006B09B0" w:rsidRDefault="00D8184C" w:rsidP="00B83D7E">
      <w:pPr>
        <w:numPr>
          <w:ilvl w:val="0"/>
          <w:numId w:val="8"/>
        </w:numPr>
        <w:snapToGrid w:val="0"/>
        <w:ind w:left="425" w:hanging="425"/>
        <w:jc w:val="both"/>
        <w:rPr>
          <w:sz w:val="19"/>
          <w:szCs w:val="19"/>
        </w:rPr>
      </w:pPr>
      <w:proofErr w:type="spellStart"/>
      <w:r w:rsidRPr="006B09B0">
        <w:rPr>
          <w:sz w:val="19"/>
          <w:szCs w:val="19"/>
        </w:rPr>
        <w:t>Gao</w:t>
      </w:r>
      <w:proofErr w:type="spellEnd"/>
      <w:r w:rsidRPr="006B09B0">
        <w:rPr>
          <w:sz w:val="19"/>
          <w:szCs w:val="19"/>
        </w:rPr>
        <w:t xml:space="preserve"> J</w:t>
      </w:r>
      <w:r w:rsidR="005A4022" w:rsidRPr="006B09B0">
        <w:rPr>
          <w:sz w:val="19"/>
          <w:szCs w:val="19"/>
        </w:rPr>
        <w:t xml:space="preserve">, Liu </w:t>
      </w:r>
      <w:r w:rsidRPr="006B09B0">
        <w:rPr>
          <w:sz w:val="19"/>
          <w:szCs w:val="19"/>
        </w:rPr>
        <w:t>Z,</w:t>
      </w:r>
      <w:r w:rsidR="005A4022" w:rsidRPr="006B09B0">
        <w:rPr>
          <w:sz w:val="19"/>
          <w:szCs w:val="19"/>
        </w:rPr>
        <w:t xml:space="preserve"> Yu</w:t>
      </w:r>
      <w:r w:rsidRPr="006B09B0">
        <w:rPr>
          <w:sz w:val="19"/>
          <w:szCs w:val="19"/>
        </w:rPr>
        <w:t xml:space="preserve"> J.</w:t>
      </w:r>
      <w:r w:rsidR="005A4022" w:rsidRPr="006B09B0">
        <w:rPr>
          <w:sz w:val="19"/>
          <w:szCs w:val="19"/>
        </w:rPr>
        <w:t xml:space="preserve"> Identification of </w:t>
      </w:r>
      <w:proofErr w:type="spellStart"/>
      <w:r w:rsidR="005A4022" w:rsidRPr="006B09B0">
        <w:rPr>
          <w:i/>
          <w:iCs/>
          <w:sz w:val="19"/>
          <w:szCs w:val="19"/>
        </w:rPr>
        <w:t>Aspergillus</w:t>
      </w:r>
      <w:proofErr w:type="spellEnd"/>
      <w:r w:rsidR="005A4022" w:rsidRPr="006B09B0">
        <w:rPr>
          <w:i/>
          <w:iCs/>
          <w:sz w:val="19"/>
          <w:szCs w:val="19"/>
        </w:rPr>
        <w:t xml:space="preserve"> </w:t>
      </w:r>
      <w:r w:rsidR="005A4022" w:rsidRPr="006B09B0">
        <w:rPr>
          <w:sz w:val="19"/>
          <w:szCs w:val="19"/>
        </w:rPr>
        <w:t xml:space="preserve">section </w:t>
      </w:r>
      <w:proofErr w:type="spellStart"/>
      <w:r w:rsidR="005A4022" w:rsidRPr="006B09B0">
        <w:rPr>
          <w:sz w:val="19"/>
          <w:szCs w:val="19"/>
        </w:rPr>
        <w:t>Flavi</w:t>
      </w:r>
      <w:proofErr w:type="spellEnd"/>
      <w:r w:rsidR="005A4022" w:rsidRPr="006B09B0">
        <w:rPr>
          <w:sz w:val="19"/>
          <w:szCs w:val="19"/>
        </w:rPr>
        <w:t xml:space="preserve"> in maize in northeastern China. </w:t>
      </w:r>
      <w:proofErr w:type="spellStart"/>
      <w:r w:rsidR="005A4022" w:rsidRPr="006B09B0">
        <w:rPr>
          <w:i/>
          <w:iCs/>
          <w:sz w:val="19"/>
          <w:szCs w:val="19"/>
        </w:rPr>
        <w:t>Mycopathologia</w:t>
      </w:r>
      <w:proofErr w:type="spellEnd"/>
      <w:r w:rsidR="005A4022" w:rsidRPr="006B09B0">
        <w:rPr>
          <w:sz w:val="19"/>
          <w:szCs w:val="19"/>
        </w:rPr>
        <w:t xml:space="preserve"> </w:t>
      </w:r>
      <w:r w:rsidRPr="006B09B0">
        <w:rPr>
          <w:sz w:val="19"/>
          <w:szCs w:val="19"/>
        </w:rPr>
        <w:t>2007;</w:t>
      </w:r>
      <w:r w:rsidR="00BD1DC6" w:rsidRPr="006B09B0">
        <w:rPr>
          <w:sz w:val="19"/>
          <w:szCs w:val="19"/>
        </w:rPr>
        <w:t xml:space="preserve"> </w:t>
      </w:r>
      <w:r w:rsidR="005A4022" w:rsidRPr="006B09B0">
        <w:rPr>
          <w:sz w:val="19"/>
          <w:szCs w:val="19"/>
        </w:rPr>
        <w:t>164, 91</w:t>
      </w:r>
      <w:r w:rsidR="005A4022" w:rsidRPr="006B09B0">
        <w:rPr>
          <w:rFonts w:eastAsia="MS Mincho"/>
          <w:sz w:val="19"/>
          <w:szCs w:val="19"/>
        </w:rPr>
        <w:t>‒</w:t>
      </w:r>
      <w:r w:rsidR="005A4022" w:rsidRPr="006B09B0">
        <w:rPr>
          <w:sz w:val="19"/>
          <w:szCs w:val="19"/>
        </w:rPr>
        <w:t>95.</w:t>
      </w:r>
    </w:p>
    <w:p w:rsidR="00B83D7E" w:rsidRPr="006B09B0" w:rsidRDefault="00AE2489" w:rsidP="00B83D7E">
      <w:pPr>
        <w:numPr>
          <w:ilvl w:val="0"/>
          <w:numId w:val="8"/>
        </w:numPr>
        <w:snapToGrid w:val="0"/>
        <w:ind w:left="425" w:hanging="425"/>
        <w:jc w:val="both"/>
        <w:rPr>
          <w:sz w:val="19"/>
          <w:szCs w:val="19"/>
        </w:rPr>
      </w:pPr>
      <w:proofErr w:type="spellStart"/>
      <w:r w:rsidRPr="006B09B0">
        <w:rPr>
          <w:sz w:val="19"/>
          <w:szCs w:val="19"/>
        </w:rPr>
        <w:t>Raper</w:t>
      </w:r>
      <w:proofErr w:type="spellEnd"/>
      <w:r w:rsidRPr="006B09B0">
        <w:rPr>
          <w:sz w:val="19"/>
          <w:szCs w:val="19"/>
        </w:rPr>
        <w:t xml:space="preserve"> KB, Fennell DI</w:t>
      </w:r>
      <w:r w:rsidR="00D8184C" w:rsidRPr="006B09B0">
        <w:rPr>
          <w:sz w:val="19"/>
          <w:szCs w:val="19"/>
        </w:rPr>
        <w:t>.</w:t>
      </w:r>
      <w:r w:rsidR="005A4022" w:rsidRPr="006B09B0">
        <w:rPr>
          <w:sz w:val="19"/>
          <w:szCs w:val="19"/>
        </w:rPr>
        <w:t xml:space="preserve"> The Genus </w:t>
      </w:r>
      <w:proofErr w:type="spellStart"/>
      <w:r w:rsidR="005A4022" w:rsidRPr="006B09B0">
        <w:rPr>
          <w:sz w:val="19"/>
          <w:szCs w:val="19"/>
        </w:rPr>
        <w:t>Aspergillus</w:t>
      </w:r>
      <w:proofErr w:type="spellEnd"/>
      <w:r w:rsidR="005A4022" w:rsidRPr="006B09B0">
        <w:rPr>
          <w:sz w:val="19"/>
          <w:szCs w:val="19"/>
        </w:rPr>
        <w:t>. Williams and Wilkins Company, Baltimore.</w:t>
      </w:r>
      <w:r w:rsidRPr="006B09B0">
        <w:rPr>
          <w:sz w:val="19"/>
          <w:szCs w:val="19"/>
        </w:rPr>
        <w:t xml:space="preserve"> (1965).</w:t>
      </w:r>
    </w:p>
    <w:p w:rsidR="00B83D7E" w:rsidRPr="006B09B0" w:rsidRDefault="00AE2489" w:rsidP="00B83D7E">
      <w:pPr>
        <w:numPr>
          <w:ilvl w:val="0"/>
          <w:numId w:val="8"/>
        </w:numPr>
        <w:snapToGrid w:val="0"/>
        <w:ind w:left="425" w:hanging="425"/>
        <w:jc w:val="both"/>
        <w:rPr>
          <w:sz w:val="19"/>
          <w:szCs w:val="19"/>
        </w:rPr>
      </w:pPr>
      <w:r w:rsidRPr="006B09B0">
        <w:rPr>
          <w:sz w:val="19"/>
          <w:szCs w:val="19"/>
        </w:rPr>
        <w:t>Pitt JI, Hocking A</w:t>
      </w:r>
      <w:r w:rsidR="005A4022" w:rsidRPr="006B09B0">
        <w:rPr>
          <w:sz w:val="19"/>
          <w:szCs w:val="19"/>
        </w:rPr>
        <w:t>D</w:t>
      </w:r>
      <w:r w:rsidRPr="006B09B0">
        <w:rPr>
          <w:sz w:val="19"/>
          <w:szCs w:val="19"/>
        </w:rPr>
        <w:t xml:space="preserve">, </w:t>
      </w:r>
      <w:proofErr w:type="spellStart"/>
      <w:r w:rsidRPr="006B09B0">
        <w:rPr>
          <w:sz w:val="19"/>
          <w:szCs w:val="19"/>
        </w:rPr>
        <w:t>Bhudhasamai</w:t>
      </w:r>
      <w:proofErr w:type="spellEnd"/>
      <w:r w:rsidRPr="006B09B0">
        <w:rPr>
          <w:sz w:val="19"/>
          <w:szCs w:val="19"/>
        </w:rPr>
        <w:t xml:space="preserve"> K, </w:t>
      </w:r>
      <w:proofErr w:type="spellStart"/>
      <w:r w:rsidRPr="006B09B0">
        <w:rPr>
          <w:sz w:val="19"/>
          <w:szCs w:val="19"/>
        </w:rPr>
        <w:t>Miscamble</w:t>
      </w:r>
      <w:proofErr w:type="spellEnd"/>
      <w:r w:rsidRPr="006B09B0">
        <w:rPr>
          <w:sz w:val="19"/>
          <w:szCs w:val="19"/>
        </w:rPr>
        <w:t xml:space="preserve"> B</w:t>
      </w:r>
      <w:r w:rsidR="005A4022" w:rsidRPr="006B09B0">
        <w:rPr>
          <w:sz w:val="19"/>
          <w:szCs w:val="19"/>
        </w:rPr>
        <w:t>F</w:t>
      </w:r>
      <w:r w:rsidRPr="006B09B0">
        <w:rPr>
          <w:sz w:val="19"/>
          <w:szCs w:val="19"/>
        </w:rPr>
        <w:t>, Wheeler KA</w:t>
      </w:r>
      <w:r w:rsidR="005A4022" w:rsidRPr="006B09B0">
        <w:rPr>
          <w:sz w:val="19"/>
          <w:szCs w:val="19"/>
        </w:rPr>
        <w:t xml:space="preserve">, </w:t>
      </w:r>
      <w:proofErr w:type="spellStart"/>
      <w:r w:rsidRPr="006B09B0">
        <w:rPr>
          <w:sz w:val="19"/>
          <w:szCs w:val="19"/>
        </w:rPr>
        <w:t>Tanboon</w:t>
      </w:r>
      <w:proofErr w:type="spellEnd"/>
      <w:r w:rsidR="00D8184C" w:rsidRPr="006B09B0">
        <w:rPr>
          <w:sz w:val="19"/>
          <w:szCs w:val="19"/>
        </w:rPr>
        <w:t xml:space="preserve"> </w:t>
      </w:r>
      <w:proofErr w:type="spellStart"/>
      <w:r w:rsidR="00D8184C" w:rsidRPr="006B09B0">
        <w:rPr>
          <w:sz w:val="19"/>
          <w:szCs w:val="19"/>
        </w:rPr>
        <w:t>Ek</w:t>
      </w:r>
      <w:proofErr w:type="spellEnd"/>
      <w:r w:rsidR="00D8184C" w:rsidRPr="006B09B0">
        <w:rPr>
          <w:sz w:val="19"/>
          <w:szCs w:val="19"/>
        </w:rPr>
        <w:t xml:space="preserve">. </w:t>
      </w:r>
      <w:r w:rsidR="005A4022" w:rsidRPr="006B09B0">
        <w:rPr>
          <w:sz w:val="19"/>
          <w:szCs w:val="19"/>
        </w:rPr>
        <w:t xml:space="preserve">The normal </w:t>
      </w:r>
      <w:proofErr w:type="spellStart"/>
      <w:r w:rsidR="005A4022" w:rsidRPr="006B09B0">
        <w:rPr>
          <w:sz w:val="19"/>
          <w:szCs w:val="19"/>
        </w:rPr>
        <w:t>mycoflora</w:t>
      </w:r>
      <w:proofErr w:type="spellEnd"/>
      <w:r w:rsidR="005A4022" w:rsidRPr="006B09B0">
        <w:rPr>
          <w:sz w:val="19"/>
          <w:szCs w:val="19"/>
        </w:rPr>
        <w:t xml:space="preserve"> of commodities from Thailand. 1. Nuts and oilseeds. International Journal of Food</w:t>
      </w:r>
      <w:r w:rsidR="006B09B0">
        <w:rPr>
          <w:rFonts w:hint="eastAsia"/>
          <w:sz w:val="19"/>
          <w:szCs w:val="19"/>
          <w:lang w:eastAsia="zh-CN"/>
        </w:rPr>
        <w:t xml:space="preserve"> </w:t>
      </w:r>
      <w:r w:rsidR="005A4022" w:rsidRPr="006B09B0">
        <w:rPr>
          <w:sz w:val="19"/>
          <w:szCs w:val="19"/>
        </w:rPr>
        <w:t>Microbiology</w:t>
      </w:r>
      <w:r w:rsidRPr="006B09B0">
        <w:rPr>
          <w:sz w:val="19"/>
          <w:szCs w:val="19"/>
        </w:rPr>
        <w:t>.</w:t>
      </w:r>
      <w:r w:rsidR="005A4022" w:rsidRPr="006B09B0">
        <w:rPr>
          <w:sz w:val="19"/>
          <w:szCs w:val="19"/>
        </w:rPr>
        <w:t xml:space="preserve"> </w:t>
      </w:r>
      <w:r w:rsidRPr="006B09B0">
        <w:rPr>
          <w:sz w:val="19"/>
          <w:szCs w:val="19"/>
        </w:rPr>
        <w:t>1992;</w:t>
      </w:r>
      <w:r w:rsidR="00F70A32" w:rsidRPr="006B09B0">
        <w:rPr>
          <w:sz w:val="19"/>
          <w:szCs w:val="19"/>
        </w:rPr>
        <w:t xml:space="preserve"> </w:t>
      </w:r>
      <w:r w:rsidR="005A4022" w:rsidRPr="006B09B0">
        <w:rPr>
          <w:sz w:val="19"/>
          <w:szCs w:val="19"/>
        </w:rPr>
        <w:t>20, 211–226.</w:t>
      </w:r>
    </w:p>
    <w:p w:rsidR="00B83D7E" w:rsidRPr="006B09B0" w:rsidRDefault="00AE2489" w:rsidP="00B83D7E">
      <w:pPr>
        <w:numPr>
          <w:ilvl w:val="0"/>
          <w:numId w:val="8"/>
        </w:numPr>
        <w:snapToGrid w:val="0"/>
        <w:ind w:left="425" w:hanging="425"/>
        <w:jc w:val="both"/>
        <w:rPr>
          <w:sz w:val="19"/>
          <w:szCs w:val="19"/>
        </w:rPr>
      </w:pPr>
      <w:proofErr w:type="spellStart"/>
      <w:r w:rsidRPr="006B09B0">
        <w:rPr>
          <w:sz w:val="19"/>
          <w:szCs w:val="19"/>
        </w:rPr>
        <w:t>Klich</w:t>
      </w:r>
      <w:proofErr w:type="spellEnd"/>
      <w:r w:rsidRPr="006B09B0">
        <w:rPr>
          <w:sz w:val="19"/>
          <w:szCs w:val="19"/>
        </w:rPr>
        <w:t xml:space="preserve"> MA.</w:t>
      </w:r>
      <w:r w:rsidR="005A4022" w:rsidRPr="006B09B0">
        <w:rPr>
          <w:sz w:val="19"/>
          <w:szCs w:val="19"/>
        </w:rPr>
        <w:t xml:space="preserve"> Biogeography of </w:t>
      </w:r>
      <w:proofErr w:type="spellStart"/>
      <w:r w:rsidR="005A4022" w:rsidRPr="006B09B0">
        <w:rPr>
          <w:i/>
          <w:iCs/>
          <w:sz w:val="19"/>
          <w:szCs w:val="19"/>
        </w:rPr>
        <w:t>Aspergillus</w:t>
      </w:r>
      <w:proofErr w:type="spellEnd"/>
      <w:r w:rsidR="005A4022" w:rsidRPr="006B09B0">
        <w:rPr>
          <w:i/>
          <w:iCs/>
          <w:sz w:val="19"/>
          <w:szCs w:val="19"/>
        </w:rPr>
        <w:t xml:space="preserve"> </w:t>
      </w:r>
      <w:r w:rsidR="005A4022" w:rsidRPr="006B09B0">
        <w:rPr>
          <w:sz w:val="19"/>
          <w:szCs w:val="19"/>
        </w:rPr>
        <w:t xml:space="preserve">species in soil and litter. </w:t>
      </w:r>
      <w:proofErr w:type="spellStart"/>
      <w:r w:rsidR="005A4022" w:rsidRPr="006B09B0">
        <w:rPr>
          <w:sz w:val="19"/>
          <w:szCs w:val="19"/>
        </w:rPr>
        <w:t>Mycologia</w:t>
      </w:r>
      <w:proofErr w:type="spellEnd"/>
      <w:r w:rsidR="005A4022" w:rsidRPr="006B09B0">
        <w:rPr>
          <w:sz w:val="19"/>
          <w:szCs w:val="19"/>
        </w:rPr>
        <w:t xml:space="preserve"> </w:t>
      </w:r>
      <w:r w:rsidRPr="006B09B0">
        <w:rPr>
          <w:sz w:val="19"/>
          <w:szCs w:val="19"/>
        </w:rPr>
        <w:t>2002</w:t>
      </w:r>
      <w:r w:rsidR="00CB4873" w:rsidRPr="006B09B0">
        <w:rPr>
          <w:sz w:val="19"/>
          <w:szCs w:val="19"/>
        </w:rPr>
        <w:t>;</w:t>
      </w:r>
      <w:r w:rsidR="00BD1DC6" w:rsidRPr="006B09B0">
        <w:rPr>
          <w:sz w:val="19"/>
          <w:szCs w:val="19"/>
        </w:rPr>
        <w:t xml:space="preserve"> </w:t>
      </w:r>
      <w:r w:rsidR="005A4022" w:rsidRPr="006B09B0">
        <w:rPr>
          <w:sz w:val="19"/>
          <w:szCs w:val="19"/>
        </w:rPr>
        <w:t>94, 21-27.</w:t>
      </w:r>
    </w:p>
    <w:p w:rsidR="00B83D7E" w:rsidRPr="006B09B0" w:rsidRDefault="005A4022" w:rsidP="00B83D7E">
      <w:pPr>
        <w:numPr>
          <w:ilvl w:val="0"/>
          <w:numId w:val="8"/>
        </w:numPr>
        <w:snapToGrid w:val="0"/>
        <w:ind w:left="425" w:hanging="425"/>
        <w:jc w:val="both"/>
        <w:rPr>
          <w:sz w:val="19"/>
          <w:szCs w:val="19"/>
        </w:rPr>
      </w:pPr>
      <w:proofErr w:type="spellStart"/>
      <w:r w:rsidRPr="006B09B0">
        <w:rPr>
          <w:sz w:val="19"/>
          <w:szCs w:val="19"/>
        </w:rPr>
        <w:t>Fratamico</w:t>
      </w:r>
      <w:proofErr w:type="spellEnd"/>
      <w:r w:rsidRPr="006B09B0">
        <w:rPr>
          <w:sz w:val="19"/>
          <w:szCs w:val="19"/>
        </w:rPr>
        <w:t xml:space="preserve"> P</w:t>
      </w:r>
      <w:r w:rsidR="00D8184C" w:rsidRPr="006B09B0">
        <w:rPr>
          <w:sz w:val="19"/>
          <w:szCs w:val="19"/>
        </w:rPr>
        <w:t xml:space="preserve">M, </w:t>
      </w:r>
      <w:proofErr w:type="spellStart"/>
      <w:r w:rsidR="00D8184C" w:rsidRPr="006B09B0">
        <w:rPr>
          <w:sz w:val="19"/>
          <w:szCs w:val="19"/>
        </w:rPr>
        <w:t>Bayles</w:t>
      </w:r>
      <w:proofErr w:type="spellEnd"/>
      <w:r w:rsidR="00D8184C" w:rsidRPr="006B09B0">
        <w:rPr>
          <w:sz w:val="19"/>
          <w:szCs w:val="19"/>
        </w:rPr>
        <w:t xml:space="preserve"> </w:t>
      </w:r>
      <w:r w:rsidRPr="006B09B0">
        <w:rPr>
          <w:sz w:val="19"/>
          <w:szCs w:val="19"/>
        </w:rPr>
        <w:t>DO (EDS)</w:t>
      </w:r>
      <w:r w:rsidR="00D8184C" w:rsidRPr="006B09B0">
        <w:rPr>
          <w:sz w:val="19"/>
          <w:szCs w:val="19"/>
        </w:rPr>
        <w:t>,</w:t>
      </w:r>
      <w:r w:rsidR="00B83D7E" w:rsidRPr="006B09B0">
        <w:rPr>
          <w:sz w:val="19"/>
          <w:szCs w:val="19"/>
        </w:rPr>
        <w:t xml:space="preserve"> </w:t>
      </w:r>
      <w:proofErr w:type="spellStart"/>
      <w:r w:rsidR="00D8184C" w:rsidRPr="006B09B0">
        <w:rPr>
          <w:sz w:val="19"/>
          <w:szCs w:val="19"/>
        </w:rPr>
        <w:t>Foodborne</w:t>
      </w:r>
      <w:proofErr w:type="spellEnd"/>
      <w:r w:rsidR="00D8184C" w:rsidRPr="006B09B0">
        <w:rPr>
          <w:sz w:val="19"/>
          <w:szCs w:val="19"/>
        </w:rPr>
        <w:t xml:space="preserve"> pathogens: </w:t>
      </w:r>
      <w:r w:rsidRPr="006B09B0">
        <w:rPr>
          <w:sz w:val="19"/>
          <w:szCs w:val="19"/>
        </w:rPr>
        <w:t xml:space="preserve">Microbiology and Molecular </w:t>
      </w:r>
      <w:proofErr w:type="spellStart"/>
      <w:r w:rsidRPr="006B09B0">
        <w:rPr>
          <w:sz w:val="19"/>
          <w:szCs w:val="19"/>
        </w:rPr>
        <w:t>biologhy</w:t>
      </w:r>
      <w:proofErr w:type="spellEnd"/>
      <w:r w:rsidRPr="006B09B0">
        <w:rPr>
          <w:sz w:val="19"/>
          <w:szCs w:val="19"/>
        </w:rPr>
        <w:t xml:space="preserve"> </w:t>
      </w:r>
      <w:proofErr w:type="spellStart"/>
      <w:r w:rsidRPr="006B09B0">
        <w:rPr>
          <w:sz w:val="19"/>
          <w:szCs w:val="19"/>
        </w:rPr>
        <w:t>Caister</w:t>
      </w:r>
      <w:proofErr w:type="spellEnd"/>
      <w:r w:rsidRPr="006B09B0">
        <w:rPr>
          <w:sz w:val="19"/>
          <w:szCs w:val="19"/>
        </w:rPr>
        <w:t xml:space="preserve"> Academic press </w:t>
      </w:r>
      <w:proofErr w:type="spellStart"/>
      <w:r w:rsidRPr="006B09B0">
        <w:rPr>
          <w:sz w:val="19"/>
          <w:szCs w:val="19"/>
        </w:rPr>
        <w:t>Nowrich</w:t>
      </w:r>
      <w:proofErr w:type="spellEnd"/>
      <w:r w:rsidR="00D8184C" w:rsidRPr="006B09B0">
        <w:rPr>
          <w:sz w:val="19"/>
          <w:szCs w:val="19"/>
        </w:rPr>
        <w:t xml:space="preserve"> (2005).</w:t>
      </w:r>
    </w:p>
    <w:p w:rsidR="00B83D7E" w:rsidRPr="006B09B0" w:rsidRDefault="00B83D7E" w:rsidP="00B83D7E">
      <w:pPr>
        <w:snapToGrid w:val="0"/>
        <w:ind w:left="425" w:hanging="425"/>
        <w:jc w:val="both"/>
        <w:rPr>
          <w:sz w:val="20"/>
          <w:szCs w:val="20"/>
        </w:rPr>
        <w:sectPr w:rsidR="00B83D7E" w:rsidRPr="006B09B0" w:rsidSect="0055371B">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num="2" w:space="576"/>
          <w:docGrid w:linePitch="360"/>
        </w:sectPr>
      </w:pPr>
    </w:p>
    <w:p w:rsidR="00741566" w:rsidRPr="006B09B0" w:rsidRDefault="00741566" w:rsidP="00B83D7E">
      <w:pPr>
        <w:snapToGrid w:val="0"/>
        <w:ind w:left="425" w:hanging="425"/>
        <w:jc w:val="both"/>
        <w:rPr>
          <w:sz w:val="20"/>
          <w:szCs w:val="20"/>
        </w:rPr>
      </w:pPr>
    </w:p>
    <w:p w:rsidR="005A4022" w:rsidRPr="006B09B0" w:rsidRDefault="00295C94" w:rsidP="00B83D7E">
      <w:pPr>
        <w:tabs>
          <w:tab w:val="left" w:pos="3417"/>
        </w:tabs>
        <w:snapToGrid w:val="0"/>
        <w:ind w:left="425" w:hanging="425"/>
        <w:jc w:val="both"/>
        <w:rPr>
          <w:sz w:val="20"/>
          <w:szCs w:val="20"/>
        </w:rPr>
      </w:pPr>
      <w:r w:rsidRPr="006B09B0">
        <w:rPr>
          <w:sz w:val="20"/>
          <w:szCs w:val="20"/>
        </w:rPr>
        <w:t>1/</w:t>
      </w:r>
      <w:r w:rsidRPr="006B09B0">
        <w:rPr>
          <w:sz w:val="20"/>
          <w:szCs w:val="20"/>
          <w:lang w:eastAsia="zh-CN"/>
        </w:rPr>
        <w:t>8</w:t>
      </w:r>
      <w:r w:rsidRPr="006B09B0">
        <w:rPr>
          <w:sz w:val="20"/>
          <w:szCs w:val="20"/>
        </w:rPr>
        <w:t>/2017</w:t>
      </w:r>
    </w:p>
    <w:sectPr w:rsidR="005A4022" w:rsidRPr="006B09B0" w:rsidSect="0055371B">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52" w:rsidRDefault="004A5852">
      <w:r>
        <w:separator/>
      </w:r>
    </w:p>
  </w:endnote>
  <w:endnote w:type="continuationSeparator" w:id="0">
    <w:p w:rsidR="004A5852" w:rsidRDefault="004A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Default="004F1302" w:rsidP="00B3167C">
    <w:pPr>
      <w:pStyle w:val="Footer"/>
      <w:framePr w:wrap="around" w:vAnchor="text" w:hAnchor="margin" w:xAlign="center" w:y="1"/>
      <w:rPr>
        <w:rStyle w:val="PageNumber"/>
      </w:rPr>
    </w:pPr>
    <w:r>
      <w:rPr>
        <w:rStyle w:val="PageNumber"/>
      </w:rPr>
      <w:fldChar w:fldCharType="begin"/>
    </w:r>
    <w:r w:rsidR="00B83D7E">
      <w:rPr>
        <w:rStyle w:val="PageNumber"/>
      </w:rPr>
      <w:instrText xml:space="preserve">PAGE  </w:instrText>
    </w:r>
    <w:r>
      <w:rPr>
        <w:rStyle w:val="PageNumber"/>
      </w:rPr>
      <w:fldChar w:fldCharType="end"/>
    </w:r>
  </w:p>
  <w:p w:rsidR="00B83D7E" w:rsidRDefault="00B83D7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95C94" w:rsidRDefault="004F1302" w:rsidP="00295C94">
    <w:pPr>
      <w:jc w:val="center"/>
      <w:rPr>
        <w:sz w:val="20"/>
      </w:rPr>
    </w:pPr>
    <w:r w:rsidRPr="00295C94">
      <w:rPr>
        <w:sz w:val="20"/>
      </w:rPr>
      <w:fldChar w:fldCharType="begin"/>
    </w:r>
    <w:r w:rsidR="00295C94" w:rsidRPr="00295C94">
      <w:rPr>
        <w:sz w:val="20"/>
      </w:rPr>
      <w:instrText xml:space="preserve"> page </w:instrText>
    </w:r>
    <w:r w:rsidRPr="00295C94">
      <w:rPr>
        <w:sz w:val="20"/>
      </w:rPr>
      <w:fldChar w:fldCharType="separate"/>
    </w:r>
    <w:r w:rsidR="006B09B0">
      <w:rPr>
        <w:noProof/>
        <w:sz w:val="20"/>
      </w:rPr>
      <w:t>77</w:t>
    </w:r>
    <w:r w:rsidRPr="00295C9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4F1302" w:rsidP="00295C94">
    <w:pPr>
      <w:jc w:val="center"/>
      <w:rPr>
        <w:sz w:val="20"/>
      </w:rPr>
    </w:pPr>
    <w:r w:rsidRPr="00295C94">
      <w:rPr>
        <w:sz w:val="20"/>
      </w:rPr>
      <w:fldChar w:fldCharType="begin"/>
    </w:r>
    <w:r w:rsidR="00B83D7E" w:rsidRPr="00295C94">
      <w:rPr>
        <w:sz w:val="20"/>
      </w:rPr>
      <w:instrText xml:space="preserve"> page </w:instrText>
    </w:r>
    <w:r w:rsidRPr="00295C94">
      <w:rPr>
        <w:sz w:val="20"/>
      </w:rPr>
      <w:fldChar w:fldCharType="separate"/>
    </w:r>
    <w:r w:rsidR="006B09B0">
      <w:rPr>
        <w:noProof/>
        <w:sz w:val="20"/>
      </w:rPr>
      <w:t>73</w:t>
    </w:r>
    <w:r w:rsidRPr="00295C9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Default="004F1302" w:rsidP="00B3167C">
    <w:pPr>
      <w:pStyle w:val="Footer"/>
      <w:framePr w:wrap="around" w:vAnchor="text" w:hAnchor="margin" w:xAlign="center" w:y="1"/>
      <w:rPr>
        <w:rStyle w:val="PageNumber"/>
      </w:rPr>
    </w:pPr>
    <w:r>
      <w:rPr>
        <w:rStyle w:val="PageNumber"/>
      </w:rPr>
      <w:fldChar w:fldCharType="begin"/>
    </w:r>
    <w:r w:rsidR="00B83D7E">
      <w:rPr>
        <w:rStyle w:val="PageNumber"/>
      </w:rPr>
      <w:instrText xml:space="preserve">PAGE  </w:instrText>
    </w:r>
    <w:r>
      <w:rPr>
        <w:rStyle w:val="PageNumber"/>
      </w:rPr>
      <w:fldChar w:fldCharType="end"/>
    </w:r>
  </w:p>
  <w:p w:rsidR="00B83D7E" w:rsidRDefault="00B83D7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4F1302" w:rsidP="00295C94">
    <w:pPr>
      <w:jc w:val="center"/>
      <w:rPr>
        <w:sz w:val="20"/>
      </w:rPr>
    </w:pPr>
    <w:r w:rsidRPr="00295C94">
      <w:rPr>
        <w:sz w:val="20"/>
      </w:rPr>
      <w:fldChar w:fldCharType="begin"/>
    </w:r>
    <w:r w:rsidR="00B83D7E" w:rsidRPr="00295C94">
      <w:rPr>
        <w:sz w:val="20"/>
      </w:rPr>
      <w:instrText xml:space="preserve"> page </w:instrText>
    </w:r>
    <w:r w:rsidRPr="00295C94">
      <w:rPr>
        <w:sz w:val="20"/>
      </w:rPr>
      <w:fldChar w:fldCharType="separate"/>
    </w:r>
    <w:r w:rsidR="006B09B0">
      <w:rPr>
        <w:noProof/>
        <w:sz w:val="20"/>
      </w:rPr>
      <w:t>75</w:t>
    </w:r>
    <w:r w:rsidRPr="00295C9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Default="004F1302" w:rsidP="00B3167C">
    <w:pPr>
      <w:pStyle w:val="Footer"/>
      <w:framePr w:wrap="around" w:vAnchor="text" w:hAnchor="margin" w:xAlign="center" w:y="1"/>
      <w:rPr>
        <w:rStyle w:val="PageNumber"/>
      </w:rPr>
    </w:pPr>
    <w:r>
      <w:rPr>
        <w:rStyle w:val="PageNumber"/>
      </w:rPr>
      <w:fldChar w:fldCharType="begin"/>
    </w:r>
    <w:r w:rsidR="00B83D7E">
      <w:rPr>
        <w:rStyle w:val="PageNumber"/>
      </w:rPr>
      <w:instrText xml:space="preserve">PAGE  </w:instrText>
    </w:r>
    <w:r>
      <w:rPr>
        <w:rStyle w:val="PageNumber"/>
      </w:rPr>
      <w:fldChar w:fldCharType="end"/>
    </w:r>
  </w:p>
  <w:p w:rsidR="00B83D7E" w:rsidRDefault="00B83D7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4F1302" w:rsidP="00295C94">
    <w:pPr>
      <w:jc w:val="center"/>
      <w:rPr>
        <w:sz w:val="20"/>
      </w:rPr>
    </w:pPr>
    <w:r w:rsidRPr="00295C94">
      <w:rPr>
        <w:sz w:val="20"/>
      </w:rPr>
      <w:fldChar w:fldCharType="begin"/>
    </w:r>
    <w:r w:rsidR="00B83D7E" w:rsidRPr="00295C94">
      <w:rPr>
        <w:sz w:val="20"/>
      </w:rPr>
      <w:instrText xml:space="preserve"> page </w:instrText>
    </w:r>
    <w:r w:rsidRPr="00295C94">
      <w:rPr>
        <w:sz w:val="20"/>
      </w:rPr>
      <w:fldChar w:fldCharType="separate"/>
    </w:r>
    <w:r w:rsidR="006B09B0">
      <w:rPr>
        <w:noProof/>
        <w:sz w:val="20"/>
      </w:rPr>
      <w:t>76</w:t>
    </w:r>
    <w:r w:rsidRPr="00295C9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Default="004F1302" w:rsidP="00B3167C">
    <w:pPr>
      <w:pStyle w:val="Footer"/>
      <w:framePr w:wrap="around" w:vAnchor="text" w:hAnchor="margin" w:xAlign="center" w:y="1"/>
      <w:rPr>
        <w:rStyle w:val="PageNumber"/>
      </w:rPr>
    </w:pPr>
    <w:r>
      <w:rPr>
        <w:rStyle w:val="PageNumber"/>
      </w:rPr>
      <w:fldChar w:fldCharType="begin"/>
    </w:r>
    <w:r w:rsidR="00B83D7E">
      <w:rPr>
        <w:rStyle w:val="PageNumber"/>
      </w:rPr>
      <w:instrText xml:space="preserve">PAGE  </w:instrText>
    </w:r>
    <w:r>
      <w:rPr>
        <w:rStyle w:val="PageNumber"/>
      </w:rPr>
      <w:fldChar w:fldCharType="end"/>
    </w:r>
  </w:p>
  <w:p w:rsidR="00B83D7E" w:rsidRDefault="00B83D7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4F1302" w:rsidP="00295C94">
    <w:pPr>
      <w:jc w:val="center"/>
      <w:rPr>
        <w:sz w:val="20"/>
      </w:rPr>
    </w:pPr>
    <w:r w:rsidRPr="00295C94">
      <w:rPr>
        <w:sz w:val="20"/>
      </w:rPr>
      <w:fldChar w:fldCharType="begin"/>
    </w:r>
    <w:r w:rsidR="00B83D7E" w:rsidRPr="00295C94">
      <w:rPr>
        <w:sz w:val="20"/>
      </w:rPr>
      <w:instrText xml:space="preserve"> page </w:instrText>
    </w:r>
    <w:r w:rsidRPr="00295C94">
      <w:rPr>
        <w:sz w:val="20"/>
      </w:rPr>
      <w:fldChar w:fldCharType="separate"/>
    </w:r>
    <w:r w:rsidR="006B09B0">
      <w:rPr>
        <w:noProof/>
        <w:sz w:val="20"/>
      </w:rPr>
      <w:t>77</w:t>
    </w:r>
    <w:r w:rsidRPr="00295C9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F130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52" w:rsidRDefault="004A5852">
      <w:r>
        <w:separator/>
      </w:r>
    </w:p>
  </w:footnote>
  <w:footnote w:type="continuationSeparator" w:id="0">
    <w:p w:rsidR="004A5852" w:rsidRDefault="004A5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B83D7E" w:rsidP="00295C94">
    <w:pPr>
      <w:pBdr>
        <w:bottom w:val="thinThickMediumGap" w:sz="12" w:space="1" w:color="auto"/>
      </w:pBdr>
      <w:tabs>
        <w:tab w:val="left" w:pos="851"/>
        <w:tab w:val="right" w:pos="8364"/>
      </w:tabs>
      <w:adjustRightInd w:val="0"/>
      <w:snapToGrid w:val="0"/>
      <w:jc w:val="both"/>
      <w:rPr>
        <w:iCs/>
        <w:sz w:val="20"/>
        <w:szCs w:val="20"/>
      </w:rPr>
    </w:pPr>
    <w:r w:rsidRPr="00295C94">
      <w:rPr>
        <w:rFonts w:hint="eastAsia"/>
        <w:sz w:val="20"/>
        <w:szCs w:val="20"/>
      </w:rPr>
      <w:tab/>
    </w:r>
    <w:r w:rsidRPr="00295C94">
      <w:rPr>
        <w:sz w:val="20"/>
        <w:szCs w:val="20"/>
      </w:rPr>
      <w:t>New York Science Journal 201</w:t>
    </w:r>
    <w:r w:rsidRPr="00295C94">
      <w:rPr>
        <w:rFonts w:hint="eastAsia"/>
        <w:sz w:val="20"/>
        <w:szCs w:val="20"/>
      </w:rPr>
      <w:t>7</w:t>
    </w:r>
    <w:r w:rsidRPr="00295C94">
      <w:rPr>
        <w:sz w:val="20"/>
        <w:szCs w:val="20"/>
      </w:rPr>
      <w:t>;</w:t>
    </w:r>
    <w:r w:rsidRPr="00295C94">
      <w:rPr>
        <w:rFonts w:hint="eastAsia"/>
        <w:sz w:val="20"/>
        <w:szCs w:val="20"/>
      </w:rPr>
      <w:t>10</w:t>
    </w:r>
    <w:r w:rsidRPr="00295C94">
      <w:rPr>
        <w:sz w:val="20"/>
        <w:szCs w:val="20"/>
      </w:rPr>
      <w:t>(</w:t>
    </w:r>
    <w:r w:rsidRPr="00295C94">
      <w:rPr>
        <w:rFonts w:hint="eastAsia"/>
        <w:sz w:val="20"/>
        <w:szCs w:val="20"/>
      </w:rPr>
      <w:t>1</w:t>
    </w:r>
    <w:r w:rsidRPr="00295C94">
      <w:rPr>
        <w:sz w:val="20"/>
        <w:szCs w:val="20"/>
      </w:rPr>
      <w:t>)</w:t>
    </w:r>
    <w:r w:rsidRPr="00295C94">
      <w:rPr>
        <w:iCs/>
        <w:sz w:val="20"/>
        <w:szCs w:val="20"/>
      </w:rPr>
      <w:t xml:space="preserve">     </w:t>
    </w:r>
    <w:r w:rsidRPr="00295C94">
      <w:rPr>
        <w:rFonts w:hint="eastAsia"/>
        <w:iCs/>
        <w:sz w:val="20"/>
        <w:szCs w:val="20"/>
      </w:rPr>
      <w:tab/>
    </w:r>
    <w:r w:rsidRPr="00295C94">
      <w:rPr>
        <w:iCs/>
        <w:sz w:val="20"/>
        <w:szCs w:val="20"/>
      </w:rPr>
      <w:t xml:space="preserve"> </w:t>
    </w:r>
    <w:r w:rsidRPr="00295C94">
      <w:rPr>
        <w:rFonts w:hint="eastAsia"/>
        <w:iCs/>
        <w:sz w:val="20"/>
        <w:szCs w:val="20"/>
      </w:rPr>
      <w:t xml:space="preserve"> </w:t>
    </w:r>
    <w:r w:rsidRPr="00295C94">
      <w:rPr>
        <w:iCs/>
        <w:sz w:val="20"/>
        <w:szCs w:val="20"/>
      </w:rPr>
      <w:t xml:space="preserve">   </w:t>
    </w:r>
    <w:hyperlink r:id="rId1" w:history="1">
      <w:r w:rsidRPr="00295C94">
        <w:rPr>
          <w:rStyle w:val="Hyperlink"/>
          <w:sz w:val="20"/>
          <w:szCs w:val="20"/>
        </w:rPr>
        <w:t>http://www.sciencepub.net/newyork</w:t>
      </w:r>
    </w:hyperlink>
  </w:p>
  <w:p w:rsidR="00B83D7E" w:rsidRPr="00295C94" w:rsidRDefault="00B83D7E" w:rsidP="00295C9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B83D7E" w:rsidP="00295C94">
    <w:pPr>
      <w:pBdr>
        <w:bottom w:val="thinThickMediumGap" w:sz="12" w:space="1" w:color="auto"/>
      </w:pBdr>
      <w:tabs>
        <w:tab w:val="left" w:pos="851"/>
        <w:tab w:val="right" w:pos="8364"/>
      </w:tabs>
      <w:adjustRightInd w:val="0"/>
      <w:snapToGrid w:val="0"/>
      <w:jc w:val="both"/>
      <w:rPr>
        <w:iCs/>
        <w:sz w:val="20"/>
        <w:szCs w:val="20"/>
      </w:rPr>
    </w:pPr>
    <w:r w:rsidRPr="00295C94">
      <w:rPr>
        <w:rFonts w:hint="eastAsia"/>
        <w:sz w:val="20"/>
        <w:szCs w:val="20"/>
      </w:rPr>
      <w:tab/>
    </w:r>
    <w:r w:rsidRPr="00295C94">
      <w:rPr>
        <w:sz w:val="20"/>
        <w:szCs w:val="20"/>
      </w:rPr>
      <w:t>New York Science Journal 201</w:t>
    </w:r>
    <w:r w:rsidRPr="00295C94">
      <w:rPr>
        <w:rFonts w:hint="eastAsia"/>
        <w:sz w:val="20"/>
        <w:szCs w:val="20"/>
      </w:rPr>
      <w:t>7</w:t>
    </w:r>
    <w:r w:rsidRPr="00295C94">
      <w:rPr>
        <w:sz w:val="20"/>
        <w:szCs w:val="20"/>
      </w:rPr>
      <w:t>;</w:t>
    </w:r>
    <w:r w:rsidRPr="00295C94">
      <w:rPr>
        <w:rFonts w:hint="eastAsia"/>
        <w:sz w:val="20"/>
        <w:szCs w:val="20"/>
      </w:rPr>
      <w:t>10</w:t>
    </w:r>
    <w:r w:rsidRPr="00295C94">
      <w:rPr>
        <w:sz w:val="20"/>
        <w:szCs w:val="20"/>
      </w:rPr>
      <w:t>(</w:t>
    </w:r>
    <w:r w:rsidRPr="00295C94">
      <w:rPr>
        <w:rFonts w:hint="eastAsia"/>
        <w:sz w:val="20"/>
        <w:szCs w:val="20"/>
      </w:rPr>
      <w:t>1</w:t>
    </w:r>
    <w:r w:rsidRPr="00295C94">
      <w:rPr>
        <w:sz w:val="20"/>
        <w:szCs w:val="20"/>
      </w:rPr>
      <w:t>)</w:t>
    </w:r>
    <w:r w:rsidRPr="00295C94">
      <w:rPr>
        <w:iCs/>
        <w:sz w:val="20"/>
        <w:szCs w:val="20"/>
      </w:rPr>
      <w:t xml:space="preserve">     </w:t>
    </w:r>
    <w:r w:rsidRPr="00295C94">
      <w:rPr>
        <w:rFonts w:hint="eastAsia"/>
        <w:iCs/>
        <w:sz w:val="20"/>
        <w:szCs w:val="20"/>
      </w:rPr>
      <w:tab/>
    </w:r>
    <w:r w:rsidRPr="00295C94">
      <w:rPr>
        <w:iCs/>
        <w:sz w:val="20"/>
        <w:szCs w:val="20"/>
      </w:rPr>
      <w:t xml:space="preserve"> </w:t>
    </w:r>
    <w:r w:rsidRPr="00295C94">
      <w:rPr>
        <w:rFonts w:hint="eastAsia"/>
        <w:iCs/>
        <w:sz w:val="20"/>
        <w:szCs w:val="20"/>
      </w:rPr>
      <w:t xml:space="preserve"> </w:t>
    </w:r>
    <w:r w:rsidRPr="00295C94">
      <w:rPr>
        <w:iCs/>
        <w:sz w:val="20"/>
        <w:szCs w:val="20"/>
      </w:rPr>
      <w:t xml:space="preserve">   </w:t>
    </w:r>
    <w:hyperlink r:id="rId1" w:history="1">
      <w:r w:rsidRPr="00295C94">
        <w:rPr>
          <w:rStyle w:val="Hyperlink"/>
          <w:sz w:val="20"/>
          <w:szCs w:val="20"/>
        </w:rPr>
        <w:t>http://www.sciencepub.net/newyork</w:t>
      </w:r>
    </w:hyperlink>
  </w:p>
  <w:p w:rsidR="00B83D7E" w:rsidRPr="00295C94" w:rsidRDefault="00B83D7E" w:rsidP="00295C9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B83D7E" w:rsidP="00295C94">
    <w:pPr>
      <w:pBdr>
        <w:bottom w:val="thinThickMediumGap" w:sz="12" w:space="1" w:color="auto"/>
      </w:pBdr>
      <w:tabs>
        <w:tab w:val="left" w:pos="851"/>
        <w:tab w:val="right" w:pos="8364"/>
      </w:tabs>
      <w:adjustRightInd w:val="0"/>
      <w:snapToGrid w:val="0"/>
      <w:jc w:val="both"/>
      <w:rPr>
        <w:iCs/>
        <w:sz w:val="20"/>
        <w:szCs w:val="20"/>
      </w:rPr>
    </w:pPr>
    <w:r w:rsidRPr="00295C94">
      <w:rPr>
        <w:rFonts w:hint="eastAsia"/>
        <w:sz w:val="20"/>
        <w:szCs w:val="20"/>
      </w:rPr>
      <w:tab/>
    </w:r>
    <w:r w:rsidRPr="00295C94">
      <w:rPr>
        <w:sz w:val="20"/>
        <w:szCs w:val="20"/>
      </w:rPr>
      <w:t>New York Science Journal 201</w:t>
    </w:r>
    <w:r w:rsidRPr="00295C94">
      <w:rPr>
        <w:rFonts w:hint="eastAsia"/>
        <w:sz w:val="20"/>
        <w:szCs w:val="20"/>
      </w:rPr>
      <w:t>7</w:t>
    </w:r>
    <w:r w:rsidRPr="00295C94">
      <w:rPr>
        <w:sz w:val="20"/>
        <w:szCs w:val="20"/>
      </w:rPr>
      <w:t>;</w:t>
    </w:r>
    <w:r w:rsidRPr="00295C94">
      <w:rPr>
        <w:rFonts w:hint="eastAsia"/>
        <w:sz w:val="20"/>
        <w:szCs w:val="20"/>
      </w:rPr>
      <w:t>10</w:t>
    </w:r>
    <w:r w:rsidRPr="00295C94">
      <w:rPr>
        <w:sz w:val="20"/>
        <w:szCs w:val="20"/>
      </w:rPr>
      <w:t>(</w:t>
    </w:r>
    <w:r w:rsidRPr="00295C94">
      <w:rPr>
        <w:rFonts w:hint="eastAsia"/>
        <w:sz w:val="20"/>
        <w:szCs w:val="20"/>
      </w:rPr>
      <w:t>1</w:t>
    </w:r>
    <w:r w:rsidRPr="00295C94">
      <w:rPr>
        <w:sz w:val="20"/>
        <w:szCs w:val="20"/>
      </w:rPr>
      <w:t>)</w:t>
    </w:r>
    <w:r w:rsidRPr="00295C94">
      <w:rPr>
        <w:iCs/>
        <w:sz w:val="20"/>
        <w:szCs w:val="20"/>
      </w:rPr>
      <w:t xml:space="preserve">     </w:t>
    </w:r>
    <w:r w:rsidRPr="00295C94">
      <w:rPr>
        <w:rFonts w:hint="eastAsia"/>
        <w:iCs/>
        <w:sz w:val="20"/>
        <w:szCs w:val="20"/>
      </w:rPr>
      <w:tab/>
    </w:r>
    <w:r w:rsidRPr="00295C94">
      <w:rPr>
        <w:iCs/>
        <w:sz w:val="20"/>
        <w:szCs w:val="20"/>
      </w:rPr>
      <w:t xml:space="preserve"> </w:t>
    </w:r>
    <w:r w:rsidRPr="00295C94">
      <w:rPr>
        <w:rFonts w:hint="eastAsia"/>
        <w:iCs/>
        <w:sz w:val="20"/>
        <w:szCs w:val="20"/>
      </w:rPr>
      <w:t xml:space="preserve"> </w:t>
    </w:r>
    <w:r w:rsidRPr="00295C94">
      <w:rPr>
        <w:iCs/>
        <w:sz w:val="20"/>
        <w:szCs w:val="20"/>
      </w:rPr>
      <w:t xml:space="preserve">   </w:t>
    </w:r>
    <w:hyperlink r:id="rId1" w:history="1">
      <w:r w:rsidRPr="00295C94">
        <w:rPr>
          <w:rStyle w:val="Hyperlink"/>
          <w:sz w:val="20"/>
          <w:szCs w:val="20"/>
        </w:rPr>
        <w:t>http://www.sciencepub.net/newyork</w:t>
      </w:r>
    </w:hyperlink>
  </w:p>
  <w:p w:rsidR="00B83D7E" w:rsidRPr="00295C94" w:rsidRDefault="00B83D7E" w:rsidP="00295C94">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7E" w:rsidRPr="00295C94" w:rsidRDefault="00B83D7E" w:rsidP="00295C94">
    <w:pPr>
      <w:pBdr>
        <w:bottom w:val="thinThickMediumGap" w:sz="12" w:space="1" w:color="auto"/>
      </w:pBdr>
      <w:tabs>
        <w:tab w:val="left" w:pos="851"/>
        <w:tab w:val="right" w:pos="8364"/>
      </w:tabs>
      <w:adjustRightInd w:val="0"/>
      <w:snapToGrid w:val="0"/>
      <w:jc w:val="both"/>
      <w:rPr>
        <w:iCs/>
        <w:sz w:val="20"/>
        <w:szCs w:val="20"/>
      </w:rPr>
    </w:pPr>
    <w:r w:rsidRPr="00295C94">
      <w:rPr>
        <w:rFonts w:hint="eastAsia"/>
        <w:sz w:val="20"/>
        <w:szCs w:val="20"/>
      </w:rPr>
      <w:tab/>
    </w:r>
    <w:r w:rsidRPr="00295C94">
      <w:rPr>
        <w:sz w:val="20"/>
        <w:szCs w:val="20"/>
      </w:rPr>
      <w:t>New York Science Journal 201</w:t>
    </w:r>
    <w:r w:rsidRPr="00295C94">
      <w:rPr>
        <w:rFonts w:hint="eastAsia"/>
        <w:sz w:val="20"/>
        <w:szCs w:val="20"/>
      </w:rPr>
      <w:t>7</w:t>
    </w:r>
    <w:r w:rsidRPr="00295C94">
      <w:rPr>
        <w:sz w:val="20"/>
        <w:szCs w:val="20"/>
      </w:rPr>
      <w:t>;</w:t>
    </w:r>
    <w:r w:rsidRPr="00295C94">
      <w:rPr>
        <w:rFonts w:hint="eastAsia"/>
        <w:sz w:val="20"/>
        <w:szCs w:val="20"/>
      </w:rPr>
      <w:t>10</w:t>
    </w:r>
    <w:r w:rsidRPr="00295C94">
      <w:rPr>
        <w:sz w:val="20"/>
        <w:szCs w:val="20"/>
      </w:rPr>
      <w:t>(</w:t>
    </w:r>
    <w:r w:rsidRPr="00295C94">
      <w:rPr>
        <w:rFonts w:hint="eastAsia"/>
        <w:sz w:val="20"/>
        <w:szCs w:val="20"/>
      </w:rPr>
      <w:t>1</w:t>
    </w:r>
    <w:r w:rsidRPr="00295C94">
      <w:rPr>
        <w:sz w:val="20"/>
        <w:szCs w:val="20"/>
      </w:rPr>
      <w:t>)</w:t>
    </w:r>
    <w:r w:rsidRPr="00295C94">
      <w:rPr>
        <w:iCs/>
        <w:sz w:val="20"/>
        <w:szCs w:val="20"/>
      </w:rPr>
      <w:t xml:space="preserve">     </w:t>
    </w:r>
    <w:r w:rsidRPr="00295C94">
      <w:rPr>
        <w:rFonts w:hint="eastAsia"/>
        <w:iCs/>
        <w:sz w:val="20"/>
        <w:szCs w:val="20"/>
      </w:rPr>
      <w:tab/>
    </w:r>
    <w:r w:rsidRPr="00295C94">
      <w:rPr>
        <w:iCs/>
        <w:sz w:val="20"/>
        <w:szCs w:val="20"/>
      </w:rPr>
      <w:t xml:space="preserve"> </w:t>
    </w:r>
    <w:r w:rsidRPr="00295C94">
      <w:rPr>
        <w:rFonts w:hint="eastAsia"/>
        <w:iCs/>
        <w:sz w:val="20"/>
        <w:szCs w:val="20"/>
      </w:rPr>
      <w:t xml:space="preserve"> </w:t>
    </w:r>
    <w:r w:rsidRPr="00295C94">
      <w:rPr>
        <w:iCs/>
        <w:sz w:val="20"/>
        <w:szCs w:val="20"/>
      </w:rPr>
      <w:t xml:space="preserve">   </w:t>
    </w:r>
    <w:hyperlink r:id="rId1" w:history="1">
      <w:r w:rsidRPr="00295C94">
        <w:rPr>
          <w:rStyle w:val="Hyperlink"/>
          <w:sz w:val="20"/>
          <w:szCs w:val="20"/>
        </w:rPr>
        <w:t>http://www.sciencepub.net/newyork</w:t>
      </w:r>
    </w:hyperlink>
  </w:p>
  <w:p w:rsidR="00B83D7E" w:rsidRPr="00295C94" w:rsidRDefault="00B83D7E" w:rsidP="00295C94">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C94" w:rsidRPr="00295C94" w:rsidRDefault="00295C94" w:rsidP="00295C94">
    <w:pPr>
      <w:pBdr>
        <w:bottom w:val="thinThickMediumGap" w:sz="12" w:space="1" w:color="auto"/>
      </w:pBdr>
      <w:tabs>
        <w:tab w:val="left" w:pos="851"/>
        <w:tab w:val="right" w:pos="8364"/>
      </w:tabs>
      <w:adjustRightInd w:val="0"/>
      <w:snapToGrid w:val="0"/>
      <w:jc w:val="both"/>
      <w:rPr>
        <w:iCs/>
        <w:sz w:val="20"/>
        <w:szCs w:val="20"/>
      </w:rPr>
    </w:pPr>
    <w:r w:rsidRPr="00295C94">
      <w:rPr>
        <w:rFonts w:hint="eastAsia"/>
        <w:sz w:val="20"/>
        <w:szCs w:val="20"/>
      </w:rPr>
      <w:tab/>
    </w:r>
    <w:r w:rsidRPr="00295C94">
      <w:rPr>
        <w:sz w:val="20"/>
        <w:szCs w:val="20"/>
      </w:rPr>
      <w:t>New York Science Journal 201</w:t>
    </w:r>
    <w:r w:rsidRPr="00295C94">
      <w:rPr>
        <w:rFonts w:hint="eastAsia"/>
        <w:sz w:val="20"/>
        <w:szCs w:val="20"/>
      </w:rPr>
      <w:t>7</w:t>
    </w:r>
    <w:r w:rsidRPr="00295C94">
      <w:rPr>
        <w:sz w:val="20"/>
        <w:szCs w:val="20"/>
      </w:rPr>
      <w:t>;</w:t>
    </w:r>
    <w:r w:rsidRPr="00295C94">
      <w:rPr>
        <w:rFonts w:hint="eastAsia"/>
        <w:sz w:val="20"/>
        <w:szCs w:val="20"/>
      </w:rPr>
      <w:t>10</w:t>
    </w:r>
    <w:r w:rsidRPr="00295C94">
      <w:rPr>
        <w:sz w:val="20"/>
        <w:szCs w:val="20"/>
      </w:rPr>
      <w:t>(</w:t>
    </w:r>
    <w:r w:rsidRPr="00295C94">
      <w:rPr>
        <w:rFonts w:hint="eastAsia"/>
        <w:sz w:val="20"/>
        <w:szCs w:val="20"/>
      </w:rPr>
      <w:t>1</w:t>
    </w:r>
    <w:r w:rsidRPr="00295C94">
      <w:rPr>
        <w:sz w:val="20"/>
        <w:szCs w:val="20"/>
      </w:rPr>
      <w:t>)</w:t>
    </w:r>
    <w:r w:rsidRPr="00295C94">
      <w:rPr>
        <w:iCs/>
        <w:sz w:val="20"/>
        <w:szCs w:val="20"/>
      </w:rPr>
      <w:t xml:space="preserve">     </w:t>
    </w:r>
    <w:r w:rsidRPr="00295C94">
      <w:rPr>
        <w:rFonts w:hint="eastAsia"/>
        <w:iCs/>
        <w:sz w:val="20"/>
        <w:szCs w:val="20"/>
      </w:rPr>
      <w:tab/>
    </w:r>
    <w:r w:rsidRPr="00295C94">
      <w:rPr>
        <w:iCs/>
        <w:sz w:val="20"/>
        <w:szCs w:val="20"/>
      </w:rPr>
      <w:t xml:space="preserve"> </w:t>
    </w:r>
    <w:r w:rsidRPr="00295C94">
      <w:rPr>
        <w:rFonts w:hint="eastAsia"/>
        <w:iCs/>
        <w:sz w:val="20"/>
        <w:szCs w:val="20"/>
      </w:rPr>
      <w:t xml:space="preserve"> </w:t>
    </w:r>
    <w:r w:rsidRPr="00295C94">
      <w:rPr>
        <w:iCs/>
        <w:sz w:val="20"/>
        <w:szCs w:val="20"/>
      </w:rPr>
      <w:t xml:space="preserve">   </w:t>
    </w:r>
    <w:hyperlink r:id="rId1" w:history="1">
      <w:r w:rsidRPr="00295C94">
        <w:rPr>
          <w:rStyle w:val="Hyperlink"/>
          <w:sz w:val="20"/>
          <w:szCs w:val="20"/>
        </w:rPr>
        <w:t>http://www.sciencepub.net/newyork</w:t>
      </w:r>
    </w:hyperlink>
  </w:p>
  <w:p w:rsidR="00295C94" w:rsidRPr="00295C94" w:rsidRDefault="00295C94" w:rsidP="00295C9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06418"/>
    <w:multiLevelType w:val="hybridMultilevel"/>
    <w:tmpl w:val="832E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3346E"/>
    <w:multiLevelType w:val="hybridMultilevel"/>
    <w:tmpl w:val="5D7A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45B295B"/>
    <w:multiLevelType w:val="hybridMultilevel"/>
    <w:tmpl w:val="C4D4707C"/>
    <w:lvl w:ilvl="0" w:tplc="BE9C150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A02761"/>
    <w:multiLevelType w:val="hybridMultilevel"/>
    <w:tmpl w:val="D1E00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66C1"/>
    <w:rsid w:val="0006091F"/>
    <w:rsid w:val="00080CE9"/>
    <w:rsid w:val="000827B7"/>
    <w:rsid w:val="000844D7"/>
    <w:rsid w:val="00086790"/>
    <w:rsid w:val="00090A06"/>
    <w:rsid w:val="000A0250"/>
    <w:rsid w:val="000A3F90"/>
    <w:rsid w:val="000E592A"/>
    <w:rsid w:val="001817C7"/>
    <w:rsid w:val="00183764"/>
    <w:rsid w:val="0019071A"/>
    <w:rsid w:val="001964D0"/>
    <w:rsid w:val="001B41B8"/>
    <w:rsid w:val="001B650D"/>
    <w:rsid w:val="001C3D42"/>
    <w:rsid w:val="001D073C"/>
    <w:rsid w:val="001D40C4"/>
    <w:rsid w:val="00205E97"/>
    <w:rsid w:val="002245EB"/>
    <w:rsid w:val="00245C21"/>
    <w:rsid w:val="00247EF3"/>
    <w:rsid w:val="002721F1"/>
    <w:rsid w:val="00282FA1"/>
    <w:rsid w:val="00295C94"/>
    <w:rsid w:val="002B5613"/>
    <w:rsid w:val="002D3558"/>
    <w:rsid w:val="002D589A"/>
    <w:rsid w:val="002E034E"/>
    <w:rsid w:val="002F20CD"/>
    <w:rsid w:val="002F49EF"/>
    <w:rsid w:val="00301F95"/>
    <w:rsid w:val="00314F95"/>
    <w:rsid w:val="00322FAB"/>
    <w:rsid w:val="003246A8"/>
    <w:rsid w:val="00345581"/>
    <w:rsid w:val="0034702D"/>
    <w:rsid w:val="003679A0"/>
    <w:rsid w:val="00394B65"/>
    <w:rsid w:val="003A785E"/>
    <w:rsid w:val="003B55FF"/>
    <w:rsid w:val="003B651F"/>
    <w:rsid w:val="003C0116"/>
    <w:rsid w:val="003C4C28"/>
    <w:rsid w:val="004025C5"/>
    <w:rsid w:val="0043645D"/>
    <w:rsid w:val="0044737E"/>
    <w:rsid w:val="00454A59"/>
    <w:rsid w:val="00456753"/>
    <w:rsid w:val="00471E57"/>
    <w:rsid w:val="00480715"/>
    <w:rsid w:val="0049143E"/>
    <w:rsid w:val="004A5852"/>
    <w:rsid w:val="004C7E2A"/>
    <w:rsid w:val="004D01D3"/>
    <w:rsid w:val="004D0467"/>
    <w:rsid w:val="004F1302"/>
    <w:rsid w:val="004F4AFB"/>
    <w:rsid w:val="00500E8C"/>
    <w:rsid w:val="00520D1A"/>
    <w:rsid w:val="0052512B"/>
    <w:rsid w:val="0055371B"/>
    <w:rsid w:val="00553F9B"/>
    <w:rsid w:val="00593132"/>
    <w:rsid w:val="005A21B0"/>
    <w:rsid w:val="005A4022"/>
    <w:rsid w:val="005A5E42"/>
    <w:rsid w:val="005C15CD"/>
    <w:rsid w:val="005C2F35"/>
    <w:rsid w:val="005D1DA6"/>
    <w:rsid w:val="005F5E04"/>
    <w:rsid w:val="00630EE5"/>
    <w:rsid w:val="00645069"/>
    <w:rsid w:val="0065209A"/>
    <w:rsid w:val="00657995"/>
    <w:rsid w:val="00673097"/>
    <w:rsid w:val="0068052A"/>
    <w:rsid w:val="006B09B0"/>
    <w:rsid w:val="006B5399"/>
    <w:rsid w:val="006C3454"/>
    <w:rsid w:val="006C4D4A"/>
    <w:rsid w:val="006D5C2E"/>
    <w:rsid w:val="006D7461"/>
    <w:rsid w:val="006E6ACB"/>
    <w:rsid w:val="006E7156"/>
    <w:rsid w:val="006F1706"/>
    <w:rsid w:val="00741566"/>
    <w:rsid w:val="00744442"/>
    <w:rsid w:val="00764E18"/>
    <w:rsid w:val="007725E7"/>
    <w:rsid w:val="0078507E"/>
    <w:rsid w:val="007D3D09"/>
    <w:rsid w:val="007D746F"/>
    <w:rsid w:val="007F763B"/>
    <w:rsid w:val="008131CF"/>
    <w:rsid w:val="00814FA7"/>
    <w:rsid w:val="008233D0"/>
    <w:rsid w:val="0085007D"/>
    <w:rsid w:val="00875C08"/>
    <w:rsid w:val="008A1F77"/>
    <w:rsid w:val="008A20AC"/>
    <w:rsid w:val="008A67B6"/>
    <w:rsid w:val="008F3361"/>
    <w:rsid w:val="0091208A"/>
    <w:rsid w:val="00914558"/>
    <w:rsid w:val="00935CF7"/>
    <w:rsid w:val="0094140D"/>
    <w:rsid w:val="009459B3"/>
    <w:rsid w:val="00952EB8"/>
    <w:rsid w:val="00997A8E"/>
    <w:rsid w:val="009A3681"/>
    <w:rsid w:val="009E0D88"/>
    <w:rsid w:val="009E5DD8"/>
    <w:rsid w:val="00A1557F"/>
    <w:rsid w:val="00A3476D"/>
    <w:rsid w:val="00A51847"/>
    <w:rsid w:val="00AE2489"/>
    <w:rsid w:val="00B2774A"/>
    <w:rsid w:val="00B3167C"/>
    <w:rsid w:val="00B36B45"/>
    <w:rsid w:val="00B42E23"/>
    <w:rsid w:val="00B60543"/>
    <w:rsid w:val="00B60E8D"/>
    <w:rsid w:val="00B80C0E"/>
    <w:rsid w:val="00B83D7E"/>
    <w:rsid w:val="00B918AE"/>
    <w:rsid w:val="00B94E19"/>
    <w:rsid w:val="00BD1DC6"/>
    <w:rsid w:val="00BD2A8D"/>
    <w:rsid w:val="00BD4FCC"/>
    <w:rsid w:val="00BF6579"/>
    <w:rsid w:val="00C0761F"/>
    <w:rsid w:val="00C101C9"/>
    <w:rsid w:val="00C157EE"/>
    <w:rsid w:val="00C44596"/>
    <w:rsid w:val="00C60D61"/>
    <w:rsid w:val="00C92003"/>
    <w:rsid w:val="00CB4873"/>
    <w:rsid w:val="00CC4387"/>
    <w:rsid w:val="00CE7B2F"/>
    <w:rsid w:val="00CF24FB"/>
    <w:rsid w:val="00CF6616"/>
    <w:rsid w:val="00D04C27"/>
    <w:rsid w:val="00D13147"/>
    <w:rsid w:val="00D26F2E"/>
    <w:rsid w:val="00D3777A"/>
    <w:rsid w:val="00D52373"/>
    <w:rsid w:val="00D56002"/>
    <w:rsid w:val="00D778C9"/>
    <w:rsid w:val="00D8184C"/>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2DD"/>
    <w:rsid w:val="00EE1CEE"/>
    <w:rsid w:val="00EE1F4B"/>
    <w:rsid w:val="00F03305"/>
    <w:rsid w:val="00F2228B"/>
    <w:rsid w:val="00F62573"/>
    <w:rsid w:val="00F70A32"/>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E5DD8"/>
    <w:pPr>
      <w:keepNext/>
      <w:numPr>
        <w:numId w:val="1"/>
      </w:numPr>
      <w:outlineLvl w:val="0"/>
    </w:pPr>
    <w:rPr>
      <w:b/>
      <w:bCs/>
      <w:sz w:val="32"/>
    </w:rPr>
  </w:style>
  <w:style w:type="paragraph" w:styleId="Heading2">
    <w:name w:val="heading 2"/>
    <w:basedOn w:val="Normal"/>
    <w:next w:val="Normal"/>
    <w:qFormat/>
    <w:rsid w:val="009E5DD8"/>
    <w:pPr>
      <w:keepNext/>
      <w:numPr>
        <w:ilvl w:val="1"/>
        <w:numId w:val="1"/>
      </w:numPr>
      <w:jc w:val="both"/>
      <w:outlineLvl w:val="1"/>
    </w:pPr>
    <w:rPr>
      <w:b/>
      <w:sz w:val="28"/>
    </w:rPr>
  </w:style>
  <w:style w:type="paragraph" w:styleId="Heading3">
    <w:name w:val="heading 3"/>
    <w:basedOn w:val="Normal"/>
    <w:next w:val="Normal"/>
    <w:qFormat/>
    <w:rsid w:val="009E5DD8"/>
    <w:pPr>
      <w:keepNext/>
      <w:numPr>
        <w:ilvl w:val="2"/>
        <w:numId w:val="1"/>
      </w:numPr>
      <w:spacing w:line="360" w:lineRule="auto"/>
      <w:jc w:val="both"/>
      <w:outlineLvl w:val="2"/>
    </w:pPr>
    <w:rPr>
      <w:b/>
      <w:bCs/>
    </w:rPr>
  </w:style>
  <w:style w:type="paragraph" w:styleId="Heading6">
    <w:name w:val="heading 6"/>
    <w:basedOn w:val="Normal"/>
    <w:next w:val="Normal"/>
    <w:qFormat/>
    <w:rsid w:val="009E5DD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E5DD8"/>
  </w:style>
  <w:style w:type="character" w:customStyle="1" w:styleId="WW-Absatz-Standardschriftart">
    <w:name w:val="WW-Absatz-Standardschriftart"/>
    <w:rsid w:val="009E5DD8"/>
  </w:style>
  <w:style w:type="character" w:customStyle="1" w:styleId="WW-Absatz-Standardschriftart1">
    <w:name w:val="WW-Absatz-Standardschriftart1"/>
    <w:rsid w:val="009E5DD8"/>
  </w:style>
  <w:style w:type="character" w:customStyle="1" w:styleId="WW-Absatz-Standardschriftart11">
    <w:name w:val="WW-Absatz-Standardschriftart11"/>
    <w:rsid w:val="009E5DD8"/>
  </w:style>
  <w:style w:type="character" w:customStyle="1" w:styleId="WW-Absatz-Standardschriftart111">
    <w:name w:val="WW-Absatz-Standardschriftart111"/>
    <w:rsid w:val="009E5DD8"/>
  </w:style>
  <w:style w:type="character" w:customStyle="1" w:styleId="WW-Absatz-Standardschriftart1111">
    <w:name w:val="WW-Absatz-Standardschriftart1111"/>
    <w:rsid w:val="009E5DD8"/>
  </w:style>
  <w:style w:type="character" w:customStyle="1" w:styleId="WW-Absatz-Standardschriftart11111">
    <w:name w:val="WW-Absatz-Standardschriftart11111"/>
    <w:rsid w:val="009E5DD8"/>
  </w:style>
  <w:style w:type="character" w:customStyle="1" w:styleId="WW-Absatz-Standardschriftart111111">
    <w:name w:val="WW-Absatz-Standardschriftart111111"/>
    <w:rsid w:val="009E5DD8"/>
  </w:style>
  <w:style w:type="character" w:customStyle="1" w:styleId="WW-Absatz-Standardschriftart1111111">
    <w:name w:val="WW-Absatz-Standardschriftart1111111"/>
    <w:rsid w:val="009E5DD8"/>
  </w:style>
  <w:style w:type="character" w:customStyle="1" w:styleId="WW-Absatz-Standardschriftart11111111">
    <w:name w:val="WW-Absatz-Standardschriftart11111111"/>
    <w:rsid w:val="009E5DD8"/>
  </w:style>
  <w:style w:type="character" w:customStyle="1" w:styleId="WW-Absatz-Standardschriftart111111111">
    <w:name w:val="WW-Absatz-Standardschriftart111111111"/>
    <w:rsid w:val="009E5DD8"/>
  </w:style>
  <w:style w:type="character" w:customStyle="1" w:styleId="WW-Absatz-Standardschriftart1111111111">
    <w:name w:val="WW-Absatz-Standardschriftart1111111111"/>
    <w:rsid w:val="009E5DD8"/>
  </w:style>
  <w:style w:type="character" w:customStyle="1" w:styleId="WW-Absatz-Standardschriftart11111111111">
    <w:name w:val="WW-Absatz-Standardschriftart11111111111"/>
    <w:rsid w:val="009E5DD8"/>
  </w:style>
  <w:style w:type="character" w:customStyle="1" w:styleId="WW-Absatz-Standardschriftart111111111111">
    <w:name w:val="WW-Absatz-Standardschriftart111111111111"/>
    <w:rsid w:val="009E5DD8"/>
  </w:style>
  <w:style w:type="character" w:customStyle="1" w:styleId="WW-Absatz-Standardschriftart1111111111111">
    <w:name w:val="WW-Absatz-Standardschriftart1111111111111"/>
    <w:rsid w:val="009E5DD8"/>
  </w:style>
  <w:style w:type="character" w:customStyle="1" w:styleId="WW-Absatz-Standardschriftart11111111111111">
    <w:name w:val="WW-Absatz-Standardschriftart11111111111111"/>
    <w:rsid w:val="009E5DD8"/>
  </w:style>
  <w:style w:type="character" w:customStyle="1" w:styleId="WW-Absatz-Standardschriftart111111111111111">
    <w:name w:val="WW-Absatz-Standardschriftart111111111111111"/>
    <w:rsid w:val="009E5DD8"/>
  </w:style>
  <w:style w:type="character" w:customStyle="1" w:styleId="WW-Absatz-Standardschriftart1111111111111111">
    <w:name w:val="WW-Absatz-Standardschriftart1111111111111111"/>
    <w:rsid w:val="009E5DD8"/>
  </w:style>
  <w:style w:type="character" w:customStyle="1" w:styleId="WW8Num1z0">
    <w:name w:val="WW8Num1z0"/>
    <w:rsid w:val="009E5DD8"/>
    <w:rPr>
      <w:rFonts w:ascii="Symbol" w:eastAsia="Times New Roman" w:hAnsi="Symbol" w:cs="Times New Roman"/>
    </w:rPr>
  </w:style>
  <w:style w:type="character" w:customStyle="1" w:styleId="WW8Num1z1">
    <w:name w:val="WW8Num1z1"/>
    <w:rsid w:val="009E5DD8"/>
    <w:rPr>
      <w:rFonts w:ascii="Courier New" w:hAnsi="Courier New" w:cs="Courier New"/>
    </w:rPr>
  </w:style>
  <w:style w:type="character" w:customStyle="1" w:styleId="WW8Num1z2">
    <w:name w:val="WW8Num1z2"/>
    <w:rsid w:val="009E5DD8"/>
    <w:rPr>
      <w:rFonts w:ascii="Wingdings" w:hAnsi="Wingdings"/>
    </w:rPr>
  </w:style>
  <w:style w:type="character" w:customStyle="1" w:styleId="WW8Num1z3">
    <w:name w:val="WW8Num1z3"/>
    <w:rsid w:val="009E5DD8"/>
    <w:rPr>
      <w:rFonts w:ascii="Symbol" w:hAnsi="Symbol"/>
    </w:rPr>
  </w:style>
  <w:style w:type="character" w:styleId="PageNumber">
    <w:name w:val="page number"/>
    <w:basedOn w:val="DefaultParagraphFont"/>
    <w:rsid w:val="009E5DD8"/>
  </w:style>
  <w:style w:type="character" w:styleId="Hyperlink">
    <w:name w:val="Hyperlink"/>
    <w:basedOn w:val="DefaultParagraphFont"/>
    <w:rsid w:val="009E5DD8"/>
    <w:rPr>
      <w:color w:val="0000FF"/>
      <w:u w:val="single"/>
    </w:rPr>
  </w:style>
  <w:style w:type="character" w:styleId="FollowedHyperlink">
    <w:name w:val="FollowedHyperlink"/>
    <w:basedOn w:val="DefaultParagraphFont"/>
    <w:rsid w:val="009E5DD8"/>
    <w:rPr>
      <w:color w:val="800080"/>
      <w:u w:val="single"/>
    </w:rPr>
  </w:style>
  <w:style w:type="character" w:customStyle="1" w:styleId="NumberingSymbols">
    <w:name w:val="Numbering Symbols"/>
    <w:rsid w:val="009E5DD8"/>
  </w:style>
  <w:style w:type="paragraph" w:customStyle="1" w:styleId="Heading">
    <w:name w:val="Heading"/>
    <w:basedOn w:val="Normal"/>
    <w:next w:val="BodyText"/>
    <w:rsid w:val="009E5DD8"/>
    <w:pPr>
      <w:keepNext/>
      <w:spacing w:before="240" w:after="120"/>
    </w:pPr>
    <w:rPr>
      <w:rFonts w:ascii="Nimbus Sans L" w:eastAsia="DejaVu Sans" w:hAnsi="Nimbus Sans L" w:cs="DejaVu Sans"/>
      <w:sz w:val="28"/>
      <w:szCs w:val="28"/>
    </w:rPr>
  </w:style>
  <w:style w:type="paragraph" w:styleId="BodyText">
    <w:name w:val="Body Text"/>
    <w:basedOn w:val="Normal"/>
    <w:rsid w:val="009E5DD8"/>
    <w:pPr>
      <w:spacing w:line="360" w:lineRule="auto"/>
    </w:pPr>
  </w:style>
  <w:style w:type="paragraph" w:styleId="List">
    <w:name w:val="List"/>
    <w:basedOn w:val="BodyText"/>
    <w:rsid w:val="009E5DD8"/>
  </w:style>
  <w:style w:type="paragraph" w:styleId="Caption">
    <w:name w:val="caption"/>
    <w:basedOn w:val="Normal"/>
    <w:qFormat/>
    <w:rsid w:val="009E5DD8"/>
    <w:pPr>
      <w:suppressLineNumbers/>
      <w:spacing w:before="120" w:after="120"/>
    </w:pPr>
    <w:rPr>
      <w:i/>
      <w:iCs/>
    </w:rPr>
  </w:style>
  <w:style w:type="paragraph" w:customStyle="1" w:styleId="Index">
    <w:name w:val="Index"/>
    <w:basedOn w:val="Normal"/>
    <w:rsid w:val="009E5DD8"/>
    <w:pPr>
      <w:suppressLineNumbers/>
    </w:pPr>
  </w:style>
  <w:style w:type="paragraph" w:styleId="Header">
    <w:name w:val="header"/>
    <w:basedOn w:val="Normal"/>
    <w:next w:val="Heading1"/>
    <w:link w:val="HeaderChar"/>
    <w:rsid w:val="009E5DD8"/>
    <w:pPr>
      <w:tabs>
        <w:tab w:val="center" w:pos="4320"/>
        <w:tab w:val="right" w:pos="8640"/>
      </w:tabs>
    </w:pPr>
  </w:style>
  <w:style w:type="paragraph" w:styleId="BodyTextIndent3">
    <w:name w:val="Body Text Indent 3"/>
    <w:basedOn w:val="Normal"/>
    <w:rsid w:val="009E5DD8"/>
    <w:pPr>
      <w:spacing w:line="360" w:lineRule="auto"/>
      <w:ind w:firstLine="720"/>
      <w:jc w:val="both"/>
    </w:pPr>
    <w:rPr>
      <w:b/>
      <w:bCs/>
    </w:rPr>
  </w:style>
  <w:style w:type="paragraph" w:styleId="BodyTextIndent">
    <w:name w:val="Body Text Indent"/>
    <w:basedOn w:val="Normal"/>
    <w:rsid w:val="009E5DD8"/>
    <w:pPr>
      <w:ind w:left="540" w:hanging="720"/>
      <w:jc w:val="both"/>
    </w:pPr>
  </w:style>
  <w:style w:type="paragraph" w:styleId="BodyTextIndent2">
    <w:name w:val="Body Text Indent 2"/>
    <w:basedOn w:val="Normal"/>
    <w:rsid w:val="009E5DD8"/>
    <w:pPr>
      <w:spacing w:line="360" w:lineRule="auto"/>
      <w:ind w:firstLine="720"/>
      <w:jc w:val="both"/>
    </w:pPr>
  </w:style>
  <w:style w:type="paragraph" w:styleId="BodyText2">
    <w:name w:val="Body Text 2"/>
    <w:basedOn w:val="Normal"/>
    <w:rsid w:val="009E5DD8"/>
    <w:pPr>
      <w:spacing w:line="360" w:lineRule="auto"/>
      <w:jc w:val="both"/>
    </w:pPr>
  </w:style>
  <w:style w:type="paragraph" w:styleId="Footer">
    <w:name w:val="footer"/>
    <w:basedOn w:val="Normal"/>
    <w:rsid w:val="009E5DD8"/>
    <w:pPr>
      <w:tabs>
        <w:tab w:val="center" w:pos="4320"/>
        <w:tab w:val="right" w:pos="8640"/>
      </w:tabs>
    </w:pPr>
    <w:rPr>
      <w:sz w:val="32"/>
    </w:rPr>
  </w:style>
  <w:style w:type="paragraph" w:customStyle="1" w:styleId="TableContents">
    <w:name w:val="Table Contents"/>
    <w:basedOn w:val="Normal"/>
    <w:rsid w:val="009E5DD8"/>
    <w:pPr>
      <w:suppressLineNumbers/>
    </w:pPr>
  </w:style>
  <w:style w:type="paragraph" w:customStyle="1" w:styleId="TableHeading">
    <w:name w:val="Table Heading"/>
    <w:basedOn w:val="TableContents"/>
    <w:rsid w:val="009E5DD8"/>
    <w:pPr>
      <w:jc w:val="center"/>
    </w:pPr>
    <w:rPr>
      <w:b/>
      <w:bCs/>
    </w:rPr>
  </w:style>
  <w:style w:type="paragraph" w:customStyle="1" w:styleId="Framecontents">
    <w:name w:val="Frame contents"/>
    <w:basedOn w:val="BodyText"/>
    <w:rsid w:val="009E5DD8"/>
  </w:style>
  <w:style w:type="paragraph" w:customStyle="1" w:styleId="Text">
    <w:name w:val="Text"/>
    <w:basedOn w:val="Normal"/>
    <w:rsid w:val="009E5DD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8F3361"/>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764E18"/>
    <w:rPr>
      <w:rFonts w:ascii="Tahoma" w:hAnsi="Tahoma" w:cs="Tahoma"/>
      <w:sz w:val="16"/>
      <w:szCs w:val="16"/>
    </w:rPr>
  </w:style>
  <w:style w:type="character" w:customStyle="1" w:styleId="BalloonTextChar">
    <w:name w:val="Balloon Text Char"/>
    <w:basedOn w:val="DefaultParagraphFont"/>
    <w:link w:val="BalloonText"/>
    <w:uiPriority w:val="99"/>
    <w:semiHidden/>
    <w:rsid w:val="00764E18"/>
    <w:rPr>
      <w:rFonts w:ascii="Tahoma" w:hAnsi="Tahoma" w:cs="Tahoma"/>
      <w:sz w:val="16"/>
      <w:szCs w:val="16"/>
      <w:lang w:eastAsia="ar-SA"/>
    </w:rPr>
  </w:style>
  <w:style w:type="table" w:styleId="TableGrid">
    <w:name w:val="Table Grid"/>
    <w:basedOn w:val="TableNormal"/>
    <w:uiPriority w:val="59"/>
    <w:rsid w:val="00295C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hfayaz232@gmail.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shahfayaz232@gmail.com" TargetMode="External"/><Relationship Id="rId28" Type="http://schemas.openxmlformats.org/officeDocument/2006/relationships/footer" Target="footer9.xml"/><Relationship Id="rId10" Type="http://schemas.openxmlformats.org/officeDocument/2006/relationships/hyperlink" Target="http://www.dx.doi.org/10.7537/marsnys100117.11"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0304375032591161"/>
          <c:y val="5.1400554097404488E-2"/>
          <c:w val="0.6659590481653388"/>
          <c:h val="0.62008675998833451"/>
        </c:manualLayout>
      </c:layout>
      <c:barChart>
        <c:barDir val="col"/>
        <c:grouping val="clustered"/>
        <c:ser>
          <c:idx val="0"/>
          <c:order val="0"/>
          <c:tx>
            <c:strRef>
              <c:f>Sheet1!$A$2</c:f>
              <c:strCache>
                <c:ptCount val="1"/>
                <c:pt idx="0">
                  <c:v>Flour from Farmers</c:v>
                </c:pt>
              </c:strCache>
            </c:strRef>
          </c:tx>
          <c:spPr>
            <a:solidFill>
              <a:srgbClr val="00B0F0"/>
            </a:solidFill>
          </c:spPr>
          <c:cat>
            <c:strRef>
              <c:f>Sheet1!$B$1:$I$1</c:f>
              <c:strCache>
                <c:ptCount val="7"/>
                <c:pt idx="0">
                  <c:v>A. parasiticus</c:v>
                </c:pt>
                <c:pt idx="1">
                  <c:v>A. flavus</c:v>
                </c:pt>
                <c:pt idx="2">
                  <c:v>A. niger </c:v>
                </c:pt>
                <c:pt idx="3">
                  <c:v>A. fumigatus</c:v>
                </c:pt>
                <c:pt idx="4">
                  <c:v>A. ochraceous</c:v>
                </c:pt>
                <c:pt idx="5">
                  <c:v>A. vesicolor</c:v>
                </c:pt>
                <c:pt idx="6">
                  <c:v>A. tamari</c:v>
                </c:pt>
              </c:strCache>
            </c:strRef>
          </c:cat>
          <c:val>
            <c:numRef>
              <c:f>Sheet1!$B$2:$I$2</c:f>
              <c:numCache>
                <c:formatCode>General</c:formatCode>
                <c:ptCount val="8"/>
                <c:pt idx="0">
                  <c:v>432</c:v>
                </c:pt>
                <c:pt idx="1">
                  <c:v>523</c:v>
                </c:pt>
                <c:pt idx="2">
                  <c:v>322</c:v>
                </c:pt>
                <c:pt idx="3">
                  <c:v>356</c:v>
                </c:pt>
                <c:pt idx="4">
                  <c:v>65</c:v>
                </c:pt>
                <c:pt idx="5">
                  <c:v>34</c:v>
                </c:pt>
                <c:pt idx="6">
                  <c:v>20</c:v>
                </c:pt>
              </c:numCache>
            </c:numRef>
          </c:val>
        </c:ser>
        <c:ser>
          <c:idx val="1"/>
          <c:order val="1"/>
          <c:tx>
            <c:strRef>
              <c:f>Sheet1!$A$3</c:f>
              <c:strCache>
                <c:ptCount val="1"/>
                <c:pt idx="0">
                  <c:v>Flour in open bags from traders</c:v>
                </c:pt>
              </c:strCache>
            </c:strRef>
          </c:tx>
          <c:spPr>
            <a:solidFill>
              <a:srgbClr val="FF0000"/>
            </a:solidFill>
          </c:spPr>
          <c:cat>
            <c:strRef>
              <c:f>Sheet1!$B$1:$I$1</c:f>
              <c:strCache>
                <c:ptCount val="7"/>
                <c:pt idx="0">
                  <c:v>A. parasiticus</c:v>
                </c:pt>
                <c:pt idx="1">
                  <c:v>A. flavus</c:v>
                </c:pt>
                <c:pt idx="2">
                  <c:v>A. niger </c:v>
                </c:pt>
                <c:pt idx="3">
                  <c:v>A. fumigatus</c:v>
                </c:pt>
                <c:pt idx="4">
                  <c:v>A. ochraceous</c:v>
                </c:pt>
                <c:pt idx="5">
                  <c:v>A. vesicolor</c:v>
                </c:pt>
                <c:pt idx="6">
                  <c:v>A. tamari</c:v>
                </c:pt>
              </c:strCache>
            </c:strRef>
          </c:cat>
          <c:val>
            <c:numRef>
              <c:f>Sheet1!$B$3:$I$3</c:f>
              <c:numCache>
                <c:formatCode>General</c:formatCode>
                <c:ptCount val="8"/>
                <c:pt idx="0">
                  <c:v>233</c:v>
                </c:pt>
                <c:pt idx="1">
                  <c:v>321</c:v>
                </c:pt>
                <c:pt idx="2">
                  <c:v>192</c:v>
                </c:pt>
                <c:pt idx="3">
                  <c:v>95</c:v>
                </c:pt>
                <c:pt idx="4">
                  <c:v>68</c:v>
                </c:pt>
                <c:pt idx="5">
                  <c:v>32</c:v>
                </c:pt>
                <c:pt idx="6">
                  <c:v>15</c:v>
                </c:pt>
              </c:numCache>
            </c:numRef>
          </c:val>
        </c:ser>
        <c:ser>
          <c:idx val="2"/>
          <c:order val="2"/>
          <c:tx>
            <c:strRef>
              <c:f>Sheet1!$A$4</c:f>
              <c:strCache>
                <c:ptCount val="1"/>
                <c:pt idx="0">
                  <c:v>Flour in closed bags from traders</c:v>
                </c:pt>
              </c:strCache>
            </c:strRef>
          </c:tx>
          <c:spPr>
            <a:solidFill>
              <a:schemeClr val="tx1"/>
            </a:solidFill>
          </c:spPr>
          <c:cat>
            <c:strRef>
              <c:f>Sheet1!$B$1:$I$1</c:f>
              <c:strCache>
                <c:ptCount val="7"/>
                <c:pt idx="0">
                  <c:v>A. parasiticus</c:v>
                </c:pt>
                <c:pt idx="1">
                  <c:v>A. flavus</c:v>
                </c:pt>
                <c:pt idx="2">
                  <c:v>A. niger </c:v>
                </c:pt>
                <c:pt idx="3">
                  <c:v>A. fumigatus</c:v>
                </c:pt>
                <c:pt idx="4">
                  <c:v>A. ochraceous</c:v>
                </c:pt>
                <c:pt idx="5">
                  <c:v>A. vesicolor</c:v>
                </c:pt>
                <c:pt idx="6">
                  <c:v>A. tamari</c:v>
                </c:pt>
              </c:strCache>
            </c:strRef>
          </c:cat>
          <c:val>
            <c:numRef>
              <c:f>Sheet1!$B$4:$I$4</c:f>
              <c:numCache>
                <c:formatCode>General</c:formatCode>
                <c:ptCount val="8"/>
                <c:pt idx="0">
                  <c:v>135</c:v>
                </c:pt>
                <c:pt idx="1">
                  <c:v>122</c:v>
                </c:pt>
                <c:pt idx="2">
                  <c:v>90</c:v>
                </c:pt>
                <c:pt idx="3">
                  <c:v>112</c:v>
                </c:pt>
                <c:pt idx="4">
                  <c:v>21</c:v>
                </c:pt>
                <c:pt idx="5">
                  <c:v>18</c:v>
                </c:pt>
                <c:pt idx="6">
                  <c:v>9</c:v>
                </c:pt>
              </c:numCache>
            </c:numRef>
          </c:val>
        </c:ser>
        <c:ser>
          <c:idx val="3"/>
          <c:order val="3"/>
          <c:tx>
            <c:strRef>
              <c:f>Sheet1!$A$5</c:f>
              <c:strCache>
                <c:ptCount val="1"/>
              </c:strCache>
            </c:strRef>
          </c:tx>
          <c:cat>
            <c:strRef>
              <c:f>Sheet1!$B$1:$I$1</c:f>
              <c:strCache>
                <c:ptCount val="7"/>
                <c:pt idx="0">
                  <c:v>A. parasiticus</c:v>
                </c:pt>
                <c:pt idx="1">
                  <c:v>A. flavus</c:v>
                </c:pt>
                <c:pt idx="2">
                  <c:v>A. niger </c:v>
                </c:pt>
                <c:pt idx="3">
                  <c:v>A. fumigatus</c:v>
                </c:pt>
                <c:pt idx="4">
                  <c:v>A. ochraceous</c:v>
                </c:pt>
                <c:pt idx="5">
                  <c:v>A. vesicolor</c:v>
                </c:pt>
                <c:pt idx="6">
                  <c:v>A. tamari</c:v>
                </c:pt>
              </c:strCache>
            </c:strRef>
          </c:cat>
          <c:val>
            <c:numRef>
              <c:f>Sheet1!$B$5:$I$5</c:f>
              <c:numCache>
                <c:formatCode>General</c:formatCode>
                <c:ptCount val="8"/>
              </c:numCache>
            </c:numRef>
          </c:val>
        </c:ser>
        <c:ser>
          <c:idx val="4"/>
          <c:order val="4"/>
          <c:tx>
            <c:strRef>
              <c:f>Sheet1!$A$6</c:f>
              <c:strCache>
                <c:ptCount val="1"/>
              </c:strCache>
            </c:strRef>
          </c:tx>
          <c:cat>
            <c:strRef>
              <c:f>Sheet1!$B$1:$I$1</c:f>
              <c:strCache>
                <c:ptCount val="7"/>
                <c:pt idx="0">
                  <c:v>A. parasiticus</c:v>
                </c:pt>
                <c:pt idx="1">
                  <c:v>A. flavus</c:v>
                </c:pt>
                <c:pt idx="2">
                  <c:v>A. niger </c:v>
                </c:pt>
                <c:pt idx="3">
                  <c:v>A. fumigatus</c:v>
                </c:pt>
                <c:pt idx="4">
                  <c:v>A. ochraceous</c:v>
                </c:pt>
                <c:pt idx="5">
                  <c:v>A. vesicolor</c:v>
                </c:pt>
                <c:pt idx="6">
                  <c:v>A. tamari</c:v>
                </c:pt>
              </c:strCache>
            </c:strRef>
          </c:cat>
          <c:val>
            <c:numRef>
              <c:f>Sheet1!$B$6:$I$6</c:f>
              <c:numCache>
                <c:formatCode>General</c:formatCode>
                <c:ptCount val="8"/>
              </c:numCache>
            </c:numRef>
          </c:val>
        </c:ser>
        <c:axId val="42079360"/>
        <c:axId val="42081664"/>
      </c:barChart>
      <c:catAx>
        <c:axId val="42079360"/>
        <c:scaling>
          <c:orientation val="minMax"/>
        </c:scaling>
        <c:axPos val="b"/>
        <c:title>
          <c:tx>
            <c:rich>
              <a:bodyPr/>
              <a:lstStyle/>
              <a:p>
                <a:pPr>
                  <a:defRPr lang="en-US"/>
                </a:pPr>
                <a:r>
                  <a:rPr lang="en-US"/>
                  <a:t>Aspergillus spp.</a:t>
                </a:r>
              </a:p>
            </c:rich>
          </c:tx>
          <c:layout/>
        </c:title>
        <c:tickLblPos val="nextTo"/>
        <c:txPr>
          <a:bodyPr/>
          <a:lstStyle/>
          <a:p>
            <a:pPr>
              <a:defRPr lang="en-US" sz="850"/>
            </a:pPr>
            <a:endParaRPr lang="en-US"/>
          </a:p>
        </c:txPr>
        <c:crossAx val="42081664"/>
        <c:crosses val="autoZero"/>
        <c:auto val="1"/>
        <c:lblAlgn val="ctr"/>
        <c:lblOffset val="100"/>
      </c:catAx>
      <c:valAx>
        <c:axId val="42081664"/>
        <c:scaling>
          <c:orientation val="minMax"/>
        </c:scaling>
        <c:axPos val="l"/>
        <c:title>
          <c:tx>
            <c:rich>
              <a:bodyPr rot="-5400000" vert="horz"/>
              <a:lstStyle/>
              <a:p>
                <a:pPr>
                  <a:defRPr lang="en-US"/>
                </a:pPr>
                <a:r>
                  <a:rPr lang="en-US"/>
                  <a:t>CFU/gm flour</a:t>
                </a:r>
              </a:p>
            </c:rich>
          </c:tx>
          <c:layout/>
        </c:title>
        <c:numFmt formatCode="General" sourceLinked="1"/>
        <c:tickLblPos val="nextTo"/>
        <c:txPr>
          <a:bodyPr/>
          <a:lstStyle/>
          <a:p>
            <a:pPr>
              <a:defRPr lang="en-US"/>
            </a:pPr>
            <a:endParaRPr lang="en-US"/>
          </a:p>
        </c:txPr>
        <c:crossAx val="42079360"/>
        <c:crosses val="autoZero"/>
        <c:crossBetween val="between"/>
      </c:valAx>
    </c:plotArea>
    <c:legend>
      <c:legendPos val="r"/>
      <c:legendEntry>
        <c:idx val="3"/>
        <c:delete val="1"/>
      </c:legendEntry>
      <c:legendEntry>
        <c:idx val="4"/>
        <c:delete val="1"/>
      </c:legendEntry>
      <c:layout>
        <c:manualLayout>
          <c:xMode val="edge"/>
          <c:yMode val="edge"/>
          <c:x val="0.55458278652668413"/>
          <c:y val="0.1508956692913386"/>
          <c:w val="0.33928827424490959"/>
          <c:h val="0.37207640711577888"/>
        </c:manualLayout>
      </c:layout>
      <c:txPr>
        <a:bodyPr/>
        <a:lstStyle/>
        <a:p>
          <a:pPr>
            <a:defRPr lang="en-US"/>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0.61875</cdr:x>
      <cdr:y>0.66667</cdr:y>
    </cdr:from>
    <cdr:to>
      <cdr:x>0.81875</cdr:x>
      <cdr:y>1</cdr:y>
    </cdr:to>
    <cdr:sp macro="" textlink="">
      <cdr:nvSpPr>
        <cdr:cNvPr id="2" name="TextBox 1"/>
        <cdr:cNvSpPr txBox="1"/>
      </cdr:nvSpPr>
      <cdr:spPr>
        <a:xfrm xmlns:a="http://schemas.openxmlformats.org/drawingml/2006/main">
          <a:off x="2828925" y="25812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0.14583</cdr:x>
      <cdr:y>0.91667</cdr:y>
    </cdr:from>
    <cdr:to>
      <cdr:x>0.84375</cdr:x>
      <cdr:y>1</cdr:y>
    </cdr:to>
    <cdr:sp macro="" textlink="">
      <cdr:nvSpPr>
        <cdr:cNvPr id="3" name="TextBox 2"/>
        <cdr:cNvSpPr txBox="1"/>
      </cdr:nvSpPr>
      <cdr:spPr>
        <a:xfrm xmlns:a="http://schemas.openxmlformats.org/drawingml/2006/main">
          <a:off x="666750" y="2514600"/>
          <a:ext cx="3190875"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EC4E0-3706-4A61-B220-CD303308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vt:lpstr>
    </vt:vector>
  </TitlesOfParts>
  <Company>China</Company>
  <LinksUpToDate>false</LinksUpToDate>
  <CharactersWithSpaces>15413</CharactersWithSpaces>
  <SharedDoc>false</SharedDoc>
  <HLinks>
    <vt:vector size="36" baseType="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2293827</vt:i4>
      </vt:variant>
      <vt:variant>
        <vt:i4>0</vt:i4>
      </vt:variant>
      <vt:variant>
        <vt:i4>0</vt:i4>
      </vt:variant>
      <vt:variant>
        <vt:i4>5</vt:i4>
      </vt:variant>
      <vt:variant>
        <vt:lpwstr>mailto:shahfayaz232@gmail.com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2008-06-24T23:16:00Z</cp:lastPrinted>
  <dcterms:created xsi:type="dcterms:W3CDTF">2017-01-10T05:58:00Z</dcterms:created>
  <dcterms:modified xsi:type="dcterms:W3CDTF">2017-01-10T06:01:00Z</dcterms:modified>
</cp:coreProperties>
</file>