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7D" w:rsidRPr="007A4D4E" w:rsidRDefault="000E2CA8" w:rsidP="0028759E">
      <w:pPr>
        <w:snapToGrid w:val="0"/>
        <w:jc w:val="center"/>
        <w:rPr>
          <w:b/>
        </w:rPr>
      </w:pPr>
      <w:r w:rsidRPr="007A4D4E">
        <w:rPr>
          <w:b/>
        </w:rPr>
        <w:t xml:space="preserve">Evaluation </w:t>
      </w:r>
      <w:r w:rsidR="00B62259" w:rsidRPr="007A4D4E">
        <w:rPr>
          <w:b/>
        </w:rPr>
        <w:t>of</w:t>
      </w:r>
      <w:r w:rsidRPr="007A4D4E">
        <w:rPr>
          <w:b/>
        </w:rPr>
        <w:t xml:space="preserve"> Cardiac Function </w:t>
      </w:r>
      <w:r w:rsidR="00B62259" w:rsidRPr="007A4D4E">
        <w:rPr>
          <w:b/>
        </w:rPr>
        <w:t>in</w:t>
      </w:r>
      <w:r w:rsidRPr="007A4D4E">
        <w:rPr>
          <w:b/>
        </w:rPr>
        <w:t xml:space="preserve"> Patients </w:t>
      </w:r>
      <w:r w:rsidR="00C45ECF" w:rsidRPr="007A4D4E">
        <w:rPr>
          <w:b/>
        </w:rPr>
        <w:t>with</w:t>
      </w:r>
      <w:r w:rsidRPr="007A4D4E">
        <w:rPr>
          <w:b/>
        </w:rPr>
        <w:t xml:space="preserve"> Liver Cirrhosis </w:t>
      </w:r>
      <w:r w:rsidR="00C45ECF" w:rsidRPr="007A4D4E">
        <w:rPr>
          <w:b/>
        </w:rPr>
        <w:t>by</w:t>
      </w:r>
      <w:r w:rsidRPr="007A4D4E">
        <w:rPr>
          <w:b/>
        </w:rPr>
        <w:t xml:space="preserve"> Conventional </w:t>
      </w:r>
      <w:r w:rsidR="00C45ECF" w:rsidRPr="007A4D4E">
        <w:rPr>
          <w:b/>
        </w:rPr>
        <w:t>and</w:t>
      </w:r>
      <w:r w:rsidRPr="007A4D4E">
        <w:rPr>
          <w:b/>
        </w:rPr>
        <w:t xml:space="preserve"> 2-Dimensional Speckle Tracking Echocardiography</w:t>
      </w:r>
    </w:p>
    <w:p w:rsidR="00B62259" w:rsidRPr="007A4D4E" w:rsidRDefault="00B62259" w:rsidP="0028759E">
      <w:pPr>
        <w:snapToGrid w:val="0"/>
        <w:jc w:val="center"/>
        <w:rPr>
          <w:b/>
          <w:bCs/>
        </w:rPr>
      </w:pPr>
    </w:p>
    <w:p w:rsidR="00F01E7D" w:rsidRPr="007A4D4E" w:rsidRDefault="000E2CA8" w:rsidP="0028759E">
      <w:pPr>
        <w:snapToGrid w:val="0"/>
        <w:jc w:val="center"/>
        <w:rPr>
          <w:lang w:eastAsia="zh-CN"/>
        </w:rPr>
      </w:pPr>
      <w:proofErr w:type="spellStart"/>
      <w:r w:rsidRPr="007A4D4E">
        <w:rPr>
          <w:color w:val="221F1F"/>
        </w:rPr>
        <w:t>Safwat</w:t>
      </w:r>
      <w:proofErr w:type="spellEnd"/>
      <w:r w:rsidRPr="007A4D4E">
        <w:rPr>
          <w:color w:val="221F1F"/>
        </w:rPr>
        <w:t xml:space="preserve"> Al </w:t>
      </w:r>
      <w:proofErr w:type="spellStart"/>
      <w:r w:rsidRPr="007A4D4E">
        <w:rPr>
          <w:color w:val="221F1F"/>
        </w:rPr>
        <w:t>hwary</w:t>
      </w:r>
      <w:proofErr w:type="spellEnd"/>
      <w:r w:rsidRPr="007A4D4E">
        <w:rPr>
          <w:color w:val="000000"/>
        </w:rPr>
        <w:t xml:space="preserve">, </w:t>
      </w:r>
      <w:proofErr w:type="spellStart"/>
      <w:r w:rsidRPr="007A4D4E">
        <w:rPr>
          <w:color w:val="221F1F"/>
        </w:rPr>
        <w:t>Yaser</w:t>
      </w:r>
      <w:proofErr w:type="spellEnd"/>
      <w:r w:rsidRPr="007A4D4E">
        <w:rPr>
          <w:color w:val="221F1F"/>
        </w:rPr>
        <w:t xml:space="preserve"> El </w:t>
      </w:r>
      <w:proofErr w:type="spellStart"/>
      <w:r w:rsidRPr="007A4D4E">
        <w:rPr>
          <w:color w:val="221F1F"/>
        </w:rPr>
        <w:t>sayed</w:t>
      </w:r>
      <w:proofErr w:type="spellEnd"/>
      <w:r w:rsidRPr="007A4D4E">
        <w:rPr>
          <w:color w:val="000000"/>
        </w:rPr>
        <w:t xml:space="preserve">, </w:t>
      </w:r>
      <w:proofErr w:type="spellStart"/>
      <w:r w:rsidRPr="007A4D4E">
        <w:rPr>
          <w:color w:val="000000"/>
        </w:rPr>
        <w:t>Mostafa</w:t>
      </w:r>
      <w:proofErr w:type="spellEnd"/>
      <w:r w:rsidRPr="007A4D4E">
        <w:rPr>
          <w:color w:val="000000"/>
        </w:rPr>
        <w:t xml:space="preserve"> Ismail, </w:t>
      </w:r>
      <w:r w:rsidRPr="007A4D4E">
        <w:rPr>
          <w:color w:val="221F1F"/>
        </w:rPr>
        <w:t xml:space="preserve">Mohammed </w:t>
      </w:r>
      <w:proofErr w:type="spellStart"/>
      <w:r w:rsidRPr="007A4D4E">
        <w:rPr>
          <w:color w:val="221F1F"/>
        </w:rPr>
        <w:t>Allam</w:t>
      </w:r>
      <w:proofErr w:type="spellEnd"/>
      <w:r w:rsidR="00243581" w:rsidRPr="007A4D4E">
        <w:rPr>
          <w:color w:val="000000"/>
        </w:rPr>
        <w:t>,</w:t>
      </w:r>
      <w:r w:rsidR="00B62259" w:rsidRPr="007A4D4E">
        <w:t xml:space="preserve"> </w:t>
      </w:r>
      <w:proofErr w:type="spellStart"/>
      <w:r w:rsidRPr="007A4D4E">
        <w:t>Abdallah</w:t>
      </w:r>
      <w:proofErr w:type="spellEnd"/>
      <w:r w:rsidRPr="007A4D4E">
        <w:t xml:space="preserve"> </w:t>
      </w:r>
      <w:proofErr w:type="spellStart"/>
      <w:r w:rsidRPr="007A4D4E">
        <w:t>Hagag</w:t>
      </w:r>
      <w:proofErr w:type="spellEnd"/>
    </w:p>
    <w:p w:rsidR="0028759E" w:rsidRPr="007A4D4E" w:rsidRDefault="0028759E" w:rsidP="0028759E">
      <w:pPr>
        <w:snapToGrid w:val="0"/>
        <w:jc w:val="center"/>
        <w:rPr>
          <w:lang w:eastAsia="zh-CN"/>
        </w:rPr>
      </w:pPr>
    </w:p>
    <w:p w:rsidR="00B62259" w:rsidRPr="007A4D4E" w:rsidRDefault="00B62259" w:rsidP="0028759E">
      <w:pPr>
        <w:snapToGrid w:val="0"/>
        <w:jc w:val="center"/>
        <w:rPr>
          <w:lang w:bidi="ar-EG"/>
        </w:rPr>
      </w:pPr>
      <w:proofErr w:type="gramStart"/>
      <w:r w:rsidRPr="007A4D4E">
        <w:rPr>
          <w:lang w:bidi="ar-EG"/>
        </w:rPr>
        <w:t>Cardiology Department, Faculty of Medicine, Al-</w:t>
      </w:r>
      <w:proofErr w:type="spellStart"/>
      <w:r w:rsidRPr="007A4D4E">
        <w:rPr>
          <w:lang w:bidi="ar-EG"/>
        </w:rPr>
        <w:t>Azhar</w:t>
      </w:r>
      <w:proofErr w:type="spellEnd"/>
      <w:r w:rsidRPr="007A4D4E">
        <w:rPr>
          <w:lang w:bidi="ar-EG"/>
        </w:rPr>
        <w:t xml:space="preserve"> University, Egypt.</w:t>
      </w:r>
      <w:proofErr w:type="gramEnd"/>
    </w:p>
    <w:p w:rsidR="00F01E7D" w:rsidRPr="007A4D4E" w:rsidRDefault="000A755A" w:rsidP="0028759E">
      <w:pPr>
        <w:snapToGrid w:val="0"/>
        <w:jc w:val="center"/>
      </w:pPr>
      <w:hyperlink r:id="rId7" w:history="1">
        <w:r w:rsidR="00F072B0" w:rsidRPr="007A4D4E">
          <w:rPr>
            <w:color w:val="000000"/>
            <w:u w:val="single"/>
          </w:rPr>
          <w:t>abdohagav90@gmail.com</w:t>
        </w:r>
      </w:hyperlink>
    </w:p>
    <w:p w:rsidR="00F01E7D" w:rsidRPr="007A4D4E" w:rsidRDefault="00F01E7D" w:rsidP="0028759E">
      <w:pPr>
        <w:snapToGrid w:val="0"/>
        <w:jc w:val="center"/>
      </w:pPr>
    </w:p>
    <w:p w:rsidR="00F01E7D" w:rsidRPr="007A4D4E" w:rsidRDefault="000E2CA8" w:rsidP="0028759E">
      <w:pPr>
        <w:snapToGrid w:val="0"/>
        <w:jc w:val="both"/>
      </w:pPr>
      <w:r w:rsidRPr="007A4D4E">
        <w:rPr>
          <w:b/>
        </w:rPr>
        <w:t>Abstract</w:t>
      </w:r>
      <w:r w:rsidRPr="007A4D4E">
        <w:t>:</w:t>
      </w:r>
      <w:r w:rsidR="00B62259" w:rsidRPr="007A4D4E">
        <w:t xml:space="preserve"> </w:t>
      </w:r>
      <w:r w:rsidRPr="007A4D4E">
        <w:rPr>
          <w:b/>
        </w:rPr>
        <w:t xml:space="preserve">Background: </w:t>
      </w:r>
      <w:r w:rsidRPr="007A4D4E">
        <w:t>In our country, there are many studies on cirrhosis, its associated conditions and their effect on cardiac function, but a few studies on evaluation of cardiac function in patients with liver cirrhosis by speckle tracking echocardiography have been done in our country, even outside.</w:t>
      </w:r>
      <w:r w:rsidR="00B62259" w:rsidRPr="007A4D4E">
        <w:t xml:space="preserve"> </w:t>
      </w:r>
      <w:r w:rsidRPr="007A4D4E">
        <w:t>Cirrhosis is associated with certain abnormalities in left ventricular (LV) structure and function.</w:t>
      </w:r>
      <w:r w:rsidR="00B62259" w:rsidRPr="007A4D4E">
        <w:t xml:space="preserve"> </w:t>
      </w:r>
      <w:r w:rsidRPr="007A4D4E">
        <w:t>Two-dimensional speckle-tracking echocardiography (2D-STE) enables a rapid and accurate analysis of regional LV systolic mechanics in the longitudinal directions.</w:t>
      </w:r>
      <w:r w:rsidR="007A4D4E" w:rsidRPr="007A4D4E">
        <w:rPr>
          <w:rFonts w:hint="eastAsia"/>
          <w:lang w:eastAsia="zh-CN"/>
        </w:rPr>
        <w:t xml:space="preserve"> </w:t>
      </w:r>
      <w:r w:rsidRPr="007A4D4E">
        <w:rPr>
          <w:b/>
        </w:rPr>
        <w:t>Objective</w:t>
      </w:r>
      <w:r w:rsidR="00B62259" w:rsidRPr="007A4D4E">
        <w:t>:</w:t>
      </w:r>
      <w:r w:rsidRPr="007A4D4E">
        <w:t xml:space="preserve"> To investigate the systolic function of the left ventricle using 2</w:t>
      </w:r>
      <w:r w:rsidR="007A4D4E" w:rsidRPr="007A4D4E">
        <w:rPr>
          <w:rFonts w:hint="eastAsia"/>
          <w:lang w:eastAsia="zh-CN"/>
        </w:rPr>
        <w:t xml:space="preserve"> </w:t>
      </w:r>
      <w:proofErr w:type="spellStart"/>
      <w:r w:rsidRPr="007A4D4E">
        <w:t>Dimentional</w:t>
      </w:r>
      <w:proofErr w:type="spellEnd"/>
      <w:r w:rsidR="00B62259" w:rsidRPr="007A4D4E">
        <w:t xml:space="preserve"> </w:t>
      </w:r>
      <w:r w:rsidRPr="007A4D4E">
        <w:rPr>
          <w:color w:val="292425"/>
        </w:rPr>
        <w:t>Speckle-tracking echocardiography</w:t>
      </w:r>
      <w:r w:rsidR="00243581" w:rsidRPr="007A4D4E">
        <w:rPr>
          <w:color w:val="292425"/>
        </w:rPr>
        <w:t xml:space="preserve"> </w:t>
      </w:r>
      <w:r w:rsidRPr="007A4D4E">
        <w:rPr>
          <w:color w:val="000000"/>
        </w:rPr>
        <w:t>in stable, non-alcoholic liver cirrhosis patients with preserved LV ejection fraction.</w:t>
      </w:r>
      <w:r w:rsidR="007A4D4E" w:rsidRPr="007A4D4E">
        <w:rPr>
          <w:rFonts w:hint="eastAsia"/>
          <w:color w:val="000000"/>
          <w:lang w:eastAsia="zh-CN"/>
        </w:rPr>
        <w:t xml:space="preserve"> </w:t>
      </w:r>
      <w:r w:rsidRPr="007A4D4E">
        <w:rPr>
          <w:b/>
        </w:rPr>
        <w:t xml:space="preserve">Material and methods: </w:t>
      </w:r>
      <w:r w:rsidRPr="007A4D4E">
        <w:t xml:space="preserve">A prospective study done in Echocardiography Unit, Cardiology department, El-Hussein University Hospital over a period of one year that included a total of 60 subjects, including 40 cirrhotic patients and 20 healthy individuals, were enrolled. Using 2D-STE, the strain on longitudinal (L) functions of the LV </w:t>
      </w:r>
      <w:proofErr w:type="gramStart"/>
      <w:r w:rsidRPr="007A4D4E">
        <w:t>were</w:t>
      </w:r>
      <w:proofErr w:type="gramEnd"/>
      <w:r w:rsidRPr="007A4D4E">
        <w:t xml:space="preserve"> measured, during the study period from (1/10/2015 to 1/10/2016). All the patients were examined in the left lateral </w:t>
      </w:r>
      <w:proofErr w:type="spellStart"/>
      <w:r w:rsidRPr="007A4D4E">
        <w:t>decubitus</w:t>
      </w:r>
      <w:proofErr w:type="spellEnd"/>
      <w:r w:rsidRPr="007A4D4E">
        <w:t xml:space="preserve"> position. Standard 2D TTE examination were performed with a "Philips iE33 X Matrix "ultrasound machine</w:t>
      </w:r>
      <w:r w:rsidR="00B62259" w:rsidRPr="007A4D4E">
        <w:t xml:space="preserve"> </w:t>
      </w:r>
      <w:r w:rsidRPr="007A4D4E">
        <w:t>using "S5-1 "&amp; "X5-1 "matrix array transducers (Philips Medical Systems, Andover, USA) equipped with STE technology, using a multi frequency (1 - 5 MHz).</w:t>
      </w:r>
      <w:r w:rsidR="007A4D4E" w:rsidRPr="007A4D4E">
        <w:rPr>
          <w:rFonts w:hint="eastAsia"/>
          <w:lang w:eastAsia="zh-CN"/>
        </w:rPr>
        <w:t xml:space="preserve"> </w:t>
      </w:r>
      <w:r w:rsidRPr="007A4D4E">
        <w:rPr>
          <w:b/>
        </w:rPr>
        <w:t>Results</w:t>
      </w:r>
      <w:r w:rsidRPr="007A4D4E">
        <w:t xml:space="preserve">: In the cirrhotic group, the LS </w:t>
      </w:r>
      <w:r w:rsidR="00B62259" w:rsidRPr="007A4D4E">
        <w:t>(19.98</w:t>
      </w:r>
      <w:r w:rsidRPr="007A4D4E">
        <w:t xml:space="preserve"> ± 7.65</w:t>
      </w:r>
      <w:r w:rsidR="00243581" w:rsidRPr="007A4D4E">
        <w:t xml:space="preserve"> </w:t>
      </w:r>
      <w:r w:rsidRPr="007A4D4E">
        <w:t>vs. 29.50 ± 5.92, p&lt;0.001)</w:t>
      </w:r>
      <w:r w:rsidR="00B62259" w:rsidRPr="007A4D4E">
        <w:t xml:space="preserve"> </w:t>
      </w:r>
      <w:r w:rsidRPr="007A4D4E">
        <w:t>were found to be lower than in the healthy control group.</w:t>
      </w:r>
      <w:r w:rsidR="007A4D4E" w:rsidRPr="007A4D4E">
        <w:rPr>
          <w:rFonts w:hint="eastAsia"/>
          <w:lang w:eastAsia="zh-CN"/>
        </w:rPr>
        <w:t xml:space="preserve"> </w:t>
      </w:r>
      <w:r w:rsidRPr="007A4D4E">
        <w:rPr>
          <w:b/>
        </w:rPr>
        <w:t xml:space="preserve">Conclusion: </w:t>
      </w:r>
      <w:r w:rsidRPr="007A4D4E">
        <w:t>LV myocardial contraction was impaired in the longitudinal direction. Using the 2D-STE method for the regional evaluation of the LV, the LV damage can be detected in the subclinical phase in cirrhotic patients.</w:t>
      </w:r>
    </w:p>
    <w:p w:rsidR="0028759E" w:rsidRPr="007A4D4E" w:rsidRDefault="00C45ECF" w:rsidP="0028759E">
      <w:pPr>
        <w:snapToGrid w:val="0"/>
        <w:jc w:val="both"/>
      </w:pPr>
      <w:proofErr w:type="gramStart"/>
      <w:r w:rsidRPr="007A4D4E">
        <w:rPr>
          <w:color w:val="221F1F"/>
        </w:rPr>
        <w:t>[</w:t>
      </w:r>
      <w:proofErr w:type="spellStart"/>
      <w:r w:rsidRPr="007A4D4E">
        <w:rPr>
          <w:color w:val="221F1F"/>
        </w:rPr>
        <w:t>Safwat</w:t>
      </w:r>
      <w:proofErr w:type="spellEnd"/>
      <w:r w:rsidRPr="007A4D4E">
        <w:rPr>
          <w:color w:val="221F1F"/>
        </w:rPr>
        <w:t xml:space="preserve"> Al </w:t>
      </w:r>
      <w:proofErr w:type="spellStart"/>
      <w:r w:rsidRPr="007A4D4E">
        <w:rPr>
          <w:color w:val="221F1F"/>
        </w:rPr>
        <w:t>hwary</w:t>
      </w:r>
      <w:proofErr w:type="spellEnd"/>
      <w:r w:rsidRPr="007A4D4E">
        <w:rPr>
          <w:color w:val="000000"/>
        </w:rPr>
        <w:t xml:space="preserve">, </w:t>
      </w:r>
      <w:proofErr w:type="spellStart"/>
      <w:r w:rsidRPr="007A4D4E">
        <w:rPr>
          <w:color w:val="221F1F"/>
        </w:rPr>
        <w:t>Yaser</w:t>
      </w:r>
      <w:proofErr w:type="spellEnd"/>
      <w:r w:rsidRPr="007A4D4E">
        <w:rPr>
          <w:color w:val="221F1F"/>
        </w:rPr>
        <w:t xml:space="preserve"> El </w:t>
      </w:r>
      <w:proofErr w:type="spellStart"/>
      <w:r w:rsidRPr="007A4D4E">
        <w:rPr>
          <w:color w:val="221F1F"/>
        </w:rPr>
        <w:t>sayed</w:t>
      </w:r>
      <w:proofErr w:type="spellEnd"/>
      <w:r w:rsidRPr="007A4D4E">
        <w:rPr>
          <w:color w:val="000000"/>
        </w:rPr>
        <w:t xml:space="preserve">, </w:t>
      </w:r>
      <w:proofErr w:type="spellStart"/>
      <w:r w:rsidRPr="007A4D4E">
        <w:rPr>
          <w:color w:val="000000"/>
        </w:rPr>
        <w:t>Mostafa</w:t>
      </w:r>
      <w:proofErr w:type="spellEnd"/>
      <w:r w:rsidRPr="007A4D4E">
        <w:rPr>
          <w:color w:val="000000"/>
        </w:rPr>
        <w:t xml:space="preserve"> Ismail, </w:t>
      </w:r>
      <w:r w:rsidRPr="007A4D4E">
        <w:rPr>
          <w:color w:val="221F1F"/>
        </w:rPr>
        <w:t xml:space="preserve">Mohammed </w:t>
      </w:r>
      <w:proofErr w:type="spellStart"/>
      <w:r w:rsidRPr="007A4D4E">
        <w:rPr>
          <w:color w:val="221F1F"/>
        </w:rPr>
        <w:t>Allam</w:t>
      </w:r>
      <w:proofErr w:type="spellEnd"/>
      <w:r w:rsidR="00243581" w:rsidRPr="007A4D4E">
        <w:rPr>
          <w:color w:val="000000"/>
        </w:rPr>
        <w:t>,</w:t>
      </w:r>
      <w:r w:rsidRPr="007A4D4E">
        <w:t xml:space="preserve"> </w:t>
      </w:r>
      <w:proofErr w:type="spellStart"/>
      <w:r w:rsidRPr="007A4D4E">
        <w:t>Abdallah</w:t>
      </w:r>
      <w:proofErr w:type="spellEnd"/>
      <w:r w:rsidRPr="007A4D4E">
        <w:t xml:space="preserve"> </w:t>
      </w:r>
      <w:proofErr w:type="spellStart"/>
      <w:r w:rsidRPr="007A4D4E">
        <w:t>Hagag</w:t>
      </w:r>
      <w:proofErr w:type="spellEnd"/>
      <w:r w:rsidR="007A4D4E" w:rsidRPr="007A4D4E">
        <w:rPr>
          <w:rFonts w:hint="eastAsia"/>
          <w:lang w:eastAsia="zh-CN"/>
        </w:rPr>
        <w:t>.</w:t>
      </w:r>
      <w:proofErr w:type="gramEnd"/>
      <w:r w:rsidRPr="007A4D4E">
        <w:rPr>
          <w:b/>
        </w:rPr>
        <w:t xml:space="preserve"> </w:t>
      </w:r>
      <w:proofErr w:type="gramStart"/>
      <w:r w:rsidRPr="007A4D4E">
        <w:rPr>
          <w:b/>
        </w:rPr>
        <w:t>Evaluation of Cardiac Function in Patients with Liver Cirrhosis by Conventional and 2-Dimensional Speckle Tracking Echocardiography</w:t>
      </w:r>
      <w:r w:rsidR="0028759E" w:rsidRPr="007A4D4E">
        <w:rPr>
          <w:rFonts w:eastAsia="Times New Roman"/>
          <w:b/>
          <w:bCs/>
          <w:lang w:bidi="fa-IR"/>
        </w:rPr>
        <w:t>.</w:t>
      </w:r>
      <w:proofErr w:type="gramEnd"/>
      <w:r w:rsidR="0028759E" w:rsidRPr="007A4D4E">
        <w:rPr>
          <w:bCs/>
          <w:i/>
        </w:rPr>
        <w:t xml:space="preserve"> N Y </w:t>
      </w:r>
      <w:proofErr w:type="spellStart"/>
      <w:r w:rsidR="0028759E" w:rsidRPr="007A4D4E">
        <w:rPr>
          <w:bCs/>
          <w:i/>
        </w:rPr>
        <w:t>Sci</w:t>
      </w:r>
      <w:proofErr w:type="spellEnd"/>
      <w:r w:rsidR="0028759E" w:rsidRPr="007A4D4E">
        <w:rPr>
          <w:bCs/>
          <w:i/>
        </w:rPr>
        <w:t xml:space="preserve"> J</w:t>
      </w:r>
      <w:r w:rsidR="0028759E" w:rsidRPr="007A4D4E">
        <w:rPr>
          <w:bCs/>
        </w:rPr>
        <w:t xml:space="preserve"> </w:t>
      </w:r>
      <w:r w:rsidR="0028759E" w:rsidRPr="007A4D4E">
        <w:t>201</w:t>
      </w:r>
      <w:r w:rsidR="0028759E" w:rsidRPr="007A4D4E">
        <w:rPr>
          <w:rFonts w:hint="eastAsia"/>
        </w:rPr>
        <w:t>6</w:t>
      </w:r>
      <w:proofErr w:type="gramStart"/>
      <w:r w:rsidR="0028759E" w:rsidRPr="007A4D4E">
        <w:t>;</w:t>
      </w:r>
      <w:r w:rsidR="0028759E" w:rsidRPr="007A4D4E">
        <w:rPr>
          <w:rFonts w:hint="eastAsia"/>
        </w:rPr>
        <w:t>9</w:t>
      </w:r>
      <w:proofErr w:type="gramEnd"/>
      <w:r w:rsidR="0028759E" w:rsidRPr="007A4D4E">
        <w:t>(</w:t>
      </w:r>
      <w:r w:rsidR="0028759E" w:rsidRPr="007A4D4E">
        <w:rPr>
          <w:rFonts w:hint="eastAsia"/>
        </w:rPr>
        <w:t>12</w:t>
      </w:r>
      <w:r w:rsidR="0028759E" w:rsidRPr="007A4D4E">
        <w:t>):</w:t>
      </w:r>
      <w:r w:rsidR="00AB2238" w:rsidRPr="007A4D4E">
        <w:rPr>
          <w:noProof/>
          <w:color w:val="000000"/>
        </w:rPr>
        <w:t>13</w:t>
      </w:r>
      <w:r w:rsidR="0028759E" w:rsidRPr="007A4D4E">
        <w:rPr>
          <w:color w:val="000000"/>
        </w:rPr>
        <w:t>-</w:t>
      </w:r>
      <w:r w:rsidR="00AB2238" w:rsidRPr="007A4D4E">
        <w:rPr>
          <w:noProof/>
          <w:color w:val="000000"/>
        </w:rPr>
        <w:t>16</w:t>
      </w:r>
      <w:r w:rsidR="0028759E" w:rsidRPr="007A4D4E">
        <w:t xml:space="preserve">]. </w:t>
      </w:r>
      <w:proofErr w:type="gramStart"/>
      <w:r w:rsidR="0028759E" w:rsidRPr="007A4D4E">
        <w:rPr>
          <w:iCs/>
          <w:color w:val="000000"/>
        </w:rPr>
        <w:t>ISSN 1554-0200 (print); ISSN 2375-723X (online)</w:t>
      </w:r>
      <w:r w:rsidR="0028759E" w:rsidRPr="007A4D4E">
        <w:t>.</w:t>
      </w:r>
      <w:proofErr w:type="gramEnd"/>
      <w:r w:rsidR="0028759E" w:rsidRPr="007A4D4E">
        <w:t xml:space="preserve"> </w:t>
      </w:r>
      <w:hyperlink r:id="rId8" w:history="1">
        <w:r w:rsidR="0028759E" w:rsidRPr="007A4D4E">
          <w:rPr>
            <w:rStyle w:val="Hyperlink"/>
            <w:color w:val="0000FF"/>
          </w:rPr>
          <w:t>http://www.sciencepub.net/newyork</w:t>
        </w:r>
      </w:hyperlink>
      <w:r w:rsidR="0028759E" w:rsidRPr="007A4D4E">
        <w:t xml:space="preserve">. </w:t>
      </w:r>
      <w:r w:rsidR="0028759E" w:rsidRPr="007A4D4E">
        <w:rPr>
          <w:rFonts w:hint="eastAsia"/>
          <w:lang w:eastAsia="zh-CN"/>
        </w:rPr>
        <w:t>3</w:t>
      </w:r>
      <w:r w:rsidR="0028759E" w:rsidRPr="007A4D4E">
        <w:rPr>
          <w:rFonts w:hint="eastAsia"/>
        </w:rPr>
        <w:t xml:space="preserve">. </w:t>
      </w:r>
      <w:proofErr w:type="gramStart"/>
      <w:r w:rsidR="0028759E" w:rsidRPr="007A4D4E">
        <w:rPr>
          <w:color w:val="000000"/>
          <w:shd w:val="clear" w:color="auto" w:fill="FFFFFF"/>
        </w:rPr>
        <w:t>doi</w:t>
      </w:r>
      <w:proofErr w:type="gramEnd"/>
      <w:r w:rsidR="0028759E" w:rsidRPr="007A4D4E">
        <w:rPr>
          <w:color w:val="000000"/>
          <w:shd w:val="clear" w:color="auto" w:fill="FFFFFF"/>
        </w:rPr>
        <w:t>:</w:t>
      </w:r>
      <w:hyperlink r:id="rId9" w:history="1">
        <w:r w:rsidR="0028759E" w:rsidRPr="007A4D4E">
          <w:rPr>
            <w:rStyle w:val="Hyperlink"/>
            <w:color w:val="0000FF"/>
            <w:shd w:val="clear" w:color="auto" w:fill="FFFFFF"/>
          </w:rPr>
          <w:t>10.7537/mars</w:t>
        </w:r>
        <w:r w:rsidR="0028759E" w:rsidRPr="007A4D4E">
          <w:rPr>
            <w:rStyle w:val="Hyperlink"/>
            <w:rFonts w:hint="eastAsia"/>
            <w:color w:val="0000FF"/>
            <w:shd w:val="clear" w:color="auto" w:fill="FFFFFF"/>
          </w:rPr>
          <w:t>nys0912</w:t>
        </w:r>
        <w:r w:rsidR="0028759E" w:rsidRPr="007A4D4E">
          <w:rPr>
            <w:rStyle w:val="Hyperlink"/>
            <w:color w:val="0000FF"/>
            <w:shd w:val="clear" w:color="auto" w:fill="FFFFFF"/>
          </w:rPr>
          <w:t>1</w:t>
        </w:r>
        <w:r w:rsidR="0028759E" w:rsidRPr="007A4D4E">
          <w:rPr>
            <w:rStyle w:val="Hyperlink"/>
            <w:rFonts w:hint="eastAsia"/>
            <w:color w:val="0000FF"/>
            <w:shd w:val="clear" w:color="auto" w:fill="FFFFFF"/>
          </w:rPr>
          <w:t>6.</w:t>
        </w:r>
        <w:r w:rsidR="0028759E" w:rsidRPr="007A4D4E">
          <w:rPr>
            <w:rStyle w:val="Hyperlink"/>
            <w:color w:val="0000FF"/>
            <w:shd w:val="clear" w:color="auto" w:fill="FFFFFF"/>
          </w:rPr>
          <w:t>0</w:t>
        </w:r>
        <w:r w:rsidR="0028759E" w:rsidRPr="007A4D4E">
          <w:rPr>
            <w:rStyle w:val="Hyperlink"/>
            <w:rFonts w:hint="eastAsia"/>
            <w:color w:val="0000FF"/>
            <w:shd w:val="clear" w:color="auto" w:fill="FFFFFF"/>
            <w:lang w:eastAsia="zh-CN"/>
          </w:rPr>
          <w:t>3</w:t>
        </w:r>
      </w:hyperlink>
      <w:r w:rsidR="0028759E" w:rsidRPr="007A4D4E">
        <w:rPr>
          <w:color w:val="000000"/>
          <w:shd w:val="clear" w:color="auto" w:fill="FFFFFF"/>
        </w:rPr>
        <w:t>.</w:t>
      </w:r>
    </w:p>
    <w:p w:rsidR="00B62259" w:rsidRPr="007A4D4E" w:rsidRDefault="00B62259" w:rsidP="0028759E">
      <w:pPr>
        <w:tabs>
          <w:tab w:val="right" w:pos="90"/>
        </w:tabs>
        <w:snapToGrid w:val="0"/>
        <w:jc w:val="both"/>
      </w:pPr>
    </w:p>
    <w:p w:rsidR="00F01E7D" w:rsidRPr="007A4D4E" w:rsidRDefault="000E2CA8" w:rsidP="0028759E">
      <w:pPr>
        <w:snapToGrid w:val="0"/>
        <w:jc w:val="both"/>
      </w:pPr>
      <w:r w:rsidRPr="007A4D4E">
        <w:rPr>
          <w:b/>
        </w:rPr>
        <w:t xml:space="preserve">Keywords: </w:t>
      </w:r>
      <w:r w:rsidRPr="007A4D4E">
        <w:t xml:space="preserve">Liver cirrhosis - Cirrhotic </w:t>
      </w:r>
      <w:proofErr w:type="spellStart"/>
      <w:r w:rsidRPr="007A4D4E">
        <w:t>cardiomyopathy</w:t>
      </w:r>
      <w:proofErr w:type="spellEnd"/>
      <w:r w:rsidRPr="007A4D4E">
        <w:t xml:space="preserve"> - Ventricular function - Speckle tracking</w:t>
      </w:r>
      <w:r w:rsidR="00F93198" w:rsidRPr="007A4D4E">
        <w:t>, echocardiography</w:t>
      </w:r>
    </w:p>
    <w:p w:rsidR="0028759E" w:rsidRPr="007A4D4E" w:rsidRDefault="0028759E" w:rsidP="0028759E">
      <w:pPr>
        <w:snapToGrid w:val="0"/>
        <w:jc w:val="both"/>
        <w:rPr>
          <w:b/>
        </w:rPr>
      </w:pPr>
    </w:p>
    <w:p w:rsidR="0028759E" w:rsidRPr="007A4D4E" w:rsidRDefault="0028759E" w:rsidP="0028759E">
      <w:pPr>
        <w:snapToGrid w:val="0"/>
        <w:jc w:val="both"/>
        <w:rPr>
          <w:b/>
        </w:rPr>
        <w:sectPr w:rsidR="0028759E" w:rsidRPr="007A4D4E" w:rsidSect="00AB2238">
          <w:headerReference w:type="default" r:id="rId10"/>
          <w:footerReference w:type="default" r:id="rId11"/>
          <w:type w:val="continuous"/>
          <w:pgSz w:w="12242" w:h="15842" w:code="1"/>
          <w:pgMar w:top="1440" w:right="1440" w:bottom="1440" w:left="1440" w:header="720" w:footer="720" w:gutter="0"/>
          <w:pgNumType w:start="13"/>
          <w:cols w:space="720"/>
          <w:docGrid w:linePitch="272"/>
        </w:sectPr>
      </w:pPr>
    </w:p>
    <w:p w:rsidR="00F01E7D" w:rsidRPr="007A4D4E" w:rsidRDefault="00B62259" w:rsidP="0028759E">
      <w:pPr>
        <w:snapToGrid w:val="0"/>
        <w:jc w:val="both"/>
      </w:pPr>
      <w:r w:rsidRPr="007A4D4E">
        <w:rPr>
          <w:b/>
        </w:rPr>
        <w:lastRenderedPageBreak/>
        <w:t xml:space="preserve">1. </w:t>
      </w:r>
      <w:r w:rsidR="000E2CA8" w:rsidRPr="007A4D4E">
        <w:rPr>
          <w:b/>
        </w:rPr>
        <w:t>Introduction:</w:t>
      </w:r>
    </w:p>
    <w:p w:rsidR="00F01E7D" w:rsidRPr="007A4D4E" w:rsidRDefault="000E2CA8" w:rsidP="0028759E">
      <w:pPr>
        <w:snapToGrid w:val="0"/>
        <w:ind w:firstLine="425"/>
        <w:jc w:val="both"/>
        <w:rPr>
          <w:b/>
        </w:rPr>
      </w:pPr>
      <w:r w:rsidRPr="007A4D4E">
        <w:rPr>
          <w:b/>
        </w:rPr>
        <w:t>C</w:t>
      </w:r>
      <w:r w:rsidRPr="007A4D4E">
        <w:t xml:space="preserve">irrhosis is known to be associated with structural and functional cardiovascular abnormalities that are termed as cirrhotic </w:t>
      </w:r>
      <w:proofErr w:type="spellStart"/>
      <w:r w:rsidRPr="007A4D4E">
        <w:t>cardiomyopathy</w:t>
      </w:r>
      <w:proofErr w:type="spellEnd"/>
      <w:r w:rsidRPr="007A4D4E">
        <w:t xml:space="preserve"> (CCM). </w:t>
      </w:r>
      <w:proofErr w:type="gramStart"/>
      <w:r w:rsidRPr="007A4D4E">
        <w:rPr>
          <w:b/>
        </w:rPr>
        <w:t>(</w:t>
      </w:r>
      <w:proofErr w:type="spellStart"/>
      <w:r w:rsidRPr="007A4D4E">
        <w:rPr>
          <w:b/>
        </w:rPr>
        <w:t>Yildiz</w:t>
      </w:r>
      <w:proofErr w:type="spellEnd"/>
      <w:r w:rsidRPr="007A4D4E">
        <w:rPr>
          <w:b/>
        </w:rPr>
        <w:t xml:space="preserve"> et al.,</w:t>
      </w:r>
      <w:r w:rsidR="00C45ECF" w:rsidRPr="007A4D4E">
        <w:rPr>
          <w:b/>
        </w:rPr>
        <w:t xml:space="preserve"> </w:t>
      </w:r>
      <w:r w:rsidRPr="007A4D4E">
        <w:rPr>
          <w:b/>
        </w:rPr>
        <w:t>2005)</w:t>
      </w:r>
      <w:r w:rsidRPr="007A4D4E">
        <w:t>.</w:t>
      </w:r>
      <w:proofErr w:type="gramEnd"/>
      <w:r w:rsidRPr="007A4D4E">
        <w:t xml:space="preserve"> Further investigations into the cardiovascular complications of cirrhosis have revealed the clinical aspects of CCM</w:t>
      </w:r>
      <w:r w:rsidRPr="007A4D4E">
        <w:rPr>
          <w:b/>
        </w:rPr>
        <w:t>.</w:t>
      </w:r>
      <w:r w:rsidR="00F93198" w:rsidRPr="007A4D4E">
        <w:rPr>
          <w:b/>
        </w:rPr>
        <w:t xml:space="preserve"> </w:t>
      </w:r>
      <w:proofErr w:type="gramStart"/>
      <w:r w:rsidR="007A4D4E" w:rsidRPr="007A4D4E">
        <w:rPr>
          <w:b/>
        </w:rPr>
        <w:t>(</w:t>
      </w:r>
      <w:proofErr w:type="spellStart"/>
      <w:r w:rsidRPr="007A4D4E">
        <w:rPr>
          <w:b/>
        </w:rPr>
        <w:t>Rabie</w:t>
      </w:r>
      <w:proofErr w:type="spellEnd"/>
      <w:r w:rsidR="00243581" w:rsidRPr="007A4D4E">
        <w:rPr>
          <w:b/>
        </w:rPr>
        <w:t xml:space="preserve"> </w:t>
      </w:r>
      <w:r w:rsidRPr="007A4D4E">
        <w:rPr>
          <w:b/>
        </w:rPr>
        <w:t>et al., 2009</w:t>
      </w:r>
      <w:r w:rsidRPr="007A4D4E">
        <w:t>).</w:t>
      </w:r>
      <w:proofErr w:type="gramEnd"/>
      <w:r w:rsidRPr="007A4D4E">
        <w:t xml:space="preserve"> This is a condition comprising a constellation of cardiac abnormalities, which include hypertrophy of the myocardium, leading to a stiff ventricle and hence to diastolic dysfunction, and normal systolic function at rest, with systolic incompetence under conditions of pharmacological or physical stress</w:t>
      </w:r>
      <w:r w:rsidRPr="007A4D4E">
        <w:rPr>
          <w:b/>
        </w:rPr>
        <w:t>.</w:t>
      </w:r>
      <w:r w:rsidR="00C45ECF" w:rsidRPr="007A4D4E">
        <w:rPr>
          <w:b/>
        </w:rPr>
        <w:t xml:space="preserve"> </w:t>
      </w:r>
      <w:proofErr w:type="gramStart"/>
      <w:r w:rsidRPr="007A4D4E">
        <w:rPr>
          <w:b/>
        </w:rPr>
        <w:t>(Lee et al</w:t>
      </w:r>
      <w:r w:rsidR="00243581" w:rsidRPr="007A4D4E">
        <w:rPr>
          <w:b/>
        </w:rPr>
        <w:t>.</w:t>
      </w:r>
      <w:r w:rsidRPr="007A4D4E">
        <w:rPr>
          <w:b/>
        </w:rPr>
        <w:t>, 2007)</w:t>
      </w:r>
      <w:r w:rsidR="00243581" w:rsidRPr="007A4D4E">
        <w:t>.</w:t>
      </w:r>
      <w:proofErr w:type="gramEnd"/>
      <w:r w:rsidR="00243581" w:rsidRPr="007A4D4E">
        <w:t xml:space="preserve"> T</w:t>
      </w:r>
      <w:r w:rsidRPr="007A4D4E">
        <w:t xml:space="preserve">he </w:t>
      </w:r>
      <w:proofErr w:type="spellStart"/>
      <w:r w:rsidRPr="007A4D4E">
        <w:t>pathogenetic</w:t>
      </w:r>
      <w:proofErr w:type="spellEnd"/>
      <w:r w:rsidRPr="007A4D4E">
        <w:t xml:space="preserve"> mechanisms that underlie this syndrome include the impairment of beta-adrenergic receptor </w:t>
      </w:r>
      <w:proofErr w:type="spellStart"/>
      <w:r w:rsidRPr="007A4D4E">
        <w:t>signalling</w:t>
      </w:r>
      <w:proofErr w:type="spellEnd"/>
      <w:r w:rsidRPr="007A4D4E">
        <w:t xml:space="preserve">, </w:t>
      </w:r>
      <w:proofErr w:type="spellStart"/>
      <w:r w:rsidRPr="007A4D4E">
        <w:t>cardiomyocyte</w:t>
      </w:r>
      <w:proofErr w:type="spellEnd"/>
      <w:r w:rsidRPr="007A4D4E">
        <w:t xml:space="preserve"> plasma membrane function, intracellular calcium kinetics, and </w:t>
      </w:r>
      <w:proofErr w:type="spellStart"/>
      <w:r w:rsidRPr="007A4D4E">
        <w:t>humoral</w:t>
      </w:r>
      <w:proofErr w:type="spellEnd"/>
      <w:r w:rsidRPr="007A4D4E">
        <w:t xml:space="preserve"> factors such as endogenous </w:t>
      </w:r>
      <w:proofErr w:type="spellStart"/>
      <w:r w:rsidRPr="007A4D4E">
        <w:t>cannabinoids</w:t>
      </w:r>
      <w:proofErr w:type="spellEnd"/>
      <w:r w:rsidRPr="007A4D4E">
        <w:t xml:space="preserve">, nitric oxide and carbon monoxide. The inflammatory changes in the myocardial structure and the fibrosis that occur in patients with cirrhosis have been demonstrated by studies using cardiac MRI. </w:t>
      </w:r>
      <w:proofErr w:type="gramStart"/>
      <w:r w:rsidRPr="007A4D4E">
        <w:rPr>
          <w:b/>
        </w:rPr>
        <w:t>(</w:t>
      </w:r>
      <w:proofErr w:type="spellStart"/>
      <w:r w:rsidRPr="007A4D4E">
        <w:rPr>
          <w:b/>
        </w:rPr>
        <w:t>Zardi</w:t>
      </w:r>
      <w:proofErr w:type="spellEnd"/>
      <w:r w:rsidR="00C45ECF" w:rsidRPr="007A4D4E">
        <w:rPr>
          <w:b/>
        </w:rPr>
        <w:t xml:space="preserve"> </w:t>
      </w:r>
      <w:r w:rsidRPr="007A4D4E">
        <w:rPr>
          <w:b/>
        </w:rPr>
        <w:t>et al., 2010),</w:t>
      </w:r>
      <w:r w:rsidR="00C45ECF" w:rsidRPr="007A4D4E">
        <w:rPr>
          <w:b/>
        </w:rPr>
        <w:t xml:space="preserve"> </w:t>
      </w:r>
      <w:r w:rsidRPr="007A4D4E">
        <w:rPr>
          <w:b/>
        </w:rPr>
        <w:t>(</w:t>
      </w:r>
      <w:proofErr w:type="spellStart"/>
      <w:r w:rsidRPr="007A4D4E">
        <w:rPr>
          <w:b/>
        </w:rPr>
        <w:t>Lossnitzer</w:t>
      </w:r>
      <w:proofErr w:type="spellEnd"/>
      <w:r w:rsidR="00C45ECF" w:rsidRPr="007A4D4E">
        <w:rPr>
          <w:b/>
        </w:rPr>
        <w:t xml:space="preserve"> </w:t>
      </w:r>
      <w:r w:rsidRPr="007A4D4E">
        <w:rPr>
          <w:b/>
        </w:rPr>
        <w:t>et al., 2010</w:t>
      </w:r>
      <w:r w:rsidRPr="007A4D4E">
        <w:t>)</w:t>
      </w:r>
      <w:r w:rsidRPr="007A4D4E">
        <w:rPr>
          <w:rFonts w:eastAsia="MS Mincho"/>
        </w:rPr>
        <w:t>.</w:t>
      </w:r>
      <w:proofErr w:type="gramEnd"/>
      <w:r w:rsidRPr="007A4D4E">
        <w:rPr>
          <w:rFonts w:eastAsia="MS Mincho"/>
        </w:rPr>
        <w:t xml:space="preserve"> </w:t>
      </w:r>
      <w:r w:rsidRPr="007A4D4E">
        <w:t xml:space="preserve">CCM-related heart failure is the third leading cause of death, following rejection </w:t>
      </w:r>
      <w:r w:rsidRPr="007A4D4E">
        <w:lastRenderedPageBreak/>
        <w:t>and infection after transplants</w:t>
      </w:r>
      <w:r w:rsidR="00F93198" w:rsidRPr="007A4D4E">
        <w:t xml:space="preserve"> </w:t>
      </w:r>
      <w:r w:rsidRPr="007A4D4E">
        <w:t>(</w:t>
      </w:r>
      <w:r w:rsidRPr="007A4D4E">
        <w:rPr>
          <w:b/>
        </w:rPr>
        <w:t>Myers</w:t>
      </w:r>
      <w:r w:rsidR="00C45ECF" w:rsidRPr="007A4D4E">
        <w:rPr>
          <w:b/>
        </w:rPr>
        <w:t xml:space="preserve"> </w:t>
      </w:r>
      <w:r w:rsidRPr="007A4D4E">
        <w:rPr>
          <w:b/>
        </w:rPr>
        <w:t>et al., 2000), (</w:t>
      </w:r>
      <w:proofErr w:type="spellStart"/>
      <w:r w:rsidRPr="007A4D4E">
        <w:rPr>
          <w:b/>
        </w:rPr>
        <w:t>Therapondos</w:t>
      </w:r>
      <w:proofErr w:type="spellEnd"/>
      <w:r w:rsidR="00C45ECF" w:rsidRPr="007A4D4E">
        <w:rPr>
          <w:b/>
        </w:rPr>
        <w:t xml:space="preserve"> </w:t>
      </w:r>
      <w:r w:rsidRPr="007A4D4E">
        <w:rPr>
          <w:b/>
        </w:rPr>
        <w:t>et al., 2004</w:t>
      </w:r>
      <w:r w:rsidRPr="007A4D4E">
        <w:t xml:space="preserve">). Therefore, it is important to evaluate the cardiovascular function in every patient with cirrhosis, especially if the patient is a candidate for any intervention that may affect </w:t>
      </w:r>
      <w:proofErr w:type="spellStart"/>
      <w:r w:rsidRPr="007A4D4E">
        <w:t>haemodynamics</w:t>
      </w:r>
      <w:proofErr w:type="spellEnd"/>
      <w:r w:rsidRPr="007A4D4E">
        <w:t>. The recently developed two-dimensional speckle</w:t>
      </w:r>
      <w:r w:rsidR="007A4D4E" w:rsidRPr="007A4D4E">
        <w:rPr>
          <w:rFonts w:hint="eastAsia"/>
          <w:lang w:eastAsia="zh-CN"/>
        </w:rPr>
        <w:t xml:space="preserve"> </w:t>
      </w:r>
      <w:r w:rsidRPr="007A4D4E">
        <w:t>tracking echocardiography (2D-STE) method has enabled a simple and angle-independent evaluation of the LV deformation in the longitudinal direction. Previous studies have indicated that 2D-STE is more sensitive than conventional echocardiography in detecting subclinical ventricular dysfunction in various clinical disorders</w:t>
      </w:r>
      <w:r w:rsidRPr="007A4D4E">
        <w:rPr>
          <w:b/>
        </w:rPr>
        <w:t>.</w:t>
      </w:r>
      <w:r w:rsidR="00C45ECF" w:rsidRPr="007A4D4E">
        <w:rPr>
          <w:b/>
        </w:rPr>
        <w:t xml:space="preserve"> (Leung</w:t>
      </w:r>
      <w:r w:rsidRPr="007A4D4E">
        <w:rPr>
          <w:b/>
        </w:rPr>
        <w:t xml:space="preserve"> </w:t>
      </w:r>
      <w:r w:rsidRPr="007A4D4E">
        <w:t xml:space="preserve">the presence and severity of cirrhosis and LV function has been investigated in various </w:t>
      </w:r>
      <w:proofErr w:type="spellStart"/>
      <w:r w:rsidRPr="007A4D4E">
        <w:t>echocardiographic</w:t>
      </w:r>
      <w:proofErr w:type="spellEnd"/>
      <w:r w:rsidRPr="007A4D4E">
        <w:t xml:space="preserve"> studies, no studies have investigated the regional function of the LV using 2D-STE in cirrhotic patients. The aim of the present study was to investigate the regional function of the LV myocardium using 2D-STE in stable, non-alcoholic liver cirrhosis patients with preserved LV ejection fraction.</w:t>
      </w:r>
    </w:p>
    <w:p w:rsidR="00F01E7D" w:rsidRPr="007A4D4E" w:rsidRDefault="00F01E7D" w:rsidP="0028759E">
      <w:pPr>
        <w:snapToGrid w:val="0"/>
        <w:jc w:val="both"/>
      </w:pPr>
    </w:p>
    <w:p w:rsidR="00F01E7D" w:rsidRPr="007A4D4E" w:rsidRDefault="00B62259" w:rsidP="0028759E">
      <w:pPr>
        <w:snapToGrid w:val="0"/>
        <w:jc w:val="both"/>
      </w:pPr>
      <w:r w:rsidRPr="007A4D4E">
        <w:rPr>
          <w:b/>
        </w:rPr>
        <w:t xml:space="preserve">2. </w:t>
      </w:r>
      <w:r w:rsidR="000E2CA8" w:rsidRPr="007A4D4E">
        <w:rPr>
          <w:b/>
        </w:rPr>
        <w:t>Material and methods:</w:t>
      </w:r>
    </w:p>
    <w:p w:rsidR="00F01E7D" w:rsidRPr="007A4D4E" w:rsidRDefault="000E2CA8" w:rsidP="0028759E">
      <w:pPr>
        <w:snapToGrid w:val="0"/>
        <w:ind w:firstLine="425"/>
        <w:jc w:val="both"/>
      </w:pPr>
      <w:proofErr w:type="spellStart"/>
      <w:r w:rsidRPr="007A4D4E">
        <w:lastRenderedPageBreak/>
        <w:t>Aprospective</w:t>
      </w:r>
      <w:proofErr w:type="spellEnd"/>
      <w:r w:rsidRPr="007A4D4E">
        <w:t xml:space="preserve"> study done over a period of one year that included a total of 60 subjects,</w:t>
      </w:r>
      <w:r w:rsidR="00C45ECF" w:rsidRPr="007A4D4E">
        <w:t xml:space="preserve"> </w:t>
      </w:r>
      <w:r w:rsidRPr="007A4D4E">
        <w:t xml:space="preserve">including 40 cirrhotic patients and 20 healthy individuals, were enrolled. Using 2D- STE, the strain on longitudinal (L) functions of the LV were measured, during the study period from (1/10/2015 to 1/10/2016). All the patients were examined in the left lateral </w:t>
      </w:r>
      <w:proofErr w:type="spellStart"/>
      <w:r w:rsidRPr="007A4D4E">
        <w:t>decubitus</w:t>
      </w:r>
      <w:proofErr w:type="spellEnd"/>
      <w:r w:rsidRPr="007A4D4E">
        <w:t xml:space="preserve"> position. Standard 2D TTE examination were performed with a "Philips iE33</w:t>
      </w:r>
      <w:r w:rsidR="00243581" w:rsidRPr="007A4D4E">
        <w:rPr>
          <w:rFonts w:hint="eastAsia"/>
          <w:lang w:eastAsia="zh-CN"/>
        </w:rPr>
        <w:t xml:space="preserve"> </w:t>
      </w:r>
      <w:r w:rsidRPr="007A4D4E">
        <w:t>X Matrix "ultrasound machine using "S5-1 "&amp; "X5-1 "matrix array transducers (Philips Medical Systems, Andover, USA) equipped with STE technology, using a multi frequency (1 - 5 MHz).</w:t>
      </w:r>
    </w:p>
    <w:p w:rsidR="00F01E7D" w:rsidRPr="007A4D4E" w:rsidRDefault="00F01E7D" w:rsidP="0028759E">
      <w:pPr>
        <w:snapToGrid w:val="0"/>
        <w:jc w:val="both"/>
      </w:pPr>
    </w:p>
    <w:p w:rsidR="00F01E7D" w:rsidRPr="007A4D4E" w:rsidRDefault="00C45ECF" w:rsidP="0028759E">
      <w:pPr>
        <w:snapToGrid w:val="0"/>
        <w:jc w:val="both"/>
      </w:pPr>
      <w:r w:rsidRPr="007A4D4E">
        <w:rPr>
          <w:b/>
        </w:rPr>
        <w:t xml:space="preserve">3. </w:t>
      </w:r>
      <w:r w:rsidR="000E2CA8" w:rsidRPr="007A4D4E">
        <w:rPr>
          <w:b/>
        </w:rPr>
        <w:t>Results:</w:t>
      </w:r>
    </w:p>
    <w:p w:rsidR="00F01E7D" w:rsidRPr="007A4D4E" w:rsidRDefault="000E2CA8" w:rsidP="0028759E">
      <w:pPr>
        <w:snapToGrid w:val="0"/>
        <w:ind w:firstLine="425"/>
        <w:jc w:val="both"/>
      </w:pPr>
      <w:r w:rsidRPr="007A4D4E">
        <w:t>The present study included 60 subjects, including 40 cirrhotic patients and 20 healthy individuals, were enrolled.65% of them are males &amp; 35% are females.</w:t>
      </w:r>
    </w:p>
    <w:p w:rsidR="00243581" w:rsidRPr="007A4D4E" w:rsidRDefault="00243581" w:rsidP="0028759E">
      <w:pPr>
        <w:snapToGrid w:val="0"/>
        <w:ind w:firstLine="425"/>
        <w:jc w:val="both"/>
        <w:rPr>
          <w:lang w:eastAsia="zh-CN"/>
        </w:rPr>
      </w:pPr>
    </w:p>
    <w:p w:rsidR="00846CCA" w:rsidRPr="007A4D4E" w:rsidRDefault="00846CCA" w:rsidP="00846CCA">
      <w:pPr>
        <w:snapToGrid w:val="0"/>
        <w:jc w:val="both"/>
      </w:pPr>
      <w:r w:rsidRPr="007A4D4E">
        <w:t>Table (1) Demographic and clinical data of the studied sample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62"/>
        <w:gridCol w:w="878"/>
        <w:gridCol w:w="1677"/>
        <w:gridCol w:w="624"/>
      </w:tblGrid>
      <w:tr w:rsidR="00846CCA" w:rsidRPr="007A4D4E" w:rsidTr="007A4D4E">
        <w:trPr>
          <w:trHeight w:val="283"/>
          <w:jc w:val="center"/>
        </w:trPr>
        <w:tc>
          <w:tcPr>
            <w:tcW w:w="1422" w:type="pct"/>
            <w:vMerge w:val="restart"/>
            <w:shd w:val="clear" w:color="auto" w:fill="4471C4"/>
            <w:vAlign w:val="center"/>
          </w:tcPr>
          <w:p w:rsidR="00846CCA" w:rsidRPr="007A4D4E" w:rsidRDefault="00846CCA" w:rsidP="00227161">
            <w:pPr>
              <w:snapToGrid w:val="0"/>
              <w:jc w:val="both"/>
              <w:rPr>
                <w:color w:val="000000"/>
              </w:rPr>
            </w:pPr>
            <w:r w:rsidRPr="007A4D4E">
              <w:rPr>
                <w:b/>
                <w:color w:val="000000"/>
              </w:rPr>
              <w:t>Parameter</w:t>
            </w:r>
          </w:p>
        </w:tc>
        <w:tc>
          <w:tcPr>
            <w:tcW w:w="988" w:type="pct"/>
            <w:shd w:val="clear" w:color="auto" w:fill="4471C4"/>
            <w:vAlign w:val="center"/>
          </w:tcPr>
          <w:p w:rsidR="00846CCA" w:rsidRPr="007A4D4E" w:rsidRDefault="00846CCA" w:rsidP="00EE58A1">
            <w:pPr>
              <w:snapToGrid w:val="0"/>
              <w:jc w:val="center"/>
              <w:rPr>
                <w:color w:val="000000"/>
              </w:rPr>
            </w:pPr>
            <w:proofErr w:type="spellStart"/>
            <w:r w:rsidRPr="007A4D4E">
              <w:rPr>
                <w:b/>
                <w:color w:val="000000"/>
              </w:rPr>
              <w:t>rs</w:t>
            </w:r>
            <w:proofErr w:type="spellEnd"/>
          </w:p>
        </w:tc>
        <w:tc>
          <w:tcPr>
            <w:tcW w:w="1888" w:type="pct"/>
            <w:shd w:val="clear" w:color="auto" w:fill="4471C4"/>
            <w:vAlign w:val="center"/>
          </w:tcPr>
          <w:p w:rsidR="00846CCA" w:rsidRPr="007A4D4E" w:rsidRDefault="00846CCA" w:rsidP="00EE58A1">
            <w:pPr>
              <w:snapToGrid w:val="0"/>
              <w:jc w:val="center"/>
              <w:rPr>
                <w:color w:val="000000"/>
              </w:rPr>
            </w:pPr>
            <w:r w:rsidRPr="007A4D4E">
              <w:rPr>
                <w:b/>
                <w:color w:val="000000"/>
              </w:rPr>
              <w:t>M ± SD</w:t>
            </w:r>
          </w:p>
        </w:tc>
        <w:tc>
          <w:tcPr>
            <w:tcW w:w="702" w:type="pct"/>
            <w:shd w:val="clear" w:color="auto" w:fill="4471C4"/>
            <w:vAlign w:val="center"/>
          </w:tcPr>
          <w:p w:rsidR="00846CCA" w:rsidRPr="007A4D4E" w:rsidRDefault="00846CCA" w:rsidP="00EE58A1">
            <w:pPr>
              <w:snapToGrid w:val="0"/>
              <w:jc w:val="center"/>
              <w:rPr>
                <w:color w:val="000000"/>
              </w:rPr>
            </w:pPr>
            <w:r w:rsidRPr="007A4D4E">
              <w:rPr>
                <w:b/>
                <w:color w:val="000000"/>
              </w:rPr>
              <w:t>p</w:t>
            </w:r>
          </w:p>
        </w:tc>
      </w:tr>
      <w:tr w:rsidR="00846CCA" w:rsidRPr="007A4D4E" w:rsidTr="007A4D4E">
        <w:trPr>
          <w:trHeight w:val="283"/>
          <w:jc w:val="center"/>
        </w:trPr>
        <w:tc>
          <w:tcPr>
            <w:tcW w:w="1422" w:type="pct"/>
            <w:vMerge/>
            <w:shd w:val="clear" w:color="auto" w:fill="4471C4"/>
            <w:vAlign w:val="center"/>
          </w:tcPr>
          <w:p w:rsidR="00846CCA" w:rsidRPr="007A4D4E" w:rsidRDefault="00846CCA" w:rsidP="00227161">
            <w:pPr>
              <w:snapToGrid w:val="0"/>
              <w:jc w:val="both"/>
              <w:rPr>
                <w:color w:val="000000"/>
              </w:rPr>
            </w:pPr>
          </w:p>
        </w:tc>
        <w:tc>
          <w:tcPr>
            <w:tcW w:w="988" w:type="pct"/>
            <w:shd w:val="clear" w:color="auto" w:fill="B4C5E7"/>
            <w:vAlign w:val="center"/>
          </w:tcPr>
          <w:p w:rsidR="00846CCA" w:rsidRPr="007A4D4E" w:rsidRDefault="00846CCA" w:rsidP="00227161">
            <w:pPr>
              <w:snapToGrid w:val="0"/>
              <w:jc w:val="both"/>
              <w:rPr>
                <w:color w:val="000000"/>
              </w:rPr>
            </w:pPr>
            <w:r w:rsidRPr="007A4D4E">
              <w:rPr>
                <w:color w:val="000000"/>
              </w:rPr>
              <w:t>Control</w:t>
            </w:r>
          </w:p>
        </w:tc>
        <w:tc>
          <w:tcPr>
            <w:tcW w:w="1888" w:type="pct"/>
            <w:shd w:val="clear" w:color="auto" w:fill="B4C5E7"/>
            <w:vAlign w:val="center"/>
          </w:tcPr>
          <w:p w:rsidR="00846CCA" w:rsidRPr="007A4D4E" w:rsidRDefault="00846CCA" w:rsidP="00227161">
            <w:pPr>
              <w:snapToGrid w:val="0"/>
              <w:jc w:val="both"/>
              <w:rPr>
                <w:color w:val="000000"/>
              </w:rPr>
            </w:pPr>
            <w:r w:rsidRPr="007A4D4E">
              <w:rPr>
                <w:color w:val="000000"/>
              </w:rPr>
              <w:t>43.25 ± 5.11</w:t>
            </w:r>
          </w:p>
        </w:tc>
        <w:tc>
          <w:tcPr>
            <w:tcW w:w="702" w:type="pct"/>
            <w:shd w:val="clear" w:color="auto" w:fill="B4C5E7"/>
            <w:vAlign w:val="center"/>
          </w:tcPr>
          <w:p w:rsidR="00846CCA" w:rsidRPr="007A4D4E" w:rsidRDefault="00846CCA" w:rsidP="00227161">
            <w:pPr>
              <w:snapToGrid w:val="0"/>
              <w:jc w:val="both"/>
              <w:rPr>
                <w:color w:val="000000"/>
              </w:rPr>
            </w:pPr>
            <w:r w:rsidRPr="007A4D4E">
              <w:rPr>
                <w:color w:val="000000"/>
              </w:rPr>
              <w:t>0.054</w:t>
            </w:r>
          </w:p>
        </w:tc>
      </w:tr>
      <w:tr w:rsidR="00846CCA" w:rsidRPr="007A4D4E" w:rsidTr="007A4D4E">
        <w:trPr>
          <w:trHeight w:val="283"/>
          <w:jc w:val="center"/>
        </w:trPr>
        <w:tc>
          <w:tcPr>
            <w:tcW w:w="1422" w:type="pct"/>
            <w:shd w:val="clear" w:color="auto" w:fill="4471C4"/>
            <w:vAlign w:val="center"/>
          </w:tcPr>
          <w:p w:rsidR="00846CCA" w:rsidRPr="007A4D4E" w:rsidRDefault="00846CCA" w:rsidP="00227161">
            <w:pPr>
              <w:snapToGrid w:val="0"/>
              <w:jc w:val="both"/>
              <w:rPr>
                <w:color w:val="000000"/>
              </w:rPr>
            </w:pPr>
            <w:r w:rsidRPr="007A4D4E">
              <w:rPr>
                <w:b/>
                <w:color w:val="000000"/>
              </w:rPr>
              <w:t>Age</w:t>
            </w:r>
          </w:p>
        </w:tc>
        <w:tc>
          <w:tcPr>
            <w:tcW w:w="988" w:type="pct"/>
            <w:shd w:val="clear" w:color="auto" w:fill="D9E1F3"/>
            <w:vAlign w:val="center"/>
          </w:tcPr>
          <w:p w:rsidR="00846CCA" w:rsidRPr="007A4D4E" w:rsidRDefault="00846CCA" w:rsidP="00227161">
            <w:pPr>
              <w:snapToGrid w:val="0"/>
              <w:jc w:val="both"/>
              <w:rPr>
                <w:color w:val="000000"/>
              </w:rPr>
            </w:pPr>
            <w:r w:rsidRPr="007A4D4E">
              <w:rPr>
                <w:color w:val="000000"/>
              </w:rPr>
              <w:t>Patients</w:t>
            </w:r>
          </w:p>
        </w:tc>
        <w:tc>
          <w:tcPr>
            <w:tcW w:w="1888" w:type="pct"/>
            <w:shd w:val="clear" w:color="auto" w:fill="D9E1F3"/>
            <w:vAlign w:val="center"/>
          </w:tcPr>
          <w:p w:rsidR="00846CCA" w:rsidRPr="007A4D4E" w:rsidRDefault="00846CCA" w:rsidP="00227161">
            <w:pPr>
              <w:snapToGrid w:val="0"/>
              <w:jc w:val="both"/>
              <w:rPr>
                <w:color w:val="000000"/>
              </w:rPr>
            </w:pPr>
            <w:r w:rsidRPr="007A4D4E">
              <w:rPr>
                <w:color w:val="000000"/>
              </w:rPr>
              <w:t>46.45 ± 6.29</w:t>
            </w:r>
          </w:p>
        </w:tc>
        <w:tc>
          <w:tcPr>
            <w:tcW w:w="702" w:type="pct"/>
            <w:shd w:val="clear" w:color="auto" w:fill="B4C5E7"/>
            <w:vAlign w:val="center"/>
          </w:tcPr>
          <w:p w:rsidR="00846CCA" w:rsidRPr="007A4D4E" w:rsidRDefault="00846CCA" w:rsidP="00227161">
            <w:pPr>
              <w:snapToGrid w:val="0"/>
              <w:jc w:val="both"/>
              <w:rPr>
                <w:color w:val="000000"/>
              </w:rPr>
            </w:pPr>
          </w:p>
        </w:tc>
      </w:tr>
      <w:tr w:rsidR="00846CCA" w:rsidRPr="007A4D4E" w:rsidTr="007A4D4E">
        <w:trPr>
          <w:trHeight w:val="283"/>
          <w:jc w:val="center"/>
        </w:trPr>
        <w:tc>
          <w:tcPr>
            <w:tcW w:w="1422" w:type="pct"/>
            <w:shd w:val="clear" w:color="auto" w:fill="4471C4"/>
            <w:vAlign w:val="center"/>
          </w:tcPr>
          <w:p w:rsidR="00846CCA" w:rsidRPr="007A4D4E" w:rsidRDefault="00846CCA" w:rsidP="00227161">
            <w:pPr>
              <w:snapToGrid w:val="0"/>
              <w:jc w:val="both"/>
              <w:rPr>
                <w:color w:val="000000"/>
              </w:rPr>
            </w:pPr>
          </w:p>
        </w:tc>
        <w:tc>
          <w:tcPr>
            <w:tcW w:w="988" w:type="pct"/>
            <w:shd w:val="clear" w:color="auto" w:fill="B4C5E7"/>
            <w:vAlign w:val="center"/>
          </w:tcPr>
          <w:p w:rsidR="00846CCA" w:rsidRPr="007A4D4E" w:rsidRDefault="00846CCA" w:rsidP="00227161">
            <w:pPr>
              <w:snapToGrid w:val="0"/>
              <w:jc w:val="both"/>
              <w:rPr>
                <w:color w:val="000000"/>
              </w:rPr>
            </w:pPr>
            <w:r w:rsidRPr="007A4D4E">
              <w:rPr>
                <w:color w:val="000000"/>
              </w:rPr>
              <w:t>Control</w:t>
            </w:r>
          </w:p>
        </w:tc>
        <w:tc>
          <w:tcPr>
            <w:tcW w:w="1888" w:type="pct"/>
            <w:shd w:val="clear" w:color="auto" w:fill="B4C5E7"/>
            <w:vAlign w:val="center"/>
          </w:tcPr>
          <w:p w:rsidR="00846CCA" w:rsidRPr="007A4D4E" w:rsidRDefault="00846CCA" w:rsidP="00227161">
            <w:pPr>
              <w:snapToGrid w:val="0"/>
              <w:jc w:val="both"/>
              <w:rPr>
                <w:color w:val="000000"/>
              </w:rPr>
            </w:pPr>
            <w:r w:rsidRPr="007A4D4E">
              <w:rPr>
                <w:color w:val="000000"/>
              </w:rPr>
              <w:t>142.00 ± 39.82</w:t>
            </w:r>
          </w:p>
        </w:tc>
        <w:tc>
          <w:tcPr>
            <w:tcW w:w="702" w:type="pct"/>
            <w:shd w:val="clear" w:color="auto" w:fill="B4C5E7"/>
            <w:vAlign w:val="center"/>
          </w:tcPr>
          <w:p w:rsidR="00846CCA" w:rsidRPr="007A4D4E" w:rsidRDefault="00846CCA" w:rsidP="00227161">
            <w:pPr>
              <w:snapToGrid w:val="0"/>
              <w:jc w:val="both"/>
              <w:rPr>
                <w:color w:val="000000"/>
              </w:rPr>
            </w:pPr>
            <w:r w:rsidRPr="007A4D4E">
              <w:rPr>
                <w:color w:val="000000"/>
              </w:rPr>
              <w:t>0.102</w:t>
            </w:r>
          </w:p>
        </w:tc>
      </w:tr>
      <w:tr w:rsidR="00846CCA" w:rsidRPr="007A4D4E" w:rsidTr="007A4D4E">
        <w:trPr>
          <w:trHeight w:val="283"/>
          <w:jc w:val="center"/>
        </w:trPr>
        <w:tc>
          <w:tcPr>
            <w:tcW w:w="1422" w:type="pct"/>
            <w:shd w:val="clear" w:color="auto" w:fill="4471C4"/>
            <w:vAlign w:val="center"/>
          </w:tcPr>
          <w:p w:rsidR="00846CCA" w:rsidRPr="007A4D4E" w:rsidRDefault="00846CCA" w:rsidP="00227161">
            <w:pPr>
              <w:snapToGrid w:val="0"/>
              <w:jc w:val="both"/>
              <w:rPr>
                <w:color w:val="000000"/>
              </w:rPr>
            </w:pPr>
            <w:r w:rsidRPr="007A4D4E">
              <w:rPr>
                <w:b/>
                <w:color w:val="000000"/>
              </w:rPr>
              <w:t>SBP</w:t>
            </w:r>
          </w:p>
        </w:tc>
        <w:tc>
          <w:tcPr>
            <w:tcW w:w="988" w:type="pct"/>
            <w:shd w:val="clear" w:color="auto" w:fill="D9E1F3"/>
            <w:vAlign w:val="center"/>
          </w:tcPr>
          <w:p w:rsidR="00846CCA" w:rsidRPr="007A4D4E" w:rsidRDefault="00846CCA" w:rsidP="00227161">
            <w:pPr>
              <w:snapToGrid w:val="0"/>
              <w:jc w:val="both"/>
              <w:rPr>
                <w:color w:val="000000"/>
              </w:rPr>
            </w:pPr>
            <w:r w:rsidRPr="007A4D4E">
              <w:rPr>
                <w:color w:val="000000"/>
              </w:rPr>
              <w:t>Patients</w:t>
            </w:r>
          </w:p>
        </w:tc>
        <w:tc>
          <w:tcPr>
            <w:tcW w:w="1888" w:type="pct"/>
            <w:shd w:val="clear" w:color="auto" w:fill="D9E1F3"/>
            <w:vAlign w:val="center"/>
          </w:tcPr>
          <w:p w:rsidR="00846CCA" w:rsidRPr="007A4D4E" w:rsidRDefault="00846CCA" w:rsidP="00227161">
            <w:pPr>
              <w:snapToGrid w:val="0"/>
              <w:jc w:val="both"/>
              <w:rPr>
                <w:color w:val="000000"/>
              </w:rPr>
            </w:pPr>
            <w:r w:rsidRPr="007A4D4E">
              <w:rPr>
                <w:color w:val="000000"/>
              </w:rPr>
              <w:t>128.00 ± 25.24</w:t>
            </w:r>
          </w:p>
        </w:tc>
        <w:tc>
          <w:tcPr>
            <w:tcW w:w="702" w:type="pct"/>
            <w:shd w:val="clear" w:color="auto" w:fill="B4C5E7"/>
            <w:vAlign w:val="center"/>
          </w:tcPr>
          <w:p w:rsidR="00846CCA" w:rsidRPr="007A4D4E" w:rsidRDefault="00846CCA" w:rsidP="00227161">
            <w:pPr>
              <w:snapToGrid w:val="0"/>
              <w:jc w:val="both"/>
              <w:rPr>
                <w:color w:val="000000"/>
              </w:rPr>
            </w:pPr>
          </w:p>
        </w:tc>
      </w:tr>
      <w:tr w:rsidR="00846CCA" w:rsidRPr="007A4D4E" w:rsidTr="007A4D4E">
        <w:trPr>
          <w:trHeight w:val="283"/>
          <w:jc w:val="center"/>
        </w:trPr>
        <w:tc>
          <w:tcPr>
            <w:tcW w:w="1422" w:type="pct"/>
            <w:shd w:val="clear" w:color="auto" w:fill="4471C4"/>
            <w:vAlign w:val="center"/>
          </w:tcPr>
          <w:p w:rsidR="00846CCA" w:rsidRPr="007A4D4E" w:rsidRDefault="00846CCA" w:rsidP="00227161">
            <w:pPr>
              <w:snapToGrid w:val="0"/>
              <w:jc w:val="both"/>
              <w:rPr>
                <w:color w:val="000000"/>
              </w:rPr>
            </w:pPr>
          </w:p>
        </w:tc>
        <w:tc>
          <w:tcPr>
            <w:tcW w:w="988" w:type="pct"/>
            <w:shd w:val="clear" w:color="auto" w:fill="B4C5E7"/>
            <w:vAlign w:val="center"/>
          </w:tcPr>
          <w:p w:rsidR="00846CCA" w:rsidRPr="007A4D4E" w:rsidRDefault="00846CCA" w:rsidP="00227161">
            <w:pPr>
              <w:snapToGrid w:val="0"/>
              <w:jc w:val="both"/>
              <w:rPr>
                <w:color w:val="000000"/>
              </w:rPr>
            </w:pPr>
            <w:r w:rsidRPr="007A4D4E">
              <w:rPr>
                <w:color w:val="000000"/>
              </w:rPr>
              <w:t>Control</w:t>
            </w:r>
          </w:p>
        </w:tc>
        <w:tc>
          <w:tcPr>
            <w:tcW w:w="1888" w:type="pct"/>
            <w:shd w:val="clear" w:color="auto" w:fill="B4C5E7"/>
            <w:vAlign w:val="center"/>
          </w:tcPr>
          <w:p w:rsidR="00846CCA" w:rsidRPr="007A4D4E" w:rsidRDefault="00846CCA" w:rsidP="00227161">
            <w:pPr>
              <w:snapToGrid w:val="0"/>
              <w:jc w:val="both"/>
              <w:rPr>
                <w:color w:val="000000"/>
              </w:rPr>
            </w:pPr>
            <w:r w:rsidRPr="007A4D4E">
              <w:rPr>
                <w:color w:val="000000"/>
              </w:rPr>
              <w:t>81.75 ± 13.31</w:t>
            </w:r>
          </w:p>
        </w:tc>
        <w:tc>
          <w:tcPr>
            <w:tcW w:w="702" w:type="pct"/>
            <w:shd w:val="clear" w:color="auto" w:fill="B4C5E7"/>
            <w:vAlign w:val="center"/>
          </w:tcPr>
          <w:p w:rsidR="00846CCA" w:rsidRPr="007A4D4E" w:rsidRDefault="00846CCA" w:rsidP="00227161">
            <w:pPr>
              <w:snapToGrid w:val="0"/>
              <w:jc w:val="both"/>
              <w:rPr>
                <w:color w:val="000000"/>
              </w:rPr>
            </w:pPr>
            <w:r w:rsidRPr="007A4D4E">
              <w:rPr>
                <w:color w:val="000000"/>
              </w:rPr>
              <w:t>0.149</w:t>
            </w:r>
          </w:p>
        </w:tc>
      </w:tr>
      <w:tr w:rsidR="00846CCA" w:rsidRPr="007A4D4E" w:rsidTr="007A4D4E">
        <w:trPr>
          <w:trHeight w:val="283"/>
          <w:jc w:val="center"/>
        </w:trPr>
        <w:tc>
          <w:tcPr>
            <w:tcW w:w="1422" w:type="pct"/>
            <w:shd w:val="clear" w:color="auto" w:fill="4471C4"/>
            <w:vAlign w:val="center"/>
          </w:tcPr>
          <w:p w:rsidR="00846CCA" w:rsidRPr="007A4D4E" w:rsidRDefault="00846CCA" w:rsidP="00227161">
            <w:pPr>
              <w:snapToGrid w:val="0"/>
              <w:jc w:val="both"/>
              <w:rPr>
                <w:color w:val="000000"/>
              </w:rPr>
            </w:pPr>
            <w:r w:rsidRPr="007A4D4E">
              <w:rPr>
                <w:b/>
                <w:color w:val="000000"/>
              </w:rPr>
              <w:t>DBP</w:t>
            </w:r>
          </w:p>
        </w:tc>
        <w:tc>
          <w:tcPr>
            <w:tcW w:w="988" w:type="pct"/>
            <w:shd w:val="clear" w:color="auto" w:fill="D9E1F3"/>
            <w:vAlign w:val="center"/>
          </w:tcPr>
          <w:p w:rsidR="00846CCA" w:rsidRPr="007A4D4E" w:rsidRDefault="00846CCA" w:rsidP="00227161">
            <w:pPr>
              <w:snapToGrid w:val="0"/>
              <w:jc w:val="both"/>
              <w:rPr>
                <w:color w:val="000000"/>
              </w:rPr>
            </w:pPr>
            <w:r w:rsidRPr="007A4D4E">
              <w:rPr>
                <w:color w:val="000000"/>
              </w:rPr>
              <w:t>Patients</w:t>
            </w:r>
          </w:p>
        </w:tc>
        <w:tc>
          <w:tcPr>
            <w:tcW w:w="1888" w:type="pct"/>
            <w:shd w:val="clear" w:color="auto" w:fill="D9E1F3"/>
            <w:vAlign w:val="center"/>
          </w:tcPr>
          <w:p w:rsidR="00846CCA" w:rsidRPr="007A4D4E" w:rsidRDefault="00846CCA" w:rsidP="00227161">
            <w:pPr>
              <w:snapToGrid w:val="0"/>
              <w:jc w:val="both"/>
              <w:rPr>
                <w:color w:val="000000"/>
              </w:rPr>
            </w:pPr>
            <w:r w:rsidRPr="007A4D4E">
              <w:rPr>
                <w:color w:val="000000"/>
              </w:rPr>
              <w:t>76.88 ± 11.59</w:t>
            </w:r>
          </w:p>
        </w:tc>
        <w:tc>
          <w:tcPr>
            <w:tcW w:w="702" w:type="pct"/>
            <w:shd w:val="clear" w:color="auto" w:fill="B4C5E7"/>
            <w:vAlign w:val="center"/>
          </w:tcPr>
          <w:p w:rsidR="00846CCA" w:rsidRPr="007A4D4E" w:rsidRDefault="00846CCA" w:rsidP="00227161">
            <w:pPr>
              <w:snapToGrid w:val="0"/>
              <w:jc w:val="both"/>
              <w:rPr>
                <w:color w:val="000000"/>
              </w:rPr>
            </w:pPr>
          </w:p>
        </w:tc>
      </w:tr>
      <w:tr w:rsidR="00846CCA" w:rsidRPr="007A4D4E" w:rsidTr="007A4D4E">
        <w:trPr>
          <w:trHeight w:val="283"/>
          <w:jc w:val="center"/>
        </w:trPr>
        <w:tc>
          <w:tcPr>
            <w:tcW w:w="1422" w:type="pct"/>
            <w:shd w:val="clear" w:color="auto" w:fill="4471C4"/>
            <w:vAlign w:val="center"/>
          </w:tcPr>
          <w:p w:rsidR="00846CCA" w:rsidRPr="007A4D4E" w:rsidRDefault="00846CCA" w:rsidP="00227161">
            <w:pPr>
              <w:snapToGrid w:val="0"/>
              <w:jc w:val="both"/>
              <w:rPr>
                <w:color w:val="000000"/>
              </w:rPr>
            </w:pPr>
          </w:p>
        </w:tc>
        <w:tc>
          <w:tcPr>
            <w:tcW w:w="988" w:type="pct"/>
            <w:shd w:val="clear" w:color="auto" w:fill="B4C5E7"/>
            <w:vAlign w:val="center"/>
          </w:tcPr>
          <w:p w:rsidR="00846CCA" w:rsidRPr="007A4D4E" w:rsidRDefault="00846CCA" w:rsidP="00227161">
            <w:pPr>
              <w:snapToGrid w:val="0"/>
              <w:jc w:val="both"/>
              <w:rPr>
                <w:color w:val="000000"/>
              </w:rPr>
            </w:pPr>
            <w:r w:rsidRPr="007A4D4E">
              <w:rPr>
                <w:color w:val="000000"/>
              </w:rPr>
              <w:t>Control</w:t>
            </w:r>
          </w:p>
        </w:tc>
        <w:tc>
          <w:tcPr>
            <w:tcW w:w="1888" w:type="pct"/>
            <w:shd w:val="clear" w:color="auto" w:fill="B4C5E7"/>
            <w:vAlign w:val="center"/>
          </w:tcPr>
          <w:p w:rsidR="00846CCA" w:rsidRPr="007A4D4E" w:rsidRDefault="00846CCA" w:rsidP="00227161">
            <w:pPr>
              <w:snapToGrid w:val="0"/>
              <w:jc w:val="both"/>
              <w:rPr>
                <w:color w:val="000000"/>
              </w:rPr>
            </w:pPr>
            <w:r w:rsidRPr="007A4D4E">
              <w:rPr>
                <w:color w:val="000000"/>
              </w:rPr>
              <w:t>81.00 ± 4.68</w:t>
            </w:r>
          </w:p>
        </w:tc>
        <w:tc>
          <w:tcPr>
            <w:tcW w:w="702" w:type="pct"/>
            <w:shd w:val="clear" w:color="auto" w:fill="B4C5E7"/>
            <w:vAlign w:val="center"/>
          </w:tcPr>
          <w:p w:rsidR="00846CCA" w:rsidRPr="007A4D4E" w:rsidRDefault="00846CCA" w:rsidP="00227161">
            <w:pPr>
              <w:snapToGrid w:val="0"/>
              <w:jc w:val="both"/>
              <w:rPr>
                <w:color w:val="000000"/>
              </w:rPr>
            </w:pPr>
            <w:r w:rsidRPr="007A4D4E">
              <w:rPr>
                <w:color w:val="000000"/>
              </w:rPr>
              <w:t>0.297</w:t>
            </w:r>
          </w:p>
        </w:tc>
      </w:tr>
      <w:tr w:rsidR="00846CCA" w:rsidRPr="007A4D4E" w:rsidTr="007A4D4E">
        <w:trPr>
          <w:trHeight w:val="283"/>
          <w:jc w:val="center"/>
        </w:trPr>
        <w:tc>
          <w:tcPr>
            <w:tcW w:w="1422" w:type="pct"/>
            <w:shd w:val="clear" w:color="auto" w:fill="4471C4"/>
            <w:vAlign w:val="center"/>
          </w:tcPr>
          <w:p w:rsidR="00846CCA" w:rsidRPr="007A4D4E" w:rsidRDefault="00846CCA" w:rsidP="00227161">
            <w:pPr>
              <w:snapToGrid w:val="0"/>
              <w:jc w:val="both"/>
              <w:rPr>
                <w:color w:val="000000"/>
              </w:rPr>
            </w:pPr>
            <w:r w:rsidRPr="007A4D4E">
              <w:rPr>
                <w:b/>
                <w:color w:val="000000"/>
              </w:rPr>
              <w:t>Pulse</w:t>
            </w:r>
          </w:p>
        </w:tc>
        <w:tc>
          <w:tcPr>
            <w:tcW w:w="988" w:type="pct"/>
            <w:shd w:val="clear" w:color="auto" w:fill="D9E1F3"/>
            <w:vAlign w:val="center"/>
          </w:tcPr>
          <w:p w:rsidR="00846CCA" w:rsidRPr="007A4D4E" w:rsidRDefault="00846CCA" w:rsidP="00227161">
            <w:pPr>
              <w:snapToGrid w:val="0"/>
              <w:jc w:val="both"/>
              <w:rPr>
                <w:color w:val="000000"/>
              </w:rPr>
            </w:pPr>
            <w:r w:rsidRPr="007A4D4E">
              <w:rPr>
                <w:color w:val="000000"/>
              </w:rPr>
              <w:t>Patients</w:t>
            </w:r>
          </w:p>
        </w:tc>
        <w:tc>
          <w:tcPr>
            <w:tcW w:w="1888" w:type="pct"/>
            <w:shd w:val="clear" w:color="auto" w:fill="D9E1F3"/>
            <w:vAlign w:val="center"/>
          </w:tcPr>
          <w:p w:rsidR="00846CCA" w:rsidRPr="007A4D4E" w:rsidRDefault="00846CCA" w:rsidP="00227161">
            <w:pPr>
              <w:snapToGrid w:val="0"/>
              <w:jc w:val="both"/>
              <w:rPr>
                <w:color w:val="000000"/>
              </w:rPr>
            </w:pPr>
            <w:r w:rsidRPr="007A4D4E">
              <w:rPr>
                <w:color w:val="000000"/>
              </w:rPr>
              <w:t>79.35 ± 6.18</w:t>
            </w:r>
          </w:p>
        </w:tc>
        <w:tc>
          <w:tcPr>
            <w:tcW w:w="702" w:type="pct"/>
            <w:shd w:val="clear" w:color="auto" w:fill="B4C5E7"/>
            <w:vAlign w:val="center"/>
          </w:tcPr>
          <w:p w:rsidR="00846CCA" w:rsidRPr="007A4D4E" w:rsidRDefault="00846CCA" w:rsidP="00227161">
            <w:pPr>
              <w:snapToGrid w:val="0"/>
              <w:jc w:val="both"/>
              <w:rPr>
                <w:color w:val="000000"/>
              </w:rPr>
            </w:pPr>
          </w:p>
        </w:tc>
      </w:tr>
    </w:tbl>
    <w:p w:rsidR="00846CCA" w:rsidRPr="007A4D4E" w:rsidRDefault="00846CCA" w:rsidP="00846CCA">
      <w:pPr>
        <w:snapToGrid w:val="0"/>
        <w:jc w:val="center"/>
      </w:pPr>
    </w:p>
    <w:p w:rsidR="00F01E7D" w:rsidRPr="007A4D4E" w:rsidRDefault="007A4D4E" w:rsidP="00846CCA">
      <w:pPr>
        <w:snapToGrid w:val="0"/>
        <w:jc w:val="both"/>
        <w:rPr>
          <w:lang w:eastAsia="zh-CN"/>
        </w:rPr>
      </w:pPr>
      <w:r>
        <w:t>Table (</w:t>
      </w:r>
      <w:r w:rsidR="000E2CA8" w:rsidRPr="007A4D4E">
        <w:t>2) Laboratory parameters between control and patients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8"/>
        <w:gridCol w:w="853"/>
        <w:gridCol w:w="1847"/>
        <w:gridCol w:w="463"/>
      </w:tblGrid>
      <w:tr w:rsidR="00846CCA" w:rsidRPr="007A4D4E" w:rsidTr="007A4D4E">
        <w:trPr>
          <w:trHeight w:val="397"/>
          <w:jc w:val="center"/>
        </w:trPr>
        <w:tc>
          <w:tcPr>
            <w:tcW w:w="1440" w:type="pct"/>
            <w:vMerge w:val="restart"/>
            <w:shd w:val="clear" w:color="auto" w:fill="4471C4"/>
            <w:vAlign w:val="center"/>
          </w:tcPr>
          <w:p w:rsidR="00F01E7D" w:rsidRPr="007A4D4E" w:rsidRDefault="00B62259" w:rsidP="00846CCA">
            <w:pPr>
              <w:snapToGrid w:val="0"/>
              <w:jc w:val="both"/>
              <w:rPr>
                <w:color w:val="000000"/>
              </w:rPr>
            </w:pPr>
            <w:r w:rsidRPr="007A4D4E">
              <w:rPr>
                <w:b/>
                <w:color w:val="000000"/>
              </w:rPr>
              <w:t>Parameter</w:t>
            </w:r>
          </w:p>
          <w:p w:rsidR="00F01E7D" w:rsidRPr="007A4D4E" w:rsidRDefault="00F01E7D" w:rsidP="00846CCA">
            <w:pPr>
              <w:snapToGrid w:val="0"/>
              <w:jc w:val="both"/>
              <w:rPr>
                <w:color w:val="000000"/>
              </w:rPr>
            </w:pPr>
          </w:p>
          <w:p w:rsidR="00F01E7D" w:rsidRPr="007A4D4E" w:rsidRDefault="00F01E7D" w:rsidP="00846CCA">
            <w:pPr>
              <w:snapToGrid w:val="0"/>
              <w:jc w:val="both"/>
              <w:rPr>
                <w:color w:val="000000"/>
              </w:rPr>
            </w:pPr>
          </w:p>
          <w:p w:rsidR="00F01E7D" w:rsidRPr="007A4D4E" w:rsidRDefault="000E2CA8" w:rsidP="00846CCA">
            <w:pPr>
              <w:snapToGrid w:val="0"/>
              <w:jc w:val="both"/>
              <w:rPr>
                <w:color w:val="000000"/>
              </w:rPr>
            </w:pPr>
            <w:r w:rsidRPr="007A4D4E">
              <w:rPr>
                <w:b/>
                <w:color w:val="000000"/>
              </w:rPr>
              <w:t>Total protein Albumin SGPT SGOT</w:t>
            </w:r>
          </w:p>
          <w:p w:rsidR="00F01E7D" w:rsidRPr="007A4D4E" w:rsidRDefault="000E2CA8" w:rsidP="00846CCA">
            <w:pPr>
              <w:snapToGrid w:val="0"/>
              <w:jc w:val="both"/>
              <w:rPr>
                <w:color w:val="000000"/>
              </w:rPr>
            </w:pPr>
            <w:r w:rsidRPr="007A4D4E">
              <w:rPr>
                <w:b/>
                <w:color w:val="000000"/>
              </w:rPr>
              <w:t xml:space="preserve">Total </w:t>
            </w:r>
            <w:proofErr w:type="spellStart"/>
            <w:r w:rsidRPr="007A4D4E">
              <w:rPr>
                <w:b/>
                <w:color w:val="000000"/>
              </w:rPr>
              <w:t>bilirubin</w:t>
            </w:r>
            <w:proofErr w:type="spellEnd"/>
          </w:p>
        </w:tc>
        <w:tc>
          <w:tcPr>
            <w:tcW w:w="960" w:type="pct"/>
            <w:shd w:val="clear" w:color="auto" w:fill="4471C4"/>
            <w:vAlign w:val="center"/>
          </w:tcPr>
          <w:p w:rsidR="00F01E7D" w:rsidRPr="007A4D4E" w:rsidRDefault="000E2CA8" w:rsidP="00EE58A1">
            <w:pPr>
              <w:snapToGrid w:val="0"/>
              <w:jc w:val="center"/>
              <w:rPr>
                <w:color w:val="000000"/>
              </w:rPr>
            </w:pPr>
            <w:proofErr w:type="spellStart"/>
            <w:r w:rsidRPr="007A4D4E">
              <w:rPr>
                <w:b/>
                <w:color w:val="000000"/>
              </w:rPr>
              <w:t>rs</w:t>
            </w:r>
            <w:proofErr w:type="spellEnd"/>
          </w:p>
        </w:tc>
        <w:tc>
          <w:tcPr>
            <w:tcW w:w="2079" w:type="pct"/>
            <w:shd w:val="clear" w:color="auto" w:fill="4471C4"/>
            <w:vAlign w:val="center"/>
          </w:tcPr>
          <w:p w:rsidR="00F01E7D" w:rsidRPr="007A4D4E" w:rsidRDefault="000E2CA8" w:rsidP="00EE58A1">
            <w:pPr>
              <w:snapToGrid w:val="0"/>
              <w:jc w:val="center"/>
              <w:rPr>
                <w:color w:val="000000"/>
              </w:rPr>
            </w:pPr>
            <w:r w:rsidRPr="007A4D4E">
              <w:rPr>
                <w:b/>
                <w:color w:val="000000"/>
              </w:rPr>
              <w:t>M ± SD</w:t>
            </w:r>
          </w:p>
        </w:tc>
        <w:tc>
          <w:tcPr>
            <w:tcW w:w="521" w:type="pct"/>
            <w:shd w:val="clear" w:color="auto" w:fill="4471C4"/>
            <w:vAlign w:val="center"/>
          </w:tcPr>
          <w:p w:rsidR="00F01E7D" w:rsidRPr="007A4D4E" w:rsidRDefault="000E2CA8" w:rsidP="00EE58A1">
            <w:pPr>
              <w:snapToGrid w:val="0"/>
              <w:jc w:val="center"/>
              <w:rPr>
                <w:color w:val="000000"/>
              </w:rPr>
            </w:pPr>
            <w:r w:rsidRPr="007A4D4E">
              <w:rPr>
                <w:b/>
                <w:color w:val="000000"/>
              </w:rPr>
              <w:t>P</w:t>
            </w:r>
          </w:p>
        </w:tc>
      </w:tr>
      <w:tr w:rsidR="00846CCA" w:rsidRPr="007A4D4E" w:rsidTr="007A4D4E">
        <w:trPr>
          <w:trHeight w:val="397"/>
          <w:jc w:val="center"/>
        </w:trPr>
        <w:tc>
          <w:tcPr>
            <w:tcW w:w="1440" w:type="pct"/>
            <w:vMerge/>
            <w:shd w:val="clear" w:color="auto" w:fill="4471C4"/>
            <w:vAlign w:val="center"/>
          </w:tcPr>
          <w:p w:rsidR="00F01E7D" w:rsidRPr="007A4D4E" w:rsidRDefault="00F01E7D" w:rsidP="00846CCA">
            <w:pPr>
              <w:snapToGrid w:val="0"/>
              <w:jc w:val="both"/>
              <w:rPr>
                <w:color w:val="000000"/>
              </w:rPr>
            </w:pPr>
          </w:p>
        </w:tc>
        <w:tc>
          <w:tcPr>
            <w:tcW w:w="960" w:type="pct"/>
            <w:vAlign w:val="center"/>
          </w:tcPr>
          <w:p w:rsidR="00846CCA" w:rsidRPr="007A4D4E" w:rsidRDefault="000E2CA8" w:rsidP="00846CCA">
            <w:pPr>
              <w:snapToGrid w:val="0"/>
              <w:jc w:val="both"/>
              <w:rPr>
                <w:color w:val="000000"/>
                <w:lang w:eastAsia="zh-CN"/>
              </w:rPr>
            </w:pPr>
            <w:r w:rsidRPr="007A4D4E">
              <w:rPr>
                <w:color w:val="000000"/>
              </w:rPr>
              <w:t>Control</w:t>
            </w:r>
          </w:p>
          <w:p w:rsidR="00F01E7D" w:rsidRPr="007A4D4E" w:rsidRDefault="000E2CA8" w:rsidP="00846CCA">
            <w:pPr>
              <w:snapToGrid w:val="0"/>
              <w:jc w:val="both"/>
              <w:rPr>
                <w:color w:val="000000"/>
              </w:rPr>
            </w:pPr>
            <w:r w:rsidRPr="007A4D4E">
              <w:rPr>
                <w:color w:val="000000"/>
              </w:rPr>
              <w:t>Patients</w:t>
            </w:r>
          </w:p>
        </w:tc>
        <w:tc>
          <w:tcPr>
            <w:tcW w:w="2079" w:type="pct"/>
            <w:vAlign w:val="center"/>
          </w:tcPr>
          <w:p w:rsidR="00EE58A1" w:rsidRPr="007A4D4E" w:rsidRDefault="000E2CA8" w:rsidP="00846CCA">
            <w:pPr>
              <w:snapToGrid w:val="0"/>
              <w:jc w:val="both"/>
              <w:rPr>
                <w:color w:val="000000"/>
                <w:lang w:eastAsia="zh-CN"/>
              </w:rPr>
            </w:pPr>
            <w:r w:rsidRPr="007A4D4E">
              <w:rPr>
                <w:color w:val="000000"/>
              </w:rPr>
              <w:t>8.24 ± 1.01</w:t>
            </w:r>
          </w:p>
          <w:p w:rsidR="00F01E7D" w:rsidRPr="007A4D4E" w:rsidRDefault="000E2CA8" w:rsidP="00846CCA">
            <w:pPr>
              <w:snapToGrid w:val="0"/>
              <w:jc w:val="both"/>
              <w:rPr>
                <w:color w:val="000000"/>
              </w:rPr>
            </w:pPr>
            <w:r w:rsidRPr="007A4D4E">
              <w:rPr>
                <w:color w:val="000000"/>
              </w:rPr>
              <w:t>6.37 ± 1.58</w:t>
            </w:r>
          </w:p>
        </w:tc>
        <w:tc>
          <w:tcPr>
            <w:tcW w:w="521" w:type="pct"/>
            <w:shd w:val="clear" w:color="auto" w:fill="B4C5E7"/>
            <w:vAlign w:val="center"/>
          </w:tcPr>
          <w:p w:rsidR="00F01E7D" w:rsidRPr="007A4D4E" w:rsidRDefault="000E2CA8" w:rsidP="00846CCA">
            <w:pPr>
              <w:snapToGrid w:val="0"/>
              <w:jc w:val="both"/>
              <w:rPr>
                <w:color w:val="000000"/>
              </w:rPr>
            </w:pPr>
            <w:r w:rsidRPr="007A4D4E">
              <w:rPr>
                <w:b/>
                <w:color w:val="000000"/>
              </w:rPr>
              <w:t>&lt; 0.001</w:t>
            </w:r>
          </w:p>
        </w:tc>
      </w:tr>
      <w:tr w:rsidR="00846CCA" w:rsidRPr="007A4D4E" w:rsidTr="007A4D4E">
        <w:trPr>
          <w:trHeight w:val="397"/>
          <w:jc w:val="center"/>
        </w:trPr>
        <w:tc>
          <w:tcPr>
            <w:tcW w:w="1440" w:type="pct"/>
            <w:vMerge/>
            <w:shd w:val="clear" w:color="auto" w:fill="4471C4"/>
            <w:vAlign w:val="center"/>
          </w:tcPr>
          <w:p w:rsidR="00F01E7D" w:rsidRPr="007A4D4E" w:rsidRDefault="00F01E7D" w:rsidP="00846CCA">
            <w:pPr>
              <w:snapToGrid w:val="0"/>
              <w:jc w:val="both"/>
              <w:rPr>
                <w:color w:val="000000"/>
              </w:rPr>
            </w:pPr>
          </w:p>
        </w:tc>
        <w:tc>
          <w:tcPr>
            <w:tcW w:w="960" w:type="pct"/>
            <w:vAlign w:val="center"/>
          </w:tcPr>
          <w:p w:rsidR="00846CCA" w:rsidRPr="007A4D4E" w:rsidRDefault="000E2CA8" w:rsidP="00846CCA">
            <w:pPr>
              <w:snapToGrid w:val="0"/>
              <w:jc w:val="both"/>
              <w:rPr>
                <w:color w:val="000000"/>
                <w:lang w:eastAsia="zh-CN"/>
              </w:rPr>
            </w:pPr>
            <w:r w:rsidRPr="007A4D4E">
              <w:rPr>
                <w:color w:val="000000"/>
              </w:rPr>
              <w:t>Control</w:t>
            </w:r>
          </w:p>
          <w:p w:rsidR="00F01E7D" w:rsidRPr="007A4D4E" w:rsidRDefault="000E2CA8" w:rsidP="00846CCA">
            <w:pPr>
              <w:snapToGrid w:val="0"/>
              <w:jc w:val="both"/>
              <w:rPr>
                <w:color w:val="000000"/>
              </w:rPr>
            </w:pPr>
            <w:r w:rsidRPr="007A4D4E">
              <w:rPr>
                <w:color w:val="000000"/>
              </w:rPr>
              <w:t>Patients</w:t>
            </w:r>
          </w:p>
        </w:tc>
        <w:tc>
          <w:tcPr>
            <w:tcW w:w="2079" w:type="pct"/>
            <w:vAlign w:val="center"/>
          </w:tcPr>
          <w:p w:rsidR="00EE58A1" w:rsidRPr="007A4D4E" w:rsidRDefault="000E2CA8" w:rsidP="00846CCA">
            <w:pPr>
              <w:snapToGrid w:val="0"/>
              <w:jc w:val="both"/>
              <w:rPr>
                <w:color w:val="000000"/>
                <w:lang w:eastAsia="zh-CN"/>
              </w:rPr>
            </w:pPr>
            <w:r w:rsidRPr="007A4D4E">
              <w:rPr>
                <w:color w:val="000000"/>
              </w:rPr>
              <w:t>3.92 ± 0.10</w:t>
            </w:r>
          </w:p>
          <w:p w:rsidR="00F01E7D" w:rsidRPr="007A4D4E" w:rsidRDefault="000E2CA8" w:rsidP="00846CCA">
            <w:pPr>
              <w:snapToGrid w:val="0"/>
              <w:jc w:val="both"/>
              <w:rPr>
                <w:color w:val="000000"/>
              </w:rPr>
            </w:pPr>
            <w:r w:rsidRPr="007A4D4E">
              <w:rPr>
                <w:color w:val="000000"/>
              </w:rPr>
              <w:t>3.37 ± 0.65</w:t>
            </w:r>
          </w:p>
        </w:tc>
        <w:tc>
          <w:tcPr>
            <w:tcW w:w="521" w:type="pct"/>
            <w:shd w:val="clear" w:color="auto" w:fill="B4C5E7"/>
            <w:vAlign w:val="center"/>
          </w:tcPr>
          <w:p w:rsidR="00F01E7D" w:rsidRPr="007A4D4E" w:rsidRDefault="000E2CA8" w:rsidP="00846CCA">
            <w:pPr>
              <w:snapToGrid w:val="0"/>
              <w:jc w:val="both"/>
              <w:rPr>
                <w:color w:val="000000"/>
              </w:rPr>
            </w:pPr>
            <w:r w:rsidRPr="007A4D4E">
              <w:rPr>
                <w:b/>
                <w:color w:val="000000"/>
              </w:rPr>
              <w:t>&lt; 0.001</w:t>
            </w:r>
          </w:p>
        </w:tc>
      </w:tr>
      <w:tr w:rsidR="00846CCA" w:rsidRPr="007A4D4E" w:rsidTr="007A4D4E">
        <w:trPr>
          <w:trHeight w:val="397"/>
          <w:jc w:val="center"/>
        </w:trPr>
        <w:tc>
          <w:tcPr>
            <w:tcW w:w="1440" w:type="pct"/>
            <w:vMerge/>
            <w:shd w:val="clear" w:color="auto" w:fill="4471C4"/>
            <w:vAlign w:val="center"/>
          </w:tcPr>
          <w:p w:rsidR="00F01E7D" w:rsidRPr="007A4D4E" w:rsidRDefault="00F01E7D" w:rsidP="00846CCA">
            <w:pPr>
              <w:snapToGrid w:val="0"/>
              <w:jc w:val="both"/>
              <w:rPr>
                <w:color w:val="000000"/>
              </w:rPr>
            </w:pPr>
          </w:p>
        </w:tc>
        <w:tc>
          <w:tcPr>
            <w:tcW w:w="960" w:type="pct"/>
            <w:vAlign w:val="center"/>
          </w:tcPr>
          <w:p w:rsidR="00846CCA" w:rsidRPr="007A4D4E" w:rsidRDefault="000E2CA8" w:rsidP="00846CCA">
            <w:pPr>
              <w:snapToGrid w:val="0"/>
              <w:jc w:val="both"/>
              <w:rPr>
                <w:color w:val="000000"/>
                <w:lang w:eastAsia="zh-CN"/>
              </w:rPr>
            </w:pPr>
            <w:r w:rsidRPr="007A4D4E">
              <w:rPr>
                <w:color w:val="000000"/>
              </w:rPr>
              <w:t>Control</w:t>
            </w:r>
          </w:p>
          <w:p w:rsidR="00F01E7D" w:rsidRPr="007A4D4E" w:rsidRDefault="000E2CA8" w:rsidP="00846CCA">
            <w:pPr>
              <w:snapToGrid w:val="0"/>
              <w:jc w:val="both"/>
              <w:rPr>
                <w:color w:val="000000"/>
              </w:rPr>
            </w:pPr>
            <w:r w:rsidRPr="007A4D4E">
              <w:rPr>
                <w:color w:val="000000"/>
              </w:rPr>
              <w:t>Patients</w:t>
            </w:r>
          </w:p>
        </w:tc>
        <w:tc>
          <w:tcPr>
            <w:tcW w:w="2079" w:type="pct"/>
            <w:vAlign w:val="center"/>
          </w:tcPr>
          <w:p w:rsidR="00EE58A1" w:rsidRPr="007A4D4E" w:rsidRDefault="000E2CA8" w:rsidP="00846CCA">
            <w:pPr>
              <w:snapToGrid w:val="0"/>
              <w:jc w:val="both"/>
              <w:rPr>
                <w:color w:val="000000"/>
                <w:lang w:eastAsia="zh-CN"/>
              </w:rPr>
            </w:pPr>
            <w:r w:rsidRPr="007A4D4E">
              <w:rPr>
                <w:color w:val="000000"/>
              </w:rPr>
              <w:t>11.00 ± 1.17</w:t>
            </w:r>
          </w:p>
          <w:p w:rsidR="00F01E7D" w:rsidRPr="007A4D4E" w:rsidRDefault="000E2CA8" w:rsidP="00846CCA">
            <w:pPr>
              <w:snapToGrid w:val="0"/>
              <w:jc w:val="both"/>
              <w:rPr>
                <w:color w:val="000000"/>
              </w:rPr>
            </w:pPr>
            <w:r w:rsidRPr="007A4D4E">
              <w:rPr>
                <w:color w:val="000000"/>
              </w:rPr>
              <w:t>16.33 ± 5.18</w:t>
            </w:r>
          </w:p>
        </w:tc>
        <w:tc>
          <w:tcPr>
            <w:tcW w:w="521" w:type="pct"/>
            <w:shd w:val="clear" w:color="auto" w:fill="B4C5E7"/>
            <w:vAlign w:val="center"/>
          </w:tcPr>
          <w:p w:rsidR="00F01E7D" w:rsidRPr="007A4D4E" w:rsidRDefault="000E2CA8" w:rsidP="00846CCA">
            <w:pPr>
              <w:snapToGrid w:val="0"/>
              <w:jc w:val="both"/>
              <w:rPr>
                <w:color w:val="000000"/>
              </w:rPr>
            </w:pPr>
            <w:r w:rsidRPr="007A4D4E">
              <w:rPr>
                <w:b/>
                <w:color w:val="000000"/>
              </w:rPr>
              <w:t>&lt; 0.001</w:t>
            </w:r>
          </w:p>
        </w:tc>
      </w:tr>
      <w:tr w:rsidR="00846CCA" w:rsidRPr="007A4D4E" w:rsidTr="007A4D4E">
        <w:trPr>
          <w:trHeight w:val="397"/>
          <w:jc w:val="center"/>
        </w:trPr>
        <w:tc>
          <w:tcPr>
            <w:tcW w:w="1440" w:type="pct"/>
            <w:vMerge/>
            <w:shd w:val="clear" w:color="auto" w:fill="4471C4"/>
            <w:vAlign w:val="center"/>
          </w:tcPr>
          <w:p w:rsidR="00F01E7D" w:rsidRPr="007A4D4E" w:rsidRDefault="00F01E7D" w:rsidP="00846CCA">
            <w:pPr>
              <w:snapToGrid w:val="0"/>
              <w:jc w:val="both"/>
              <w:rPr>
                <w:color w:val="000000"/>
              </w:rPr>
            </w:pPr>
          </w:p>
        </w:tc>
        <w:tc>
          <w:tcPr>
            <w:tcW w:w="960" w:type="pct"/>
            <w:vAlign w:val="center"/>
          </w:tcPr>
          <w:p w:rsidR="00846CCA" w:rsidRPr="007A4D4E" w:rsidRDefault="000E2CA8" w:rsidP="00846CCA">
            <w:pPr>
              <w:snapToGrid w:val="0"/>
              <w:jc w:val="both"/>
              <w:rPr>
                <w:color w:val="000000"/>
                <w:lang w:eastAsia="zh-CN"/>
              </w:rPr>
            </w:pPr>
            <w:r w:rsidRPr="007A4D4E">
              <w:rPr>
                <w:color w:val="000000"/>
              </w:rPr>
              <w:t>Control</w:t>
            </w:r>
          </w:p>
          <w:p w:rsidR="00F01E7D" w:rsidRPr="007A4D4E" w:rsidRDefault="000E2CA8" w:rsidP="00846CCA">
            <w:pPr>
              <w:snapToGrid w:val="0"/>
              <w:jc w:val="both"/>
              <w:rPr>
                <w:color w:val="000000"/>
              </w:rPr>
            </w:pPr>
            <w:r w:rsidRPr="007A4D4E">
              <w:rPr>
                <w:color w:val="000000"/>
              </w:rPr>
              <w:t>Patients</w:t>
            </w:r>
          </w:p>
        </w:tc>
        <w:tc>
          <w:tcPr>
            <w:tcW w:w="2079" w:type="pct"/>
            <w:vAlign w:val="center"/>
          </w:tcPr>
          <w:p w:rsidR="00EE58A1" w:rsidRPr="007A4D4E" w:rsidRDefault="000E2CA8" w:rsidP="00846CCA">
            <w:pPr>
              <w:snapToGrid w:val="0"/>
              <w:jc w:val="both"/>
              <w:rPr>
                <w:color w:val="000000"/>
                <w:lang w:eastAsia="zh-CN"/>
              </w:rPr>
            </w:pPr>
            <w:r w:rsidRPr="007A4D4E">
              <w:rPr>
                <w:color w:val="000000"/>
              </w:rPr>
              <w:t>11.45 ± 1.05</w:t>
            </w:r>
          </w:p>
          <w:p w:rsidR="00F01E7D" w:rsidRPr="007A4D4E" w:rsidRDefault="000E2CA8" w:rsidP="00846CCA">
            <w:pPr>
              <w:snapToGrid w:val="0"/>
              <w:jc w:val="both"/>
              <w:rPr>
                <w:color w:val="000000"/>
              </w:rPr>
            </w:pPr>
            <w:r w:rsidRPr="007A4D4E">
              <w:rPr>
                <w:color w:val="000000"/>
              </w:rPr>
              <w:t>16.95 ± 6.15</w:t>
            </w:r>
          </w:p>
        </w:tc>
        <w:tc>
          <w:tcPr>
            <w:tcW w:w="521" w:type="pct"/>
            <w:shd w:val="clear" w:color="auto" w:fill="B4C5E7"/>
            <w:vAlign w:val="center"/>
          </w:tcPr>
          <w:p w:rsidR="00F01E7D" w:rsidRPr="007A4D4E" w:rsidRDefault="000E2CA8" w:rsidP="00846CCA">
            <w:pPr>
              <w:snapToGrid w:val="0"/>
              <w:jc w:val="both"/>
              <w:rPr>
                <w:color w:val="000000"/>
              </w:rPr>
            </w:pPr>
            <w:r w:rsidRPr="007A4D4E">
              <w:rPr>
                <w:b/>
                <w:color w:val="000000"/>
              </w:rPr>
              <w:t>&lt; 0.001</w:t>
            </w:r>
          </w:p>
        </w:tc>
      </w:tr>
      <w:tr w:rsidR="00846CCA" w:rsidRPr="007A4D4E" w:rsidTr="007A4D4E">
        <w:trPr>
          <w:trHeight w:val="397"/>
          <w:jc w:val="center"/>
        </w:trPr>
        <w:tc>
          <w:tcPr>
            <w:tcW w:w="1440" w:type="pct"/>
            <w:vMerge/>
            <w:shd w:val="clear" w:color="auto" w:fill="4471C4"/>
            <w:vAlign w:val="center"/>
          </w:tcPr>
          <w:p w:rsidR="00F01E7D" w:rsidRPr="007A4D4E" w:rsidRDefault="00F01E7D" w:rsidP="00846CCA">
            <w:pPr>
              <w:snapToGrid w:val="0"/>
              <w:jc w:val="both"/>
              <w:rPr>
                <w:color w:val="000000"/>
              </w:rPr>
            </w:pPr>
          </w:p>
        </w:tc>
        <w:tc>
          <w:tcPr>
            <w:tcW w:w="960" w:type="pct"/>
            <w:vAlign w:val="center"/>
          </w:tcPr>
          <w:p w:rsidR="00846CCA" w:rsidRPr="007A4D4E" w:rsidRDefault="000E2CA8" w:rsidP="00846CCA">
            <w:pPr>
              <w:snapToGrid w:val="0"/>
              <w:jc w:val="both"/>
              <w:rPr>
                <w:color w:val="000000"/>
                <w:lang w:eastAsia="zh-CN"/>
              </w:rPr>
            </w:pPr>
            <w:r w:rsidRPr="007A4D4E">
              <w:rPr>
                <w:color w:val="000000"/>
              </w:rPr>
              <w:t>Control</w:t>
            </w:r>
          </w:p>
          <w:p w:rsidR="00F01E7D" w:rsidRPr="007A4D4E" w:rsidRDefault="000E2CA8" w:rsidP="00846CCA">
            <w:pPr>
              <w:snapToGrid w:val="0"/>
              <w:jc w:val="both"/>
              <w:rPr>
                <w:color w:val="000000"/>
              </w:rPr>
            </w:pPr>
            <w:r w:rsidRPr="007A4D4E">
              <w:rPr>
                <w:color w:val="000000"/>
              </w:rPr>
              <w:t>Patients</w:t>
            </w:r>
          </w:p>
        </w:tc>
        <w:tc>
          <w:tcPr>
            <w:tcW w:w="2079" w:type="pct"/>
            <w:vAlign w:val="center"/>
          </w:tcPr>
          <w:p w:rsidR="00EE58A1" w:rsidRPr="007A4D4E" w:rsidRDefault="000E2CA8" w:rsidP="00846CCA">
            <w:pPr>
              <w:snapToGrid w:val="0"/>
              <w:jc w:val="both"/>
              <w:rPr>
                <w:color w:val="000000"/>
                <w:lang w:eastAsia="zh-CN"/>
              </w:rPr>
            </w:pPr>
            <w:r w:rsidRPr="007A4D4E">
              <w:rPr>
                <w:color w:val="000000"/>
              </w:rPr>
              <w:t>1.09 ± 0.13</w:t>
            </w:r>
          </w:p>
          <w:p w:rsidR="00F01E7D" w:rsidRPr="007A4D4E" w:rsidRDefault="000E2CA8" w:rsidP="00846CCA">
            <w:pPr>
              <w:snapToGrid w:val="0"/>
              <w:jc w:val="both"/>
              <w:rPr>
                <w:color w:val="000000"/>
              </w:rPr>
            </w:pPr>
            <w:r w:rsidRPr="007A4D4E">
              <w:rPr>
                <w:color w:val="000000"/>
              </w:rPr>
              <w:t>1.25 ± 0.43</w:t>
            </w:r>
          </w:p>
        </w:tc>
        <w:tc>
          <w:tcPr>
            <w:tcW w:w="521" w:type="pct"/>
            <w:shd w:val="clear" w:color="auto" w:fill="B4C5E7"/>
            <w:vAlign w:val="center"/>
          </w:tcPr>
          <w:p w:rsidR="00F01E7D" w:rsidRPr="007A4D4E" w:rsidRDefault="000E2CA8" w:rsidP="00846CCA">
            <w:pPr>
              <w:snapToGrid w:val="0"/>
              <w:jc w:val="both"/>
              <w:rPr>
                <w:color w:val="000000"/>
              </w:rPr>
            </w:pPr>
            <w:r w:rsidRPr="007A4D4E">
              <w:rPr>
                <w:b/>
                <w:color w:val="000000"/>
              </w:rPr>
              <w:t>&lt; 0.001</w:t>
            </w:r>
          </w:p>
        </w:tc>
      </w:tr>
      <w:tr w:rsidR="00846CCA" w:rsidRPr="007A4D4E" w:rsidTr="007A4D4E">
        <w:trPr>
          <w:trHeight w:val="397"/>
          <w:jc w:val="center"/>
        </w:trPr>
        <w:tc>
          <w:tcPr>
            <w:tcW w:w="1440" w:type="pct"/>
            <w:vMerge/>
            <w:shd w:val="clear" w:color="auto" w:fill="4471C4"/>
            <w:vAlign w:val="center"/>
          </w:tcPr>
          <w:p w:rsidR="00F01E7D" w:rsidRPr="007A4D4E" w:rsidRDefault="00F01E7D" w:rsidP="00846CCA">
            <w:pPr>
              <w:snapToGrid w:val="0"/>
              <w:jc w:val="both"/>
              <w:rPr>
                <w:color w:val="000000"/>
              </w:rPr>
            </w:pPr>
          </w:p>
        </w:tc>
        <w:tc>
          <w:tcPr>
            <w:tcW w:w="960" w:type="pct"/>
            <w:shd w:val="clear" w:color="auto" w:fill="B4C5E7"/>
            <w:vAlign w:val="center"/>
          </w:tcPr>
          <w:p w:rsidR="00F01E7D" w:rsidRPr="007A4D4E" w:rsidRDefault="000E2CA8" w:rsidP="00846CCA">
            <w:pPr>
              <w:snapToGrid w:val="0"/>
              <w:jc w:val="both"/>
              <w:rPr>
                <w:color w:val="000000"/>
              </w:rPr>
            </w:pPr>
            <w:r w:rsidRPr="007A4D4E">
              <w:rPr>
                <w:color w:val="000000"/>
              </w:rPr>
              <w:t>Control</w:t>
            </w:r>
          </w:p>
        </w:tc>
        <w:tc>
          <w:tcPr>
            <w:tcW w:w="2079" w:type="pct"/>
            <w:shd w:val="clear" w:color="auto" w:fill="B4C5E7"/>
            <w:vAlign w:val="center"/>
          </w:tcPr>
          <w:p w:rsidR="00F01E7D" w:rsidRPr="007A4D4E" w:rsidRDefault="000E2CA8" w:rsidP="00846CCA">
            <w:pPr>
              <w:snapToGrid w:val="0"/>
              <w:jc w:val="both"/>
              <w:rPr>
                <w:color w:val="000000"/>
              </w:rPr>
            </w:pPr>
            <w:r w:rsidRPr="007A4D4E">
              <w:rPr>
                <w:color w:val="000000"/>
              </w:rPr>
              <w:t>1.00 ± 0.12</w:t>
            </w:r>
          </w:p>
        </w:tc>
        <w:tc>
          <w:tcPr>
            <w:tcW w:w="521" w:type="pct"/>
            <w:shd w:val="clear" w:color="auto" w:fill="B4C5E7"/>
            <w:vAlign w:val="center"/>
          </w:tcPr>
          <w:p w:rsidR="00F01E7D" w:rsidRPr="007A4D4E" w:rsidRDefault="000E2CA8" w:rsidP="00846CCA">
            <w:pPr>
              <w:snapToGrid w:val="0"/>
              <w:jc w:val="both"/>
              <w:rPr>
                <w:color w:val="000000"/>
              </w:rPr>
            </w:pPr>
            <w:r w:rsidRPr="007A4D4E">
              <w:rPr>
                <w:color w:val="000000"/>
              </w:rPr>
              <w:t>1.000</w:t>
            </w:r>
          </w:p>
        </w:tc>
      </w:tr>
      <w:tr w:rsidR="00846CCA" w:rsidRPr="007A4D4E" w:rsidTr="007A4D4E">
        <w:trPr>
          <w:trHeight w:val="397"/>
          <w:jc w:val="center"/>
        </w:trPr>
        <w:tc>
          <w:tcPr>
            <w:tcW w:w="1440" w:type="pct"/>
            <w:shd w:val="clear" w:color="auto" w:fill="4471C4"/>
            <w:vAlign w:val="center"/>
          </w:tcPr>
          <w:p w:rsidR="00F01E7D" w:rsidRPr="007A4D4E" w:rsidRDefault="000E2CA8" w:rsidP="00846CCA">
            <w:pPr>
              <w:snapToGrid w:val="0"/>
              <w:jc w:val="both"/>
              <w:rPr>
                <w:color w:val="000000"/>
              </w:rPr>
            </w:pPr>
            <w:r w:rsidRPr="007A4D4E">
              <w:rPr>
                <w:b/>
                <w:color w:val="000000"/>
              </w:rPr>
              <w:t xml:space="preserve">S. </w:t>
            </w:r>
            <w:proofErr w:type="spellStart"/>
            <w:r w:rsidRPr="007A4D4E">
              <w:rPr>
                <w:b/>
                <w:color w:val="000000"/>
              </w:rPr>
              <w:t>Creatinine</w:t>
            </w:r>
            <w:proofErr w:type="spellEnd"/>
          </w:p>
        </w:tc>
        <w:tc>
          <w:tcPr>
            <w:tcW w:w="960" w:type="pct"/>
            <w:shd w:val="clear" w:color="auto" w:fill="D9E1F3"/>
            <w:vAlign w:val="center"/>
          </w:tcPr>
          <w:p w:rsidR="00F01E7D" w:rsidRPr="007A4D4E" w:rsidRDefault="000E2CA8" w:rsidP="00846CCA">
            <w:pPr>
              <w:snapToGrid w:val="0"/>
              <w:jc w:val="both"/>
              <w:rPr>
                <w:color w:val="000000"/>
              </w:rPr>
            </w:pPr>
            <w:r w:rsidRPr="007A4D4E">
              <w:rPr>
                <w:color w:val="000000"/>
              </w:rPr>
              <w:t>Patients</w:t>
            </w:r>
          </w:p>
        </w:tc>
        <w:tc>
          <w:tcPr>
            <w:tcW w:w="2079" w:type="pct"/>
            <w:shd w:val="clear" w:color="auto" w:fill="D9E1F3"/>
            <w:vAlign w:val="center"/>
          </w:tcPr>
          <w:p w:rsidR="00F01E7D" w:rsidRPr="007A4D4E" w:rsidRDefault="000E2CA8" w:rsidP="00846CCA">
            <w:pPr>
              <w:snapToGrid w:val="0"/>
              <w:jc w:val="both"/>
              <w:rPr>
                <w:color w:val="000000"/>
              </w:rPr>
            </w:pPr>
            <w:r w:rsidRPr="007A4D4E">
              <w:rPr>
                <w:color w:val="000000"/>
              </w:rPr>
              <w:t>1.00 ± 0.21</w:t>
            </w:r>
          </w:p>
        </w:tc>
        <w:tc>
          <w:tcPr>
            <w:tcW w:w="521" w:type="pct"/>
            <w:shd w:val="clear" w:color="auto" w:fill="B4C5E7"/>
            <w:vAlign w:val="center"/>
          </w:tcPr>
          <w:p w:rsidR="00F01E7D" w:rsidRPr="007A4D4E" w:rsidRDefault="00F01E7D" w:rsidP="00846CCA">
            <w:pPr>
              <w:snapToGrid w:val="0"/>
              <w:jc w:val="both"/>
              <w:rPr>
                <w:color w:val="000000"/>
              </w:rPr>
            </w:pPr>
          </w:p>
        </w:tc>
      </w:tr>
      <w:tr w:rsidR="00846CCA" w:rsidRPr="007A4D4E" w:rsidTr="007A4D4E">
        <w:trPr>
          <w:trHeight w:val="397"/>
          <w:jc w:val="center"/>
        </w:trPr>
        <w:tc>
          <w:tcPr>
            <w:tcW w:w="1440" w:type="pct"/>
            <w:shd w:val="clear" w:color="auto" w:fill="4471C4"/>
            <w:vAlign w:val="center"/>
          </w:tcPr>
          <w:p w:rsidR="00F01E7D" w:rsidRPr="007A4D4E" w:rsidRDefault="00F01E7D" w:rsidP="00846CCA">
            <w:pPr>
              <w:snapToGrid w:val="0"/>
              <w:jc w:val="both"/>
              <w:rPr>
                <w:color w:val="000000"/>
              </w:rPr>
            </w:pPr>
          </w:p>
        </w:tc>
        <w:tc>
          <w:tcPr>
            <w:tcW w:w="960" w:type="pct"/>
            <w:shd w:val="clear" w:color="auto" w:fill="B4C5E7"/>
            <w:vAlign w:val="center"/>
          </w:tcPr>
          <w:p w:rsidR="00F01E7D" w:rsidRPr="007A4D4E" w:rsidRDefault="000E2CA8" w:rsidP="00846CCA">
            <w:pPr>
              <w:snapToGrid w:val="0"/>
              <w:jc w:val="both"/>
              <w:rPr>
                <w:color w:val="000000"/>
              </w:rPr>
            </w:pPr>
            <w:r w:rsidRPr="007A4D4E">
              <w:rPr>
                <w:color w:val="000000"/>
              </w:rPr>
              <w:t>Control</w:t>
            </w:r>
          </w:p>
        </w:tc>
        <w:tc>
          <w:tcPr>
            <w:tcW w:w="2079" w:type="pct"/>
            <w:shd w:val="clear" w:color="auto" w:fill="B4C5E7"/>
            <w:vAlign w:val="center"/>
          </w:tcPr>
          <w:p w:rsidR="00F01E7D" w:rsidRPr="007A4D4E" w:rsidRDefault="000E2CA8" w:rsidP="00846CCA">
            <w:pPr>
              <w:snapToGrid w:val="0"/>
              <w:jc w:val="both"/>
              <w:rPr>
                <w:color w:val="000000"/>
              </w:rPr>
            </w:pPr>
            <w:r w:rsidRPr="007A4D4E">
              <w:rPr>
                <w:color w:val="000000"/>
              </w:rPr>
              <w:t>1.20 ± 0.11</w:t>
            </w:r>
          </w:p>
        </w:tc>
        <w:tc>
          <w:tcPr>
            <w:tcW w:w="521" w:type="pct"/>
            <w:shd w:val="clear" w:color="auto" w:fill="B4C5E7"/>
            <w:vAlign w:val="center"/>
          </w:tcPr>
          <w:p w:rsidR="00F01E7D" w:rsidRPr="007A4D4E" w:rsidRDefault="000E2CA8" w:rsidP="00846CCA">
            <w:pPr>
              <w:snapToGrid w:val="0"/>
              <w:jc w:val="both"/>
              <w:rPr>
                <w:color w:val="000000"/>
              </w:rPr>
            </w:pPr>
            <w:r w:rsidRPr="007A4D4E">
              <w:rPr>
                <w:color w:val="000000"/>
              </w:rPr>
              <w:t>0.139</w:t>
            </w:r>
          </w:p>
        </w:tc>
      </w:tr>
      <w:tr w:rsidR="00846CCA" w:rsidRPr="007A4D4E" w:rsidTr="007A4D4E">
        <w:trPr>
          <w:trHeight w:val="397"/>
          <w:jc w:val="center"/>
        </w:trPr>
        <w:tc>
          <w:tcPr>
            <w:tcW w:w="1440" w:type="pct"/>
            <w:shd w:val="clear" w:color="auto" w:fill="4471C4"/>
            <w:vAlign w:val="center"/>
          </w:tcPr>
          <w:p w:rsidR="00F01E7D" w:rsidRPr="007A4D4E" w:rsidRDefault="000E2CA8" w:rsidP="00846CCA">
            <w:pPr>
              <w:snapToGrid w:val="0"/>
              <w:jc w:val="both"/>
              <w:rPr>
                <w:color w:val="000000"/>
              </w:rPr>
            </w:pPr>
            <w:r w:rsidRPr="007A4D4E">
              <w:rPr>
                <w:b/>
                <w:color w:val="000000"/>
              </w:rPr>
              <w:t>INR</w:t>
            </w:r>
          </w:p>
        </w:tc>
        <w:tc>
          <w:tcPr>
            <w:tcW w:w="960" w:type="pct"/>
            <w:shd w:val="clear" w:color="auto" w:fill="D9E1F3"/>
            <w:vAlign w:val="center"/>
          </w:tcPr>
          <w:p w:rsidR="00F01E7D" w:rsidRPr="007A4D4E" w:rsidRDefault="000E2CA8" w:rsidP="00846CCA">
            <w:pPr>
              <w:snapToGrid w:val="0"/>
              <w:jc w:val="both"/>
              <w:rPr>
                <w:color w:val="000000"/>
              </w:rPr>
            </w:pPr>
            <w:r w:rsidRPr="007A4D4E">
              <w:rPr>
                <w:color w:val="000000"/>
              </w:rPr>
              <w:t>Patients</w:t>
            </w:r>
          </w:p>
        </w:tc>
        <w:tc>
          <w:tcPr>
            <w:tcW w:w="2079" w:type="pct"/>
            <w:shd w:val="clear" w:color="auto" w:fill="D9E1F3"/>
            <w:vAlign w:val="center"/>
          </w:tcPr>
          <w:p w:rsidR="00F01E7D" w:rsidRPr="007A4D4E" w:rsidRDefault="000E2CA8" w:rsidP="00846CCA">
            <w:pPr>
              <w:snapToGrid w:val="0"/>
              <w:jc w:val="both"/>
              <w:rPr>
                <w:color w:val="000000"/>
              </w:rPr>
            </w:pPr>
            <w:r w:rsidRPr="007A4D4E">
              <w:rPr>
                <w:color w:val="000000"/>
              </w:rPr>
              <w:t>1.14 ± 0.14</w:t>
            </w:r>
          </w:p>
        </w:tc>
        <w:tc>
          <w:tcPr>
            <w:tcW w:w="521" w:type="pct"/>
            <w:shd w:val="clear" w:color="auto" w:fill="B4C5E7"/>
            <w:vAlign w:val="center"/>
          </w:tcPr>
          <w:p w:rsidR="00F01E7D" w:rsidRPr="007A4D4E" w:rsidRDefault="00F01E7D" w:rsidP="00846CCA">
            <w:pPr>
              <w:snapToGrid w:val="0"/>
              <w:jc w:val="both"/>
              <w:rPr>
                <w:color w:val="000000"/>
              </w:rPr>
            </w:pPr>
          </w:p>
        </w:tc>
      </w:tr>
    </w:tbl>
    <w:p w:rsidR="007A4D4E" w:rsidRDefault="007A4D4E" w:rsidP="00846CCA">
      <w:pPr>
        <w:snapToGrid w:val="0"/>
        <w:jc w:val="both"/>
        <w:rPr>
          <w:rFonts w:hint="eastAsia"/>
          <w:lang w:eastAsia="zh-CN"/>
        </w:rPr>
      </w:pPr>
    </w:p>
    <w:p w:rsidR="00846CCA" w:rsidRPr="007A4D4E" w:rsidRDefault="007A4D4E" w:rsidP="00846CCA">
      <w:pPr>
        <w:snapToGrid w:val="0"/>
        <w:jc w:val="both"/>
      </w:pPr>
      <w:r>
        <w:lastRenderedPageBreak/>
        <w:t>Table (</w:t>
      </w:r>
      <w:r w:rsidR="00846CCA" w:rsidRPr="007A4D4E">
        <w:t xml:space="preserve">3) Conventional </w:t>
      </w:r>
      <w:proofErr w:type="spellStart"/>
      <w:r w:rsidR="00846CCA" w:rsidRPr="007A4D4E">
        <w:t>echocardiographic</w:t>
      </w:r>
      <w:proofErr w:type="spellEnd"/>
      <w:r w:rsidR="00846CCA" w:rsidRPr="007A4D4E">
        <w:t xml:space="preserve"> parameters between control and patients groups</w:t>
      </w:r>
      <w:r w:rsidR="00243581" w:rsidRPr="007A4D4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45"/>
        <w:gridCol w:w="938"/>
        <w:gridCol w:w="1791"/>
        <w:gridCol w:w="667"/>
      </w:tblGrid>
      <w:tr w:rsidR="00846CCA" w:rsidRPr="007A4D4E" w:rsidTr="007A4D4E">
        <w:trPr>
          <w:trHeight w:val="283"/>
          <w:jc w:val="center"/>
        </w:trPr>
        <w:tc>
          <w:tcPr>
            <w:tcW w:w="1176" w:type="pct"/>
            <w:vMerge w:val="restart"/>
            <w:shd w:val="clear" w:color="auto" w:fill="4471C4"/>
            <w:vAlign w:val="center"/>
          </w:tcPr>
          <w:p w:rsidR="00846CCA" w:rsidRPr="007A4D4E" w:rsidRDefault="00846CCA" w:rsidP="009A6C1F">
            <w:pPr>
              <w:snapToGrid w:val="0"/>
              <w:jc w:val="both"/>
              <w:rPr>
                <w:color w:val="000000"/>
              </w:rPr>
            </w:pPr>
            <w:r w:rsidRPr="007A4D4E">
              <w:rPr>
                <w:b/>
                <w:color w:val="000000"/>
              </w:rPr>
              <w:t>Parameter</w:t>
            </w:r>
          </w:p>
        </w:tc>
        <w:tc>
          <w:tcPr>
            <w:tcW w:w="1056" w:type="pct"/>
            <w:shd w:val="clear" w:color="auto" w:fill="4471C4"/>
            <w:vAlign w:val="center"/>
          </w:tcPr>
          <w:p w:rsidR="00846CCA" w:rsidRPr="007A4D4E" w:rsidRDefault="00846CCA" w:rsidP="00EE58A1">
            <w:pPr>
              <w:snapToGrid w:val="0"/>
              <w:jc w:val="center"/>
              <w:rPr>
                <w:color w:val="000000"/>
              </w:rPr>
            </w:pPr>
            <w:proofErr w:type="spellStart"/>
            <w:r w:rsidRPr="007A4D4E">
              <w:rPr>
                <w:b/>
                <w:color w:val="000000"/>
              </w:rPr>
              <w:t>rs</w:t>
            </w:r>
            <w:proofErr w:type="spellEnd"/>
          </w:p>
        </w:tc>
        <w:tc>
          <w:tcPr>
            <w:tcW w:w="2017" w:type="pct"/>
            <w:shd w:val="clear" w:color="auto" w:fill="4471C4"/>
            <w:vAlign w:val="center"/>
          </w:tcPr>
          <w:p w:rsidR="00846CCA" w:rsidRPr="007A4D4E" w:rsidRDefault="00846CCA" w:rsidP="00EE58A1">
            <w:pPr>
              <w:snapToGrid w:val="0"/>
              <w:jc w:val="center"/>
              <w:rPr>
                <w:color w:val="000000"/>
              </w:rPr>
            </w:pPr>
            <w:r w:rsidRPr="007A4D4E">
              <w:rPr>
                <w:b/>
                <w:color w:val="000000"/>
              </w:rPr>
              <w:t>M ± SD</w:t>
            </w:r>
          </w:p>
        </w:tc>
        <w:tc>
          <w:tcPr>
            <w:tcW w:w="751" w:type="pct"/>
            <w:shd w:val="clear" w:color="auto" w:fill="4471C4"/>
            <w:vAlign w:val="center"/>
          </w:tcPr>
          <w:p w:rsidR="00846CCA" w:rsidRPr="007A4D4E" w:rsidRDefault="00846CCA" w:rsidP="00EE58A1">
            <w:pPr>
              <w:snapToGrid w:val="0"/>
              <w:jc w:val="center"/>
              <w:rPr>
                <w:color w:val="000000"/>
              </w:rPr>
            </w:pPr>
            <w:r w:rsidRPr="007A4D4E">
              <w:rPr>
                <w:b/>
                <w:color w:val="000000"/>
              </w:rPr>
              <w:t>p</w:t>
            </w:r>
          </w:p>
        </w:tc>
      </w:tr>
      <w:tr w:rsidR="00846CCA" w:rsidRPr="007A4D4E" w:rsidTr="007A4D4E">
        <w:trPr>
          <w:trHeight w:val="283"/>
          <w:jc w:val="center"/>
        </w:trPr>
        <w:tc>
          <w:tcPr>
            <w:tcW w:w="1176" w:type="pct"/>
            <w:vMerge/>
            <w:shd w:val="clear" w:color="auto" w:fill="4471C4"/>
            <w:vAlign w:val="center"/>
          </w:tcPr>
          <w:p w:rsidR="00846CCA" w:rsidRPr="007A4D4E" w:rsidRDefault="00846CCA" w:rsidP="009A6C1F">
            <w:pPr>
              <w:snapToGrid w:val="0"/>
              <w:jc w:val="both"/>
              <w:rPr>
                <w:color w:val="000000"/>
              </w:rPr>
            </w:pPr>
          </w:p>
        </w:tc>
        <w:tc>
          <w:tcPr>
            <w:tcW w:w="1056"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2017" w:type="pct"/>
            <w:shd w:val="clear" w:color="auto" w:fill="B4C5E7"/>
            <w:vAlign w:val="center"/>
          </w:tcPr>
          <w:p w:rsidR="00846CCA" w:rsidRPr="007A4D4E" w:rsidRDefault="00846CCA" w:rsidP="009A6C1F">
            <w:pPr>
              <w:snapToGrid w:val="0"/>
              <w:jc w:val="both"/>
              <w:rPr>
                <w:color w:val="000000"/>
              </w:rPr>
            </w:pPr>
            <w:r w:rsidRPr="007A4D4E">
              <w:rPr>
                <w:color w:val="000000"/>
              </w:rPr>
              <w:t>4.83 ± 0.56</w:t>
            </w:r>
          </w:p>
        </w:tc>
        <w:tc>
          <w:tcPr>
            <w:tcW w:w="751" w:type="pct"/>
            <w:shd w:val="clear" w:color="auto" w:fill="B4C5E7"/>
            <w:vAlign w:val="center"/>
          </w:tcPr>
          <w:p w:rsidR="00846CCA" w:rsidRPr="007A4D4E" w:rsidRDefault="00846CCA" w:rsidP="009A6C1F">
            <w:pPr>
              <w:snapToGrid w:val="0"/>
              <w:jc w:val="both"/>
              <w:rPr>
                <w:color w:val="000000"/>
              </w:rPr>
            </w:pPr>
            <w:r w:rsidRPr="007A4D4E">
              <w:rPr>
                <w:color w:val="000000"/>
              </w:rPr>
              <w:t>0.059</w:t>
            </w: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r w:rsidRPr="007A4D4E">
              <w:rPr>
                <w:b/>
                <w:color w:val="000000"/>
              </w:rPr>
              <w:t>LVEDD</w:t>
            </w:r>
          </w:p>
        </w:tc>
        <w:tc>
          <w:tcPr>
            <w:tcW w:w="1056"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2017" w:type="pct"/>
            <w:shd w:val="clear" w:color="auto" w:fill="D9E1F3"/>
            <w:vAlign w:val="center"/>
          </w:tcPr>
          <w:p w:rsidR="00846CCA" w:rsidRPr="007A4D4E" w:rsidRDefault="00846CCA" w:rsidP="009A6C1F">
            <w:pPr>
              <w:snapToGrid w:val="0"/>
              <w:jc w:val="both"/>
              <w:rPr>
                <w:color w:val="000000"/>
              </w:rPr>
            </w:pPr>
            <w:r w:rsidRPr="007A4D4E">
              <w:rPr>
                <w:color w:val="000000"/>
              </w:rPr>
              <w:t>5.09 ± 0.46</w:t>
            </w:r>
          </w:p>
        </w:tc>
        <w:tc>
          <w:tcPr>
            <w:tcW w:w="75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p>
        </w:tc>
        <w:tc>
          <w:tcPr>
            <w:tcW w:w="1056"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2017" w:type="pct"/>
            <w:shd w:val="clear" w:color="auto" w:fill="B4C5E7"/>
            <w:vAlign w:val="center"/>
          </w:tcPr>
          <w:p w:rsidR="00846CCA" w:rsidRPr="007A4D4E" w:rsidRDefault="00846CCA" w:rsidP="009A6C1F">
            <w:pPr>
              <w:snapToGrid w:val="0"/>
              <w:jc w:val="both"/>
              <w:rPr>
                <w:color w:val="000000"/>
              </w:rPr>
            </w:pPr>
            <w:r w:rsidRPr="007A4D4E">
              <w:rPr>
                <w:color w:val="000000"/>
              </w:rPr>
              <w:t>3.12 ± 0.43</w:t>
            </w:r>
          </w:p>
        </w:tc>
        <w:tc>
          <w:tcPr>
            <w:tcW w:w="751" w:type="pct"/>
            <w:shd w:val="clear" w:color="auto" w:fill="B4C5E7"/>
            <w:vAlign w:val="center"/>
          </w:tcPr>
          <w:p w:rsidR="00846CCA" w:rsidRPr="007A4D4E" w:rsidRDefault="00846CCA" w:rsidP="009A6C1F">
            <w:pPr>
              <w:snapToGrid w:val="0"/>
              <w:jc w:val="both"/>
              <w:rPr>
                <w:color w:val="000000"/>
              </w:rPr>
            </w:pPr>
            <w:r w:rsidRPr="007A4D4E">
              <w:rPr>
                <w:color w:val="000000"/>
              </w:rPr>
              <w:t>0.082</w:t>
            </w: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r w:rsidRPr="007A4D4E">
              <w:rPr>
                <w:b/>
                <w:color w:val="000000"/>
              </w:rPr>
              <w:t>LVESD</w:t>
            </w:r>
          </w:p>
        </w:tc>
        <w:tc>
          <w:tcPr>
            <w:tcW w:w="1056"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2017" w:type="pct"/>
            <w:shd w:val="clear" w:color="auto" w:fill="D9E1F3"/>
            <w:vAlign w:val="center"/>
          </w:tcPr>
          <w:p w:rsidR="00846CCA" w:rsidRPr="007A4D4E" w:rsidRDefault="00846CCA" w:rsidP="009A6C1F">
            <w:pPr>
              <w:snapToGrid w:val="0"/>
              <w:jc w:val="both"/>
              <w:rPr>
                <w:color w:val="000000"/>
              </w:rPr>
            </w:pPr>
            <w:r w:rsidRPr="007A4D4E">
              <w:rPr>
                <w:color w:val="000000"/>
              </w:rPr>
              <w:t>3.33 ± 0.43</w:t>
            </w:r>
          </w:p>
        </w:tc>
        <w:tc>
          <w:tcPr>
            <w:tcW w:w="75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p>
        </w:tc>
        <w:tc>
          <w:tcPr>
            <w:tcW w:w="1056"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2017" w:type="pct"/>
            <w:shd w:val="clear" w:color="auto" w:fill="B4C5E7"/>
            <w:vAlign w:val="center"/>
          </w:tcPr>
          <w:p w:rsidR="00846CCA" w:rsidRPr="007A4D4E" w:rsidRDefault="00846CCA" w:rsidP="009A6C1F">
            <w:pPr>
              <w:snapToGrid w:val="0"/>
              <w:jc w:val="both"/>
              <w:rPr>
                <w:color w:val="000000"/>
              </w:rPr>
            </w:pPr>
            <w:r w:rsidRPr="007A4D4E">
              <w:rPr>
                <w:color w:val="000000"/>
              </w:rPr>
              <w:t>116.84 ± 36.58</w:t>
            </w:r>
          </w:p>
        </w:tc>
        <w:tc>
          <w:tcPr>
            <w:tcW w:w="751" w:type="pct"/>
            <w:shd w:val="clear" w:color="auto" w:fill="B4C5E7"/>
            <w:vAlign w:val="center"/>
          </w:tcPr>
          <w:p w:rsidR="00846CCA" w:rsidRPr="007A4D4E" w:rsidRDefault="00846CCA" w:rsidP="009A6C1F">
            <w:pPr>
              <w:snapToGrid w:val="0"/>
              <w:jc w:val="both"/>
              <w:rPr>
                <w:color w:val="000000"/>
              </w:rPr>
            </w:pPr>
            <w:r w:rsidRPr="007A4D4E">
              <w:rPr>
                <w:color w:val="000000"/>
              </w:rPr>
              <w:t>0.169</w:t>
            </w: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r w:rsidRPr="007A4D4E">
              <w:rPr>
                <w:b/>
                <w:color w:val="000000"/>
              </w:rPr>
              <w:t>LVDV</w:t>
            </w:r>
          </w:p>
        </w:tc>
        <w:tc>
          <w:tcPr>
            <w:tcW w:w="1056"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2017" w:type="pct"/>
            <w:shd w:val="clear" w:color="auto" w:fill="D9E1F3"/>
            <w:vAlign w:val="center"/>
          </w:tcPr>
          <w:p w:rsidR="00846CCA" w:rsidRPr="007A4D4E" w:rsidRDefault="00846CCA" w:rsidP="009A6C1F">
            <w:pPr>
              <w:snapToGrid w:val="0"/>
              <w:jc w:val="both"/>
              <w:rPr>
                <w:color w:val="000000"/>
              </w:rPr>
            </w:pPr>
            <w:r w:rsidRPr="007A4D4E">
              <w:rPr>
                <w:color w:val="000000"/>
              </w:rPr>
              <w:t>129.23 ± 19.34</w:t>
            </w:r>
          </w:p>
        </w:tc>
        <w:tc>
          <w:tcPr>
            <w:tcW w:w="75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p>
        </w:tc>
        <w:tc>
          <w:tcPr>
            <w:tcW w:w="1056"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2017" w:type="pct"/>
            <w:shd w:val="clear" w:color="auto" w:fill="B4C5E7"/>
            <w:vAlign w:val="center"/>
          </w:tcPr>
          <w:p w:rsidR="00846CCA" w:rsidRPr="007A4D4E" w:rsidRDefault="00846CCA" w:rsidP="009A6C1F">
            <w:pPr>
              <w:snapToGrid w:val="0"/>
              <w:jc w:val="both"/>
              <w:rPr>
                <w:color w:val="000000"/>
              </w:rPr>
            </w:pPr>
            <w:r w:rsidRPr="007A4D4E">
              <w:rPr>
                <w:color w:val="000000"/>
              </w:rPr>
              <w:t>31.90 ± 9.94</w:t>
            </w:r>
          </w:p>
        </w:tc>
        <w:tc>
          <w:tcPr>
            <w:tcW w:w="751" w:type="pct"/>
            <w:shd w:val="clear" w:color="auto" w:fill="B4C5E7"/>
            <w:vAlign w:val="center"/>
          </w:tcPr>
          <w:p w:rsidR="00846CCA" w:rsidRPr="007A4D4E" w:rsidRDefault="00846CCA" w:rsidP="009A6C1F">
            <w:pPr>
              <w:snapToGrid w:val="0"/>
              <w:jc w:val="both"/>
              <w:rPr>
                <w:color w:val="000000"/>
              </w:rPr>
            </w:pPr>
            <w:r w:rsidRPr="007A4D4E">
              <w:rPr>
                <w:color w:val="000000"/>
              </w:rPr>
              <w:t>0.065</w:t>
            </w: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r w:rsidRPr="007A4D4E">
              <w:rPr>
                <w:b/>
                <w:color w:val="000000"/>
              </w:rPr>
              <w:t>LVSV</w:t>
            </w:r>
          </w:p>
        </w:tc>
        <w:tc>
          <w:tcPr>
            <w:tcW w:w="1056"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2017" w:type="pct"/>
            <w:shd w:val="clear" w:color="auto" w:fill="D9E1F3"/>
            <w:vAlign w:val="center"/>
          </w:tcPr>
          <w:p w:rsidR="00846CCA" w:rsidRPr="007A4D4E" w:rsidRDefault="00846CCA" w:rsidP="009A6C1F">
            <w:pPr>
              <w:snapToGrid w:val="0"/>
              <w:jc w:val="both"/>
              <w:rPr>
                <w:color w:val="000000"/>
              </w:rPr>
            </w:pPr>
            <w:r w:rsidRPr="007A4D4E">
              <w:rPr>
                <w:color w:val="000000"/>
              </w:rPr>
              <w:t>35.73 ± 5.82</w:t>
            </w:r>
          </w:p>
        </w:tc>
        <w:tc>
          <w:tcPr>
            <w:tcW w:w="75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p>
        </w:tc>
        <w:tc>
          <w:tcPr>
            <w:tcW w:w="1056"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2017" w:type="pct"/>
            <w:shd w:val="clear" w:color="auto" w:fill="B4C5E7"/>
            <w:vAlign w:val="center"/>
          </w:tcPr>
          <w:p w:rsidR="00846CCA" w:rsidRPr="007A4D4E" w:rsidRDefault="00846CCA" w:rsidP="009A6C1F">
            <w:pPr>
              <w:snapToGrid w:val="0"/>
              <w:jc w:val="both"/>
              <w:rPr>
                <w:color w:val="000000"/>
              </w:rPr>
            </w:pPr>
            <w:r w:rsidRPr="007A4D4E">
              <w:rPr>
                <w:color w:val="000000"/>
              </w:rPr>
              <w:t>35.50 ± 5.23</w:t>
            </w:r>
          </w:p>
        </w:tc>
        <w:tc>
          <w:tcPr>
            <w:tcW w:w="751" w:type="pct"/>
            <w:shd w:val="clear" w:color="auto" w:fill="B4C5E7"/>
            <w:vAlign w:val="center"/>
          </w:tcPr>
          <w:p w:rsidR="00846CCA" w:rsidRPr="007A4D4E" w:rsidRDefault="00846CCA" w:rsidP="009A6C1F">
            <w:pPr>
              <w:snapToGrid w:val="0"/>
              <w:jc w:val="both"/>
              <w:rPr>
                <w:color w:val="000000"/>
              </w:rPr>
            </w:pPr>
            <w:r w:rsidRPr="007A4D4E">
              <w:rPr>
                <w:color w:val="000000"/>
              </w:rPr>
              <w:t>0.711</w:t>
            </w: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r w:rsidRPr="007A4D4E">
              <w:rPr>
                <w:b/>
                <w:color w:val="000000"/>
              </w:rPr>
              <w:t>FS</w:t>
            </w:r>
          </w:p>
        </w:tc>
        <w:tc>
          <w:tcPr>
            <w:tcW w:w="1056"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2017" w:type="pct"/>
            <w:shd w:val="clear" w:color="auto" w:fill="D9E1F3"/>
            <w:vAlign w:val="center"/>
          </w:tcPr>
          <w:p w:rsidR="00846CCA" w:rsidRPr="007A4D4E" w:rsidRDefault="00846CCA" w:rsidP="009A6C1F">
            <w:pPr>
              <w:snapToGrid w:val="0"/>
              <w:jc w:val="both"/>
              <w:rPr>
                <w:color w:val="000000"/>
              </w:rPr>
            </w:pPr>
            <w:r w:rsidRPr="007A4D4E">
              <w:rPr>
                <w:color w:val="000000"/>
              </w:rPr>
              <w:t>34.89 ± 6.36</w:t>
            </w:r>
          </w:p>
        </w:tc>
        <w:tc>
          <w:tcPr>
            <w:tcW w:w="75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p>
        </w:tc>
        <w:tc>
          <w:tcPr>
            <w:tcW w:w="1056"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2017" w:type="pct"/>
            <w:shd w:val="clear" w:color="auto" w:fill="B4C5E7"/>
            <w:vAlign w:val="center"/>
          </w:tcPr>
          <w:p w:rsidR="00846CCA" w:rsidRPr="007A4D4E" w:rsidRDefault="00846CCA" w:rsidP="009A6C1F">
            <w:pPr>
              <w:snapToGrid w:val="0"/>
              <w:jc w:val="both"/>
              <w:rPr>
                <w:color w:val="000000"/>
              </w:rPr>
            </w:pPr>
            <w:r w:rsidRPr="007A4D4E">
              <w:rPr>
                <w:color w:val="000000"/>
              </w:rPr>
              <w:t>67.47 ± 7.66</w:t>
            </w:r>
          </w:p>
        </w:tc>
        <w:tc>
          <w:tcPr>
            <w:tcW w:w="751" w:type="pct"/>
            <w:shd w:val="clear" w:color="auto" w:fill="B4C5E7"/>
            <w:vAlign w:val="center"/>
          </w:tcPr>
          <w:p w:rsidR="00846CCA" w:rsidRPr="007A4D4E" w:rsidRDefault="00846CCA" w:rsidP="009A6C1F">
            <w:pPr>
              <w:snapToGrid w:val="0"/>
              <w:jc w:val="both"/>
              <w:rPr>
                <w:color w:val="000000"/>
              </w:rPr>
            </w:pPr>
            <w:r w:rsidRPr="007A4D4E">
              <w:rPr>
                <w:color w:val="000000"/>
              </w:rPr>
              <w:t>0.851</w:t>
            </w: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r w:rsidRPr="007A4D4E">
              <w:rPr>
                <w:b/>
                <w:color w:val="000000"/>
              </w:rPr>
              <w:t>EF</w:t>
            </w:r>
          </w:p>
        </w:tc>
        <w:tc>
          <w:tcPr>
            <w:tcW w:w="1056"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2017" w:type="pct"/>
            <w:shd w:val="clear" w:color="auto" w:fill="D9E1F3"/>
            <w:vAlign w:val="center"/>
          </w:tcPr>
          <w:p w:rsidR="00846CCA" w:rsidRPr="007A4D4E" w:rsidRDefault="00846CCA" w:rsidP="009A6C1F">
            <w:pPr>
              <w:snapToGrid w:val="0"/>
              <w:jc w:val="both"/>
              <w:rPr>
                <w:color w:val="000000"/>
              </w:rPr>
            </w:pPr>
            <w:r w:rsidRPr="007A4D4E">
              <w:rPr>
                <w:color w:val="000000"/>
              </w:rPr>
              <w:t>67.79 ± 5.15</w:t>
            </w:r>
          </w:p>
        </w:tc>
        <w:tc>
          <w:tcPr>
            <w:tcW w:w="75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p>
        </w:tc>
        <w:tc>
          <w:tcPr>
            <w:tcW w:w="1056"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2017" w:type="pct"/>
            <w:shd w:val="clear" w:color="auto" w:fill="B4C5E7"/>
            <w:vAlign w:val="center"/>
          </w:tcPr>
          <w:p w:rsidR="00846CCA" w:rsidRPr="007A4D4E" w:rsidRDefault="00846CCA" w:rsidP="009A6C1F">
            <w:pPr>
              <w:snapToGrid w:val="0"/>
              <w:jc w:val="both"/>
              <w:rPr>
                <w:color w:val="000000"/>
              </w:rPr>
            </w:pPr>
            <w:r w:rsidRPr="007A4D4E">
              <w:rPr>
                <w:color w:val="000000"/>
              </w:rPr>
              <w:t>84.94 ± 28.24</w:t>
            </w:r>
          </w:p>
        </w:tc>
        <w:tc>
          <w:tcPr>
            <w:tcW w:w="751" w:type="pct"/>
            <w:shd w:val="clear" w:color="auto" w:fill="B4C5E7"/>
            <w:vAlign w:val="center"/>
          </w:tcPr>
          <w:p w:rsidR="00846CCA" w:rsidRPr="007A4D4E" w:rsidRDefault="00846CCA" w:rsidP="009A6C1F">
            <w:pPr>
              <w:snapToGrid w:val="0"/>
              <w:jc w:val="both"/>
              <w:rPr>
                <w:color w:val="000000"/>
              </w:rPr>
            </w:pPr>
            <w:r w:rsidRPr="007A4D4E">
              <w:rPr>
                <w:color w:val="000000"/>
              </w:rPr>
              <w:t>0.073</w:t>
            </w:r>
          </w:p>
        </w:tc>
      </w:tr>
      <w:tr w:rsidR="00846CCA" w:rsidRPr="007A4D4E" w:rsidTr="007A4D4E">
        <w:trPr>
          <w:trHeight w:val="283"/>
          <w:jc w:val="center"/>
        </w:trPr>
        <w:tc>
          <w:tcPr>
            <w:tcW w:w="1176" w:type="pct"/>
            <w:shd w:val="clear" w:color="auto" w:fill="4471C4"/>
            <w:vAlign w:val="center"/>
          </w:tcPr>
          <w:p w:rsidR="00846CCA" w:rsidRPr="007A4D4E" w:rsidRDefault="00846CCA" w:rsidP="009A6C1F">
            <w:pPr>
              <w:snapToGrid w:val="0"/>
              <w:jc w:val="both"/>
              <w:rPr>
                <w:color w:val="000000"/>
              </w:rPr>
            </w:pPr>
            <w:r w:rsidRPr="007A4D4E">
              <w:rPr>
                <w:b/>
                <w:color w:val="000000"/>
              </w:rPr>
              <w:t>SV</w:t>
            </w:r>
          </w:p>
        </w:tc>
        <w:tc>
          <w:tcPr>
            <w:tcW w:w="1056"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2017" w:type="pct"/>
            <w:shd w:val="clear" w:color="auto" w:fill="D9E1F3"/>
            <w:vAlign w:val="center"/>
          </w:tcPr>
          <w:p w:rsidR="00846CCA" w:rsidRPr="007A4D4E" w:rsidRDefault="00846CCA" w:rsidP="009A6C1F">
            <w:pPr>
              <w:snapToGrid w:val="0"/>
              <w:jc w:val="both"/>
              <w:rPr>
                <w:color w:val="000000"/>
              </w:rPr>
            </w:pPr>
            <w:r w:rsidRPr="007A4D4E">
              <w:rPr>
                <w:color w:val="000000"/>
              </w:rPr>
              <w:t>99.42 ± 29.33</w:t>
            </w:r>
          </w:p>
        </w:tc>
        <w:tc>
          <w:tcPr>
            <w:tcW w:w="751" w:type="pct"/>
            <w:shd w:val="clear" w:color="auto" w:fill="B4C5E7"/>
            <w:vAlign w:val="center"/>
          </w:tcPr>
          <w:p w:rsidR="00846CCA" w:rsidRPr="007A4D4E" w:rsidRDefault="00846CCA" w:rsidP="009A6C1F">
            <w:pPr>
              <w:snapToGrid w:val="0"/>
              <w:jc w:val="both"/>
              <w:rPr>
                <w:color w:val="000000"/>
              </w:rPr>
            </w:pPr>
          </w:p>
        </w:tc>
      </w:tr>
    </w:tbl>
    <w:p w:rsidR="00846CCA" w:rsidRPr="007A4D4E" w:rsidRDefault="00846CCA" w:rsidP="00846CCA">
      <w:pPr>
        <w:snapToGrid w:val="0"/>
        <w:jc w:val="center"/>
      </w:pPr>
    </w:p>
    <w:p w:rsidR="00846CCA" w:rsidRPr="007A4D4E" w:rsidRDefault="00846CCA" w:rsidP="00846CCA">
      <w:pPr>
        <w:snapToGrid w:val="0"/>
        <w:jc w:val="both"/>
        <w:rPr>
          <w:lang w:eastAsia="zh-CN"/>
        </w:rPr>
      </w:pPr>
      <w:r w:rsidRPr="007A4D4E">
        <w:t xml:space="preserve">Table (4) Doppler </w:t>
      </w:r>
      <w:proofErr w:type="spellStart"/>
      <w:r w:rsidRPr="007A4D4E">
        <w:t>echocardiographic</w:t>
      </w:r>
      <w:proofErr w:type="spellEnd"/>
      <w:r w:rsidRPr="007A4D4E">
        <w:t xml:space="preserve"> and speckle tracking parameters between control and patients groups</w:t>
      </w:r>
      <w:r w:rsidR="00243581" w:rsidRPr="007A4D4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75"/>
        <w:gridCol w:w="817"/>
        <w:gridCol w:w="1559"/>
        <w:gridCol w:w="790"/>
      </w:tblGrid>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rPr>
              <w:t>Parameters</w:t>
            </w:r>
          </w:p>
        </w:tc>
        <w:tc>
          <w:tcPr>
            <w:tcW w:w="920" w:type="pct"/>
            <w:shd w:val="clear" w:color="auto" w:fill="B4C5E7"/>
            <w:vAlign w:val="center"/>
          </w:tcPr>
          <w:p w:rsidR="00846CCA" w:rsidRPr="007A4D4E" w:rsidRDefault="00846CCA" w:rsidP="009A6C1F">
            <w:pPr>
              <w:snapToGrid w:val="0"/>
              <w:jc w:val="center"/>
              <w:rPr>
                <w:b/>
                <w:color w:val="000000"/>
                <w:lang w:eastAsia="zh-CN"/>
              </w:rPr>
            </w:pPr>
            <w:proofErr w:type="spellStart"/>
            <w:r w:rsidRPr="007A4D4E">
              <w:rPr>
                <w:rFonts w:hint="eastAsia"/>
                <w:b/>
                <w:color w:val="000000"/>
                <w:lang w:eastAsia="zh-CN"/>
              </w:rPr>
              <w:t>rs</w:t>
            </w:r>
            <w:proofErr w:type="spellEnd"/>
          </w:p>
        </w:tc>
        <w:tc>
          <w:tcPr>
            <w:tcW w:w="1755" w:type="pct"/>
            <w:shd w:val="clear" w:color="auto" w:fill="B4C5E7"/>
            <w:vAlign w:val="center"/>
          </w:tcPr>
          <w:p w:rsidR="00846CCA" w:rsidRPr="007A4D4E" w:rsidRDefault="00846CCA" w:rsidP="009A6C1F">
            <w:pPr>
              <w:snapToGrid w:val="0"/>
              <w:jc w:val="center"/>
              <w:rPr>
                <w:color w:val="000000"/>
              </w:rPr>
            </w:pPr>
            <w:r w:rsidRPr="007A4D4E">
              <w:rPr>
                <w:b/>
              </w:rPr>
              <w:t>M ± SD</w:t>
            </w:r>
          </w:p>
        </w:tc>
        <w:tc>
          <w:tcPr>
            <w:tcW w:w="891" w:type="pct"/>
            <w:shd w:val="clear" w:color="auto" w:fill="B4C5E7"/>
            <w:vAlign w:val="center"/>
          </w:tcPr>
          <w:p w:rsidR="00846CCA" w:rsidRPr="007A4D4E" w:rsidRDefault="00846CCA" w:rsidP="009A6C1F">
            <w:pPr>
              <w:snapToGrid w:val="0"/>
              <w:jc w:val="center"/>
              <w:rPr>
                <w:color w:val="000000"/>
              </w:rPr>
            </w:pPr>
            <w:r w:rsidRPr="007A4D4E">
              <w:rPr>
                <w:b/>
              </w:rPr>
              <w:t>p</w:t>
            </w: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color w:val="000000"/>
              </w:rPr>
              <w:t>E wave</w:t>
            </w:r>
          </w:p>
        </w:tc>
        <w:tc>
          <w:tcPr>
            <w:tcW w:w="920"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1755" w:type="pct"/>
            <w:shd w:val="clear" w:color="auto" w:fill="B4C5E7"/>
            <w:vAlign w:val="center"/>
          </w:tcPr>
          <w:p w:rsidR="00846CCA" w:rsidRPr="007A4D4E" w:rsidRDefault="00846CCA" w:rsidP="009A6C1F">
            <w:pPr>
              <w:snapToGrid w:val="0"/>
              <w:jc w:val="both"/>
              <w:rPr>
                <w:color w:val="000000"/>
              </w:rPr>
            </w:pPr>
            <w:r w:rsidRPr="007A4D4E">
              <w:rPr>
                <w:color w:val="000000"/>
              </w:rPr>
              <w:t>0.74 ± 0.13</w:t>
            </w:r>
          </w:p>
        </w:tc>
        <w:tc>
          <w:tcPr>
            <w:tcW w:w="891" w:type="pct"/>
            <w:shd w:val="clear" w:color="auto" w:fill="B4C5E7"/>
            <w:vAlign w:val="center"/>
          </w:tcPr>
          <w:p w:rsidR="00846CCA" w:rsidRPr="007A4D4E" w:rsidRDefault="00846CCA" w:rsidP="009A6C1F">
            <w:pPr>
              <w:snapToGrid w:val="0"/>
              <w:jc w:val="both"/>
              <w:rPr>
                <w:color w:val="000000"/>
              </w:rPr>
            </w:pPr>
            <w:r w:rsidRPr="007A4D4E">
              <w:rPr>
                <w:b/>
                <w:color w:val="000000"/>
              </w:rPr>
              <w:t>&lt; 0.001</w:t>
            </w: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p>
        </w:tc>
        <w:tc>
          <w:tcPr>
            <w:tcW w:w="920"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1755" w:type="pct"/>
            <w:shd w:val="clear" w:color="auto" w:fill="D9E1F3"/>
            <w:vAlign w:val="center"/>
          </w:tcPr>
          <w:p w:rsidR="00846CCA" w:rsidRPr="007A4D4E" w:rsidRDefault="00846CCA" w:rsidP="009A6C1F">
            <w:pPr>
              <w:snapToGrid w:val="0"/>
              <w:jc w:val="both"/>
              <w:rPr>
                <w:color w:val="000000"/>
              </w:rPr>
            </w:pPr>
            <w:r w:rsidRPr="007A4D4E">
              <w:rPr>
                <w:color w:val="000000"/>
              </w:rPr>
              <w:t>0.57 ± 0.13</w:t>
            </w:r>
          </w:p>
        </w:tc>
        <w:tc>
          <w:tcPr>
            <w:tcW w:w="89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color w:val="000000"/>
              </w:rPr>
              <w:t>A wave</w:t>
            </w:r>
          </w:p>
        </w:tc>
        <w:tc>
          <w:tcPr>
            <w:tcW w:w="920" w:type="pct"/>
            <w:vAlign w:val="center"/>
          </w:tcPr>
          <w:p w:rsidR="00846CCA" w:rsidRPr="007A4D4E" w:rsidRDefault="00846CCA" w:rsidP="009A6C1F">
            <w:pPr>
              <w:snapToGrid w:val="0"/>
              <w:jc w:val="both"/>
              <w:rPr>
                <w:color w:val="000000"/>
              </w:rPr>
            </w:pPr>
            <w:r w:rsidRPr="007A4D4E">
              <w:rPr>
                <w:color w:val="000000"/>
              </w:rPr>
              <w:t>Control</w:t>
            </w:r>
          </w:p>
          <w:p w:rsidR="00846CCA" w:rsidRPr="007A4D4E" w:rsidRDefault="00846CCA" w:rsidP="009A6C1F">
            <w:pPr>
              <w:snapToGrid w:val="0"/>
              <w:jc w:val="both"/>
              <w:rPr>
                <w:color w:val="000000"/>
              </w:rPr>
            </w:pPr>
            <w:r w:rsidRPr="007A4D4E">
              <w:rPr>
                <w:color w:val="000000"/>
              </w:rPr>
              <w:t>Patients</w:t>
            </w:r>
          </w:p>
        </w:tc>
        <w:tc>
          <w:tcPr>
            <w:tcW w:w="1755" w:type="pct"/>
            <w:vAlign w:val="center"/>
          </w:tcPr>
          <w:p w:rsidR="00846CCA" w:rsidRPr="007A4D4E" w:rsidRDefault="00846CCA" w:rsidP="009A6C1F">
            <w:pPr>
              <w:snapToGrid w:val="0"/>
              <w:jc w:val="both"/>
              <w:rPr>
                <w:color w:val="000000"/>
              </w:rPr>
            </w:pPr>
            <w:r w:rsidRPr="007A4D4E">
              <w:rPr>
                <w:color w:val="000000"/>
              </w:rPr>
              <w:t>0.64 ± 0.12</w:t>
            </w:r>
          </w:p>
          <w:p w:rsidR="00846CCA" w:rsidRPr="007A4D4E" w:rsidRDefault="00846CCA" w:rsidP="009A6C1F">
            <w:pPr>
              <w:snapToGrid w:val="0"/>
              <w:jc w:val="both"/>
              <w:rPr>
                <w:color w:val="000000"/>
              </w:rPr>
            </w:pPr>
            <w:r w:rsidRPr="007A4D4E">
              <w:rPr>
                <w:color w:val="000000"/>
              </w:rPr>
              <w:t>0.62 ± 0.14</w:t>
            </w:r>
          </w:p>
        </w:tc>
        <w:tc>
          <w:tcPr>
            <w:tcW w:w="891" w:type="pct"/>
            <w:shd w:val="clear" w:color="auto" w:fill="B4C5E7"/>
            <w:vAlign w:val="center"/>
          </w:tcPr>
          <w:p w:rsidR="00846CCA" w:rsidRPr="007A4D4E" w:rsidRDefault="00846CCA" w:rsidP="009A6C1F">
            <w:pPr>
              <w:snapToGrid w:val="0"/>
              <w:jc w:val="both"/>
              <w:rPr>
                <w:color w:val="000000"/>
              </w:rPr>
            </w:pPr>
            <w:r w:rsidRPr="007A4D4E">
              <w:rPr>
                <w:color w:val="000000"/>
              </w:rPr>
              <w:t>0.666</w:t>
            </w: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p>
        </w:tc>
        <w:tc>
          <w:tcPr>
            <w:tcW w:w="920"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1755" w:type="pct"/>
            <w:shd w:val="clear" w:color="auto" w:fill="B4C5E7"/>
            <w:vAlign w:val="center"/>
          </w:tcPr>
          <w:p w:rsidR="00846CCA" w:rsidRPr="007A4D4E" w:rsidRDefault="00846CCA" w:rsidP="009A6C1F">
            <w:pPr>
              <w:snapToGrid w:val="0"/>
              <w:jc w:val="both"/>
              <w:rPr>
                <w:color w:val="000000"/>
              </w:rPr>
            </w:pPr>
            <w:r w:rsidRPr="007A4D4E">
              <w:rPr>
                <w:color w:val="000000"/>
              </w:rPr>
              <w:t>1.17 ± 0.14</w:t>
            </w:r>
          </w:p>
        </w:tc>
        <w:tc>
          <w:tcPr>
            <w:tcW w:w="89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color w:val="000000"/>
              </w:rPr>
              <w:t>E/A ratio</w:t>
            </w:r>
          </w:p>
        </w:tc>
        <w:tc>
          <w:tcPr>
            <w:tcW w:w="920"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1755" w:type="pct"/>
            <w:shd w:val="clear" w:color="auto" w:fill="D9E1F3"/>
            <w:vAlign w:val="center"/>
          </w:tcPr>
          <w:p w:rsidR="00846CCA" w:rsidRPr="007A4D4E" w:rsidRDefault="00846CCA" w:rsidP="009A6C1F">
            <w:pPr>
              <w:snapToGrid w:val="0"/>
              <w:jc w:val="both"/>
              <w:rPr>
                <w:color w:val="000000"/>
              </w:rPr>
            </w:pPr>
            <w:r w:rsidRPr="007A4D4E">
              <w:rPr>
                <w:color w:val="000000"/>
              </w:rPr>
              <w:t>0.95 ± 0.24</w:t>
            </w:r>
          </w:p>
        </w:tc>
        <w:tc>
          <w:tcPr>
            <w:tcW w:w="891" w:type="pct"/>
            <w:shd w:val="clear" w:color="auto" w:fill="B4C5E7"/>
            <w:vAlign w:val="center"/>
          </w:tcPr>
          <w:p w:rsidR="00846CCA" w:rsidRPr="007A4D4E" w:rsidRDefault="00846CCA" w:rsidP="009A6C1F">
            <w:pPr>
              <w:snapToGrid w:val="0"/>
              <w:jc w:val="both"/>
              <w:rPr>
                <w:color w:val="000000"/>
              </w:rPr>
            </w:pPr>
            <w:r w:rsidRPr="007A4D4E">
              <w:rPr>
                <w:b/>
                <w:color w:val="000000"/>
              </w:rPr>
              <w:t>&lt; 0.001</w:t>
            </w: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color w:val="000000"/>
              </w:rPr>
              <w:t>DT</w:t>
            </w:r>
          </w:p>
        </w:tc>
        <w:tc>
          <w:tcPr>
            <w:tcW w:w="920" w:type="pct"/>
            <w:vAlign w:val="center"/>
          </w:tcPr>
          <w:p w:rsidR="00846CCA" w:rsidRPr="007A4D4E" w:rsidRDefault="00846CCA" w:rsidP="009A6C1F">
            <w:pPr>
              <w:snapToGrid w:val="0"/>
              <w:jc w:val="both"/>
              <w:rPr>
                <w:color w:val="000000"/>
              </w:rPr>
            </w:pPr>
            <w:r w:rsidRPr="007A4D4E">
              <w:rPr>
                <w:color w:val="000000"/>
              </w:rPr>
              <w:t>Control</w:t>
            </w:r>
          </w:p>
          <w:p w:rsidR="00846CCA" w:rsidRPr="007A4D4E" w:rsidRDefault="00846CCA" w:rsidP="009A6C1F">
            <w:pPr>
              <w:snapToGrid w:val="0"/>
              <w:jc w:val="both"/>
              <w:rPr>
                <w:color w:val="000000"/>
              </w:rPr>
            </w:pPr>
            <w:r w:rsidRPr="007A4D4E">
              <w:rPr>
                <w:color w:val="000000"/>
              </w:rPr>
              <w:t>Patients</w:t>
            </w:r>
          </w:p>
        </w:tc>
        <w:tc>
          <w:tcPr>
            <w:tcW w:w="1755" w:type="pct"/>
            <w:vAlign w:val="center"/>
          </w:tcPr>
          <w:p w:rsidR="00846CCA" w:rsidRPr="007A4D4E" w:rsidRDefault="00846CCA" w:rsidP="009A6C1F">
            <w:pPr>
              <w:snapToGrid w:val="0"/>
              <w:jc w:val="both"/>
              <w:rPr>
                <w:color w:val="000000"/>
              </w:rPr>
            </w:pPr>
            <w:r w:rsidRPr="007A4D4E">
              <w:rPr>
                <w:color w:val="000000"/>
              </w:rPr>
              <w:t>124.45 ± 10.89</w:t>
            </w:r>
          </w:p>
          <w:p w:rsidR="00846CCA" w:rsidRPr="007A4D4E" w:rsidRDefault="00846CCA" w:rsidP="009A6C1F">
            <w:pPr>
              <w:snapToGrid w:val="0"/>
              <w:jc w:val="both"/>
              <w:rPr>
                <w:color w:val="000000"/>
              </w:rPr>
            </w:pPr>
            <w:r w:rsidRPr="007A4D4E">
              <w:rPr>
                <w:color w:val="000000"/>
              </w:rPr>
              <w:t>135.95 ± 28.93</w:t>
            </w:r>
          </w:p>
        </w:tc>
        <w:tc>
          <w:tcPr>
            <w:tcW w:w="891" w:type="pct"/>
            <w:shd w:val="clear" w:color="auto" w:fill="B4C5E7"/>
            <w:vAlign w:val="center"/>
          </w:tcPr>
          <w:p w:rsidR="00846CCA" w:rsidRPr="007A4D4E" w:rsidRDefault="00846CCA" w:rsidP="009A6C1F">
            <w:pPr>
              <w:snapToGrid w:val="0"/>
              <w:jc w:val="both"/>
              <w:rPr>
                <w:color w:val="000000"/>
              </w:rPr>
            </w:pPr>
            <w:r w:rsidRPr="007A4D4E">
              <w:rPr>
                <w:color w:val="000000"/>
              </w:rPr>
              <w:t>0.092</w:t>
            </w: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color w:val="000000"/>
              </w:rPr>
              <w:t>IVRT</w:t>
            </w:r>
          </w:p>
        </w:tc>
        <w:tc>
          <w:tcPr>
            <w:tcW w:w="920" w:type="pct"/>
            <w:vAlign w:val="center"/>
          </w:tcPr>
          <w:p w:rsidR="00846CCA" w:rsidRPr="007A4D4E" w:rsidRDefault="00846CCA" w:rsidP="009A6C1F">
            <w:pPr>
              <w:snapToGrid w:val="0"/>
              <w:jc w:val="both"/>
              <w:rPr>
                <w:color w:val="000000"/>
              </w:rPr>
            </w:pPr>
            <w:r w:rsidRPr="007A4D4E">
              <w:rPr>
                <w:color w:val="000000"/>
              </w:rPr>
              <w:t>Control</w:t>
            </w:r>
          </w:p>
          <w:p w:rsidR="00846CCA" w:rsidRPr="007A4D4E" w:rsidRDefault="00846CCA" w:rsidP="009A6C1F">
            <w:pPr>
              <w:snapToGrid w:val="0"/>
              <w:jc w:val="both"/>
              <w:rPr>
                <w:color w:val="000000"/>
              </w:rPr>
            </w:pPr>
            <w:r w:rsidRPr="007A4D4E">
              <w:rPr>
                <w:color w:val="000000"/>
              </w:rPr>
              <w:t>Patients</w:t>
            </w:r>
          </w:p>
        </w:tc>
        <w:tc>
          <w:tcPr>
            <w:tcW w:w="1755" w:type="pct"/>
            <w:vAlign w:val="center"/>
          </w:tcPr>
          <w:p w:rsidR="00846CCA" w:rsidRPr="007A4D4E" w:rsidRDefault="00846CCA" w:rsidP="009A6C1F">
            <w:pPr>
              <w:snapToGrid w:val="0"/>
              <w:jc w:val="both"/>
              <w:rPr>
                <w:color w:val="000000"/>
              </w:rPr>
            </w:pPr>
            <w:r w:rsidRPr="007A4D4E">
              <w:rPr>
                <w:color w:val="000000"/>
              </w:rPr>
              <w:t>88.10 ± 8.36</w:t>
            </w:r>
          </w:p>
          <w:p w:rsidR="00846CCA" w:rsidRPr="007A4D4E" w:rsidRDefault="00846CCA" w:rsidP="009A6C1F">
            <w:pPr>
              <w:snapToGrid w:val="0"/>
              <w:jc w:val="both"/>
              <w:rPr>
                <w:color w:val="000000"/>
              </w:rPr>
            </w:pPr>
            <w:r w:rsidRPr="007A4D4E">
              <w:rPr>
                <w:color w:val="000000"/>
              </w:rPr>
              <w:t>92.75 ± 12.76</w:t>
            </w:r>
          </w:p>
        </w:tc>
        <w:tc>
          <w:tcPr>
            <w:tcW w:w="891" w:type="pct"/>
            <w:shd w:val="clear" w:color="auto" w:fill="B4C5E7"/>
            <w:vAlign w:val="center"/>
          </w:tcPr>
          <w:p w:rsidR="00846CCA" w:rsidRPr="007A4D4E" w:rsidRDefault="00846CCA" w:rsidP="009A6C1F">
            <w:pPr>
              <w:snapToGrid w:val="0"/>
              <w:jc w:val="both"/>
              <w:rPr>
                <w:color w:val="000000"/>
              </w:rPr>
            </w:pPr>
            <w:r w:rsidRPr="007A4D4E">
              <w:rPr>
                <w:color w:val="000000"/>
              </w:rPr>
              <w:t>0.145</w:t>
            </w: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p>
        </w:tc>
        <w:tc>
          <w:tcPr>
            <w:tcW w:w="920"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1755" w:type="pct"/>
            <w:shd w:val="clear" w:color="auto" w:fill="B4C5E7"/>
            <w:vAlign w:val="center"/>
          </w:tcPr>
          <w:p w:rsidR="00846CCA" w:rsidRPr="007A4D4E" w:rsidRDefault="00846CCA" w:rsidP="009A6C1F">
            <w:pPr>
              <w:snapToGrid w:val="0"/>
              <w:jc w:val="both"/>
              <w:rPr>
                <w:color w:val="000000"/>
              </w:rPr>
            </w:pPr>
            <w:r w:rsidRPr="007A4D4E">
              <w:rPr>
                <w:color w:val="000000"/>
              </w:rPr>
              <w:t>0.08 ± 0.02</w:t>
            </w:r>
          </w:p>
        </w:tc>
        <w:tc>
          <w:tcPr>
            <w:tcW w:w="89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color w:val="000000"/>
              </w:rPr>
              <w:t>E'</w:t>
            </w:r>
          </w:p>
        </w:tc>
        <w:tc>
          <w:tcPr>
            <w:tcW w:w="920"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1755" w:type="pct"/>
            <w:shd w:val="clear" w:color="auto" w:fill="D9E1F3"/>
            <w:vAlign w:val="center"/>
          </w:tcPr>
          <w:p w:rsidR="00846CCA" w:rsidRPr="007A4D4E" w:rsidRDefault="00846CCA" w:rsidP="009A6C1F">
            <w:pPr>
              <w:snapToGrid w:val="0"/>
              <w:jc w:val="both"/>
              <w:rPr>
                <w:color w:val="000000"/>
              </w:rPr>
            </w:pPr>
            <w:r w:rsidRPr="007A4D4E">
              <w:rPr>
                <w:color w:val="000000"/>
              </w:rPr>
              <w:t>0.05 ± 0.01</w:t>
            </w:r>
          </w:p>
        </w:tc>
        <w:tc>
          <w:tcPr>
            <w:tcW w:w="891" w:type="pct"/>
            <w:shd w:val="clear" w:color="auto" w:fill="B4C5E7"/>
            <w:vAlign w:val="center"/>
          </w:tcPr>
          <w:p w:rsidR="00846CCA" w:rsidRPr="007A4D4E" w:rsidRDefault="00846CCA" w:rsidP="009A6C1F">
            <w:pPr>
              <w:snapToGrid w:val="0"/>
              <w:jc w:val="both"/>
              <w:rPr>
                <w:color w:val="000000"/>
              </w:rPr>
            </w:pPr>
            <w:r w:rsidRPr="007A4D4E">
              <w:rPr>
                <w:b/>
                <w:color w:val="000000"/>
              </w:rPr>
              <w:t>&lt; 0.001</w:t>
            </w: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color w:val="000000"/>
              </w:rPr>
              <w:t>A'</w:t>
            </w:r>
          </w:p>
        </w:tc>
        <w:tc>
          <w:tcPr>
            <w:tcW w:w="920" w:type="pct"/>
            <w:vAlign w:val="center"/>
          </w:tcPr>
          <w:p w:rsidR="00846CCA" w:rsidRPr="007A4D4E" w:rsidRDefault="00846CCA" w:rsidP="009A6C1F">
            <w:pPr>
              <w:snapToGrid w:val="0"/>
              <w:jc w:val="both"/>
              <w:rPr>
                <w:color w:val="000000"/>
              </w:rPr>
            </w:pPr>
            <w:r w:rsidRPr="007A4D4E">
              <w:rPr>
                <w:color w:val="000000"/>
              </w:rPr>
              <w:t>Control</w:t>
            </w:r>
          </w:p>
          <w:p w:rsidR="00846CCA" w:rsidRPr="007A4D4E" w:rsidRDefault="00846CCA" w:rsidP="009A6C1F">
            <w:pPr>
              <w:snapToGrid w:val="0"/>
              <w:jc w:val="both"/>
              <w:rPr>
                <w:color w:val="000000"/>
              </w:rPr>
            </w:pPr>
            <w:r w:rsidRPr="007A4D4E">
              <w:rPr>
                <w:color w:val="000000"/>
              </w:rPr>
              <w:t>Patients</w:t>
            </w:r>
          </w:p>
        </w:tc>
        <w:tc>
          <w:tcPr>
            <w:tcW w:w="1755" w:type="pct"/>
            <w:vAlign w:val="center"/>
          </w:tcPr>
          <w:p w:rsidR="00846CCA" w:rsidRPr="007A4D4E" w:rsidRDefault="00846CCA" w:rsidP="009A6C1F">
            <w:pPr>
              <w:snapToGrid w:val="0"/>
              <w:jc w:val="both"/>
              <w:rPr>
                <w:color w:val="000000"/>
              </w:rPr>
            </w:pPr>
            <w:r w:rsidRPr="007A4D4E">
              <w:rPr>
                <w:color w:val="000000"/>
              </w:rPr>
              <w:t>0.09 ± 0.02</w:t>
            </w:r>
          </w:p>
          <w:p w:rsidR="00846CCA" w:rsidRPr="007A4D4E" w:rsidRDefault="00846CCA" w:rsidP="009A6C1F">
            <w:pPr>
              <w:snapToGrid w:val="0"/>
              <w:jc w:val="both"/>
              <w:rPr>
                <w:color w:val="000000"/>
              </w:rPr>
            </w:pPr>
            <w:r w:rsidRPr="007A4D4E">
              <w:rPr>
                <w:color w:val="000000"/>
              </w:rPr>
              <w:t>0.09 ± 0.02</w:t>
            </w:r>
          </w:p>
        </w:tc>
        <w:tc>
          <w:tcPr>
            <w:tcW w:w="891" w:type="pct"/>
            <w:shd w:val="clear" w:color="auto" w:fill="B4C5E7"/>
            <w:vAlign w:val="center"/>
          </w:tcPr>
          <w:p w:rsidR="00846CCA" w:rsidRPr="007A4D4E" w:rsidRDefault="00846CCA" w:rsidP="009A6C1F">
            <w:pPr>
              <w:snapToGrid w:val="0"/>
              <w:jc w:val="both"/>
              <w:rPr>
                <w:color w:val="000000"/>
              </w:rPr>
            </w:pPr>
            <w:r w:rsidRPr="007A4D4E">
              <w:rPr>
                <w:color w:val="000000"/>
              </w:rPr>
              <w:t>0.845</w:t>
            </w: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p>
        </w:tc>
        <w:tc>
          <w:tcPr>
            <w:tcW w:w="920"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1755" w:type="pct"/>
            <w:shd w:val="clear" w:color="auto" w:fill="B4C5E7"/>
            <w:vAlign w:val="center"/>
          </w:tcPr>
          <w:p w:rsidR="00846CCA" w:rsidRPr="007A4D4E" w:rsidRDefault="00846CCA" w:rsidP="009A6C1F">
            <w:pPr>
              <w:snapToGrid w:val="0"/>
              <w:jc w:val="both"/>
              <w:rPr>
                <w:color w:val="000000"/>
              </w:rPr>
            </w:pPr>
            <w:r w:rsidRPr="007A4D4E">
              <w:rPr>
                <w:color w:val="000000"/>
              </w:rPr>
              <w:t>9.15 ± 1.04</w:t>
            </w:r>
          </w:p>
        </w:tc>
        <w:tc>
          <w:tcPr>
            <w:tcW w:w="89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color w:val="000000"/>
              </w:rPr>
              <w:t>E/E'</w:t>
            </w:r>
          </w:p>
        </w:tc>
        <w:tc>
          <w:tcPr>
            <w:tcW w:w="920"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1755" w:type="pct"/>
            <w:shd w:val="clear" w:color="auto" w:fill="D9E1F3"/>
            <w:vAlign w:val="center"/>
          </w:tcPr>
          <w:p w:rsidR="00846CCA" w:rsidRPr="007A4D4E" w:rsidRDefault="00846CCA" w:rsidP="009A6C1F">
            <w:pPr>
              <w:snapToGrid w:val="0"/>
              <w:jc w:val="both"/>
              <w:rPr>
                <w:color w:val="000000"/>
              </w:rPr>
            </w:pPr>
            <w:r w:rsidRPr="007A4D4E">
              <w:rPr>
                <w:color w:val="000000"/>
              </w:rPr>
              <w:t>11.14 ± 1.17</w:t>
            </w:r>
          </w:p>
        </w:tc>
        <w:tc>
          <w:tcPr>
            <w:tcW w:w="891" w:type="pct"/>
            <w:shd w:val="clear" w:color="auto" w:fill="B4C5E7"/>
            <w:vAlign w:val="center"/>
          </w:tcPr>
          <w:p w:rsidR="00846CCA" w:rsidRPr="007A4D4E" w:rsidRDefault="00846CCA" w:rsidP="009A6C1F">
            <w:pPr>
              <w:snapToGrid w:val="0"/>
              <w:jc w:val="both"/>
              <w:rPr>
                <w:color w:val="000000"/>
              </w:rPr>
            </w:pPr>
            <w:r w:rsidRPr="007A4D4E">
              <w:rPr>
                <w:b/>
                <w:color w:val="000000"/>
              </w:rPr>
              <w:t>&lt; 0.001</w:t>
            </w: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p>
        </w:tc>
        <w:tc>
          <w:tcPr>
            <w:tcW w:w="920" w:type="pct"/>
            <w:shd w:val="clear" w:color="auto" w:fill="B4C5E7"/>
            <w:vAlign w:val="center"/>
          </w:tcPr>
          <w:p w:rsidR="00846CCA" w:rsidRPr="007A4D4E" w:rsidRDefault="00846CCA" w:rsidP="009A6C1F">
            <w:pPr>
              <w:snapToGrid w:val="0"/>
              <w:jc w:val="both"/>
              <w:rPr>
                <w:color w:val="000000"/>
              </w:rPr>
            </w:pPr>
            <w:r w:rsidRPr="007A4D4E">
              <w:rPr>
                <w:color w:val="000000"/>
              </w:rPr>
              <w:t>Control</w:t>
            </w:r>
          </w:p>
        </w:tc>
        <w:tc>
          <w:tcPr>
            <w:tcW w:w="1755" w:type="pct"/>
            <w:shd w:val="clear" w:color="auto" w:fill="B4C5E7"/>
            <w:vAlign w:val="center"/>
          </w:tcPr>
          <w:p w:rsidR="00846CCA" w:rsidRPr="007A4D4E" w:rsidRDefault="00846CCA" w:rsidP="009A6C1F">
            <w:pPr>
              <w:snapToGrid w:val="0"/>
              <w:jc w:val="both"/>
              <w:rPr>
                <w:color w:val="000000"/>
              </w:rPr>
            </w:pPr>
            <w:r w:rsidRPr="007A4D4E">
              <w:rPr>
                <w:color w:val="000000"/>
              </w:rPr>
              <w:t>– 29.50 ± 5.92</w:t>
            </w:r>
          </w:p>
        </w:tc>
        <w:tc>
          <w:tcPr>
            <w:tcW w:w="891" w:type="pct"/>
            <w:shd w:val="clear" w:color="auto" w:fill="B4C5E7"/>
            <w:vAlign w:val="center"/>
          </w:tcPr>
          <w:p w:rsidR="00846CCA" w:rsidRPr="007A4D4E" w:rsidRDefault="00846CCA" w:rsidP="009A6C1F">
            <w:pPr>
              <w:snapToGrid w:val="0"/>
              <w:jc w:val="both"/>
              <w:rPr>
                <w:color w:val="000000"/>
              </w:rPr>
            </w:pPr>
          </w:p>
        </w:tc>
      </w:tr>
      <w:tr w:rsidR="00846CCA" w:rsidRPr="007A4D4E" w:rsidTr="007A4D4E">
        <w:trPr>
          <w:trHeight w:val="340"/>
          <w:jc w:val="center"/>
        </w:trPr>
        <w:tc>
          <w:tcPr>
            <w:tcW w:w="1435" w:type="pct"/>
            <w:shd w:val="clear" w:color="auto" w:fill="4471C4"/>
            <w:vAlign w:val="center"/>
          </w:tcPr>
          <w:p w:rsidR="00846CCA" w:rsidRPr="007A4D4E" w:rsidRDefault="00846CCA" w:rsidP="009A6C1F">
            <w:pPr>
              <w:snapToGrid w:val="0"/>
              <w:jc w:val="both"/>
              <w:rPr>
                <w:color w:val="000000"/>
              </w:rPr>
            </w:pPr>
            <w:r w:rsidRPr="007A4D4E">
              <w:rPr>
                <w:b/>
                <w:color w:val="000000"/>
              </w:rPr>
              <w:t>GLS</w:t>
            </w:r>
          </w:p>
        </w:tc>
        <w:tc>
          <w:tcPr>
            <w:tcW w:w="920" w:type="pct"/>
            <w:shd w:val="clear" w:color="auto" w:fill="D9E1F3"/>
            <w:vAlign w:val="center"/>
          </w:tcPr>
          <w:p w:rsidR="00846CCA" w:rsidRPr="007A4D4E" w:rsidRDefault="00846CCA" w:rsidP="009A6C1F">
            <w:pPr>
              <w:snapToGrid w:val="0"/>
              <w:jc w:val="both"/>
              <w:rPr>
                <w:color w:val="000000"/>
              </w:rPr>
            </w:pPr>
            <w:r w:rsidRPr="007A4D4E">
              <w:rPr>
                <w:color w:val="000000"/>
              </w:rPr>
              <w:t>Patients</w:t>
            </w:r>
          </w:p>
        </w:tc>
        <w:tc>
          <w:tcPr>
            <w:tcW w:w="1755" w:type="pct"/>
            <w:shd w:val="clear" w:color="auto" w:fill="D9E1F3"/>
            <w:vAlign w:val="center"/>
          </w:tcPr>
          <w:p w:rsidR="00846CCA" w:rsidRPr="007A4D4E" w:rsidRDefault="00846CCA" w:rsidP="009A6C1F">
            <w:pPr>
              <w:snapToGrid w:val="0"/>
              <w:jc w:val="both"/>
              <w:rPr>
                <w:color w:val="000000"/>
              </w:rPr>
            </w:pPr>
            <w:r w:rsidRPr="007A4D4E">
              <w:rPr>
                <w:color w:val="000000"/>
              </w:rPr>
              <w:t>– 19.98 ± 7.65</w:t>
            </w:r>
          </w:p>
        </w:tc>
        <w:tc>
          <w:tcPr>
            <w:tcW w:w="891" w:type="pct"/>
            <w:shd w:val="clear" w:color="auto" w:fill="B4C5E7"/>
            <w:vAlign w:val="center"/>
          </w:tcPr>
          <w:p w:rsidR="00846CCA" w:rsidRPr="007A4D4E" w:rsidRDefault="00846CCA" w:rsidP="009A6C1F">
            <w:pPr>
              <w:snapToGrid w:val="0"/>
              <w:jc w:val="both"/>
              <w:rPr>
                <w:color w:val="000000"/>
              </w:rPr>
            </w:pPr>
            <w:r w:rsidRPr="007A4D4E">
              <w:rPr>
                <w:b/>
                <w:color w:val="000000"/>
              </w:rPr>
              <w:t>&lt; 0.001</w:t>
            </w:r>
          </w:p>
        </w:tc>
      </w:tr>
    </w:tbl>
    <w:p w:rsidR="00846CCA" w:rsidRPr="007A4D4E" w:rsidRDefault="00846CCA" w:rsidP="00846CCA">
      <w:pPr>
        <w:snapToGrid w:val="0"/>
        <w:ind w:firstLine="425"/>
        <w:jc w:val="both"/>
        <w:rPr>
          <w:b/>
        </w:rPr>
      </w:pPr>
    </w:p>
    <w:p w:rsidR="00F01E7D" w:rsidRPr="007A4D4E" w:rsidRDefault="00C45ECF" w:rsidP="0028759E">
      <w:pPr>
        <w:snapToGrid w:val="0"/>
        <w:jc w:val="both"/>
      </w:pPr>
      <w:r w:rsidRPr="007A4D4E">
        <w:rPr>
          <w:b/>
        </w:rPr>
        <w:t xml:space="preserve">4. </w:t>
      </w:r>
      <w:r w:rsidR="000E2CA8" w:rsidRPr="007A4D4E">
        <w:rPr>
          <w:b/>
        </w:rPr>
        <w:t>Discussion:</w:t>
      </w:r>
    </w:p>
    <w:p w:rsidR="00F01E7D" w:rsidRPr="007A4D4E" w:rsidRDefault="000E2CA8" w:rsidP="0028759E">
      <w:pPr>
        <w:snapToGrid w:val="0"/>
        <w:ind w:firstLine="425"/>
        <w:jc w:val="both"/>
      </w:pPr>
      <w:r w:rsidRPr="007A4D4E">
        <w:t xml:space="preserve">Cardiac dysfunction has been described in patients with cirrhosis and Cirrhotic </w:t>
      </w:r>
      <w:proofErr w:type="spellStart"/>
      <w:r w:rsidRPr="007A4D4E">
        <w:t>cardiomyopathy</w:t>
      </w:r>
      <w:proofErr w:type="spellEnd"/>
      <w:r w:rsidRPr="007A4D4E">
        <w:t xml:space="preserve"> has been recently described as a condition characterized by impaired contractile response to </w:t>
      </w:r>
      <w:r w:rsidRPr="007A4D4E">
        <w:lastRenderedPageBreak/>
        <w:t>stress, diastolic dysfunction and electrophysiological abnormalities, in the absence of known cardiac disease (</w:t>
      </w:r>
      <w:proofErr w:type="spellStart"/>
      <w:r w:rsidRPr="007A4D4E">
        <w:rPr>
          <w:b/>
        </w:rPr>
        <w:t>Alqahtani</w:t>
      </w:r>
      <w:proofErr w:type="spellEnd"/>
      <w:r w:rsidRPr="007A4D4E">
        <w:rPr>
          <w:b/>
        </w:rPr>
        <w:t xml:space="preserve"> et al., 2008</w:t>
      </w:r>
      <w:r w:rsidRPr="007A4D4E">
        <w:t>).</w:t>
      </w:r>
    </w:p>
    <w:p w:rsidR="00F01E7D" w:rsidRPr="007A4D4E" w:rsidRDefault="000E2CA8" w:rsidP="0028759E">
      <w:pPr>
        <w:snapToGrid w:val="0"/>
        <w:ind w:firstLine="425"/>
        <w:jc w:val="both"/>
      </w:pPr>
      <w:r w:rsidRPr="007A4D4E">
        <w:t xml:space="preserve">These changes may be attributable to the excessive mechanical overload due to the hyperkinetic circulation. This interpretation is based on the assumption of a direct relationship between an increased </w:t>
      </w:r>
      <w:proofErr w:type="spellStart"/>
      <w:r w:rsidRPr="007A4D4E">
        <w:t>haemodynamic</w:t>
      </w:r>
      <w:proofErr w:type="spellEnd"/>
      <w:r w:rsidRPr="007A4D4E">
        <w:t xml:space="preserve"> load and LV enlargement which, however, might be altered in these patients as a result of the activation of </w:t>
      </w:r>
      <w:proofErr w:type="spellStart"/>
      <w:r w:rsidRPr="007A4D4E">
        <w:t>neurohormonal</w:t>
      </w:r>
      <w:proofErr w:type="spellEnd"/>
      <w:r w:rsidRPr="007A4D4E">
        <w:t xml:space="preserve"> and </w:t>
      </w:r>
      <w:proofErr w:type="spellStart"/>
      <w:r w:rsidRPr="007A4D4E">
        <w:t>autocrine</w:t>
      </w:r>
      <w:proofErr w:type="spellEnd"/>
      <w:r w:rsidRPr="007A4D4E">
        <w:t xml:space="preserve"> growth factors. Volume overload leading to the activation of </w:t>
      </w:r>
      <w:proofErr w:type="spellStart"/>
      <w:r w:rsidRPr="007A4D4E">
        <w:t>neurohormones</w:t>
      </w:r>
      <w:proofErr w:type="spellEnd"/>
      <w:r w:rsidRPr="007A4D4E">
        <w:t xml:space="preserve">, including </w:t>
      </w:r>
      <w:proofErr w:type="spellStart"/>
      <w:r w:rsidRPr="007A4D4E">
        <w:t>noradrenaline</w:t>
      </w:r>
      <w:proofErr w:type="spellEnd"/>
      <w:r w:rsidRPr="007A4D4E">
        <w:t xml:space="preserve">, </w:t>
      </w:r>
      <w:proofErr w:type="spellStart"/>
      <w:r w:rsidRPr="007A4D4E">
        <w:t>angiotensin</w:t>
      </w:r>
      <w:proofErr w:type="spellEnd"/>
      <w:r w:rsidRPr="007A4D4E">
        <w:t xml:space="preserve">, and </w:t>
      </w:r>
      <w:proofErr w:type="spellStart"/>
      <w:r w:rsidRPr="007A4D4E">
        <w:t>aldosterone</w:t>
      </w:r>
      <w:proofErr w:type="spellEnd"/>
      <w:r w:rsidRPr="007A4D4E">
        <w:t xml:space="preserve">, has been implicated in cardiac hypertrophy and fibrosis, resulting in structural </w:t>
      </w:r>
      <w:proofErr w:type="spellStart"/>
      <w:r w:rsidRPr="007A4D4E">
        <w:t>remodelling</w:t>
      </w:r>
      <w:proofErr w:type="spellEnd"/>
      <w:r w:rsidRPr="007A4D4E">
        <w:t xml:space="preserve"> through increased collagen accumulation in the </w:t>
      </w:r>
      <w:proofErr w:type="spellStart"/>
      <w:r w:rsidRPr="007A4D4E">
        <w:t>interstitium</w:t>
      </w:r>
      <w:proofErr w:type="spellEnd"/>
      <w:r w:rsidR="007A4D4E">
        <w:rPr>
          <w:rFonts w:hint="eastAsia"/>
          <w:lang w:eastAsia="zh-CN"/>
        </w:rPr>
        <w:t xml:space="preserve"> </w:t>
      </w:r>
      <w:r w:rsidRPr="007A4D4E">
        <w:t>(</w:t>
      </w:r>
      <w:r w:rsidRPr="007A4D4E">
        <w:rPr>
          <w:b/>
        </w:rPr>
        <w:t>Wong et al., 2010)</w:t>
      </w:r>
      <w:r w:rsidRPr="007A4D4E">
        <w:t>.</w:t>
      </w:r>
    </w:p>
    <w:p w:rsidR="00F01E7D" w:rsidRPr="007A4D4E" w:rsidRDefault="000E2CA8" w:rsidP="0028759E">
      <w:pPr>
        <w:snapToGrid w:val="0"/>
        <w:ind w:firstLine="425"/>
        <w:jc w:val="both"/>
      </w:pPr>
      <w:r w:rsidRPr="007A4D4E">
        <w:t>Diastolic relaxation is impaired primarily because of the stiffening and/or hypertrophy of the LV, leading to decreased compliance and higher diastolic pressures compared to the controls. Diastolic dysfunction occurs before systolic dysfunction and may progress to systolic dysfunction. Some authorities contend that some degree of diastolic dysfunction by simple echocardiography is not sufficient to differentiate true CCM patients from general cirrhotic patients</w:t>
      </w:r>
      <w:r w:rsidR="007A4D4E">
        <w:rPr>
          <w:rFonts w:hint="eastAsia"/>
          <w:lang w:eastAsia="zh-CN"/>
        </w:rPr>
        <w:t xml:space="preserve"> </w:t>
      </w:r>
      <w:r w:rsidRPr="007A4D4E">
        <w:t>(</w:t>
      </w:r>
      <w:proofErr w:type="spellStart"/>
      <w:r w:rsidRPr="007A4D4E">
        <w:rPr>
          <w:b/>
        </w:rPr>
        <w:t>Moller</w:t>
      </w:r>
      <w:proofErr w:type="spellEnd"/>
      <w:r w:rsidRPr="007A4D4E">
        <w:rPr>
          <w:b/>
        </w:rPr>
        <w:t xml:space="preserve"> et al., 2001).</w:t>
      </w:r>
    </w:p>
    <w:p w:rsidR="00F01E7D" w:rsidRPr="007A4D4E" w:rsidRDefault="000E2CA8" w:rsidP="0028759E">
      <w:pPr>
        <w:snapToGrid w:val="0"/>
        <w:ind w:firstLine="425"/>
        <w:jc w:val="both"/>
      </w:pPr>
      <w:r w:rsidRPr="007A4D4E">
        <w:t xml:space="preserve">Although myocardial dysfunction is observed in the early phases of cirrhosis, the LVEF may remain within normal limits because of the increase in the LV twist brought about by the increase in the LV preload and end-diastolic volume, and the decrease in the </w:t>
      </w:r>
      <w:proofErr w:type="spellStart"/>
      <w:r w:rsidRPr="007A4D4E">
        <w:t>afterload</w:t>
      </w:r>
      <w:proofErr w:type="spellEnd"/>
      <w:r w:rsidRPr="007A4D4E">
        <w:t>. For these reasons, when evaluating myocardial function using the 2D- STE method, the presence of CCM may be assessed during the subclinical stage in cirrhotic patients with preserved EF</w:t>
      </w:r>
      <w:r w:rsidR="00C45ECF" w:rsidRPr="007A4D4E">
        <w:t xml:space="preserve"> </w:t>
      </w:r>
      <w:r w:rsidRPr="007A4D4E">
        <w:t>(</w:t>
      </w:r>
      <w:proofErr w:type="spellStart"/>
      <w:r w:rsidRPr="007A4D4E">
        <w:rPr>
          <w:b/>
        </w:rPr>
        <w:t>Sengupta</w:t>
      </w:r>
      <w:proofErr w:type="spellEnd"/>
      <w:r w:rsidRPr="007A4D4E">
        <w:rPr>
          <w:b/>
        </w:rPr>
        <w:t xml:space="preserve"> et al., 2008)</w:t>
      </w:r>
      <w:r w:rsidRPr="007A4D4E">
        <w:t>.</w:t>
      </w:r>
    </w:p>
    <w:p w:rsidR="00F01E7D" w:rsidRPr="007A4D4E" w:rsidRDefault="000E2CA8" w:rsidP="0028759E">
      <w:pPr>
        <w:snapToGrid w:val="0"/>
        <w:ind w:firstLine="425"/>
        <w:jc w:val="both"/>
        <w:rPr>
          <w:lang w:eastAsia="zh-CN"/>
        </w:rPr>
      </w:pPr>
      <w:r w:rsidRPr="007A4D4E">
        <w:t xml:space="preserve">Echocardiography is an easily accessible imaging technique and the most widely used method to evaluate the cardiac function. Although several </w:t>
      </w:r>
      <w:proofErr w:type="spellStart"/>
      <w:r w:rsidRPr="007A4D4E">
        <w:t>echocardiogra</w:t>
      </w:r>
      <w:r w:rsidR="00C45ECF" w:rsidRPr="007A4D4E">
        <w:t>phi</w:t>
      </w:r>
      <w:proofErr w:type="spellEnd"/>
      <w:r w:rsidR="00C45ECF" w:rsidRPr="007A4D4E">
        <w:t xml:space="preserve"> </w:t>
      </w:r>
      <w:r w:rsidRPr="007A4D4E">
        <w:t xml:space="preserve">abnormalities have been described in cirrhosis, Conventional </w:t>
      </w:r>
      <w:proofErr w:type="spellStart"/>
      <w:r w:rsidRPr="007A4D4E">
        <w:t>echocardiographic</w:t>
      </w:r>
      <w:proofErr w:type="spellEnd"/>
      <w:r w:rsidRPr="007A4D4E">
        <w:t xml:space="preserve"> methods are frequently unable to detect abnormalities at rest and have limitations</w:t>
      </w:r>
      <w:r w:rsidR="00243581" w:rsidRPr="007A4D4E">
        <w:rPr>
          <w:rFonts w:hint="eastAsia"/>
          <w:lang w:eastAsia="zh-CN"/>
        </w:rPr>
        <w:t>.</w:t>
      </w:r>
    </w:p>
    <w:p w:rsidR="00F01E7D" w:rsidRPr="007A4D4E" w:rsidRDefault="000E2CA8" w:rsidP="0028759E">
      <w:pPr>
        <w:snapToGrid w:val="0"/>
        <w:ind w:firstLine="425"/>
        <w:jc w:val="both"/>
      </w:pPr>
      <w:r w:rsidRPr="007A4D4E">
        <w:t xml:space="preserve">On the other hand, Newer </w:t>
      </w:r>
      <w:proofErr w:type="spellStart"/>
      <w:r w:rsidRPr="007A4D4E">
        <w:t>echocardiographic</w:t>
      </w:r>
      <w:proofErr w:type="spellEnd"/>
      <w:r w:rsidRPr="007A4D4E">
        <w:t xml:space="preserve"> techniques may identify patients with functional impairment more accurately than conventional methods, newer </w:t>
      </w:r>
      <w:proofErr w:type="spellStart"/>
      <w:r w:rsidRPr="007A4D4E">
        <w:t>echocardiographic</w:t>
      </w:r>
      <w:proofErr w:type="spellEnd"/>
      <w:r w:rsidRPr="007A4D4E">
        <w:t xml:space="preserve"> modalities like tissue Doppler imaging are mandatory when evaluating diastolic function as conventional Doppler measures are highly dependent on loading conditions.(</w:t>
      </w:r>
      <w:proofErr w:type="spellStart"/>
      <w:r w:rsidRPr="007A4D4E">
        <w:rPr>
          <w:b/>
        </w:rPr>
        <w:t>Kasner</w:t>
      </w:r>
      <w:proofErr w:type="spellEnd"/>
      <w:r w:rsidRPr="007A4D4E">
        <w:rPr>
          <w:b/>
        </w:rPr>
        <w:t xml:space="preserve"> et al., 2007</w:t>
      </w:r>
      <w:r w:rsidRPr="007A4D4E">
        <w:t>)</w:t>
      </w:r>
      <w:r w:rsidR="00243581" w:rsidRPr="007A4D4E">
        <w:t>.</w:t>
      </w:r>
    </w:p>
    <w:p w:rsidR="00F01E7D" w:rsidRPr="007A4D4E" w:rsidRDefault="000E2CA8" w:rsidP="0028759E">
      <w:pPr>
        <w:snapToGrid w:val="0"/>
        <w:ind w:firstLine="425"/>
        <w:jc w:val="both"/>
      </w:pPr>
      <w:r w:rsidRPr="007A4D4E">
        <w:t xml:space="preserve">Also Because of myocardial architecture, </w:t>
      </w:r>
      <w:proofErr w:type="spellStart"/>
      <w:r w:rsidRPr="007A4D4E">
        <w:t>subendocardial</w:t>
      </w:r>
      <w:proofErr w:type="spellEnd"/>
      <w:r w:rsidRPr="007A4D4E">
        <w:t xml:space="preserve"> </w:t>
      </w:r>
      <w:proofErr w:type="spellStart"/>
      <w:r w:rsidRPr="007A4D4E">
        <w:t>fibres</w:t>
      </w:r>
      <w:proofErr w:type="spellEnd"/>
      <w:r w:rsidRPr="007A4D4E">
        <w:t xml:space="preserve"> are most susceptible to damage and longitudinal left ventricular function is the first to be affected in the presence of myocardial disease</w:t>
      </w:r>
      <w:r w:rsidR="00243581" w:rsidRPr="007A4D4E">
        <w:t>,</w:t>
      </w:r>
      <w:r w:rsidRPr="007A4D4E">
        <w:t xml:space="preserve"> </w:t>
      </w:r>
      <w:proofErr w:type="gramStart"/>
      <w:r w:rsidRPr="007A4D4E">
        <w:t>Several</w:t>
      </w:r>
      <w:proofErr w:type="gramEnd"/>
      <w:r w:rsidRPr="007A4D4E">
        <w:t xml:space="preserve"> limitations – like image </w:t>
      </w:r>
      <w:proofErr w:type="spellStart"/>
      <w:r w:rsidRPr="007A4D4E">
        <w:t>artefacts</w:t>
      </w:r>
      <w:proofErr w:type="spellEnd"/>
      <w:r w:rsidRPr="007A4D4E">
        <w:t xml:space="preserve"> and </w:t>
      </w:r>
      <w:r w:rsidRPr="007A4D4E">
        <w:lastRenderedPageBreak/>
        <w:t xml:space="preserve">dependence on </w:t>
      </w:r>
      <w:proofErr w:type="spellStart"/>
      <w:r w:rsidRPr="007A4D4E">
        <w:t>insonation</w:t>
      </w:r>
      <w:proofErr w:type="spellEnd"/>
      <w:r w:rsidRPr="007A4D4E">
        <w:t xml:space="preserve"> angle are acknowledged when using tissue-Doppler. Newer speckle-tracking derived strain may overcome some of these limitations resulting in better reproducibility</w:t>
      </w:r>
      <w:r w:rsidR="00F93198" w:rsidRPr="007A4D4E">
        <w:t xml:space="preserve"> </w:t>
      </w:r>
      <w:r w:rsidRPr="007A4D4E">
        <w:t>(</w:t>
      </w:r>
      <w:proofErr w:type="spellStart"/>
      <w:r w:rsidRPr="007A4D4E">
        <w:rPr>
          <w:b/>
        </w:rPr>
        <w:t>Poulsen</w:t>
      </w:r>
      <w:proofErr w:type="spellEnd"/>
      <w:r w:rsidRPr="007A4D4E">
        <w:rPr>
          <w:b/>
        </w:rPr>
        <w:t xml:space="preserve"> et al</w:t>
      </w:r>
      <w:r w:rsidR="00243581" w:rsidRPr="007A4D4E">
        <w:rPr>
          <w:b/>
        </w:rPr>
        <w:t>.</w:t>
      </w:r>
      <w:r w:rsidRPr="007A4D4E">
        <w:rPr>
          <w:b/>
        </w:rPr>
        <w:t>, 2005).</w:t>
      </w:r>
    </w:p>
    <w:p w:rsidR="00F01E7D" w:rsidRPr="007A4D4E" w:rsidRDefault="000E2CA8" w:rsidP="0028759E">
      <w:pPr>
        <w:snapToGrid w:val="0"/>
        <w:ind w:firstLine="425"/>
        <w:jc w:val="both"/>
      </w:pPr>
      <w:r w:rsidRPr="007A4D4E">
        <w:t xml:space="preserve">Our </w:t>
      </w:r>
      <w:proofErr w:type="gramStart"/>
      <w:r w:rsidRPr="007A4D4E">
        <w:t>finding</w:t>
      </w:r>
      <w:r w:rsidR="00243581" w:rsidRPr="007A4D4E">
        <w:t>,</w:t>
      </w:r>
      <w:proofErr w:type="gramEnd"/>
      <w:r w:rsidR="00243581" w:rsidRPr="007A4D4E">
        <w:t xml:space="preserve"> i</w:t>
      </w:r>
      <w:r w:rsidRPr="007A4D4E">
        <w:t xml:space="preserve">s in concordance with the results of </w:t>
      </w:r>
      <w:proofErr w:type="spellStart"/>
      <w:r w:rsidRPr="007A4D4E">
        <w:t>Refik</w:t>
      </w:r>
      <w:proofErr w:type="spellEnd"/>
      <w:r w:rsidRPr="007A4D4E">
        <w:t xml:space="preserve"> study that included 38 cirrhotic patients and 37 healthy individuals, were enrolled. Using 2D-STE, the strain (S) and systolic strain rate (SRS) values belonging to the radial circumferential, and Global longitudinal functions of the LV were measured and the Results revealed that In the cirrhotic group, the global longitudinal strain and strain rate (20.57 ± 2.1 vs.</w:t>
      </w:r>
    </w:p>
    <w:p w:rsidR="00F01E7D" w:rsidRPr="007A4D4E" w:rsidRDefault="000E2CA8" w:rsidP="0028759E">
      <w:pPr>
        <w:snapToGrid w:val="0"/>
        <w:ind w:firstLine="425"/>
        <w:jc w:val="both"/>
      </w:pPr>
      <w:r w:rsidRPr="007A4D4E">
        <w:t>28.7 ± 43.1, p&lt;0.001)</w:t>
      </w:r>
      <w:r w:rsidR="007A4D4E">
        <w:rPr>
          <w:rFonts w:hint="eastAsia"/>
          <w:lang w:eastAsia="zh-CN"/>
        </w:rPr>
        <w:t xml:space="preserve"> </w:t>
      </w:r>
      <w:r w:rsidRPr="007A4D4E">
        <w:t>values were found to be lower</w:t>
      </w:r>
      <w:r w:rsidR="007A4D4E">
        <w:rPr>
          <w:rFonts w:hint="eastAsia"/>
          <w:lang w:eastAsia="zh-CN"/>
        </w:rPr>
        <w:t xml:space="preserve"> </w:t>
      </w:r>
      <w:r w:rsidRPr="007A4D4E">
        <w:t>(</w:t>
      </w:r>
      <w:proofErr w:type="spellStart"/>
      <w:r w:rsidRPr="007A4D4E">
        <w:rPr>
          <w:b/>
        </w:rPr>
        <w:t>Refik</w:t>
      </w:r>
      <w:proofErr w:type="spellEnd"/>
      <w:r w:rsidRPr="007A4D4E">
        <w:rPr>
          <w:b/>
        </w:rPr>
        <w:t xml:space="preserve"> et al</w:t>
      </w:r>
      <w:r w:rsidR="00243581" w:rsidRPr="007A4D4E">
        <w:rPr>
          <w:b/>
        </w:rPr>
        <w:t>.</w:t>
      </w:r>
      <w:r w:rsidRPr="007A4D4E">
        <w:rPr>
          <w:b/>
        </w:rPr>
        <w:t>, 2014).</w:t>
      </w:r>
    </w:p>
    <w:p w:rsidR="00F01E7D" w:rsidRPr="007A4D4E" w:rsidRDefault="000E2CA8" w:rsidP="0028759E">
      <w:pPr>
        <w:snapToGrid w:val="0"/>
        <w:ind w:firstLine="425"/>
        <w:jc w:val="both"/>
      </w:pPr>
      <w:r w:rsidRPr="007A4D4E">
        <w:t xml:space="preserve">And the results in concordance with the result of Francisco study that included 109 hospitalized and ambulatory patients with cirrhosis and 18 healthy controls. Detailed </w:t>
      </w:r>
      <w:proofErr w:type="spellStart"/>
      <w:r w:rsidRPr="007A4D4E">
        <w:t>echocardiographic</w:t>
      </w:r>
      <w:proofErr w:type="spellEnd"/>
      <w:r w:rsidRPr="007A4D4E">
        <w:t xml:space="preserve"> evaluation was performed including </w:t>
      </w:r>
      <w:proofErr w:type="spellStart"/>
      <w:r w:rsidRPr="007A4D4E">
        <w:t>tissueDoppler</w:t>
      </w:r>
      <w:proofErr w:type="spellEnd"/>
      <w:r w:rsidRPr="007A4D4E">
        <w:t xml:space="preserve"> and speckle- tracking analysis. The results showed that Peak systolic longitudinal strain (PLS) was lower in patients. Ejection fraction was similar in patients and controls. Based on mitral- flow pattern, DD was present in 44 patients (40.4%) (</w:t>
      </w:r>
      <w:r w:rsidRPr="007A4D4E">
        <w:rPr>
          <w:b/>
        </w:rPr>
        <w:t xml:space="preserve">Francisco </w:t>
      </w:r>
      <w:proofErr w:type="spellStart"/>
      <w:r w:rsidRPr="007A4D4E">
        <w:rPr>
          <w:b/>
        </w:rPr>
        <w:t>Sampaio</w:t>
      </w:r>
      <w:proofErr w:type="spellEnd"/>
      <w:r w:rsidRPr="007A4D4E">
        <w:rPr>
          <w:b/>
        </w:rPr>
        <w:t xml:space="preserve"> et al.,</w:t>
      </w:r>
      <w:r w:rsidR="00C45ECF" w:rsidRPr="007A4D4E">
        <w:rPr>
          <w:b/>
        </w:rPr>
        <w:t xml:space="preserve"> </w:t>
      </w:r>
      <w:r w:rsidRPr="007A4D4E">
        <w:rPr>
          <w:b/>
        </w:rPr>
        <w:t>2013).</w:t>
      </w:r>
    </w:p>
    <w:p w:rsidR="00F01E7D" w:rsidRPr="007A4D4E" w:rsidRDefault="000E2CA8" w:rsidP="0028759E">
      <w:pPr>
        <w:snapToGrid w:val="0"/>
        <w:ind w:firstLine="425"/>
        <w:jc w:val="both"/>
      </w:pPr>
      <w:r w:rsidRPr="007A4D4E">
        <w:t>Also in concordance with the results of Sunil which revealed that Left ventricular diastolic dysfunction is commonly associated with advancement of hepatic dysfunction while systolic function is maintained till advanced hepatic failure. Peak early diastolic</w:t>
      </w:r>
      <w:r w:rsidR="00C45ECF" w:rsidRPr="007A4D4E">
        <w:t xml:space="preserve"> </w:t>
      </w:r>
      <w:r w:rsidRPr="007A4D4E">
        <w:t xml:space="preserve">wave velocity, deceleration time and E/e’ </w:t>
      </w:r>
      <w:proofErr w:type="gramStart"/>
      <w:r w:rsidRPr="007A4D4E">
        <w:t>ratio for left ventricular diastolic dysfunction are</w:t>
      </w:r>
      <w:proofErr w:type="gramEnd"/>
      <w:r w:rsidRPr="007A4D4E">
        <w:t xml:space="preserve"> accurately assessed by pulsed tissue Doppler imaging</w:t>
      </w:r>
      <w:r w:rsidR="00C45ECF" w:rsidRPr="007A4D4E">
        <w:t xml:space="preserve"> </w:t>
      </w:r>
      <w:r w:rsidRPr="007A4D4E">
        <w:t>(</w:t>
      </w:r>
      <w:r w:rsidRPr="007A4D4E">
        <w:rPr>
          <w:b/>
        </w:rPr>
        <w:t xml:space="preserve">Sunil </w:t>
      </w:r>
      <w:proofErr w:type="spellStart"/>
      <w:r w:rsidRPr="007A4D4E">
        <w:rPr>
          <w:b/>
        </w:rPr>
        <w:t>Dadhich</w:t>
      </w:r>
      <w:proofErr w:type="spellEnd"/>
      <w:r w:rsidRPr="007A4D4E">
        <w:rPr>
          <w:b/>
        </w:rPr>
        <w:t xml:space="preserve"> et al., 2014).</w:t>
      </w:r>
    </w:p>
    <w:p w:rsidR="00C45ECF" w:rsidRPr="007A4D4E" w:rsidRDefault="00C45ECF" w:rsidP="0028759E">
      <w:pPr>
        <w:snapToGrid w:val="0"/>
        <w:jc w:val="both"/>
      </w:pPr>
    </w:p>
    <w:p w:rsidR="00F01E7D" w:rsidRPr="007A4D4E" w:rsidRDefault="000E2CA8" w:rsidP="0028759E">
      <w:pPr>
        <w:snapToGrid w:val="0"/>
        <w:jc w:val="both"/>
      </w:pPr>
      <w:r w:rsidRPr="007A4D4E">
        <w:rPr>
          <w:b/>
        </w:rPr>
        <w:t>Conclusion:</w:t>
      </w:r>
    </w:p>
    <w:p w:rsidR="00F01E7D" w:rsidRPr="007A4D4E" w:rsidRDefault="000E2CA8" w:rsidP="0028759E">
      <w:pPr>
        <w:snapToGrid w:val="0"/>
        <w:ind w:firstLine="425"/>
        <w:jc w:val="both"/>
      </w:pPr>
      <w:r w:rsidRPr="007A4D4E">
        <w:t>Cirrhosis is associated with subclinical LV systolic dysfunction</w:t>
      </w:r>
      <w:r w:rsidR="00243581" w:rsidRPr="007A4D4E">
        <w:t>. I</w:t>
      </w:r>
      <w:r w:rsidRPr="007A4D4E">
        <w:t>n cirrhotic patients with early subclinical hea</w:t>
      </w:r>
      <w:r w:rsidR="00C45ECF" w:rsidRPr="007A4D4E">
        <w:t xml:space="preserve">rt </w:t>
      </w:r>
      <w:r w:rsidRPr="007A4D4E">
        <w:t>disease, myocardial dysfunction involves the left ventricle, and leads to impairment of systolic function.</w:t>
      </w:r>
      <w:r w:rsidR="00C45ECF" w:rsidRPr="007A4D4E">
        <w:t xml:space="preserve"> </w:t>
      </w:r>
      <w:r w:rsidRPr="007A4D4E">
        <w:t>The two-dimensional speckle</w:t>
      </w:r>
      <w:r w:rsidR="00C45ECF" w:rsidRPr="007A4D4E">
        <w:t xml:space="preserve"> </w:t>
      </w:r>
      <w:r w:rsidRPr="007A4D4E">
        <w:t xml:space="preserve">tracking Echocardiography technique appears to be a sensitive tool for early detection of </w:t>
      </w:r>
      <w:r w:rsidR="00C45ECF" w:rsidRPr="007A4D4E">
        <w:t>LV asymptomatic</w:t>
      </w:r>
      <w:r w:rsidRPr="007A4D4E">
        <w:t xml:space="preserve"> dysfunction in subjects with liver cirrhosis.</w:t>
      </w:r>
    </w:p>
    <w:p w:rsidR="00F01E7D" w:rsidRPr="007A4D4E" w:rsidRDefault="00F01E7D" w:rsidP="0028759E">
      <w:pPr>
        <w:snapToGrid w:val="0"/>
        <w:jc w:val="both"/>
      </w:pPr>
    </w:p>
    <w:p w:rsidR="00F01E7D" w:rsidRPr="007A4D4E" w:rsidRDefault="000E2CA8" w:rsidP="0028759E">
      <w:pPr>
        <w:snapToGrid w:val="0"/>
        <w:jc w:val="both"/>
      </w:pPr>
      <w:r w:rsidRPr="007A4D4E">
        <w:rPr>
          <w:b/>
        </w:rPr>
        <w:t>References:</w:t>
      </w:r>
    </w:p>
    <w:p w:rsidR="00F01E7D" w:rsidRPr="007A4D4E" w:rsidRDefault="000E2CA8" w:rsidP="00EE58A1">
      <w:pPr>
        <w:pStyle w:val="ListParagraph"/>
        <w:numPr>
          <w:ilvl w:val="0"/>
          <w:numId w:val="2"/>
        </w:numPr>
        <w:snapToGrid w:val="0"/>
        <w:jc w:val="both"/>
      </w:pPr>
      <w:proofErr w:type="spellStart"/>
      <w:r w:rsidRPr="007A4D4E">
        <w:t>Alqahtani</w:t>
      </w:r>
      <w:proofErr w:type="spellEnd"/>
      <w:r w:rsidRPr="007A4D4E">
        <w:t xml:space="preserve"> SA, </w:t>
      </w:r>
      <w:proofErr w:type="spellStart"/>
      <w:r w:rsidRPr="007A4D4E">
        <w:t>Fouad</w:t>
      </w:r>
      <w:proofErr w:type="spellEnd"/>
      <w:r w:rsidRPr="007A4D4E">
        <w:t xml:space="preserve"> TR, Lee SS (2008)</w:t>
      </w:r>
      <w:r w:rsidR="00243581" w:rsidRPr="007A4D4E">
        <w:t>:</w:t>
      </w:r>
      <w:r w:rsidRPr="007A4D4E">
        <w:t xml:space="preserve"> Cirrhotic </w:t>
      </w:r>
      <w:proofErr w:type="spellStart"/>
      <w:r w:rsidRPr="007A4D4E">
        <w:t>cardiomyopathy</w:t>
      </w:r>
      <w:proofErr w:type="spellEnd"/>
      <w:r w:rsidRPr="007A4D4E">
        <w:t xml:space="preserve">. </w:t>
      </w:r>
      <w:proofErr w:type="spellStart"/>
      <w:r w:rsidRPr="007A4D4E">
        <w:t>Semin</w:t>
      </w:r>
      <w:proofErr w:type="spellEnd"/>
      <w:r w:rsidRPr="007A4D4E">
        <w:t xml:space="preserve"> Liver Dis.</w:t>
      </w:r>
      <w:r w:rsidR="00243581" w:rsidRPr="007A4D4E">
        <w:t>;</w:t>
      </w:r>
      <w:r w:rsidRPr="007A4D4E">
        <w:t xml:space="preserve"> 28: 59–69.</w:t>
      </w:r>
    </w:p>
    <w:p w:rsidR="00F01E7D" w:rsidRPr="007A4D4E" w:rsidRDefault="000E2CA8" w:rsidP="00EE58A1">
      <w:pPr>
        <w:pStyle w:val="ListParagraph"/>
        <w:numPr>
          <w:ilvl w:val="0"/>
          <w:numId w:val="2"/>
        </w:numPr>
        <w:snapToGrid w:val="0"/>
        <w:jc w:val="both"/>
      </w:pPr>
      <w:r w:rsidRPr="007A4D4E">
        <w:t xml:space="preserve">Francisco </w:t>
      </w:r>
      <w:proofErr w:type="spellStart"/>
      <w:r w:rsidRPr="007A4D4E">
        <w:t>Sampaio</w:t>
      </w:r>
      <w:proofErr w:type="spellEnd"/>
      <w:r w:rsidRPr="007A4D4E">
        <w:t xml:space="preserve">, Joana </w:t>
      </w:r>
      <w:proofErr w:type="spellStart"/>
      <w:r w:rsidRPr="007A4D4E">
        <w:t>Pimenta</w:t>
      </w:r>
      <w:proofErr w:type="spellEnd"/>
      <w:r w:rsidRPr="007A4D4E">
        <w:t xml:space="preserve">, </w:t>
      </w:r>
      <w:proofErr w:type="spellStart"/>
      <w:r w:rsidRPr="007A4D4E">
        <w:t>Nuno</w:t>
      </w:r>
      <w:proofErr w:type="spellEnd"/>
      <w:r w:rsidRPr="007A4D4E">
        <w:t xml:space="preserve"> Bettencourt, Ricardo </w:t>
      </w:r>
      <w:proofErr w:type="spellStart"/>
      <w:r w:rsidRPr="007A4D4E">
        <w:t>Fontes-Carvalho</w:t>
      </w:r>
      <w:proofErr w:type="spellEnd"/>
      <w:r w:rsidRPr="007A4D4E">
        <w:t>, Ana P. Silva</w:t>
      </w:r>
      <w:r w:rsidR="00243581" w:rsidRPr="007A4D4E">
        <w:t>, J</w:t>
      </w:r>
      <w:r w:rsidRPr="007A4D4E">
        <w:t xml:space="preserve">oao </w:t>
      </w:r>
      <w:proofErr w:type="spellStart"/>
      <w:r w:rsidRPr="007A4D4E">
        <w:t>Valente</w:t>
      </w:r>
      <w:proofErr w:type="spellEnd"/>
      <w:r w:rsidRPr="007A4D4E">
        <w:t xml:space="preserve">, Paulo Bettencourt, Jose </w:t>
      </w:r>
      <w:proofErr w:type="spellStart"/>
      <w:r w:rsidRPr="007A4D4E">
        <w:t>Fraga</w:t>
      </w:r>
      <w:proofErr w:type="spellEnd"/>
      <w:r w:rsidRPr="007A4D4E">
        <w:t xml:space="preserve"> and Vasco Gama.</w:t>
      </w:r>
      <w:r w:rsidR="007A4D4E">
        <w:rPr>
          <w:rFonts w:hint="eastAsia"/>
          <w:lang w:eastAsia="zh-CN"/>
        </w:rPr>
        <w:t xml:space="preserve"> </w:t>
      </w:r>
      <w:r w:rsidRPr="007A4D4E">
        <w:t>(2013): Systolic and diastolic dysfunction in cirrhosis: a tissue-</w:t>
      </w:r>
      <w:r w:rsidRPr="007A4D4E">
        <w:lastRenderedPageBreak/>
        <w:t>Doppler and speckle tracking echocardiography study, Liver Int. 33: 1158–1165.</w:t>
      </w:r>
    </w:p>
    <w:p w:rsidR="00F01E7D" w:rsidRPr="007A4D4E" w:rsidRDefault="000E2CA8" w:rsidP="00EE58A1">
      <w:pPr>
        <w:pStyle w:val="ListParagraph"/>
        <w:numPr>
          <w:ilvl w:val="0"/>
          <w:numId w:val="2"/>
        </w:numPr>
        <w:snapToGrid w:val="0"/>
        <w:jc w:val="both"/>
      </w:pPr>
      <w:proofErr w:type="spellStart"/>
      <w:r w:rsidRPr="007A4D4E">
        <w:t>Kasner</w:t>
      </w:r>
      <w:proofErr w:type="spellEnd"/>
      <w:r w:rsidRPr="007A4D4E">
        <w:t xml:space="preserve"> M, </w:t>
      </w:r>
      <w:proofErr w:type="spellStart"/>
      <w:r w:rsidRPr="007A4D4E">
        <w:t>Westermann</w:t>
      </w:r>
      <w:proofErr w:type="spellEnd"/>
      <w:r w:rsidRPr="007A4D4E">
        <w:t xml:space="preserve"> D, </w:t>
      </w:r>
      <w:proofErr w:type="spellStart"/>
      <w:r w:rsidRPr="007A4D4E">
        <w:t>Steendijk</w:t>
      </w:r>
      <w:proofErr w:type="spellEnd"/>
      <w:r w:rsidRPr="007A4D4E">
        <w:t xml:space="preserve"> P (2007)</w:t>
      </w:r>
      <w:r w:rsidR="00243581" w:rsidRPr="007A4D4E">
        <w:t>:</w:t>
      </w:r>
      <w:r w:rsidRPr="007A4D4E">
        <w:t xml:space="preserve"> Utility of Doppler echocardiography and tissue Doppler imaging in the estimation of diastolic function in heart failure with normal ejection fraction: a comparative Doppler-conductance catheterization study. Circulation; 116: 637–47.</w:t>
      </w:r>
    </w:p>
    <w:p w:rsidR="00F01E7D" w:rsidRPr="007A4D4E" w:rsidRDefault="000E2CA8" w:rsidP="00EE58A1">
      <w:pPr>
        <w:pStyle w:val="ListParagraph"/>
        <w:numPr>
          <w:ilvl w:val="0"/>
          <w:numId w:val="2"/>
        </w:numPr>
        <w:snapToGrid w:val="0"/>
        <w:jc w:val="both"/>
      </w:pPr>
      <w:r w:rsidRPr="007A4D4E">
        <w:t>Lee RF, Glenn TK, Lee SS (2007)</w:t>
      </w:r>
      <w:r w:rsidR="00243581" w:rsidRPr="007A4D4E">
        <w:t>:</w:t>
      </w:r>
      <w:r w:rsidRPr="007A4D4E">
        <w:t xml:space="preserve"> Cardiac dysfunction in cirrhosis. Best </w:t>
      </w:r>
      <w:proofErr w:type="spellStart"/>
      <w:r w:rsidRPr="007A4D4E">
        <w:t>Pract</w:t>
      </w:r>
      <w:proofErr w:type="spellEnd"/>
      <w:r w:rsidRPr="007A4D4E">
        <w:t xml:space="preserve"> Res</w:t>
      </w:r>
      <w:r w:rsidR="00C45ECF" w:rsidRPr="007A4D4E">
        <w:t xml:space="preserve"> </w:t>
      </w:r>
      <w:proofErr w:type="spellStart"/>
      <w:r w:rsidRPr="007A4D4E">
        <w:t>Clin</w:t>
      </w:r>
      <w:proofErr w:type="spellEnd"/>
      <w:r w:rsidRPr="007A4D4E">
        <w:t xml:space="preserve"> </w:t>
      </w:r>
      <w:proofErr w:type="spellStart"/>
      <w:r w:rsidRPr="007A4D4E">
        <w:t>Gastroenterol</w:t>
      </w:r>
      <w:proofErr w:type="spellEnd"/>
      <w:r w:rsidR="00243581" w:rsidRPr="007A4D4E">
        <w:t>;</w:t>
      </w:r>
      <w:r w:rsidRPr="007A4D4E">
        <w:t xml:space="preserve"> 21: 125-140.</w:t>
      </w:r>
    </w:p>
    <w:p w:rsidR="00F01E7D" w:rsidRPr="007A4D4E" w:rsidRDefault="000E2CA8" w:rsidP="00EE58A1">
      <w:pPr>
        <w:pStyle w:val="ListParagraph"/>
        <w:numPr>
          <w:ilvl w:val="0"/>
          <w:numId w:val="2"/>
        </w:numPr>
        <w:snapToGrid w:val="0"/>
        <w:jc w:val="both"/>
      </w:pPr>
      <w:r w:rsidRPr="007A4D4E">
        <w:t>Leung DY, Ng AC (2010)</w:t>
      </w:r>
      <w:r w:rsidR="00243581" w:rsidRPr="007A4D4E">
        <w:t>:</w:t>
      </w:r>
      <w:r w:rsidRPr="007A4D4E">
        <w:t xml:space="preserve"> Emerging clinical role of strain imaging in echocardiography. Heart Lung Circulation</w:t>
      </w:r>
      <w:r w:rsidR="00243581" w:rsidRPr="007A4D4E">
        <w:t>;</w:t>
      </w:r>
      <w:r w:rsidRPr="007A4D4E">
        <w:t xml:space="preserve"> 19: 161-174.</w:t>
      </w:r>
    </w:p>
    <w:p w:rsidR="00F01E7D" w:rsidRPr="007A4D4E" w:rsidRDefault="000E2CA8" w:rsidP="00EE58A1">
      <w:pPr>
        <w:pStyle w:val="ListParagraph"/>
        <w:numPr>
          <w:ilvl w:val="0"/>
          <w:numId w:val="2"/>
        </w:numPr>
        <w:snapToGrid w:val="0"/>
        <w:jc w:val="both"/>
      </w:pPr>
      <w:proofErr w:type="spellStart"/>
      <w:r w:rsidRPr="007A4D4E">
        <w:t>Lossnitzer</w:t>
      </w:r>
      <w:proofErr w:type="spellEnd"/>
      <w:r w:rsidRPr="007A4D4E">
        <w:t xml:space="preserve"> D, Steen H, </w:t>
      </w:r>
      <w:proofErr w:type="spellStart"/>
      <w:r w:rsidRPr="007A4D4E">
        <w:t>Zahn</w:t>
      </w:r>
      <w:proofErr w:type="spellEnd"/>
      <w:r w:rsidRPr="007A4D4E">
        <w:t xml:space="preserve"> A,</w:t>
      </w:r>
      <w:r w:rsidR="00243581" w:rsidRPr="007A4D4E">
        <w:t xml:space="preserve"> </w:t>
      </w:r>
      <w:r w:rsidRPr="007A4D4E">
        <w:t>(2010)</w:t>
      </w:r>
      <w:r w:rsidR="00243581" w:rsidRPr="007A4D4E">
        <w:t>:</w:t>
      </w:r>
      <w:r w:rsidRPr="007A4D4E">
        <w:t xml:space="preserve"> Myocardial late </w:t>
      </w:r>
      <w:proofErr w:type="spellStart"/>
      <w:r w:rsidRPr="007A4D4E">
        <w:t>gado</w:t>
      </w:r>
      <w:proofErr w:type="spellEnd"/>
      <w:r w:rsidRPr="007A4D4E">
        <w:t xml:space="preserve"> </w:t>
      </w:r>
      <w:proofErr w:type="spellStart"/>
      <w:r w:rsidRPr="007A4D4E">
        <w:t>linium</w:t>
      </w:r>
      <w:proofErr w:type="spellEnd"/>
      <w:r w:rsidRPr="007A4D4E">
        <w:t xml:space="preserve"> enhancement cardiovascular magnetic resonance in patients with cirrhosis. J </w:t>
      </w:r>
      <w:proofErr w:type="spellStart"/>
      <w:r w:rsidRPr="007A4D4E">
        <w:t>Cardiovasc</w:t>
      </w:r>
      <w:proofErr w:type="spellEnd"/>
      <w:r w:rsidRPr="007A4D4E">
        <w:t xml:space="preserve"> </w:t>
      </w:r>
      <w:proofErr w:type="spellStart"/>
      <w:r w:rsidRPr="007A4D4E">
        <w:t>Magn</w:t>
      </w:r>
      <w:proofErr w:type="spellEnd"/>
      <w:r w:rsidRPr="007A4D4E">
        <w:t xml:space="preserve"> </w:t>
      </w:r>
      <w:proofErr w:type="spellStart"/>
      <w:r w:rsidRPr="007A4D4E">
        <w:t>Reson</w:t>
      </w:r>
      <w:proofErr w:type="spellEnd"/>
      <w:r w:rsidRPr="007A4D4E">
        <w:t>.; 12: 47.</w:t>
      </w:r>
    </w:p>
    <w:p w:rsidR="00F01E7D" w:rsidRPr="007A4D4E" w:rsidRDefault="000E2CA8" w:rsidP="00EE58A1">
      <w:pPr>
        <w:pStyle w:val="ListParagraph"/>
        <w:numPr>
          <w:ilvl w:val="0"/>
          <w:numId w:val="2"/>
        </w:numPr>
        <w:snapToGrid w:val="0"/>
        <w:jc w:val="both"/>
      </w:pPr>
      <w:proofErr w:type="spellStart"/>
      <w:r w:rsidRPr="007A4D4E">
        <w:t>Moller</w:t>
      </w:r>
      <w:proofErr w:type="spellEnd"/>
      <w:r w:rsidRPr="007A4D4E">
        <w:t xml:space="preserve"> S, </w:t>
      </w:r>
      <w:proofErr w:type="spellStart"/>
      <w:r w:rsidRPr="007A4D4E">
        <w:t>Henriksen</w:t>
      </w:r>
      <w:proofErr w:type="spellEnd"/>
      <w:r w:rsidRPr="007A4D4E">
        <w:t xml:space="preserve"> JH (2001): Cardiovascular dysfunction in cirrhosis. </w:t>
      </w:r>
      <w:proofErr w:type="spellStart"/>
      <w:r w:rsidRPr="007A4D4E">
        <w:t>Pathophysiological</w:t>
      </w:r>
      <w:proofErr w:type="spellEnd"/>
      <w:r w:rsidRPr="007A4D4E">
        <w:t xml:space="preserve"> evidence of a cirrhotic </w:t>
      </w:r>
      <w:proofErr w:type="spellStart"/>
      <w:r w:rsidRPr="007A4D4E">
        <w:t>cardiomyopathy</w:t>
      </w:r>
      <w:proofErr w:type="spellEnd"/>
      <w:r w:rsidRPr="007A4D4E">
        <w:t>. Scand J Gastroenterology</w:t>
      </w:r>
      <w:r w:rsidR="00C45ECF" w:rsidRPr="007A4D4E">
        <w:t>.</w:t>
      </w:r>
      <w:r w:rsidRPr="007A4D4E">
        <w:t>36: 785-794.</w:t>
      </w:r>
    </w:p>
    <w:p w:rsidR="00F01E7D" w:rsidRPr="007A4D4E" w:rsidRDefault="000E2CA8" w:rsidP="00EE58A1">
      <w:pPr>
        <w:pStyle w:val="ListParagraph"/>
        <w:numPr>
          <w:ilvl w:val="0"/>
          <w:numId w:val="2"/>
        </w:numPr>
        <w:snapToGrid w:val="0"/>
        <w:jc w:val="both"/>
      </w:pPr>
      <w:r w:rsidRPr="007A4D4E">
        <w:t xml:space="preserve">Myers RP, Lee SS (2000): Cirrhotic </w:t>
      </w:r>
      <w:proofErr w:type="spellStart"/>
      <w:r w:rsidRPr="007A4D4E">
        <w:t>cardiomyopathy</w:t>
      </w:r>
      <w:proofErr w:type="spellEnd"/>
      <w:r w:rsidRPr="007A4D4E">
        <w:t xml:space="preserve"> and liver transplantation. Liver</w:t>
      </w:r>
      <w:r w:rsidR="00C45ECF" w:rsidRPr="007A4D4E">
        <w:t xml:space="preserve"> </w:t>
      </w:r>
      <w:proofErr w:type="spellStart"/>
      <w:r w:rsidRPr="007A4D4E">
        <w:t>Transpl</w:t>
      </w:r>
      <w:proofErr w:type="spellEnd"/>
      <w:r w:rsidRPr="007A4D4E">
        <w:t>. 2004; 10: 1441-1453.</w:t>
      </w:r>
    </w:p>
    <w:p w:rsidR="00F01E7D" w:rsidRPr="007A4D4E" w:rsidRDefault="000E2CA8" w:rsidP="00EE58A1">
      <w:pPr>
        <w:pStyle w:val="ListParagraph"/>
        <w:numPr>
          <w:ilvl w:val="0"/>
          <w:numId w:val="2"/>
        </w:numPr>
        <w:snapToGrid w:val="0"/>
        <w:jc w:val="both"/>
      </w:pPr>
      <w:proofErr w:type="spellStart"/>
      <w:r w:rsidRPr="007A4D4E">
        <w:t>Poulsen</w:t>
      </w:r>
      <w:proofErr w:type="spellEnd"/>
      <w:r w:rsidRPr="007A4D4E">
        <w:t xml:space="preserve"> SH, Andersen NH, </w:t>
      </w:r>
      <w:proofErr w:type="spellStart"/>
      <w:r w:rsidRPr="007A4D4E">
        <w:t>Heickendorff</w:t>
      </w:r>
      <w:proofErr w:type="spellEnd"/>
      <w:r w:rsidRPr="007A4D4E">
        <w:t xml:space="preserve"> L, </w:t>
      </w:r>
      <w:proofErr w:type="spellStart"/>
      <w:r w:rsidRPr="007A4D4E">
        <w:t>Mogensen</w:t>
      </w:r>
      <w:proofErr w:type="spellEnd"/>
      <w:r w:rsidR="007A4D4E">
        <w:rPr>
          <w:rFonts w:hint="eastAsia"/>
          <w:lang w:eastAsia="zh-CN"/>
        </w:rPr>
        <w:t xml:space="preserve"> </w:t>
      </w:r>
      <w:r w:rsidRPr="007A4D4E">
        <w:t xml:space="preserve">CE (2005): Relation between plasma amino-terminal </w:t>
      </w:r>
      <w:proofErr w:type="spellStart"/>
      <w:r w:rsidRPr="007A4D4E">
        <w:t>propeptide</w:t>
      </w:r>
      <w:proofErr w:type="spellEnd"/>
      <w:r w:rsidRPr="007A4D4E">
        <w:t xml:space="preserve"> of </w:t>
      </w:r>
      <w:proofErr w:type="spellStart"/>
      <w:r w:rsidRPr="007A4D4E">
        <w:t>procollagen</w:t>
      </w:r>
      <w:proofErr w:type="spellEnd"/>
      <w:r w:rsidRPr="007A4D4E">
        <w:t xml:space="preserve"> type III and left ventricular longitudinal strain i</w:t>
      </w:r>
      <w:r w:rsidR="007A4D4E">
        <w:t>n essential hypertension. Heart</w:t>
      </w:r>
      <w:r w:rsidRPr="007A4D4E">
        <w:t>; 91: 624–9.</w:t>
      </w:r>
    </w:p>
    <w:p w:rsidR="00F01E7D" w:rsidRPr="007A4D4E" w:rsidRDefault="000E2CA8" w:rsidP="00EE58A1">
      <w:pPr>
        <w:pStyle w:val="ListParagraph"/>
        <w:numPr>
          <w:ilvl w:val="0"/>
          <w:numId w:val="2"/>
        </w:numPr>
        <w:snapToGrid w:val="0"/>
        <w:jc w:val="both"/>
      </w:pPr>
      <w:proofErr w:type="spellStart"/>
      <w:r w:rsidRPr="007A4D4E">
        <w:t>Rabie</w:t>
      </w:r>
      <w:proofErr w:type="spellEnd"/>
      <w:r w:rsidRPr="007A4D4E">
        <w:t xml:space="preserve"> RN, </w:t>
      </w:r>
      <w:proofErr w:type="spellStart"/>
      <w:r w:rsidRPr="007A4D4E">
        <w:t>Cazzaniga</w:t>
      </w:r>
      <w:proofErr w:type="spellEnd"/>
      <w:r w:rsidRPr="007A4D4E">
        <w:t xml:space="preserve"> M, </w:t>
      </w:r>
      <w:proofErr w:type="gramStart"/>
      <w:r w:rsidRPr="007A4D4E">
        <w:t>Salerno</w:t>
      </w:r>
      <w:proofErr w:type="gramEnd"/>
      <w:r w:rsidRPr="007A4D4E">
        <w:t xml:space="preserve"> F, Wong F. (2009): The use of E/A ratio as a predictor of outcome in cirrhotic patients treated with </w:t>
      </w:r>
      <w:proofErr w:type="spellStart"/>
      <w:r w:rsidRPr="007A4D4E">
        <w:lastRenderedPageBreak/>
        <w:t>transjugular</w:t>
      </w:r>
      <w:proofErr w:type="spellEnd"/>
      <w:r w:rsidRPr="007A4D4E">
        <w:t xml:space="preserve"> </w:t>
      </w:r>
      <w:proofErr w:type="spellStart"/>
      <w:r w:rsidRPr="007A4D4E">
        <w:t>intrahepatic</w:t>
      </w:r>
      <w:proofErr w:type="spellEnd"/>
      <w:r w:rsidRPr="007A4D4E">
        <w:t xml:space="preserve"> </w:t>
      </w:r>
      <w:proofErr w:type="spellStart"/>
      <w:r w:rsidRPr="007A4D4E">
        <w:t>portosystemic</w:t>
      </w:r>
      <w:proofErr w:type="spellEnd"/>
      <w:r w:rsidRPr="007A4D4E">
        <w:t xml:space="preserve"> shunt. Am J </w:t>
      </w:r>
      <w:proofErr w:type="spellStart"/>
      <w:proofErr w:type="gramStart"/>
      <w:r w:rsidRPr="007A4D4E">
        <w:t>Gastroenterol</w:t>
      </w:r>
      <w:proofErr w:type="spellEnd"/>
      <w:r w:rsidRPr="007A4D4E">
        <w:t>.;</w:t>
      </w:r>
      <w:proofErr w:type="gramEnd"/>
      <w:r w:rsidRPr="007A4D4E">
        <w:t xml:space="preserve"> 104: 2458-2466.</w:t>
      </w:r>
    </w:p>
    <w:p w:rsidR="00F01E7D" w:rsidRPr="007A4D4E" w:rsidRDefault="000E2CA8" w:rsidP="00EE58A1">
      <w:pPr>
        <w:pStyle w:val="ListParagraph"/>
        <w:numPr>
          <w:ilvl w:val="0"/>
          <w:numId w:val="2"/>
        </w:numPr>
        <w:snapToGrid w:val="0"/>
        <w:jc w:val="both"/>
      </w:pPr>
      <w:proofErr w:type="spellStart"/>
      <w:r w:rsidRPr="007A4D4E">
        <w:t>Refik</w:t>
      </w:r>
      <w:proofErr w:type="spellEnd"/>
      <w:r w:rsidRPr="007A4D4E">
        <w:t xml:space="preserve"> </w:t>
      </w:r>
      <w:proofErr w:type="spellStart"/>
      <w:r w:rsidRPr="007A4D4E">
        <w:t>Emre</w:t>
      </w:r>
      <w:proofErr w:type="spellEnd"/>
      <w:r w:rsidRPr="007A4D4E">
        <w:t xml:space="preserve"> </w:t>
      </w:r>
      <w:proofErr w:type="spellStart"/>
      <w:r w:rsidRPr="007A4D4E">
        <w:t>Altekin</w:t>
      </w:r>
      <w:proofErr w:type="spellEnd"/>
      <w:r w:rsidRPr="007A4D4E">
        <w:t xml:space="preserve">, </w:t>
      </w:r>
      <w:proofErr w:type="spellStart"/>
      <w:r w:rsidRPr="007A4D4E">
        <w:t>Burcu</w:t>
      </w:r>
      <w:proofErr w:type="spellEnd"/>
      <w:r w:rsidRPr="007A4D4E">
        <w:t xml:space="preserve"> </w:t>
      </w:r>
      <w:proofErr w:type="spellStart"/>
      <w:r w:rsidRPr="007A4D4E">
        <w:t>Cagiar</w:t>
      </w:r>
      <w:proofErr w:type="spellEnd"/>
      <w:r w:rsidRPr="007A4D4E">
        <w:t xml:space="preserve">, Mustafa </w:t>
      </w:r>
      <w:proofErr w:type="spellStart"/>
      <w:r w:rsidRPr="007A4D4E">
        <w:t>Serkan</w:t>
      </w:r>
      <w:proofErr w:type="spellEnd"/>
      <w:r w:rsidRPr="007A4D4E">
        <w:t xml:space="preserve"> Karakas, </w:t>
      </w:r>
      <w:proofErr w:type="spellStart"/>
      <w:r w:rsidRPr="007A4D4E">
        <w:t>Deniz</w:t>
      </w:r>
      <w:proofErr w:type="spellEnd"/>
      <w:r w:rsidRPr="007A4D4E">
        <w:t xml:space="preserve"> </w:t>
      </w:r>
      <w:proofErr w:type="spellStart"/>
      <w:r w:rsidRPr="007A4D4E">
        <w:t>Ozel</w:t>
      </w:r>
      <w:proofErr w:type="spellEnd"/>
      <w:r w:rsidRPr="007A4D4E">
        <w:t xml:space="preserve">, </w:t>
      </w:r>
      <w:proofErr w:type="spellStart"/>
      <w:r w:rsidRPr="007A4D4E">
        <w:t>necmi</w:t>
      </w:r>
      <w:proofErr w:type="spellEnd"/>
      <w:r w:rsidRPr="007A4D4E">
        <w:t xml:space="preserve"> </w:t>
      </w:r>
      <w:proofErr w:type="spellStart"/>
      <w:r w:rsidRPr="007A4D4E">
        <w:t>Deger</w:t>
      </w:r>
      <w:proofErr w:type="spellEnd"/>
      <w:r w:rsidRPr="007A4D4E">
        <w:t xml:space="preserve">, </w:t>
      </w:r>
      <w:proofErr w:type="spellStart"/>
      <w:r w:rsidRPr="007A4D4E">
        <w:t>ibrahim</w:t>
      </w:r>
      <w:proofErr w:type="spellEnd"/>
      <w:r w:rsidRPr="007A4D4E">
        <w:t xml:space="preserve"> </w:t>
      </w:r>
      <w:proofErr w:type="spellStart"/>
      <w:r w:rsidRPr="007A4D4E">
        <w:t>Demir</w:t>
      </w:r>
      <w:proofErr w:type="spellEnd"/>
      <w:r w:rsidRPr="007A4D4E">
        <w:t xml:space="preserve"> (2014): Evaluation of Subclinical Left Ventricular Systolic Dysfunction Using Two-Dimensional Speckle</w:t>
      </w:r>
      <w:r w:rsidR="00C45ECF" w:rsidRPr="007A4D4E">
        <w:t xml:space="preserve"> </w:t>
      </w:r>
      <w:r w:rsidRPr="007A4D4E">
        <w:t>Tracking Echocardiography in Patients with Non</w:t>
      </w:r>
      <w:r w:rsidR="00C45ECF" w:rsidRPr="007A4D4E">
        <w:t xml:space="preserve"> </w:t>
      </w:r>
      <w:r w:rsidRPr="007A4D4E">
        <w:t xml:space="preserve">Alcoholic Cirrhosis. Hellenic J </w:t>
      </w:r>
      <w:proofErr w:type="spellStart"/>
      <w:proofErr w:type="gramStart"/>
      <w:r w:rsidRPr="007A4D4E">
        <w:t>Cardiol</w:t>
      </w:r>
      <w:proofErr w:type="spellEnd"/>
      <w:r w:rsidRPr="007A4D4E">
        <w:t>.;</w:t>
      </w:r>
      <w:proofErr w:type="gramEnd"/>
      <w:r w:rsidRPr="007A4D4E">
        <w:t xml:space="preserve"> 55: 402410.</w:t>
      </w:r>
    </w:p>
    <w:p w:rsidR="00F01E7D" w:rsidRPr="007A4D4E" w:rsidRDefault="000E2CA8" w:rsidP="00EE58A1">
      <w:pPr>
        <w:pStyle w:val="ListParagraph"/>
        <w:numPr>
          <w:ilvl w:val="0"/>
          <w:numId w:val="2"/>
        </w:numPr>
        <w:snapToGrid w:val="0"/>
        <w:jc w:val="both"/>
      </w:pPr>
      <w:proofErr w:type="spellStart"/>
      <w:r w:rsidRPr="007A4D4E">
        <w:t>Sengupta</w:t>
      </w:r>
      <w:proofErr w:type="spellEnd"/>
      <w:r w:rsidRPr="007A4D4E">
        <w:t xml:space="preserve"> PP, Tajik AJ, </w:t>
      </w:r>
      <w:proofErr w:type="spellStart"/>
      <w:proofErr w:type="gramStart"/>
      <w:r w:rsidRPr="007A4D4E">
        <w:t>Chandrasekaran</w:t>
      </w:r>
      <w:proofErr w:type="spellEnd"/>
      <w:proofErr w:type="gramEnd"/>
      <w:r w:rsidRPr="007A4D4E">
        <w:t xml:space="preserve"> K, </w:t>
      </w:r>
      <w:proofErr w:type="spellStart"/>
      <w:r w:rsidRPr="007A4D4E">
        <w:t>Khandheria</w:t>
      </w:r>
      <w:proofErr w:type="spellEnd"/>
      <w:r w:rsidRPr="007A4D4E">
        <w:t xml:space="preserve"> </w:t>
      </w:r>
      <w:proofErr w:type="spellStart"/>
      <w:r w:rsidRPr="007A4D4E">
        <w:t>BK.m</w:t>
      </w:r>
      <w:proofErr w:type="spellEnd"/>
      <w:r w:rsidRPr="007A4D4E">
        <w:t xml:space="preserve"> (2008)</w:t>
      </w:r>
      <w:r w:rsidR="00243581" w:rsidRPr="007A4D4E">
        <w:t>:</w:t>
      </w:r>
      <w:r w:rsidRPr="007A4D4E">
        <w:t xml:space="preserve"> Twist mechanics of the left ventricle: principles and application. JACC </w:t>
      </w:r>
      <w:proofErr w:type="spellStart"/>
      <w:r w:rsidRPr="007A4D4E">
        <w:t>Cardiovasc</w:t>
      </w:r>
      <w:proofErr w:type="spellEnd"/>
      <w:r w:rsidRPr="007A4D4E">
        <w:t xml:space="preserve"> Imaging.; 1: 366-376.</w:t>
      </w:r>
    </w:p>
    <w:p w:rsidR="00F01E7D" w:rsidRPr="007A4D4E" w:rsidRDefault="000E2CA8" w:rsidP="00EE58A1">
      <w:pPr>
        <w:pStyle w:val="ListParagraph"/>
        <w:numPr>
          <w:ilvl w:val="0"/>
          <w:numId w:val="2"/>
        </w:numPr>
        <w:snapToGrid w:val="0"/>
        <w:jc w:val="both"/>
      </w:pPr>
      <w:r w:rsidRPr="007A4D4E">
        <w:t xml:space="preserve">Sunil </w:t>
      </w:r>
      <w:proofErr w:type="spellStart"/>
      <w:r w:rsidRPr="007A4D4E">
        <w:t>Dadhich</w:t>
      </w:r>
      <w:proofErr w:type="spellEnd"/>
      <w:r w:rsidRPr="007A4D4E">
        <w:t xml:space="preserve">, </w:t>
      </w:r>
      <w:proofErr w:type="spellStart"/>
      <w:r w:rsidRPr="007A4D4E">
        <w:t>Amitava</w:t>
      </w:r>
      <w:proofErr w:type="spellEnd"/>
      <w:r w:rsidRPr="007A4D4E">
        <w:t xml:space="preserve"> </w:t>
      </w:r>
      <w:proofErr w:type="spellStart"/>
      <w:r w:rsidRPr="007A4D4E">
        <w:t>Goswami</w:t>
      </w:r>
      <w:proofErr w:type="spellEnd"/>
      <w:r w:rsidR="00243581" w:rsidRPr="007A4D4E">
        <w:t>,</w:t>
      </w:r>
      <w:r w:rsidRPr="007A4D4E">
        <w:t xml:space="preserve"> </w:t>
      </w:r>
      <w:proofErr w:type="spellStart"/>
      <w:r w:rsidRPr="007A4D4E">
        <w:t>Vinit</w:t>
      </w:r>
      <w:proofErr w:type="spellEnd"/>
      <w:r w:rsidRPr="007A4D4E">
        <w:t xml:space="preserve"> Kumar Jain, </w:t>
      </w:r>
      <w:proofErr w:type="spellStart"/>
      <w:r w:rsidRPr="007A4D4E">
        <w:t>Ankur</w:t>
      </w:r>
      <w:proofErr w:type="spellEnd"/>
      <w:r w:rsidRPr="007A4D4E">
        <w:t xml:space="preserve"> </w:t>
      </w:r>
      <w:proofErr w:type="spellStart"/>
      <w:r w:rsidRPr="007A4D4E">
        <w:t>Gahlot</w:t>
      </w:r>
      <w:proofErr w:type="spellEnd"/>
      <w:r w:rsidR="00243581" w:rsidRPr="007A4D4E">
        <w:t>,</w:t>
      </w:r>
      <w:r w:rsidRPr="007A4D4E">
        <w:t xml:space="preserve"> </w:t>
      </w:r>
      <w:proofErr w:type="spellStart"/>
      <w:r w:rsidRPr="007A4D4E">
        <w:t>Ganaraj</w:t>
      </w:r>
      <w:proofErr w:type="spellEnd"/>
      <w:r w:rsidRPr="007A4D4E">
        <w:t xml:space="preserve"> </w:t>
      </w:r>
      <w:proofErr w:type="spellStart"/>
      <w:r w:rsidRPr="007A4D4E">
        <w:t>Kulamarva</w:t>
      </w:r>
      <w:proofErr w:type="spellEnd"/>
      <w:r w:rsidR="00243581" w:rsidRPr="007A4D4E">
        <w:t>,</w:t>
      </w:r>
      <w:r w:rsidRPr="007A4D4E">
        <w:t xml:space="preserve"> </w:t>
      </w:r>
      <w:proofErr w:type="spellStart"/>
      <w:r w:rsidRPr="007A4D4E">
        <w:t>Narendra</w:t>
      </w:r>
      <w:proofErr w:type="spellEnd"/>
      <w:r w:rsidRPr="007A4D4E">
        <w:t xml:space="preserve"> </w:t>
      </w:r>
      <w:proofErr w:type="spellStart"/>
      <w:r w:rsidRPr="007A4D4E">
        <w:t>Bhargava</w:t>
      </w:r>
      <w:proofErr w:type="spellEnd"/>
      <w:r w:rsidRPr="007A4D4E">
        <w:t xml:space="preserve"> (2014)</w:t>
      </w:r>
      <w:r w:rsidR="00243581" w:rsidRPr="007A4D4E">
        <w:t>:</w:t>
      </w:r>
      <w:r w:rsidRPr="007A4D4E">
        <w:t xml:space="preserve"> Cardiac dysfunction in cirrhotic portal hypertension with or without </w:t>
      </w:r>
      <w:proofErr w:type="spellStart"/>
      <w:r w:rsidRPr="007A4D4E">
        <w:t>ascites</w:t>
      </w:r>
      <w:proofErr w:type="spellEnd"/>
      <w:r w:rsidRPr="007A4D4E">
        <w:t>, Annals of Gastroenterology. 27, 1-6.</w:t>
      </w:r>
    </w:p>
    <w:p w:rsidR="00F01E7D" w:rsidRPr="007A4D4E" w:rsidRDefault="000E2CA8" w:rsidP="00EE58A1">
      <w:pPr>
        <w:pStyle w:val="ListParagraph"/>
        <w:numPr>
          <w:ilvl w:val="0"/>
          <w:numId w:val="2"/>
        </w:numPr>
        <w:snapToGrid w:val="0"/>
        <w:jc w:val="both"/>
      </w:pPr>
      <w:proofErr w:type="spellStart"/>
      <w:r w:rsidRPr="007A4D4E">
        <w:t>Therapondos</w:t>
      </w:r>
      <w:proofErr w:type="spellEnd"/>
      <w:r w:rsidRPr="007A4D4E">
        <w:t xml:space="preserve"> G, </w:t>
      </w:r>
      <w:proofErr w:type="spellStart"/>
      <w:r w:rsidRPr="007A4D4E">
        <w:t>Flapan</w:t>
      </w:r>
      <w:proofErr w:type="spellEnd"/>
      <w:r w:rsidRPr="007A4D4E">
        <w:t xml:space="preserve"> AD, </w:t>
      </w:r>
      <w:proofErr w:type="spellStart"/>
      <w:proofErr w:type="gramStart"/>
      <w:r w:rsidRPr="007A4D4E">
        <w:t>Plevris</w:t>
      </w:r>
      <w:proofErr w:type="spellEnd"/>
      <w:proofErr w:type="gramEnd"/>
      <w:r w:rsidRPr="007A4D4E">
        <w:t xml:space="preserve"> JN, Hayes PC (2004): Cardiac morbidity and mortality related to </w:t>
      </w:r>
      <w:proofErr w:type="spellStart"/>
      <w:r w:rsidRPr="007A4D4E">
        <w:t>orthotopic</w:t>
      </w:r>
      <w:proofErr w:type="spellEnd"/>
      <w:r w:rsidRPr="007A4D4E">
        <w:t xml:space="preserve"> liver transplantation. Liver </w:t>
      </w:r>
      <w:proofErr w:type="spellStart"/>
      <w:proofErr w:type="gramStart"/>
      <w:r w:rsidRPr="007A4D4E">
        <w:t>Transpl</w:t>
      </w:r>
      <w:proofErr w:type="spellEnd"/>
      <w:r w:rsidRPr="007A4D4E">
        <w:t>.;</w:t>
      </w:r>
      <w:proofErr w:type="gramEnd"/>
      <w:r w:rsidRPr="007A4D4E">
        <w:t xml:space="preserve"> 10: 1441-1453.</w:t>
      </w:r>
    </w:p>
    <w:p w:rsidR="00F01E7D" w:rsidRPr="007A4D4E" w:rsidRDefault="000E2CA8" w:rsidP="00EE58A1">
      <w:pPr>
        <w:pStyle w:val="ListParagraph"/>
        <w:numPr>
          <w:ilvl w:val="0"/>
          <w:numId w:val="2"/>
        </w:numPr>
        <w:snapToGrid w:val="0"/>
        <w:jc w:val="both"/>
      </w:pPr>
      <w:r w:rsidRPr="007A4D4E">
        <w:t xml:space="preserve">Wong F, </w:t>
      </w:r>
      <w:proofErr w:type="spellStart"/>
      <w:r w:rsidRPr="007A4D4E">
        <w:t>Siu</w:t>
      </w:r>
      <w:proofErr w:type="spellEnd"/>
      <w:r w:rsidRPr="007A4D4E">
        <w:t xml:space="preserve"> S, Liu P, </w:t>
      </w:r>
      <w:proofErr w:type="spellStart"/>
      <w:r w:rsidRPr="007A4D4E">
        <w:t>Blendis</w:t>
      </w:r>
      <w:proofErr w:type="spellEnd"/>
      <w:r w:rsidRPr="007A4D4E">
        <w:t xml:space="preserve"> LM</w:t>
      </w:r>
      <w:proofErr w:type="gramStart"/>
      <w:r w:rsidRPr="007A4D4E">
        <w:t>.(</w:t>
      </w:r>
      <w:proofErr w:type="gramEnd"/>
      <w:r w:rsidRPr="007A4D4E">
        <w:t xml:space="preserve"> 2010)</w:t>
      </w:r>
      <w:r w:rsidR="00243581" w:rsidRPr="007A4D4E">
        <w:t>:</w:t>
      </w:r>
      <w:r w:rsidRPr="007A4D4E">
        <w:t xml:space="preserve"> Brain </w:t>
      </w:r>
      <w:proofErr w:type="spellStart"/>
      <w:r w:rsidRPr="007A4D4E">
        <w:t>natriuretic</w:t>
      </w:r>
      <w:proofErr w:type="spellEnd"/>
      <w:r w:rsidRPr="007A4D4E">
        <w:t xml:space="preserve"> peptide: is it a predictor of </w:t>
      </w:r>
      <w:proofErr w:type="spellStart"/>
      <w:r w:rsidRPr="007A4D4E">
        <w:t>cardiomyopathy</w:t>
      </w:r>
      <w:proofErr w:type="spellEnd"/>
      <w:r w:rsidRPr="007A4D4E">
        <w:t xml:space="preserve"> in cirrhosis? </w:t>
      </w:r>
      <w:proofErr w:type="spellStart"/>
      <w:r w:rsidRPr="007A4D4E">
        <w:t>Clin</w:t>
      </w:r>
      <w:proofErr w:type="spellEnd"/>
      <w:r w:rsidRPr="007A4D4E">
        <w:t xml:space="preserve"> </w:t>
      </w:r>
      <w:proofErr w:type="spellStart"/>
      <w:r w:rsidRPr="007A4D4E">
        <w:t>Sci</w:t>
      </w:r>
      <w:proofErr w:type="spellEnd"/>
      <w:r w:rsidRPr="007A4D4E">
        <w:t xml:space="preserve"> (</w:t>
      </w:r>
      <w:proofErr w:type="spellStart"/>
      <w:r w:rsidRPr="007A4D4E">
        <w:t>Lond</w:t>
      </w:r>
      <w:proofErr w:type="spellEnd"/>
      <w:r w:rsidRPr="007A4D4E">
        <w:t>); 101: 621-628.</w:t>
      </w:r>
    </w:p>
    <w:p w:rsidR="00F01E7D" w:rsidRPr="007A4D4E" w:rsidRDefault="000E2CA8" w:rsidP="00EE58A1">
      <w:pPr>
        <w:pStyle w:val="ListParagraph"/>
        <w:numPr>
          <w:ilvl w:val="0"/>
          <w:numId w:val="2"/>
        </w:numPr>
        <w:snapToGrid w:val="0"/>
        <w:jc w:val="both"/>
      </w:pPr>
      <w:proofErr w:type="spellStart"/>
      <w:r w:rsidRPr="007A4D4E">
        <w:t>Yildiz</w:t>
      </w:r>
      <w:proofErr w:type="spellEnd"/>
      <w:r w:rsidRPr="007A4D4E">
        <w:t xml:space="preserve"> R, </w:t>
      </w:r>
      <w:proofErr w:type="spellStart"/>
      <w:r w:rsidRPr="007A4D4E">
        <w:t>Yildirim</w:t>
      </w:r>
      <w:proofErr w:type="spellEnd"/>
      <w:r w:rsidRPr="007A4D4E">
        <w:t xml:space="preserve"> B, </w:t>
      </w:r>
      <w:proofErr w:type="spellStart"/>
      <w:r w:rsidRPr="007A4D4E">
        <w:t>Karincaoglu</w:t>
      </w:r>
      <w:proofErr w:type="spellEnd"/>
      <w:r w:rsidRPr="007A4D4E">
        <w:t xml:space="preserve"> M, </w:t>
      </w:r>
      <w:proofErr w:type="spellStart"/>
      <w:r w:rsidRPr="007A4D4E">
        <w:t>Harputluoglu</w:t>
      </w:r>
      <w:proofErr w:type="spellEnd"/>
      <w:r w:rsidRPr="007A4D4E">
        <w:t xml:space="preserve"> M, </w:t>
      </w:r>
      <w:proofErr w:type="spellStart"/>
      <w:r w:rsidRPr="007A4D4E">
        <w:t>Hilmioglu</w:t>
      </w:r>
      <w:proofErr w:type="spellEnd"/>
      <w:r w:rsidRPr="007A4D4E">
        <w:t xml:space="preserve"> F (2005): Brain </w:t>
      </w:r>
      <w:proofErr w:type="spellStart"/>
      <w:r w:rsidRPr="007A4D4E">
        <w:t>natriuretic</w:t>
      </w:r>
      <w:proofErr w:type="spellEnd"/>
      <w:r w:rsidRPr="007A4D4E">
        <w:t xml:space="preserve"> peptide and severity of disease in non-alcoholic cirrhotic patients. J </w:t>
      </w:r>
      <w:proofErr w:type="spellStart"/>
      <w:r w:rsidRPr="007A4D4E">
        <w:t>Gastroenterol</w:t>
      </w:r>
      <w:proofErr w:type="spellEnd"/>
      <w:r w:rsidRPr="007A4D4E">
        <w:t xml:space="preserve"> </w:t>
      </w:r>
      <w:proofErr w:type="spellStart"/>
      <w:r w:rsidRPr="007A4D4E">
        <w:t>Hepatol</w:t>
      </w:r>
      <w:proofErr w:type="spellEnd"/>
      <w:r w:rsidRPr="007A4D4E">
        <w:t>.; 20: 1115-1120.</w:t>
      </w:r>
    </w:p>
    <w:p w:rsidR="0028759E" w:rsidRPr="007A4D4E" w:rsidRDefault="000E2CA8" w:rsidP="0028759E">
      <w:pPr>
        <w:pStyle w:val="ListParagraph"/>
        <w:numPr>
          <w:ilvl w:val="0"/>
          <w:numId w:val="2"/>
        </w:numPr>
        <w:snapToGrid w:val="0"/>
        <w:ind w:left="425" w:hanging="425"/>
        <w:jc w:val="both"/>
      </w:pPr>
      <w:proofErr w:type="spellStart"/>
      <w:r w:rsidRPr="007A4D4E">
        <w:t>Zardi</w:t>
      </w:r>
      <w:proofErr w:type="spellEnd"/>
      <w:r w:rsidRPr="007A4D4E">
        <w:t xml:space="preserve"> EM, </w:t>
      </w:r>
      <w:proofErr w:type="spellStart"/>
      <w:r w:rsidRPr="007A4D4E">
        <w:t>Abbate</w:t>
      </w:r>
      <w:proofErr w:type="spellEnd"/>
      <w:r w:rsidRPr="007A4D4E">
        <w:t xml:space="preserve"> A, </w:t>
      </w:r>
      <w:proofErr w:type="spellStart"/>
      <w:r w:rsidRPr="007A4D4E">
        <w:t>Zardi</w:t>
      </w:r>
      <w:proofErr w:type="spellEnd"/>
      <w:r w:rsidRPr="007A4D4E">
        <w:t xml:space="preserve"> DM,</w:t>
      </w:r>
      <w:r w:rsidR="00243581" w:rsidRPr="007A4D4E">
        <w:t xml:space="preserve"> </w:t>
      </w:r>
      <w:r w:rsidRPr="007A4D4E">
        <w:t>(2010)</w:t>
      </w:r>
      <w:r w:rsidR="00243581" w:rsidRPr="007A4D4E">
        <w:t>:</w:t>
      </w:r>
      <w:r w:rsidRPr="007A4D4E">
        <w:t xml:space="preserve"> Cirrhotic </w:t>
      </w:r>
      <w:proofErr w:type="spellStart"/>
      <w:r w:rsidRPr="007A4D4E">
        <w:t>cardiomyopathy</w:t>
      </w:r>
      <w:proofErr w:type="spellEnd"/>
      <w:r w:rsidRPr="007A4D4E">
        <w:t xml:space="preserve">. J Am </w:t>
      </w:r>
      <w:proofErr w:type="spellStart"/>
      <w:r w:rsidRPr="007A4D4E">
        <w:t>Coll</w:t>
      </w:r>
      <w:proofErr w:type="spellEnd"/>
      <w:r w:rsidR="00C45ECF" w:rsidRPr="007A4D4E">
        <w:t xml:space="preserve"> </w:t>
      </w:r>
      <w:proofErr w:type="spellStart"/>
      <w:proofErr w:type="gramStart"/>
      <w:r w:rsidRPr="007A4D4E">
        <w:t>Cardiol</w:t>
      </w:r>
      <w:proofErr w:type="spellEnd"/>
      <w:r w:rsidRPr="007A4D4E">
        <w:t>.;</w:t>
      </w:r>
      <w:proofErr w:type="gramEnd"/>
      <w:r w:rsidRPr="007A4D4E">
        <w:t xml:space="preserve"> 56: 539-549.</w:t>
      </w:r>
      <w:r w:rsidR="007A4D4E">
        <w:rPr>
          <w:rFonts w:hint="eastAsia"/>
          <w:lang w:eastAsia="zh-CN"/>
        </w:rPr>
        <w:t xml:space="preserve"> </w:t>
      </w:r>
    </w:p>
    <w:p w:rsidR="0028759E" w:rsidRPr="007A4D4E" w:rsidRDefault="0028759E" w:rsidP="0028759E">
      <w:pPr>
        <w:snapToGrid w:val="0"/>
        <w:ind w:left="425" w:hanging="425"/>
        <w:jc w:val="both"/>
        <w:sectPr w:rsidR="0028759E" w:rsidRPr="007A4D4E" w:rsidSect="0028759E">
          <w:headerReference w:type="default" r:id="rId12"/>
          <w:footerReference w:type="default" r:id="rId13"/>
          <w:type w:val="continuous"/>
          <w:pgSz w:w="12242" w:h="15842" w:code="1"/>
          <w:pgMar w:top="1440" w:right="1440" w:bottom="1440" w:left="1440" w:header="720" w:footer="720" w:gutter="0"/>
          <w:cols w:num="2" w:space="500"/>
          <w:docGrid w:linePitch="272"/>
        </w:sectPr>
      </w:pPr>
    </w:p>
    <w:p w:rsidR="00C45ECF" w:rsidRPr="007A4D4E" w:rsidRDefault="00C45ECF" w:rsidP="0028759E">
      <w:pPr>
        <w:snapToGrid w:val="0"/>
        <w:ind w:left="425" w:hanging="425"/>
        <w:jc w:val="both"/>
      </w:pPr>
    </w:p>
    <w:p w:rsidR="0028759E" w:rsidRPr="007A4D4E" w:rsidRDefault="00243581" w:rsidP="0028759E">
      <w:pPr>
        <w:snapToGrid w:val="0"/>
        <w:ind w:left="425" w:hanging="425"/>
        <w:jc w:val="both"/>
        <w:rPr>
          <w:lang w:eastAsia="zh-CN"/>
        </w:rPr>
      </w:pPr>
      <w:r w:rsidRPr="007A4D4E">
        <w:rPr>
          <w:rFonts w:hint="eastAsia"/>
          <w:lang w:eastAsia="zh-CN"/>
        </w:rPr>
        <w:t xml:space="preserve"> </w:t>
      </w:r>
    </w:p>
    <w:p w:rsidR="0028759E" w:rsidRPr="007A4D4E" w:rsidRDefault="0028759E" w:rsidP="0028759E">
      <w:pPr>
        <w:snapToGrid w:val="0"/>
        <w:ind w:left="425" w:hanging="425"/>
        <w:jc w:val="both"/>
        <w:rPr>
          <w:rFonts w:eastAsia="Simplified Arabic"/>
        </w:rPr>
      </w:pPr>
    </w:p>
    <w:p w:rsidR="00F01E7D" w:rsidRPr="007A4D4E" w:rsidRDefault="0028759E" w:rsidP="0028759E">
      <w:pPr>
        <w:snapToGrid w:val="0"/>
        <w:ind w:left="425" w:hanging="425"/>
        <w:jc w:val="both"/>
        <w:rPr>
          <w:rFonts w:eastAsia="Simplified Arabic"/>
        </w:rPr>
      </w:pPr>
      <w:r w:rsidRPr="007A4D4E">
        <w:rPr>
          <w:rFonts w:eastAsia="Simplified Arabic"/>
        </w:rPr>
        <w:t>11/29/2016</w:t>
      </w:r>
    </w:p>
    <w:sectPr w:rsidR="00F01E7D" w:rsidRPr="007A4D4E" w:rsidSect="007B3583">
      <w:headerReference w:type="default" r:id="rId14"/>
      <w:type w:val="continuous"/>
      <w:pgSz w:w="12242" w:h="15842" w:code="1"/>
      <w:pgMar w:top="1440" w:right="1440" w:bottom="1440" w:left="1440" w:header="720" w:footer="720" w:gutter="0"/>
      <w:pgNumType w:star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FD" w:rsidRDefault="00AB10FD" w:rsidP="00F01E7D">
      <w:r>
        <w:separator/>
      </w:r>
    </w:p>
  </w:endnote>
  <w:endnote w:type="continuationSeparator" w:id="0">
    <w:p w:rsidR="00AB10FD" w:rsidRDefault="00AB10FD" w:rsidP="00F01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9E" w:rsidRPr="0028759E" w:rsidRDefault="000A755A" w:rsidP="0028759E">
    <w:pPr>
      <w:jc w:val="center"/>
    </w:pPr>
    <w:fldSimple w:instr=" page ">
      <w:r w:rsidR="007A4D4E">
        <w:rPr>
          <w:noProof/>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9E" w:rsidRPr="0028759E" w:rsidRDefault="000A755A" w:rsidP="0028759E">
    <w:pPr>
      <w:jc w:val="center"/>
    </w:pPr>
    <w:fldSimple w:instr=" page ">
      <w:r w:rsidR="007A4D4E">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FD" w:rsidRDefault="00AB10FD" w:rsidP="00F01E7D">
      <w:r>
        <w:separator/>
      </w:r>
    </w:p>
  </w:footnote>
  <w:footnote w:type="continuationSeparator" w:id="0">
    <w:p w:rsidR="00AB10FD" w:rsidRDefault="00AB10FD" w:rsidP="00F01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9E" w:rsidRPr="0028759E" w:rsidRDefault="0028759E" w:rsidP="0028759E">
    <w:pPr>
      <w:pBdr>
        <w:bottom w:val="thinThickMediumGap" w:sz="12" w:space="1" w:color="auto"/>
      </w:pBdr>
      <w:tabs>
        <w:tab w:val="left" w:pos="851"/>
        <w:tab w:val="right" w:pos="8364"/>
      </w:tabs>
      <w:adjustRightInd w:val="0"/>
      <w:snapToGrid w:val="0"/>
      <w:jc w:val="both"/>
      <w:rPr>
        <w:iCs/>
      </w:rPr>
    </w:pPr>
    <w:r w:rsidRPr="0028759E">
      <w:rPr>
        <w:rFonts w:hint="eastAsia"/>
      </w:rPr>
      <w:tab/>
    </w:r>
    <w:r w:rsidRPr="0028759E">
      <w:t>New York Science Journal 201</w:t>
    </w:r>
    <w:r w:rsidRPr="0028759E">
      <w:rPr>
        <w:rFonts w:hint="eastAsia"/>
      </w:rPr>
      <w:t>6</w:t>
    </w:r>
    <w:proofErr w:type="gramStart"/>
    <w:r w:rsidRPr="0028759E">
      <w:t>;</w:t>
    </w:r>
    <w:r w:rsidRPr="0028759E">
      <w:rPr>
        <w:rFonts w:hint="eastAsia"/>
      </w:rPr>
      <w:t>9</w:t>
    </w:r>
    <w:proofErr w:type="gramEnd"/>
    <w:r w:rsidRPr="0028759E">
      <w:t>(</w:t>
    </w:r>
    <w:r w:rsidRPr="0028759E">
      <w:rPr>
        <w:rFonts w:hint="eastAsia"/>
      </w:rPr>
      <w:t>12</w:t>
    </w:r>
    <w:r w:rsidRPr="0028759E">
      <w:t>)</w:t>
    </w:r>
    <w:r w:rsidRPr="0028759E">
      <w:rPr>
        <w:iCs/>
      </w:rPr>
      <w:t xml:space="preserve">     </w:t>
    </w:r>
    <w:r w:rsidRPr="0028759E">
      <w:rPr>
        <w:rFonts w:hint="eastAsia"/>
        <w:iCs/>
      </w:rPr>
      <w:tab/>
    </w:r>
    <w:r w:rsidRPr="0028759E">
      <w:rPr>
        <w:iCs/>
      </w:rPr>
      <w:t xml:space="preserve"> </w:t>
    </w:r>
    <w:r w:rsidRPr="0028759E">
      <w:rPr>
        <w:rFonts w:hint="eastAsia"/>
        <w:iCs/>
      </w:rPr>
      <w:t xml:space="preserve"> </w:t>
    </w:r>
    <w:r w:rsidRPr="0028759E">
      <w:rPr>
        <w:iCs/>
      </w:rPr>
      <w:t xml:space="preserve">   </w:t>
    </w:r>
    <w:hyperlink r:id="rId1" w:history="1">
      <w:r w:rsidRPr="0028759E">
        <w:rPr>
          <w:rStyle w:val="Hyperlink"/>
          <w:color w:val="0000FF"/>
        </w:rPr>
        <w:t>http://www.sciencepub.net/newyork</w:t>
      </w:r>
    </w:hyperlink>
  </w:p>
  <w:p w:rsidR="0028759E" w:rsidRPr="0028759E" w:rsidRDefault="0028759E" w:rsidP="0028759E">
    <w:pPr>
      <w:tabs>
        <w:tab w:val="left" w:pos="851"/>
        <w:tab w:val="left" w:pos="7200"/>
        <w:tab w:val="right" w:pos="8364"/>
      </w:tabs>
      <w:adjustRightInd w:val="0"/>
      <w:snapToGrid w:val="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9E" w:rsidRPr="0028759E" w:rsidRDefault="0028759E" w:rsidP="0028759E">
    <w:pPr>
      <w:pBdr>
        <w:bottom w:val="thinThickMediumGap" w:sz="12" w:space="1" w:color="auto"/>
      </w:pBdr>
      <w:tabs>
        <w:tab w:val="left" w:pos="851"/>
        <w:tab w:val="right" w:pos="8364"/>
      </w:tabs>
      <w:adjustRightInd w:val="0"/>
      <w:snapToGrid w:val="0"/>
      <w:jc w:val="both"/>
      <w:rPr>
        <w:iCs/>
      </w:rPr>
    </w:pPr>
    <w:r w:rsidRPr="0028759E">
      <w:rPr>
        <w:rFonts w:hint="eastAsia"/>
      </w:rPr>
      <w:tab/>
    </w:r>
    <w:r w:rsidRPr="0028759E">
      <w:t>New York Science Journal 201</w:t>
    </w:r>
    <w:r w:rsidRPr="0028759E">
      <w:rPr>
        <w:rFonts w:hint="eastAsia"/>
      </w:rPr>
      <w:t>6</w:t>
    </w:r>
    <w:proofErr w:type="gramStart"/>
    <w:r w:rsidRPr="0028759E">
      <w:t>;</w:t>
    </w:r>
    <w:r w:rsidRPr="0028759E">
      <w:rPr>
        <w:rFonts w:hint="eastAsia"/>
      </w:rPr>
      <w:t>9</w:t>
    </w:r>
    <w:proofErr w:type="gramEnd"/>
    <w:r w:rsidRPr="0028759E">
      <w:t>(</w:t>
    </w:r>
    <w:r w:rsidRPr="0028759E">
      <w:rPr>
        <w:rFonts w:hint="eastAsia"/>
      </w:rPr>
      <w:t>12</w:t>
    </w:r>
    <w:r w:rsidRPr="0028759E">
      <w:t>)</w:t>
    </w:r>
    <w:r w:rsidRPr="0028759E">
      <w:rPr>
        <w:iCs/>
      </w:rPr>
      <w:t xml:space="preserve">     </w:t>
    </w:r>
    <w:r w:rsidRPr="0028759E">
      <w:rPr>
        <w:rFonts w:hint="eastAsia"/>
        <w:iCs/>
      </w:rPr>
      <w:tab/>
    </w:r>
    <w:r w:rsidRPr="0028759E">
      <w:rPr>
        <w:iCs/>
      </w:rPr>
      <w:t xml:space="preserve"> </w:t>
    </w:r>
    <w:r w:rsidRPr="0028759E">
      <w:rPr>
        <w:rFonts w:hint="eastAsia"/>
        <w:iCs/>
      </w:rPr>
      <w:t xml:space="preserve"> </w:t>
    </w:r>
    <w:r w:rsidRPr="0028759E">
      <w:rPr>
        <w:iCs/>
      </w:rPr>
      <w:t xml:space="preserve">   </w:t>
    </w:r>
    <w:hyperlink r:id="rId1" w:history="1">
      <w:r w:rsidRPr="0028759E">
        <w:rPr>
          <w:rStyle w:val="Hyperlink"/>
          <w:color w:val="0000FF"/>
        </w:rPr>
        <w:t>http://www.sciencepub.net/newyork</w:t>
      </w:r>
    </w:hyperlink>
  </w:p>
  <w:p w:rsidR="0028759E" w:rsidRPr="0028759E" w:rsidRDefault="0028759E" w:rsidP="0028759E">
    <w:pPr>
      <w:tabs>
        <w:tab w:val="left" w:pos="851"/>
        <w:tab w:val="left" w:pos="7200"/>
        <w:tab w:val="right" w:pos="8364"/>
      </w:tabs>
      <w:adjustRightInd w:val="0"/>
      <w:snapToGrid w:val="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7D" w:rsidRPr="00C45ECF" w:rsidRDefault="00F01E7D" w:rsidP="00C45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20C2D"/>
    <w:multiLevelType w:val="multilevel"/>
    <w:tmpl w:val="93FE1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AA138A"/>
    <w:multiLevelType w:val="hybridMultilevel"/>
    <w:tmpl w:val="6D20F4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F01E7D"/>
    <w:rsid w:val="00082611"/>
    <w:rsid w:val="0008345A"/>
    <w:rsid w:val="000A755A"/>
    <w:rsid w:val="000E2CA8"/>
    <w:rsid w:val="0011519A"/>
    <w:rsid w:val="00243581"/>
    <w:rsid w:val="0028759E"/>
    <w:rsid w:val="00751F8B"/>
    <w:rsid w:val="007A4D4E"/>
    <w:rsid w:val="007B3583"/>
    <w:rsid w:val="00846CCA"/>
    <w:rsid w:val="00A1572F"/>
    <w:rsid w:val="00A67622"/>
    <w:rsid w:val="00AB10FD"/>
    <w:rsid w:val="00AB2238"/>
    <w:rsid w:val="00B62259"/>
    <w:rsid w:val="00C45ECF"/>
    <w:rsid w:val="00D26B73"/>
    <w:rsid w:val="00E36CE5"/>
    <w:rsid w:val="00EE58A1"/>
    <w:rsid w:val="00F01E7D"/>
    <w:rsid w:val="00F072B0"/>
    <w:rsid w:val="00F93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62259"/>
    <w:pPr>
      <w:tabs>
        <w:tab w:val="center" w:pos="4513"/>
        <w:tab w:val="right" w:pos="9026"/>
      </w:tabs>
    </w:pPr>
  </w:style>
  <w:style w:type="character" w:customStyle="1" w:styleId="HeaderChar">
    <w:name w:val="Header Char"/>
    <w:basedOn w:val="DefaultParagraphFont"/>
    <w:link w:val="Header"/>
    <w:uiPriority w:val="99"/>
    <w:semiHidden/>
    <w:rsid w:val="00B62259"/>
  </w:style>
  <w:style w:type="paragraph" w:styleId="Footer">
    <w:name w:val="footer"/>
    <w:basedOn w:val="Normal"/>
    <w:link w:val="FooterChar"/>
    <w:uiPriority w:val="99"/>
    <w:semiHidden/>
    <w:unhideWhenUsed/>
    <w:rsid w:val="00B62259"/>
    <w:pPr>
      <w:tabs>
        <w:tab w:val="center" w:pos="4513"/>
        <w:tab w:val="right" w:pos="9026"/>
      </w:tabs>
    </w:pPr>
  </w:style>
  <w:style w:type="character" w:customStyle="1" w:styleId="FooterChar">
    <w:name w:val="Footer Char"/>
    <w:basedOn w:val="DefaultParagraphFont"/>
    <w:link w:val="Footer"/>
    <w:uiPriority w:val="99"/>
    <w:semiHidden/>
    <w:rsid w:val="00B62259"/>
  </w:style>
  <w:style w:type="paragraph" w:styleId="ListParagraph">
    <w:name w:val="List Paragraph"/>
    <w:basedOn w:val="Normal"/>
    <w:uiPriority w:val="34"/>
    <w:qFormat/>
    <w:rsid w:val="00B62259"/>
    <w:pPr>
      <w:ind w:left="720"/>
      <w:contextualSpacing/>
    </w:pPr>
  </w:style>
  <w:style w:type="character" w:styleId="Hyperlink">
    <w:name w:val="Hyperlink"/>
    <w:basedOn w:val="DefaultParagraphFont"/>
    <w:uiPriority w:val="99"/>
    <w:rsid w:val="0028759E"/>
    <w:rPr>
      <w:color w:val="00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bdohagav90@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nys091216.0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drmonazaki</dc:creator>
  <cp:lastModifiedBy>Administrator</cp:lastModifiedBy>
  <cp:revision>3</cp:revision>
  <dcterms:created xsi:type="dcterms:W3CDTF">2016-12-02T11:05:00Z</dcterms:created>
  <dcterms:modified xsi:type="dcterms:W3CDTF">2016-12-01T22:15:00Z</dcterms:modified>
</cp:coreProperties>
</file>