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56" w:rsidRPr="005A7390" w:rsidRDefault="00757856" w:rsidP="00030DDA">
      <w:pPr>
        <w:bidi w:val="0"/>
        <w:adjustRightInd w:val="0"/>
        <w:snapToGrid w:val="0"/>
        <w:spacing w:after="0" w:line="240" w:lineRule="auto"/>
        <w:jc w:val="center"/>
        <w:rPr>
          <w:rFonts w:ascii="Times New Roman" w:hAnsi="Times New Roman" w:cs="Times New Roman"/>
          <w:b/>
          <w:bCs/>
          <w:sz w:val="20"/>
          <w:szCs w:val="20"/>
        </w:rPr>
      </w:pPr>
      <w:r w:rsidRPr="005A7390">
        <w:rPr>
          <w:rFonts w:ascii="Times New Roman" w:hAnsi="Times New Roman" w:cs="Times New Roman"/>
          <w:b/>
          <w:bCs/>
          <w:sz w:val="20"/>
          <w:szCs w:val="20"/>
        </w:rPr>
        <w:t xml:space="preserve">Liver function status in </w:t>
      </w:r>
      <w:r w:rsidR="00916D05" w:rsidRPr="005A7390">
        <w:rPr>
          <w:rFonts w:ascii="Times New Roman" w:hAnsi="Times New Roman" w:cs="Times New Roman"/>
          <w:b/>
          <w:bCs/>
          <w:sz w:val="20"/>
          <w:szCs w:val="20"/>
        </w:rPr>
        <w:t>hepatitis C virus</w:t>
      </w:r>
      <w:r w:rsidRPr="005A7390">
        <w:rPr>
          <w:rFonts w:ascii="Times New Roman" w:hAnsi="Times New Roman" w:cs="Times New Roman"/>
          <w:b/>
          <w:bCs/>
          <w:sz w:val="20"/>
          <w:szCs w:val="20"/>
        </w:rPr>
        <w:t xml:space="preserve"> patients with chronic Renal Failure on </w:t>
      </w:r>
      <w:proofErr w:type="spellStart"/>
      <w:r w:rsidRPr="005A7390">
        <w:rPr>
          <w:rFonts w:ascii="Times New Roman" w:hAnsi="Times New Roman" w:cs="Times New Roman"/>
          <w:b/>
          <w:bCs/>
          <w:sz w:val="20"/>
          <w:szCs w:val="20"/>
        </w:rPr>
        <w:t>hemodialysis</w:t>
      </w:r>
      <w:proofErr w:type="spellEnd"/>
    </w:p>
    <w:p w:rsidR="008D26B3" w:rsidRPr="005A7390" w:rsidRDefault="008D26B3" w:rsidP="00030DDA">
      <w:pPr>
        <w:bidi w:val="0"/>
        <w:adjustRightInd w:val="0"/>
        <w:snapToGrid w:val="0"/>
        <w:spacing w:after="0" w:line="240" w:lineRule="auto"/>
        <w:jc w:val="center"/>
        <w:rPr>
          <w:rFonts w:ascii="Times New Roman" w:hAnsi="Times New Roman" w:cs="Times New Roman"/>
          <w:b/>
          <w:bCs/>
          <w:sz w:val="20"/>
          <w:szCs w:val="20"/>
        </w:rPr>
      </w:pPr>
    </w:p>
    <w:p w:rsidR="008D26B3" w:rsidRPr="005A7390" w:rsidRDefault="008D26B3" w:rsidP="00030DDA">
      <w:pPr>
        <w:tabs>
          <w:tab w:val="left" w:pos="9450"/>
        </w:tabs>
        <w:bidi w:val="0"/>
        <w:adjustRightInd w:val="0"/>
        <w:snapToGrid w:val="0"/>
        <w:spacing w:after="0" w:line="240" w:lineRule="auto"/>
        <w:jc w:val="center"/>
        <w:rPr>
          <w:rFonts w:ascii="Times New Roman" w:eastAsia="Batang" w:hAnsi="Times New Roman" w:cs="Times New Roman"/>
          <w:sz w:val="20"/>
          <w:szCs w:val="20"/>
        </w:rPr>
      </w:pPr>
      <w:proofErr w:type="spellStart"/>
      <w:proofErr w:type="gramStart"/>
      <w:r w:rsidRPr="005A7390">
        <w:rPr>
          <w:rFonts w:ascii="Times New Roman" w:hAnsi="Times New Roman" w:cs="Times New Roman"/>
          <w:sz w:val="20"/>
          <w:szCs w:val="20"/>
        </w:rPr>
        <w:t>Fawzy</w:t>
      </w:r>
      <w:proofErr w:type="spellEnd"/>
      <w:r w:rsidR="005A7390" w:rsidRPr="005A7390">
        <w:rPr>
          <w:rFonts w:ascii="Times New Roman" w:hAnsi="Times New Roman" w:cs="Times New Roman" w:hint="eastAsia"/>
          <w:sz w:val="20"/>
          <w:szCs w:val="20"/>
          <w:lang w:eastAsia="zh-CN"/>
        </w:rPr>
        <w:t xml:space="preserve"> </w:t>
      </w:r>
      <w:proofErr w:type="spellStart"/>
      <w:r w:rsidRPr="005A7390">
        <w:rPr>
          <w:rFonts w:ascii="Times New Roman" w:hAnsi="Times New Roman" w:cs="Times New Roman"/>
          <w:sz w:val="20"/>
          <w:szCs w:val="20"/>
        </w:rPr>
        <w:t>Megahed</w:t>
      </w:r>
      <w:proofErr w:type="spellEnd"/>
      <w:r w:rsidRPr="005A7390">
        <w:rPr>
          <w:rFonts w:ascii="Times New Roman" w:hAnsi="Times New Roman" w:cs="Times New Roman"/>
          <w:sz w:val="20"/>
          <w:szCs w:val="20"/>
        </w:rPr>
        <w:t xml:space="preserve"> Khalil</w:t>
      </w:r>
      <w:r w:rsidRPr="005A7390">
        <w:rPr>
          <w:rFonts w:ascii="Times New Roman" w:hAnsi="Times New Roman" w:cs="Times New Roman"/>
          <w:sz w:val="20"/>
          <w:szCs w:val="20"/>
          <w:vertAlign w:val="superscript"/>
        </w:rPr>
        <w:t>1</w:t>
      </w:r>
      <w:r w:rsidRPr="005A7390">
        <w:rPr>
          <w:rFonts w:ascii="Times New Roman" w:eastAsia="Batang" w:hAnsi="Times New Roman" w:cs="Times New Roman"/>
          <w:sz w:val="20"/>
          <w:szCs w:val="20"/>
        </w:rPr>
        <w:t>,</w:t>
      </w:r>
      <w:r w:rsidRPr="005A7390">
        <w:rPr>
          <w:rFonts w:ascii="Times New Roman" w:hAnsi="Times New Roman" w:cs="Times New Roman"/>
          <w:sz w:val="20"/>
          <w:szCs w:val="20"/>
        </w:rPr>
        <w:t xml:space="preserve"> Mohamed Ahmed El Assal</w:t>
      </w:r>
      <w:r w:rsidRPr="005A7390">
        <w:rPr>
          <w:rFonts w:ascii="Times New Roman" w:hAnsi="Times New Roman" w:cs="Times New Roman"/>
          <w:sz w:val="20"/>
          <w:szCs w:val="20"/>
          <w:vertAlign w:val="superscript"/>
        </w:rPr>
        <w:t>1</w:t>
      </w:r>
      <w:r w:rsidRPr="005A7390">
        <w:rPr>
          <w:rFonts w:ascii="Times New Roman" w:eastAsia="Batang" w:hAnsi="Times New Roman" w:cs="Times New Roman"/>
          <w:sz w:val="20"/>
          <w:szCs w:val="20"/>
        </w:rPr>
        <w:t xml:space="preserve">, </w:t>
      </w:r>
      <w:r w:rsidRPr="005A7390">
        <w:rPr>
          <w:rFonts w:ascii="Times New Roman" w:hAnsi="Times New Roman" w:cs="Times New Roman"/>
          <w:sz w:val="20"/>
          <w:szCs w:val="20"/>
        </w:rPr>
        <w:t>Ahmed Mohamed Hussein Dabour</w:t>
      </w:r>
      <w:r w:rsidRPr="005A7390">
        <w:rPr>
          <w:rFonts w:ascii="Times New Roman" w:hAnsi="Times New Roman" w:cs="Times New Roman"/>
          <w:sz w:val="20"/>
          <w:szCs w:val="20"/>
          <w:vertAlign w:val="superscript"/>
        </w:rPr>
        <w:t>1</w:t>
      </w:r>
      <w:r w:rsidRPr="005A7390">
        <w:rPr>
          <w:rFonts w:ascii="Times New Roman" w:eastAsia="Batang" w:hAnsi="Times New Roman" w:cs="Times New Roman"/>
          <w:sz w:val="20"/>
          <w:szCs w:val="20"/>
        </w:rPr>
        <w:t xml:space="preserve">, </w:t>
      </w:r>
      <w:r w:rsidRPr="005A7390">
        <w:rPr>
          <w:rFonts w:ascii="Times New Roman" w:hAnsi="Times New Roman" w:cs="Times New Roman"/>
          <w:sz w:val="20"/>
          <w:szCs w:val="20"/>
        </w:rPr>
        <w:t>Ahmed Hassan El.Thakaby</w:t>
      </w:r>
      <w:r w:rsidRPr="005A7390">
        <w:rPr>
          <w:rFonts w:ascii="Times New Roman" w:hAnsi="Times New Roman" w:cs="Times New Roman"/>
          <w:sz w:val="20"/>
          <w:szCs w:val="20"/>
          <w:vertAlign w:val="superscript"/>
        </w:rPr>
        <w:t>2</w:t>
      </w:r>
      <w:r w:rsidR="00F3098B" w:rsidRPr="005A7390">
        <w:rPr>
          <w:rFonts w:ascii="Times New Roman" w:hAnsi="Times New Roman" w:cs="Times New Roman"/>
          <w:sz w:val="20"/>
          <w:szCs w:val="20"/>
          <w:vertAlign w:val="superscript"/>
        </w:rPr>
        <w:t xml:space="preserve"> </w:t>
      </w:r>
      <w:r w:rsidR="001F3F71" w:rsidRPr="005A7390">
        <w:rPr>
          <w:rFonts w:ascii="Times New Roman" w:eastAsia="Batang" w:hAnsi="Times New Roman" w:cs="Times New Roman"/>
          <w:sz w:val="20"/>
          <w:szCs w:val="20"/>
        </w:rPr>
        <w:t>and</w:t>
      </w:r>
      <w:r w:rsidR="005A7390">
        <w:rPr>
          <w:rFonts w:ascii="Times New Roman" w:eastAsia="Batang" w:hAnsi="Times New Roman" w:cs="Times New Roman"/>
          <w:sz w:val="20"/>
          <w:szCs w:val="20"/>
        </w:rPr>
        <w:t xml:space="preserve"> </w:t>
      </w:r>
      <w:r w:rsidRPr="005A7390">
        <w:rPr>
          <w:rFonts w:ascii="Times New Roman" w:hAnsi="Times New Roman" w:cs="Times New Roman"/>
          <w:sz w:val="20"/>
          <w:szCs w:val="20"/>
          <w:lang w:bidi="ar-EG"/>
        </w:rPr>
        <w:t>Ibrahim</w:t>
      </w:r>
      <w:r w:rsidR="00F17BF5">
        <w:rPr>
          <w:rFonts w:ascii="Times New Roman" w:hAnsi="Times New Roman" w:cs="Times New Roman" w:hint="eastAsia"/>
          <w:sz w:val="20"/>
          <w:szCs w:val="20"/>
          <w:lang w:eastAsia="zh-CN" w:bidi="ar-EG"/>
        </w:rPr>
        <w:t xml:space="preserve"> </w:t>
      </w:r>
      <w:proofErr w:type="spellStart"/>
      <w:r w:rsidRPr="005A7390">
        <w:rPr>
          <w:rFonts w:ascii="Times New Roman" w:hAnsi="Times New Roman" w:cs="Times New Roman"/>
          <w:sz w:val="20"/>
          <w:szCs w:val="20"/>
          <w:lang w:bidi="ar-EG"/>
        </w:rPr>
        <w:t>Hamdy</w:t>
      </w:r>
      <w:proofErr w:type="spellEnd"/>
      <w:r w:rsidRPr="005A7390">
        <w:rPr>
          <w:rFonts w:ascii="Times New Roman" w:hAnsi="Times New Roman" w:cs="Times New Roman"/>
          <w:sz w:val="20"/>
          <w:szCs w:val="20"/>
          <w:lang w:bidi="ar-EG"/>
        </w:rPr>
        <w:t xml:space="preserve"> Ibrahim</w:t>
      </w:r>
      <w:r w:rsidR="001F3F71" w:rsidRPr="005A7390">
        <w:rPr>
          <w:rFonts w:ascii="Times New Roman" w:eastAsia="Batang" w:hAnsi="Times New Roman" w:cs="Times New Roman"/>
          <w:sz w:val="20"/>
          <w:szCs w:val="20"/>
          <w:vertAlign w:val="superscript"/>
        </w:rPr>
        <w:t>2</w:t>
      </w:r>
      <w:r w:rsidRPr="005A7390">
        <w:rPr>
          <w:rFonts w:ascii="Times New Roman" w:hAnsi="Times New Roman" w:cs="Times New Roman"/>
          <w:sz w:val="20"/>
          <w:szCs w:val="20"/>
          <w:lang w:bidi="ar-EG"/>
        </w:rPr>
        <w:t>.</w:t>
      </w:r>
      <w:proofErr w:type="gramEnd"/>
    </w:p>
    <w:p w:rsidR="008D26B3" w:rsidRPr="005A7390" w:rsidRDefault="008D26B3" w:rsidP="00030DDA">
      <w:pPr>
        <w:bidi w:val="0"/>
        <w:adjustRightInd w:val="0"/>
        <w:snapToGrid w:val="0"/>
        <w:spacing w:after="0" w:line="240" w:lineRule="auto"/>
        <w:jc w:val="center"/>
        <w:rPr>
          <w:rFonts w:ascii="Times New Roman" w:hAnsi="Times New Roman" w:cs="Times New Roman"/>
          <w:sz w:val="20"/>
          <w:szCs w:val="20"/>
          <w:lang w:bidi="ar-EG"/>
        </w:rPr>
      </w:pPr>
    </w:p>
    <w:p w:rsidR="008D26B3" w:rsidRPr="005A7390" w:rsidRDefault="008D26B3" w:rsidP="00030DDA">
      <w:pPr>
        <w:tabs>
          <w:tab w:val="left" w:pos="8841"/>
        </w:tabs>
        <w:bidi w:val="0"/>
        <w:adjustRightInd w:val="0"/>
        <w:snapToGrid w:val="0"/>
        <w:spacing w:after="0" w:line="240" w:lineRule="auto"/>
        <w:jc w:val="center"/>
        <w:rPr>
          <w:rFonts w:ascii="Times New Roman" w:eastAsia="Times New Roman+FPEF" w:hAnsi="Times New Roman" w:cs="Times New Roman"/>
          <w:sz w:val="20"/>
          <w:szCs w:val="20"/>
        </w:rPr>
      </w:pPr>
      <w:r w:rsidRPr="005A7390">
        <w:rPr>
          <w:rFonts w:ascii="Times New Roman" w:hAnsi="Times New Roman" w:cs="Times New Roman"/>
          <w:sz w:val="20"/>
          <w:szCs w:val="20"/>
          <w:vertAlign w:val="superscript"/>
        </w:rPr>
        <w:t>1</w:t>
      </w:r>
      <w:r w:rsidRPr="005A7390">
        <w:rPr>
          <w:rFonts w:ascii="Times New Roman" w:hAnsi="Times New Roman" w:cs="Times New Roman"/>
          <w:sz w:val="20"/>
          <w:szCs w:val="20"/>
        </w:rPr>
        <w:t xml:space="preserve">. Internal </w:t>
      </w:r>
      <w:r w:rsidR="00CB3D0F" w:rsidRPr="005A7390">
        <w:rPr>
          <w:rFonts w:ascii="Times New Roman" w:hAnsi="Times New Roman" w:cs="Times New Roman"/>
          <w:sz w:val="20"/>
          <w:szCs w:val="20"/>
        </w:rPr>
        <w:t>M</w:t>
      </w:r>
      <w:r w:rsidRPr="005A7390">
        <w:rPr>
          <w:rFonts w:ascii="Times New Roman" w:hAnsi="Times New Roman" w:cs="Times New Roman"/>
          <w:sz w:val="20"/>
          <w:szCs w:val="20"/>
        </w:rPr>
        <w:t xml:space="preserve">edicine department, Faculty </w:t>
      </w:r>
      <w:r w:rsidR="001F3F71" w:rsidRPr="005A7390">
        <w:rPr>
          <w:rFonts w:ascii="Times New Roman" w:hAnsi="Times New Roman" w:cs="Times New Roman"/>
          <w:sz w:val="20"/>
          <w:szCs w:val="20"/>
        </w:rPr>
        <w:t xml:space="preserve">of </w:t>
      </w:r>
      <w:r w:rsidR="00CB3D0F" w:rsidRPr="005A7390">
        <w:rPr>
          <w:rFonts w:ascii="Times New Roman" w:hAnsi="Times New Roman" w:cs="Times New Roman"/>
          <w:sz w:val="20"/>
          <w:szCs w:val="20"/>
        </w:rPr>
        <w:t>M</w:t>
      </w:r>
      <w:r w:rsidR="001F3F71" w:rsidRPr="005A7390">
        <w:rPr>
          <w:rFonts w:ascii="Times New Roman" w:hAnsi="Times New Roman" w:cs="Times New Roman"/>
          <w:sz w:val="20"/>
          <w:szCs w:val="20"/>
        </w:rPr>
        <w:t>edicine</w:t>
      </w:r>
      <w:r w:rsidRPr="005A7390">
        <w:rPr>
          <w:rFonts w:ascii="Times New Roman" w:hAnsi="Times New Roman" w:cs="Times New Roman"/>
          <w:sz w:val="20"/>
          <w:szCs w:val="20"/>
        </w:rPr>
        <w:t xml:space="preserve">, </w:t>
      </w:r>
      <w:proofErr w:type="spellStart"/>
      <w:r w:rsidRPr="005A7390">
        <w:rPr>
          <w:rFonts w:ascii="Times New Roman" w:hAnsi="Times New Roman" w:cs="Times New Roman"/>
          <w:sz w:val="20"/>
          <w:szCs w:val="20"/>
        </w:rPr>
        <w:t>Benha</w:t>
      </w:r>
      <w:proofErr w:type="spellEnd"/>
      <w:r w:rsidRPr="005A7390">
        <w:rPr>
          <w:rFonts w:ascii="Times New Roman" w:hAnsi="Times New Roman" w:cs="Times New Roman"/>
          <w:sz w:val="20"/>
          <w:szCs w:val="20"/>
        </w:rPr>
        <w:t xml:space="preserve"> University, </w:t>
      </w:r>
      <w:proofErr w:type="spellStart"/>
      <w:r w:rsidRPr="005A7390">
        <w:rPr>
          <w:rFonts w:ascii="Times New Roman" w:eastAsia="Times New Roman+FPEF" w:hAnsi="Times New Roman" w:cs="Times New Roman"/>
          <w:sz w:val="20"/>
          <w:szCs w:val="20"/>
        </w:rPr>
        <w:t>Qalyubia</w:t>
      </w:r>
      <w:proofErr w:type="spellEnd"/>
      <w:r w:rsidRPr="005A7390">
        <w:rPr>
          <w:rFonts w:ascii="Times New Roman" w:eastAsia="Times New Roman+FPEF" w:hAnsi="Times New Roman" w:cs="Times New Roman"/>
          <w:sz w:val="20"/>
          <w:szCs w:val="20"/>
        </w:rPr>
        <w:t>, Egypt.</w:t>
      </w:r>
    </w:p>
    <w:p w:rsidR="008D26B3" w:rsidRPr="005A7390" w:rsidRDefault="008D26B3" w:rsidP="00030DDA">
      <w:pPr>
        <w:bidi w:val="0"/>
        <w:adjustRightInd w:val="0"/>
        <w:snapToGrid w:val="0"/>
        <w:spacing w:after="0" w:line="240" w:lineRule="auto"/>
        <w:jc w:val="center"/>
        <w:rPr>
          <w:rFonts w:ascii="Times New Roman" w:hAnsi="Times New Roman" w:cs="Times New Roman"/>
          <w:sz w:val="20"/>
          <w:szCs w:val="20"/>
          <w:lang w:bidi="ar-EG"/>
        </w:rPr>
      </w:pPr>
      <w:proofErr w:type="gramStart"/>
      <w:r w:rsidRPr="005A7390">
        <w:rPr>
          <w:rFonts w:ascii="Times New Roman" w:hAnsi="Times New Roman" w:cs="Times New Roman"/>
          <w:sz w:val="20"/>
          <w:szCs w:val="20"/>
          <w:vertAlign w:val="superscript"/>
        </w:rPr>
        <w:t>2</w:t>
      </w:r>
      <w:r w:rsidRPr="005A7390">
        <w:rPr>
          <w:rFonts w:ascii="Times New Roman" w:hAnsi="Times New Roman" w:cs="Times New Roman"/>
          <w:sz w:val="20"/>
          <w:szCs w:val="20"/>
        </w:rPr>
        <w:t>.</w:t>
      </w:r>
      <w:r w:rsidRPr="005A7390">
        <w:rPr>
          <w:rFonts w:ascii="Times New Roman" w:hAnsi="Times New Roman" w:cs="Times New Roman"/>
          <w:sz w:val="20"/>
          <w:szCs w:val="20"/>
          <w:lang w:bidi="ar-EG"/>
        </w:rPr>
        <w:t>Nephrology</w:t>
      </w:r>
      <w:proofErr w:type="gramEnd"/>
      <w:r w:rsidRPr="005A7390">
        <w:rPr>
          <w:rFonts w:ascii="Times New Roman" w:hAnsi="Times New Roman" w:cs="Times New Roman"/>
          <w:sz w:val="20"/>
          <w:szCs w:val="20"/>
          <w:lang w:bidi="ar-EG"/>
        </w:rPr>
        <w:t xml:space="preserve"> and Internal Medicine</w:t>
      </w:r>
      <w:r w:rsidR="002073D7" w:rsidRPr="005A7390">
        <w:rPr>
          <w:rFonts w:ascii="Times New Roman" w:hAnsi="Times New Roman" w:cs="Times New Roman"/>
          <w:sz w:val="20"/>
          <w:szCs w:val="20"/>
        </w:rPr>
        <w:t xml:space="preserve"> department</w:t>
      </w:r>
      <w:r w:rsidR="002073D7" w:rsidRPr="005A7390">
        <w:rPr>
          <w:rFonts w:ascii="Times New Roman" w:hAnsi="Times New Roman" w:cs="Times New Roman"/>
          <w:sz w:val="20"/>
          <w:szCs w:val="20"/>
          <w:lang w:bidi="ar-EG"/>
        </w:rPr>
        <w:t xml:space="preserve">, </w:t>
      </w:r>
      <w:r w:rsidRPr="005A7390">
        <w:rPr>
          <w:rFonts w:ascii="Times New Roman" w:hAnsi="Times New Roman" w:cs="Times New Roman"/>
          <w:sz w:val="20"/>
          <w:szCs w:val="20"/>
          <w:lang w:bidi="ar-EG"/>
        </w:rPr>
        <w:t xml:space="preserve">National Institute of </w:t>
      </w:r>
      <w:r w:rsidR="00916D05" w:rsidRPr="005A7390">
        <w:rPr>
          <w:rFonts w:ascii="Times New Roman" w:hAnsi="Times New Roman" w:cs="Times New Roman"/>
          <w:sz w:val="20"/>
          <w:szCs w:val="20"/>
          <w:lang w:bidi="ar-EG"/>
        </w:rPr>
        <w:t>Nephrology</w:t>
      </w:r>
      <w:r w:rsidRPr="005A7390">
        <w:rPr>
          <w:rFonts w:ascii="Times New Roman" w:hAnsi="Times New Roman" w:cs="Times New Roman"/>
          <w:sz w:val="20"/>
          <w:szCs w:val="20"/>
          <w:lang w:bidi="ar-EG"/>
        </w:rPr>
        <w:t xml:space="preserve"> and </w:t>
      </w:r>
      <w:r w:rsidR="00916D05" w:rsidRPr="005A7390">
        <w:rPr>
          <w:rFonts w:ascii="Times New Roman" w:hAnsi="Times New Roman" w:cs="Times New Roman"/>
          <w:sz w:val="20"/>
          <w:szCs w:val="20"/>
          <w:lang w:bidi="ar-EG"/>
        </w:rPr>
        <w:t>Urology</w:t>
      </w:r>
      <w:r w:rsidR="002073D7" w:rsidRPr="005A7390">
        <w:rPr>
          <w:rFonts w:ascii="Times New Roman" w:hAnsi="Times New Roman" w:cs="Times New Roman"/>
          <w:sz w:val="20"/>
          <w:szCs w:val="20"/>
          <w:lang w:bidi="ar-EG"/>
        </w:rPr>
        <w:t xml:space="preserve">, Cairo, </w:t>
      </w:r>
      <w:r w:rsidRPr="005A7390">
        <w:rPr>
          <w:rFonts w:ascii="Times New Roman" w:hAnsi="Times New Roman" w:cs="Times New Roman"/>
          <w:sz w:val="20"/>
          <w:szCs w:val="20"/>
          <w:lang w:bidi="ar-EG"/>
        </w:rPr>
        <w:t>Egypt</w:t>
      </w:r>
      <w:r w:rsidR="002073D7" w:rsidRPr="005A7390">
        <w:rPr>
          <w:rFonts w:ascii="Times New Roman" w:hAnsi="Times New Roman" w:cs="Times New Roman"/>
          <w:sz w:val="20"/>
          <w:szCs w:val="20"/>
          <w:lang w:bidi="ar-EG"/>
        </w:rPr>
        <w:t>.</w:t>
      </w:r>
    </w:p>
    <w:p w:rsidR="002073D7" w:rsidRPr="005A7390" w:rsidRDefault="00761FE9" w:rsidP="00030DDA">
      <w:pPr>
        <w:bidi w:val="0"/>
        <w:adjustRightInd w:val="0"/>
        <w:snapToGrid w:val="0"/>
        <w:spacing w:after="0" w:line="240" w:lineRule="auto"/>
        <w:jc w:val="center"/>
        <w:rPr>
          <w:rFonts w:ascii="Times New Roman" w:hAnsi="Times New Roman" w:cs="Times New Roman"/>
          <w:sz w:val="20"/>
          <w:szCs w:val="20"/>
          <w:lang w:bidi="ar-EG"/>
        </w:rPr>
      </w:pPr>
      <w:hyperlink r:id="rId7" w:history="1">
        <w:r w:rsidR="00664C43" w:rsidRPr="005A7390">
          <w:rPr>
            <w:rStyle w:val="Hyperlink"/>
            <w:rFonts w:ascii="Times New Roman" w:hAnsi="Times New Roman" w:cs="Times New Roman"/>
            <w:sz w:val="20"/>
            <w:szCs w:val="20"/>
            <w:lang w:bidi="ar-EG"/>
          </w:rPr>
          <w:t>Swallow_special_boss@yahoo.com</w:t>
        </w:r>
      </w:hyperlink>
    </w:p>
    <w:p w:rsidR="008D26B3" w:rsidRPr="005A7390" w:rsidRDefault="008D26B3" w:rsidP="00030DDA">
      <w:pPr>
        <w:tabs>
          <w:tab w:val="left" w:pos="8841"/>
        </w:tabs>
        <w:bidi w:val="0"/>
        <w:adjustRightInd w:val="0"/>
        <w:snapToGrid w:val="0"/>
        <w:spacing w:after="0" w:line="240" w:lineRule="auto"/>
        <w:jc w:val="center"/>
        <w:rPr>
          <w:rFonts w:ascii="Times New Roman" w:hAnsi="Times New Roman" w:cs="Times New Roman"/>
          <w:color w:val="000000" w:themeColor="text1"/>
          <w:sz w:val="20"/>
          <w:szCs w:val="20"/>
        </w:rPr>
      </w:pPr>
    </w:p>
    <w:p w:rsidR="00BB31B4" w:rsidRPr="005A7390" w:rsidRDefault="00A71B33" w:rsidP="00030DDA">
      <w:pPr>
        <w:bidi w:val="0"/>
        <w:adjustRightInd w:val="0"/>
        <w:snapToGrid w:val="0"/>
        <w:spacing w:after="0" w:line="240" w:lineRule="auto"/>
        <w:jc w:val="both"/>
        <w:rPr>
          <w:rFonts w:ascii="Times New Roman" w:hAnsi="Times New Roman" w:cs="Times New Roman"/>
          <w:sz w:val="20"/>
          <w:szCs w:val="20"/>
        </w:rPr>
      </w:pPr>
      <w:r w:rsidRPr="005A7390">
        <w:rPr>
          <w:rFonts w:ascii="Times New Roman" w:hAnsi="Times New Roman" w:cs="Times New Roman"/>
          <w:b/>
          <w:bCs/>
          <w:color w:val="000000"/>
          <w:sz w:val="20"/>
          <w:szCs w:val="20"/>
        </w:rPr>
        <w:t xml:space="preserve">Abstract: Background: </w:t>
      </w:r>
      <w:r w:rsidRPr="005A7390">
        <w:rPr>
          <w:rFonts w:ascii="Times New Roman" w:eastAsia="Times New Roman+FPEF" w:hAnsi="Times New Roman" w:cs="Times New Roman"/>
          <w:color w:val="000000"/>
          <w:sz w:val="20"/>
          <w:szCs w:val="20"/>
        </w:rPr>
        <w:t>The aims of this study</w:t>
      </w:r>
      <w:r w:rsidRPr="005A7390">
        <w:rPr>
          <w:rFonts w:ascii="Times New Roman" w:hAnsi="Times New Roman" w:cs="Times New Roman"/>
          <w:sz w:val="20"/>
          <w:szCs w:val="20"/>
        </w:rPr>
        <w:t xml:space="preserve"> is </w:t>
      </w:r>
      <w:r w:rsidRPr="005A7390">
        <w:rPr>
          <w:rFonts w:ascii="Times New Roman" w:hAnsi="Times New Roman" w:cs="Times New Roman"/>
          <w:sz w:val="20"/>
          <w:szCs w:val="20"/>
          <w:lang w:bidi="ar-EG"/>
        </w:rPr>
        <w:t xml:space="preserve">to clarify </w:t>
      </w:r>
      <w:proofErr w:type="spellStart"/>
      <w:r w:rsidRPr="005A7390">
        <w:rPr>
          <w:rFonts w:ascii="Times New Roman" w:hAnsi="Times New Roman" w:cs="Times New Roman"/>
          <w:sz w:val="20"/>
          <w:szCs w:val="20"/>
          <w:lang w:bidi="ar-EG"/>
        </w:rPr>
        <w:t>hemodialysis</w:t>
      </w:r>
      <w:proofErr w:type="spellEnd"/>
      <w:r w:rsidRPr="005A7390">
        <w:rPr>
          <w:rFonts w:ascii="Times New Roman" w:hAnsi="Times New Roman" w:cs="Times New Roman"/>
          <w:sz w:val="20"/>
          <w:szCs w:val="20"/>
          <w:lang w:bidi="ar-EG"/>
        </w:rPr>
        <w:t xml:space="preserve"> related changes in liver function status in hepatitis C</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 xml:space="preserve">virus patients versus negative patients with chronic kidney disease on </w:t>
      </w:r>
      <w:proofErr w:type="spellStart"/>
      <w:r w:rsidRPr="005A7390">
        <w:rPr>
          <w:rFonts w:ascii="Times New Roman" w:hAnsi="Times New Roman" w:cs="Times New Roman"/>
          <w:sz w:val="20"/>
          <w:szCs w:val="20"/>
          <w:lang w:bidi="ar-EG"/>
        </w:rPr>
        <w:t>hemodialysis</w:t>
      </w:r>
      <w:proofErr w:type="spellEnd"/>
      <w:r w:rsidRPr="005A7390">
        <w:rPr>
          <w:rFonts w:ascii="Times New Roman" w:hAnsi="Times New Roman" w:cs="Times New Roman"/>
          <w:sz w:val="20"/>
          <w:szCs w:val="20"/>
          <w:lang w:bidi="ar-EG"/>
        </w:rPr>
        <w:t>.</w:t>
      </w:r>
      <w:r w:rsidRPr="005A7390">
        <w:rPr>
          <w:rFonts w:ascii="Times New Roman" w:hAnsi="Times New Roman" w:cs="Times New Roman"/>
          <w:b/>
          <w:bCs/>
          <w:color w:val="000000"/>
          <w:sz w:val="20"/>
          <w:szCs w:val="20"/>
        </w:rPr>
        <w:t xml:space="preserve"> Subjects and Methods:</w:t>
      </w:r>
      <w:r w:rsidRPr="005A7390">
        <w:rPr>
          <w:rFonts w:ascii="Times New Roman" w:hAnsi="Times New Roman" w:cs="Times New Roman"/>
          <w:sz w:val="20"/>
          <w:szCs w:val="20"/>
        </w:rPr>
        <w:t xml:space="preserve"> The study included 70 patients with history of chronic kidney disease on </w:t>
      </w:r>
      <w:proofErr w:type="spellStart"/>
      <w:r w:rsidR="00916D05" w:rsidRPr="005A7390">
        <w:rPr>
          <w:rFonts w:ascii="Times New Roman" w:hAnsi="Times New Roman" w:cs="Times New Roman"/>
          <w:sz w:val="20"/>
          <w:szCs w:val="20"/>
          <w:lang w:bidi="ar-EG"/>
        </w:rPr>
        <w:t>hemodialysis</w:t>
      </w:r>
      <w:proofErr w:type="spellEnd"/>
      <w:r w:rsidRPr="005A7390">
        <w:rPr>
          <w:rFonts w:ascii="Times New Roman" w:hAnsi="Times New Roman" w:cs="Times New Roman"/>
          <w:sz w:val="20"/>
          <w:szCs w:val="20"/>
        </w:rPr>
        <w:t xml:space="preserve"> for more than 1 year ago: 40 Patients with </w:t>
      </w:r>
      <w:r w:rsidR="00916D05" w:rsidRPr="005A7390">
        <w:rPr>
          <w:rFonts w:ascii="Times New Roman" w:hAnsi="Times New Roman" w:cs="Times New Roman"/>
          <w:sz w:val="20"/>
          <w:szCs w:val="20"/>
          <w:lang w:bidi="ar-EG"/>
        </w:rPr>
        <w:t>hepatitis C virus</w:t>
      </w:r>
      <w:r w:rsidRPr="005A7390">
        <w:rPr>
          <w:rFonts w:ascii="Times New Roman" w:hAnsi="Times New Roman" w:cs="Times New Roman"/>
          <w:sz w:val="20"/>
          <w:szCs w:val="20"/>
        </w:rPr>
        <w:t xml:space="preserve"> are patient group, and 30 Patients without </w:t>
      </w:r>
      <w:r w:rsidR="00916D05" w:rsidRPr="005A7390">
        <w:rPr>
          <w:rFonts w:ascii="Times New Roman" w:hAnsi="Times New Roman" w:cs="Times New Roman"/>
          <w:sz w:val="20"/>
          <w:szCs w:val="20"/>
          <w:lang w:bidi="ar-EG"/>
        </w:rPr>
        <w:t>hepatitis C virus</w:t>
      </w:r>
      <w:r w:rsidRPr="005A7390">
        <w:rPr>
          <w:rFonts w:ascii="Times New Roman" w:hAnsi="Times New Roman" w:cs="Times New Roman"/>
          <w:sz w:val="20"/>
          <w:szCs w:val="20"/>
        </w:rPr>
        <w:t xml:space="preserve"> are control group. The study was performed at national institute of nephrology and urology, in Cairo. Patients were subjected to full history taking, clinical examination including blood pressure measurement, and laboratory studies inclu</w:t>
      </w:r>
      <w:r w:rsidR="00916D05" w:rsidRPr="005A7390">
        <w:rPr>
          <w:rFonts w:ascii="Times New Roman" w:hAnsi="Times New Roman" w:cs="Times New Roman"/>
          <w:sz w:val="20"/>
          <w:szCs w:val="20"/>
        </w:rPr>
        <w:t>ding: complete blood count</w:t>
      </w:r>
      <w:r w:rsidRPr="005A7390">
        <w:rPr>
          <w:rFonts w:ascii="Times New Roman" w:hAnsi="Times New Roman" w:cs="Times New Roman"/>
          <w:sz w:val="20"/>
          <w:szCs w:val="20"/>
        </w:rPr>
        <w:t>, Serum levels o</w:t>
      </w:r>
      <w:r w:rsidR="00916D05" w:rsidRPr="005A7390">
        <w:rPr>
          <w:rFonts w:ascii="Times New Roman" w:hAnsi="Times New Roman" w:cs="Times New Roman"/>
          <w:sz w:val="20"/>
          <w:szCs w:val="20"/>
        </w:rPr>
        <w:t xml:space="preserve">f </w:t>
      </w:r>
      <w:proofErr w:type="spellStart"/>
      <w:r w:rsidR="00916D05" w:rsidRPr="005A7390">
        <w:rPr>
          <w:rFonts w:ascii="Times New Roman" w:hAnsi="Times New Roman" w:cs="Times New Roman"/>
          <w:sz w:val="20"/>
          <w:szCs w:val="20"/>
        </w:rPr>
        <w:t>alanine</w:t>
      </w:r>
      <w:proofErr w:type="spellEnd"/>
      <w:r w:rsidR="00916D05" w:rsidRPr="005A7390">
        <w:rPr>
          <w:rFonts w:ascii="Times New Roman" w:hAnsi="Times New Roman" w:cs="Times New Roman"/>
          <w:sz w:val="20"/>
          <w:szCs w:val="20"/>
        </w:rPr>
        <w:t xml:space="preserve"> </w:t>
      </w:r>
      <w:proofErr w:type="spellStart"/>
      <w:r w:rsidR="00916D05" w:rsidRPr="005A7390">
        <w:rPr>
          <w:rFonts w:ascii="Times New Roman" w:hAnsi="Times New Roman" w:cs="Times New Roman"/>
          <w:sz w:val="20"/>
          <w:szCs w:val="20"/>
        </w:rPr>
        <w:t>aminotransferase</w:t>
      </w:r>
      <w:proofErr w:type="spellEnd"/>
      <w:r w:rsidRPr="005A7390">
        <w:rPr>
          <w:rFonts w:ascii="Times New Roman" w:hAnsi="Times New Roman" w:cs="Times New Roman"/>
          <w:sz w:val="20"/>
          <w:szCs w:val="20"/>
        </w:rPr>
        <w:t xml:space="preserve">, </w:t>
      </w:r>
      <w:proofErr w:type="spellStart"/>
      <w:r w:rsidR="00F3098B" w:rsidRPr="005A7390">
        <w:rPr>
          <w:rFonts w:ascii="Times New Roman" w:hAnsi="Times New Roman" w:cs="Times New Roman"/>
          <w:sz w:val="20"/>
          <w:szCs w:val="20"/>
        </w:rPr>
        <w:t>Aspartate</w:t>
      </w:r>
      <w:proofErr w:type="spellEnd"/>
      <w:r w:rsidR="00F3098B" w:rsidRPr="005A7390">
        <w:rPr>
          <w:rFonts w:ascii="Times New Roman" w:hAnsi="Times New Roman" w:cs="Times New Roman"/>
          <w:sz w:val="20"/>
          <w:szCs w:val="20"/>
        </w:rPr>
        <w:t xml:space="preserve"> </w:t>
      </w:r>
      <w:proofErr w:type="spellStart"/>
      <w:r w:rsidRPr="005A7390">
        <w:rPr>
          <w:rFonts w:ascii="Times New Roman" w:hAnsi="Times New Roman" w:cs="Times New Roman"/>
          <w:sz w:val="20"/>
          <w:szCs w:val="20"/>
        </w:rPr>
        <w:t>aminotransfer</w:t>
      </w:r>
      <w:r w:rsidR="00916D05" w:rsidRPr="005A7390">
        <w:rPr>
          <w:rFonts w:ascii="Times New Roman" w:hAnsi="Times New Roman" w:cs="Times New Roman"/>
          <w:sz w:val="20"/>
          <w:szCs w:val="20"/>
        </w:rPr>
        <w:t>ase</w:t>
      </w:r>
      <w:proofErr w:type="spellEnd"/>
      <w:r w:rsidR="00916D05" w:rsidRPr="005A7390">
        <w:rPr>
          <w:rFonts w:ascii="Times New Roman" w:hAnsi="Times New Roman" w:cs="Times New Roman"/>
          <w:sz w:val="20"/>
          <w:szCs w:val="20"/>
        </w:rPr>
        <w:t>, international ratio</w:t>
      </w:r>
      <w:r w:rsidRPr="005A7390">
        <w:rPr>
          <w:rFonts w:ascii="Times New Roman" w:hAnsi="Times New Roman" w:cs="Times New Roman"/>
          <w:sz w:val="20"/>
          <w:szCs w:val="20"/>
        </w:rPr>
        <w:t xml:space="preserve">, total proteins, albumin, urea, </w:t>
      </w:r>
      <w:proofErr w:type="spellStart"/>
      <w:r w:rsidRPr="005A7390">
        <w:rPr>
          <w:rFonts w:ascii="Times New Roman" w:hAnsi="Times New Roman" w:cs="Times New Roman"/>
          <w:sz w:val="20"/>
          <w:szCs w:val="20"/>
        </w:rPr>
        <w:t>creatinine</w:t>
      </w:r>
      <w:proofErr w:type="spellEnd"/>
      <w:r w:rsidRPr="005A7390">
        <w:rPr>
          <w:rFonts w:ascii="Times New Roman" w:hAnsi="Times New Roman" w:cs="Times New Roman"/>
          <w:sz w:val="20"/>
          <w:szCs w:val="20"/>
        </w:rPr>
        <w:t xml:space="preserve">, sodium, potassium, </w:t>
      </w:r>
      <w:r w:rsidRPr="005A7390">
        <w:rPr>
          <w:rFonts w:ascii="Times New Roman" w:hAnsi="Times New Roman" w:cs="Times New Roman"/>
          <w:sz w:val="20"/>
          <w:szCs w:val="20"/>
          <w:lang w:bidi="ar-EG"/>
        </w:rPr>
        <w:t>cholesterol, triglycerides,</w:t>
      </w:r>
      <w:r w:rsidRPr="005A7390">
        <w:rPr>
          <w:rFonts w:ascii="Times New Roman" w:hAnsi="Times New Roman" w:cs="Times New Roman"/>
          <w:sz w:val="20"/>
          <w:szCs w:val="20"/>
        </w:rPr>
        <w:t xml:space="preserve"> virology markers using E</w:t>
      </w:r>
      <w:r w:rsidR="00916D05" w:rsidRPr="005A7390">
        <w:rPr>
          <w:rFonts w:ascii="Times New Roman" w:hAnsi="Times New Roman" w:cs="Times New Roman"/>
          <w:sz w:val="20"/>
          <w:szCs w:val="20"/>
        </w:rPr>
        <w:t>nzyme Linked-Immunoassay</w:t>
      </w:r>
      <w:r w:rsidRPr="005A7390">
        <w:rPr>
          <w:rFonts w:ascii="Times New Roman" w:hAnsi="Times New Roman" w:cs="Times New Roman"/>
          <w:sz w:val="20"/>
          <w:szCs w:val="20"/>
        </w:rPr>
        <w:t xml:space="preserve"> technique over 1 year with 3 months between each one, and polymerase ch</w:t>
      </w:r>
      <w:r w:rsidR="00916D05" w:rsidRPr="005A7390">
        <w:rPr>
          <w:rFonts w:ascii="Times New Roman" w:hAnsi="Times New Roman" w:cs="Times New Roman"/>
          <w:sz w:val="20"/>
          <w:szCs w:val="20"/>
        </w:rPr>
        <w:t>ain reaction</w:t>
      </w:r>
      <w:r w:rsidRPr="005A7390">
        <w:rPr>
          <w:rFonts w:ascii="Times New Roman" w:hAnsi="Times New Roman" w:cs="Times New Roman"/>
          <w:sz w:val="20"/>
          <w:szCs w:val="20"/>
        </w:rPr>
        <w:t xml:space="preserve"> for </w:t>
      </w:r>
      <w:r w:rsidR="00916D05" w:rsidRPr="005A7390">
        <w:rPr>
          <w:rFonts w:ascii="Times New Roman" w:hAnsi="Times New Roman" w:cs="Times New Roman"/>
          <w:sz w:val="20"/>
          <w:szCs w:val="20"/>
          <w:lang w:bidi="ar-EG"/>
        </w:rPr>
        <w:t>hepatitis C virus</w:t>
      </w:r>
      <w:r w:rsidR="005A7390" w:rsidRPr="005A7390">
        <w:rPr>
          <w:rFonts w:ascii="Times New Roman" w:hAnsi="Times New Roman" w:cs="Times New Roman" w:hint="eastAsia"/>
          <w:sz w:val="20"/>
          <w:szCs w:val="20"/>
          <w:lang w:eastAsia="zh-CN" w:bidi="ar-EG"/>
        </w:rPr>
        <w:t xml:space="preserve"> </w:t>
      </w:r>
      <w:proofErr w:type="spellStart"/>
      <w:r w:rsidR="00916D05" w:rsidRPr="005A7390">
        <w:rPr>
          <w:rFonts w:ascii="Times New Roman" w:hAnsi="Times New Roman" w:cs="Times New Roman"/>
          <w:sz w:val="20"/>
          <w:szCs w:val="20"/>
        </w:rPr>
        <w:t>Ribo</w:t>
      </w:r>
      <w:proofErr w:type="spellEnd"/>
      <w:r w:rsidR="005A7390" w:rsidRPr="005A7390">
        <w:rPr>
          <w:rFonts w:ascii="Times New Roman" w:hAnsi="Times New Roman" w:cs="Times New Roman" w:hint="eastAsia"/>
          <w:sz w:val="20"/>
          <w:szCs w:val="20"/>
          <w:lang w:eastAsia="zh-CN"/>
        </w:rPr>
        <w:t xml:space="preserve"> </w:t>
      </w:r>
      <w:r w:rsidR="00916D05" w:rsidRPr="005A7390">
        <w:rPr>
          <w:rFonts w:ascii="Times New Roman" w:hAnsi="Times New Roman" w:cs="Times New Roman"/>
          <w:sz w:val="20"/>
          <w:szCs w:val="20"/>
        </w:rPr>
        <w:t>Nucleic Acid</w:t>
      </w:r>
      <w:r w:rsidRPr="005A7390">
        <w:rPr>
          <w:rFonts w:ascii="Times New Roman" w:hAnsi="Times New Roman" w:cs="Times New Roman"/>
          <w:sz w:val="20"/>
          <w:szCs w:val="20"/>
        </w:rPr>
        <w:t xml:space="preserve"> once </w:t>
      </w:r>
      <w:proofErr w:type="spellStart"/>
      <w:r w:rsidRPr="005A7390">
        <w:rPr>
          <w:rFonts w:ascii="Times New Roman" w:hAnsi="Times New Roman" w:cs="Times New Roman"/>
          <w:sz w:val="20"/>
          <w:szCs w:val="20"/>
        </w:rPr>
        <w:t>allover</w:t>
      </w:r>
      <w:proofErr w:type="spellEnd"/>
      <w:r w:rsidRPr="005A7390">
        <w:rPr>
          <w:rFonts w:ascii="Times New Roman" w:hAnsi="Times New Roman" w:cs="Times New Roman"/>
          <w:sz w:val="20"/>
          <w:szCs w:val="20"/>
        </w:rPr>
        <w:t xml:space="preserve"> the study.</w:t>
      </w:r>
      <w:r w:rsidR="005A7390" w:rsidRPr="005A7390">
        <w:rPr>
          <w:rFonts w:ascii="Times New Roman" w:hAnsi="Times New Roman" w:cs="Times New Roman" w:hint="eastAsia"/>
          <w:sz w:val="20"/>
          <w:szCs w:val="20"/>
          <w:lang w:eastAsia="zh-CN"/>
        </w:rPr>
        <w:t xml:space="preserve"> </w:t>
      </w:r>
      <w:r w:rsidR="002505C7" w:rsidRPr="005A7390">
        <w:rPr>
          <w:rFonts w:ascii="Times New Roman" w:hAnsi="Times New Roman" w:cs="Times New Roman"/>
          <w:b/>
          <w:bCs/>
          <w:color w:val="000000"/>
          <w:sz w:val="20"/>
          <w:szCs w:val="20"/>
        </w:rPr>
        <w:t>Results:</w:t>
      </w:r>
      <w:r w:rsidR="002505C7" w:rsidRPr="005A7390">
        <w:rPr>
          <w:rFonts w:ascii="Times New Roman" w:hAnsi="Times New Roman" w:cs="Times New Roman"/>
          <w:sz w:val="20"/>
          <w:szCs w:val="20"/>
        </w:rPr>
        <w:t xml:space="preserve"> The study showed no significant difference between patients an</w:t>
      </w:r>
      <w:r w:rsidR="00B73030" w:rsidRPr="005A7390">
        <w:rPr>
          <w:rFonts w:ascii="Times New Roman" w:hAnsi="Times New Roman" w:cs="Times New Roman"/>
          <w:sz w:val="20"/>
          <w:szCs w:val="20"/>
        </w:rPr>
        <w:t xml:space="preserve">d control as regard serum liver </w:t>
      </w:r>
      <w:proofErr w:type="spellStart"/>
      <w:r w:rsidR="002505C7" w:rsidRPr="005A7390">
        <w:rPr>
          <w:rFonts w:ascii="Times New Roman" w:hAnsi="Times New Roman" w:cs="Times New Roman"/>
          <w:sz w:val="20"/>
          <w:szCs w:val="20"/>
        </w:rPr>
        <w:t>aminotransferases</w:t>
      </w:r>
      <w:proofErr w:type="spellEnd"/>
      <w:r w:rsidR="002505C7" w:rsidRPr="005A7390">
        <w:rPr>
          <w:rFonts w:ascii="Times New Roman" w:hAnsi="Times New Roman" w:cs="Times New Roman"/>
          <w:sz w:val="20"/>
          <w:szCs w:val="20"/>
        </w:rPr>
        <w:t xml:space="preserve">, albumin and international ratio </w:t>
      </w:r>
      <w:proofErr w:type="spellStart"/>
      <w:r w:rsidR="002505C7" w:rsidRPr="005A7390">
        <w:rPr>
          <w:rFonts w:ascii="Times New Roman" w:hAnsi="Times New Roman" w:cs="Times New Roman"/>
          <w:sz w:val="20"/>
          <w:szCs w:val="20"/>
        </w:rPr>
        <w:t>allover</w:t>
      </w:r>
      <w:proofErr w:type="spellEnd"/>
      <w:r w:rsidR="002505C7" w:rsidRPr="005A7390">
        <w:rPr>
          <w:rFonts w:ascii="Times New Roman" w:hAnsi="Times New Roman" w:cs="Times New Roman"/>
          <w:sz w:val="20"/>
          <w:szCs w:val="20"/>
        </w:rPr>
        <w:t xml:space="preserve"> the study, and all are within normal ranges, also 72.5</w:t>
      </w:r>
      <w:r w:rsidR="002505C7" w:rsidRPr="005A7390">
        <w:rPr>
          <w:rFonts w:ascii="Times New Roman" w:hAnsi="Times New Roman" w:cs="Times New Roman"/>
          <w:color w:val="000000"/>
          <w:sz w:val="20"/>
          <w:szCs w:val="20"/>
        </w:rPr>
        <w:t xml:space="preserve">%, 22.5% and 5% of patients group are in low, intermediate, and high </w:t>
      </w:r>
      <w:proofErr w:type="spellStart"/>
      <w:r w:rsidR="002505C7" w:rsidRPr="005A7390">
        <w:rPr>
          <w:rFonts w:ascii="Times New Roman" w:hAnsi="Times New Roman" w:cs="Times New Roman"/>
          <w:color w:val="000000"/>
          <w:sz w:val="20"/>
          <w:szCs w:val="20"/>
        </w:rPr>
        <w:t>viremia</w:t>
      </w:r>
      <w:proofErr w:type="spellEnd"/>
      <w:r w:rsidR="002505C7" w:rsidRPr="005A7390">
        <w:rPr>
          <w:rFonts w:ascii="Times New Roman" w:hAnsi="Times New Roman" w:cs="Times New Roman"/>
          <w:color w:val="000000"/>
          <w:sz w:val="20"/>
          <w:szCs w:val="20"/>
        </w:rPr>
        <w:t xml:space="preserve"> respectively, </w:t>
      </w:r>
      <w:r w:rsidR="002505C7" w:rsidRPr="005A7390">
        <w:rPr>
          <w:rFonts w:ascii="Times New Roman" w:hAnsi="Times New Roman" w:cs="Times New Roman"/>
          <w:sz w:val="20"/>
          <w:szCs w:val="20"/>
          <w:lang w:bidi="ar-EG"/>
        </w:rPr>
        <w:t xml:space="preserve">and with </w:t>
      </w:r>
      <w:r w:rsidR="00F3098B" w:rsidRPr="005A7390">
        <w:rPr>
          <w:rFonts w:ascii="Times New Roman" w:hAnsi="Times New Roman" w:cs="Times New Roman"/>
          <w:sz w:val="20"/>
          <w:szCs w:val="20"/>
        </w:rPr>
        <w:t>Comparative</w:t>
      </w:r>
      <w:r w:rsidR="002505C7" w:rsidRPr="005A7390">
        <w:rPr>
          <w:rFonts w:ascii="Times New Roman" w:hAnsi="Times New Roman" w:cs="Times New Roman"/>
          <w:sz w:val="20"/>
          <w:szCs w:val="20"/>
        </w:rPr>
        <w:t xml:space="preserve"> study between low, intermediate and high </w:t>
      </w:r>
      <w:proofErr w:type="spellStart"/>
      <w:r w:rsidR="002505C7" w:rsidRPr="005A7390">
        <w:rPr>
          <w:rFonts w:ascii="Times New Roman" w:hAnsi="Times New Roman" w:cs="Times New Roman"/>
          <w:sz w:val="20"/>
          <w:szCs w:val="20"/>
        </w:rPr>
        <w:t>viremia</w:t>
      </w:r>
      <w:proofErr w:type="spellEnd"/>
      <w:r w:rsidR="002505C7" w:rsidRPr="005A7390">
        <w:rPr>
          <w:rFonts w:ascii="Times New Roman" w:hAnsi="Times New Roman" w:cs="Times New Roman"/>
          <w:sz w:val="20"/>
          <w:szCs w:val="20"/>
        </w:rPr>
        <w:t xml:space="preserve"> as regard duration of starting dialysis (years)</w:t>
      </w:r>
      <w:r w:rsidR="002505C7" w:rsidRPr="005A7390">
        <w:rPr>
          <w:rFonts w:ascii="Times New Roman" w:hAnsi="Times New Roman" w:cs="Times New Roman"/>
          <w:sz w:val="20"/>
          <w:szCs w:val="20"/>
          <w:lang w:bidi="ar-EG"/>
        </w:rPr>
        <w:t xml:space="preserve"> there is: </w:t>
      </w:r>
      <w:r w:rsidR="002505C7" w:rsidRPr="005A7390">
        <w:rPr>
          <w:rFonts w:ascii="Times New Roman" w:eastAsia="Calibri" w:hAnsi="Times New Roman" w:cs="Times New Roman"/>
          <w:sz w:val="20"/>
          <w:szCs w:val="20"/>
          <w:lang w:bidi="ar-EG"/>
        </w:rPr>
        <w:t>highly significant difference between them</w:t>
      </w:r>
      <w:r w:rsidR="002505C7" w:rsidRPr="005A7390">
        <w:rPr>
          <w:rFonts w:ascii="Times New Roman" w:hAnsi="Times New Roman" w:cs="Times New Roman"/>
          <w:sz w:val="20"/>
          <w:szCs w:val="20"/>
          <w:lang w:bidi="ar-EG"/>
        </w:rPr>
        <w:t xml:space="preserve">, indicating that: There is </w:t>
      </w:r>
      <w:r w:rsidR="002505C7" w:rsidRPr="005A7390">
        <w:rPr>
          <w:rFonts w:ascii="Times New Roman" w:eastAsia="Calibri" w:hAnsi="Times New Roman" w:cs="Times New Roman"/>
          <w:sz w:val="20"/>
          <w:szCs w:val="20"/>
          <w:lang w:bidi="ar-EG"/>
        </w:rPr>
        <w:t>inverse association with increase duration of starting dialysis there is decrease in hepatitis C viral load.</w:t>
      </w:r>
      <w:r w:rsidR="00BB31B4" w:rsidRPr="005A7390">
        <w:rPr>
          <w:rFonts w:ascii="Times New Roman" w:hAnsi="Times New Roman" w:cs="Times New Roman"/>
          <w:b/>
          <w:bCs/>
          <w:sz w:val="20"/>
          <w:szCs w:val="20"/>
          <w:lang w:bidi="ar-EG"/>
        </w:rPr>
        <w:t xml:space="preserve"> Conclusion:</w:t>
      </w:r>
      <w:r w:rsidR="00BB31B4" w:rsidRPr="005A7390">
        <w:rPr>
          <w:rFonts w:ascii="Times New Roman" w:hAnsi="Times New Roman" w:cs="Times New Roman"/>
          <w:sz w:val="20"/>
          <w:szCs w:val="20"/>
        </w:rPr>
        <w:t xml:space="preserve"> Our data confirm that patients with chronic kidney disease on </w:t>
      </w:r>
      <w:proofErr w:type="spellStart"/>
      <w:r w:rsidR="00BB31B4" w:rsidRPr="005A7390">
        <w:rPr>
          <w:rFonts w:ascii="Times New Roman" w:hAnsi="Times New Roman" w:cs="Times New Roman"/>
          <w:sz w:val="20"/>
          <w:szCs w:val="20"/>
        </w:rPr>
        <w:t>hemodialysis</w:t>
      </w:r>
      <w:proofErr w:type="spellEnd"/>
      <w:r w:rsidR="00BB31B4" w:rsidRPr="005A7390">
        <w:rPr>
          <w:rFonts w:ascii="Times New Roman" w:hAnsi="Times New Roman" w:cs="Times New Roman"/>
          <w:sz w:val="20"/>
          <w:szCs w:val="20"/>
        </w:rPr>
        <w:t xml:space="preserve"> with hepatitis C virus have normal level of liver </w:t>
      </w:r>
      <w:proofErr w:type="spellStart"/>
      <w:r w:rsidR="00BB31B4" w:rsidRPr="005A7390">
        <w:rPr>
          <w:rFonts w:ascii="Times New Roman" w:hAnsi="Times New Roman" w:cs="Times New Roman"/>
          <w:sz w:val="20"/>
          <w:szCs w:val="20"/>
        </w:rPr>
        <w:t>aminotransferases</w:t>
      </w:r>
      <w:proofErr w:type="spellEnd"/>
      <w:r w:rsidR="00BB31B4" w:rsidRPr="005A7390">
        <w:rPr>
          <w:rFonts w:ascii="Times New Roman" w:hAnsi="Times New Roman" w:cs="Times New Roman"/>
          <w:sz w:val="20"/>
          <w:szCs w:val="20"/>
        </w:rPr>
        <w:t xml:space="preserve">, and low </w:t>
      </w:r>
      <w:proofErr w:type="spellStart"/>
      <w:r w:rsidR="00BB31B4" w:rsidRPr="005A7390">
        <w:rPr>
          <w:rFonts w:ascii="Times New Roman" w:hAnsi="Times New Roman" w:cs="Times New Roman"/>
          <w:sz w:val="20"/>
          <w:szCs w:val="20"/>
        </w:rPr>
        <w:t>viremia</w:t>
      </w:r>
      <w:proofErr w:type="spellEnd"/>
      <w:r w:rsidR="00BB31B4" w:rsidRPr="005A7390">
        <w:rPr>
          <w:rFonts w:ascii="Times New Roman" w:hAnsi="Times New Roman" w:cs="Times New Roman"/>
          <w:sz w:val="20"/>
          <w:szCs w:val="20"/>
        </w:rPr>
        <w:t xml:space="preserve"> in hepatitis C virus patients on </w:t>
      </w:r>
      <w:proofErr w:type="spellStart"/>
      <w:r w:rsidR="00BB31B4" w:rsidRPr="005A7390">
        <w:rPr>
          <w:rFonts w:ascii="Times New Roman" w:hAnsi="Times New Roman" w:cs="Times New Roman"/>
          <w:sz w:val="20"/>
          <w:szCs w:val="20"/>
        </w:rPr>
        <w:t>hemodialysis</w:t>
      </w:r>
      <w:proofErr w:type="spellEnd"/>
      <w:r w:rsidR="00BB31B4" w:rsidRPr="005A7390">
        <w:rPr>
          <w:rFonts w:ascii="Times New Roman" w:hAnsi="Times New Roman" w:cs="Times New Roman"/>
          <w:sz w:val="20"/>
          <w:szCs w:val="20"/>
        </w:rPr>
        <w:t xml:space="preserve"> is an important factor in maintaining them </w:t>
      </w:r>
      <w:proofErr w:type="spellStart"/>
      <w:r w:rsidR="00BB31B4" w:rsidRPr="005A7390">
        <w:rPr>
          <w:rFonts w:ascii="Times New Roman" w:hAnsi="Times New Roman" w:cs="Times New Roman"/>
          <w:sz w:val="20"/>
          <w:szCs w:val="20"/>
        </w:rPr>
        <w:t>with in</w:t>
      </w:r>
      <w:proofErr w:type="spellEnd"/>
      <w:r w:rsidR="00BB31B4" w:rsidRPr="005A7390">
        <w:rPr>
          <w:rFonts w:ascii="Times New Roman" w:hAnsi="Times New Roman" w:cs="Times New Roman"/>
          <w:sz w:val="20"/>
          <w:szCs w:val="20"/>
        </w:rPr>
        <w:t xml:space="preserve"> normal ranges, and this low viral load may be related to duration since starting of </w:t>
      </w:r>
      <w:proofErr w:type="spellStart"/>
      <w:r w:rsidR="00BB31B4" w:rsidRPr="005A7390">
        <w:rPr>
          <w:rFonts w:ascii="Times New Roman" w:hAnsi="Times New Roman" w:cs="Times New Roman"/>
          <w:sz w:val="20"/>
          <w:szCs w:val="20"/>
        </w:rPr>
        <w:t>hemodialysis</w:t>
      </w:r>
      <w:proofErr w:type="spellEnd"/>
      <w:r w:rsidR="00B73030" w:rsidRPr="005A7390">
        <w:rPr>
          <w:rFonts w:ascii="Times New Roman" w:hAnsi="Times New Roman" w:cs="Times New Roman"/>
          <w:sz w:val="20"/>
          <w:szCs w:val="20"/>
        </w:rPr>
        <w:t>.</w:t>
      </w:r>
    </w:p>
    <w:p w:rsidR="00766539" w:rsidRPr="005A7390" w:rsidRDefault="00BB31B4" w:rsidP="00030DDA">
      <w:pPr>
        <w:bidi w:val="0"/>
        <w:adjustRightInd w:val="0"/>
        <w:snapToGrid w:val="0"/>
        <w:spacing w:after="0" w:line="240" w:lineRule="auto"/>
        <w:jc w:val="both"/>
        <w:rPr>
          <w:rFonts w:ascii="Times New Roman" w:hAnsi="Times New Roman" w:cs="Times New Roman"/>
          <w:sz w:val="20"/>
          <w:szCs w:val="20"/>
        </w:rPr>
      </w:pPr>
      <w:r w:rsidRPr="005A7390">
        <w:rPr>
          <w:rFonts w:ascii="Times New Roman" w:hAnsi="Times New Roman" w:cs="Times New Roman"/>
          <w:color w:val="000000"/>
          <w:sz w:val="20"/>
          <w:szCs w:val="20"/>
        </w:rPr>
        <w:t>[</w:t>
      </w:r>
      <w:proofErr w:type="spellStart"/>
      <w:r w:rsidRPr="005A7390">
        <w:rPr>
          <w:rFonts w:ascii="Times New Roman" w:hAnsi="Times New Roman" w:cs="Times New Roman"/>
          <w:sz w:val="20"/>
          <w:szCs w:val="20"/>
        </w:rPr>
        <w:t>Fawzy</w:t>
      </w:r>
      <w:proofErr w:type="spellEnd"/>
      <w:r w:rsidR="00766539" w:rsidRPr="005A7390">
        <w:rPr>
          <w:rFonts w:ascii="Times New Roman" w:hAnsi="Times New Roman" w:cs="Times New Roman" w:hint="eastAsia"/>
          <w:sz w:val="20"/>
          <w:szCs w:val="20"/>
          <w:lang w:eastAsia="zh-CN"/>
        </w:rPr>
        <w:t xml:space="preserve"> </w:t>
      </w:r>
      <w:proofErr w:type="spellStart"/>
      <w:r w:rsidRPr="005A7390">
        <w:rPr>
          <w:rFonts w:ascii="Times New Roman" w:hAnsi="Times New Roman" w:cs="Times New Roman"/>
          <w:sz w:val="20"/>
          <w:szCs w:val="20"/>
        </w:rPr>
        <w:t>Megahed</w:t>
      </w:r>
      <w:proofErr w:type="spellEnd"/>
      <w:r w:rsidRPr="005A7390">
        <w:rPr>
          <w:rFonts w:ascii="Times New Roman" w:hAnsi="Times New Roman" w:cs="Times New Roman"/>
          <w:sz w:val="20"/>
          <w:szCs w:val="20"/>
        </w:rPr>
        <w:t xml:space="preserve"> </w:t>
      </w:r>
      <w:proofErr w:type="spellStart"/>
      <w:r w:rsidRPr="005A7390">
        <w:rPr>
          <w:rFonts w:ascii="Times New Roman" w:hAnsi="Times New Roman" w:cs="Times New Roman"/>
          <w:sz w:val="20"/>
          <w:szCs w:val="20"/>
        </w:rPr>
        <w:t>Khalil</w:t>
      </w:r>
      <w:proofErr w:type="spellEnd"/>
      <w:r w:rsidRPr="005A7390">
        <w:rPr>
          <w:rFonts w:ascii="Times New Roman" w:eastAsia="Batang" w:hAnsi="Times New Roman" w:cs="Times New Roman"/>
          <w:color w:val="000000" w:themeColor="text1"/>
          <w:sz w:val="20"/>
          <w:szCs w:val="20"/>
        </w:rPr>
        <w:t>,</w:t>
      </w:r>
      <w:r w:rsidRPr="005A7390">
        <w:rPr>
          <w:rFonts w:ascii="Times New Roman" w:hAnsi="Times New Roman" w:cs="Times New Roman"/>
          <w:sz w:val="20"/>
          <w:szCs w:val="20"/>
        </w:rPr>
        <w:t xml:space="preserve"> Mohamed Ahmed El </w:t>
      </w:r>
      <w:proofErr w:type="spellStart"/>
      <w:r w:rsidRPr="005A7390">
        <w:rPr>
          <w:rFonts w:ascii="Times New Roman" w:hAnsi="Times New Roman" w:cs="Times New Roman"/>
          <w:sz w:val="20"/>
          <w:szCs w:val="20"/>
        </w:rPr>
        <w:t>Assal</w:t>
      </w:r>
      <w:proofErr w:type="spellEnd"/>
      <w:r w:rsidRPr="005A7390">
        <w:rPr>
          <w:rFonts w:ascii="Times New Roman" w:eastAsia="Batang" w:hAnsi="Times New Roman" w:cs="Times New Roman"/>
          <w:color w:val="000000" w:themeColor="text1"/>
          <w:sz w:val="20"/>
          <w:szCs w:val="20"/>
        </w:rPr>
        <w:t xml:space="preserve">, </w:t>
      </w:r>
      <w:r w:rsidRPr="005A7390">
        <w:rPr>
          <w:rFonts w:ascii="Times New Roman" w:hAnsi="Times New Roman" w:cs="Times New Roman"/>
          <w:sz w:val="20"/>
          <w:szCs w:val="20"/>
        </w:rPr>
        <w:t xml:space="preserve">Ahmed Mohamed Hussein </w:t>
      </w:r>
      <w:proofErr w:type="spellStart"/>
      <w:r w:rsidRPr="005A7390">
        <w:rPr>
          <w:rFonts w:ascii="Times New Roman" w:hAnsi="Times New Roman" w:cs="Times New Roman"/>
          <w:sz w:val="20"/>
          <w:szCs w:val="20"/>
        </w:rPr>
        <w:t>Dabour</w:t>
      </w:r>
      <w:proofErr w:type="spellEnd"/>
      <w:r w:rsidRPr="005A7390">
        <w:rPr>
          <w:rFonts w:ascii="Times New Roman" w:eastAsia="Batang" w:hAnsi="Times New Roman" w:cs="Times New Roman"/>
          <w:color w:val="000000" w:themeColor="text1"/>
          <w:sz w:val="20"/>
          <w:szCs w:val="20"/>
        </w:rPr>
        <w:t xml:space="preserve">, </w:t>
      </w:r>
      <w:r w:rsidRPr="005A7390">
        <w:rPr>
          <w:rFonts w:ascii="Times New Roman" w:hAnsi="Times New Roman" w:cs="Times New Roman"/>
          <w:sz w:val="20"/>
          <w:szCs w:val="20"/>
        </w:rPr>
        <w:t xml:space="preserve">Ahmed Hassan </w:t>
      </w:r>
      <w:proofErr w:type="spellStart"/>
      <w:r w:rsidRPr="005A7390">
        <w:rPr>
          <w:rFonts w:ascii="Times New Roman" w:hAnsi="Times New Roman" w:cs="Times New Roman"/>
          <w:sz w:val="20"/>
          <w:szCs w:val="20"/>
        </w:rPr>
        <w:t>El.Thakaby</w:t>
      </w:r>
      <w:proofErr w:type="spellEnd"/>
      <w:r w:rsidRPr="005A7390">
        <w:rPr>
          <w:rFonts w:ascii="Times New Roman" w:eastAsia="Batang" w:hAnsi="Times New Roman" w:cs="Times New Roman"/>
          <w:color w:val="000000" w:themeColor="text1"/>
          <w:sz w:val="20"/>
          <w:szCs w:val="20"/>
        </w:rPr>
        <w:t>,</w:t>
      </w:r>
      <w:r w:rsidRPr="005A7390">
        <w:rPr>
          <w:rFonts w:ascii="Times New Roman" w:hAnsi="Times New Roman" w:cs="Times New Roman"/>
          <w:sz w:val="20"/>
          <w:szCs w:val="20"/>
          <w:lang w:bidi="ar-EG"/>
        </w:rPr>
        <w:t xml:space="preserve"> Ibrahim </w:t>
      </w:r>
      <w:proofErr w:type="spellStart"/>
      <w:r w:rsidRPr="005A7390">
        <w:rPr>
          <w:rFonts w:ascii="Times New Roman" w:hAnsi="Times New Roman" w:cs="Times New Roman"/>
          <w:sz w:val="20"/>
          <w:szCs w:val="20"/>
          <w:lang w:bidi="ar-EG"/>
        </w:rPr>
        <w:t>Hamdy</w:t>
      </w:r>
      <w:proofErr w:type="spellEnd"/>
      <w:r w:rsidRPr="005A7390">
        <w:rPr>
          <w:rFonts w:ascii="Times New Roman" w:hAnsi="Times New Roman" w:cs="Times New Roman"/>
          <w:sz w:val="20"/>
          <w:szCs w:val="20"/>
          <w:lang w:bidi="ar-EG"/>
        </w:rPr>
        <w:t xml:space="preserve"> Ibrahim.</w:t>
      </w:r>
      <w:r w:rsidR="00766539" w:rsidRPr="005A7390">
        <w:rPr>
          <w:rFonts w:ascii="Times New Roman" w:hAnsi="Times New Roman" w:cs="Times New Roman" w:hint="eastAsia"/>
          <w:sz w:val="20"/>
          <w:szCs w:val="20"/>
          <w:lang w:eastAsia="zh-CN" w:bidi="ar-EG"/>
        </w:rPr>
        <w:t xml:space="preserve"> </w:t>
      </w:r>
      <w:proofErr w:type="gramStart"/>
      <w:r w:rsidRPr="005A7390">
        <w:rPr>
          <w:rFonts w:ascii="Times New Roman" w:hAnsi="Times New Roman" w:cs="Times New Roman"/>
          <w:b/>
          <w:bCs/>
          <w:sz w:val="20"/>
          <w:szCs w:val="20"/>
        </w:rPr>
        <w:t xml:space="preserve">Liver function status in hepatitis C virus patients with chronic Renal Failure on </w:t>
      </w:r>
      <w:proofErr w:type="spellStart"/>
      <w:r w:rsidRPr="005A7390">
        <w:rPr>
          <w:rFonts w:ascii="Times New Roman" w:hAnsi="Times New Roman" w:cs="Times New Roman"/>
          <w:b/>
          <w:bCs/>
          <w:sz w:val="20"/>
          <w:szCs w:val="20"/>
        </w:rPr>
        <w:t>hemodialysis</w:t>
      </w:r>
      <w:proofErr w:type="spellEnd"/>
      <w:r w:rsidR="00766539" w:rsidRPr="005A7390">
        <w:rPr>
          <w:rFonts w:ascii="Times New Roman" w:eastAsia="Times New Roman" w:hAnsi="Times New Roman" w:cs="Times New Roman"/>
          <w:b/>
          <w:bCs/>
          <w:sz w:val="20"/>
          <w:szCs w:val="20"/>
          <w:lang w:bidi="fa-IR"/>
        </w:rPr>
        <w:t>.</w:t>
      </w:r>
      <w:proofErr w:type="gramEnd"/>
      <w:r w:rsidR="00766539" w:rsidRPr="005A7390">
        <w:rPr>
          <w:rFonts w:ascii="Times New Roman" w:hAnsi="Times New Roman" w:cs="Times New Roman"/>
          <w:bCs/>
          <w:i/>
          <w:sz w:val="20"/>
          <w:szCs w:val="20"/>
        </w:rPr>
        <w:t xml:space="preserve"> N Y </w:t>
      </w:r>
      <w:proofErr w:type="spellStart"/>
      <w:r w:rsidR="00766539" w:rsidRPr="005A7390">
        <w:rPr>
          <w:rFonts w:ascii="Times New Roman" w:hAnsi="Times New Roman" w:cs="Times New Roman"/>
          <w:bCs/>
          <w:i/>
          <w:sz w:val="20"/>
          <w:szCs w:val="20"/>
        </w:rPr>
        <w:t>Sci</w:t>
      </w:r>
      <w:proofErr w:type="spellEnd"/>
      <w:r w:rsidR="00766539" w:rsidRPr="005A7390">
        <w:rPr>
          <w:rFonts w:ascii="Times New Roman" w:hAnsi="Times New Roman" w:cs="Times New Roman"/>
          <w:bCs/>
          <w:i/>
          <w:sz w:val="20"/>
          <w:szCs w:val="20"/>
        </w:rPr>
        <w:t xml:space="preserve"> J</w:t>
      </w:r>
      <w:r w:rsidR="00766539" w:rsidRPr="005A7390">
        <w:rPr>
          <w:rFonts w:ascii="Times New Roman" w:hAnsi="Times New Roman" w:cs="Times New Roman"/>
          <w:bCs/>
          <w:sz w:val="20"/>
          <w:szCs w:val="20"/>
        </w:rPr>
        <w:t xml:space="preserve"> </w:t>
      </w:r>
      <w:r w:rsidR="00766539" w:rsidRPr="005A7390">
        <w:rPr>
          <w:rFonts w:ascii="Times New Roman" w:hAnsi="Times New Roman" w:cs="Times New Roman"/>
          <w:sz w:val="20"/>
          <w:szCs w:val="20"/>
        </w:rPr>
        <w:t>201</w:t>
      </w:r>
      <w:r w:rsidR="00766539" w:rsidRPr="005A7390">
        <w:rPr>
          <w:rFonts w:ascii="Times New Roman" w:hAnsi="Times New Roman" w:cs="Times New Roman" w:hint="eastAsia"/>
          <w:sz w:val="20"/>
          <w:szCs w:val="20"/>
        </w:rPr>
        <w:t>6</w:t>
      </w:r>
      <w:proofErr w:type="gramStart"/>
      <w:r w:rsidR="00766539" w:rsidRPr="005A7390">
        <w:rPr>
          <w:rFonts w:ascii="Times New Roman" w:hAnsi="Times New Roman" w:cs="Times New Roman"/>
          <w:sz w:val="20"/>
          <w:szCs w:val="20"/>
        </w:rPr>
        <w:t>;</w:t>
      </w:r>
      <w:r w:rsidR="00766539" w:rsidRPr="005A7390">
        <w:rPr>
          <w:rFonts w:ascii="Times New Roman" w:hAnsi="Times New Roman" w:cs="Times New Roman" w:hint="eastAsia"/>
          <w:sz w:val="20"/>
          <w:szCs w:val="20"/>
        </w:rPr>
        <w:t>9</w:t>
      </w:r>
      <w:proofErr w:type="gramEnd"/>
      <w:r w:rsidR="00766539" w:rsidRPr="005A7390">
        <w:rPr>
          <w:rFonts w:ascii="Times New Roman" w:hAnsi="Times New Roman" w:cs="Times New Roman"/>
          <w:sz w:val="20"/>
          <w:szCs w:val="20"/>
        </w:rPr>
        <w:t>(</w:t>
      </w:r>
      <w:r w:rsidR="00F17BF5">
        <w:rPr>
          <w:rFonts w:ascii="Times New Roman" w:hAnsi="Times New Roman" w:cs="Times New Roman" w:hint="eastAsia"/>
          <w:sz w:val="20"/>
          <w:szCs w:val="20"/>
          <w:lang w:eastAsia="zh-CN"/>
        </w:rPr>
        <w:t>2</w:t>
      </w:r>
      <w:r w:rsidR="00766539" w:rsidRPr="005A7390">
        <w:rPr>
          <w:rFonts w:ascii="Times New Roman" w:hAnsi="Times New Roman" w:cs="Times New Roman"/>
          <w:sz w:val="20"/>
          <w:szCs w:val="20"/>
        </w:rPr>
        <w:t>):</w:t>
      </w:r>
      <w:r w:rsidR="00F97343" w:rsidRPr="005A7390">
        <w:rPr>
          <w:rFonts w:ascii="Times New Roman" w:hAnsi="Times New Roman" w:cs="Times New Roman"/>
          <w:noProof/>
          <w:color w:val="000000"/>
          <w:sz w:val="20"/>
          <w:szCs w:val="20"/>
        </w:rPr>
        <w:t>1</w:t>
      </w:r>
      <w:r w:rsidR="00766539" w:rsidRPr="005A7390">
        <w:rPr>
          <w:rFonts w:ascii="Times New Roman" w:hAnsi="Times New Roman" w:cs="Times New Roman"/>
          <w:color w:val="000000"/>
          <w:sz w:val="20"/>
          <w:szCs w:val="20"/>
        </w:rPr>
        <w:t>-</w:t>
      </w:r>
      <w:r w:rsidR="00F97343" w:rsidRPr="005A7390">
        <w:rPr>
          <w:rFonts w:ascii="Times New Roman" w:hAnsi="Times New Roman" w:cs="Times New Roman"/>
          <w:noProof/>
          <w:color w:val="000000"/>
          <w:sz w:val="20"/>
          <w:szCs w:val="20"/>
        </w:rPr>
        <w:t>8</w:t>
      </w:r>
      <w:r w:rsidR="00766539" w:rsidRPr="005A7390">
        <w:rPr>
          <w:rFonts w:ascii="Times New Roman" w:hAnsi="Times New Roman" w:cs="Times New Roman"/>
          <w:sz w:val="20"/>
          <w:szCs w:val="20"/>
        </w:rPr>
        <w:t xml:space="preserve">]. </w:t>
      </w:r>
      <w:proofErr w:type="gramStart"/>
      <w:r w:rsidR="00766539" w:rsidRPr="005A7390">
        <w:rPr>
          <w:rFonts w:ascii="Times New Roman" w:hAnsi="Times New Roman" w:cs="Times New Roman"/>
          <w:iCs/>
          <w:color w:val="000000"/>
          <w:sz w:val="20"/>
          <w:szCs w:val="20"/>
        </w:rPr>
        <w:t>ISSN 1554-0200 (print); ISSN 2375-723X (online)</w:t>
      </w:r>
      <w:r w:rsidR="00766539" w:rsidRPr="005A7390">
        <w:rPr>
          <w:rFonts w:ascii="Times New Roman" w:hAnsi="Times New Roman" w:cs="Times New Roman"/>
          <w:sz w:val="20"/>
          <w:szCs w:val="20"/>
        </w:rPr>
        <w:t>.</w:t>
      </w:r>
      <w:proofErr w:type="gramEnd"/>
      <w:r w:rsidR="00766539" w:rsidRPr="005A7390">
        <w:rPr>
          <w:rFonts w:ascii="Times New Roman" w:hAnsi="Times New Roman" w:cs="Times New Roman"/>
          <w:sz w:val="20"/>
          <w:szCs w:val="20"/>
        </w:rPr>
        <w:t xml:space="preserve"> </w:t>
      </w:r>
      <w:hyperlink r:id="rId8" w:history="1">
        <w:r w:rsidR="00766539" w:rsidRPr="005A7390">
          <w:rPr>
            <w:rStyle w:val="Hyperlink"/>
            <w:rFonts w:ascii="Times New Roman" w:hAnsi="Times New Roman" w:cs="Times New Roman"/>
            <w:sz w:val="20"/>
            <w:szCs w:val="20"/>
          </w:rPr>
          <w:t>http://www.sciencepub.net/newyork</w:t>
        </w:r>
      </w:hyperlink>
      <w:r w:rsidR="00766539" w:rsidRPr="005A7390">
        <w:rPr>
          <w:rFonts w:ascii="Times New Roman" w:hAnsi="Times New Roman" w:cs="Times New Roman"/>
          <w:sz w:val="20"/>
          <w:szCs w:val="20"/>
        </w:rPr>
        <w:t xml:space="preserve">. </w:t>
      </w:r>
      <w:r w:rsidR="00766539" w:rsidRPr="005A7390">
        <w:rPr>
          <w:rFonts w:ascii="Times New Roman" w:hAnsi="Times New Roman" w:cs="Times New Roman" w:hint="eastAsia"/>
          <w:sz w:val="20"/>
          <w:szCs w:val="20"/>
          <w:lang w:eastAsia="zh-CN"/>
        </w:rPr>
        <w:t>1</w:t>
      </w:r>
      <w:r w:rsidR="00766539" w:rsidRPr="005A7390">
        <w:rPr>
          <w:rFonts w:ascii="Times New Roman" w:hAnsi="Times New Roman" w:cs="Times New Roman" w:hint="eastAsia"/>
          <w:sz w:val="20"/>
          <w:szCs w:val="20"/>
        </w:rPr>
        <w:t xml:space="preserve">. </w:t>
      </w:r>
      <w:proofErr w:type="gramStart"/>
      <w:r w:rsidR="00766539" w:rsidRPr="005A7390">
        <w:rPr>
          <w:rFonts w:ascii="Times New Roman" w:hAnsi="Times New Roman" w:cs="Times New Roman"/>
          <w:color w:val="000000"/>
          <w:sz w:val="20"/>
          <w:szCs w:val="20"/>
          <w:shd w:val="clear" w:color="auto" w:fill="FFFFFF"/>
        </w:rPr>
        <w:t>doi</w:t>
      </w:r>
      <w:proofErr w:type="gramEnd"/>
      <w:r w:rsidR="00766539" w:rsidRPr="005A7390">
        <w:rPr>
          <w:rFonts w:ascii="Times New Roman" w:hAnsi="Times New Roman" w:cs="Times New Roman"/>
          <w:color w:val="000000"/>
          <w:sz w:val="20"/>
          <w:szCs w:val="20"/>
          <w:shd w:val="clear" w:color="auto" w:fill="FFFFFF"/>
        </w:rPr>
        <w:t>:</w:t>
      </w:r>
      <w:hyperlink r:id="rId9" w:history="1">
        <w:r w:rsidR="00766539" w:rsidRPr="005A7390">
          <w:rPr>
            <w:rStyle w:val="Hyperlink"/>
            <w:rFonts w:ascii="Times New Roman" w:hAnsi="Times New Roman" w:cs="Times New Roman"/>
            <w:sz w:val="20"/>
            <w:szCs w:val="20"/>
            <w:shd w:val="clear" w:color="auto" w:fill="FFFFFF"/>
          </w:rPr>
          <w:t>10.7537/mars</w:t>
        </w:r>
        <w:r w:rsidR="00766539" w:rsidRPr="005A7390">
          <w:rPr>
            <w:rStyle w:val="Hyperlink"/>
            <w:rFonts w:ascii="Times New Roman" w:hAnsi="Times New Roman" w:cs="Times New Roman" w:hint="eastAsia"/>
            <w:sz w:val="20"/>
            <w:szCs w:val="20"/>
            <w:shd w:val="clear" w:color="auto" w:fill="FFFFFF"/>
          </w:rPr>
          <w:t>nys090</w:t>
        </w:r>
        <w:r w:rsidR="00F17BF5">
          <w:rPr>
            <w:rStyle w:val="Hyperlink"/>
            <w:rFonts w:ascii="Times New Roman" w:hAnsi="Times New Roman" w:cs="Times New Roman" w:hint="eastAsia"/>
            <w:sz w:val="20"/>
            <w:szCs w:val="20"/>
            <w:shd w:val="clear" w:color="auto" w:fill="FFFFFF"/>
            <w:lang w:eastAsia="zh-CN"/>
          </w:rPr>
          <w:t>2</w:t>
        </w:r>
        <w:r w:rsidR="00766539" w:rsidRPr="005A7390">
          <w:rPr>
            <w:rStyle w:val="Hyperlink"/>
            <w:rFonts w:ascii="Times New Roman" w:hAnsi="Times New Roman" w:cs="Times New Roman"/>
            <w:sz w:val="20"/>
            <w:szCs w:val="20"/>
            <w:shd w:val="clear" w:color="auto" w:fill="FFFFFF"/>
          </w:rPr>
          <w:t>1</w:t>
        </w:r>
        <w:r w:rsidR="00766539" w:rsidRPr="005A7390">
          <w:rPr>
            <w:rStyle w:val="Hyperlink"/>
            <w:rFonts w:ascii="Times New Roman" w:hAnsi="Times New Roman" w:cs="Times New Roman" w:hint="eastAsia"/>
            <w:sz w:val="20"/>
            <w:szCs w:val="20"/>
            <w:shd w:val="clear" w:color="auto" w:fill="FFFFFF"/>
          </w:rPr>
          <w:t>6</w:t>
        </w:r>
        <w:r w:rsidR="00766539" w:rsidRPr="005A7390">
          <w:rPr>
            <w:rStyle w:val="Hyperlink"/>
            <w:rFonts w:ascii="Times New Roman" w:hAnsi="Times New Roman" w:cs="Times New Roman"/>
            <w:sz w:val="20"/>
            <w:szCs w:val="20"/>
            <w:shd w:val="clear" w:color="auto" w:fill="FFFFFF"/>
          </w:rPr>
          <w:t>0</w:t>
        </w:r>
        <w:r w:rsidR="00766539" w:rsidRPr="005A7390">
          <w:rPr>
            <w:rStyle w:val="Hyperlink"/>
            <w:rFonts w:ascii="Times New Roman" w:hAnsi="Times New Roman" w:cs="Times New Roman" w:hint="eastAsia"/>
            <w:sz w:val="20"/>
            <w:szCs w:val="20"/>
            <w:shd w:val="clear" w:color="auto" w:fill="FFFFFF"/>
            <w:lang w:eastAsia="zh-CN"/>
          </w:rPr>
          <w:t>1</w:t>
        </w:r>
      </w:hyperlink>
      <w:r w:rsidR="00766539" w:rsidRPr="005A7390">
        <w:rPr>
          <w:rFonts w:ascii="Times New Roman" w:hAnsi="Times New Roman" w:cs="Times New Roman"/>
          <w:color w:val="000000"/>
          <w:sz w:val="20"/>
          <w:szCs w:val="20"/>
          <w:shd w:val="clear" w:color="auto" w:fill="FFFFFF"/>
        </w:rPr>
        <w:t>.</w:t>
      </w:r>
    </w:p>
    <w:p w:rsidR="00BB31B4" w:rsidRPr="005A7390" w:rsidRDefault="00BB31B4" w:rsidP="00030DDA">
      <w:pPr>
        <w:bidi w:val="0"/>
        <w:adjustRightInd w:val="0"/>
        <w:snapToGrid w:val="0"/>
        <w:spacing w:after="0" w:line="240" w:lineRule="auto"/>
        <w:jc w:val="both"/>
        <w:rPr>
          <w:rFonts w:ascii="Times New Roman" w:eastAsia="Batang" w:hAnsi="Times New Roman" w:cs="Times New Roman"/>
          <w:sz w:val="20"/>
          <w:szCs w:val="20"/>
        </w:rPr>
      </w:pPr>
    </w:p>
    <w:p w:rsidR="00BB31B4" w:rsidRPr="005A7390" w:rsidRDefault="00BB31B4" w:rsidP="00030DDA">
      <w:pPr>
        <w:bidi w:val="0"/>
        <w:adjustRightInd w:val="0"/>
        <w:snapToGrid w:val="0"/>
        <w:spacing w:after="0" w:line="240" w:lineRule="auto"/>
        <w:jc w:val="both"/>
        <w:rPr>
          <w:rFonts w:ascii="Times New Roman" w:hAnsi="Times New Roman" w:cs="Times New Roman"/>
          <w:sz w:val="20"/>
          <w:szCs w:val="20"/>
          <w:lang w:bidi="ar-EG"/>
        </w:rPr>
      </w:pPr>
      <w:r w:rsidRPr="005A7390">
        <w:rPr>
          <w:rFonts w:ascii="Times New Roman" w:hAnsi="Times New Roman" w:cs="Times New Roman"/>
          <w:b/>
          <w:bCs/>
          <w:sz w:val="20"/>
          <w:szCs w:val="20"/>
        </w:rPr>
        <w:t>Keywords:</w:t>
      </w:r>
      <w:r w:rsidRPr="005A7390">
        <w:rPr>
          <w:rFonts w:ascii="Times New Roman" w:hAnsi="Times New Roman" w:cs="Times New Roman"/>
          <w:sz w:val="20"/>
          <w:szCs w:val="20"/>
          <w:lang w:bidi="ar-EG"/>
        </w:rPr>
        <w:t xml:space="preserve"> Hepatitis C virus, </w:t>
      </w:r>
      <w:proofErr w:type="gramStart"/>
      <w:r w:rsidRPr="005A7390">
        <w:rPr>
          <w:rFonts w:ascii="Times New Roman" w:hAnsi="Times New Roman" w:cs="Times New Roman"/>
          <w:sz w:val="20"/>
          <w:szCs w:val="20"/>
          <w:lang w:bidi="ar-EG"/>
        </w:rPr>
        <w:t>Chronic</w:t>
      </w:r>
      <w:proofErr w:type="gramEnd"/>
      <w:r w:rsidRPr="005A7390">
        <w:rPr>
          <w:rFonts w:ascii="Times New Roman" w:hAnsi="Times New Roman" w:cs="Times New Roman"/>
          <w:sz w:val="20"/>
          <w:szCs w:val="20"/>
          <w:lang w:bidi="ar-EG"/>
        </w:rPr>
        <w:t xml:space="preserve"> kidney disease, </w:t>
      </w:r>
      <w:proofErr w:type="spellStart"/>
      <w:r w:rsidRPr="005A7390">
        <w:rPr>
          <w:rFonts w:ascii="Times New Roman" w:hAnsi="Times New Roman" w:cs="Times New Roman"/>
          <w:sz w:val="20"/>
          <w:szCs w:val="20"/>
          <w:lang w:bidi="ar-EG"/>
        </w:rPr>
        <w:t>Hemodialysis</w:t>
      </w:r>
      <w:proofErr w:type="spellEnd"/>
      <w:r w:rsidRPr="005A7390">
        <w:rPr>
          <w:rFonts w:ascii="Times New Roman" w:hAnsi="Times New Roman" w:cs="Times New Roman"/>
          <w:sz w:val="20"/>
          <w:szCs w:val="20"/>
          <w:lang w:bidi="ar-EG"/>
        </w:rPr>
        <w:t>.</w:t>
      </w:r>
    </w:p>
    <w:p w:rsidR="00766539" w:rsidRPr="005A7390" w:rsidRDefault="00766539" w:rsidP="00030DDA">
      <w:pPr>
        <w:bidi w:val="0"/>
        <w:adjustRightInd w:val="0"/>
        <w:snapToGrid w:val="0"/>
        <w:spacing w:after="0" w:line="240" w:lineRule="auto"/>
        <w:jc w:val="both"/>
        <w:rPr>
          <w:rFonts w:ascii="Times New Roman" w:hAnsi="Times New Roman" w:cs="Times New Roman"/>
          <w:b/>
          <w:bCs/>
          <w:sz w:val="20"/>
          <w:szCs w:val="20"/>
        </w:rPr>
      </w:pPr>
    </w:p>
    <w:p w:rsidR="00766539" w:rsidRPr="005A7390" w:rsidRDefault="00766539" w:rsidP="00030DDA">
      <w:pPr>
        <w:bidi w:val="0"/>
        <w:adjustRightInd w:val="0"/>
        <w:snapToGrid w:val="0"/>
        <w:spacing w:after="0" w:line="240" w:lineRule="auto"/>
        <w:jc w:val="both"/>
        <w:rPr>
          <w:rFonts w:ascii="Times New Roman" w:hAnsi="Times New Roman" w:cs="Times New Roman"/>
          <w:b/>
          <w:bCs/>
          <w:sz w:val="20"/>
          <w:szCs w:val="20"/>
        </w:rPr>
        <w:sectPr w:rsidR="00766539" w:rsidRPr="005A7390" w:rsidSect="00242C8C">
          <w:headerReference w:type="default" r:id="rId10"/>
          <w:footerReference w:type="default" r:id="rId11"/>
          <w:type w:val="continuous"/>
          <w:pgSz w:w="12240" w:h="15840" w:code="1"/>
          <w:pgMar w:top="1440" w:right="1440" w:bottom="1440" w:left="1440" w:header="720" w:footer="720" w:gutter="0"/>
          <w:cols w:space="708"/>
          <w:bidi/>
          <w:docGrid w:linePitch="360"/>
        </w:sectPr>
      </w:pPr>
    </w:p>
    <w:p w:rsidR="007333D9" w:rsidRPr="005A7390" w:rsidRDefault="00664C43" w:rsidP="00030DDA">
      <w:pPr>
        <w:bidi w:val="0"/>
        <w:adjustRightInd w:val="0"/>
        <w:snapToGrid w:val="0"/>
        <w:spacing w:after="0" w:line="240" w:lineRule="auto"/>
        <w:jc w:val="both"/>
        <w:rPr>
          <w:rFonts w:ascii="Times New Roman" w:hAnsi="Times New Roman" w:cs="Times New Roman"/>
          <w:b/>
          <w:bCs/>
          <w:sz w:val="20"/>
          <w:szCs w:val="20"/>
        </w:rPr>
      </w:pPr>
      <w:r w:rsidRPr="005A7390">
        <w:rPr>
          <w:rFonts w:ascii="Times New Roman" w:hAnsi="Times New Roman" w:cs="Times New Roman"/>
          <w:b/>
          <w:bCs/>
          <w:sz w:val="20"/>
          <w:szCs w:val="20"/>
        </w:rPr>
        <w:lastRenderedPageBreak/>
        <w:t xml:space="preserve">1. </w:t>
      </w:r>
      <w:r w:rsidR="007333D9" w:rsidRPr="005A7390">
        <w:rPr>
          <w:rFonts w:ascii="Times New Roman" w:hAnsi="Times New Roman" w:cs="Times New Roman"/>
          <w:b/>
          <w:bCs/>
          <w:sz w:val="20"/>
          <w:szCs w:val="20"/>
        </w:rPr>
        <w:t>Introduction:</w:t>
      </w:r>
    </w:p>
    <w:p w:rsidR="007333D9" w:rsidRPr="005A7390" w:rsidRDefault="007333D9" w:rsidP="00030DDA">
      <w:pPr>
        <w:bidi w:val="0"/>
        <w:adjustRightInd w:val="0"/>
        <w:snapToGrid w:val="0"/>
        <w:spacing w:after="0" w:line="240" w:lineRule="auto"/>
        <w:ind w:firstLine="425"/>
        <w:jc w:val="both"/>
        <w:rPr>
          <w:rFonts w:ascii="Times New Roman" w:hAnsi="Times New Roman" w:cs="Times New Roman"/>
          <w:sz w:val="20"/>
          <w:szCs w:val="20"/>
          <w:lang w:bidi="ar-EG"/>
        </w:rPr>
      </w:pPr>
      <w:r w:rsidRPr="005A7390">
        <w:rPr>
          <w:rFonts w:ascii="Times New Roman" w:hAnsi="Times New Roman" w:cs="Times New Roman"/>
          <w:sz w:val="20"/>
          <w:szCs w:val="20"/>
          <w:lang w:bidi="ar-EG"/>
        </w:rPr>
        <w:t xml:space="preserve">Chronic kidney disease (CKD), also known as chronic renal disease (CRD), is a progressive loss in renal function over a period of months or years. The symptoms of worsening kidney function are non-specific, and might include feeling generally unwell and experiencing a reduced appetite. Often,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is diagnosed as a result of screening of people known to be at risk of kidney problems, such as those with high blood pressure or diabetes and those with a blood relative with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may also be identified when it leads to one of its recognized complications, such as cardiovascular disease, anemia or </w:t>
      </w:r>
      <w:proofErr w:type="spellStart"/>
      <w:r w:rsidRPr="005A7390">
        <w:rPr>
          <w:rFonts w:ascii="Times New Roman" w:hAnsi="Times New Roman" w:cs="Times New Roman"/>
          <w:sz w:val="20"/>
          <w:szCs w:val="20"/>
          <w:lang w:bidi="ar-EG"/>
        </w:rPr>
        <w:t>pericarditis</w:t>
      </w:r>
      <w:proofErr w:type="spellEnd"/>
      <w:r w:rsidRPr="005A7390">
        <w:rPr>
          <w:rFonts w:ascii="Times New Roman" w:hAnsi="Times New Roman" w:cs="Times New Roman"/>
          <w:sz w:val="20"/>
          <w:szCs w:val="20"/>
          <w:lang w:bidi="ar-EG"/>
        </w:rPr>
        <w:t xml:space="preserve"> </w:t>
      </w:r>
      <w:r w:rsidRPr="005A7390">
        <w:rPr>
          <w:rFonts w:ascii="Times New Roman" w:hAnsi="Times New Roman" w:cs="Times New Roman"/>
          <w:b/>
          <w:bCs/>
          <w:i/>
          <w:iCs/>
          <w:sz w:val="20"/>
          <w:szCs w:val="20"/>
          <w:lang w:bidi="ar-EG"/>
        </w:rPr>
        <w:t>(</w:t>
      </w:r>
      <w:r w:rsidR="00161CBF" w:rsidRPr="005A7390">
        <w:rPr>
          <w:rFonts w:ascii="Times New Roman" w:hAnsi="Times New Roman" w:cs="Times New Roman"/>
          <w:b/>
          <w:bCs/>
          <w:i/>
          <w:iCs/>
          <w:sz w:val="20"/>
          <w:szCs w:val="20"/>
          <w:lang w:bidi="ar-EG"/>
        </w:rPr>
        <w:t>1</w:t>
      </w:r>
      <w:r w:rsidRPr="005A7390">
        <w:rPr>
          <w:rFonts w:ascii="Times New Roman" w:hAnsi="Times New Roman" w:cs="Times New Roman"/>
          <w:b/>
          <w:bCs/>
          <w:i/>
          <w:iCs/>
          <w:sz w:val="20"/>
          <w:szCs w:val="20"/>
          <w:lang w:bidi="ar-EG"/>
        </w:rPr>
        <w:t>)</w:t>
      </w:r>
      <w:r w:rsidRPr="005A7390">
        <w:rPr>
          <w:rFonts w:ascii="Times New Roman" w:hAnsi="Times New Roman" w:cs="Times New Roman"/>
          <w:sz w:val="20"/>
          <w:szCs w:val="20"/>
          <w:lang w:bidi="ar-EG"/>
        </w:rPr>
        <w:t>.</w:t>
      </w:r>
      <w:r w:rsid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 xml:space="preserve">Recent professional guidelines classify the severity of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in five stages, with stage 1 being the mildest and usually causing few symptoms and stage 5 being a severe illness with poor life expectancy if untreated. Stage 5 CKD is often called end-stage renal disease (ESRD), end stage renal failure (ESRF), or end-stage kidney disease (ESKD) and is synonymous with the now outdated terms chronic kidney failure (CKF) or </w:t>
      </w:r>
      <w:r w:rsidRPr="005A7390">
        <w:rPr>
          <w:rFonts w:ascii="Times New Roman" w:hAnsi="Times New Roman" w:cs="Times New Roman"/>
          <w:sz w:val="20"/>
          <w:szCs w:val="20"/>
          <w:lang w:bidi="ar-EG"/>
        </w:rPr>
        <w:lastRenderedPageBreak/>
        <w:t xml:space="preserve">chronic renal failure (CRF). There is no specific treatment </w:t>
      </w:r>
      <w:proofErr w:type="gramStart"/>
      <w:r w:rsidRPr="005A7390">
        <w:rPr>
          <w:rFonts w:ascii="Times New Roman" w:hAnsi="Times New Roman" w:cs="Times New Roman"/>
          <w:sz w:val="20"/>
          <w:szCs w:val="20"/>
          <w:lang w:bidi="ar-EG"/>
        </w:rPr>
        <w:t>un</w:t>
      </w:r>
      <w:proofErr w:type="gramEnd"/>
      <w:r w:rsidRPr="005A7390">
        <w:rPr>
          <w:rFonts w:ascii="Times New Roman" w:hAnsi="Times New Roman" w:cs="Times New Roman"/>
          <w:sz w:val="20"/>
          <w:szCs w:val="20"/>
          <w:lang w:bidi="ar-EG"/>
        </w:rPr>
        <w:t xml:space="preserve"> equivocally show to slow the worsening </w:t>
      </w:r>
      <w:r w:rsidR="00664C43" w:rsidRPr="005A7390">
        <w:rPr>
          <w:rFonts w:ascii="Times New Roman" w:hAnsi="Times New Roman" w:cs="Times New Roman"/>
          <w:sz w:val="20"/>
          <w:szCs w:val="20"/>
          <w:lang w:bidi="ar-EG"/>
        </w:rPr>
        <w:t>of chronic</w:t>
      </w:r>
      <w:r w:rsidRPr="005A7390">
        <w:rPr>
          <w:rFonts w:ascii="Times New Roman" w:hAnsi="Times New Roman" w:cs="Times New Roman"/>
          <w:sz w:val="20"/>
          <w:szCs w:val="20"/>
          <w:lang w:bidi="ar-EG"/>
        </w:rPr>
        <w:t xml:space="preserve"> kidney disease. If there is an underlying cause to CKD, such as </w:t>
      </w:r>
      <w:proofErr w:type="spellStart"/>
      <w:r w:rsidRPr="005A7390">
        <w:rPr>
          <w:rFonts w:ascii="Times New Roman" w:hAnsi="Times New Roman" w:cs="Times New Roman"/>
          <w:sz w:val="20"/>
          <w:szCs w:val="20"/>
          <w:lang w:bidi="ar-EG"/>
        </w:rPr>
        <w:t>vasculitis</w:t>
      </w:r>
      <w:proofErr w:type="spellEnd"/>
      <w:r w:rsidRPr="005A7390">
        <w:rPr>
          <w:rFonts w:ascii="Times New Roman" w:hAnsi="Times New Roman" w:cs="Times New Roman"/>
          <w:sz w:val="20"/>
          <w:szCs w:val="20"/>
          <w:lang w:bidi="ar-EG"/>
        </w:rPr>
        <w:t xml:space="preserve">, this may be treated directly to slow the damage. In more advanced stages, treatments may be required for anemia and bone disease. Severe CKD requires renal replacement therapy, </w:t>
      </w:r>
      <w:r w:rsidR="005A7390">
        <w:rPr>
          <w:rFonts w:ascii="Times New Roman" w:hAnsi="Times New Roman" w:cs="Times New Roman" w:hint="eastAsia"/>
          <w:sz w:val="20"/>
          <w:szCs w:val="20"/>
          <w:lang w:eastAsia="zh-CN" w:bidi="ar-EG"/>
        </w:rPr>
        <w:t>w</w:t>
      </w:r>
      <w:r w:rsidRPr="005A7390">
        <w:rPr>
          <w:rFonts w:ascii="Times New Roman" w:hAnsi="Times New Roman" w:cs="Times New Roman"/>
          <w:sz w:val="20"/>
          <w:szCs w:val="20"/>
          <w:lang w:bidi="ar-EG"/>
        </w:rPr>
        <w:t xml:space="preserve">hich may involve a form of dialysis, but ideally constitutes a kidney transplant </w:t>
      </w:r>
      <w:r w:rsidRPr="005A7390">
        <w:rPr>
          <w:rFonts w:ascii="Times New Roman" w:hAnsi="Times New Roman" w:cs="Times New Roman"/>
          <w:b/>
          <w:bCs/>
          <w:i/>
          <w:iCs/>
          <w:sz w:val="20"/>
          <w:szCs w:val="20"/>
          <w:lang w:bidi="ar-EG"/>
        </w:rPr>
        <w:t>(</w:t>
      </w:r>
      <w:r w:rsidR="00161CBF" w:rsidRPr="005A7390">
        <w:rPr>
          <w:rFonts w:ascii="Times New Roman" w:hAnsi="Times New Roman" w:cs="Times New Roman"/>
          <w:b/>
          <w:bCs/>
          <w:i/>
          <w:iCs/>
          <w:sz w:val="20"/>
          <w:szCs w:val="20"/>
          <w:lang w:bidi="ar-EG"/>
        </w:rPr>
        <w:t>1</w:t>
      </w:r>
      <w:r w:rsidRPr="005A7390">
        <w:rPr>
          <w:rFonts w:ascii="Times New Roman" w:hAnsi="Times New Roman" w:cs="Times New Roman"/>
          <w:b/>
          <w:bCs/>
          <w:i/>
          <w:iCs/>
          <w:sz w:val="20"/>
          <w:szCs w:val="20"/>
          <w:lang w:bidi="ar-EG"/>
        </w:rPr>
        <w:t>)</w:t>
      </w:r>
      <w:r w:rsidRPr="005A7390">
        <w:rPr>
          <w:rFonts w:ascii="Times New Roman" w:hAnsi="Times New Roman" w:cs="Times New Roman"/>
          <w:sz w:val="20"/>
          <w:szCs w:val="20"/>
          <w:lang w:bidi="ar-EG"/>
        </w:rPr>
        <w:t>.</w:t>
      </w:r>
      <w:r w:rsidR="005A7390">
        <w:rPr>
          <w:rFonts w:ascii="Times New Roman" w:hAnsi="Times New Roman" w:cs="Times New Roman" w:hint="eastAsia"/>
          <w:sz w:val="20"/>
          <w:szCs w:val="20"/>
          <w:lang w:eastAsia="zh-CN" w:bidi="ar-EG"/>
        </w:rPr>
        <w:t xml:space="preserve"> </w:t>
      </w:r>
      <w:r w:rsidRPr="005A7390">
        <w:rPr>
          <w:rFonts w:ascii="Times New Roman" w:eastAsia="Times New Roman" w:hAnsi="Times New Roman" w:cs="Times New Roman"/>
          <w:sz w:val="20"/>
          <w:szCs w:val="20"/>
        </w:rPr>
        <w:t xml:space="preserve">The serum levels of the liver enzymes </w:t>
      </w:r>
      <w:proofErr w:type="spellStart"/>
      <w:r w:rsidRPr="005A7390">
        <w:rPr>
          <w:rFonts w:ascii="Times New Roman" w:eastAsia="Times New Roman" w:hAnsi="Times New Roman" w:cs="Times New Roman"/>
          <w:sz w:val="20"/>
          <w:szCs w:val="20"/>
        </w:rPr>
        <w:t>alanine</w:t>
      </w:r>
      <w:proofErr w:type="spellEnd"/>
      <w:r w:rsidRPr="005A7390">
        <w:rPr>
          <w:rFonts w:ascii="Times New Roman" w:eastAsia="Times New Roman" w:hAnsi="Times New Roman" w:cs="Times New Roman"/>
          <w:sz w:val="20"/>
          <w:szCs w:val="20"/>
        </w:rPr>
        <w:t xml:space="preserve"> </w:t>
      </w:r>
      <w:proofErr w:type="spellStart"/>
      <w:r w:rsidRPr="005A7390">
        <w:rPr>
          <w:rFonts w:ascii="Times New Roman" w:eastAsia="Times New Roman" w:hAnsi="Times New Roman" w:cs="Times New Roman"/>
          <w:sz w:val="20"/>
          <w:szCs w:val="20"/>
        </w:rPr>
        <w:t>aminotransferase</w:t>
      </w:r>
      <w:proofErr w:type="spellEnd"/>
      <w:r w:rsidRPr="005A7390">
        <w:rPr>
          <w:rFonts w:ascii="Times New Roman" w:eastAsia="Times New Roman" w:hAnsi="Times New Roman" w:cs="Times New Roman"/>
          <w:sz w:val="20"/>
          <w:szCs w:val="20"/>
        </w:rPr>
        <w:t xml:space="preserve"> (</w:t>
      </w:r>
      <w:proofErr w:type="gramStart"/>
      <w:r w:rsidRPr="005A7390">
        <w:rPr>
          <w:rFonts w:ascii="Times New Roman" w:eastAsia="Times New Roman" w:hAnsi="Times New Roman" w:cs="Times New Roman"/>
          <w:sz w:val="20"/>
          <w:szCs w:val="20"/>
        </w:rPr>
        <w:t>ALT),</w:t>
      </w:r>
      <w:proofErr w:type="gramEnd"/>
      <w:r w:rsidRPr="005A7390">
        <w:rPr>
          <w:rFonts w:ascii="Times New Roman" w:eastAsia="Times New Roman" w:hAnsi="Times New Roman" w:cs="Times New Roman"/>
          <w:sz w:val="20"/>
          <w:szCs w:val="20"/>
        </w:rPr>
        <w:t xml:space="preserve"> and </w:t>
      </w:r>
      <w:proofErr w:type="spellStart"/>
      <w:r w:rsidR="00F3098B" w:rsidRPr="005A7390">
        <w:rPr>
          <w:rFonts w:ascii="Times New Roman" w:eastAsia="Times New Roman" w:hAnsi="Times New Roman" w:cs="Times New Roman"/>
          <w:sz w:val="20"/>
          <w:szCs w:val="20"/>
        </w:rPr>
        <w:t>Aspartate</w:t>
      </w:r>
      <w:proofErr w:type="spellEnd"/>
      <w:r w:rsidR="00F3098B" w:rsidRPr="005A7390">
        <w:rPr>
          <w:rFonts w:ascii="Times New Roman" w:eastAsia="Times New Roman" w:hAnsi="Times New Roman" w:cs="Times New Roman"/>
          <w:sz w:val="20"/>
          <w:szCs w:val="20"/>
        </w:rPr>
        <w:t xml:space="preserve"> </w:t>
      </w:r>
      <w:proofErr w:type="spellStart"/>
      <w:r w:rsidRPr="005A7390">
        <w:rPr>
          <w:rFonts w:ascii="Times New Roman" w:eastAsia="Times New Roman" w:hAnsi="Times New Roman" w:cs="Times New Roman"/>
          <w:sz w:val="20"/>
          <w:szCs w:val="20"/>
        </w:rPr>
        <w:t>aminotransferase</w:t>
      </w:r>
      <w:proofErr w:type="spellEnd"/>
      <w:r w:rsidRPr="005A7390">
        <w:rPr>
          <w:rFonts w:ascii="Times New Roman" w:eastAsia="Times New Roman" w:hAnsi="Times New Roman" w:cs="Times New Roman"/>
          <w:sz w:val="20"/>
          <w:szCs w:val="20"/>
        </w:rPr>
        <w:t xml:space="preserve"> (AST) are markers of aggression against </w:t>
      </w:r>
      <w:proofErr w:type="spellStart"/>
      <w:r w:rsidRPr="005A7390">
        <w:rPr>
          <w:rFonts w:ascii="Times New Roman" w:eastAsia="Times New Roman" w:hAnsi="Times New Roman" w:cs="Times New Roman"/>
          <w:sz w:val="20"/>
          <w:szCs w:val="20"/>
        </w:rPr>
        <w:t>hepatocytes</w:t>
      </w:r>
      <w:proofErr w:type="spellEnd"/>
      <w:r w:rsidRPr="005A7390">
        <w:rPr>
          <w:rFonts w:ascii="Times New Roman" w:eastAsia="Times New Roman" w:hAnsi="Times New Roman" w:cs="Times New Roman"/>
          <w:sz w:val="20"/>
          <w:szCs w:val="20"/>
        </w:rPr>
        <w:t xml:space="preserve"> </w:t>
      </w:r>
      <w:r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2</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 xml:space="preserve">. Thus, they are elevated in several diseases, such as chronic viral hepatitis </w:t>
      </w:r>
      <w:r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3</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 xml:space="preserve">, non-alcoholic fatty liver disease </w:t>
      </w:r>
      <w:r w:rsidRPr="005A7390">
        <w:rPr>
          <w:rFonts w:ascii="Times New Roman" w:eastAsia="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4</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 xml:space="preserve">, autoimmune hepatitis </w:t>
      </w:r>
      <w:r w:rsidRPr="005A7390">
        <w:rPr>
          <w:rFonts w:ascii="Times New Roman" w:eastAsia="Times New Roman" w:hAnsi="Times New Roman" w:cs="Times New Roman"/>
          <w:b/>
          <w:bCs/>
          <w:sz w:val="20"/>
          <w:szCs w:val="20"/>
        </w:rPr>
        <w:t>(</w:t>
      </w:r>
      <w:r w:rsidR="00161CBF" w:rsidRPr="005A7390">
        <w:rPr>
          <w:rFonts w:ascii="Times New Roman" w:eastAsia="Times New Roman" w:hAnsi="Times New Roman" w:cs="Times New Roman"/>
          <w:b/>
          <w:bCs/>
          <w:i/>
          <w:iCs/>
          <w:sz w:val="20"/>
          <w:szCs w:val="20"/>
        </w:rPr>
        <w:t>5</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 xml:space="preserve">, </w:t>
      </w:r>
      <w:proofErr w:type="spellStart"/>
      <w:r w:rsidRPr="005A7390">
        <w:rPr>
          <w:rFonts w:ascii="Times New Roman" w:eastAsia="Times New Roman" w:hAnsi="Times New Roman" w:cs="Times New Roman"/>
          <w:sz w:val="20"/>
          <w:szCs w:val="20"/>
        </w:rPr>
        <w:t>hemochromatosis</w:t>
      </w:r>
      <w:proofErr w:type="spellEnd"/>
      <w:r w:rsidRPr="005A7390">
        <w:rPr>
          <w:rFonts w:ascii="Times New Roman" w:eastAsia="Times New Roman" w:hAnsi="Times New Roman" w:cs="Times New Roman"/>
          <w:sz w:val="20"/>
          <w:szCs w:val="20"/>
        </w:rPr>
        <w:t xml:space="preserve"> </w:t>
      </w:r>
      <w:r w:rsidRPr="005A7390">
        <w:rPr>
          <w:rFonts w:ascii="Times New Roman" w:eastAsia="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6</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 xml:space="preserve">, and alcoholic liver disease </w:t>
      </w:r>
      <w:r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7</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 xml:space="preserve">. These enzymes assist in diagnosis and patient follow-up and response to treatment because they reflect inflammatory activity in the parenchyma of the liver </w:t>
      </w:r>
      <w:r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8</w:t>
      </w:r>
      <w:r w:rsidRPr="005A7390">
        <w:rPr>
          <w:rFonts w:ascii="Times New Roman" w:hAnsi="Times New Roman" w:cs="Times New Roman"/>
          <w:b/>
          <w:bCs/>
          <w:i/>
          <w:iCs/>
          <w:sz w:val="20"/>
          <w:szCs w:val="20"/>
        </w:rPr>
        <w:t>)</w:t>
      </w:r>
      <w:r w:rsidRPr="005A7390">
        <w:rPr>
          <w:rFonts w:ascii="Times New Roman" w:eastAsia="Times New Roman" w:hAnsi="Times New Roman" w:cs="Times New Roman"/>
          <w:sz w:val="20"/>
          <w:szCs w:val="20"/>
        </w:rPr>
        <w:t>.</w:t>
      </w:r>
      <w:r w:rsid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The prevalence of hepatitis C virus (HCV) infection varies greatly among patients on </w:t>
      </w:r>
      <w:proofErr w:type="spellStart"/>
      <w:r w:rsidRPr="005A7390">
        <w:rPr>
          <w:rFonts w:ascii="Times New Roman" w:hAnsi="Times New Roman" w:cs="Times New Roman"/>
          <w:sz w:val="20"/>
          <w:szCs w:val="20"/>
        </w:rPr>
        <w:t>hemodialysis</w:t>
      </w:r>
      <w:proofErr w:type="spellEnd"/>
      <w:r w:rsidRPr="005A7390">
        <w:rPr>
          <w:rFonts w:ascii="Times New Roman" w:hAnsi="Times New Roman" w:cs="Times New Roman"/>
          <w:sz w:val="20"/>
          <w:szCs w:val="20"/>
        </w:rPr>
        <w:t xml:space="preserve"> (HD) from different </w:t>
      </w:r>
      <w:r w:rsidRPr="005A7390">
        <w:rPr>
          <w:rFonts w:ascii="Times New Roman" w:hAnsi="Times New Roman" w:cs="Times New Roman"/>
          <w:sz w:val="20"/>
          <w:szCs w:val="20"/>
        </w:rPr>
        <w:lastRenderedPageBreak/>
        <w:t xml:space="preserve">geographic regions. In a review of data published in 1999, </w:t>
      </w:r>
      <w:proofErr w:type="spellStart"/>
      <w:r w:rsidRPr="005A7390">
        <w:rPr>
          <w:rFonts w:ascii="Times New Roman" w:hAnsi="Times New Roman" w:cs="Times New Roman"/>
          <w:b/>
          <w:bCs/>
          <w:i/>
          <w:iCs/>
          <w:sz w:val="20"/>
          <w:szCs w:val="20"/>
        </w:rPr>
        <w:t>Wreghitt</w:t>
      </w:r>
      <w:proofErr w:type="spellEnd"/>
      <w:r w:rsidRPr="005A7390">
        <w:rPr>
          <w:rFonts w:ascii="Times New Roman" w:hAnsi="Times New Roman" w:cs="Times New Roman"/>
          <w:sz w:val="20"/>
          <w:szCs w:val="20"/>
        </w:rPr>
        <w:t xml:space="preserve"> described a range from 4% in the United Kingdom (UK) to 71% in Kuwait for HCV prevalence among the HD population </w:t>
      </w:r>
      <w:r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9</w:t>
      </w:r>
      <w:r w:rsidRPr="005A7390">
        <w:rPr>
          <w:rFonts w:ascii="Times New Roman" w:hAnsi="Times New Roman" w:cs="Times New Roman"/>
          <w:b/>
          <w:bCs/>
          <w:i/>
          <w:iCs/>
          <w:sz w:val="20"/>
          <w:szCs w:val="20"/>
        </w:rPr>
        <w:t>)</w:t>
      </w:r>
      <w:r w:rsidRPr="005A7390">
        <w:rPr>
          <w:rFonts w:ascii="Times New Roman" w:hAnsi="Times New Roman" w:cs="Times New Roman"/>
          <w:sz w:val="20"/>
          <w:szCs w:val="20"/>
        </w:rPr>
        <w:t xml:space="preserve">.In Egypt, the prevalence of HCV antibodies in HD patients was found to be ranging from 52.3% to 82.3% </w:t>
      </w:r>
      <w:r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10</w:t>
      </w:r>
      <w:r w:rsidRPr="005A7390">
        <w:rPr>
          <w:rFonts w:ascii="Times New Roman" w:hAnsi="Times New Roman" w:cs="Times New Roman"/>
          <w:b/>
          <w:bCs/>
          <w:i/>
          <w:iCs/>
          <w:sz w:val="20"/>
          <w:szCs w:val="20"/>
        </w:rPr>
        <w:t>)</w:t>
      </w:r>
      <w:r w:rsidRPr="005A7390">
        <w:rPr>
          <w:rFonts w:ascii="Times New Roman" w:hAnsi="Times New Roman" w:cs="Times New Roman"/>
          <w:sz w:val="20"/>
          <w:szCs w:val="20"/>
        </w:rPr>
        <w:t xml:space="preserve">. Several studies have reported </w:t>
      </w:r>
      <w:proofErr w:type="spellStart"/>
      <w:r w:rsidRPr="005A7390">
        <w:rPr>
          <w:rFonts w:ascii="Times New Roman" w:hAnsi="Times New Roman" w:cs="Times New Roman"/>
          <w:sz w:val="20"/>
          <w:szCs w:val="20"/>
        </w:rPr>
        <w:t>nosocomial</w:t>
      </w:r>
      <w:proofErr w:type="spellEnd"/>
      <w:r w:rsidRPr="005A7390">
        <w:rPr>
          <w:rFonts w:ascii="Times New Roman" w:hAnsi="Times New Roman" w:cs="Times New Roman"/>
          <w:sz w:val="20"/>
          <w:szCs w:val="20"/>
        </w:rPr>
        <w:t xml:space="preserve"> patient-to patient transmission of HCV infection among HD patients </w:t>
      </w:r>
      <w:r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11, 12</w:t>
      </w:r>
      <w:r w:rsidRPr="005A7390">
        <w:rPr>
          <w:rFonts w:ascii="Times New Roman" w:hAnsi="Times New Roman" w:cs="Times New Roman"/>
          <w:b/>
          <w:bCs/>
          <w:i/>
          <w:iCs/>
          <w:sz w:val="20"/>
          <w:szCs w:val="20"/>
        </w:rPr>
        <w:t>)</w:t>
      </w:r>
      <w:r w:rsidRPr="005A7390">
        <w:rPr>
          <w:rFonts w:ascii="Times New Roman" w:hAnsi="Times New Roman" w:cs="Times New Roman"/>
          <w:sz w:val="20"/>
          <w:szCs w:val="20"/>
        </w:rPr>
        <w:t>.</w:t>
      </w:r>
      <w:r w:rsidRPr="005A7390">
        <w:rPr>
          <w:rFonts w:ascii="Times New Roman" w:hAnsi="Times New Roman" w:cs="Times New Roman"/>
          <w:sz w:val="20"/>
          <w:szCs w:val="20"/>
          <w:lang w:bidi="ar-EG"/>
        </w:rPr>
        <w:t xml:space="preserve"> The patients with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on HD had reduced serum levels of </w:t>
      </w:r>
      <w:proofErr w:type="spellStart"/>
      <w:r w:rsidRPr="005A7390">
        <w:rPr>
          <w:rFonts w:ascii="Times New Roman" w:hAnsi="Times New Roman" w:cs="Times New Roman"/>
          <w:sz w:val="20"/>
          <w:szCs w:val="20"/>
          <w:lang w:bidi="ar-EG"/>
        </w:rPr>
        <w:t>aminotransferases</w:t>
      </w:r>
      <w:proofErr w:type="spellEnd"/>
      <w:r w:rsidRPr="005A7390">
        <w:rPr>
          <w:rFonts w:ascii="Times New Roman" w:hAnsi="Times New Roman" w:cs="Times New Roman"/>
          <w:sz w:val="20"/>
          <w:szCs w:val="20"/>
          <w:lang w:bidi="ar-EG"/>
        </w:rPr>
        <w:t xml:space="preserve"> due to </w:t>
      </w:r>
      <w:proofErr w:type="spellStart"/>
      <w:r w:rsidRPr="005A7390">
        <w:rPr>
          <w:rFonts w:ascii="Times New Roman" w:hAnsi="Times New Roman" w:cs="Times New Roman"/>
          <w:sz w:val="20"/>
          <w:szCs w:val="20"/>
          <w:lang w:bidi="ar-EG"/>
        </w:rPr>
        <w:t>hemodilution</w:t>
      </w:r>
      <w:proofErr w:type="spellEnd"/>
      <w:r w:rsidRPr="005A7390">
        <w:rPr>
          <w:rFonts w:ascii="Times New Roman" w:hAnsi="Times New Roman" w:cs="Times New Roman"/>
          <w:sz w:val="20"/>
          <w:szCs w:val="20"/>
          <w:lang w:bidi="ar-EG"/>
        </w:rPr>
        <w:t xml:space="preserve">, lower pyridoxine levels, or elevated </w:t>
      </w:r>
      <w:proofErr w:type="spellStart"/>
      <w:r w:rsidRPr="005A7390">
        <w:rPr>
          <w:rFonts w:ascii="Times New Roman" w:hAnsi="Times New Roman" w:cs="Times New Roman"/>
          <w:sz w:val="20"/>
          <w:szCs w:val="20"/>
          <w:lang w:bidi="ar-EG"/>
        </w:rPr>
        <w:t>homocysteine</w:t>
      </w:r>
      <w:proofErr w:type="spellEnd"/>
      <w:r w:rsidRPr="005A7390">
        <w:rPr>
          <w:rFonts w:ascii="Times New Roman" w:hAnsi="Times New Roman" w:cs="Times New Roman"/>
          <w:sz w:val="20"/>
          <w:szCs w:val="20"/>
          <w:lang w:bidi="ar-EG"/>
        </w:rPr>
        <w:t xml:space="preserve"> levels. The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patients on HD infected with the HCV also had lower </w:t>
      </w:r>
      <w:proofErr w:type="spellStart"/>
      <w:r w:rsidRPr="005A7390">
        <w:rPr>
          <w:rFonts w:ascii="Times New Roman" w:hAnsi="Times New Roman" w:cs="Times New Roman"/>
          <w:sz w:val="20"/>
          <w:szCs w:val="20"/>
          <w:lang w:bidi="ar-EG"/>
        </w:rPr>
        <w:t>aminotransferase</w:t>
      </w:r>
      <w:proofErr w:type="spellEnd"/>
      <w:r w:rsidRPr="005A7390">
        <w:rPr>
          <w:rFonts w:ascii="Times New Roman" w:hAnsi="Times New Roman" w:cs="Times New Roman"/>
          <w:sz w:val="20"/>
          <w:szCs w:val="20"/>
          <w:lang w:bidi="ar-EG"/>
        </w:rPr>
        <w:t xml:space="preserve"> levels compared with the infected patients without </w:t>
      </w:r>
      <w:r w:rsidR="00C436C2" w:rsidRPr="005A7390">
        <w:rPr>
          <w:rFonts w:ascii="Times New Roman" w:hAnsi="Times New Roman" w:cs="Times New Roman"/>
          <w:sz w:val="20"/>
          <w:szCs w:val="20"/>
          <w:lang w:bidi="ar-EG"/>
        </w:rPr>
        <w:t>CKD</w:t>
      </w:r>
      <w:r w:rsidRPr="005A7390">
        <w:rPr>
          <w:rFonts w:ascii="Times New Roman" w:hAnsi="Times New Roman" w:cs="Times New Roman"/>
          <w:sz w:val="20"/>
          <w:szCs w:val="20"/>
          <w:lang w:bidi="ar-EG"/>
        </w:rPr>
        <w:t xml:space="preserve">. This reduction is in part due to decreased </w:t>
      </w:r>
      <w:proofErr w:type="spellStart"/>
      <w:r w:rsidRPr="005A7390">
        <w:rPr>
          <w:rFonts w:ascii="Times New Roman" w:hAnsi="Times New Roman" w:cs="Times New Roman"/>
          <w:sz w:val="20"/>
          <w:szCs w:val="20"/>
          <w:lang w:bidi="ar-EG"/>
        </w:rPr>
        <w:t>viremia</w:t>
      </w:r>
      <w:proofErr w:type="spellEnd"/>
      <w:r w:rsidRPr="005A7390">
        <w:rPr>
          <w:rFonts w:ascii="Times New Roman" w:hAnsi="Times New Roman" w:cs="Times New Roman"/>
          <w:sz w:val="20"/>
          <w:szCs w:val="20"/>
          <w:lang w:bidi="ar-EG"/>
        </w:rPr>
        <w:t xml:space="preserve"> caused by the dialysis method, the production of a </w:t>
      </w:r>
      <w:proofErr w:type="spellStart"/>
      <w:r w:rsidRPr="005A7390">
        <w:rPr>
          <w:rFonts w:ascii="Times New Roman" w:hAnsi="Times New Roman" w:cs="Times New Roman"/>
          <w:sz w:val="20"/>
          <w:szCs w:val="20"/>
          <w:lang w:bidi="ar-EG"/>
        </w:rPr>
        <w:t>hepatocyte</w:t>
      </w:r>
      <w:proofErr w:type="spellEnd"/>
      <w:r w:rsidRPr="005A7390">
        <w:rPr>
          <w:rFonts w:ascii="Times New Roman" w:hAnsi="Times New Roman" w:cs="Times New Roman"/>
          <w:sz w:val="20"/>
          <w:szCs w:val="20"/>
          <w:lang w:bidi="ar-EG"/>
        </w:rPr>
        <w:t xml:space="preserve"> growth factor (HGF) and endogenous </w:t>
      </w:r>
      <w:r w:rsidRPr="005A7390">
        <w:rPr>
          <w:rFonts w:ascii="Times New Roman" w:eastAsia="Times New Roman" w:hAnsi="Times New Roman" w:cs="Times New Roman"/>
          <w:sz w:val="20"/>
          <w:szCs w:val="20"/>
        </w:rPr>
        <w:t>interferon-alpha (INF-α),</w:t>
      </w:r>
      <w:r w:rsidRPr="005A7390">
        <w:rPr>
          <w:rFonts w:ascii="Times New Roman" w:hAnsi="Times New Roman" w:cs="Times New Roman"/>
          <w:sz w:val="20"/>
          <w:szCs w:val="20"/>
          <w:lang w:bidi="ar-EG"/>
        </w:rPr>
        <w:t xml:space="preserve"> and lymphocyte activation, which decrease viral action on </w:t>
      </w:r>
      <w:proofErr w:type="spellStart"/>
      <w:r w:rsidRPr="005A7390">
        <w:rPr>
          <w:rFonts w:ascii="Times New Roman" w:hAnsi="Times New Roman" w:cs="Times New Roman"/>
          <w:sz w:val="20"/>
          <w:szCs w:val="20"/>
          <w:lang w:bidi="ar-EG"/>
        </w:rPr>
        <w:t>hepatocytes</w:t>
      </w:r>
      <w:proofErr w:type="spellEnd"/>
      <w:r w:rsidRPr="005A7390">
        <w:rPr>
          <w:rFonts w:ascii="Times New Roman" w:hAnsi="Times New Roman" w:cs="Times New Roman"/>
          <w:sz w:val="20"/>
          <w:szCs w:val="20"/>
          <w:lang w:bidi="ar-EG"/>
        </w:rPr>
        <w:t xml:space="preserve"> </w:t>
      </w:r>
      <w:r w:rsidRPr="005A7390">
        <w:rPr>
          <w:rFonts w:ascii="Times New Roman" w:hAnsi="Times New Roman" w:cs="Times New Roman"/>
          <w:b/>
          <w:bCs/>
          <w:i/>
          <w:iCs/>
          <w:sz w:val="20"/>
          <w:szCs w:val="20"/>
          <w:lang w:bidi="ar-EG"/>
        </w:rPr>
        <w:t>(</w:t>
      </w:r>
      <w:r w:rsidR="00161CBF" w:rsidRPr="005A7390">
        <w:rPr>
          <w:rFonts w:ascii="Times New Roman" w:hAnsi="Times New Roman" w:cs="Times New Roman"/>
          <w:b/>
          <w:bCs/>
          <w:i/>
          <w:iCs/>
          <w:sz w:val="20"/>
          <w:szCs w:val="20"/>
          <w:lang w:bidi="ar-EG"/>
        </w:rPr>
        <w:t>13</w:t>
      </w:r>
      <w:r w:rsidRPr="005A7390">
        <w:rPr>
          <w:rFonts w:ascii="Times New Roman" w:hAnsi="Times New Roman" w:cs="Times New Roman"/>
          <w:b/>
          <w:bCs/>
          <w:i/>
          <w:iCs/>
          <w:sz w:val="20"/>
          <w:szCs w:val="20"/>
          <w:lang w:bidi="ar-EG"/>
        </w:rPr>
        <w:t>)</w:t>
      </w:r>
      <w:r w:rsidRPr="005A7390">
        <w:rPr>
          <w:rFonts w:ascii="Times New Roman" w:hAnsi="Times New Roman" w:cs="Times New Roman"/>
          <w:sz w:val="20"/>
          <w:szCs w:val="20"/>
          <w:lang w:bidi="ar-EG"/>
        </w:rPr>
        <w:t>.</w:t>
      </w:r>
    </w:p>
    <w:p w:rsidR="0081016A" w:rsidRPr="005A7390" w:rsidRDefault="0081016A" w:rsidP="00030DDA">
      <w:pPr>
        <w:bidi w:val="0"/>
        <w:adjustRightInd w:val="0"/>
        <w:snapToGrid w:val="0"/>
        <w:spacing w:after="0" w:line="240" w:lineRule="auto"/>
        <w:jc w:val="both"/>
        <w:rPr>
          <w:rFonts w:ascii="Times New Roman" w:hAnsi="Times New Roman" w:cs="Times New Roman"/>
          <w:sz w:val="20"/>
          <w:szCs w:val="20"/>
          <w:lang w:bidi="ar-EG"/>
        </w:rPr>
      </w:pPr>
    </w:p>
    <w:p w:rsidR="00664C43" w:rsidRPr="005A7390" w:rsidRDefault="00664C43" w:rsidP="00030DDA">
      <w:pPr>
        <w:bidi w:val="0"/>
        <w:adjustRightInd w:val="0"/>
        <w:snapToGrid w:val="0"/>
        <w:spacing w:after="0" w:line="240" w:lineRule="auto"/>
        <w:jc w:val="both"/>
        <w:rPr>
          <w:rFonts w:ascii="Times New Roman" w:hAnsi="Times New Roman" w:cs="Times New Roman"/>
          <w:b/>
          <w:bCs/>
          <w:sz w:val="20"/>
          <w:szCs w:val="20"/>
        </w:rPr>
      </w:pPr>
      <w:r w:rsidRPr="005A7390">
        <w:rPr>
          <w:rFonts w:ascii="Times New Roman" w:hAnsi="Times New Roman" w:cs="Times New Roman"/>
          <w:b/>
          <w:bCs/>
          <w:sz w:val="20"/>
          <w:szCs w:val="20"/>
        </w:rPr>
        <w:t>2. Material and Methods:</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lang w:bidi="ar-EG"/>
        </w:rPr>
      </w:pPr>
      <w:r w:rsidRPr="005A7390">
        <w:rPr>
          <w:rFonts w:ascii="Times New Roman" w:hAnsi="Times New Roman" w:cs="Times New Roman"/>
          <w:sz w:val="20"/>
          <w:szCs w:val="20"/>
          <w:lang w:bidi="ar-EG"/>
        </w:rPr>
        <w:t xml:space="preserve">This retrospective study was conducted in HD Unit of National Institute </w:t>
      </w:r>
      <w:proofErr w:type="gramStart"/>
      <w:r w:rsidRPr="005A7390">
        <w:rPr>
          <w:rFonts w:ascii="Times New Roman" w:hAnsi="Times New Roman" w:cs="Times New Roman"/>
          <w:sz w:val="20"/>
          <w:szCs w:val="20"/>
          <w:lang w:bidi="ar-EG"/>
        </w:rPr>
        <w:t>Of</w:t>
      </w:r>
      <w:proofErr w:type="gramEnd"/>
      <w:r w:rsidRPr="005A7390">
        <w:rPr>
          <w:rFonts w:ascii="Times New Roman" w:hAnsi="Times New Roman" w:cs="Times New Roman"/>
          <w:sz w:val="20"/>
          <w:szCs w:val="20"/>
          <w:lang w:bidi="ar-EG"/>
        </w:rPr>
        <w:t xml:space="preserve"> Nephrology and Urology in Cairo.</w:t>
      </w:r>
    </w:p>
    <w:p w:rsidR="00664C43" w:rsidRPr="005A7390" w:rsidRDefault="00664C43" w:rsidP="00030DDA">
      <w:pPr>
        <w:bidi w:val="0"/>
        <w:adjustRightInd w:val="0"/>
        <w:snapToGrid w:val="0"/>
        <w:spacing w:after="0" w:line="240" w:lineRule="auto"/>
        <w:jc w:val="both"/>
        <w:rPr>
          <w:rFonts w:ascii="Times New Roman" w:hAnsi="Times New Roman" w:cs="Times New Roman"/>
          <w:b/>
          <w:bCs/>
          <w:sz w:val="20"/>
          <w:szCs w:val="20"/>
          <w:lang w:bidi="ar-EG"/>
        </w:rPr>
      </w:pPr>
      <w:r w:rsidRPr="005A7390">
        <w:rPr>
          <w:rFonts w:ascii="Times New Roman" w:hAnsi="Times New Roman" w:cs="Times New Roman"/>
          <w:b/>
          <w:bCs/>
          <w:sz w:val="20"/>
          <w:szCs w:val="20"/>
          <w:lang w:bidi="ar-EG"/>
        </w:rPr>
        <w:t>Exclusion criteria:</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b/>
          <w:bCs/>
          <w:sz w:val="20"/>
          <w:szCs w:val="20"/>
          <w:lang w:bidi="ar-EG"/>
        </w:rPr>
      </w:pPr>
      <w:proofErr w:type="gramStart"/>
      <w:r w:rsidRPr="005A7390">
        <w:rPr>
          <w:rFonts w:ascii="Times New Roman" w:hAnsi="Times New Roman" w:cs="Times New Roman"/>
          <w:sz w:val="20"/>
          <w:szCs w:val="20"/>
          <w:lang w:bidi="ar-EG"/>
        </w:rPr>
        <w:t>Hepatitis B virus surface antigen (</w:t>
      </w:r>
      <w:proofErr w:type="spellStart"/>
      <w:r w:rsidRPr="005A7390">
        <w:rPr>
          <w:rFonts w:ascii="Times New Roman" w:hAnsi="Times New Roman" w:cs="Times New Roman"/>
          <w:sz w:val="20"/>
          <w:szCs w:val="20"/>
          <w:lang w:bidi="ar-EG"/>
        </w:rPr>
        <w:t>HBsAg</w:t>
      </w:r>
      <w:proofErr w:type="spellEnd"/>
      <w:r w:rsidRPr="005A7390">
        <w:rPr>
          <w:rFonts w:ascii="Times New Roman" w:hAnsi="Times New Roman" w:cs="Times New Roman"/>
          <w:sz w:val="20"/>
          <w:szCs w:val="20"/>
          <w:lang w:bidi="ar-EG"/>
        </w:rPr>
        <w:t>) positive patients, Human immunodeficiency virus antibody (</w:t>
      </w:r>
      <w:proofErr w:type="spellStart"/>
      <w:r w:rsidRPr="005A7390">
        <w:rPr>
          <w:rFonts w:ascii="Times New Roman" w:hAnsi="Times New Roman" w:cs="Times New Roman"/>
          <w:sz w:val="20"/>
          <w:szCs w:val="20"/>
          <w:lang w:bidi="ar-EG"/>
        </w:rPr>
        <w:t>HIVAb</w:t>
      </w:r>
      <w:proofErr w:type="spellEnd"/>
      <w:r w:rsidRPr="005A7390">
        <w:rPr>
          <w:rFonts w:ascii="Times New Roman" w:hAnsi="Times New Roman" w:cs="Times New Roman"/>
          <w:sz w:val="20"/>
          <w:szCs w:val="20"/>
          <w:lang w:bidi="ar-EG"/>
        </w:rPr>
        <w:t>) positive patients.</w:t>
      </w:r>
      <w:proofErr w:type="gramEnd"/>
    </w:p>
    <w:p w:rsidR="00664C43" w:rsidRPr="005A7390" w:rsidRDefault="00664C43" w:rsidP="00030DDA">
      <w:pPr>
        <w:bidi w:val="0"/>
        <w:adjustRightInd w:val="0"/>
        <w:snapToGrid w:val="0"/>
        <w:spacing w:after="0" w:line="240" w:lineRule="auto"/>
        <w:jc w:val="both"/>
        <w:rPr>
          <w:rFonts w:ascii="Times New Roman" w:hAnsi="Times New Roman" w:cs="Times New Roman"/>
          <w:b/>
          <w:bCs/>
          <w:sz w:val="20"/>
          <w:szCs w:val="20"/>
          <w:lang w:bidi="ar-EG"/>
        </w:rPr>
      </w:pPr>
      <w:r w:rsidRPr="005A7390">
        <w:rPr>
          <w:rFonts w:ascii="Times New Roman" w:hAnsi="Times New Roman" w:cs="Times New Roman"/>
          <w:b/>
          <w:bCs/>
          <w:sz w:val="20"/>
          <w:szCs w:val="20"/>
          <w:lang w:bidi="ar-EG"/>
        </w:rPr>
        <w:t>Inclusion</w:t>
      </w:r>
      <w:r w:rsidR="005A7390">
        <w:rPr>
          <w:rFonts w:ascii="Times New Roman" w:hAnsi="Times New Roman" w:cs="Times New Roman"/>
          <w:b/>
          <w:bCs/>
          <w:sz w:val="20"/>
          <w:szCs w:val="20"/>
          <w:lang w:bidi="ar-EG"/>
        </w:rPr>
        <w:t xml:space="preserve"> </w:t>
      </w:r>
      <w:r w:rsidRPr="005A7390">
        <w:rPr>
          <w:rFonts w:ascii="Times New Roman" w:hAnsi="Times New Roman" w:cs="Times New Roman"/>
          <w:b/>
          <w:bCs/>
          <w:sz w:val="20"/>
          <w:szCs w:val="20"/>
          <w:lang w:bidi="ar-EG"/>
        </w:rPr>
        <w:t>criteria:</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lang w:bidi="ar-EG"/>
        </w:rPr>
      </w:pPr>
      <w:r w:rsidRPr="005A7390">
        <w:rPr>
          <w:rFonts w:ascii="Times New Roman" w:hAnsi="Times New Roman" w:cs="Times New Roman"/>
          <w:sz w:val="20"/>
          <w:szCs w:val="20"/>
          <w:lang w:bidi="ar-EG"/>
        </w:rPr>
        <w:t xml:space="preserve">All patients are above 18 years old, </w:t>
      </w:r>
      <w:proofErr w:type="gramStart"/>
      <w:r w:rsidRPr="005A7390">
        <w:rPr>
          <w:rFonts w:ascii="Times New Roman" w:hAnsi="Times New Roman" w:cs="Times New Roman"/>
          <w:sz w:val="20"/>
          <w:szCs w:val="20"/>
          <w:lang w:bidi="ar-EG"/>
        </w:rPr>
        <w:t>All</w:t>
      </w:r>
      <w:proofErr w:type="gramEnd"/>
      <w:r w:rsidRPr="005A7390">
        <w:rPr>
          <w:rFonts w:ascii="Times New Roman" w:hAnsi="Times New Roman" w:cs="Times New Roman"/>
          <w:sz w:val="20"/>
          <w:szCs w:val="20"/>
          <w:lang w:bidi="ar-EG"/>
        </w:rPr>
        <w:t xml:space="preserve"> patients have CKD and on regular HD more than 1 year ago.</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b/>
          <w:bCs/>
          <w:sz w:val="20"/>
          <w:szCs w:val="20"/>
          <w:lang w:bidi="ar-EG"/>
        </w:rPr>
      </w:pPr>
      <w:r w:rsidRPr="005A7390">
        <w:rPr>
          <w:rFonts w:ascii="Times New Roman" w:hAnsi="Times New Roman" w:cs="Times New Roman"/>
          <w:sz w:val="20"/>
          <w:szCs w:val="20"/>
        </w:rPr>
        <w:t>This study included 70 patients with history of CKD on HD for more than 1 year ago: 40 Patients with</w:t>
      </w:r>
      <w:r w:rsidR="005A7390">
        <w:rPr>
          <w:rFonts w:ascii="Times New Roman" w:hAnsi="Times New Roman" w:cs="Times New Roman"/>
          <w:sz w:val="20"/>
          <w:szCs w:val="20"/>
        </w:rPr>
        <w:t xml:space="preserve"> </w:t>
      </w:r>
      <w:r w:rsidRPr="005A7390">
        <w:rPr>
          <w:rFonts w:ascii="Times New Roman" w:hAnsi="Times New Roman" w:cs="Times New Roman"/>
          <w:sz w:val="20"/>
          <w:szCs w:val="20"/>
        </w:rPr>
        <w:t>HCV are patient group, 30 Patients without HCV are control group.</w:t>
      </w:r>
    </w:p>
    <w:p w:rsidR="00664C43" w:rsidRPr="005A7390" w:rsidRDefault="00664C43" w:rsidP="00030DDA">
      <w:pPr>
        <w:pStyle w:val="writing"/>
        <w:adjustRightInd w:val="0"/>
        <w:snapToGrid w:val="0"/>
        <w:spacing w:line="240" w:lineRule="auto"/>
        <w:ind w:left="0" w:right="0" w:firstLine="0"/>
        <w:jc w:val="both"/>
        <w:rPr>
          <w:sz w:val="20"/>
          <w:szCs w:val="20"/>
        </w:rPr>
      </w:pPr>
      <w:r w:rsidRPr="005A7390">
        <w:rPr>
          <w:b/>
          <w:bCs/>
          <w:sz w:val="20"/>
          <w:szCs w:val="20"/>
        </w:rPr>
        <w:t>Study design:</w:t>
      </w:r>
    </w:p>
    <w:p w:rsidR="00664C43" w:rsidRPr="005A7390" w:rsidRDefault="00664C43" w:rsidP="00030DDA">
      <w:pPr>
        <w:pStyle w:val="writing"/>
        <w:adjustRightInd w:val="0"/>
        <w:snapToGrid w:val="0"/>
        <w:spacing w:line="240" w:lineRule="auto"/>
        <w:ind w:left="0" w:right="0" w:firstLine="425"/>
        <w:jc w:val="both"/>
        <w:rPr>
          <w:sz w:val="20"/>
          <w:szCs w:val="20"/>
        </w:rPr>
      </w:pPr>
      <w:r w:rsidRPr="005A7390">
        <w:rPr>
          <w:sz w:val="20"/>
          <w:szCs w:val="20"/>
        </w:rPr>
        <w:t xml:space="preserve">All Patients were subjected to full history taking, Clinical examination including blood pressure measurement, Laboratory studies including: complete blood count (CBC), Serum levels of </w:t>
      </w:r>
      <w:proofErr w:type="spellStart"/>
      <w:r w:rsidRPr="005A7390">
        <w:rPr>
          <w:sz w:val="20"/>
          <w:szCs w:val="20"/>
        </w:rPr>
        <w:t>alanine</w:t>
      </w:r>
      <w:proofErr w:type="spellEnd"/>
      <w:r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(ALT), </w:t>
      </w:r>
      <w:proofErr w:type="spellStart"/>
      <w:r w:rsidR="00F3098B" w:rsidRPr="005A7390">
        <w:rPr>
          <w:sz w:val="20"/>
          <w:szCs w:val="20"/>
        </w:rPr>
        <w:t>Aspartate</w:t>
      </w:r>
      <w:proofErr w:type="spellEnd"/>
      <w:r w:rsidR="00F3098B"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(AST), international ratio (INR), total proteins, albumin, urea, </w:t>
      </w:r>
      <w:proofErr w:type="spellStart"/>
      <w:r w:rsidRPr="005A7390">
        <w:rPr>
          <w:sz w:val="20"/>
          <w:szCs w:val="20"/>
        </w:rPr>
        <w:t>creatinine</w:t>
      </w:r>
      <w:proofErr w:type="spellEnd"/>
      <w:r w:rsidRPr="005A7390">
        <w:rPr>
          <w:sz w:val="20"/>
          <w:szCs w:val="20"/>
        </w:rPr>
        <w:t>, sodium, potassium,</w:t>
      </w:r>
      <w:r w:rsidRPr="005A7390">
        <w:rPr>
          <w:sz w:val="20"/>
          <w:szCs w:val="20"/>
          <w:lang w:bidi="ar-EG"/>
        </w:rPr>
        <w:t xml:space="preserve"> cholesterol, triglycerides,</w:t>
      </w:r>
      <w:r w:rsidRPr="005A7390">
        <w:rPr>
          <w:sz w:val="20"/>
          <w:szCs w:val="20"/>
        </w:rPr>
        <w:t xml:space="preserve"> virology markers using Enzyme Linked-Immunoassay (ELISA) technique over 1 year with 3 months between each one, and polymerase chain reaction (PCR) for HCV </w:t>
      </w:r>
      <w:proofErr w:type="spellStart"/>
      <w:r w:rsidRPr="005A7390">
        <w:rPr>
          <w:sz w:val="20"/>
          <w:szCs w:val="20"/>
        </w:rPr>
        <w:t>Ribo</w:t>
      </w:r>
      <w:proofErr w:type="spellEnd"/>
      <w:r w:rsidR="00030DDA">
        <w:rPr>
          <w:rFonts w:eastAsiaTheme="minorEastAsia" w:hint="eastAsia"/>
          <w:sz w:val="20"/>
          <w:szCs w:val="20"/>
          <w:lang w:eastAsia="zh-CN"/>
        </w:rPr>
        <w:t xml:space="preserve"> </w:t>
      </w:r>
      <w:r w:rsidRPr="005A7390">
        <w:rPr>
          <w:sz w:val="20"/>
          <w:szCs w:val="20"/>
        </w:rPr>
        <w:t xml:space="preserve">Nucleic Acid (RNA) once </w:t>
      </w:r>
      <w:proofErr w:type="spellStart"/>
      <w:r w:rsidRPr="005A7390">
        <w:rPr>
          <w:sz w:val="20"/>
          <w:szCs w:val="20"/>
        </w:rPr>
        <w:t>allover</w:t>
      </w:r>
      <w:proofErr w:type="spellEnd"/>
      <w:r w:rsidRPr="005A7390">
        <w:rPr>
          <w:sz w:val="20"/>
          <w:szCs w:val="20"/>
        </w:rPr>
        <w:t xml:space="preserve"> the study.</w:t>
      </w:r>
    </w:p>
    <w:p w:rsidR="00F17BF5" w:rsidRDefault="00F17BF5" w:rsidP="00030DDA">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664C43" w:rsidRPr="005A7390" w:rsidRDefault="00664C43" w:rsidP="00F17BF5">
      <w:pPr>
        <w:autoSpaceDE w:val="0"/>
        <w:autoSpaceDN w:val="0"/>
        <w:bidi w:val="0"/>
        <w:adjustRightInd w:val="0"/>
        <w:snapToGrid w:val="0"/>
        <w:spacing w:after="0" w:line="240" w:lineRule="auto"/>
        <w:jc w:val="both"/>
        <w:rPr>
          <w:rFonts w:ascii="Times New Roman" w:hAnsi="Times New Roman" w:cs="Times New Roman"/>
          <w:sz w:val="20"/>
          <w:szCs w:val="20"/>
        </w:rPr>
      </w:pPr>
      <w:r w:rsidRPr="005A7390">
        <w:rPr>
          <w:rFonts w:ascii="Times New Roman" w:hAnsi="Times New Roman" w:cs="Times New Roman"/>
          <w:b/>
          <w:bCs/>
          <w:sz w:val="20"/>
          <w:szCs w:val="20"/>
        </w:rPr>
        <w:t>Statistical Analysis:</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lang w:eastAsia="ar-SA"/>
        </w:rPr>
      </w:pPr>
      <w:bookmarkStart w:id="0" w:name="OLE_LINK44"/>
      <w:bookmarkStart w:id="1" w:name="OLE_LINK45"/>
      <w:bookmarkStart w:id="2" w:name="OLE_LINK68"/>
      <w:bookmarkStart w:id="3" w:name="OLE_LINK69"/>
      <w:bookmarkStart w:id="4" w:name="OLE_LINK148"/>
      <w:bookmarkStart w:id="5" w:name="OLE_LINK18"/>
      <w:bookmarkStart w:id="6" w:name="OLE_LINK1"/>
      <w:bookmarkStart w:id="7" w:name="OLE_LINK172"/>
      <w:bookmarkStart w:id="8" w:name="OLE_LINK297"/>
      <w:bookmarkStart w:id="9" w:name="OLE_LINK84"/>
      <w:bookmarkStart w:id="10" w:name="OLE_LINK90"/>
      <w:bookmarkStart w:id="11" w:name="OLE_LINK79"/>
      <w:bookmarkStart w:id="12" w:name="OLE_LINK59"/>
      <w:bookmarkStart w:id="13" w:name="OLE_LINK77"/>
      <w:bookmarkStart w:id="14" w:name="OLE_LINK138"/>
      <w:bookmarkStart w:id="15" w:name="OLE_LINK229"/>
      <w:bookmarkStart w:id="16" w:name="OLE_LINK60"/>
      <w:bookmarkStart w:id="17" w:name="OLE_LINK368"/>
      <w:bookmarkStart w:id="18" w:name="OLE_LINK305"/>
      <w:bookmarkStart w:id="19" w:name="OLE_LINK306"/>
      <w:bookmarkStart w:id="20" w:name="OLE_LINK143"/>
      <w:bookmarkStart w:id="21" w:name="OLE_LINK46"/>
      <w:bookmarkStart w:id="22" w:name="OLE_LINK70"/>
      <w:bookmarkStart w:id="23" w:name="OLE_LINK47"/>
      <w:bookmarkStart w:id="24" w:name="OLE_LINK63"/>
      <w:bookmarkStart w:id="25" w:name="OLE_LINK37"/>
      <w:r w:rsidRPr="005A7390">
        <w:rPr>
          <w:rFonts w:ascii="Times New Roman" w:hAnsi="Times New Roman" w:cs="Times New Roman"/>
          <w:sz w:val="20"/>
          <w:szCs w:val="20"/>
          <w:lang w:eastAsia="ar-SA"/>
        </w:rPr>
        <w:t>Data were analyzed using Statistical Program for Social Science (</w:t>
      </w:r>
      <w:smartTag w:uri="urn:schemas-microsoft-com:office:smarttags" w:element="stockticker">
        <w:r w:rsidRPr="005A7390">
          <w:rPr>
            <w:rFonts w:ascii="Times New Roman" w:hAnsi="Times New Roman" w:cs="Times New Roman"/>
            <w:sz w:val="20"/>
            <w:szCs w:val="20"/>
            <w:lang w:eastAsia="ar-SA"/>
          </w:rPr>
          <w:t>SPSS</w:t>
        </w:r>
      </w:smartTag>
      <w:r w:rsidRPr="005A7390">
        <w:rPr>
          <w:rFonts w:ascii="Times New Roman" w:hAnsi="Times New Roman" w:cs="Times New Roman"/>
          <w:sz w:val="20"/>
          <w:szCs w:val="20"/>
          <w:lang w:eastAsia="ar-SA"/>
        </w:rPr>
        <w:t xml:space="preserve">) version 18.0. Quantitative data were expressed as mean ± standard deviation (SD). </w:t>
      </w:r>
      <w:r w:rsidRPr="005A7390">
        <w:rPr>
          <w:rFonts w:ascii="Times New Roman" w:hAnsi="Times New Roman" w:cs="Times New Roman"/>
          <w:sz w:val="20"/>
          <w:szCs w:val="20"/>
          <w:lang w:eastAsia="ar-SA"/>
        </w:rPr>
        <w:lastRenderedPageBreak/>
        <w:t>Qualitative data were expressed as frequency and percentage.</w:t>
      </w:r>
    </w:p>
    <w:bookmarkEnd w:id="0"/>
    <w:bookmarkEnd w:id="1"/>
    <w:p w:rsidR="00F17BF5" w:rsidRDefault="00F17BF5" w:rsidP="00030DDA">
      <w:pPr>
        <w:bidi w:val="0"/>
        <w:adjustRightInd w:val="0"/>
        <w:snapToGrid w:val="0"/>
        <w:spacing w:after="0" w:line="240" w:lineRule="auto"/>
        <w:jc w:val="both"/>
        <w:rPr>
          <w:rFonts w:ascii="Times New Roman" w:hAnsi="Times New Roman" w:cs="Times New Roman" w:hint="eastAsia"/>
          <w:b/>
          <w:bCs/>
          <w:sz w:val="20"/>
          <w:szCs w:val="20"/>
          <w:lang w:eastAsia="zh-CN"/>
        </w:rPr>
      </w:pPr>
    </w:p>
    <w:p w:rsidR="00664C43" w:rsidRPr="005A7390" w:rsidRDefault="00664C43" w:rsidP="00F17BF5">
      <w:pPr>
        <w:bidi w:val="0"/>
        <w:adjustRightInd w:val="0"/>
        <w:snapToGrid w:val="0"/>
        <w:spacing w:after="0" w:line="240" w:lineRule="auto"/>
        <w:jc w:val="both"/>
        <w:rPr>
          <w:rFonts w:ascii="Times New Roman" w:hAnsi="Times New Roman" w:cs="Times New Roman"/>
          <w:b/>
          <w:bCs/>
          <w:sz w:val="20"/>
          <w:szCs w:val="20"/>
          <w:lang w:eastAsia="ar-SA"/>
        </w:rPr>
      </w:pPr>
      <w:r w:rsidRPr="005A7390">
        <w:rPr>
          <w:rFonts w:ascii="Times New Roman" w:hAnsi="Times New Roman" w:cs="Times New Roman"/>
          <w:b/>
          <w:bCs/>
          <w:sz w:val="20"/>
          <w:szCs w:val="20"/>
          <w:lang w:eastAsia="ar-SA"/>
        </w:rPr>
        <w:t>The following tests were done:</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lang w:eastAsia="ar-SA"/>
        </w:rPr>
      </w:pPr>
      <w:r w:rsidRPr="005A7390">
        <w:rPr>
          <w:rFonts w:ascii="Times New Roman" w:hAnsi="Times New Roman" w:cs="Times New Roman"/>
          <w:sz w:val="20"/>
          <w:szCs w:val="20"/>
          <w:lang w:eastAsia="ar-SA"/>
        </w:rPr>
        <w:t>Independent-samples t-test of significance was used w</w:t>
      </w:r>
      <w:bookmarkStart w:id="26" w:name="OLE_LINK133"/>
      <w:r w:rsidRPr="005A7390">
        <w:rPr>
          <w:rFonts w:ascii="Times New Roman" w:hAnsi="Times New Roman" w:cs="Times New Roman"/>
          <w:sz w:val="20"/>
          <w:szCs w:val="20"/>
          <w:lang w:eastAsia="ar-SA"/>
        </w:rPr>
        <w:t xml:space="preserve">hen comparing between two means. Paired sample t-test of significance was used when comparing between related </w:t>
      </w:r>
      <w:proofErr w:type="gramStart"/>
      <w:r w:rsidRPr="005A7390">
        <w:rPr>
          <w:rFonts w:ascii="Times New Roman" w:hAnsi="Times New Roman" w:cs="Times New Roman"/>
          <w:sz w:val="20"/>
          <w:szCs w:val="20"/>
          <w:lang w:eastAsia="ar-SA"/>
        </w:rPr>
        <w:t>sample</w:t>
      </w:r>
      <w:bookmarkEnd w:id="26"/>
      <w:proofErr w:type="gramEnd"/>
      <w:r w:rsidRPr="005A7390">
        <w:rPr>
          <w:rFonts w:ascii="Times New Roman" w:hAnsi="Times New Roman" w:cs="Times New Roman"/>
          <w:sz w:val="20"/>
          <w:szCs w:val="20"/>
          <w:lang w:eastAsia="ar-SA"/>
        </w:rPr>
        <w:t xml:space="preserve">. </w:t>
      </w:r>
      <w:proofErr w:type="gramStart"/>
      <w:r w:rsidRPr="005A7390">
        <w:rPr>
          <w:rFonts w:ascii="Times New Roman" w:hAnsi="Times New Roman" w:cs="Times New Roman"/>
          <w:sz w:val="20"/>
          <w:szCs w:val="20"/>
          <w:lang w:eastAsia="ar-SA"/>
        </w:rPr>
        <w:t>A one-way analysis of variance (ANOVA) when comparing between more than two means.</w:t>
      </w:r>
      <w:proofErr w:type="gramEnd"/>
      <w:r w:rsidRPr="005A7390">
        <w:rPr>
          <w:rFonts w:ascii="Times New Roman" w:hAnsi="Times New Roman" w:cs="Times New Roman"/>
          <w:sz w:val="20"/>
          <w:szCs w:val="20"/>
          <w:lang w:eastAsia="ar-SA"/>
        </w:rPr>
        <w:t xml:space="preserve"> Chi-square (X</w:t>
      </w:r>
      <w:r w:rsidRPr="005A7390">
        <w:rPr>
          <w:rFonts w:ascii="Times New Roman" w:hAnsi="Times New Roman" w:cs="Times New Roman"/>
          <w:sz w:val="20"/>
          <w:szCs w:val="20"/>
          <w:vertAlign w:val="superscript"/>
          <w:lang w:eastAsia="ar-SA"/>
        </w:rPr>
        <w:t>2</w:t>
      </w:r>
      <w:r w:rsidRPr="005A7390">
        <w:rPr>
          <w:rFonts w:ascii="Times New Roman" w:hAnsi="Times New Roman" w:cs="Times New Roman"/>
          <w:sz w:val="20"/>
          <w:szCs w:val="20"/>
          <w:lang w:eastAsia="ar-SA"/>
        </w:rPr>
        <w:t>) test of significance was used in order to compare proportions between two qualitative parameters. Pearson's correlation coefficient (r) test was used for correlating data. Probability (</w:t>
      </w:r>
      <w:r w:rsidRPr="005A7390">
        <w:rPr>
          <w:rFonts w:ascii="Times New Roman" w:hAnsi="Times New Roman" w:cs="Times New Roman"/>
          <w:i/>
          <w:iCs/>
          <w:sz w:val="20"/>
          <w:szCs w:val="20"/>
          <w:lang w:eastAsia="ar-SA"/>
        </w:rPr>
        <w:t>P</w:t>
      </w:r>
      <w:r w:rsidRPr="005A7390">
        <w:rPr>
          <w:rFonts w:ascii="Times New Roman" w:hAnsi="Times New Roman" w:cs="Times New Roman"/>
          <w:sz w:val="20"/>
          <w:szCs w:val="20"/>
          <w:lang w:eastAsia="ar-SA"/>
        </w:rPr>
        <w:t xml:space="preserve">-value), </w:t>
      </w:r>
      <w:r w:rsidRPr="005A7390">
        <w:rPr>
          <w:rFonts w:ascii="Times New Roman" w:hAnsi="Times New Roman" w:cs="Times New Roman"/>
          <w:i/>
          <w:iCs/>
          <w:sz w:val="20"/>
          <w:szCs w:val="20"/>
          <w:lang w:eastAsia="ar-SA"/>
        </w:rPr>
        <w:t>P</w:t>
      </w:r>
      <w:r w:rsidRPr="005A7390">
        <w:rPr>
          <w:rFonts w:ascii="Times New Roman" w:hAnsi="Times New Roman" w:cs="Times New Roman"/>
          <w:sz w:val="20"/>
          <w:szCs w:val="20"/>
          <w:lang w:eastAsia="ar-SA"/>
        </w:rPr>
        <w:t xml:space="preserve">-value &lt;0.05 was considered significant. </w:t>
      </w:r>
      <w:r w:rsidRPr="005A7390">
        <w:rPr>
          <w:rFonts w:ascii="Times New Roman" w:hAnsi="Times New Roman" w:cs="Times New Roman"/>
          <w:i/>
          <w:iCs/>
          <w:sz w:val="20"/>
          <w:szCs w:val="20"/>
          <w:lang w:eastAsia="ar-SA"/>
        </w:rPr>
        <w:t>P</w:t>
      </w:r>
      <w:r w:rsidRPr="005A7390">
        <w:rPr>
          <w:rFonts w:ascii="Times New Roman" w:hAnsi="Times New Roman" w:cs="Times New Roman"/>
          <w:sz w:val="20"/>
          <w:szCs w:val="20"/>
          <w:lang w:eastAsia="ar-SA"/>
        </w:rPr>
        <w:t xml:space="preserve">-value &lt;0.001 was considered as highly significant. </w:t>
      </w:r>
      <w:r w:rsidRPr="005A7390">
        <w:rPr>
          <w:rFonts w:ascii="Times New Roman" w:hAnsi="Times New Roman" w:cs="Times New Roman"/>
          <w:i/>
          <w:iCs/>
          <w:sz w:val="20"/>
          <w:szCs w:val="20"/>
          <w:lang w:eastAsia="ar-SA"/>
        </w:rPr>
        <w:t>P</w:t>
      </w:r>
      <w:r w:rsidRPr="005A7390">
        <w:rPr>
          <w:rFonts w:ascii="Times New Roman" w:hAnsi="Times New Roman" w:cs="Times New Roman"/>
          <w:sz w:val="20"/>
          <w:szCs w:val="20"/>
          <w:lang w:eastAsia="ar-SA"/>
        </w:rPr>
        <w:t>-value &gt;0.05 was considered insignificant.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64C43" w:rsidRPr="005A7390" w:rsidRDefault="00664C43" w:rsidP="00030DDA">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64C43" w:rsidRPr="005A7390" w:rsidRDefault="00664C43" w:rsidP="00030DDA">
      <w:pPr>
        <w:autoSpaceDE w:val="0"/>
        <w:autoSpaceDN w:val="0"/>
        <w:bidi w:val="0"/>
        <w:adjustRightInd w:val="0"/>
        <w:snapToGrid w:val="0"/>
        <w:spacing w:after="0" w:line="240" w:lineRule="auto"/>
        <w:jc w:val="both"/>
        <w:rPr>
          <w:rFonts w:ascii="Times New Roman" w:hAnsi="Times New Roman" w:cs="Times New Roman"/>
          <w:sz w:val="20"/>
          <w:szCs w:val="20"/>
        </w:rPr>
      </w:pPr>
      <w:r w:rsidRPr="005A7390">
        <w:rPr>
          <w:rFonts w:ascii="Times New Roman" w:hAnsi="Times New Roman" w:cs="Times New Roman"/>
          <w:b/>
          <w:bCs/>
          <w:sz w:val="20"/>
          <w:szCs w:val="20"/>
        </w:rPr>
        <w:t>3. Results:</w:t>
      </w: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rPr>
      </w:pPr>
      <w:r w:rsidRPr="005A7390">
        <w:rPr>
          <w:rFonts w:ascii="Times New Roman" w:hAnsi="Times New Roman" w:cs="Times New Roman"/>
          <w:sz w:val="20"/>
          <w:szCs w:val="20"/>
        </w:rPr>
        <w:t xml:space="preserve">The present study included 70 patients with history of CKD on HD for more than 1 year ago, 40 Patients HCV </w:t>
      </w:r>
      <w:proofErr w:type="gramStart"/>
      <w:r w:rsidRPr="005A7390">
        <w:rPr>
          <w:rFonts w:ascii="Times New Roman" w:hAnsi="Times New Roman" w:cs="Times New Roman"/>
          <w:sz w:val="20"/>
          <w:szCs w:val="20"/>
        </w:rPr>
        <w:t>virus</w:t>
      </w:r>
      <w:proofErr w:type="gramEnd"/>
      <w:r w:rsidRPr="005A7390">
        <w:rPr>
          <w:rFonts w:ascii="Times New Roman" w:hAnsi="Times New Roman" w:cs="Times New Roman"/>
          <w:sz w:val="20"/>
          <w:szCs w:val="20"/>
        </w:rPr>
        <w:t xml:space="preserve"> are patient group, and 30 Patients without HCV are control group. Patient group gender in our study are 22 patients male (55%) and 18 patients female (45%), Of average age (</w:t>
      </w:r>
      <w:proofErr w:type="spellStart"/>
      <w:r w:rsidRPr="005A7390">
        <w:rPr>
          <w:rFonts w:ascii="Times New Roman" w:hAnsi="Times New Roman" w:cs="Times New Roman"/>
          <w:sz w:val="20"/>
          <w:szCs w:val="20"/>
        </w:rPr>
        <w:t>mean</w:t>
      </w:r>
      <w:r w:rsidRPr="005A7390">
        <w:rPr>
          <w:rFonts w:ascii="Times New Roman" w:eastAsia="Calibri" w:hAnsi="Times New Roman" w:cs="Times New Roman"/>
          <w:sz w:val="20"/>
          <w:szCs w:val="20"/>
          <w:lang w:bidi="ar-EG"/>
        </w:rPr>
        <w:t>±</w:t>
      </w:r>
      <w:r w:rsidRPr="005A7390">
        <w:rPr>
          <w:rFonts w:ascii="Times New Roman" w:hAnsi="Times New Roman" w:cs="Times New Roman"/>
          <w:sz w:val="20"/>
          <w:szCs w:val="20"/>
        </w:rPr>
        <w:t>SD</w:t>
      </w:r>
      <w:proofErr w:type="spellEnd"/>
      <w:r w:rsidRPr="005A7390">
        <w:rPr>
          <w:rFonts w:ascii="Times New Roman" w:hAnsi="Times New Roman" w:cs="Times New Roman"/>
          <w:sz w:val="20"/>
          <w:szCs w:val="20"/>
        </w:rPr>
        <w:t xml:space="preserve"> = 46.98</w:t>
      </w:r>
      <w:r w:rsidRPr="005A7390">
        <w:rPr>
          <w:rFonts w:ascii="Times New Roman" w:eastAsia="Calibri" w:hAnsi="Times New Roman" w:cs="Times New Roman"/>
          <w:sz w:val="20"/>
          <w:szCs w:val="20"/>
          <w:lang w:bidi="ar-EG"/>
        </w:rPr>
        <w:t>±15.62</w:t>
      </w:r>
      <w:r w:rsidRPr="005A7390">
        <w:rPr>
          <w:rFonts w:ascii="Times New Roman" w:hAnsi="Times New Roman" w:cs="Times New Roman"/>
          <w:sz w:val="20"/>
          <w:szCs w:val="20"/>
        </w:rPr>
        <w:t xml:space="preserve"> years), Most of them were on long term HD (</w:t>
      </w:r>
      <w:proofErr w:type="spellStart"/>
      <w:r w:rsidRPr="005A7390">
        <w:rPr>
          <w:rFonts w:ascii="Times New Roman" w:hAnsi="Times New Roman" w:cs="Times New Roman"/>
          <w:sz w:val="20"/>
          <w:szCs w:val="20"/>
        </w:rPr>
        <w:t>mean</w:t>
      </w:r>
      <w:r w:rsidRPr="005A7390">
        <w:rPr>
          <w:rFonts w:ascii="Times New Roman" w:eastAsia="Calibri" w:hAnsi="Times New Roman" w:cs="Times New Roman"/>
          <w:sz w:val="20"/>
          <w:szCs w:val="20"/>
          <w:lang w:bidi="ar-EG"/>
        </w:rPr>
        <w:t>±</w:t>
      </w:r>
      <w:r w:rsidRPr="005A7390">
        <w:rPr>
          <w:rFonts w:ascii="Times New Roman" w:hAnsi="Times New Roman" w:cs="Times New Roman"/>
          <w:sz w:val="20"/>
          <w:szCs w:val="20"/>
        </w:rPr>
        <w:t>SD</w:t>
      </w:r>
      <w:proofErr w:type="spellEnd"/>
      <w:r w:rsidRPr="005A7390">
        <w:rPr>
          <w:rFonts w:ascii="Times New Roman" w:hAnsi="Times New Roman" w:cs="Times New Roman"/>
          <w:sz w:val="20"/>
          <w:szCs w:val="20"/>
        </w:rPr>
        <w:t xml:space="preserve"> = 7.83</w:t>
      </w:r>
      <w:r w:rsidRPr="005A7390">
        <w:rPr>
          <w:rFonts w:ascii="Times New Roman" w:eastAsia="Calibri" w:hAnsi="Times New Roman" w:cs="Times New Roman"/>
          <w:sz w:val="20"/>
          <w:szCs w:val="20"/>
          <w:lang w:bidi="ar-EG"/>
        </w:rPr>
        <w:t>±3.49</w:t>
      </w:r>
      <w:r w:rsidRPr="005A7390">
        <w:rPr>
          <w:rFonts w:ascii="Times New Roman" w:hAnsi="Times New Roman" w:cs="Times New Roman"/>
          <w:sz w:val="20"/>
          <w:szCs w:val="20"/>
        </w:rPr>
        <w:t xml:space="preserve"> years), 35, 7 and 13 patients of them (87.5%, 17.5% and 33.5%) are hypertensive, diabetic and ischemic respectively, The remaining 5, 33 and 27 patients (12.5%, 82.5% and 67.5%) are not hypertensive, diabetic or ischemic respectively, </w:t>
      </w:r>
      <w:r w:rsidR="00F3098B" w:rsidRPr="005A7390">
        <w:rPr>
          <w:rFonts w:ascii="Times New Roman" w:hAnsi="Times New Roman" w:cs="Times New Roman"/>
          <w:sz w:val="20"/>
          <w:szCs w:val="20"/>
        </w:rPr>
        <w:t>Access</w:t>
      </w:r>
      <w:r w:rsidRPr="005A7390">
        <w:rPr>
          <w:rFonts w:ascii="Times New Roman" w:hAnsi="Times New Roman" w:cs="Times New Roman"/>
          <w:sz w:val="20"/>
          <w:szCs w:val="20"/>
        </w:rPr>
        <w:t xml:space="preserve"> of HD is </w:t>
      </w:r>
      <w:proofErr w:type="spellStart"/>
      <w:r w:rsidRPr="005A7390">
        <w:rPr>
          <w:rFonts w:ascii="Times New Roman" w:hAnsi="Times New Roman" w:cs="Times New Roman"/>
          <w:sz w:val="20"/>
          <w:szCs w:val="20"/>
        </w:rPr>
        <w:t>Arteriovenous</w:t>
      </w:r>
      <w:proofErr w:type="spellEnd"/>
      <w:r w:rsidRPr="005A7390">
        <w:rPr>
          <w:rFonts w:ascii="Times New Roman" w:hAnsi="Times New Roman" w:cs="Times New Roman"/>
          <w:sz w:val="20"/>
          <w:szCs w:val="20"/>
        </w:rPr>
        <w:t xml:space="preserve"> fistula in 39 patients (97.5%) and </w:t>
      </w:r>
      <w:proofErr w:type="spellStart"/>
      <w:r w:rsidRPr="005A7390">
        <w:rPr>
          <w:rFonts w:ascii="Times New Roman" w:hAnsi="Times New Roman" w:cs="Times New Roman"/>
          <w:sz w:val="20"/>
          <w:szCs w:val="20"/>
        </w:rPr>
        <w:t>Permicath</w:t>
      </w:r>
      <w:proofErr w:type="spellEnd"/>
      <w:r w:rsidRPr="005A7390">
        <w:rPr>
          <w:rFonts w:ascii="Times New Roman" w:hAnsi="Times New Roman" w:cs="Times New Roman"/>
          <w:sz w:val="20"/>
          <w:szCs w:val="20"/>
        </w:rPr>
        <w:t xml:space="preserve"> in 1 patient (2.5%), 30 patients (75%) had taken blood transfusion, With average number of transfusion (</w:t>
      </w:r>
      <w:proofErr w:type="spellStart"/>
      <w:r w:rsidRPr="005A7390">
        <w:rPr>
          <w:rFonts w:ascii="Times New Roman" w:hAnsi="Times New Roman" w:cs="Times New Roman"/>
          <w:sz w:val="20"/>
          <w:szCs w:val="20"/>
        </w:rPr>
        <w:t>mean</w:t>
      </w:r>
      <w:r w:rsidRPr="005A7390">
        <w:rPr>
          <w:rFonts w:ascii="Times New Roman" w:eastAsia="Calibri" w:hAnsi="Times New Roman" w:cs="Times New Roman"/>
          <w:sz w:val="20"/>
          <w:szCs w:val="20"/>
          <w:lang w:bidi="ar-EG"/>
        </w:rPr>
        <w:t>±</w:t>
      </w:r>
      <w:r w:rsidRPr="005A7390">
        <w:rPr>
          <w:rFonts w:ascii="Times New Roman" w:hAnsi="Times New Roman" w:cs="Times New Roman"/>
          <w:sz w:val="20"/>
          <w:szCs w:val="20"/>
        </w:rPr>
        <w:t>SD</w:t>
      </w:r>
      <w:proofErr w:type="spellEnd"/>
      <w:r w:rsidRPr="005A7390">
        <w:rPr>
          <w:rFonts w:ascii="Times New Roman" w:hAnsi="Times New Roman" w:cs="Times New Roman"/>
          <w:sz w:val="20"/>
          <w:szCs w:val="20"/>
        </w:rPr>
        <w:t xml:space="preserve"> = 1.48</w:t>
      </w:r>
      <w:r w:rsidRPr="005A7390">
        <w:rPr>
          <w:rFonts w:ascii="Times New Roman" w:eastAsia="Calibri" w:hAnsi="Times New Roman" w:cs="Times New Roman"/>
          <w:sz w:val="20"/>
          <w:szCs w:val="20"/>
          <w:lang w:bidi="ar-EG"/>
        </w:rPr>
        <w:t>±1.40</w:t>
      </w:r>
      <w:r w:rsidRPr="005A7390">
        <w:rPr>
          <w:rFonts w:ascii="Times New Roman" w:hAnsi="Times New Roman" w:cs="Times New Roman"/>
          <w:sz w:val="20"/>
          <w:szCs w:val="20"/>
        </w:rPr>
        <w:t>),</w:t>
      </w:r>
      <w:r w:rsidR="00030DDA">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With average duration between each blood transfusion (</w:t>
      </w:r>
      <w:proofErr w:type="spellStart"/>
      <w:r w:rsidRPr="005A7390">
        <w:rPr>
          <w:rFonts w:ascii="Times New Roman" w:hAnsi="Times New Roman" w:cs="Times New Roman"/>
          <w:sz w:val="20"/>
          <w:szCs w:val="20"/>
        </w:rPr>
        <w:t>mean</w:t>
      </w:r>
      <w:r w:rsidRPr="005A7390">
        <w:rPr>
          <w:rFonts w:ascii="Times New Roman" w:eastAsia="Calibri" w:hAnsi="Times New Roman" w:cs="Times New Roman"/>
          <w:sz w:val="20"/>
          <w:szCs w:val="20"/>
          <w:lang w:bidi="ar-EG"/>
        </w:rPr>
        <w:t>±</w:t>
      </w:r>
      <w:r w:rsidRPr="005A7390">
        <w:rPr>
          <w:rFonts w:ascii="Times New Roman" w:hAnsi="Times New Roman" w:cs="Times New Roman"/>
          <w:sz w:val="20"/>
          <w:szCs w:val="20"/>
        </w:rPr>
        <w:t>SD</w:t>
      </w:r>
      <w:proofErr w:type="spellEnd"/>
      <w:r w:rsidRPr="005A7390">
        <w:rPr>
          <w:rFonts w:ascii="Times New Roman" w:hAnsi="Times New Roman" w:cs="Times New Roman"/>
          <w:sz w:val="20"/>
          <w:szCs w:val="20"/>
        </w:rPr>
        <w:t xml:space="preserve"> = 27.18</w:t>
      </w:r>
      <w:r w:rsidRPr="005A7390">
        <w:rPr>
          <w:rFonts w:ascii="Times New Roman" w:eastAsia="Calibri" w:hAnsi="Times New Roman" w:cs="Times New Roman"/>
          <w:sz w:val="20"/>
          <w:szCs w:val="20"/>
          <w:lang w:bidi="ar-EG"/>
        </w:rPr>
        <w:t>±24.21</w:t>
      </w:r>
      <w:r w:rsidRPr="005A7390">
        <w:rPr>
          <w:rFonts w:ascii="Times New Roman" w:hAnsi="Times New Roman" w:cs="Times New Roman"/>
          <w:sz w:val="20"/>
          <w:szCs w:val="20"/>
        </w:rPr>
        <w:t xml:space="preserve"> months), While the remaining 10 patients (25%) hadn't taken blood transfusion.</w:t>
      </w:r>
    </w:p>
    <w:p w:rsidR="00664C43" w:rsidRPr="005A7390" w:rsidRDefault="00664C43"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A7390">
        <w:rPr>
          <w:rFonts w:ascii="Times New Roman" w:hAnsi="Times New Roman" w:cs="Times New Roman"/>
          <w:sz w:val="20"/>
          <w:szCs w:val="20"/>
        </w:rPr>
        <w:t>Control group gender in our study are 10 patients male (33.3%) and 20 patients female (66.7%), Of average age (</w:t>
      </w:r>
      <w:proofErr w:type="spellStart"/>
      <w:r w:rsidRPr="005A7390">
        <w:rPr>
          <w:rFonts w:ascii="Times New Roman" w:hAnsi="Times New Roman" w:cs="Times New Roman"/>
          <w:sz w:val="20"/>
          <w:szCs w:val="20"/>
        </w:rPr>
        <w:t>mean</w:t>
      </w:r>
      <w:r w:rsidRPr="005A7390">
        <w:rPr>
          <w:rFonts w:ascii="Times New Roman" w:eastAsia="Calibri" w:hAnsi="Times New Roman" w:cs="Times New Roman"/>
          <w:sz w:val="20"/>
          <w:szCs w:val="20"/>
          <w:lang w:bidi="ar-EG"/>
        </w:rPr>
        <w:t>±</w:t>
      </w:r>
      <w:r w:rsidRPr="005A7390">
        <w:rPr>
          <w:rFonts w:ascii="Times New Roman" w:hAnsi="Times New Roman" w:cs="Times New Roman"/>
          <w:sz w:val="20"/>
          <w:szCs w:val="20"/>
        </w:rPr>
        <w:t>SD</w:t>
      </w:r>
      <w:proofErr w:type="spellEnd"/>
      <w:r w:rsidRPr="005A7390">
        <w:rPr>
          <w:rFonts w:ascii="Times New Roman" w:hAnsi="Times New Roman" w:cs="Times New Roman"/>
          <w:sz w:val="20"/>
          <w:szCs w:val="20"/>
        </w:rPr>
        <w:t xml:space="preserve"> = 47.90</w:t>
      </w:r>
      <w:r w:rsidRPr="005A7390">
        <w:rPr>
          <w:rFonts w:ascii="Times New Roman" w:eastAsia="Calibri" w:hAnsi="Times New Roman" w:cs="Times New Roman"/>
          <w:sz w:val="20"/>
          <w:szCs w:val="20"/>
          <w:lang w:bidi="ar-EG"/>
        </w:rPr>
        <w:t>±15.18</w:t>
      </w:r>
      <w:r w:rsidRPr="005A7390">
        <w:rPr>
          <w:rFonts w:ascii="Times New Roman" w:hAnsi="Times New Roman" w:cs="Times New Roman"/>
          <w:sz w:val="20"/>
          <w:szCs w:val="20"/>
        </w:rPr>
        <w:t xml:space="preserve"> years), Most of them were on long term HD (</w:t>
      </w:r>
      <w:proofErr w:type="spellStart"/>
      <w:r w:rsidRPr="005A7390">
        <w:rPr>
          <w:rFonts w:ascii="Times New Roman" w:hAnsi="Times New Roman" w:cs="Times New Roman"/>
          <w:sz w:val="20"/>
          <w:szCs w:val="20"/>
        </w:rPr>
        <w:t>mean</w:t>
      </w:r>
      <w:r w:rsidRPr="005A7390">
        <w:rPr>
          <w:rFonts w:ascii="Times New Roman" w:eastAsia="Calibri" w:hAnsi="Times New Roman" w:cs="Times New Roman"/>
          <w:sz w:val="20"/>
          <w:szCs w:val="20"/>
          <w:lang w:bidi="ar-EG"/>
        </w:rPr>
        <w:t>±</w:t>
      </w:r>
      <w:r w:rsidRPr="005A7390">
        <w:rPr>
          <w:rFonts w:ascii="Times New Roman" w:hAnsi="Times New Roman" w:cs="Times New Roman"/>
          <w:sz w:val="20"/>
          <w:szCs w:val="20"/>
        </w:rPr>
        <w:t>SD</w:t>
      </w:r>
      <w:proofErr w:type="spellEnd"/>
      <w:r w:rsidRPr="005A7390">
        <w:rPr>
          <w:rFonts w:ascii="Times New Roman" w:hAnsi="Times New Roman" w:cs="Times New Roman"/>
          <w:sz w:val="20"/>
          <w:szCs w:val="20"/>
        </w:rPr>
        <w:t xml:space="preserve"> = 7.37</w:t>
      </w:r>
      <w:r w:rsidRPr="005A7390">
        <w:rPr>
          <w:rFonts w:ascii="Times New Roman" w:eastAsia="Calibri" w:hAnsi="Times New Roman" w:cs="Times New Roman"/>
          <w:sz w:val="20"/>
          <w:szCs w:val="20"/>
          <w:lang w:bidi="ar-EG"/>
        </w:rPr>
        <w:t>±3.44</w:t>
      </w:r>
      <w:r w:rsidRPr="005A7390">
        <w:rPr>
          <w:rFonts w:ascii="Times New Roman" w:hAnsi="Times New Roman" w:cs="Times New Roman"/>
          <w:sz w:val="20"/>
          <w:szCs w:val="20"/>
        </w:rPr>
        <w:t xml:space="preserve"> years), 24,4 and 8 patients of them (80%, 13.3% and 26.7%) are hypertensive, diabetic and ischemic respectively, The remaining 6, 26 and 22 patients (20%, 86.7% and 73.3%) are not hypertensive, diabetic or ischemic respectively, </w:t>
      </w:r>
      <w:r w:rsidR="00F3098B" w:rsidRPr="005A7390">
        <w:rPr>
          <w:rFonts w:ascii="Times New Roman" w:hAnsi="Times New Roman" w:cs="Times New Roman"/>
          <w:sz w:val="20"/>
          <w:szCs w:val="20"/>
        </w:rPr>
        <w:t>Access</w:t>
      </w:r>
      <w:r w:rsidRPr="005A7390">
        <w:rPr>
          <w:rFonts w:ascii="Times New Roman" w:hAnsi="Times New Roman" w:cs="Times New Roman"/>
          <w:sz w:val="20"/>
          <w:szCs w:val="20"/>
        </w:rPr>
        <w:t xml:space="preserve"> of HD is </w:t>
      </w:r>
      <w:proofErr w:type="spellStart"/>
      <w:r w:rsidRPr="005A7390">
        <w:rPr>
          <w:rFonts w:ascii="Times New Roman" w:hAnsi="Times New Roman" w:cs="Times New Roman"/>
          <w:sz w:val="20"/>
          <w:szCs w:val="20"/>
        </w:rPr>
        <w:t>Arteriovenous</w:t>
      </w:r>
      <w:proofErr w:type="spellEnd"/>
      <w:r w:rsidRPr="005A7390">
        <w:rPr>
          <w:rFonts w:ascii="Times New Roman" w:hAnsi="Times New Roman" w:cs="Times New Roman"/>
          <w:sz w:val="20"/>
          <w:szCs w:val="20"/>
        </w:rPr>
        <w:t xml:space="preserve"> fistula in 28 patients (93.3%) and </w:t>
      </w:r>
      <w:proofErr w:type="spellStart"/>
      <w:r w:rsidRPr="005A7390">
        <w:rPr>
          <w:rFonts w:ascii="Times New Roman" w:hAnsi="Times New Roman" w:cs="Times New Roman"/>
          <w:sz w:val="20"/>
          <w:szCs w:val="20"/>
        </w:rPr>
        <w:t>Permicath</w:t>
      </w:r>
      <w:proofErr w:type="spellEnd"/>
      <w:r w:rsidRPr="005A7390">
        <w:rPr>
          <w:rFonts w:ascii="Times New Roman" w:hAnsi="Times New Roman" w:cs="Times New Roman"/>
          <w:sz w:val="20"/>
          <w:szCs w:val="20"/>
        </w:rPr>
        <w:t xml:space="preserve"> in 2 patient (6.7%), 18 patients (60%) had taken blood transfusion, With average number of transfusion (mean</w:t>
      </w:r>
      <w:r w:rsidR="00F3098B" w:rsidRPr="005A7390">
        <w:rPr>
          <w:rFonts w:ascii="Times New Roman" w:hAnsi="Times New Roman" w:cs="Times New Roman"/>
          <w:sz w:val="20"/>
          <w:szCs w:val="20"/>
        </w:rPr>
        <w:t xml:space="preserve"> </w:t>
      </w:r>
      <w:r w:rsidRPr="005A7390">
        <w:rPr>
          <w:rFonts w:ascii="Times New Roman" w:eastAsia="Calibri" w:hAnsi="Times New Roman" w:cs="Times New Roman"/>
          <w:sz w:val="20"/>
          <w:szCs w:val="20"/>
          <w:lang w:bidi="ar-EG"/>
        </w:rPr>
        <w:t>±</w:t>
      </w:r>
      <w:r w:rsidR="00F3098B" w:rsidRPr="005A7390">
        <w:rPr>
          <w:rFonts w:ascii="Times New Roman" w:eastAsia="Calibri" w:hAnsi="Times New Roman" w:cs="Times New Roman"/>
          <w:sz w:val="20"/>
          <w:szCs w:val="20"/>
          <w:lang w:bidi="ar-EG"/>
        </w:rPr>
        <w:t xml:space="preserve"> </w:t>
      </w:r>
      <w:r w:rsidRPr="005A7390">
        <w:rPr>
          <w:rFonts w:ascii="Times New Roman" w:hAnsi="Times New Roman" w:cs="Times New Roman"/>
          <w:sz w:val="20"/>
          <w:szCs w:val="20"/>
        </w:rPr>
        <w:t>SD = 1.07</w:t>
      </w:r>
      <w:r w:rsidRPr="005A7390">
        <w:rPr>
          <w:rFonts w:ascii="Times New Roman" w:eastAsia="Calibri" w:hAnsi="Times New Roman" w:cs="Times New Roman"/>
          <w:sz w:val="20"/>
          <w:szCs w:val="20"/>
          <w:lang w:bidi="ar-EG"/>
        </w:rPr>
        <w:t>±1.17</w:t>
      </w:r>
      <w:r w:rsidRPr="005A7390">
        <w:rPr>
          <w:rFonts w:ascii="Times New Roman" w:hAnsi="Times New Roman" w:cs="Times New Roman"/>
          <w:sz w:val="20"/>
          <w:szCs w:val="20"/>
        </w:rPr>
        <w:t>), With average duration between each blood transfusion (mean</w:t>
      </w:r>
      <w:r w:rsidR="00F3098B" w:rsidRPr="005A7390">
        <w:rPr>
          <w:rFonts w:ascii="Times New Roman" w:hAnsi="Times New Roman" w:cs="Times New Roman"/>
          <w:sz w:val="20"/>
          <w:szCs w:val="20"/>
        </w:rPr>
        <w:t xml:space="preserve"> </w:t>
      </w:r>
      <w:r w:rsidRPr="005A7390">
        <w:rPr>
          <w:rFonts w:ascii="Times New Roman" w:eastAsia="Calibri" w:hAnsi="Times New Roman" w:cs="Times New Roman"/>
          <w:sz w:val="20"/>
          <w:szCs w:val="20"/>
          <w:lang w:bidi="ar-EG"/>
        </w:rPr>
        <w:t>±</w:t>
      </w:r>
      <w:r w:rsidR="00F3098B" w:rsidRPr="005A7390">
        <w:rPr>
          <w:rFonts w:ascii="Times New Roman" w:eastAsia="Calibri" w:hAnsi="Times New Roman" w:cs="Times New Roman"/>
          <w:sz w:val="20"/>
          <w:szCs w:val="20"/>
          <w:lang w:bidi="ar-EG"/>
        </w:rPr>
        <w:t xml:space="preserve"> </w:t>
      </w:r>
      <w:r w:rsidRPr="005A7390">
        <w:rPr>
          <w:rFonts w:ascii="Times New Roman" w:hAnsi="Times New Roman" w:cs="Times New Roman"/>
          <w:sz w:val="20"/>
          <w:szCs w:val="20"/>
        </w:rPr>
        <w:t>SD = 11.90</w:t>
      </w:r>
      <w:r w:rsidRPr="005A7390">
        <w:rPr>
          <w:rFonts w:ascii="Times New Roman" w:eastAsia="Calibri" w:hAnsi="Times New Roman" w:cs="Times New Roman"/>
          <w:sz w:val="20"/>
          <w:szCs w:val="20"/>
          <w:lang w:bidi="ar-EG"/>
        </w:rPr>
        <w:t>±13.65</w:t>
      </w:r>
      <w:r w:rsidRPr="005A7390">
        <w:rPr>
          <w:rFonts w:ascii="Times New Roman" w:hAnsi="Times New Roman" w:cs="Times New Roman"/>
          <w:sz w:val="20"/>
          <w:szCs w:val="20"/>
        </w:rPr>
        <w:t xml:space="preserve"> months), While the remaining 12 patients (40%) hadn't taken blood transfusion.</w:t>
      </w:r>
    </w:p>
    <w:p w:rsidR="00766539" w:rsidRPr="005A7390" w:rsidRDefault="00766539" w:rsidP="00030DDA">
      <w:pPr>
        <w:bidi w:val="0"/>
        <w:adjustRightInd w:val="0"/>
        <w:snapToGrid w:val="0"/>
        <w:spacing w:after="0" w:line="240" w:lineRule="auto"/>
        <w:ind w:firstLine="425"/>
        <w:jc w:val="both"/>
        <w:rPr>
          <w:rFonts w:ascii="Times New Roman" w:hAnsi="Times New Roman" w:cs="Times New Roman"/>
          <w:sz w:val="20"/>
          <w:szCs w:val="20"/>
          <w:lang w:bidi="ar-EG"/>
        </w:rPr>
        <w:sectPr w:rsidR="00766539" w:rsidRPr="005A7390" w:rsidSect="005A7390">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766539" w:rsidRPr="005A7390" w:rsidRDefault="00766539" w:rsidP="00030DDA">
      <w:pPr>
        <w:bidi w:val="0"/>
        <w:adjustRightInd w:val="0"/>
        <w:snapToGrid w:val="0"/>
        <w:spacing w:after="0" w:line="240" w:lineRule="auto"/>
        <w:rPr>
          <w:rFonts w:ascii="Times New Roman" w:hAnsi="Times New Roman" w:cs="Times New Roman"/>
          <w:b/>
          <w:bCs/>
          <w:sz w:val="20"/>
          <w:szCs w:val="20"/>
        </w:rPr>
      </w:pPr>
    </w:p>
    <w:p w:rsidR="00F17BF5" w:rsidRDefault="00F17BF5" w:rsidP="00F17BF5">
      <w:pPr>
        <w:bidi w:val="0"/>
        <w:adjustRightInd w:val="0"/>
        <w:snapToGrid w:val="0"/>
        <w:spacing w:after="0" w:line="240" w:lineRule="auto"/>
        <w:jc w:val="center"/>
        <w:rPr>
          <w:rFonts w:ascii="Times New Roman" w:hAnsi="Times New Roman" w:cs="Times New Roman" w:hint="eastAsia"/>
          <w:b/>
          <w:bCs/>
          <w:sz w:val="20"/>
          <w:szCs w:val="20"/>
          <w:lang w:eastAsia="zh-CN"/>
        </w:rPr>
      </w:pPr>
    </w:p>
    <w:p w:rsidR="00C971BA" w:rsidRPr="005A7390" w:rsidRDefault="00D2502C" w:rsidP="00F17BF5">
      <w:pPr>
        <w:bidi w:val="0"/>
        <w:adjustRightInd w:val="0"/>
        <w:snapToGrid w:val="0"/>
        <w:spacing w:after="0" w:line="240" w:lineRule="auto"/>
        <w:jc w:val="center"/>
        <w:rPr>
          <w:rFonts w:ascii="Times New Roman" w:hAnsi="Times New Roman" w:cs="Times New Roman"/>
          <w:sz w:val="20"/>
          <w:szCs w:val="20"/>
          <w:lang w:bidi="ar-EG"/>
        </w:rPr>
      </w:pPr>
      <w:r w:rsidRPr="005A7390">
        <w:rPr>
          <w:rFonts w:ascii="Times New Roman" w:hAnsi="Times New Roman" w:cs="Times New Roman"/>
          <w:b/>
          <w:bCs/>
          <w:sz w:val="20"/>
          <w:szCs w:val="20"/>
        </w:rPr>
        <w:t>Table (1</w:t>
      </w:r>
      <w:r w:rsidR="00C971BA" w:rsidRPr="005A7390">
        <w:rPr>
          <w:rFonts w:ascii="Times New Roman" w:hAnsi="Times New Roman" w:cs="Times New Roman"/>
          <w:b/>
          <w:bCs/>
          <w:sz w:val="20"/>
          <w:szCs w:val="20"/>
        </w:rPr>
        <w:t>):</w:t>
      </w:r>
      <w:r w:rsidR="00C971BA" w:rsidRPr="005A7390">
        <w:rPr>
          <w:rFonts w:ascii="Times New Roman" w:hAnsi="Times New Roman" w:cs="Times New Roman"/>
          <w:sz w:val="20"/>
          <w:szCs w:val="20"/>
        </w:rPr>
        <w:t xml:space="preserve"> Demographic </w:t>
      </w:r>
      <w:proofErr w:type="spellStart"/>
      <w:r w:rsidR="00C971BA" w:rsidRPr="005A7390">
        <w:rPr>
          <w:rFonts w:ascii="Times New Roman" w:hAnsi="Times New Roman" w:cs="Times New Roman"/>
          <w:sz w:val="20"/>
          <w:szCs w:val="20"/>
        </w:rPr>
        <w:t>dataof</w:t>
      </w:r>
      <w:proofErr w:type="spellEnd"/>
      <w:r w:rsidR="00C971BA" w:rsidRPr="005A7390">
        <w:rPr>
          <w:rFonts w:ascii="Times New Roman" w:hAnsi="Times New Roman" w:cs="Times New Roman"/>
          <w:sz w:val="20"/>
          <w:szCs w:val="20"/>
        </w:rPr>
        <w:t xml:space="preserve"> the studied patients</w:t>
      </w:r>
      <w:r w:rsidR="00C971BA" w:rsidRPr="005A7390">
        <w:rPr>
          <w:rFonts w:ascii="Times New Roman" w:hAnsi="Times New Roman" w:cs="Times New Roman"/>
          <w:sz w:val="20"/>
          <w:szCs w:val="20"/>
          <w:lang w:bidi="ar-EG"/>
        </w:rPr>
        <w:t>.</w:t>
      </w:r>
    </w:p>
    <w:tbl>
      <w:tblPr>
        <w:tblStyle w:val="TableGrid1"/>
        <w:tblW w:w="4865" w:type="pct"/>
        <w:jc w:val="center"/>
        <w:tblLook w:val="04A0"/>
      </w:tblPr>
      <w:tblGrid>
        <w:gridCol w:w="3310"/>
        <w:gridCol w:w="2635"/>
        <w:gridCol w:w="2137"/>
        <w:gridCol w:w="1235"/>
      </w:tblGrid>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Parameter</w:t>
            </w:r>
          </w:p>
        </w:tc>
        <w:tc>
          <w:tcPr>
            <w:tcW w:w="1414"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ESRD Patients without HCV (Control group)</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(n=30)</w:t>
            </w:r>
          </w:p>
        </w:tc>
        <w:tc>
          <w:tcPr>
            <w:tcW w:w="1147"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ESRD Patients with HCV (Patient group)</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(n=40)</w:t>
            </w:r>
          </w:p>
        </w:tc>
        <w:tc>
          <w:tcPr>
            <w:tcW w:w="664"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w:t>
            </w:r>
          </w:p>
        </w:tc>
      </w:tr>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pStyle w:val="ListParagraph"/>
              <w:numPr>
                <w:ilvl w:val="0"/>
                <w:numId w:val="7"/>
              </w:numPr>
              <w:bidi w:val="0"/>
              <w:adjustRightInd w:val="0"/>
              <w:snapToGrid w:val="0"/>
              <w:ind w:left="0" w:firstLine="0"/>
              <w:contextualSpacing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Gender:</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Male: Number (%)</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Female: Number (%)</w:t>
            </w:r>
          </w:p>
        </w:tc>
        <w:tc>
          <w:tcPr>
            <w:tcW w:w="141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10 (33.3%)</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20 (66.7%)</w:t>
            </w:r>
          </w:p>
        </w:tc>
        <w:tc>
          <w:tcPr>
            <w:tcW w:w="1147"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22 (55%)</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18 (45%)</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0.072</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Statistical test: Chi square test (</w:t>
            </w:r>
            <w:r w:rsidRPr="00030DDA">
              <w:rPr>
                <w:rFonts w:ascii="Times New Roman" w:hAnsi="Times New Roman" w:cs="Times New Roman"/>
                <w:i/>
                <w:iCs/>
                <w:color w:val="000000"/>
                <w:sz w:val="19"/>
                <w:szCs w:val="19"/>
                <w:lang w:bidi="ar-EG"/>
              </w:rPr>
              <w:t>x2</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 &gt;0.05: non-significant.</w:t>
            </w:r>
          </w:p>
        </w:tc>
      </w:tr>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pStyle w:val="ListParagraph"/>
              <w:numPr>
                <w:ilvl w:val="0"/>
                <w:numId w:val="7"/>
              </w:numPr>
              <w:bidi w:val="0"/>
              <w:adjustRightInd w:val="0"/>
              <w:snapToGrid w:val="0"/>
              <w:ind w:left="0" w:firstLine="0"/>
              <w:contextualSpacing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Age (years):</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roofErr w:type="spellStart"/>
            <w:r w:rsidRPr="00030DDA">
              <w:rPr>
                <w:rFonts w:ascii="Times New Roman" w:hAnsi="Times New Roman" w:cs="Times New Roman"/>
                <w:color w:val="000000"/>
                <w:sz w:val="19"/>
                <w:szCs w:val="19"/>
                <w:lang w:bidi="ar-EG"/>
              </w:rPr>
              <w:t>Mean±SD</w:t>
            </w:r>
            <w:proofErr w:type="spellEnd"/>
          </w:p>
        </w:tc>
        <w:tc>
          <w:tcPr>
            <w:tcW w:w="141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47.90±15.18</w:t>
            </w:r>
          </w:p>
        </w:tc>
        <w:tc>
          <w:tcPr>
            <w:tcW w:w="1147"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46.98±15.62</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0.805</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A487C"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 xml:space="preserve">Statistical test: </w:t>
            </w:r>
            <w:r w:rsidRPr="00030DDA">
              <w:rPr>
                <w:rFonts w:ascii="Times New Roman" w:hAnsi="Times New Roman" w:cs="Times New Roman"/>
                <w:color w:val="000000"/>
                <w:sz w:val="19"/>
                <w:szCs w:val="19"/>
                <w:lang w:eastAsia="ar-SA"/>
              </w:rPr>
              <w:t>Independent-samples t-test</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001A487C" w:rsidRPr="00030DDA">
              <w:rPr>
                <w:rFonts w:ascii="Times New Roman" w:hAnsi="Times New Roman" w:cs="Times New Roman"/>
                <w:color w:val="000000"/>
                <w:sz w:val="19"/>
                <w:szCs w:val="19"/>
                <w:lang w:bidi="ar-EG"/>
              </w:rPr>
              <w:t>-value &gt;0.05: non</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roofErr w:type="gramStart"/>
            <w:r w:rsidRPr="00030DDA">
              <w:rPr>
                <w:rFonts w:ascii="Times New Roman" w:hAnsi="Times New Roman" w:cs="Times New Roman"/>
                <w:color w:val="000000"/>
                <w:sz w:val="19"/>
                <w:szCs w:val="19"/>
                <w:lang w:bidi="ar-EG"/>
              </w:rPr>
              <w:t>significant</w:t>
            </w:r>
            <w:proofErr w:type="gramEnd"/>
            <w:r w:rsidRPr="00030DDA">
              <w:rPr>
                <w:rFonts w:ascii="Times New Roman" w:hAnsi="Times New Roman" w:cs="Times New Roman"/>
                <w:color w:val="000000"/>
                <w:sz w:val="19"/>
                <w:szCs w:val="19"/>
                <w:lang w:bidi="ar-EG"/>
              </w:rPr>
              <w:t>.</w:t>
            </w:r>
          </w:p>
        </w:tc>
      </w:tr>
      <w:tr w:rsidR="00C971BA" w:rsidRPr="00030DDA" w:rsidTr="00664C43">
        <w:trPr>
          <w:trHeight w:val="606"/>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pStyle w:val="ListParagraph"/>
              <w:numPr>
                <w:ilvl w:val="0"/>
                <w:numId w:val="7"/>
              </w:numPr>
              <w:bidi w:val="0"/>
              <w:adjustRightInd w:val="0"/>
              <w:snapToGrid w:val="0"/>
              <w:ind w:left="0" w:firstLine="0"/>
              <w:contextualSpacing w:val="0"/>
              <w:jc w:val="both"/>
              <w:rPr>
                <w:rFonts w:ascii="Times New Roman" w:hAnsi="Times New Roman" w:cs="Times New Roman"/>
                <w:color w:val="000000"/>
                <w:sz w:val="19"/>
                <w:szCs w:val="19"/>
                <w:lang w:bidi="ar-EG"/>
              </w:rPr>
            </w:pPr>
            <w:proofErr w:type="spellStart"/>
            <w:r w:rsidRPr="00030DDA">
              <w:rPr>
                <w:rFonts w:ascii="Times New Roman" w:hAnsi="Times New Roman" w:cs="Times New Roman"/>
                <w:color w:val="000000"/>
                <w:sz w:val="19"/>
                <w:szCs w:val="19"/>
                <w:lang w:bidi="ar-EG"/>
              </w:rPr>
              <w:t>Comorbidities</w:t>
            </w:r>
            <w:proofErr w:type="spellEnd"/>
            <w:r w:rsidRPr="00030DDA">
              <w:rPr>
                <w:rFonts w:ascii="Times New Roman" w:hAnsi="Times New Roman" w:cs="Times New Roman"/>
                <w:color w:val="000000"/>
                <w:sz w:val="19"/>
                <w:szCs w:val="19"/>
                <w:lang w:bidi="ar-EG"/>
              </w:rPr>
              <w:t xml:space="preserve"> A)</w:t>
            </w:r>
            <w:r w:rsidR="005A7390" w:rsidRPr="00030DDA">
              <w:rPr>
                <w:rFonts w:ascii="Times New Roman" w:eastAsiaTheme="minorEastAsia" w:hAnsi="Times New Roman" w:cs="Times New Roman" w:hint="eastAsia"/>
                <w:color w:val="000000"/>
                <w:sz w:val="19"/>
                <w:szCs w:val="19"/>
                <w:lang w:eastAsia="zh-CN" w:bidi="ar-EG"/>
              </w:rPr>
              <w:t xml:space="preserve"> </w:t>
            </w:r>
            <w:r w:rsidRPr="00030DDA">
              <w:rPr>
                <w:rFonts w:ascii="Times New Roman" w:hAnsi="Times New Roman" w:cs="Times New Roman"/>
                <w:color w:val="000000"/>
                <w:sz w:val="19"/>
                <w:szCs w:val="19"/>
                <w:lang w:bidi="ar-EG"/>
              </w:rPr>
              <w:t>HTN:</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Yes: Number (%)</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No: Number (%)</w:t>
            </w:r>
          </w:p>
        </w:tc>
        <w:tc>
          <w:tcPr>
            <w:tcW w:w="141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24 (80%)</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6 (20%)</w:t>
            </w:r>
          </w:p>
        </w:tc>
        <w:tc>
          <w:tcPr>
            <w:tcW w:w="1147"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35 (87.5%)</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5 (12.5%)</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0.394</w:t>
            </w:r>
          </w:p>
        </w:tc>
      </w:tr>
      <w:tr w:rsidR="00C971BA" w:rsidRPr="00030DDA" w:rsidTr="00664C43">
        <w:trPr>
          <w:trHeight w:val="70"/>
          <w:jc w:val="center"/>
        </w:trPr>
        <w:tc>
          <w:tcPr>
            <w:tcW w:w="1776" w:type="pct"/>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B)</w:t>
            </w:r>
            <w:r w:rsidR="00030DDA">
              <w:rPr>
                <w:rFonts w:ascii="Times New Roman" w:eastAsiaTheme="minorEastAsia" w:hAnsi="Times New Roman" w:cs="Times New Roman" w:hint="eastAsia"/>
                <w:color w:val="000000"/>
                <w:sz w:val="19"/>
                <w:szCs w:val="19"/>
                <w:lang w:eastAsia="zh-CN" w:bidi="ar-EG"/>
              </w:rPr>
              <w:t xml:space="preserve"> </w:t>
            </w:r>
            <w:r w:rsidRPr="00030DDA">
              <w:rPr>
                <w:rFonts w:ascii="Times New Roman" w:hAnsi="Times New Roman" w:cs="Times New Roman"/>
                <w:color w:val="000000"/>
                <w:sz w:val="19"/>
                <w:szCs w:val="19"/>
                <w:lang w:bidi="ar-EG"/>
              </w:rPr>
              <w:t>DM:</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Yes: Number (%)</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No: Number (%)</w:t>
            </w:r>
          </w:p>
        </w:tc>
        <w:tc>
          <w:tcPr>
            <w:tcW w:w="1414" w:type="pct"/>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4 (13.3%)</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26 (86.7%)</w:t>
            </w:r>
          </w:p>
        </w:tc>
        <w:tc>
          <w:tcPr>
            <w:tcW w:w="1147" w:type="pct"/>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7 (17.5%)</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33 (82.5%)</w:t>
            </w:r>
          </w:p>
        </w:tc>
        <w:tc>
          <w:tcPr>
            <w:tcW w:w="664" w:type="pct"/>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0.635</w:t>
            </w:r>
          </w:p>
        </w:tc>
      </w:tr>
      <w:tr w:rsidR="00C971BA" w:rsidRPr="00030DDA" w:rsidTr="00664C43">
        <w:trPr>
          <w:trHeight w:val="113"/>
          <w:jc w:val="center"/>
        </w:trPr>
        <w:tc>
          <w:tcPr>
            <w:tcW w:w="1776" w:type="pct"/>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C)</w:t>
            </w:r>
            <w:r w:rsidR="00030DDA">
              <w:rPr>
                <w:rFonts w:ascii="Times New Roman" w:eastAsiaTheme="minorEastAsia" w:hAnsi="Times New Roman" w:cs="Times New Roman" w:hint="eastAsia"/>
                <w:color w:val="000000"/>
                <w:sz w:val="19"/>
                <w:szCs w:val="19"/>
                <w:lang w:eastAsia="zh-CN" w:bidi="ar-EG"/>
              </w:rPr>
              <w:t xml:space="preserve"> </w:t>
            </w:r>
            <w:r w:rsidRPr="00030DDA">
              <w:rPr>
                <w:rFonts w:ascii="Times New Roman" w:hAnsi="Times New Roman" w:cs="Times New Roman"/>
                <w:color w:val="000000"/>
                <w:sz w:val="19"/>
                <w:szCs w:val="19"/>
                <w:lang w:bidi="ar-EG"/>
              </w:rPr>
              <w:t>IHD:</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Yes: Number (%)</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No: Number (%)</w:t>
            </w:r>
          </w:p>
        </w:tc>
        <w:tc>
          <w:tcPr>
            <w:tcW w:w="1414" w:type="pct"/>
            <w:vAlign w:val="center"/>
          </w:tcPr>
          <w:p w:rsidR="00D806A5" w:rsidRPr="00030DDA" w:rsidRDefault="00D806A5"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8 (26.7%)</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22 (73.3%)</w:t>
            </w:r>
          </w:p>
        </w:tc>
        <w:tc>
          <w:tcPr>
            <w:tcW w:w="1147" w:type="pct"/>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13 (32.5%)</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27 (67.5%)</w:t>
            </w:r>
          </w:p>
        </w:tc>
        <w:tc>
          <w:tcPr>
            <w:tcW w:w="664" w:type="pct"/>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0.598</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1016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Statistical test: Chi square test (</w:t>
            </w:r>
            <w:r w:rsidRPr="00030DDA">
              <w:rPr>
                <w:rFonts w:ascii="Times New Roman" w:hAnsi="Times New Roman" w:cs="Times New Roman"/>
                <w:i/>
                <w:iCs/>
                <w:color w:val="000000"/>
                <w:sz w:val="19"/>
                <w:szCs w:val="19"/>
                <w:lang w:bidi="ar-EG"/>
              </w:rPr>
              <w:t>x2</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 &gt;0.05: non-significant.</w:t>
            </w:r>
          </w:p>
        </w:tc>
      </w:tr>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4) HD duration (years):</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roofErr w:type="spellStart"/>
            <w:r w:rsidRPr="00030DDA">
              <w:rPr>
                <w:rFonts w:ascii="Times New Roman" w:hAnsi="Times New Roman" w:cs="Times New Roman"/>
                <w:color w:val="000000"/>
                <w:sz w:val="19"/>
                <w:szCs w:val="19"/>
                <w:lang w:bidi="ar-EG"/>
              </w:rPr>
              <w:t>Mean±SD</w:t>
            </w:r>
            <w:proofErr w:type="spellEnd"/>
          </w:p>
        </w:tc>
        <w:tc>
          <w:tcPr>
            <w:tcW w:w="141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7.37±3.44</w:t>
            </w:r>
          </w:p>
        </w:tc>
        <w:tc>
          <w:tcPr>
            <w:tcW w:w="1147"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7.83±3.49</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0.673</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2502C"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 xml:space="preserve">Statistical test: </w:t>
            </w:r>
            <w:r w:rsidRPr="00030DDA">
              <w:rPr>
                <w:rFonts w:ascii="Times New Roman" w:hAnsi="Times New Roman" w:cs="Times New Roman"/>
                <w:color w:val="000000"/>
                <w:sz w:val="19"/>
                <w:szCs w:val="19"/>
                <w:lang w:eastAsia="ar-SA"/>
              </w:rPr>
              <w:t>Independent-samples t-test</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 &gt;0.05: non-significant.</w:t>
            </w:r>
          </w:p>
        </w:tc>
      </w:tr>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pStyle w:val="ListParagraph"/>
              <w:numPr>
                <w:ilvl w:val="0"/>
                <w:numId w:val="8"/>
              </w:numPr>
              <w:bidi w:val="0"/>
              <w:adjustRightInd w:val="0"/>
              <w:snapToGrid w:val="0"/>
              <w:ind w:left="0" w:firstLine="0"/>
              <w:contextualSpacing w:val="0"/>
              <w:jc w:val="both"/>
              <w:rPr>
                <w:rFonts w:ascii="Times New Roman" w:hAnsi="Times New Roman" w:cs="Times New Roman"/>
                <w:color w:val="000000"/>
                <w:sz w:val="19"/>
                <w:szCs w:val="19"/>
                <w:lang w:bidi="ar-EG"/>
              </w:rPr>
            </w:pPr>
            <w:proofErr w:type="spellStart"/>
            <w:r w:rsidRPr="00030DDA">
              <w:rPr>
                <w:rFonts w:ascii="Times New Roman" w:hAnsi="Times New Roman" w:cs="Times New Roman"/>
                <w:color w:val="000000"/>
                <w:sz w:val="19"/>
                <w:szCs w:val="19"/>
                <w:lang w:bidi="ar-EG"/>
              </w:rPr>
              <w:t>Acess</w:t>
            </w:r>
            <w:proofErr w:type="spellEnd"/>
            <w:r w:rsidRPr="00030DDA">
              <w:rPr>
                <w:rFonts w:ascii="Times New Roman" w:hAnsi="Times New Roman" w:cs="Times New Roman"/>
                <w:color w:val="000000"/>
                <w:sz w:val="19"/>
                <w:szCs w:val="19"/>
                <w:lang w:bidi="ar-EG"/>
              </w:rPr>
              <w:t xml:space="preserve"> of HD:</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AVF: Number (%)</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roofErr w:type="spellStart"/>
            <w:r w:rsidRPr="00030DDA">
              <w:rPr>
                <w:rFonts w:ascii="Times New Roman" w:hAnsi="Times New Roman" w:cs="Times New Roman"/>
                <w:color w:val="000000"/>
                <w:sz w:val="19"/>
                <w:szCs w:val="19"/>
                <w:lang w:bidi="ar-EG"/>
              </w:rPr>
              <w:t>Permicath</w:t>
            </w:r>
            <w:proofErr w:type="spellEnd"/>
            <w:r w:rsidRPr="00030DDA">
              <w:rPr>
                <w:rFonts w:ascii="Times New Roman" w:hAnsi="Times New Roman" w:cs="Times New Roman"/>
                <w:color w:val="000000"/>
                <w:sz w:val="19"/>
                <w:szCs w:val="19"/>
                <w:lang w:bidi="ar-EG"/>
              </w:rPr>
              <w:t>: Number (%)</w:t>
            </w:r>
          </w:p>
        </w:tc>
        <w:tc>
          <w:tcPr>
            <w:tcW w:w="1414" w:type="pct"/>
            <w:tcBorders>
              <w:top w:val="single" w:sz="4" w:space="0" w:color="auto"/>
              <w:left w:val="single" w:sz="4" w:space="0" w:color="auto"/>
              <w:bottom w:val="single" w:sz="4" w:space="0" w:color="auto"/>
              <w:right w:val="single" w:sz="4" w:space="0" w:color="auto"/>
            </w:tcBorders>
            <w:vAlign w:val="center"/>
          </w:tcPr>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28 (93.3%)</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 (6.7%)</w:t>
            </w:r>
          </w:p>
        </w:tc>
        <w:tc>
          <w:tcPr>
            <w:tcW w:w="1147" w:type="pct"/>
            <w:tcBorders>
              <w:top w:val="single" w:sz="4" w:space="0" w:color="auto"/>
              <w:left w:val="single" w:sz="4" w:space="0" w:color="auto"/>
              <w:bottom w:val="single" w:sz="4" w:space="0" w:color="auto"/>
              <w:right w:val="single" w:sz="4" w:space="0" w:color="auto"/>
            </w:tcBorders>
            <w:vAlign w:val="center"/>
          </w:tcPr>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39 (97.5%)</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 (2.5%)</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0.394</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Statistical test: Chi square test (</w:t>
            </w:r>
            <w:r w:rsidRPr="00030DDA">
              <w:rPr>
                <w:rFonts w:ascii="Times New Roman" w:hAnsi="Times New Roman" w:cs="Times New Roman"/>
                <w:i/>
                <w:iCs/>
                <w:color w:val="000000"/>
                <w:sz w:val="19"/>
                <w:szCs w:val="19"/>
                <w:lang w:bidi="ar-EG"/>
              </w:rPr>
              <w:t>x2</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 &gt;0.05: non-significant.</w:t>
            </w:r>
          </w:p>
        </w:tc>
      </w:tr>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pStyle w:val="ListParagraph"/>
              <w:numPr>
                <w:ilvl w:val="0"/>
                <w:numId w:val="9"/>
              </w:numPr>
              <w:bidi w:val="0"/>
              <w:adjustRightInd w:val="0"/>
              <w:snapToGrid w:val="0"/>
              <w:ind w:left="0" w:firstLine="0"/>
              <w:contextualSpacing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Blood Transfusion:</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Yes: Number (%)</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No: Number (%)</w:t>
            </w:r>
          </w:p>
        </w:tc>
        <w:tc>
          <w:tcPr>
            <w:tcW w:w="1414" w:type="pct"/>
            <w:tcBorders>
              <w:top w:val="single" w:sz="4" w:space="0" w:color="auto"/>
              <w:left w:val="single" w:sz="4" w:space="0" w:color="auto"/>
              <w:bottom w:val="single" w:sz="4" w:space="0" w:color="auto"/>
              <w:right w:val="single" w:sz="4" w:space="0" w:color="auto"/>
            </w:tcBorders>
            <w:vAlign w:val="center"/>
          </w:tcPr>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18 (60%)</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12 (40%)</w:t>
            </w:r>
          </w:p>
        </w:tc>
        <w:tc>
          <w:tcPr>
            <w:tcW w:w="1147" w:type="pct"/>
            <w:tcBorders>
              <w:top w:val="single" w:sz="4" w:space="0" w:color="auto"/>
              <w:left w:val="single" w:sz="4" w:space="0" w:color="auto"/>
              <w:bottom w:val="single" w:sz="4" w:space="0" w:color="auto"/>
              <w:right w:val="single" w:sz="4" w:space="0" w:color="auto"/>
            </w:tcBorders>
            <w:vAlign w:val="center"/>
          </w:tcPr>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30 (75%)</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10 (25%)</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0.181</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Statistical test: Chi square test (</w:t>
            </w:r>
            <w:r w:rsidRPr="00030DDA">
              <w:rPr>
                <w:rFonts w:ascii="Times New Roman" w:hAnsi="Times New Roman" w:cs="Times New Roman"/>
                <w:i/>
                <w:iCs/>
                <w:color w:val="000000"/>
                <w:sz w:val="19"/>
                <w:szCs w:val="19"/>
                <w:lang w:bidi="ar-EG"/>
              </w:rPr>
              <w:t>x2</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 &gt;0.05: non-significant.</w:t>
            </w:r>
          </w:p>
        </w:tc>
      </w:tr>
      <w:tr w:rsidR="00C971BA" w:rsidRPr="00030DDA" w:rsidTr="00664C43">
        <w:trPr>
          <w:trHeight w:val="113"/>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C971BA" w:rsidRPr="00030DDA" w:rsidRDefault="00664C43" w:rsidP="00030DDA">
            <w:pPr>
              <w:pStyle w:val="ListParagraph"/>
              <w:bidi w:val="0"/>
              <w:adjustRightInd w:val="0"/>
              <w:snapToGrid w:val="0"/>
              <w:ind w:left="0"/>
              <w:contextualSpacing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 xml:space="preserve">7) </w:t>
            </w:r>
            <w:r w:rsidR="00C971BA" w:rsidRPr="00030DDA">
              <w:rPr>
                <w:rFonts w:ascii="Times New Roman" w:hAnsi="Times New Roman" w:cs="Times New Roman"/>
                <w:color w:val="000000"/>
                <w:sz w:val="19"/>
                <w:szCs w:val="19"/>
                <w:lang w:bidi="ar-EG"/>
              </w:rPr>
              <w:t>Number of blood Transfusion:</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roofErr w:type="spellStart"/>
            <w:r w:rsidRPr="00030DDA">
              <w:rPr>
                <w:rFonts w:ascii="Times New Roman" w:hAnsi="Times New Roman" w:cs="Times New Roman"/>
                <w:color w:val="000000"/>
                <w:sz w:val="19"/>
                <w:szCs w:val="19"/>
                <w:lang w:bidi="ar-EG"/>
              </w:rPr>
              <w:t>Mean±SD</w:t>
            </w:r>
            <w:proofErr w:type="spellEnd"/>
          </w:p>
          <w:p w:rsidR="00C971BA" w:rsidRPr="00030DDA" w:rsidRDefault="00664C43" w:rsidP="00030DDA">
            <w:pPr>
              <w:pStyle w:val="ListParagraph"/>
              <w:bidi w:val="0"/>
              <w:adjustRightInd w:val="0"/>
              <w:snapToGrid w:val="0"/>
              <w:ind w:left="0"/>
              <w:contextualSpacing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8)</w:t>
            </w:r>
            <w:r w:rsidR="00030DDA">
              <w:rPr>
                <w:rFonts w:ascii="Times New Roman" w:eastAsiaTheme="minorEastAsia" w:hAnsi="Times New Roman" w:cs="Times New Roman" w:hint="eastAsia"/>
                <w:color w:val="000000"/>
                <w:sz w:val="19"/>
                <w:szCs w:val="19"/>
                <w:lang w:eastAsia="zh-CN" w:bidi="ar-EG"/>
              </w:rPr>
              <w:t xml:space="preserve"> </w:t>
            </w:r>
            <w:r w:rsidR="00C971BA" w:rsidRPr="00030DDA">
              <w:rPr>
                <w:rFonts w:ascii="Times New Roman" w:hAnsi="Times New Roman" w:cs="Times New Roman"/>
                <w:color w:val="000000"/>
                <w:sz w:val="19"/>
                <w:szCs w:val="19"/>
                <w:lang w:bidi="ar-EG"/>
              </w:rPr>
              <w:t>Duration between transfusion</w:t>
            </w:r>
            <w:r w:rsidR="00030DDA">
              <w:rPr>
                <w:rFonts w:ascii="Times New Roman" w:eastAsiaTheme="minorEastAsia" w:hAnsi="Times New Roman" w:cs="Times New Roman" w:hint="eastAsia"/>
                <w:color w:val="000000"/>
                <w:sz w:val="19"/>
                <w:szCs w:val="19"/>
                <w:lang w:eastAsia="zh-CN" w:bidi="ar-EG"/>
              </w:rPr>
              <w:t xml:space="preserve"> </w:t>
            </w:r>
            <w:r w:rsidR="00C971BA" w:rsidRPr="00030DDA">
              <w:rPr>
                <w:rFonts w:ascii="Times New Roman" w:hAnsi="Times New Roman" w:cs="Times New Roman"/>
                <w:color w:val="000000"/>
                <w:sz w:val="19"/>
                <w:szCs w:val="19"/>
                <w:lang w:bidi="ar-EG"/>
              </w:rPr>
              <w:t>(months):</w:t>
            </w:r>
            <w:r w:rsidR="00030DDA">
              <w:rPr>
                <w:rFonts w:ascii="Times New Roman" w:eastAsiaTheme="minorEastAsia" w:hAnsi="Times New Roman" w:cs="Times New Roman" w:hint="eastAsia"/>
                <w:color w:val="000000"/>
                <w:sz w:val="19"/>
                <w:szCs w:val="19"/>
                <w:lang w:eastAsia="zh-CN" w:bidi="ar-EG"/>
              </w:rPr>
              <w:t xml:space="preserve"> </w:t>
            </w:r>
            <w:proofErr w:type="spellStart"/>
            <w:r w:rsidR="00C971BA" w:rsidRPr="00030DDA">
              <w:rPr>
                <w:rFonts w:ascii="Times New Roman" w:hAnsi="Times New Roman" w:cs="Times New Roman"/>
                <w:color w:val="000000"/>
                <w:sz w:val="19"/>
                <w:szCs w:val="19"/>
                <w:lang w:bidi="ar-EG"/>
              </w:rPr>
              <w:t>Mean±SD</w:t>
            </w:r>
            <w:proofErr w:type="spellEnd"/>
          </w:p>
        </w:tc>
        <w:tc>
          <w:tcPr>
            <w:tcW w:w="1414" w:type="pct"/>
            <w:tcBorders>
              <w:top w:val="single" w:sz="4" w:space="0" w:color="auto"/>
              <w:left w:val="single" w:sz="4" w:space="0" w:color="auto"/>
              <w:bottom w:val="single" w:sz="4" w:space="0" w:color="auto"/>
              <w:right w:val="single" w:sz="4" w:space="0" w:color="auto"/>
            </w:tcBorders>
            <w:vAlign w:val="center"/>
          </w:tcPr>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1.07±1.17</w:t>
            </w: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11.90±13.65</w:t>
            </w:r>
          </w:p>
        </w:tc>
        <w:tc>
          <w:tcPr>
            <w:tcW w:w="1147" w:type="pct"/>
            <w:tcBorders>
              <w:top w:val="single" w:sz="4" w:space="0" w:color="auto"/>
              <w:left w:val="single" w:sz="4" w:space="0" w:color="auto"/>
              <w:bottom w:val="single" w:sz="4" w:space="0" w:color="auto"/>
              <w:right w:val="single" w:sz="4" w:space="0" w:color="auto"/>
            </w:tcBorders>
            <w:vAlign w:val="center"/>
          </w:tcPr>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1.48±1.40</w:t>
            </w:r>
          </w:p>
          <w:p w:rsidR="001A487C" w:rsidRPr="00030DDA" w:rsidRDefault="001A487C"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27.18±24.21</w:t>
            </w:r>
          </w:p>
        </w:tc>
        <w:tc>
          <w:tcPr>
            <w:tcW w:w="664" w:type="pct"/>
            <w:tcBorders>
              <w:top w:val="single" w:sz="4" w:space="0" w:color="auto"/>
              <w:left w:val="single" w:sz="4" w:space="0" w:color="auto"/>
              <w:bottom w:val="single" w:sz="4" w:space="0" w:color="auto"/>
              <w:right w:val="single" w:sz="4" w:space="0" w:color="auto"/>
            </w:tcBorders>
            <w:vAlign w:val="center"/>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p>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0.200</w:t>
            </w:r>
          </w:p>
        </w:tc>
      </w:tr>
      <w:tr w:rsidR="00C971BA" w:rsidRPr="00030DDA" w:rsidTr="00E65BA9">
        <w:trPr>
          <w:trHeight w:val="11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971BA" w:rsidRPr="00030DDA" w:rsidRDefault="00C971BA" w:rsidP="00030DDA">
            <w:pPr>
              <w:bidi w:val="0"/>
              <w:adjustRightInd w:val="0"/>
              <w:snapToGrid w:val="0"/>
              <w:jc w:val="both"/>
              <w:rPr>
                <w:rFonts w:ascii="Times New Roman" w:hAnsi="Times New Roman" w:cs="Times New Roman"/>
                <w:color w:val="000000"/>
                <w:sz w:val="19"/>
                <w:szCs w:val="19"/>
                <w:lang w:bidi="ar-EG"/>
              </w:rPr>
            </w:pPr>
            <w:r w:rsidRPr="00030DDA">
              <w:rPr>
                <w:rFonts w:ascii="Times New Roman" w:hAnsi="Times New Roman" w:cs="Times New Roman"/>
                <w:color w:val="000000"/>
                <w:sz w:val="19"/>
                <w:szCs w:val="19"/>
                <w:lang w:bidi="ar-EG"/>
              </w:rPr>
              <w:t xml:space="preserve">Statistical test: </w:t>
            </w:r>
            <w:r w:rsidRPr="00030DDA">
              <w:rPr>
                <w:rFonts w:ascii="Times New Roman" w:hAnsi="Times New Roman" w:cs="Times New Roman"/>
                <w:color w:val="000000"/>
                <w:sz w:val="19"/>
                <w:szCs w:val="19"/>
                <w:lang w:eastAsia="ar-SA"/>
              </w:rPr>
              <w:t>Independent-samples t-test</w:t>
            </w:r>
            <w:r w:rsidRPr="00030DDA">
              <w:rPr>
                <w:rFonts w:ascii="Times New Roman" w:hAnsi="Times New Roman" w:cs="Times New Roman"/>
                <w:color w:val="000000"/>
                <w:sz w:val="19"/>
                <w:szCs w:val="19"/>
                <w:lang w:bidi="ar-EG"/>
              </w:rPr>
              <w:t xml:space="preserve">, </w:t>
            </w:r>
            <w:r w:rsidRPr="00030DDA">
              <w:rPr>
                <w:rFonts w:ascii="Times New Roman" w:hAnsi="Times New Roman" w:cs="Times New Roman"/>
                <w:i/>
                <w:iCs/>
                <w:color w:val="000000"/>
                <w:sz w:val="19"/>
                <w:szCs w:val="19"/>
                <w:lang w:bidi="ar-EG"/>
              </w:rPr>
              <w:t>p</w:t>
            </w:r>
            <w:r w:rsidRPr="00030DDA">
              <w:rPr>
                <w:rFonts w:ascii="Times New Roman" w:hAnsi="Times New Roman" w:cs="Times New Roman"/>
                <w:color w:val="000000"/>
                <w:sz w:val="19"/>
                <w:szCs w:val="19"/>
                <w:lang w:bidi="ar-EG"/>
              </w:rPr>
              <w:t>-value &gt;0.05: non-significant.</w:t>
            </w:r>
          </w:p>
        </w:tc>
      </w:tr>
    </w:tbl>
    <w:p w:rsidR="00766539" w:rsidRPr="005A7390" w:rsidRDefault="00766539"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b/>
          <w:bCs/>
          <w:sz w:val="20"/>
          <w:szCs w:val="20"/>
        </w:rPr>
      </w:pPr>
    </w:p>
    <w:p w:rsidR="00F544B8" w:rsidRPr="005A7390" w:rsidRDefault="00F544B8" w:rsidP="00030DDA">
      <w:pPr>
        <w:pStyle w:val="ListParagraph"/>
        <w:bidi w:val="0"/>
        <w:adjustRightInd w:val="0"/>
        <w:snapToGrid w:val="0"/>
        <w:spacing w:after="0" w:line="240" w:lineRule="auto"/>
        <w:ind w:left="0"/>
        <w:contextualSpacing w:val="0"/>
        <w:jc w:val="center"/>
        <w:rPr>
          <w:rFonts w:ascii="Times New Roman" w:hAnsi="Times New Roman" w:cs="Times New Roman"/>
          <w:sz w:val="20"/>
          <w:szCs w:val="20"/>
        </w:rPr>
      </w:pPr>
      <w:r w:rsidRPr="005A7390">
        <w:rPr>
          <w:rFonts w:ascii="Times New Roman" w:hAnsi="Times New Roman" w:cs="Times New Roman"/>
          <w:b/>
          <w:bCs/>
          <w:sz w:val="20"/>
          <w:szCs w:val="20"/>
        </w:rPr>
        <w:t>Table (2):</w:t>
      </w:r>
      <w:r w:rsidRPr="005A7390">
        <w:rPr>
          <w:rFonts w:ascii="Times New Roman" w:hAnsi="Times New Roman" w:cs="Times New Roman"/>
          <w:sz w:val="20"/>
          <w:szCs w:val="20"/>
        </w:rPr>
        <w:t xml:space="preserve"> Laboratory data of </w:t>
      </w:r>
      <w:proofErr w:type="gramStart"/>
      <w:r w:rsidRPr="005A7390">
        <w:rPr>
          <w:rFonts w:ascii="Times New Roman" w:hAnsi="Times New Roman" w:cs="Times New Roman"/>
          <w:sz w:val="20"/>
          <w:szCs w:val="20"/>
        </w:rPr>
        <w:t>patients</w:t>
      </w:r>
      <w:proofErr w:type="gramEnd"/>
      <w:r w:rsidRPr="005A7390">
        <w:rPr>
          <w:rFonts w:ascii="Times New Roman" w:hAnsi="Times New Roman" w:cs="Times New Roman"/>
          <w:sz w:val="20"/>
          <w:szCs w:val="20"/>
        </w:rPr>
        <w:t xml:space="preserve"> </w:t>
      </w:r>
      <w:proofErr w:type="spellStart"/>
      <w:r w:rsidRPr="005A7390">
        <w:rPr>
          <w:rFonts w:ascii="Times New Roman" w:hAnsi="Times New Roman" w:cs="Times New Roman"/>
          <w:sz w:val="20"/>
          <w:szCs w:val="20"/>
        </w:rPr>
        <w:t>groupallover</w:t>
      </w:r>
      <w:proofErr w:type="spellEnd"/>
      <w:r w:rsidRPr="005A7390">
        <w:rPr>
          <w:rFonts w:ascii="Times New Roman" w:hAnsi="Times New Roman" w:cs="Times New Roman"/>
          <w:sz w:val="20"/>
          <w:szCs w:val="20"/>
        </w:rPr>
        <w:t xml:space="preserve"> the study.</w:t>
      </w:r>
    </w:p>
    <w:tbl>
      <w:tblPr>
        <w:tblStyle w:val="TableGrid"/>
        <w:tblW w:w="5000" w:type="pct"/>
        <w:jc w:val="center"/>
        <w:tblLook w:val="04A0"/>
      </w:tblPr>
      <w:tblGrid>
        <w:gridCol w:w="3712"/>
        <w:gridCol w:w="2723"/>
        <w:gridCol w:w="3141"/>
      </w:tblGrid>
      <w:tr w:rsidR="00F544B8" w:rsidRPr="005A7390" w:rsidTr="00766539">
        <w:trPr>
          <w:trHeight w:val="284"/>
          <w:jc w:val="center"/>
        </w:trPr>
        <w:tc>
          <w:tcPr>
            <w:tcW w:w="19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44B8" w:rsidRPr="005A7390" w:rsidRDefault="00F544B8" w:rsidP="00030DDA">
            <w:pPr>
              <w:bidi w:val="0"/>
              <w:adjustRightInd w:val="0"/>
              <w:snapToGrid w:val="0"/>
              <w:jc w:val="both"/>
              <w:rPr>
                <w:b/>
                <w:bCs/>
                <w:color w:val="000000"/>
                <w:lang w:val="en-US"/>
              </w:rPr>
            </w:pPr>
            <w:r w:rsidRPr="005A7390">
              <w:rPr>
                <w:b/>
                <w:bCs/>
                <w:color w:val="000000"/>
              </w:rPr>
              <w:t>Parameter</w:t>
            </w:r>
          </w:p>
        </w:tc>
        <w:tc>
          <w:tcPr>
            <w:tcW w:w="142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44B8" w:rsidRPr="005A7390" w:rsidRDefault="00F544B8" w:rsidP="00030DDA">
            <w:pPr>
              <w:bidi w:val="0"/>
              <w:adjustRightInd w:val="0"/>
              <w:snapToGrid w:val="0"/>
              <w:jc w:val="both"/>
              <w:rPr>
                <w:b/>
                <w:bCs/>
                <w:color w:val="000000"/>
              </w:rPr>
            </w:pPr>
            <w:r w:rsidRPr="005A7390">
              <w:rPr>
                <w:b/>
                <w:bCs/>
                <w:color w:val="000000"/>
              </w:rPr>
              <w:t>Mean</w:t>
            </w:r>
          </w:p>
        </w:tc>
        <w:tc>
          <w:tcPr>
            <w:tcW w:w="16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44B8" w:rsidRPr="005A7390" w:rsidRDefault="00CB3D0F" w:rsidP="00030DDA">
            <w:pPr>
              <w:bidi w:val="0"/>
              <w:adjustRightInd w:val="0"/>
              <w:snapToGrid w:val="0"/>
              <w:jc w:val="both"/>
              <w:rPr>
                <w:b/>
                <w:bCs/>
                <w:color w:val="000000"/>
              </w:rPr>
            </w:pPr>
            <w:r w:rsidRPr="005A7390">
              <w:rPr>
                <w:rFonts w:eastAsia="Calibri"/>
                <w:color w:val="000000"/>
                <w:lang w:bidi="ar-EG"/>
              </w:rPr>
              <w:t>±</w:t>
            </w:r>
            <w:r w:rsidR="00F544B8" w:rsidRPr="005A7390">
              <w:rPr>
                <w:b/>
                <w:bCs/>
                <w:color w:val="000000"/>
              </w:rPr>
              <w:t>SD</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proofErr w:type="spellStart"/>
            <w:r w:rsidRPr="005A7390">
              <w:rPr>
                <w:color w:val="000000"/>
                <w:lang w:bidi="ar-EG"/>
              </w:rPr>
              <w:t>Creatinine</w:t>
            </w:r>
            <w:proofErr w:type="spellEnd"/>
            <w:r w:rsidRPr="005A7390">
              <w:rPr>
                <w:color w:val="000000"/>
                <w:lang w:bidi="ar-EG"/>
              </w:rPr>
              <w:t xml:space="preserve"> (mg/</w:t>
            </w:r>
            <w:proofErr w:type="spellStart"/>
            <w:r w:rsidRPr="005A7390">
              <w:rPr>
                <w:color w:val="000000"/>
                <w:lang w:bidi="ar-EG"/>
              </w:rPr>
              <w:t>dL</w:t>
            </w:r>
            <w:proofErr w:type="spellEnd"/>
            <w:r w:rsidRPr="005A7390">
              <w:rPr>
                <w:color w:val="000000"/>
                <w:lang w:bidi="ar-EG"/>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7.97</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1.79</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lang w:bidi="ar-EG"/>
              </w:rPr>
            </w:pPr>
            <w:r w:rsidRPr="005A7390">
              <w:rPr>
                <w:color w:val="000000"/>
              </w:rPr>
              <w:t>Urea (mg/</w:t>
            </w:r>
            <w:proofErr w:type="spellStart"/>
            <w:r w:rsidRPr="005A7390">
              <w:rPr>
                <w:color w:val="000000"/>
              </w:rPr>
              <w:t>dL</w:t>
            </w:r>
            <w:proofErr w:type="spellEnd"/>
            <w:r w:rsidRPr="005A7390">
              <w:rPr>
                <w:color w:val="000000"/>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109.05</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20.05</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lang w:bidi="ar-EG"/>
              </w:rPr>
            </w:pPr>
            <w:r w:rsidRPr="005A7390">
              <w:rPr>
                <w:color w:val="000000"/>
                <w:lang w:bidi="ar-EG"/>
              </w:rPr>
              <w:t>Na (</w:t>
            </w:r>
            <w:proofErr w:type="spellStart"/>
            <w:r w:rsidRPr="005A7390">
              <w:rPr>
                <w:color w:val="000000"/>
              </w:rPr>
              <w:t>mEq</w:t>
            </w:r>
            <w:proofErr w:type="spellEnd"/>
            <w:r w:rsidRPr="005A7390">
              <w:rPr>
                <w:color w:val="000000"/>
              </w:rPr>
              <w:t>/L)</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136.44</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1.58</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lang w:bidi="ar-EG"/>
              </w:rPr>
            </w:pPr>
            <w:r w:rsidRPr="005A7390">
              <w:rPr>
                <w:color w:val="000000"/>
              </w:rPr>
              <w:t>K</w:t>
            </w:r>
            <w:r w:rsidR="005A7390">
              <w:rPr>
                <w:color w:val="000000"/>
              </w:rPr>
              <w:t xml:space="preserve"> </w:t>
            </w:r>
            <w:r w:rsidRPr="005A7390">
              <w:rPr>
                <w:color w:val="000000"/>
              </w:rPr>
              <w:t>(</w:t>
            </w:r>
            <w:proofErr w:type="spellStart"/>
            <w:r w:rsidRPr="005A7390">
              <w:rPr>
                <w:color w:val="000000"/>
              </w:rPr>
              <w:t>mEq</w:t>
            </w:r>
            <w:proofErr w:type="spellEnd"/>
            <w:r w:rsidRPr="005A7390">
              <w:rPr>
                <w:color w:val="000000"/>
              </w:rPr>
              <w:t>/L)</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3.89</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0.26</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proofErr w:type="spellStart"/>
            <w:r w:rsidRPr="005A7390">
              <w:rPr>
                <w:color w:val="000000"/>
              </w:rPr>
              <w:t>Hb</w:t>
            </w:r>
            <w:proofErr w:type="spellEnd"/>
            <w:r w:rsidRPr="005A7390">
              <w:rPr>
                <w:color w:val="000000"/>
              </w:rPr>
              <w:t xml:space="preserve"> (g/</w:t>
            </w:r>
            <w:proofErr w:type="spellStart"/>
            <w:r w:rsidRPr="005A7390">
              <w:rPr>
                <w:color w:val="000000"/>
              </w:rPr>
              <w:t>dL</w:t>
            </w:r>
            <w:proofErr w:type="spellEnd"/>
            <w:r w:rsidRPr="005A7390">
              <w:rPr>
                <w:color w:val="000000"/>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11.49</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0.86</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lang w:val="en-US"/>
              </w:rPr>
            </w:pPr>
            <w:r w:rsidRPr="005A7390">
              <w:rPr>
                <w:color w:val="000000"/>
              </w:rPr>
              <w:t>Cholesterol (mg/</w:t>
            </w:r>
            <w:proofErr w:type="spellStart"/>
            <w:r w:rsidRPr="005A7390">
              <w:rPr>
                <w:color w:val="000000"/>
              </w:rPr>
              <w:t>dL</w:t>
            </w:r>
            <w:proofErr w:type="spellEnd"/>
            <w:r w:rsidRPr="005A7390">
              <w:rPr>
                <w:color w:val="000000"/>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168.54</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45.91</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Triglycerides (mg/</w:t>
            </w:r>
            <w:proofErr w:type="spellStart"/>
            <w:r w:rsidRPr="005A7390">
              <w:rPr>
                <w:color w:val="000000"/>
              </w:rPr>
              <w:t>dL</w:t>
            </w:r>
            <w:proofErr w:type="spellEnd"/>
            <w:r w:rsidRPr="005A7390">
              <w:rPr>
                <w:color w:val="000000"/>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120.13</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49.27</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Total protein (g/</w:t>
            </w:r>
            <w:proofErr w:type="spellStart"/>
            <w:r w:rsidRPr="005A7390">
              <w:rPr>
                <w:color w:val="000000"/>
              </w:rPr>
              <w:t>dL</w:t>
            </w:r>
            <w:proofErr w:type="spellEnd"/>
            <w:r w:rsidRPr="005A7390">
              <w:rPr>
                <w:color w:val="000000"/>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7.85</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0.33</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Albumin (g/</w:t>
            </w:r>
            <w:proofErr w:type="spellStart"/>
            <w:r w:rsidRPr="005A7390">
              <w:rPr>
                <w:color w:val="000000"/>
              </w:rPr>
              <w:t>dL</w:t>
            </w:r>
            <w:proofErr w:type="spellEnd"/>
            <w:r w:rsidRPr="005A7390">
              <w:rPr>
                <w:color w:val="000000"/>
              </w:rPr>
              <w:t>)</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3.88</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0.24</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INR</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1.02</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0.05</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ALT (U/L)</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38.54</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13.01</w:t>
            </w:r>
          </w:p>
        </w:tc>
      </w:tr>
      <w:tr w:rsidR="00F544B8" w:rsidRPr="005A7390" w:rsidTr="00766539">
        <w:trPr>
          <w:trHeight w:val="70"/>
          <w:jc w:val="center"/>
        </w:trPr>
        <w:tc>
          <w:tcPr>
            <w:tcW w:w="1938"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AST (U/L)</w:t>
            </w:r>
          </w:p>
        </w:tc>
        <w:tc>
          <w:tcPr>
            <w:tcW w:w="1422"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color w:val="000000"/>
              </w:rPr>
              <w:t>28.15</w:t>
            </w:r>
          </w:p>
        </w:tc>
        <w:tc>
          <w:tcPr>
            <w:tcW w:w="1640" w:type="pct"/>
            <w:tcBorders>
              <w:top w:val="single" w:sz="4" w:space="0" w:color="auto"/>
              <w:left w:val="single" w:sz="4" w:space="0" w:color="auto"/>
              <w:bottom w:val="single" w:sz="4" w:space="0" w:color="auto"/>
              <w:right w:val="single" w:sz="4" w:space="0" w:color="auto"/>
            </w:tcBorders>
            <w:vAlign w:val="center"/>
            <w:hideMark/>
          </w:tcPr>
          <w:p w:rsidR="00F544B8" w:rsidRPr="005A7390" w:rsidRDefault="00F544B8" w:rsidP="00030DDA">
            <w:pPr>
              <w:bidi w:val="0"/>
              <w:adjustRightInd w:val="0"/>
              <w:snapToGrid w:val="0"/>
              <w:jc w:val="both"/>
              <w:rPr>
                <w:color w:val="000000"/>
              </w:rPr>
            </w:pPr>
            <w:r w:rsidRPr="005A7390">
              <w:rPr>
                <w:rFonts w:eastAsia="Calibri"/>
                <w:color w:val="000000"/>
                <w:lang w:bidi="ar-EG"/>
              </w:rPr>
              <w:t>±</w:t>
            </w:r>
            <w:r w:rsidRPr="005A7390">
              <w:rPr>
                <w:color w:val="000000"/>
              </w:rPr>
              <w:t>9.99</w:t>
            </w:r>
          </w:p>
        </w:tc>
      </w:tr>
    </w:tbl>
    <w:p w:rsidR="00766539" w:rsidRDefault="00766539"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lang w:eastAsia="zh-CN"/>
        </w:rPr>
      </w:pPr>
    </w:p>
    <w:p w:rsidR="00030DDA" w:rsidRPr="005A7390" w:rsidRDefault="00030DDA"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lang w:eastAsia="zh-CN"/>
        </w:rPr>
      </w:pPr>
    </w:p>
    <w:p w:rsidR="00766539" w:rsidRPr="005A7390" w:rsidRDefault="00766539"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sectPr w:rsidR="00766539" w:rsidRPr="005A7390" w:rsidSect="00242C8C">
          <w:headerReference w:type="default" r:id="rId14"/>
          <w:footerReference w:type="default" r:id="rId15"/>
          <w:type w:val="continuous"/>
          <w:pgSz w:w="12240" w:h="15840" w:code="1"/>
          <w:pgMar w:top="1440" w:right="1440" w:bottom="1440" w:left="1440" w:header="720" w:footer="720" w:gutter="0"/>
          <w:cols w:space="709"/>
          <w:bidi/>
          <w:docGrid w:linePitch="360"/>
        </w:sectPr>
      </w:pPr>
    </w:p>
    <w:p w:rsidR="00F544B8" w:rsidRPr="005A7390" w:rsidRDefault="00F544B8"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A7390">
        <w:rPr>
          <w:rFonts w:ascii="Times New Roman" w:hAnsi="Times New Roman" w:cs="Times New Roman"/>
          <w:sz w:val="20"/>
          <w:szCs w:val="20"/>
        </w:rPr>
        <w:lastRenderedPageBreak/>
        <w:t xml:space="preserve">As shown in the table, patients have elevated serum </w:t>
      </w:r>
      <w:proofErr w:type="spellStart"/>
      <w:r w:rsidRPr="005A7390">
        <w:rPr>
          <w:rFonts w:ascii="Times New Roman" w:hAnsi="Times New Roman" w:cs="Times New Roman"/>
          <w:sz w:val="20"/>
          <w:szCs w:val="20"/>
        </w:rPr>
        <w:t>creatinine</w:t>
      </w:r>
      <w:proofErr w:type="spellEnd"/>
      <w:r w:rsidRPr="005A7390">
        <w:rPr>
          <w:rFonts w:ascii="Times New Roman" w:hAnsi="Times New Roman" w:cs="Times New Roman"/>
          <w:sz w:val="20"/>
          <w:szCs w:val="20"/>
        </w:rPr>
        <w:t xml:space="preserve">, urea, also they were generally </w:t>
      </w:r>
      <w:proofErr w:type="spellStart"/>
      <w:r w:rsidRPr="005A7390">
        <w:rPr>
          <w:rFonts w:ascii="Times New Roman" w:hAnsi="Times New Roman" w:cs="Times New Roman"/>
          <w:sz w:val="20"/>
          <w:szCs w:val="20"/>
        </w:rPr>
        <w:t>anaemic</w:t>
      </w:r>
      <w:proofErr w:type="spellEnd"/>
      <w:r w:rsidRPr="005A7390">
        <w:rPr>
          <w:rFonts w:ascii="Times New Roman" w:hAnsi="Times New Roman" w:cs="Times New Roman"/>
          <w:sz w:val="20"/>
          <w:szCs w:val="20"/>
        </w:rPr>
        <w:t xml:space="preserve"> despite the regular use of erythropoietin but it is our target to avoid </w:t>
      </w:r>
      <w:proofErr w:type="spellStart"/>
      <w:r w:rsidRPr="005A7390">
        <w:rPr>
          <w:rFonts w:ascii="Times New Roman" w:hAnsi="Times New Roman" w:cs="Times New Roman"/>
          <w:sz w:val="20"/>
          <w:szCs w:val="20"/>
        </w:rPr>
        <w:t>arteriovenous</w:t>
      </w:r>
      <w:proofErr w:type="spellEnd"/>
      <w:r w:rsidRPr="005A7390">
        <w:rPr>
          <w:rFonts w:ascii="Times New Roman" w:hAnsi="Times New Roman" w:cs="Times New Roman"/>
          <w:sz w:val="20"/>
          <w:szCs w:val="20"/>
        </w:rPr>
        <w:t xml:space="preserve"> thrombosis.</w:t>
      </w:r>
    </w:p>
    <w:p w:rsidR="00F544B8" w:rsidRPr="005A7390" w:rsidRDefault="00F544B8"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A7390">
        <w:rPr>
          <w:rFonts w:ascii="Times New Roman" w:hAnsi="Times New Roman" w:cs="Times New Roman"/>
          <w:sz w:val="20"/>
          <w:szCs w:val="20"/>
        </w:rPr>
        <w:t>Also all patients are HCV positive, none are HBV or HIV positive.</w:t>
      </w:r>
    </w:p>
    <w:p w:rsidR="00766539" w:rsidRPr="005A7390" w:rsidRDefault="00766539" w:rsidP="00030DDA">
      <w:pPr>
        <w:bidi w:val="0"/>
        <w:adjustRightInd w:val="0"/>
        <w:snapToGrid w:val="0"/>
        <w:spacing w:after="0" w:line="240" w:lineRule="auto"/>
        <w:jc w:val="both"/>
        <w:rPr>
          <w:rFonts w:ascii="Times New Roman" w:hAnsi="Times New Roman" w:cs="Times New Roman"/>
          <w:b/>
          <w:bCs/>
          <w:sz w:val="20"/>
          <w:szCs w:val="20"/>
          <w:lang w:eastAsia="zh-CN"/>
        </w:rPr>
      </w:pPr>
    </w:p>
    <w:p w:rsidR="00664C43" w:rsidRPr="005A7390" w:rsidRDefault="00664C43" w:rsidP="00030DDA">
      <w:pPr>
        <w:bidi w:val="0"/>
        <w:adjustRightInd w:val="0"/>
        <w:snapToGrid w:val="0"/>
        <w:spacing w:after="0" w:line="240" w:lineRule="auto"/>
        <w:jc w:val="both"/>
        <w:rPr>
          <w:rFonts w:ascii="Times New Roman" w:hAnsi="Times New Roman" w:cs="Times New Roman"/>
          <w:sz w:val="20"/>
          <w:szCs w:val="20"/>
        </w:rPr>
      </w:pPr>
      <w:proofErr w:type="gramStart"/>
      <w:r w:rsidRPr="005A7390">
        <w:rPr>
          <w:rFonts w:ascii="Times New Roman" w:hAnsi="Times New Roman" w:cs="Times New Roman"/>
          <w:b/>
          <w:bCs/>
          <w:sz w:val="20"/>
          <w:szCs w:val="20"/>
        </w:rPr>
        <w:t>Table (3):</w:t>
      </w:r>
      <w:r w:rsidRPr="005A7390">
        <w:rPr>
          <w:rFonts w:ascii="Times New Roman" w:hAnsi="Times New Roman" w:cs="Times New Roman"/>
          <w:sz w:val="20"/>
          <w:szCs w:val="20"/>
        </w:rPr>
        <w:t xml:space="preserve"> Laboratory data of control group </w:t>
      </w:r>
      <w:proofErr w:type="spellStart"/>
      <w:r w:rsidRPr="005A7390">
        <w:rPr>
          <w:rFonts w:ascii="Times New Roman" w:hAnsi="Times New Roman" w:cs="Times New Roman"/>
          <w:sz w:val="20"/>
          <w:szCs w:val="20"/>
        </w:rPr>
        <w:t>allover</w:t>
      </w:r>
      <w:proofErr w:type="spellEnd"/>
      <w:r w:rsidRPr="005A7390">
        <w:rPr>
          <w:rFonts w:ascii="Times New Roman" w:hAnsi="Times New Roman" w:cs="Times New Roman"/>
          <w:sz w:val="20"/>
          <w:szCs w:val="20"/>
        </w:rPr>
        <w:t xml:space="preserve"> the study.</w:t>
      </w:r>
      <w:proofErr w:type="gramEnd"/>
    </w:p>
    <w:tbl>
      <w:tblPr>
        <w:tblStyle w:val="TableGrid"/>
        <w:tblW w:w="5000" w:type="pct"/>
        <w:jc w:val="center"/>
        <w:tblLook w:val="04A0"/>
      </w:tblPr>
      <w:tblGrid>
        <w:gridCol w:w="2645"/>
        <w:gridCol w:w="1166"/>
        <w:gridCol w:w="872"/>
      </w:tblGrid>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64C43" w:rsidRPr="005A7390" w:rsidRDefault="00664C43" w:rsidP="00030DDA">
            <w:pPr>
              <w:bidi w:val="0"/>
              <w:adjustRightInd w:val="0"/>
              <w:snapToGrid w:val="0"/>
              <w:jc w:val="both"/>
              <w:rPr>
                <w:b/>
                <w:bCs/>
                <w:color w:val="000000"/>
                <w:lang w:val="en-US"/>
              </w:rPr>
            </w:pPr>
            <w:r w:rsidRPr="005A7390">
              <w:rPr>
                <w:b/>
                <w:bCs/>
                <w:color w:val="000000"/>
              </w:rPr>
              <w:t>Parameter</w:t>
            </w:r>
          </w:p>
        </w:tc>
        <w:tc>
          <w:tcPr>
            <w:tcW w:w="12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64C43" w:rsidRPr="005A7390" w:rsidRDefault="00664C43" w:rsidP="00030DDA">
            <w:pPr>
              <w:bidi w:val="0"/>
              <w:adjustRightInd w:val="0"/>
              <w:snapToGrid w:val="0"/>
              <w:jc w:val="both"/>
              <w:rPr>
                <w:b/>
                <w:bCs/>
                <w:color w:val="000000"/>
              </w:rPr>
            </w:pPr>
            <w:r w:rsidRPr="005A7390">
              <w:rPr>
                <w:b/>
                <w:bCs/>
                <w:color w:val="000000"/>
              </w:rPr>
              <w:t>Mean</w:t>
            </w:r>
          </w:p>
        </w:tc>
        <w:tc>
          <w:tcPr>
            <w:tcW w:w="9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64C43" w:rsidRPr="005A7390" w:rsidRDefault="00CB3D0F" w:rsidP="00030DDA">
            <w:pPr>
              <w:bidi w:val="0"/>
              <w:adjustRightInd w:val="0"/>
              <w:snapToGrid w:val="0"/>
              <w:jc w:val="both"/>
              <w:rPr>
                <w:b/>
                <w:bCs/>
                <w:color w:val="000000"/>
              </w:rPr>
            </w:pPr>
            <w:r w:rsidRPr="005A7390">
              <w:rPr>
                <w:rFonts w:eastAsia="Calibri"/>
                <w:color w:val="000000"/>
                <w:lang w:bidi="ar-EG"/>
              </w:rPr>
              <w:t>±</w:t>
            </w:r>
            <w:r w:rsidR="00664C43" w:rsidRPr="005A7390">
              <w:rPr>
                <w:b/>
                <w:bCs/>
                <w:color w:val="000000"/>
              </w:rPr>
              <w:t>SD</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proofErr w:type="spellStart"/>
            <w:r w:rsidRPr="005A7390">
              <w:rPr>
                <w:color w:val="000000"/>
                <w:lang w:bidi="ar-EG"/>
              </w:rPr>
              <w:t>Creatinine</w:t>
            </w:r>
            <w:proofErr w:type="spellEnd"/>
            <w:r w:rsidRPr="005A7390">
              <w:rPr>
                <w:color w:val="000000"/>
                <w:lang w:bidi="ar-EG"/>
              </w:rPr>
              <w:t xml:space="preserve"> (mg/</w:t>
            </w:r>
            <w:proofErr w:type="spellStart"/>
            <w:r w:rsidRPr="005A7390">
              <w:rPr>
                <w:color w:val="000000"/>
                <w:lang w:bidi="ar-EG"/>
              </w:rPr>
              <w:t>dL</w:t>
            </w:r>
            <w:proofErr w:type="spellEnd"/>
            <w:r w:rsidRPr="005A7390">
              <w:rPr>
                <w:color w:val="000000"/>
                <w:lang w:bidi="ar-EG"/>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9.65</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2.28</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lang w:bidi="ar-EG"/>
              </w:rPr>
            </w:pPr>
            <w:r w:rsidRPr="005A7390">
              <w:rPr>
                <w:color w:val="000000"/>
              </w:rPr>
              <w:t>Urea (mg/</w:t>
            </w:r>
            <w:proofErr w:type="spellStart"/>
            <w:r w:rsidRPr="005A7390">
              <w:rPr>
                <w:color w:val="000000"/>
              </w:rPr>
              <w:t>dL</w:t>
            </w:r>
            <w:proofErr w:type="spellEnd"/>
            <w:r w:rsidRPr="005A7390">
              <w:rPr>
                <w:color w:val="000000"/>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116.13</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lang w:val="en-US"/>
              </w:rPr>
            </w:pPr>
            <w:r w:rsidRPr="005A7390">
              <w:rPr>
                <w:rFonts w:eastAsia="Calibri"/>
                <w:color w:val="000000"/>
                <w:lang w:bidi="ar-EG"/>
              </w:rPr>
              <w:t>±</w:t>
            </w:r>
            <w:r w:rsidRPr="005A7390">
              <w:rPr>
                <w:color w:val="000000"/>
              </w:rPr>
              <w:t>26.80</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lang w:bidi="ar-EG"/>
              </w:rPr>
            </w:pPr>
            <w:r w:rsidRPr="005A7390">
              <w:rPr>
                <w:color w:val="000000"/>
                <w:lang w:bidi="ar-EG"/>
              </w:rPr>
              <w:t>Na (</w:t>
            </w:r>
            <w:proofErr w:type="spellStart"/>
            <w:r w:rsidRPr="005A7390">
              <w:rPr>
                <w:color w:val="000000"/>
              </w:rPr>
              <w:t>mEq</w:t>
            </w:r>
            <w:proofErr w:type="spellEnd"/>
            <w:r w:rsidRPr="005A7390">
              <w:rPr>
                <w:color w:val="000000"/>
              </w:rPr>
              <w:t>/L)</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135.38</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1.56</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lang w:bidi="ar-EG"/>
              </w:rPr>
            </w:pPr>
            <w:r w:rsidRPr="005A7390">
              <w:rPr>
                <w:color w:val="000000"/>
              </w:rPr>
              <w:t>K</w:t>
            </w:r>
            <w:r w:rsidR="005A7390">
              <w:rPr>
                <w:color w:val="000000"/>
              </w:rPr>
              <w:t xml:space="preserve"> </w:t>
            </w:r>
            <w:r w:rsidRPr="005A7390">
              <w:rPr>
                <w:color w:val="000000"/>
              </w:rPr>
              <w:t>(</w:t>
            </w:r>
            <w:proofErr w:type="spellStart"/>
            <w:r w:rsidRPr="005A7390">
              <w:rPr>
                <w:color w:val="000000"/>
              </w:rPr>
              <w:t>mEq</w:t>
            </w:r>
            <w:proofErr w:type="spellEnd"/>
            <w:r w:rsidRPr="005A7390">
              <w:rPr>
                <w:color w:val="000000"/>
              </w:rPr>
              <w:t>/L)</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3.91</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0.25</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proofErr w:type="spellStart"/>
            <w:r w:rsidRPr="005A7390">
              <w:rPr>
                <w:color w:val="000000"/>
              </w:rPr>
              <w:t>Hb</w:t>
            </w:r>
            <w:proofErr w:type="spellEnd"/>
            <w:r w:rsidRPr="005A7390">
              <w:rPr>
                <w:color w:val="000000"/>
              </w:rPr>
              <w:t xml:space="preserve"> (g/</w:t>
            </w:r>
            <w:proofErr w:type="spellStart"/>
            <w:r w:rsidRPr="005A7390">
              <w:rPr>
                <w:color w:val="000000"/>
              </w:rPr>
              <w:t>dL</w:t>
            </w:r>
            <w:proofErr w:type="spellEnd"/>
            <w:r w:rsidRPr="005A7390">
              <w:rPr>
                <w:color w:val="000000"/>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10.67</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0.76</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Cholesterol (mg/</w:t>
            </w:r>
            <w:proofErr w:type="spellStart"/>
            <w:r w:rsidRPr="005A7390">
              <w:rPr>
                <w:color w:val="000000"/>
              </w:rPr>
              <w:t>dL</w:t>
            </w:r>
            <w:proofErr w:type="spellEnd"/>
            <w:r w:rsidRPr="005A7390">
              <w:rPr>
                <w:color w:val="000000"/>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184.76</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44.57</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Triglycerides (mg/</w:t>
            </w:r>
            <w:proofErr w:type="spellStart"/>
            <w:r w:rsidRPr="005A7390">
              <w:rPr>
                <w:color w:val="000000"/>
              </w:rPr>
              <w:t>dL</w:t>
            </w:r>
            <w:proofErr w:type="spellEnd"/>
            <w:r w:rsidRPr="005A7390">
              <w:rPr>
                <w:color w:val="000000"/>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140.67</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73.41</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Total protein (g/</w:t>
            </w:r>
            <w:proofErr w:type="spellStart"/>
            <w:r w:rsidRPr="005A7390">
              <w:rPr>
                <w:color w:val="000000"/>
              </w:rPr>
              <w:t>dL</w:t>
            </w:r>
            <w:proofErr w:type="spellEnd"/>
            <w:r w:rsidRPr="005A7390">
              <w:rPr>
                <w:color w:val="000000"/>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7.87</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0.39</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Albumin (g/</w:t>
            </w:r>
            <w:proofErr w:type="spellStart"/>
            <w:r w:rsidRPr="005A7390">
              <w:rPr>
                <w:color w:val="000000"/>
              </w:rPr>
              <w:t>dL</w:t>
            </w:r>
            <w:proofErr w:type="spellEnd"/>
            <w:r w:rsidRPr="005A7390">
              <w:rPr>
                <w:color w:val="000000"/>
              </w:rPr>
              <w:t>)</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3.93</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0.24</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INR</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1.01</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0.02</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ALT (U/L)</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34.40</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rFonts w:eastAsia="Calibri"/>
                <w:color w:val="000000"/>
                <w:lang w:bidi="ar-EG"/>
              </w:rPr>
              <w:t>±</w:t>
            </w:r>
            <w:r w:rsidRPr="005A7390">
              <w:rPr>
                <w:color w:val="000000"/>
              </w:rPr>
              <w:t>9.73</w:t>
            </w:r>
          </w:p>
        </w:tc>
      </w:tr>
      <w:tr w:rsidR="00664C43" w:rsidRPr="005A7390" w:rsidTr="005A7390">
        <w:trPr>
          <w:cantSplit/>
          <w:jc w:val="center"/>
        </w:trPr>
        <w:tc>
          <w:tcPr>
            <w:tcW w:w="2824"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rPr>
            </w:pPr>
            <w:r w:rsidRPr="005A7390">
              <w:rPr>
                <w:color w:val="000000"/>
              </w:rPr>
              <w:t>AST (U/L)</w:t>
            </w:r>
          </w:p>
        </w:tc>
        <w:tc>
          <w:tcPr>
            <w:tcW w:w="1245"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lang w:val="en-US"/>
              </w:rPr>
            </w:pPr>
            <w:r w:rsidRPr="005A7390">
              <w:rPr>
                <w:color w:val="000000"/>
                <w:lang w:val="en-US"/>
              </w:rPr>
              <w:t>19.16</w:t>
            </w:r>
          </w:p>
        </w:tc>
        <w:tc>
          <w:tcPr>
            <w:tcW w:w="931" w:type="pct"/>
            <w:tcBorders>
              <w:top w:val="single" w:sz="4" w:space="0" w:color="auto"/>
              <w:left w:val="single" w:sz="4" w:space="0" w:color="auto"/>
              <w:bottom w:val="single" w:sz="4" w:space="0" w:color="auto"/>
              <w:right w:val="single" w:sz="4" w:space="0" w:color="auto"/>
            </w:tcBorders>
            <w:vAlign w:val="center"/>
            <w:hideMark/>
          </w:tcPr>
          <w:p w:rsidR="00664C43" w:rsidRPr="005A7390" w:rsidRDefault="00664C43" w:rsidP="00030DDA">
            <w:pPr>
              <w:bidi w:val="0"/>
              <w:adjustRightInd w:val="0"/>
              <w:snapToGrid w:val="0"/>
              <w:jc w:val="both"/>
              <w:rPr>
                <w:color w:val="000000"/>
                <w:lang w:val="en-US"/>
              </w:rPr>
            </w:pPr>
            <w:r w:rsidRPr="005A7390">
              <w:rPr>
                <w:rFonts w:eastAsia="Calibri"/>
                <w:color w:val="000000"/>
                <w:lang w:bidi="ar-EG"/>
              </w:rPr>
              <w:t>±</w:t>
            </w:r>
            <w:r w:rsidRPr="005A7390">
              <w:rPr>
                <w:color w:val="000000"/>
                <w:lang w:val="en-US"/>
              </w:rPr>
              <w:t>7.75</w:t>
            </w:r>
          </w:p>
        </w:tc>
      </w:tr>
    </w:tbl>
    <w:p w:rsidR="00664C43" w:rsidRPr="005A7390" w:rsidRDefault="00664C43"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p>
    <w:p w:rsidR="00664C43" w:rsidRPr="005A7390" w:rsidRDefault="00664C43"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A7390">
        <w:rPr>
          <w:rFonts w:ascii="Times New Roman" w:hAnsi="Times New Roman" w:cs="Times New Roman"/>
          <w:sz w:val="20"/>
          <w:szCs w:val="20"/>
        </w:rPr>
        <w:t xml:space="preserve">As shown in the table, patients have elevated serum </w:t>
      </w:r>
      <w:proofErr w:type="spellStart"/>
      <w:r w:rsidRPr="005A7390">
        <w:rPr>
          <w:rFonts w:ascii="Times New Roman" w:hAnsi="Times New Roman" w:cs="Times New Roman"/>
          <w:sz w:val="20"/>
          <w:szCs w:val="20"/>
        </w:rPr>
        <w:t>creatinine</w:t>
      </w:r>
      <w:proofErr w:type="spellEnd"/>
      <w:r w:rsidRPr="005A7390">
        <w:rPr>
          <w:rFonts w:ascii="Times New Roman" w:hAnsi="Times New Roman" w:cs="Times New Roman"/>
          <w:sz w:val="20"/>
          <w:szCs w:val="20"/>
        </w:rPr>
        <w:t xml:space="preserve">, urea, also they were generally </w:t>
      </w:r>
      <w:proofErr w:type="spellStart"/>
      <w:r w:rsidRPr="005A7390">
        <w:rPr>
          <w:rFonts w:ascii="Times New Roman" w:hAnsi="Times New Roman" w:cs="Times New Roman"/>
          <w:sz w:val="20"/>
          <w:szCs w:val="20"/>
        </w:rPr>
        <w:t>anaemic</w:t>
      </w:r>
      <w:proofErr w:type="spellEnd"/>
      <w:r w:rsidRPr="005A7390">
        <w:rPr>
          <w:rFonts w:ascii="Times New Roman" w:hAnsi="Times New Roman" w:cs="Times New Roman"/>
          <w:sz w:val="20"/>
          <w:szCs w:val="20"/>
        </w:rPr>
        <w:t xml:space="preserve"> despite the regular use of erythropoietin but it is our target to avoid </w:t>
      </w:r>
      <w:proofErr w:type="spellStart"/>
      <w:r w:rsidRPr="005A7390">
        <w:rPr>
          <w:rFonts w:ascii="Times New Roman" w:hAnsi="Times New Roman" w:cs="Times New Roman"/>
          <w:sz w:val="20"/>
          <w:szCs w:val="20"/>
        </w:rPr>
        <w:t>arteriovenous</w:t>
      </w:r>
      <w:proofErr w:type="spellEnd"/>
      <w:r w:rsidRPr="005A7390">
        <w:rPr>
          <w:rFonts w:ascii="Times New Roman" w:hAnsi="Times New Roman" w:cs="Times New Roman"/>
          <w:sz w:val="20"/>
          <w:szCs w:val="20"/>
        </w:rPr>
        <w:t xml:space="preserve"> thrombosis.</w:t>
      </w:r>
    </w:p>
    <w:p w:rsidR="00664C43" w:rsidRPr="005A7390" w:rsidRDefault="00664C43"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A7390">
        <w:rPr>
          <w:rFonts w:ascii="Times New Roman" w:hAnsi="Times New Roman" w:cs="Times New Roman"/>
          <w:sz w:val="20"/>
          <w:szCs w:val="20"/>
        </w:rPr>
        <w:t>Also all patients are none HCV, HBV or HIV positive.</w:t>
      </w:r>
    </w:p>
    <w:p w:rsidR="00766539" w:rsidRPr="005A7390" w:rsidRDefault="00766539" w:rsidP="00030DDA">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eastAsia="zh-CN"/>
        </w:rPr>
      </w:pPr>
    </w:p>
    <w:p w:rsidR="00664C43" w:rsidRPr="005A7390" w:rsidRDefault="00664C43" w:rsidP="00030DDA">
      <w:pPr>
        <w:bidi w:val="0"/>
        <w:adjustRightInd w:val="0"/>
        <w:snapToGrid w:val="0"/>
        <w:spacing w:after="0" w:line="240" w:lineRule="auto"/>
        <w:jc w:val="both"/>
        <w:rPr>
          <w:rFonts w:ascii="Times New Roman" w:hAnsi="Times New Roman" w:cs="Times New Roman"/>
          <w:b/>
          <w:bCs/>
          <w:sz w:val="20"/>
          <w:szCs w:val="20"/>
        </w:rPr>
      </w:pPr>
      <w:proofErr w:type="gramStart"/>
      <w:r w:rsidRPr="005A7390">
        <w:rPr>
          <w:rFonts w:ascii="Times New Roman" w:hAnsi="Times New Roman" w:cs="Times New Roman"/>
          <w:b/>
          <w:bCs/>
          <w:sz w:val="20"/>
          <w:szCs w:val="20"/>
        </w:rPr>
        <w:t>Table (4):</w:t>
      </w:r>
      <w:r w:rsidRPr="005A7390">
        <w:rPr>
          <w:rFonts w:ascii="Times New Roman" w:hAnsi="Times New Roman" w:cs="Times New Roman"/>
          <w:sz w:val="20"/>
          <w:szCs w:val="20"/>
        </w:rPr>
        <w:t xml:space="preserve"> Comparison between patients and control as </w:t>
      </w:r>
      <w:proofErr w:type="spellStart"/>
      <w:r w:rsidRPr="005A7390">
        <w:rPr>
          <w:rFonts w:ascii="Times New Roman" w:hAnsi="Times New Roman" w:cs="Times New Roman"/>
          <w:sz w:val="20"/>
          <w:szCs w:val="20"/>
        </w:rPr>
        <w:t>regardALT</w:t>
      </w:r>
      <w:proofErr w:type="spellEnd"/>
      <w:r w:rsidRPr="005A7390">
        <w:rPr>
          <w:rFonts w:ascii="Times New Roman" w:hAnsi="Times New Roman" w:cs="Times New Roman"/>
          <w:sz w:val="20"/>
          <w:szCs w:val="20"/>
        </w:rPr>
        <w:t xml:space="preserve"> at the beginning, middle"3 and 6 months later" and at the end of the study.</w:t>
      </w:r>
      <w:proofErr w:type="gramEnd"/>
    </w:p>
    <w:tbl>
      <w:tblPr>
        <w:tblW w:w="5000" w:type="pct"/>
        <w:jc w:val="center"/>
        <w:tblLook w:val="04A0"/>
      </w:tblPr>
      <w:tblGrid>
        <w:gridCol w:w="667"/>
        <w:gridCol w:w="666"/>
        <w:gridCol w:w="629"/>
        <w:gridCol w:w="665"/>
        <w:gridCol w:w="629"/>
        <w:gridCol w:w="629"/>
        <w:gridCol w:w="798"/>
      </w:tblGrid>
      <w:tr w:rsidR="00664C43" w:rsidRPr="00030DDA" w:rsidTr="005A7390">
        <w:trPr>
          <w:cantSplit/>
          <w:jc w:val="center"/>
        </w:trPr>
        <w:tc>
          <w:tcPr>
            <w:tcW w:w="711"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ALT</w:t>
            </w:r>
          </w:p>
        </w:tc>
        <w:tc>
          <w:tcPr>
            <w:tcW w:w="1383"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Patients</w:t>
            </w:r>
          </w:p>
        </w:tc>
        <w:tc>
          <w:tcPr>
            <w:tcW w:w="1382"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Control</w:t>
            </w:r>
          </w:p>
        </w:tc>
        <w:tc>
          <w:tcPr>
            <w:tcW w:w="1525"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t-test</w:t>
            </w:r>
          </w:p>
        </w:tc>
      </w:tr>
      <w:tr w:rsidR="00664C43" w:rsidRPr="00030DDA" w:rsidTr="005A7390">
        <w:trPr>
          <w:cantSplit/>
          <w:jc w:val="center"/>
        </w:trPr>
        <w:tc>
          <w:tcPr>
            <w:tcW w:w="711" w:type="pct"/>
            <w:vMerge/>
            <w:tcBorders>
              <w:top w:val="single" w:sz="4" w:space="0" w:color="auto"/>
              <w:left w:val="single" w:sz="4" w:space="0" w:color="auto"/>
              <w:bottom w:val="single" w:sz="4" w:space="0" w:color="auto"/>
              <w:right w:val="single" w:sz="4" w:space="0" w:color="auto"/>
            </w:tcBorders>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p>
        </w:tc>
        <w:tc>
          <w:tcPr>
            <w:tcW w:w="711"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Mean</w:t>
            </w:r>
          </w:p>
        </w:tc>
        <w:tc>
          <w:tcPr>
            <w:tcW w:w="672"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Calibri" w:hAnsi="Times New Roman" w:cs="Times New Roman"/>
                <w:color w:val="000000"/>
                <w:sz w:val="18"/>
                <w:szCs w:val="18"/>
                <w:lang w:bidi="ar-EG"/>
              </w:rPr>
              <w:t>±</w:t>
            </w:r>
            <w:r w:rsidRPr="00030DDA">
              <w:rPr>
                <w:rFonts w:ascii="Times New Roman" w:eastAsia="Times New Roman" w:hAnsi="Times New Roman" w:cs="Times New Roman"/>
                <w:b/>
                <w:bCs/>
                <w:color w:val="000000"/>
                <w:sz w:val="18"/>
                <w:szCs w:val="18"/>
              </w:rPr>
              <w:t>SD</w:t>
            </w:r>
          </w:p>
        </w:tc>
        <w:tc>
          <w:tcPr>
            <w:tcW w:w="710"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Mean</w:t>
            </w:r>
          </w:p>
        </w:tc>
        <w:tc>
          <w:tcPr>
            <w:tcW w:w="672"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Calibri" w:hAnsi="Times New Roman" w:cs="Times New Roman"/>
                <w:color w:val="000000"/>
                <w:sz w:val="18"/>
                <w:szCs w:val="18"/>
                <w:lang w:bidi="ar-EG"/>
              </w:rPr>
              <w:t>±</w:t>
            </w:r>
            <w:r w:rsidRPr="00030DDA">
              <w:rPr>
                <w:rFonts w:ascii="Times New Roman" w:eastAsia="Times New Roman" w:hAnsi="Times New Roman" w:cs="Times New Roman"/>
                <w:b/>
                <w:bCs/>
                <w:color w:val="000000"/>
                <w:sz w:val="18"/>
                <w:szCs w:val="18"/>
              </w:rPr>
              <w:t>SD</w:t>
            </w:r>
          </w:p>
        </w:tc>
        <w:tc>
          <w:tcPr>
            <w:tcW w:w="672"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T</w:t>
            </w:r>
          </w:p>
        </w:tc>
        <w:tc>
          <w:tcPr>
            <w:tcW w:w="853"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p-value</w:t>
            </w:r>
          </w:p>
        </w:tc>
      </w:tr>
      <w:tr w:rsidR="00664C43" w:rsidRPr="00030DDA" w:rsidTr="005A7390">
        <w:trPr>
          <w:cantSplit/>
          <w:jc w:val="center"/>
        </w:trPr>
        <w:tc>
          <w:tcPr>
            <w:tcW w:w="711"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ALT0</w:t>
            </w:r>
          </w:p>
        </w:tc>
        <w:tc>
          <w:tcPr>
            <w:tcW w:w="71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39.15</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14.15</w:t>
            </w:r>
          </w:p>
        </w:tc>
        <w:tc>
          <w:tcPr>
            <w:tcW w:w="71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35.00</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9.62</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1.016</w:t>
            </w:r>
          </w:p>
        </w:tc>
        <w:tc>
          <w:tcPr>
            <w:tcW w:w="8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0.129</w:t>
            </w:r>
          </w:p>
        </w:tc>
      </w:tr>
      <w:tr w:rsidR="00664C43" w:rsidRPr="00030DDA" w:rsidTr="005A7390">
        <w:trPr>
          <w:cantSplit/>
          <w:jc w:val="center"/>
        </w:trPr>
        <w:tc>
          <w:tcPr>
            <w:tcW w:w="711"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ALT1</w:t>
            </w:r>
          </w:p>
        </w:tc>
        <w:tc>
          <w:tcPr>
            <w:tcW w:w="71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35.00</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12.42</w:t>
            </w:r>
          </w:p>
        </w:tc>
        <w:tc>
          <w:tcPr>
            <w:tcW w:w="71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31.70</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8.29</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2.612</w:t>
            </w:r>
          </w:p>
        </w:tc>
        <w:tc>
          <w:tcPr>
            <w:tcW w:w="8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0.081</w:t>
            </w:r>
          </w:p>
        </w:tc>
      </w:tr>
      <w:tr w:rsidR="00664C43" w:rsidRPr="00030DDA" w:rsidTr="005A7390">
        <w:trPr>
          <w:cantSplit/>
          <w:jc w:val="center"/>
        </w:trPr>
        <w:tc>
          <w:tcPr>
            <w:tcW w:w="711"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ALT2</w:t>
            </w:r>
          </w:p>
        </w:tc>
        <w:tc>
          <w:tcPr>
            <w:tcW w:w="71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41.13</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12.82</w:t>
            </w:r>
          </w:p>
        </w:tc>
        <w:tc>
          <w:tcPr>
            <w:tcW w:w="71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36.87</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10.02</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1.573</w:t>
            </w:r>
          </w:p>
        </w:tc>
        <w:tc>
          <w:tcPr>
            <w:tcW w:w="8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0.098</w:t>
            </w:r>
          </w:p>
        </w:tc>
      </w:tr>
      <w:tr w:rsidR="00664C43" w:rsidRPr="00030DDA" w:rsidTr="005A7390">
        <w:trPr>
          <w:cantSplit/>
          <w:jc w:val="center"/>
        </w:trPr>
        <w:tc>
          <w:tcPr>
            <w:tcW w:w="711"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ALT3</w:t>
            </w:r>
          </w:p>
        </w:tc>
        <w:tc>
          <w:tcPr>
            <w:tcW w:w="71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38.90</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12.68</w:t>
            </w:r>
          </w:p>
        </w:tc>
        <w:tc>
          <w:tcPr>
            <w:tcW w:w="71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34.03</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11.02</w:t>
            </w:r>
          </w:p>
        </w:tc>
        <w:tc>
          <w:tcPr>
            <w:tcW w:w="672"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1.085</w:t>
            </w:r>
          </w:p>
        </w:tc>
        <w:tc>
          <w:tcPr>
            <w:tcW w:w="8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0.144</w:t>
            </w:r>
          </w:p>
        </w:tc>
      </w:tr>
    </w:tbl>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rPr>
      </w:pPr>
    </w:p>
    <w:p w:rsidR="00664C43" w:rsidRPr="005A7390" w:rsidRDefault="00F3098B" w:rsidP="00030DDA">
      <w:pPr>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A7390">
        <w:rPr>
          <w:rFonts w:ascii="Times New Roman" w:hAnsi="Times New Roman" w:cs="Times New Roman"/>
          <w:sz w:val="20"/>
          <w:szCs w:val="20"/>
        </w:rPr>
        <w:t>Comparative</w:t>
      </w:r>
      <w:r w:rsidR="00664C43" w:rsidRPr="005A7390">
        <w:rPr>
          <w:rFonts w:ascii="Times New Roman" w:hAnsi="Times New Roman" w:cs="Times New Roman"/>
          <w:sz w:val="20"/>
          <w:szCs w:val="20"/>
        </w:rPr>
        <w:t xml:space="preserve"> study between patients and control as regard ALT at the beginning, middle"3 and 6 months later" and at the end of the study using</w:t>
      </w:r>
      <w:r w:rsidR="00664C43" w:rsidRPr="005A7390">
        <w:rPr>
          <w:rFonts w:ascii="Times New Roman" w:hAnsi="Times New Roman" w:cs="Times New Roman"/>
          <w:sz w:val="20"/>
          <w:szCs w:val="20"/>
          <w:lang w:eastAsia="ar-SA"/>
        </w:rPr>
        <w:t xml:space="preserve"> Independent-samples t-test</w:t>
      </w:r>
      <w:r w:rsidR="00664C43" w:rsidRPr="005A7390">
        <w:rPr>
          <w:rFonts w:ascii="Times New Roman" w:hAnsi="Times New Roman" w:cs="Times New Roman"/>
          <w:sz w:val="20"/>
          <w:szCs w:val="20"/>
          <w:lang w:bidi="ar-EG"/>
        </w:rPr>
        <w:t xml:space="preserve"> revealed </w:t>
      </w:r>
      <w:r w:rsidR="00664C43" w:rsidRPr="005A7390">
        <w:rPr>
          <w:rFonts w:ascii="Times New Roman" w:eastAsia="Calibri" w:hAnsi="Times New Roman" w:cs="Times New Roman"/>
          <w:sz w:val="20"/>
          <w:szCs w:val="20"/>
          <w:lang w:bidi="ar-EG"/>
        </w:rPr>
        <w:t xml:space="preserve">non-significance, </w:t>
      </w:r>
      <w:r w:rsidR="00664C43" w:rsidRPr="005A7390">
        <w:rPr>
          <w:rFonts w:ascii="Times New Roman" w:hAnsi="Times New Roman" w:cs="Times New Roman"/>
          <w:i/>
          <w:iCs/>
          <w:sz w:val="20"/>
          <w:szCs w:val="20"/>
          <w:lang w:bidi="ar-EG"/>
        </w:rPr>
        <w:t>p</w:t>
      </w:r>
      <w:r w:rsidR="00664C43" w:rsidRPr="005A7390">
        <w:rPr>
          <w:rFonts w:ascii="Times New Roman" w:hAnsi="Times New Roman" w:cs="Times New Roman"/>
          <w:sz w:val="20"/>
          <w:szCs w:val="20"/>
          <w:lang w:bidi="ar-EG"/>
        </w:rPr>
        <w:t>-value( &gt;0.05)</w:t>
      </w:r>
      <w:r w:rsidR="00664C43" w:rsidRPr="005A7390">
        <w:rPr>
          <w:rFonts w:ascii="Times New Roman" w:eastAsia="Calibri" w:hAnsi="Times New Roman" w:cs="Times New Roman"/>
          <w:sz w:val="20"/>
          <w:szCs w:val="20"/>
          <w:lang w:bidi="ar-EG"/>
        </w:rPr>
        <w:t>.</w:t>
      </w:r>
    </w:p>
    <w:p w:rsidR="00664C43" w:rsidRDefault="00664C43"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lang w:eastAsia="zh-CN"/>
        </w:rPr>
      </w:pPr>
    </w:p>
    <w:p w:rsidR="00030DDA" w:rsidRPr="005A7390" w:rsidRDefault="00030DDA" w:rsidP="00030DDA">
      <w:pPr>
        <w:bidi w:val="0"/>
        <w:adjustRightInd w:val="0"/>
        <w:snapToGrid w:val="0"/>
        <w:spacing w:after="0" w:line="240" w:lineRule="auto"/>
        <w:jc w:val="both"/>
        <w:rPr>
          <w:rFonts w:ascii="Times New Roman" w:hAnsi="Times New Roman" w:cs="Times New Roman"/>
          <w:sz w:val="20"/>
          <w:szCs w:val="20"/>
        </w:rPr>
      </w:pPr>
      <w:proofErr w:type="gramStart"/>
      <w:r w:rsidRPr="005A7390">
        <w:rPr>
          <w:rFonts w:ascii="Times New Roman" w:hAnsi="Times New Roman" w:cs="Times New Roman"/>
          <w:b/>
          <w:bCs/>
          <w:sz w:val="20"/>
          <w:szCs w:val="20"/>
        </w:rPr>
        <w:t>Table (5):</w:t>
      </w:r>
      <w:r w:rsidRPr="005A7390">
        <w:rPr>
          <w:rFonts w:ascii="Times New Roman" w:hAnsi="Times New Roman" w:cs="Times New Roman"/>
          <w:sz w:val="20"/>
          <w:szCs w:val="20"/>
        </w:rPr>
        <w:t xml:space="preserve"> Comparison between patients and control as regard AST at the beginning, middle"3 and 6 months later" and at the end of the study.</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030DDA" w:rsidRPr="005A7390" w:rsidTr="000D05A5">
        <w:trPr>
          <w:jc w:val="center"/>
        </w:trPr>
        <w:tc>
          <w:tcPr>
            <w:tcW w:w="4698" w:type="dxa"/>
          </w:tcPr>
          <w:tbl>
            <w:tblPr>
              <w:tblW w:w="5000" w:type="pct"/>
              <w:jc w:val="center"/>
              <w:tblLook w:val="04A0"/>
            </w:tblPr>
            <w:tblGrid>
              <w:gridCol w:w="640"/>
              <w:gridCol w:w="647"/>
              <w:gridCol w:w="612"/>
              <w:gridCol w:w="646"/>
              <w:gridCol w:w="538"/>
              <w:gridCol w:w="612"/>
              <w:gridCol w:w="762"/>
            </w:tblGrid>
            <w:tr w:rsidR="00030DDA" w:rsidRPr="00030DDA" w:rsidTr="000D05A5">
              <w:trPr>
                <w:cantSplit/>
                <w:jc w:val="center"/>
              </w:trPr>
              <w:tc>
                <w:tcPr>
                  <w:tcW w:w="717"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AST</w:t>
                  </w:r>
                </w:p>
              </w:tc>
              <w:tc>
                <w:tcPr>
                  <w:tcW w:w="1411"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Patients</w:t>
                  </w:r>
                </w:p>
              </w:tc>
              <w:tc>
                <w:tcPr>
                  <w:tcW w:w="1328"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Control</w:t>
                  </w:r>
                </w:p>
              </w:tc>
              <w:tc>
                <w:tcPr>
                  <w:tcW w:w="1544"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t-test</w:t>
                  </w:r>
                </w:p>
              </w:tc>
            </w:tr>
            <w:tr w:rsidR="00030DDA" w:rsidRPr="00030DDA" w:rsidTr="000D05A5">
              <w:trPr>
                <w:cantSplit/>
                <w:jc w:val="center"/>
              </w:trPr>
              <w:tc>
                <w:tcPr>
                  <w:tcW w:w="717" w:type="pct"/>
                  <w:vMerge/>
                  <w:tcBorders>
                    <w:top w:val="single" w:sz="4" w:space="0" w:color="auto"/>
                    <w:left w:val="single" w:sz="4" w:space="0" w:color="auto"/>
                    <w:bottom w:val="single" w:sz="4" w:space="0" w:color="auto"/>
                    <w:right w:val="single" w:sz="4" w:space="0" w:color="auto"/>
                  </w:tcBorders>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p>
              </w:tc>
              <w:tc>
                <w:tcPr>
                  <w:tcW w:w="725" w:type="pct"/>
                  <w:tcBorders>
                    <w:top w:val="nil"/>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Mean</w:t>
                  </w:r>
                </w:p>
              </w:tc>
              <w:tc>
                <w:tcPr>
                  <w:tcW w:w="687" w:type="pct"/>
                  <w:tcBorders>
                    <w:top w:val="nil"/>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Calibri" w:hAnsi="Times New Roman" w:cs="Times New Roman"/>
                      <w:color w:val="000000"/>
                      <w:sz w:val="16"/>
                      <w:szCs w:val="16"/>
                      <w:lang w:bidi="ar-EG"/>
                    </w:rPr>
                    <w:t>±</w:t>
                  </w:r>
                  <w:r w:rsidRPr="00030DDA">
                    <w:rPr>
                      <w:rFonts w:ascii="Times New Roman" w:eastAsia="Times New Roman" w:hAnsi="Times New Roman" w:cs="Times New Roman"/>
                      <w:b/>
                      <w:bCs/>
                      <w:color w:val="000000"/>
                      <w:sz w:val="16"/>
                      <w:szCs w:val="16"/>
                    </w:rPr>
                    <w:t>SD</w:t>
                  </w:r>
                </w:p>
              </w:tc>
              <w:tc>
                <w:tcPr>
                  <w:tcW w:w="725" w:type="pct"/>
                  <w:tcBorders>
                    <w:top w:val="nil"/>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Mean</w:t>
                  </w:r>
                </w:p>
              </w:tc>
              <w:tc>
                <w:tcPr>
                  <w:tcW w:w="604" w:type="pct"/>
                  <w:tcBorders>
                    <w:top w:val="nil"/>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Calibri" w:hAnsi="Times New Roman" w:cs="Times New Roman"/>
                      <w:color w:val="000000"/>
                      <w:sz w:val="16"/>
                      <w:szCs w:val="16"/>
                      <w:lang w:bidi="ar-EG"/>
                    </w:rPr>
                    <w:t>±</w:t>
                  </w:r>
                  <w:r w:rsidRPr="00030DDA">
                    <w:rPr>
                      <w:rFonts w:ascii="Times New Roman" w:eastAsia="Times New Roman" w:hAnsi="Times New Roman" w:cs="Times New Roman"/>
                      <w:b/>
                      <w:bCs/>
                      <w:color w:val="000000"/>
                      <w:sz w:val="16"/>
                      <w:szCs w:val="16"/>
                    </w:rPr>
                    <w:t>SD</w:t>
                  </w:r>
                </w:p>
              </w:tc>
              <w:tc>
                <w:tcPr>
                  <w:tcW w:w="687" w:type="pct"/>
                  <w:tcBorders>
                    <w:top w:val="nil"/>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color w:val="000000"/>
                      <w:sz w:val="16"/>
                      <w:szCs w:val="16"/>
                    </w:rPr>
                    <w:t>T</w:t>
                  </w:r>
                </w:p>
              </w:tc>
              <w:tc>
                <w:tcPr>
                  <w:tcW w:w="857" w:type="pct"/>
                  <w:tcBorders>
                    <w:top w:val="nil"/>
                    <w:left w:val="nil"/>
                    <w:bottom w:val="single" w:sz="4" w:space="0" w:color="auto"/>
                    <w:right w:val="single" w:sz="4" w:space="0" w:color="auto"/>
                  </w:tcBorders>
                  <w:shd w:val="clear" w:color="000000" w:fill="D9D9D9"/>
                  <w:noWrap/>
                  <w:vAlign w:val="center"/>
                  <w:hideMark/>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b/>
                      <w:bCs/>
                      <w:color w:val="000000"/>
                      <w:sz w:val="16"/>
                      <w:szCs w:val="16"/>
                    </w:rPr>
                  </w:pPr>
                  <w:r w:rsidRPr="00030DDA">
                    <w:rPr>
                      <w:rFonts w:ascii="Times New Roman" w:eastAsia="Times New Roman" w:hAnsi="Times New Roman" w:cs="Times New Roman"/>
                      <w:b/>
                      <w:bCs/>
                      <w:i/>
                      <w:iCs/>
                      <w:color w:val="000000"/>
                      <w:sz w:val="16"/>
                      <w:szCs w:val="16"/>
                    </w:rPr>
                    <w:t>p</w:t>
                  </w:r>
                  <w:r w:rsidRPr="00030DDA">
                    <w:rPr>
                      <w:rFonts w:ascii="Times New Roman" w:eastAsia="Times New Roman" w:hAnsi="Times New Roman" w:cs="Times New Roman"/>
                      <w:b/>
                      <w:bCs/>
                      <w:color w:val="000000"/>
                      <w:sz w:val="16"/>
                      <w:szCs w:val="16"/>
                    </w:rPr>
                    <w:t>-value</w:t>
                  </w:r>
                </w:p>
              </w:tc>
            </w:tr>
            <w:tr w:rsidR="00030DDA" w:rsidRPr="00030DDA" w:rsidTr="000D05A5">
              <w:trPr>
                <w:cantSplit/>
                <w:jc w:val="center"/>
              </w:trPr>
              <w:tc>
                <w:tcPr>
                  <w:tcW w:w="717" w:type="pct"/>
                  <w:tcBorders>
                    <w:top w:val="nil"/>
                    <w:left w:val="single" w:sz="4" w:space="0" w:color="auto"/>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AST0</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26.58</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10.83</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20.07</w:t>
                  </w:r>
                </w:p>
              </w:tc>
              <w:tc>
                <w:tcPr>
                  <w:tcW w:w="604"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9.92</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1.421</w:t>
                  </w:r>
                </w:p>
              </w:tc>
              <w:tc>
                <w:tcPr>
                  <w:tcW w:w="85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0.077</w:t>
                  </w:r>
                </w:p>
              </w:tc>
            </w:tr>
            <w:tr w:rsidR="00030DDA" w:rsidRPr="00030DDA" w:rsidTr="000D05A5">
              <w:trPr>
                <w:cantSplit/>
                <w:jc w:val="center"/>
              </w:trPr>
              <w:tc>
                <w:tcPr>
                  <w:tcW w:w="717" w:type="pct"/>
                  <w:tcBorders>
                    <w:top w:val="nil"/>
                    <w:left w:val="single" w:sz="4" w:space="0" w:color="auto"/>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AST1</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29.78</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8.76</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19.23</w:t>
                  </w:r>
                </w:p>
              </w:tc>
              <w:tc>
                <w:tcPr>
                  <w:tcW w:w="604"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8.07</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0.153</w:t>
                  </w:r>
                </w:p>
              </w:tc>
              <w:tc>
                <w:tcPr>
                  <w:tcW w:w="85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0.155</w:t>
                  </w:r>
                </w:p>
              </w:tc>
            </w:tr>
            <w:tr w:rsidR="00030DDA" w:rsidRPr="00030DDA" w:rsidTr="000D05A5">
              <w:trPr>
                <w:cantSplit/>
                <w:jc w:val="center"/>
              </w:trPr>
              <w:tc>
                <w:tcPr>
                  <w:tcW w:w="717" w:type="pct"/>
                  <w:tcBorders>
                    <w:top w:val="nil"/>
                    <w:left w:val="single" w:sz="4" w:space="0" w:color="auto"/>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AST2</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29.68</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11.16</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19.87</w:t>
                  </w:r>
                </w:p>
              </w:tc>
              <w:tc>
                <w:tcPr>
                  <w:tcW w:w="604"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7.12</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0.790</w:t>
                  </w:r>
                </w:p>
              </w:tc>
              <w:tc>
                <w:tcPr>
                  <w:tcW w:w="85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0.126</w:t>
                  </w:r>
                </w:p>
              </w:tc>
            </w:tr>
            <w:tr w:rsidR="00030DDA" w:rsidRPr="00030DDA" w:rsidTr="000D05A5">
              <w:trPr>
                <w:cantSplit/>
                <w:jc w:val="center"/>
              </w:trPr>
              <w:tc>
                <w:tcPr>
                  <w:tcW w:w="717" w:type="pct"/>
                  <w:tcBorders>
                    <w:top w:val="nil"/>
                    <w:left w:val="single" w:sz="4" w:space="0" w:color="auto"/>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AST3</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26.58</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9.23</w:t>
                  </w:r>
                </w:p>
              </w:tc>
              <w:tc>
                <w:tcPr>
                  <w:tcW w:w="725"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17.50</w:t>
                  </w:r>
                </w:p>
              </w:tc>
              <w:tc>
                <w:tcPr>
                  <w:tcW w:w="604"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5.92</w:t>
                  </w:r>
                </w:p>
              </w:tc>
              <w:tc>
                <w:tcPr>
                  <w:tcW w:w="68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0.296</w:t>
                  </w:r>
                </w:p>
              </w:tc>
              <w:tc>
                <w:tcPr>
                  <w:tcW w:w="857" w:type="pct"/>
                  <w:tcBorders>
                    <w:top w:val="nil"/>
                    <w:left w:val="nil"/>
                    <w:bottom w:val="single" w:sz="4" w:space="0" w:color="auto"/>
                    <w:right w:val="single" w:sz="4" w:space="0" w:color="auto"/>
                  </w:tcBorders>
                  <w:shd w:val="clear" w:color="auto" w:fill="auto"/>
                  <w:noWrap/>
                  <w:vAlign w:val="center"/>
                </w:tcPr>
                <w:p w:rsidR="00030DDA" w:rsidRPr="00030DDA" w:rsidRDefault="00030DDA" w:rsidP="00030DDA">
                  <w:pPr>
                    <w:bidi w:val="0"/>
                    <w:adjustRightInd w:val="0"/>
                    <w:snapToGrid w:val="0"/>
                    <w:spacing w:after="0" w:line="240" w:lineRule="auto"/>
                    <w:jc w:val="both"/>
                    <w:rPr>
                      <w:rFonts w:ascii="Times New Roman" w:eastAsia="Times New Roman" w:hAnsi="Times New Roman" w:cs="Times New Roman"/>
                      <w:color w:val="000000"/>
                      <w:sz w:val="16"/>
                      <w:szCs w:val="16"/>
                    </w:rPr>
                  </w:pPr>
                  <w:r w:rsidRPr="00030DDA">
                    <w:rPr>
                      <w:rFonts w:ascii="Times New Roman" w:eastAsia="Times New Roman" w:hAnsi="Times New Roman" w:cs="Times New Roman"/>
                      <w:color w:val="000000"/>
                      <w:sz w:val="16"/>
                      <w:szCs w:val="16"/>
                    </w:rPr>
                    <w:t>0.141</w:t>
                  </w:r>
                </w:p>
              </w:tc>
            </w:tr>
          </w:tbl>
          <w:p w:rsidR="00030DDA" w:rsidRPr="005A7390" w:rsidRDefault="00030DDA" w:rsidP="00030DDA">
            <w:pPr>
              <w:bidi w:val="0"/>
              <w:adjustRightInd w:val="0"/>
              <w:snapToGrid w:val="0"/>
              <w:jc w:val="both"/>
              <w:rPr>
                <w:b/>
                <w:bCs/>
                <w:color w:val="000000"/>
              </w:rPr>
            </w:pPr>
          </w:p>
        </w:tc>
      </w:tr>
    </w:tbl>
    <w:p w:rsidR="00030DDA" w:rsidRPr="005A7390" w:rsidRDefault="00030DDA" w:rsidP="00030DDA">
      <w:pPr>
        <w:bidi w:val="0"/>
        <w:adjustRightInd w:val="0"/>
        <w:snapToGrid w:val="0"/>
        <w:spacing w:after="0" w:line="240" w:lineRule="auto"/>
        <w:ind w:firstLine="425"/>
        <w:jc w:val="both"/>
        <w:rPr>
          <w:rFonts w:ascii="Times New Roman" w:hAnsi="Times New Roman" w:cs="Times New Roman"/>
          <w:sz w:val="20"/>
          <w:szCs w:val="20"/>
        </w:rPr>
      </w:pPr>
    </w:p>
    <w:p w:rsidR="00664C43" w:rsidRPr="005A7390" w:rsidRDefault="00664C43" w:rsidP="00030DDA">
      <w:pPr>
        <w:bidi w:val="0"/>
        <w:adjustRightInd w:val="0"/>
        <w:snapToGrid w:val="0"/>
        <w:spacing w:after="0" w:line="240" w:lineRule="auto"/>
        <w:jc w:val="center"/>
        <w:rPr>
          <w:rFonts w:ascii="Times New Roman" w:hAnsi="Times New Roman" w:cs="Times New Roman"/>
          <w:sz w:val="20"/>
          <w:szCs w:val="20"/>
          <w:lang w:bidi="ar-EG"/>
        </w:rPr>
      </w:pPr>
      <w:r w:rsidRPr="005A7390">
        <w:rPr>
          <w:rFonts w:ascii="Times New Roman" w:hAnsi="Times New Roman" w:cs="Times New Roman"/>
          <w:noProof/>
          <w:sz w:val="20"/>
          <w:szCs w:val="20"/>
          <w:lang w:eastAsia="zh-CN"/>
        </w:rPr>
        <w:lastRenderedPageBreak/>
        <w:drawing>
          <wp:inline distT="0" distB="0" distL="0" distR="0">
            <wp:extent cx="2795712" cy="1868557"/>
            <wp:effectExtent l="19050" t="0" r="4638"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7233" cy="1876257"/>
                    </a:xfrm>
                    <a:prstGeom prst="rect">
                      <a:avLst/>
                    </a:prstGeom>
                    <a:noFill/>
                  </pic:spPr>
                </pic:pic>
              </a:graphicData>
            </a:graphic>
          </wp:inline>
        </w:drawing>
      </w:r>
    </w:p>
    <w:p w:rsidR="00664C43" w:rsidRPr="005A7390" w:rsidRDefault="00664C43" w:rsidP="00030DDA">
      <w:pPr>
        <w:bidi w:val="0"/>
        <w:adjustRightInd w:val="0"/>
        <w:snapToGrid w:val="0"/>
        <w:spacing w:after="0" w:line="240" w:lineRule="auto"/>
        <w:jc w:val="both"/>
        <w:rPr>
          <w:rFonts w:ascii="Times New Roman" w:hAnsi="Times New Roman" w:cs="Times New Roman"/>
          <w:b/>
          <w:bCs/>
          <w:sz w:val="20"/>
          <w:szCs w:val="20"/>
        </w:rPr>
      </w:pPr>
      <w:r w:rsidRPr="005A7390">
        <w:rPr>
          <w:rFonts w:ascii="Times New Roman" w:hAnsi="Times New Roman" w:cs="Times New Roman"/>
          <w:b/>
          <w:bCs/>
          <w:sz w:val="20"/>
          <w:szCs w:val="20"/>
        </w:rPr>
        <w:t>Figure (1):</w:t>
      </w:r>
      <w:r w:rsidRPr="005A7390">
        <w:rPr>
          <w:rFonts w:ascii="Times New Roman" w:hAnsi="Times New Roman" w:cs="Times New Roman"/>
          <w:sz w:val="20"/>
          <w:szCs w:val="20"/>
        </w:rPr>
        <w:t xml:space="preserve"> Comparison between patients and control as regard ALT at the beginning, middle"3 and 6 months later" and at the end of the study.</w:t>
      </w:r>
    </w:p>
    <w:p w:rsidR="00664C43" w:rsidRPr="005A7390" w:rsidRDefault="00664C43" w:rsidP="00030DDA">
      <w:pPr>
        <w:bidi w:val="0"/>
        <w:adjustRightInd w:val="0"/>
        <w:snapToGrid w:val="0"/>
        <w:spacing w:after="0" w:line="240" w:lineRule="auto"/>
        <w:jc w:val="center"/>
        <w:rPr>
          <w:rFonts w:ascii="Times New Roman" w:hAnsi="Times New Roman" w:cs="Times New Roman"/>
          <w:b/>
          <w:bCs/>
          <w:sz w:val="20"/>
          <w:szCs w:val="20"/>
        </w:rPr>
      </w:pPr>
    </w:p>
    <w:p w:rsidR="00664C43" w:rsidRPr="005A7390" w:rsidRDefault="00F3098B" w:rsidP="00030DDA">
      <w:pPr>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A7390">
        <w:rPr>
          <w:rFonts w:ascii="Times New Roman" w:hAnsi="Times New Roman" w:cs="Times New Roman"/>
          <w:sz w:val="20"/>
          <w:szCs w:val="20"/>
        </w:rPr>
        <w:t>Comparative</w:t>
      </w:r>
      <w:r w:rsidR="00664C43" w:rsidRPr="005A7390">
        <w:rPr>
          <w:rFonts w:ascii="Times New Roman" w:hAnsi="Times New Roman" w:cs="Times New Roman"/>
          <w:sz w:val="20"/>
          <w:szCs w:val="20"/>
        </w:rPr>
        <w:t xml:space="preserve"> study between patients and control as regard AST at the beginning, middle"3 and 6 months later" and at the end of the study using</w:t>
      </w:r>
      <w:r w:rsidR="00664C43" w:rsidRPr="005A7390">
        <w:rPr>
          <w:rFonts w:ascii="Times New Roman" w:hAnsi="Times New Roman" w:cs="Times New Roman"/>
          <w:sz w:val="20"/>
          <w:szCs w:val="20"/>
          <w:lang w:eastAsia="ar-SA"/>
        </w:rPr>
        <w:t xml:space="preserve"> Independent-samples t-test</w:t>
      </w:r>
      <w:r w:rsidR="00664C43" w:rsidRPr="005A7390">
        <w:rPr>
          <w:rFonts w:ascii="Times New Roman" w:hAnsi="Times New Roman" w:cs="Times New Roman"/>
          <w:sz w:val="20"/>
          <w:szCs w:val="20"/>
          <w:lang w:bidi="ar-EG"/>
        </w:rPr>
        <w:t xml:space="preserve"> revealed </w:t>
      </w:r>
      <w:r w:rsidR="00664C43" w:rsidRPr="005A7390">
        <w:rPr>
          <w:rFonts w:ascii="Times New Roman" w:eastAsia="Calibri" w:hAnsi="Times New Roman" w:cs="Times New Roman"/>
          <w:sz w:val="20"/>
          <w:szCs w:val="20"/>
          <w:lang w:bidi="ar-EG"/>
        </w:rPr>
        <w:t>non-</w:t>
      </w:r>
      <w:proofErr w:type="spellStart"/>
      <w:r w:rsidR="00664C43" w:rsidRPr="005A7390">
        <w:rPr>
          <w:rFonts w:ascii="Times New Roman" w:eastAsia="Calibri" w:hAnsi="Times New Roman" w:cs="Times New Roman"/>
          <w:sz w:val="20"/>
          <w:szCs w:val="20"/>
          <w:lang w:bidi="ar-EG"/>
        </w:rPr>
        <w:t>significance,</w:t>
      </w:r>
      <w:r w:rsidR="00664C43" w:rsidRPr="005A7390">
        <w:rPr>
          <w:rFonts w:ascii="Times New Roman" w:hAnsi="Times New Roman" w:cs="Times New Roman"/>
          <w:i/>
          <w:iCs/>
          <w:sz w:val="20"/>
          <w:szCs w:val="20"/>
          <w:lang w:bidi="ar-EG"/>
        </w:rPr>
        <w:t>p</w:t>
      </w:r>
      <w:proofErr w:type="spellEnd"/>
      <w:r w:rsidR="00664C43" w:rsidRPr="005A7390">
        <w:rPr>
          <w:rFonts w:ascii="Times New Roman" w:hAnsi="Times New Roman" w:cs="Times New Roman"/>
          <w:sz w:val="20"/>
          <w:szCs w:val="20"/>
          <w:lang w:bidi="ar-EG"/>
        </w:rPr>
        <w:t>-value( &gt;0.05)</w:t>
      </w:r>
      <w:r w:rsidR="00664C43" w:rsidRPr="005A7390">
        <w:rPr>
          <w:rFonts w:ascii="Times New Roman" w:eastAsia="Calibri" w:hAnsi="Times New Roman" w:cs="Times New Roman"/>
          <w:sz w:val="20"/>
          <w:szCs w:val="20"/>
          <w:lang w:bidi="ar-EG"/>
        </w:rPr>
        <w:t>.</w:t>
      </w:r>
    </w:p>
    <w:p w:rsidR="00664C43" w:rsidRPr="005A7390" w:rsidRDefault="00664C43"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lang w:bidi="ar-EG"/>
        </w:rPr>
      </w:pPr>
    </w:p>
    <w:p w:rsidR="00664C43" w:rsidRPr="005A7390" w:rsidRDefault="00664C43" w:rsidP="00030DDA">
      <w:pPr>
        <w:bidi w:val="0"/>
        <w:adjustRightInd w:val="0"/>
        <w:snapToGrid w:val="0"/>
        <w:spacing w:after="0" w:line="240" w:lineRule="auto"/>
        <w:jc w:val="center"/>
        <w:rPr>
          <w:rFonts w:ascii="Times New Roman" w:hAnsi="Times New Roman" w:cs="Times New Roman"/>
          <w:sz w:val="20"/>
          <w:szCs w:val="20"/>
          <w:lang w:bidi="ar-EG"/>
        </w:rPr>
      </w:pPr>
      <w:r w:rsidRPr="005A7390">
        <w:rPr>
          <w:rFonts w:ascii="Times New Roman" w:hAnsi="Times New Roman" w:cs="Times New Roman"/>
          <w:noProof/>
          <w:sz w:val="20"/>
          <w:szCs w:val="20"/>
          <w:lang w:eastAsia="zh-CN"/>
        </w:rPr>
        <w:drawing>
          <wp:inline distT="0" distB="0" distL="0" distR="0">
            <wp:extent cx="2892709" cy="1987826"/>
            <wp:effectExtent l="19050" t="0" r="2891" b="0"/>
            <wp:docPr id="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2981" cy="1988013"/>
                    </a:xfrm>
                    <a:prstGeom prst="rect">
                      <a:avLst/>
                    </a:prstGeom>
                    <a:noFill/>
                  </pic:spPr>
                </pic:pic>
              </a:graphicData>
            </a:graphic>
          </wp:inline>
        </w:drawing>
      </w:r>
    </w:p>
    <w:p w:rsidR="00664C43" w:rsidRPr="005A7390" w:rsidRDefault="00664C43" w:rsidP="00030DDA">
      <w:pPr>
        <w:bidi w:val="0"/>
        <w:adjustRightInd w:val="0"/>
        <w:snapToGrid w:val="0"/>
        <w:spacing w:after="0" w:line="240" w:lineRule="auto"/>
        <w:jc w:val="both"/>
        <w:rPr>
          <w:rFonts w:ascii="Times New Roman" w:hAnsi="Times New Roman" w:cs="Times New Roman"/>
          <w:sz w:val="20"/>
          <w:szCs w:val="20"/>
        </w:rPr>
      </w:pPr>
      <w:r w:rsidRPr="005A7390">
        <w:rPr>
          <w:rFonts w:ascii="Times New Roman" w:hAnsi="Times New Roman" w:cs="Times New Roman"/>
          <w:b/>
          <w:bCs/>
          <w:sz w:val="20"/>
          <w:szCs w:val="20"/>
        </w:rPr>
        <w:t>Figure (2):</w:t>
      </w:r>
      <w:r w:rsidRPr="005A7390">
        <w:rPr>
          <w:rFonts w:ascii="Times New Roman" w:hAnsi="Times New Roman" w:cs="Times New Roman"/>
          <w:sz w:val="20"/>
          <w:szCs w:val="20"/>
        </w:rPr>
        <w:t xml:space="preserve"> Comparison between patients and control as regard AST at the beginning, middle"3 and 6 months later" and at the end of the study.</w:t>
      </w:r>
    </w:p>
    <w:p w:rsidR="00766539" w:rsidRPr="005A7390" w:rsidRDefault="00766539" w:rsidP="00030DDA">
      <w:pPr>
        <w:bidi w:val="0"/>
        <w:adjustRightInd w:val="0"/>
        <w:snapToGrid w:val="0"/>
        <w:spacing w:after="0" w:line="240" w:lineRule="auto"/>
        <w:rPr>
          <w:rFonts w:ascii="Times New Roman" w:hAnsi="Times New Roman" w:cs="Times New Roman"/>
          <w:b/>
          <w:bCs/>
          <w:sz w:val="20"/>
          <w:szCs w:val="20"/>
        </w:rPr>
      </w:pPr>
    </w:p>
    <w:p w:rsidR="00664C43" w:rsidRPr="005A7390" w:rsidRDefault="00664C43" w:rsidP="00030DDA">
      <w:pPr>
        <w:bidi w:val="0"/>
        <w:adjustRightInd w:val="0"/>
        <w:snapToGrid w:val="0"/>
        <w:spacing w:after="0" w:line="240" w:lineRule="auto"/>
        <w:jc w:val="both"/>
        <w:rPr>
          <w:rFonts w:ascii="Times New Roman" w:hAnsi="Times New Roman" w:cs="Times New Roman"/>
          <w:sz w:val="20"/>
          <w:szCs w:val="20"/>
        </w:rPr>
      </w:pPr>
      <w:proofErr w:type="gramStart"/>
      <w:r w:rsidRPr="005A7390">
        <w:rPr>
          <w:rFonts w:ascii="Times New Roman" w:hAnsi="Times New Roman" w:cs="Times New Roman"/>
          <w:b/>
          <w:bCs/>
          <w:sz w:val="20"/>
          <w:szCs w:val="20"/>
        </w:rPr>
        <w:t>Table (6):</w:t>
      </w:r>
      <w:r w:rsidRPr="005A7390">
        <w:rPr>
          <w:rFonts w:ascii="Times New Roman" w:hAnsi="Times New Roman" w:cs="Times New Roman"/>
          <w:sz w:val="20"/>
          <w:szCs w:val="20"/>
        </w:rPr>
        <w:t xml:space="preserve"> Comparison between patients and control as regard ALB at the beginning, middle"3 and 6 months later" and at the end of the study.</w:t>
      </w:r>
      <w:proofErr w:type="gramEnd"/>
    </w:p>
    <w:tbl>
      <w:tblPr>
        <w:tblW w:w="5000" w:type="pct"/>
        <w:jc w:val="center"/>
        <w:tblLook w:val="04A0"/>
      </w:tblPr>
      <w:tblGrid>
        <w:gridCol w:w="691"/>
        <w:gridCol w:w="679"/>
        <w:gridCol w:w="562"/>
        <w:gridCol w:w="679"/>
        <w:gridCol w:w="562"/>
        <w:gridCol w:w="705"/>
        <w:gridCol w:w="805"/>
      </w:tblGrid>
      <w:tr w:rsidR="00664C43" w:rsidRPr="00030DDA" w:rsidTr="005A7390">
        <w:trPr>
          <w:cantSplit/>
          <w:jc w:val="center"/>
        </w:trPr>
        <w:tc>
          <w:tcPr>
            <w:tcW w:w="737"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Alb.</w:t>
            </w:r>
          </w:p>
        </w:tc>
        <w:tc>
          <w:tcPr>
            <w:tcW w:w="1325"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Patients</w:t>
            </w:r>
          </w:p>
        </w:tc>
        <w:tc>
          <w:tcPr>
            <w:tcW w:w="1325"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Control</w:t>
            </w:r>
          </w:p>
        </w:tc>
        <w:tc>
          <w:tcPr>
            <w:tcW w:w="1613"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t-test</w:t>
            </w:r>
          </w:p>
        </w:tc>
      </w:tr>
      <w:tr w:rsidR="00664C43" w:rsidRPr="00030DDA" w:rsidTr="005A7390">
        <w:trPr>
          <w:cantSplit/>
          <w:jc w:val="center"/>
        </w:trPr>
        <w:tc>
          <w:tcPr>
            <w:tcW w:w="737" w:type="pct"/>
            <w:vMerge/>
            <w:tcBorders>
              <w:top w:val="single" w:sz="4" w:space="0" w:color="auto"/>
              <w:left w:val="single" w:sz="4" w:space="0" w:color="auto"/>
              <w:bottom w:val="single" w:sz="4" w:space="0" w:color="auto"/>
              <w:right w:val="single" w:sz="4" w:space="0" w:color="auto"/>
            </w:tcBorders>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p>
        </w:tc>
        <w:tc>
          <w:tcPr>
            <w:tcW w:w="725"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Mean</w:t>
            </w:r>
          </w:p>
        </w:tc>
        <w:tc>
          <w:tcPr>
            <w:tcW w:w="600"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Calibri" w:hAnsi="Times New Roman" w:cs="Times New Roman"/>
                <w:color w:val="000000"/>
                <w:sz w:val="18"/>
                <w:szCs w:val="18"/>
                <w:lang w:bidi="ar-EG"/>
              </w:rPr>
              <w:t>±</w:t>
            </w:r>
            <w:r w:rsidRPr="00030DDA">
              <w:rPr>
                <w:rFonts w:ascii="Times New Roman" w:eastAsia="Times New Roman" w:hAnsi="Times New Roman" w:cs="Times New Roman"/>
                <w:b/>
                <w:bCs/>
                <w:color w:val="000000"/>
                <w:sz w:val="18"/>
                <w:szCs w:val="18"/>
              </w:rPr>
              <w:t>SD</w:t>
            </w:r>
          </w:p>
        </w:tc>
        <w:tc>
          <w:tcPr>
            <w:tcW w:w="725"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Mean</w:t>
            </w:r>
          </w:p>
        </w:tc>
        <w:tc>
          <w:tcPr>
            <w:tcW w:w="600"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Calibri" w:hAnsi="Times New Roman" w:cs="Times New Roman"/>
                <w:color w:val="000000"/>
                <w:sz w:val="18"/>
                <w:szCs w:val="18"/>
                <w:lang w:bidi="ar-EG"/>
              </w:rPr>
              <w:t>±</w:t>
            </w:r>
            <w:r w:rsidRPr="00030DDA">
              <w:rPr>
                <w:rFonts w:ascii="Times New Roman" w:eastAsia="Times New Roman" w:hAnsi="Times New Roman" w:cs="Times New Roman"/>
                <w:b/>
                <w:bCs/>
                <w:color w:val="000000"/>
                <w:sz w:val="18"/>
                <w:szCs w:val="18"/>
              </w:rPr>
              <w:t>SD</w:t>
            </w:r>
          </w:p>
        </w:tc>
        <w:tc>
          <w:tcPr>
            <w:tcW w:w="753"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T</w:t>
            </w:r>
          </w:p>
        </w:tc>
        <w:tc>
          <w:tcPr>
            <w:tcW w:w="861"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i/>
                <w:iCs/>
                <w:color w:val="000000"/>
                <w:sz w:val="18"/>
                <w:szCs w:val="18"/>
              </w:rPr>
              <w:t>p</w:t>
            </w:r>
            <w:r w:rsidRPr="00030DDA">
              <w:rPr>
                <w:rFonts w:ascii="Times New Roman" w:eastAsia="Times New Roman" w:hAnsi="Times New Roman" w:cs="Times New Roman"/>
                <w:b/>
                <w:bCs/>
                <w:color w:val="000000"/>
                <w:sz w:val="18"/>
                <w:szCs w:val="18"/>
              </w:rPr>
              <w:t>-value</w:t>
            </w:r>
          </w:p>
        </w:tc>
      </w:tr>
      <w:tr w:rsidR="00664C43" w:rsidRPr="00030DDA" w:rsidTr="005A7390">
        <w:trPr>
          <w:cantSplit/>
          <w:jc w:val="center"/>
        </w:trPr>
        <w:tc>
          <w:tcPr>
            <w:tcW w:w="73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ALB0</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3.77</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0.30</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3.88</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0.28</w:t>
            </w:r>
          </w:p>
        </w:tc>
        <w:tc>
          <w:tcPr>
            <w:tcW w:w="7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-1.621</w:t>
            </w:r>
          </w:p>
        </w:tc>
        <w:tc>
          <w:tcPr>
            <w:tcW w:w="86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0.110</w:t>
            </w:r>
          </w:p>
        </w:tc>
      </w:tr>
      <w:tr w:rsidR="00664C43" w:rsidRPr="00030DDA" w:rsidTr="005A7390">
        <w:trPr>
          <w:cantSplit/>
          <w:jc w:val="center"/>
        </w:trPr>
        <w:tc>
          <w:tcPr>
            <w:tcW w:w="73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ALB1</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3.83</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0.23</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3.96</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0.24</w:t>
            </w:r>
          </w:p>
        </w:tc>
        <w:tc>
          <w:tcPr>
            <w:tcW w:w="7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-1.249</w:t>
            </w:r>
          </w:p>
        </w:tc>
        <w:tc>
          <w:tcPr>
            <w:tcW w:w="86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0.098</w:t>
            </w:r>
          </w:p>
        </w:tc>
      </w:tr>
      <w:tr w:rsidR="00664C43" w:rsidRPr="00030DDA" w:rsidTr="005A7390">
        <w:trPr>
          <w:cantSplit/>
          <w:jc w:val="center"/>
        </w:trPr>
        <w:tc>
          <w:tcPr>
            <w:tcW w:w="73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ALB2</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3.89</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0.17</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3.88</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0.19</w:t>
            </w:r>
          </w:p>
        </w:tc>
        <w:tc>
          <w:tcPr>
            <w:tcW w:w="7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0.157</w:t>
            </w:r>
          </w:p>
        </w:tc>
        <w:tc>
          <w:tcPr>
            <w:tcW w:w="86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0.876</w:t>
            </w:r>
          </w:p>
        </w:tc>
      </w:tr>
      <w:tr w:rsidR="00664C43" w:rsidRPr="00030DDA" w:rsidTr="005A7390">
        <w:trPr>
          <w:cantSplit/>
          <w:jc w:val="center"/>
        </w:trPr>
        <w:tc>
          <w:tcPr>
            <w:tcW w:w="73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ALB3</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4.06</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0.26</w:t>
            </w:r>
          </w:p>
        </w:tc>
        <w:tc>
          <w:tcPr>
            <w:tcW w:w="72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4.02</w:t>
            </w:r>
          </w:p>
        </w:tc>
        <w:tc>
          <w:tcPr>
            <w:tcW w:w="600"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0.27</w:t>
            </w:r>
          </w:p>
        </w:tc>
        <w:tc>
          <w:tcPr>
            <w:tcW w:w="75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0.662</w:t>
            </w:r>
          </w:p>
        </w:tc>
        <w:tc>
          <w:tcPr>
            <w:tcW w:w="861"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0.510</w:t>
            </w:r>
          </w:p>
        </w:tc>
      </w:tr>
    </w:tbl>
    <w:p w:rsidR="00664C43" w:rsidRPr="005A7390" w:rsidRDefault="00664C43" w:rsidP="00030DDA">
      <w:pPr>
        <w:bidi w:val="0"/>
        <w:adjustRightInd w:val="0"/>
        <w:snapToGrid w:val="0"/>
        <w:spacing w:after="0" w:line="240" w:lineRule="auto"/>
        <w:ind w:firstLine="425"/>
        <w:jc w:val="both"/>
        <w:rPr>
          <w:rFonts w:ascii="Times New Roman" w:hAnsi="Times New Roman" w:cs="Times New Roman"/>
          <w:b/>
          <w:bCs/>
          <w:sz w:val="20"/>
          <w:szCs w:val="20"/>
        </w:rPr>
      </w:pPr>
    </w:p>
    <w:p w:rsidR="00664C43" w:rsidRPr="005A7390" w:rsidRDefault="00F3098B" w:rsidP="00030DDA">
      <w:pPr>
        <w:bidi w:val="0"/>
        <w:adjustRightInd w:val="0"/>
        <w:snapToGrid w:val="0"/>
        <w:spacing w:after="0" w:line="240" w:lineRule="auto"/>
        <w:ind w:firstLine="425"/>
        <w:jc w:val="both"/>
        <w:rPr>
          <w:rFonts w:ascii="Times New Roman" w:hAnsi="Times New Roman" w:cs="Times New Roman"/>
          <w:sz w:val="20"/>
          <w:szCs w:val="20"/>
          <w:lang w:eastAsia="zh-CN" w:bidi="ar-EG"/>
        </w:rPr>
      </w:pPr>
      <w:r w:rsidRPr="005A7390">
        <w:rPr>
          <w:rFonts w:ascii="Times New Roman" w:hAnsi="Times New Roman" w:cs="Times New Roman"/>
          <w:sz w:val="20"/>
          <w:szCs w:val="20"/>
        </w:rPr>
        <w:t>Comparative</w:t>
      </w:r>
      <w:r w:rsidR="00664C43" w:rsidRPr="005A7390">
        <w:rPr>
          <w:rFonts w:ascii="Times New Roman" w:hAnsi="Times New Roman" w:cs="Times New Roman"/>
          <w:sz w:val="20"/>
          <w:szCs w:val="20"/>
        </w:rPr>
        <w:t xml:space="preserve"> study between patients and control as regard serum ALB at the beginning, middle"3 and 6 months later" and at the end of the study using </w:t>
      </w:r>
      <w:r w:rsidR="00664C43" w:rsidRPr="005A7390">
        <w:rPr>
          <w:rFonts w:ascii="Times New Roman" w:hAnsi="Times New Roman" w:cs="Times New Roman"/>
          <w:sz w:val="20"/>
          <w:szCs w:val="20"/>
          <w:lang w:eastAsia="ar-SA"/>
        </w:rPr>
        <w:t>Independent-samples t-test</w:t>
      </w:r>
      <w:r w:rsidR="00664C43" w:rsidRPr="005A7390">
        <w:rPr>
          <w:rFonts w:ascii="Times New Roman" w:hAnsi="Times New Roman" w:cs="Times New Roman"/>
          <w:sz w:val="20"/>
          <w:szCs w:val="20"/>
          <w:lang w:bidi="ar-EG"/>
        </w:rPr>
        <w:t xml:space="preserve"> revealed </w:t>
      </w:r>
      <w:r w:rsidR="00664C43" w:rsidRPr="005A7390">
        <w:rPr>
          <w:rFonts w:ascii="Times New Roman" w:eastAsia="Calibri" w:hAnsi="Times New Roman" w:cs="Times New Roman"/>
          <w:sz w:val="20"/>
          <w:szCs w:val="20"/>
          <w:lang w:bidi="ar-EG"/>
        </w:rPr>
        <w:t>non-significance,</w:t>
      </w:r>
      <w:r w:rsidR="005A7390" w:rsidRPr="005A7390">
        <w:rPr>
          <w:rFonts w:ascii="Times New Roman" w:hAnsi="Times New Roman" w:cs="Times New Roman" w:hint="eastAsia"/>
          <w:sz w:val="20"/>
          <w:szCs w:val="20"/>
          <w:lang w:eastAsia="zh-CN" w:bidi="ar-EG"/>
        </w:rPr>
        <w:t xml:space="preserve"> </w:t>
      </w:r>
      <w:r w:rsidR="00664C43" w:rsidRPr="005A7390">
        <w:rPr>
          <w:rFonts w:ascii="Times New Roman" w:hAnsi="Times New Roman" w:cs="Times New Roman"/>
          <w:i/>
          <w:iCs/>
          <w:sz w:val="20"/>
          <w:szCs w:val="20"/>
          <w:lang w:bidi="ar-EG"/>
        </w:rPr>
        <w:t>p</w:t>
      </w:r>
      <w:r w:rsidR="00664C43" w:rsidRPr="005A7390">
        <w:rPr>
          <w:rFonts w:ascii="Times New Roman" w:hAnsi="Times New Roman" w:cs="Times New Roman"/>
          <w:sz w:val="20"/>
          <w:szCs w:val="20"/>
          <w:lang w:bidi="ar-EG"/>
        </w:rPr>
        <w:t>-value (&gt;0.05)</w:t>
      </w:r>
      <w:r w:rsidR="00664C43" w:rsidRPr="005A7390">
        <w:rPr>
          <w:rFonts w:ascii="Times New Roman" w:eastAsia="Calibri" w:hAnsi="Times New Roman" w:cs="Times New Roman"/>
          <w:sz w:val="20"/>
          <w:szCs w:val="20"/>
          <w:lang w:bidi="ar-EG"/>
        </w:rPr>
        <w:t>.</w:t>
      </w:r>
    </w:p>
    <w:p w:rsidR="00766539" w:rsidRPr="005A7390" w:rsidRDefault="00766539" w:rsidP="00030DDA">
      <w:pPr>
        <w:bidi w:val="0"/>
        <w:adjustRightInd w:val="0"/>
        <w:snapToGrid w:val="0"/>
        <w:spacing w:after="0" w:line="240" w:lineRule="auto"/>
        <w:ind w:firstLine="425"/>
        <w:jc w:val="both"/>
        <w:rPr>
          <w:rFonts w:ascii="Times New Roman" w:hAnsi="Times New Roman" w:cs="Times New Roman"/>
          <w:sz w:val="20"/>
          <w:szCs w:val="20"/>
          <w:lang w:eastAsia="zh-CN" w:bidi="ar-EG"/>
        </w:rPr>
      </w:pPr>
    </w:p>
    <w:p w:rsidR="00664C43" w:rsidRPr="005A7390" w:rsidRDefault="00664C43" w:rsidP="00030DDA">
      <w:pPr>
        <w:bidi w:val="0"/>
        <w:adjustRightInd w:val="0"/>
        <w:snapToGrid w:val="0"/>
        <w:spacing w:after="0" w:line="240" w:lineRule="auto"/>
        <w:jc w:val="center"/>
        <w:rPr>
          <w:rFonts w:ascii="Times New Roman" w:eastAsia="Calibri" w:hAnsi="Times New Roman" w:cs="Times New Roman"/>
          <w:sz w:val="20"/>
          <w:szCs w:val="20"/>
          <w:lang w:bidi="ar-EG"/>
        </w:rPr>
      </w:pPr>
      <w:r w:rsidRPr="005A7390">
        <w:rPr>
          <w:rFonts w:ascii="Times New Roman" w:eastAsia="Calibri" w:hAnsi="Times New Roman" w:cs="Times New Roman"/>
          <w:noProof/>
          <w:sz w:val="20"/>
          <w:szCs w:val="20"/>
          <w:lang w:eastAsia="zh-CN"/>
        </w:rPr>
        <w:lastRenderedPageBreak/>
        <w:drawing>
          <wp:inline distT="0" distB="0" distL="0" distR="0">
            <wp:extent cx="2788746" cy="2091193"/>
            <wp:effectExtent l="1905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8746" cy="2091193"/>
                    </a:xfrm>
                    <a:prstGeom prst="rect">
                      <a:avLst/>
                    </a:prstGeom>
                    <a:noFill/>
                  </pic:spPr>
                </pic:pic>
              </a:graphicData>
            </a:graphic>
          </wp:inline>
        </w:drawing>
      </w:r>
    </w:p>
    <w:p w:rsidR="00664C43" w:rsidRPr="005A7390" w:rsidRDefault="00664C43" w:rsidP="00030DDA">
      <w:pPr>
        <w:bidi w:val="0"/>
        <w:adjustRightInd w:val="0"/>
        <w:snapToGrid w:val="0"/>
        <w:spacing w:after="0" w:line="240" w:lineRule="auto"/>
        <w:jc w:val="both"/>
        <w:rPr>
          <w:rFonts w:ascii="Times New Roman" w:hAnsi="Times New Roman" w:cs="Times New Roman"/>
          <w:b/>
          <w:bCs/>
          <w:sz w:val="20"/>
          <w:szCs w:val="20"/>
        </w:rPr>
      </w:pPr>
      <w:r w:rsidRPr="005A7390">
        <w:rPr>
          <w:rFonts w:ascii="Times New Roman" w:hAnsi="Times New Roman" w:cs="Times New Roman"/>
          <w:b/>
          <w:bCs/>
          <w:sz w:val="20"/>
          <w:szCs w:val="20"/>
        </w:rPr>
        <w:t xml:space="preserve">Figure (3): </w:t>
      </w:r>
      <w:r w:rsidRPr="005A7390">
        <w:rPr>
          <w:rFonts w:ascii="Times New Roman" w:hAnsi="Times New Roman" w:cs="Times New Roman"/>
          <w:sz w:val="20"/>
          <w:szCs w:val="20"/>
        </w:rPr>
        <w:t>Comparison between patients and control as regard ALB at the beginning, middle"3 and 6 months later" and at the end of the study.</w:t>
      </w:r>
    </w:p>
    <w:p w:rsidR="00664C43" w:rsidRDefault="00664C43" w:rsidP="00030DDA">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eastAsia="zh-CN" w:bidi="ar-EG"/>
        </w:rPr>
      </w:pPr>
    </w:p>
    <w:p w:rsidR="007666CB" w:rsidRPr="005A7390" w:rsidRDefault="007666CB" w:rsidP="007666CB">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eastAsia="zh-CN" w:bidi="ar-EG"/>
        </w:rPr>
      </w:pPr>
    </w:p>
    <w:p w:rsidR="00664C43" w:rsidRPr="005A7390" w:rsidRDefault="00664C43" w:rsidP="00030DDA">
      <w:pPr>
        <w:bidi w:val="0"/>
        <w:adjustRightInd w:val="0"/>
        <w:snapToGrid w:val="0"/>
        <w:spacing w:after="0" w:line="240" w:lineRule="auto"/>
        <w:jc w:val="both"/>
        <w:rPr>
          <w:rFonts w:ascii="Times New Roman" w:hAnsi="Times New Roman" w:cs="Times New Roman"/>
          <w:sz w:val="20"/>
          <w:szCs w:val="20"/>
        </w:rPr>
      </w:pPr>
      <w:proofErr w:type="gramStart"/>
      <w:r w:rsidRPr="005A7390">
        <w:rPr>
          <w:rFonts w:ascii="Times New Roman" w:hAnsi="Times New Roman" w:cs="Times New Roman"/>
          <w:b/>
          <w:bCs/>
          <w:sz w:val="20"/>
          <w:szCs w:val="20"/>
        </w:rPr>
        <w:t>Table (7):</w:t>
      </w:r>
      <w:r w:rsidRPr="005A7390">
        <w:rPr>
          <w:rFonts w:ascii="Times New Roman" w:hAnsi="Times New Roman" w:cs="Times New Roman"/>
          <w:sz w:val="20"/>
          <w:szCs w:val="20"/>
        </w:rPr>
        <w:t xml:space="preserve"> Comparison between patients and control as regard INR at the beginning, middle"3 and 6 months later" and at the end of the study.</w:t>
      </w:r>
      <w:proofErr w:type="gramEnd"/>
    </w:p>
    <w:tbl>
      <w:tblPr>
        <w:tblW w:w="5000" w:type="pct"/>
        <w:jc w:val="center"/>
        <w:tblLook w:val="04A0"/>
      </w:tblPr>
      <w:tblGrid>
        <w:gridCol w:w="653"/>
        <w:gridCol w:w="696"/>
        <w:gridCol w:w="576"/>
        <w:gridCol w:w="696"/>
        <w:gridCol w:w="576"/>
        <w:gridCol w:w="658"/>
        <w:gridCol w:w="828"/>
      </w:tblGrid>
      <w:tr w:rsidR="00664C43" w:rsidRPr="00030DDA" w:rsidTr="005A7390">
        <w:trPr>
          <w:cantSplit/>
          <w:jc w:val="center"/>
        </w:trPr>
        <w:tc>
          <w:tcPr>
            <w:tcW w:w="697"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INR</w:t>
            </w:r>
          </w:p>
        </w:tc>
        <w:tc>
          <w:tcPr>
            <w:tcW w:w="1358"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Patients</w:t>
            </w:r>
          </w:p>
        </w:tc>
        <w:tc>
          <w:tcPr>
            <w:tcW w:w="1358"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Control</w:t>
            </w:r>
          </w:p>
        </w:tc>
        <w:tc>
          <w:tcPr>
            <w:tcW w:w="1587"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t-test</w:t>
            </w:r>
          </w:p>
        </w:tc>
      </w:tr>
      <w:tr w:rsidR="00664C43" w:rsidRPr="00030DDA" w:rsidTr="005A7390">
        <w:trPr>
          <w:cantSplit/>
          <w:jc w:val="center"/>
        </w:trPr>
        <w:tc>
          <w:tcPr>
            <w:tcW w:w="697" w:type="pct"/>
            <w:vMerge/>
            <w:tcBorders>
              <w:top w:val="single" w:sz="4" w:space="0" w:color="auto"/>
              <w:left w:val="single" w:sz="4" w:space="0" w:color="auto"/>
              <w:bottom w:val="single" w:sz="4" w:space="0" w:color="auto"/>
              <w:right w:val="single" w:sz="4" w:space="0" w:color="auto"/>
            </w:tcBorders>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p>
        </w:tc>
        <w:tc>
          <w:tcPr>
            <w:tcW w:w="743"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Mean</w:t>
            </w:r>
          </w:p>
        </w:tc>
        <w:tc>
          <w:tcPr>
            <w:tcW w:w="615"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Calibri" w:hAnsi="Times New Roman" w:cs="Times New Roman"/>
                <w:color w:val="000000"/>
                <w:sz w:val="18"/>
                <w:szCs w:val="18"/>
                <w:lang w:bidi="ar-EG"/>
              </w:rPr>
              <w:t>±</w:t>
            </w:r>
            <w:r w:rsidRPr="00030DDA">
              <w:rPr>
                <w:rFonts w:ascii="Times New Roman" w:eastAsia="Times New Roman" w:hAnsi="Times New Roman" w:cs="Times New Roman"/>
                <w:b/>
                <w:bCs/>
                <w:color w:val="000000"/>
                <w:sz w:val="18"/>
                <w:szCs w:val="18"/>
              </w:rPr>
              <w:t>SD</w:t>
            </w:r>
          </w:p>
        </w:tc>
        <w:tc>
          <w:tcPr>
            <w:tcW w:w="743"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Mean</w:t>
            </w:r>
          </w:p>
        </w:tc>
        <w:tc>
          <w:tcPr>
            <w:tcW w:w="615"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Calibri" w:hAnsi="Times New Roman" w:cs="Times New Roman"/>
                <w:color w:val="000000"/>
                <w:sz w:val="18"/>
                <w:szCs w:val="18"/>
                <w:lang w:bidi="ar-EG"/>
              </w:rPr>
              <w:t>±</w:t>
            </w:r>
            <w:r w:rsidRPr="00030DDA">
              <w:rPr>
                <w:rFonts w:ascii="Times New Roman" w:eastAsia="Times New Roman" w:hAnsi="Times New Roman" w:cs="Times New Roman"/>
                <w:b/>
                <w:bCs/>
                <w:color w:val="000000"/>
                <w:sz w:val="18"/>
                <w:szCs w:val="18"/>
              </w:rPr>
              <w:t>SD</w:t>
            </w:r>
          </w:p>
        </w:tc>
        <w:tc>
          <w:tcPr>
            <w:tcW w:w="703"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color w:val="000000"/>
                <w:sz w:val="18"/>
                <w:szCs w:val="18"/>
              </w:rPr>
              <w:t>T</w:t>
            </w:r>
          </w:p>
        </w:tc>
        <w:tc>
          <w:tcPr>
            <w:tcW w:w="884" w:type="pct"/>
            <w:tcBorders>
              <w:top w:val="nil"/>
              <w:left w:val="nil"/>
              <w:bottom w:val="single" w:sz="4" w:space="0" w:color="auto"/>
              <w:right w:val="single" w:sz="4" w:space="0" w:color="auto"/>
            </w:tcBorders>
            <w:shd w:val="clear" w:color="000000" w:fill="D9D9D9"/>
            <w:noWrap/>
            <w:vAlign w:val="center"/>
            <w:hideMark/>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18"/>
                <w:szCs w:val="18"/>
              </w:rPr>
            </w:pPr>
            <w:r w:rsidRPr="00030DDA">
              <w:rPr>
                <w:rFonts w:ascii="Times New Roman" w:eastAsia="Times New Roman" w:hAnsi="Times New Roman" w:cs="Times New Roman"/>
                <w:b/>
                <w:bCs/>
                <w:i/>
                <w:iCs/>
                <w:color w:val="000000"/>
                <w:sz w:val="18"/>
                <w:szCs w:val="18"/>
              </w:rPr>
              <w:t>p</w:t>
            </w:r>
            <w:r w:rsidRPr="00030DDA">
              <w:rPr>
                <w:rFonts w:ascii="Times New Roman" w:eastAsia="Times New Roman" w:hAnsi="Times New Roman" w:cs="Times New Roman"/>
                <w:b/>
                <w:bCs/>
                <w:color w:val="000000"/>
                <w:sz w:val="18"/>
                <w:szCs w:val="18"/>
              </w:rPr>
              <w:t>-value</w:t>
            </w:r>
          </w:p>
        </w:tc>
      </w:tr>
      <w:tr w:rsidR="00664C43" w:rsidRPr="00030DDA" w:rsidTr="005A7390">
        <w:trPr>
          <w:cantSplit/>
          <w:jc w:val="center"/>
        </w:trPr>
        <w:tc>
          <w:tcPr>
            <w:tcW w:w="69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INR0</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1.02</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0.06</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1.02</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0.05</w:t>
            </w:r>
          </w:p>
        </w:tc>
        <w:tc>
          <w:tcPr>
            <w:tcW w:w="70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0.451</w:t>
            </w:r>
          </w:p>
        </w:tc>
        <w:tc>
          <w:tcPr>
            <w:tcW w:w="884"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0.654</w:t>
            </w:r>
          </w:p>
        </w:tc>
      </w:tr>
      <w:tr w:rsidR="00664C43" w:rsidRPr="00030DDA" w:rsidTr="005A7390">
        <w:trPr>
          <w:cantSplit/>
          <w:jc w:val="center"/>
        </w:trPr>
        <w:tc>
          <w:tcPr>
            <w:tcW w:w="69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INR1</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1.04</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0.06</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1.01</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0.02</w:t>
            </w:r>
          </w:p>
        </w:tc>
        <w:tc>
          <w:tcPr>
            <w:tcW w:w="70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1.020</w:t>
            </w:r>
          </w:p>
        </w:tc>
        <w:tc>
          <w:tcPr>
            <w:tcW w:w="884"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0.114</w:t>
            </w:r>
          </w:p>
        </w:tc>
      </w:tr>
      <w:tr w:rsidR="00664C43" w:rsidRPr="00030DDA" w:rsidTr="005A7390">
        <w:trPr>
          <w:cantSplit/>
          <w:jc w:val="center"/>
        </w:trPr>
        <w:tc>
          <w:tcPr>
            <w:tcW w:w="69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INR2</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1.02</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0.04</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1.00</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0.01</w:t>
            </w:r>
          </w:p>
        </w:tc>
        <w:tc>
          <w:tcPr>
            <w:tcW w:w="70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1.044</w:t>
            </w:r>
          </w:p>
        </w:tc>
        <w:tc>
          <w:tcPr>
            <w:tcW w:w="884"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0.101</w:t>
            </w:r>
          </w:p>
        </w:tc>
      </w:tr>
      <w:tr w:rsidR="00664C43" w:rsidRPr="00030DDA" w:rsidTr="005A7390">
        <w:trPr>
          <w:cantSplit/>
          <w:jc w:val="center"/>
        </w:trPr>
        <w:tc>
          <w:tcPr>
            <w:tcW w:w="697" w:type="pct"/>
            <w:tcBorders>
              <w:top w:val="nil"/>
              <w:left w:val="single" w:sz="4" w:space="0" w:color="auto"/>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INR3</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1.02</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0.04</w:t>
            </w:r>
          </w:p>
        </w:tc>
        <w:tc>
          <w:tcPr>
            <w:tcW w:w="74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1.01</w:t>
            </w:r>
          </w:p>
        </w:tc>
        <w:tc>
          <w:tcPr>
            <w:tcW w:w="615"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0.02</w:t>
            </w:r>
          </w:p>
        </w:tc>
        <w:tc>
          <w:tcPr>
            <w:tcW w:w="703"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1.783</w:t>
            </w:r>
          </w:p>
        </w:tc>
        <w:tc>
          <w:tcPr>
            <w:tcW w:w="884" w:type="pct"/>
            <w:tcBorders>
              <w:top w:val="nil"/>
              <w:left w:val="nil"/>
              <w:bottom w:val="single" w:sz="4" w:space="0" w:color="auto"/>
              <w:right w:val="single" w:sz="4" w:space="0" w:color="auto"/>
            </w:tcBorders>
            <w:shd w:val="clear" w:color="auto" w:fill="auto"/>
            <w:noWrap/>
            <w:vAlign w:val="center"/>
          </w:tcPr>
          <w:p w:rsidR="00664C43" w:rsidRPr="00030DDA" w:rsidRDefault="00664C43" w:rsidP="00030DDA">
            <w:pPr>
              <w:bidi w:val="0"/>
              <w:adjustRightInd w:val="0"/>
              <w:snapToGrid w:val="0"/>
              <w:spacing w:after="0" w:line="240" w:lineRule="auto"/>
              <w:jc w:val="both"/>
              <w:rPr>
                <w:rFonts w:ascii="Times New Roman" w:eastAsia="Times New Roman" w:hAnsi="Times New Roman" w:cs="Times New Roman"/>
                <w:color w:val="000000"/>
                <w:sz w:val="18"/>
                <w:szCs w:val="18"/>
              </w:rPr>
            </w:pPr>
            <w:r w:rsidRPr="00030DDA">
              <w:rPr>
                <w:rFonts w:ascii="Times New Roman" w:eastAsia="Times New Roman" w:hAnsi="Times New Roman" w:cs="Times New Roman"/>
                <w:color w:val="000000"/>
                <w:sz w:val="18"/>
                <w:szCs w:val="18"/>
              </w:rPr>
              <w:t>0.079</w:t>
            </w:r>
          </w:p>
        </w:tc>
      </w:tr>
    </w:tbl>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rPr>
      </w:pPr>
    </w:p>
    <w:p w:rsidR="00664C43" w:rsidRPr="005A7390" w:rsidRDefault="00F3098B" w:rsidP="00030DDA">
      <w:pPr>
        <w:bidi w:val="0"/>
        <w:adjustRightInd w:val="0"/>
        <w:snapToGrid w:val="0"/>
        <w:spacing w:after="0" w:line="240" w:lineRule="auto"/>
        <w:ind w:firstLine="425"/>
        <w:jc w:val="both"/>
        <w:rPr>
          <w:rFonts w:ascii="Times New Roman" w:hAnsi="Times New Roman" w:cs="Times New Roman"/>
          <w:sz w:val="20"/>
          <w:szCs w:val="20"/>
          <w:lang w:bidi="ar-EG"/>
        </w:rPr>
      </w:pPr>
      <w:r w:rsidRPr="005A7390">
        <w:rPr>
          <w:rFonts w:ascii="Times New Roman" w:hAnsi="Times New Roman" w:cs="Times New Roman"/>
          <w:sz w:val="20"/>
          <w:szCs w:val="20"/>
        </w:rPr>
        <w:t>Comparative</w:t>
      </w:r>
      <w:r w:rsidR="00664C43" w:rsidRPr="005A7390">
        <w:rPr>
          <w:rFonts w:ascii="Times New Roman" w:hAnsi="Times New Roman" w:cs="Times New Roman"/>
          <w:sz w:val="20"/>
          <w:szCs w:val="20"/>
        </w:rPr>
        <w:t xml:space="preserve"> study between patients and control as regard INR at the beginning, middle</w:t>
      </w:r>
      <w:r w:rsidR="00030DDA">
        <w:rPr>
          <w:rFonts w:ascii="Times New Roman" w:hAnsi="Times New Roman" w:cs="Times New Roman" w:hint="eastAsia"/>
          <w:sz w:val="20"/>
          <w:szCs w:val="20"/>
          <w:lang w:eastAsia="zh-CN"/>
        </w:rPr>
        <w:t xml:space="preserve"> </w:t>
      </w:r>
      <w:r w:rsidR="00664C43" w:rsidRPr="005A7390">
        <w:rPr>
          <w:rFonts w:ascii="Times New Roman" w:hAnsi="Times New Roman" w:cs="Times New Roman"/>
          <w:sz w:val="20"/>
          <w:szCs w:val="20"/>
        </w:rPr>
        <w:t xml:space="preserve">"3 and 6 months later" and at the end of the study using </w:t>
      </w:r>
      <w:r w:rsidR="00664C43" w:rsidRPr="005A7390">
        <w:rPr>
          <w:rFonts w:ascii="Times New Roman" w:hAnsi="Times New Roman" w:cs="Times New Roman"/>
          <w:sz w:val="20"/>
          <w:szCs w:val="20"/>
          <w:lang w:eastAsia="ar-SA"/>
        </w:rPr>
        <w:t>Independent-samples t-test</w:t>
      </w:r>
      <w:r w:rsidR="00664C43" w:rsidRPr="005A7390">
        <w:rPr>
          <w:rFonts w:ascii="Times New Roman" w:hAnsi="Times New Roman" w:cs="Times New Roman"/>
          <w:sz w:val="20"/>
          <w:szCs w:val="20"/>
          <w:lang w:bidi="ar-EG"/>
        </w:rPr>
        <w:t xml:space="preserve"> revealed </w:t>
      </w:r>
      <w:r w:rsidR="00664C43" w:rsidRPr="005A7390">
        <w:rPr>
          <w:rFonts w:ascii="Times New Roman" w:eastAsia="Calibri" w:hAnsi="Times New Roman" w:cs="Times New Roman"/>
          <w:sz w:val="20"/>
          <w:szCs w:val="20"/>
          <w:lang w:bidi="ar-EG"/>
        </w:rPr>
        <w:t>non-significance</w:t>
      </w:r>
      <w:r w:rsidR="00664C43" w:rsidRPr="005A7390">
        <w:rPr>
          <w:rFonts w:ascii="Times New Roman" w:hAnsi="Times New Roman" w:cs="Times New Roman"/>
          <w:sz w:val="20"/>
          <w:szCs w:val="20"/>
          <w:lang w:bidi="ar-EG"/>
        </w:rPr>
        <w:t xml:space="preserve">, </w:t>
      </w:r>
      <w:r w:rsidR="00664C43" w:rsidRPr="005A7390">
        <w:rPr>
          <w:rFonts w:ascii="Times New Roman" w:hAnsi="Times New Roman" w:cs="Times New Roman"/>
          <w:i/>
          <w:iCs/>
          <w:sz w:val="20"/>
          <w:szCs w:val="20"/>
          <w:lang w:bidi="ar-EG"/>
        </w:rPr>
        <w:t>p</w:t>
      </w:r>
      <w:r w:rsidR="00664C43" w:rsidRPr="005A7390">
        <w:rPr>
          <w:rFonts w:ascii="Times New Roman" w:hAnsi="Times New Roman" w:cs="Times New Roman"/>
          <w:sz w:val="20"/>
          <w:szCs w:val="20"/>
          <w:lang w:bidi="ar-EG"/>
        </w:rPr>
        <w:t>-value (&gt;0.05)</w:t>
      </w:r>
      <w:r w:rsidR="00664C43" w:rsidRPr="005A7390">
        <w:rPr>
          <w:rFonts w:ascii="Times New Roman" w:eastAsia="Calibri" w:hAnsi="Times New Roman" w:cs="Times New Roman"/>
          <w:sz w:val="20"/>
          <w:szCs w:val="20"/>
          <w:lang w:bidi="ar-EG"/>
        </w:rPr>
        <w:t>.</w:t>
      </w:r>
    </w:p>
    <w:p w:rsidR="00030DDA" w:rsidRPr="005A7390" w:rsidRDefault="00030DDA" w:rsidP="00030DDA">
      <w:pPr>
        <w:bidi w:val="0"/>
        <w:adjustRightInd w:val="0"/>
        <w:snapToGrid w:val="0"/>
        <w:spacing w:after="0" w:line="240" w:lineRule="auto"/>
        <w:ind w:firstLine="425"/>
        <w:jc w:val="both"/>
        <w:rPr>
          <w:rFonts w:ascii="Times New Roman" w:hAnsi="Times New Roman" w:cs="Times New Roman"/>
          <w:sz w:val="20"/>
          <w:szCs w:val="20"/>
          <w:lang w:eastAsia="zh-CN" w:bidi="ar-EG"/>
        </w:rPr>
      </w:pPr>
    </w:p>
    <w:p w:rsidR="00664C43" w:rsidRPr="005A7390" w:rsidRDefault="00664C43" w:rsidP="00030DDA">
      <w:pPr>
        <w:bidi w:val="0"/>
        <w:adjustRightInd w:val="0"/>
        <w:snapToGrid w:val="0"/>
        <w:spacing w:after="0" w:line="240" w:lineRule="auto"/>
        <w:jc w:val="center"/>
        <w:rPr>
          <w:rFonts w:ascii="Times New Roman" w:hAnsi="Times New Roman" w:cs="Times New Roman"/>
          <w:sz w:val="20"/>
          <w:szCs w:val="20"/>
          <w:lang w:bidi="ar-EG"/>
        </w:rPr>
      </w:pPr>
      <w:r w:rsidRPr="005A7390">
        <w:rPr>
          <w:rFonts w:ascii="Times New Roman" w:hAnsi="Times New Roman" w:cs="Times New Roman"/>
          <w:noProof/>
          <w:sz w:val="20"/>
          <w:szCs w:val="20"/>
          <w:lang w:eastAsia="zh-CN"/>
        </w:rPr>
        <w:drawing>
          <wp:inline distT="0" distB="0" distL="0" distR="0">
            <wp:extent cx="2876803" cy="2194560"/>
            <wp:effectExtent l="19050" t="0" r="0" b="0"/>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1542" cy="2198175"/>
                    </a:xfrm>
                    <a:prstGeom prst="rect">
                      <a:avLst/>
                    </a:prstGeom>
                    <a:noFill/>
                  </pic:spPr>
                </pic:pic>
              </a:graphicData>
            </a:graphic>
          </wp:inline>
        </w:drawing>
      </w:r>
    </w:p>
    <w:p w:rsidR="00664C43" w:rsidRDefault="00664C43" w:rsidP="00030DDA">
      <w:pPr>
        <w:bidi w:val="0"/>
        <w:adjustRightInd w:val="0"/>
        <w:snapToGrid w:val="0"/>
        <w:spacing w:after="0" w:line="240" w:lineRule="auto"/>
        <w:jc w:val="both"/>
        <w:rPr>
          <w:rFonts w:ascii="Times New Roman" w:hAnsi="Times New Roman" w:cs="Times New Roman"/>
          <w:sz w:val="20"/>
          <w:szCs w:val="20"/>
          <w:lang w:eastAsia="zh-CN"/>
        </w:rPr>
      </w:pPr>
      <w:r w:rsidRPr="005A7390">
        <w:rPr>
          <w:rFonts w:ascii="Times New Roman" w:hAnsi="Times New Roman" w:cs="Times New Roman"/>
          <w:b/>
          <w:bCs/>
          <w:sz w:val="20"/>
          <w:szCs w:val="20"/>
        </w:rPr>
        <w:t>Figure (4):</w:t>
      </w:r>
      <w:r w:rsidRPr="005A7390">
        <w:rPr>
          <w:rFonts w:ascii="Times New Roman" w:hAnsi="Times New Roman" w:cs="Times New Roman"/>
          <w:sz w:val="20"/>
          <w:szCs w:val="20"/>
        </w:rPr>
        <w:t xml:space="preserve"> Comparison between patients and control as regard INR at the beginning, middle"3 and 6 months later" and at the end of the study.</w:t>
      </w:r>
    </w:p>
    <w:p w:rsidR="007666CB" w:rsidRPr="005A7390" w:rsidRDefault="007666CB" w:rsidP="007666CB">
      <w:pPr>
        <w:bidi w:val="0"/>
        <w:adjustRightInd w:val="0"/>
        <w:snapToGrid w:val="0"/>
        <w:spacing w:after="0" w:line="240" w:lineRule="auto"/>
        <w:jc w:val="both"/>
        <w:rPr>
          <w:rFonts w:ascii="Times New Roman" w:hAnsi="Times New Roman" w:cs="Times New Roman"/>
          <w:b/>
          <w:bCs/>
          <w:sz w:val="20"/>
          <w:szCs w:val="20"/>
          <w:lang w:eastAsia="zh-CN" w:bidi="ar-EG"/>
        </w:rPr>
      </w:pPr>
    </w:p>
    <w:p w:rsidR="00664C43" w:rsidRDefault="00664C43" w:rsidP="007666CB">
      <w:pPr>
        <w:pStyle w:val="ListParagraph"/>
        <w:bidi w:val="0"/>
        <w:adjustRightInd w:val="0"/>
        <w:snapToGrid w:val="0"/>
        <w:spacing w:after="0" w:line="240" w:lineRule="auto"/>
        <w:ind w:left="0"/>
        <w:contextualSpacing w:val="0"/>
        <w:rPr>
          <w:rFonts w:ascii="Times New Roman" w:hAnsi="Times New Roman" w:cs="Times New Roman"/>
          <w:b/>
          <w:bCs/>
          <w:sz w:val="20"/>
          <w:szCs w:val="20"/>
          <w:lang w:eastAsia="zh-CN"/>
        </w:rPr>
      </w:pPr>
    </w:p>
    <w:p w:rsidR="007666CB" w:rsidRPr="005A7390" w:rsidRDefault="007666CB" w:rsidP="007666CB">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val="fr-FR"/>
        </w:rPr>
      </w:pPr>
      <w:r w:rsidRPr="005A7390">
        <w:rPr>
          <w:rFonts w:ascii="Times New Roman" w:hAnsi="Times New Roman" w:cs="Times New Roman"/>
          <w:b/>
          <w:bCs/>
          <w:sz w:val="20"/>
          <w:szCs w:val="20"/>
          <w:lang w:val="fr-FR"/>
        </w:rPr>
        <w:lastRenderedPageBreak/>
        <w:t>Table (8):</w:t>
      </w:r>
      <w:r w:rsidRPr="005A7390">
        <w:rPr>
          <w:rFonts w:ascii="Times New Roman" w:hAnsi="Times New Roman" w:cs="Times New Roman"/>
          <w:sz w:val="20"/>
          <w:szCs w:val="20"/>
          <w:lang w:val="fr-FR"/>
        </w:rPr>
        <w:t xml:space="preserve"> patients HCV PCR classification.</w:t>
      </w:r>
    </w:p>
    <w:tbl>
      <w:tblPr>
        <w:tblW w:w="5000" w:type="pct"/>
        <w:jc w:val="center"/>
        <w:tblLook w:val="04A0"/>
      </w:tblPr>
      <w:tblGrid>
        <w:gridCol w:w="2796"/>
        <w:gridCol w:w="1071"/>
        <w:gridCol w:w="816"/>
      </w:tblGrid>
      <w:tr w:rsidR="007666CB" w:rsidRPr="005A7390" w:rsidTr="000D05A5">
        <w:trPr>
          <w:cantSplit/>
          <w:jc w:val="center"/>
        </w:trPr>
        <w:tc>
          <w:tcPr>
            <w:tcW w:w="298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PCR</w:t>
            </w:r>
          </w:p>
        </w:tc>
        <w:tc>
          <w:tcPr>
            <w:tcW w:w="1144" w:type="pct"/>
            <w:tcBorders>
              <w:top w:val="single" w:sz="4" w:space="0" w:color="auto"/>
              <w:left w:val="nil"/>
              <w:bottom w:val="single" w:sz="4" w:space="0" w:color="auto"/>
              <w:right w:val="single" w:sz="4" w:space="0" w:color="auto"/>
            </w:tcBorders>
            <w:shd w:val="clear" w:color="000000" w:fill="D9D9D9"/>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No.</w:t>
            </w:r>
          </w:p>
        </w:tc>
        <w:tc>
          <w:tcPr>
            <w:tcW w:w="871" w:type="pct"/>
            <w:tcBorders>
              <w:top w:val="single" w:sz="4" w:space="0" w:color="auto"/>
              <w:left w:val="nil"/>
              <w:bottom w:val="single" w:sz="4" w:space="0" w:color="auto"/>
              <w:right w:val="single" w:sz="4" w:space="0" w:color="auto"/>
            </w:tcBorders>
            <w:shd w:val="clear" w:color="000000" w:fill="D9D9D9"/>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w:t>
            </w:r>
          </w:p>
        </w:tc>
      </w:tr>
      <w:tr w:rsidR="007666CB" w:rsidRPr="005A7390" w:rsidTr="000D05A5">
        <w:trPr>
          <w:cantSplit/>
          <w:jc w:val="center"/>
        </w:trPr>
        <w:tc>
          <w:tcPr>
            <w:tcW w:w="2985" w:type="pct"/>
            <w:tcBorders>
              <w:top w:val="nil"/>
              <w:left w:val="single" w:sz="4" w:space="0" w:color="auto"/>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 xml:space="preserve">Low </w:t>
            </w:r>
            <w:proofErr w:type="spellStart"/>
            <w:r w:rsidRPr="005A7390">
              <w:rPr>
                <w:rFonts w:ascii="Times New Roman" w:eastAsia="Times New Roman" w:hAnsi="Times New Roman" w:cs="Times New Roman"/>
                <w:color w:val="000000"/>
                <w:sz w:val="20"/>
                <w:szCs w:val="20"/>
              </w:rPr>
              <w:t>viremia</w:t>
            </w:r>
            <w:proofErr w:type="spellEnd"/>
          </w:p>
        </w:tc>
        <w:tc>
          <w:tcPr>
            <w:tcW w:w="1144"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29</w:t>
            </w:r>
          </w:p>
        </w:tc>
        <w:tc>
          <w:tcPr>
            <w:tcW w:w="871"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72.5</w:t>
            </w:r>
          </w:p>
        </w:tc>
      </w:tr>
      <w:tr w:rsidR="007666CB" w:rsidRPr="005A7390" w:rsidTr="000D05A5">
        <w:trPr>
          <w:cantSplit/>
          <w:jc w:val="center"/>
        </w:trPr>
        <w:tc>
          <w:tcPr>
            <w:tcW w:w="2985" w:type="pct"/>
            <w:tcBorders>
              <w:top w:val="nil"/>
              <w:left w:val="single" w:sz="4" w:space="0" w:color="auto"/>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 xml:space="preserve">Intermediate </w:t>
            </w:r>
            <w:proofErr w:type="spellStart"/>
            <w:r w:rsidRPr="005A7390">
              <w:rPr>
                <w:rFonts w:ascii="Times New Roman" w:eastAsia="Times New Roman" w:hAnsi="Times New Roman" w:cs="Times New Roman"/>
                <w:color w:val="000000"/>
                <w:sz w:val="20"/>
                <w:szCs w:val="20"/>
              </w:rPr>
              <w:t>viremia</w:t>
            </w:r>
            <w:proofErr w:type="spellEnd"/>
          </w:p>
        </w:tc>
        <w:tc>
          <w:tcPr>
            <w:tcW w:w="1144"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9</w:t>
            </w:r>
          </w:p>
        </w:tc>
        <w:tc>
          <w:tcPr>
            <w:tcW w:w="871"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22.5</w:t>
            </w:r>
          </w:p>
        </w:tc>
      </w:tr>
      <w:tr w:rsidR="007666CB" w:rsidRPr="005A7390" w:rsidTr="000D05A5">
        <w:trPr>
          <w:cantSplit/>
          <w:jc w:val="center"/>
        </w:trPr>
        <w:tc>
          <w:tcPr>
            <w:tcW w:w="2985" w:type="pct"/>
            <w:tcBorders>
              <w:top w:val="nil"/>
              <w:left w:val="single" w:sz="4" w:space="0" w:color="auto"/>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 xml:space="preserve">High </w:t>
            </w:r>
            <w:proofErr w:type="spellStart"/>
            <w:r w:rsidRPr="005A7390">
              <w:rPr>
                <w:rFonts w:ascii="Times New Roman" w:eastAsia="Times New Roman" w:hAnsi="Times New Roman" w:cs="Times New Roman"/>
                <w:color w:val="000000"/>
                <w:sz w:val="20"/>
                <w:szCs w:val="20"/>
              </w:rPr>
              <w:t>viremia</w:t>
            </w:r>
            <w:proofErr w:type="spellEnd"/>
          </w:p>
        </w:tc>
        <w:tc>
          <w:tcPr>
            <w:tcW w:w="1144"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2</w:t>
            </w:r>
          </w:p>
        </w:tc>
        <w:tc>
          <w:tcPr>
            <w:tcW w:w="871"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5</w:t>
            </w:r>
          </w:p>
        </w:tc>
      </w:tr>
      <w:tr w:rsidR="007666CB" w:rsidRPr="005A7390" w:rsidTr="000D05A5">
        <w:trPr>
          <w:cantSplit/>
          <w:jc w:val="center"/>
        </w:trPr>
        <w:tc>
          <w:tcPr>
            <w:tcW w:w="2985" w:type="pct"/>
            <w:tcBorders>
              <w:top w:val="nil"/>
              <w:left w:val="single" w:sz="4" w:space="0" w:color="auto"/>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Total</w:t>
            </w:r>
          </w:p>
        </w:tc>
        <w:tc>
          <w:tcPr>
            <w:tcW w:w="1144"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40</w:t>
            </w:r>
          </w:p>
        </w:tc>
        <w:tc>
          <w:tcPr>
            <w:tcW w:w="871" w:type="pct"/>
            <w:tcBorders>
              <w:top w:val="nil"/>
              <w:left w:val="nil"/>
              <w:bottom w:val="single" w:sz="4" w:space="0" w:color="auto"/>
              <w:right w:val="single" w:sz="4" w:space="0" w:color="auto"/>
            </w:tcBorders>
            <w:shd w:val="clear" w:color="auto" w:fill="auto"/>
            <w:noWrap/>
            <w:vAlign w:val="center"/>
            <w:hideMark/>
          </w:tcPr>
          <w:p w:rsidR="007666CB" w:rsidRPr="005A7390" w:rsidRDefault="007666CB" w:rsidP="000D05A5">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100</w:t>
            </w:r>
          </w:p>
        </w:tc>
      </w:tr>
    </w:tbl>
    <w:p w:rsidR="007666CB" w:rsidRPr="005A7390" w:rsidRDefault="007666CB" w:rsidP="007666CB">
      <w:pPr>
        <w:bidi w:val="0"/>
        <w:adjustRightInd w:val="0"/>
        <w:snapToGrid w:val="0"/>
        <w:spacing w:after="0" w:line="240" w:lineRule="auto"/>
        <w:ind w:firstLine="425"/>
        <w:jc w:val="both"/>
        <w:rPr>
          <w:rFonts w:ascii="Times New Roman" w:hAnsi="Times New Roman" w:cs="Times New Roman"/>
          <w:sz w:val="20"/>
          <w:szCs w:val="20"/>
          <w:lang w:bidi="ar-EG"/>
        </w:rPr>
      </w:pPr>
    </w:p>
    <w:p w:rsidR="007666CB" w:rsidRPr="005A7390" w:rsidRDefault="007666CB" w:rsidP="007666CB">
      <w:pPr>
        <w:pStyle w:val="ListParagraph"/>
        <w:bidi w:val="0"/>
        <w:adjustRightInd w:val="0"/>
        <w:snapToGrid w:val="0"/>
        <w:spacing w:after="0" w:line="240" w:lineRule="auto"/>
        <w:ind w:left="0"/>
        <w:contextualSpacing w:val="0"/>
        <w:rPr>
          <w:rFonts w:ascii="Times New Roman" w:hAnsi="Times New Roman" w:cs="Times New Roman"/>
          <w:b/>
          <w:bCs/>
          <w:sz w:val="20"/>
          <w:szCs w:val="20"/>
          <w:lang w:eastAsia="zh-CN"/>
        </w:rPr>
      </w:pPr>
    </w:p>
    <w:p w:rsidR="00664C43" w:rsidRPr="005A7390" w:rsidRDefault="00664C43" w:rsidP="00030DDA">
      <w:pPr>
        <w:bidi w:val="0"/>
        <w:adjustRightInd w:val="0"/>
        <w:snapToGrid w:val="0"/>
        <w:spacing w:after="0" w:line="240" w:lineRule="auto"/>
        <w:ind w:firstLine="425"/>
        <w:jc w:val="both"/>
        <w:rPr>
          <w:rFonts w:ascii="Times New Roman" w:hAnsi="Times New Roman" w:cs="Times New Roman"/>
          <w:sz w:val="20"/>
          <w:szCs w:val="20"/>
          <w:lang w:bidi="ar-EG"/>
        </w:rPr>
      </w:pPr>
      <w:r w:rsidRPr="005A7390">
        <w:rPr>
          <w:rFonts w:ascii="Times New Roman" w:hAnsi="Times New Roman" w:cs="Times New Roman"/>
          <w:sz w:val="20"/>
          <w:szCs w:val="20"/>
          <w:lang w:bidi="ar-EG"/>
        </w:rPr>
        <w:t xml:space="preserve">Statistical analysis of patients HCV PCR revealed the following: 29 patients are in low </w:t>
      </w:r>
      <w:proofErr w:type="spellStart"/>
      <w:r w:rsidRPr="005A7390">
        <w:rPr>
          <w:rFonts w:ascii="Times New Roman" w:hAnsi="Times New Roman" w:cs="Times New Roman"/>
          <w:sz w:val="20"/>
          <w:szCs w:val="20"/>
          <w:lang w:bidi="ar-EG"/>
        </w:rPr>
        <w:t>viremia</w:t>
      </w:r>
      <w:proofErr w:type="spellEnd"/>
      <w:r w:rsidRPr="005A7390">
        <w:rPr>
          <w:rFonts w:ascii="Times New Roman" w:hAnsi="Times New Roman" w:cs="Times New Roman"/>
          <w:sz w:val="20"/>
          <w:szCs w:val="20"/>
          <w:lang w:bidi="ar-EG"/>
        </w:rPr>
        <w:t xml:space="preserve"> (72.5</w:t>
      </w:r>
      <w:r w:rsidRPr="005A7390">
        <w:rPr>
          <w:rFonts w:ascii="Times New Roman" w:hAnsi="Times New Roman" w:cs="Times New Roman"/>
          <w:b/>
          <w:bCs/>
          <w:sz w:val="20"/>
          <w:szCs w:val="20"/>
        </w:rPr>
        <w:t>%</w:t>
      </w:r>
      <w:r w:rsidRPr="005A7390">
        <w:rPr>
          <w:rFonts w:ascii="Times New Roman" w:hAnsi="Times New Roman" w:cs="Times New Roman"/>
          <w:sz w:val="20"/>
          <w:szCs w:val="20"/>
          <w:lang w:bidi="ar-EG"/>
        </w:rPr>
        <w:t xml:space="preserve">), 9 patients are in intermediate </w:t>
      </w:r>
      <w:proofErr w:type="spellStart"/>
      <w:r w:rsidRPr="005A7390">
        <w:rPr>
          <w:rFonts w:ascii="Times New Roman" w:hAnsi="Times New Roman" w:cs="Times New Roman"/>
          <w:sz w:val="20"/>
          <w:szCs w:val="20"/>
          <w:lang w:bidi="ar-EG"/>
        </w:rPr>
        <w:t>viremia</w:t>
      </w:r>
      <w:proofErr w:type="spellEnd"/>
      <w:r w:rsidRPr="005A7390">
        <w:rPr>
          <w:rFonts w:ascii="Times New Roman" w:hAnsi="Times New Roman" w:cs="Times New Roman"/>
          <w:sz w:val="20"/>
          <w:szCs w:val="20"/>
          <w:lang w:bidi="ar-EG"/>
        </w:rPr>
        <w:t xml:space="preserve"> (22.5</w:t>
      </w:r>
      <w:r w:rsidRPr="005A7390">
        <w:rPr>
          <w:rFonts w:ascii="Times New Roman" w:hAnsi="Times New Roman" w:cs="Times New Roman"/>
          <w:b/>
          <w:bCs/>
          <w:sz w:val="20"/>
          <w:szCs w:val="20"/>
        </w:rPr>
        <w:t>%</w:t>
      </w:r>
      <w:r w:rsidRPr="005A7390">
        <w:rPr>
          <w:rFonts w:ascii="Times New Roman" w:hAnsi="Times New Roman" w:cs="Times New Roman"/>
          <w:sz w:val="20"/>
          <w:szCs w:val="20"/>
          <w:lang w:bidi="ar-EG"/>
        </w:rPr>
        <w:t xml:space="preserve">), 2 patients are in high </w:t>
      </w:r>
      <w:proofErr w:type="spellStart"/>
      <w:r w:rsidRPr="005A7390">
        <w:rPr>
          <w:rFonts w:ascii="Times New Roman" w:hAnsi="Times New Roman" w:cs="Times New Roman"/>
          <w:sz w:val="20"/>
          <w:szCs w:val="20"/>
          <w:lang w:bidi="ar-EG"/>
        </w:rPr>
        <w:t>viremia</w:t>
      </w:r>
      <w:proofErr w:type="spellEnd"/>
      <w:r w:rsidRPr="005A7390">
        <w:rPr>
          <w:rFonts w:ascii="Times New Roman" w:hAnsi="Times New Roman" w:cs="Times New Roman"/>
          <w:sz w:val="20"/>
          <w:szCs w:val="20"/>
          <w:lang w:bidi="ar-EG"/>
        </w:rPr>
        <w:t xml:space="preserve"> (5</w:t>
      </w:r>
      <w:r w:rsidRPr="005A7390">
        <w:rPr>
          <w:rFonts w:ascii="Times New Roman" w:hAnsi="Times New Roman" w:cs="Times New Roman"/>
          <w:b/>
          <w:bCs/>
          <w:sz w:val="20"/>
          <w:szCs w:val="20"/>
        </w:rPr>
        <w:t>%)</w:t>
      </w:r>
      <w:r w:rsidRPr="005A7390">
        <w:rPr>
          <w:rFonts w:ascii="Times New Roman" w:hAnsi="Times New Roman" w:cs="Times New Roman"/>
          <w:sz w:val="20"/>
          <w:szCs w:val="20"/>
          <w:lang w:bidi="ar-EG"/>
        </w:rPr>
        <w:t>.</w:t>
      </w:r>
    </w:p>
    <w:p w:rsidR="00664C43" w:rsidRPr="005A7390" w:rsidRDefault="00664C43" w:rsidP="00030DDA">
      <w:pPr>
        <w:bidi w:val="0"/>
        <w:adjustRightInd w:val="0"/>
        <w:snapToGrid w:val="0"/>
        <w:spacing w:after="0" w:line="240" w:lineRule="auto"/>
        <w:jc w:val="center"/>
        <w:rPr>
          <w:rFonts w:ascii="Times New Roman" w:hAnsi="Times New Roman" w:cs="Times New Roman"/>
          <w:sz w:val="20"/>
          <w:szCs w:val="20"/>
          <w:lang w:bidi="ar-EG"/>
        </w:rPr>
      </w:pPr>
      <w:r w:rsidRPr="005A7390">
        <w:rPr>
          <w:rFonts w:ascii="Times New Roman" w:hAnsi="Times New Roman" w:cs="Times New Roman"/>
          <w:noProof/>
          <w:sz w:val="20"/>
          <w:szCs w:val="20"/>
          <w:lang w:eastAsia="zh-CN"/>
        </w:rPr>
        <w:drawing>
          <wp:inline distT="0" distB="0" distL="0" distR="0">
            <wp:extent cx="2795712" cy="2059388"/>
            <wp:effectExtent l="19050" t="0" r="4638"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4C43" w:rsidRPr="005A7390" w:rsidRDefault="00664C43" w:rsidP="00030DDA">
      <w:pPr>
        <w:pStyle w:val="ListParagraph"/>
        <w:bidi w:val="0"/>
        <w:adjustRightInd w:val="0"/>
        <w:snapToGrid w:val="0"/>
        <w:spacing w:after="0" w:line="240" w:lineRule="auto"/>
        <w:ind w:left="0"/>
        <w:contextualSpacing w:val="0"/>
        <w:jc w:val="center"/>
        <w:rPr>
          <w:rFonts w:ascii="Times New Roman" w:hAnsi="Times New Roman" w:cs="Times New Roman"/>
          <w:sz w:val="20"/>
          <w:szCs w:val="20"/>
          <w:lang w:val="fr-FR"/>
        </w:rPr>
      </w:pPr>
      <w:r w:rsidRPr="005A7390">
        <w:rPr>
          <w:rFonts w:ascii="Times New Roman" w:hAnsi="Times New Roman" w:cs="Times New Roman"/>
          <w:b/>
          <w:bCs/>
          <w:sz w:val="20"/>
          <w:szCs w:val="20"/>
          <w:lang w:val="fr-FR"/>
        </w:rPr>
        <w:t>Figure (5):</w:t>
      </w:r>
      <w:r w:rsidRPr="005A7390">
        <w:rPr>
          <w:rFonts w:ascii="Times New Roman" w:hAnsi="Times New Roman" w:cs="Times New Roman"/>
          <w:sz w:val="20"/>
          <w:szCs w:val="20"/>
          <w:lang w:val="fr-FR"/>
        </w:rPr>
        <w:t xml:space="preserve"> patients HCV PCR classification.</w:t>
      </w:r>
    </w:p>
    <w:p w:rsidR="00766539" w:rsidRPr="005A7390" w:rsidRDefault="00766539" w:rsidP="00030DDA">
      <w:pPr>
        <w:bidi w:val="0"/>
        <w:adjustRightInd w:val="0"/>
        <w:snapToGrid w:val="0"/>
        <w:spacing w:after="0" w:line="240" w:lineRule="auto"/>
        <w:ind w:firstLine="425"/>
        <w:jc w:val="both"/>
        <w:rPr>
          <w:rFonts w:ascii="Times New Roman" w:hAnsi="Times New Roman" w:cs="Times New Roman"/>
          <w:sz w:val="20"/>
          <w:szCs w:val="20"/>
          <w:lang w:eastAsia="zh-CN"/>
        </w:rPr>
      </w:pPr>
    </w:p>
    <w:p w:rsidR="00664C43" w:rsidRPr="005A7390" w:rsidRDefault="00766539" w:rsidP="00030DDA">
      <w:pPr>
        <w:bidi w:val="0"/>
        <w:adjustRightInd w:val="0"/>
        <w:snapToGrid w:val="0"/>
        <w:spacing w:after="0" w:line="240" w:lineRule="auto"/>
        <w:ind w:firstLine="425"/>
        <w:jc w:val="both"/>
        <w:rPr>
          <w:rFonts w:ascii="Times New Roman" w:hAnsi="Times New Roman" w:cs="Times New Roman"/>
          <w:sz w:val="20"/>
          <w:szCs w:val="20"/>
          <w:lang w:val="fr-FR" w:bidi="ar-EG"/>
        </w:rPr>
      </w:pPr>
      <w:r w:rsidRPr="005A7390">
        <w:rPr>
          <w:rFonts w:ascii="Times New Roman" w:hAnsi="Times New Roman" w:cs="Times New Roman"/>
          <w:sz w:val="20"/>
          <w:szCs w:val="20"/>
        </w:rPr>
        <w:t xml:space="preserve">Comparative study between low, intermediate and high </w:t>
      </w:r>
      <w:proofErr w:type="spellStart"/>
      <w:r w:rsidRPr="005A7390">
        <w:rPr>
          <w:rFonts w:ascii="Times New Roman" w:hAnsi="Times New Roman" w:cs="Times New Roman"/>
          <w:sz w:val="20"/>
          <w:szCs w:val="20"/>
        </w:rPr>
        <w:t>viremia</w:t>
      </w:r>
      <w:proofErr w:type="spellEnd"/>
      <w:r w:rsidRPr="005A7390">
        <w:rPr>
          <w:rFonts w:ascii="Times New Roman" w:hAnsi="Times New Roman" w:cs="Times New Roman"/>
          <w:sz w:val="20"/>
          <w:szCs w:val="20"/>
        </w:rPr>
        <w:t xml:space="preserve"> as regard duration of dialysis (years) using</w:t>
      </w:r>
      <w:r w:rsidRPr="005A7390">
        <w:rPr>
          <w:rFonts w:ascii="Times New Roman" w:hAnsi="Times New Roman" w:cs="Times New Roman"/>
          <w:sz w:val="20"/>
          <w:szCs w:val="20"/>
          <w:lang w:eastAsia="ar-SA"/>
        </w:rPr>
        <w:t xml:space="preserve"> A one-way analysis of variance (ANOVA) test</w:t>
      </w:r>
      <w:r w:rsidRPr="005A7390">
        <w:rPr>
          <w:rFonts w:ascii="Times New Roman" w:hAnsi="Times New Roman" w:cs="Times New Roman"/>
          <w:sz w:val="20"/>
          <w:szCs w:val="20"/>
          <w:lang w:bidi="ar-EG"/>
        </w:rPr>
        <w:t xml:space="preserve"> revealed </w:t>
      </w:r>
      <w:r w:rsidRPr="005A7390">
        <w:rPr>
          <w:rFonts w:ascii="Times New Roman" w:eastAsia="Calibri" w:hAnsi="Times New Roman" w:cs="Times New Roman"/>
          <w:sz w:val="20"/>
          <w:szCs w:val="20"/>
          <w:lang w:bidi="ar-EG"/>
        </w:rPr>
        <w:t xml:space="preserve">highly significance </w:t>
      </w:r>
      <w:r w:rsidRPr="005A7390">
        <w:rPr>
          <w:rFonts w:ascii="Times New Roman" w:hAnsi="Times New Roman" w:cs="Times New Roman"/>
          <w:sz w:val="20"/>
          <w:szCs w:val="20"/>
          <w:lang w:bidi="ar-EG"/>
        </w:rPr>
        <w:t>p-value (</w:t>
      </w:r>
      <w:r w:rsidRPr="005A7390">
        <w:rPr>
          <w:rFonts w:ascii="Times New Roman" w:eastAsia="Times New Roman" w:hAnsi="Times New Roman" w:cs="Times New Roman"/>
          <w:b/>
          <w:bCs/>
          <w:sz w:val="20"/>
          <w:szCs w:val="20"/>
        </w:rPr>
        <w:t>&lt;</w:t>
      </w:r>
      <w:r w:rsidRPr="005A7390">
        <w:rPr>
          <w:rFonts w:ascii="Times New Roman" w:hAnsi="Times New Roman" w:cs="Times New Roman"/>
          <w:sz w:val="20"/>
          <w:szCs w:val="20"/>
          <w:lang w:bidi="ar-EG"/>
        </w:rPr>
        <w:t xml:space="preserve">0.001), There is </w:t>
      </w:r>
      <w:r w:rsidRPr="005A7390">
        <w:rPr>
          <w:rFonts w:ascii="Times New Roman" w:eastAsia="Calibri" w:hAnsi="Times New Roman" w:cs="Times New Roman"/>
          <w:sz w:val="20"/>
          <w:szCs w:val="20"/>
          <w:lang w:bidi="ar-EG"/>
        </w:rPr>
        <w:t xml:space="preserve">inverse association with increase duration of dialysis there is decrease in hepatitis C virus PCR </w:t>
      </w:r>
      <w:proofErr w:type="spellStart"/>
      <w:r w:rsidRPr="005A7390">
        <w:rPr>
          <w:rFonts w:ascii="Times New Roman" w:eastAsia="Calibri" w:hAnsi="Times New Roman" w:cs="Times New Roman"/>
          <w:sz w:val="20"/>
          <w:szCs w:val="20"/>
          <w:lang w:bidi="ar-EG"/>
        </w:rPr>
        <w:t>viremia</w:t>
      </w:r>
      <w:proofErr w:type="spellEnd"/>
      <w:r w:rsidRPr="005A7390">
        <w:rPr>
          <w:rFonts w:ascii="Times New Roman" w:hAnsi="Times New Roman" w:cs="Times New Roman"/>
          <w:sz w:val="20"/>
          <w:szCs w:val="20"/>
          <w:lang w:bidi="ar-EG"/>
        </w:rPr>
        <w:t>.</w:t>
      </w:r>
    </w:p>
    <w:p w:rsidR="00766539" w:rsidRDefault="00766539" w:rsidP="00030DDA">
      <w:pPr>
        <w:bidi w:val="0"/>
        <w:adjustRightInd w:val="0"/>
        <w:snapToGrid w:val="0"/>
        <w:spacing w:after="0" w:line="240" w:lineRule="auto"/>
        <w:jc w:val="both"/>
        <w:rPr>
          <w:rFonts w:ascii="Times New Roman" w:hAnsi="Times New Roman" w:cs="Times New Roman"/>
          <w:b/>
          <w:bCs/>
          <w:sz w:val="20"/>
          <w:szCs w:val="20"/>
          <w:lang w:eastAsia="zh-CN"/>
        </w:rPr>
      </w:pPr>
    </w:p>
    <w:p w:rsidR="007666CB" w:rsidRPr="005A7390" w:rsidRDefault="007666CB" w:rsidP="007666CB">
      <w:pPr>
        <w:bidi w:val="0"/>
        <w:adjustRightInd w:val="0"/>
        <w:snapToGrid w:val="0"/>
        <w:spacing w:after="0" w:line="240" w:lineRule="auto"/>
        <w:jc w:val="center"/>
        <w:rPr>
          <w:rFonts w:ascii="Times New Roman" w:hAnsi="Times New Roman" w:cs="Times New Roman"/>
          <w:sz w:val="20"/>
          <w:szCs w:val="20"/>
          <w:lang w:bidi="ar-EG"/>
        </w:rPr>
      </w:pPr>
      <w:r w:rsidRPr="005A7390">
        <w:rPr>
          <w:rFonts w:ascii="Times New Roman" w:hAnsi="Times New Roman" w:cs="Times New Roman"/>
          <w:noProof/>
          <w:sz w:val="20"/>
          <w:szCs w:val="20"/>
          <w:lang w:eastAsia="zh-CN"/>
        </w:rPr>
        <w:drawing>
          <wp:inline distT="0" distB="0" distL="0" distR="0">
            <wp:extent cx="3017107" cy="2146852"/>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3363" cy="2151303"/>
                    </a:xfrm>
                    <a:prstGeom prst="rect">
                      <a:avLst/>
                    </a:prstGeom>
                    <a:noFill/>
                  </pic:spPr>
                </pic:pic>
              </a:graphicData>
            </a:graphic>
          </wp:inline>
        </w:drawing>
      </w:r>
    </w:p>
    <w:p w:rsidR="007666CB" w:rsidRDefault="007666CB" w:rsidP="007666CB">
      <w:pPr>
        <w:pStyle w:val="ListParagraph"/>
        <w:bidi w:val="0"/>
        <w:adjustRightInd w:val="0"/>
        <w:snapToGrid w:val="0"/>
        <w:spacing w:after="0" w:line="240" w:lineRule="auto"/>
        <w:ind w:left="0"/>
        <w:contextualSpacing w:val="0"/>
        <w:jc w:val="both"/>
        <w:rPr>
          <w:rFonts w:ascii="Times New Roman" w:hAnsi="Times New Roman" w:cs="Times New Roman"/>
          <w:b/>
          <w:bCs/>
          <w:sz w:val="20"/>
          <w:szCs w:val="20"/>
          <w:lang w:eastAsia="zh-CN"/>
        </w:rPr>
      </w:pPr>
      <w:r w:rsidRPr="005A7390">
        <w:rPr>
          <w:rFonts w:ascii="Times New Roman" w:hAnsi="Times New Roman" w:cs="Times New Roman"/>
          <w:b/>
          <w:bCs/>
          <w:sz w:val="20"/>
          <w:szCs w:val="20"/>
        </w:rPr>
        <w:t xml:space="preserve">Figure (6): </w:t>
      </w:r>
      <w:proofErr w:type="spellStart"/>
      <w:r w:rsidRPr="005A7390">
        <w:rPr>
          <w:rFonts w:ascii="Times New Roman" w:hAnsi="Times New Roman" w:cs="Times New Roman"/>
          <w:sz w:val="20"/>
          <w:szCs w:val="20"/>
        </w:rPr>
        <w:t>Comparsion</w:t>
      </w:r>
      <w:proofErr w:type="spellEnd"/>
      <w:r w:rsidRPr="005A7390">
        <w:rPr>
          <w:rFonts w:ascii="Times New Roman" w:hAnsi="Times New Roman" w:cs="Times New Roman"/>
          <w:sz w:val="20"/>
          <w:szCs w:val="20"/>
        </w:rPr>
        <w:t xml:space="preserve"> between low, intermediate and high </w:t>
      </w:r>
      <w:proofErr w:type="spellStart"/>
      <w:r w:rsidRPr="005A7390">
        <w:rPr>
          <w:rFonts w:ascii="Times New Roman" w:hAnsi="Times New Roman" w:cs="Times New Roman"/>
          <w:sz w:val="20"/>
          <w:szCs w:val="20"/>
        </w:rPr>
        <w:t>viremia</w:t>
      </w:r>
      <w:proofErr w:type="spellEnd"/>
      <w:r w:rsidRPr="005A7390">
        <w:rPr>
          <w:rFonts w:ascii="Times New Roman" w:hAnsi="Times New Roman" w:cs="Times New Roman"/>
          <w:sz w:val="20"/>
          <w:szCs w:val="20"/>
        </w:rPr>
        <w:t xml:space="preserve"> as regard duration of dialysis (years).</w:t>
      </w:r>
      <w:r>
        <w:rPr>
          <w:rFonts w:ascii="Times New Roman" w:hAnsi="Times New Roman" w:cs="Times New Roman" w:hint="eastAsia"/>
          <w:sz w:val="20"/>
          <w:szCs w:val="20"/>
          <w:lang w:eastAsia="zh-CN"/>
        </w:rPr>
        <w:t xml:space="preserve"> </w:t>
      </w:r>
    </w:p>
    <w:p w:rsidR="007666CB" w:rsidRPr="005A7390" w:rsidRDefault="007666CB" w:rsidP="007666CB">
      <w:pPr>
        <w:bidi w:val="0"/>
        <w:adjustRightInd w:val="0"/>
        <w:snapToGrid w:val="0"/>
        <w:spacing w:after="0" w:line="240" w:lineRule="auto"/>
        <w:jc w:val="both"/>
        <w:rPr>
          <w:rFonts w:ascii="Times New Roman" w:hAnsi="Times New Roman" w:cs="Times New Roman"/>
          <w:b/>
          <w:bCs/>
          <w:sz w:val="20"/>
          <w:szCs w:val="20"/>
          <w:lang w:eastAsia="zh-CN"/>
        </w:rPr>
        <w:sectPr w:rsidR="007666CB" w:rsidRPr="005A7390" w:rsidSect="00766539">
          <w:headerReference w:type="default" r:id="rId22"/>
          <w:footerReference w:type="default" r:id="rId23"/>
          <w:type w:val="continuous"/>
          <w:pgSz w:w="12240" w:h="15840" w:code="1"/>
          <w:pgMar w:top="1440" w:right="1440" w:bottom="1440" w:left="1440" w:header="720" w:footer="720" w:gutter="0"/>
          <w:cols w:num="2" w:space="425"/>
          <w:docGrid w:linePitch="360"/>
        </w:sectPr>
      </w:pPr>
    </w:p>
    <w:p w:rsidR="00766539" w:rsidRPr="005A7390" w:rsidRDefault="00766539" w:rsidP="00030DDA">
      <w:pPr>
        <w:bidi w:val="0"/>
        <w:adjustRightInd w:val="0"/>
        <w:snapToGrid w:val="0"/>
        <w:spacing w:after="0" w:line="240" w:lineRule="auto"/>
        <w:rPr>
          <w:rFonts w:ascii="Times New Roman" w:hAnsi="Times New Roman" w:cs="Times New Roman"/>
          <w:b/>
          <w:bCs/>
          <w:sz w:val="20"/>
          <w:szCs w:val="20"/>
        </w:rPr>
      </w:pPr>
    </w:p>
    <w:p w:rsidR="007666CB" w:rsidRDefault="007666CB" w:rsidP="007666CB">
      <w:pPr>
        <w:bidi w:val="0"/>
        <w:adjustRightInd w:val="0"/>
        <w:snapToGrid w:val="0"/>
        <w:spacing w:after="0" w:line="240" w:lineRule="auto"/>
        <w:jc w:val="center"/>
        <w:rPr>
          <w:rFonts w:ascii="Times New Roman" w:hAnsi="Times New Roman" w:cs="Times New Roman"/>
          <w:b/>
          <w:bCs/>
          <w:sz w:val="20"/>
          <w:szCs w:val="20"/>
          <w:lang w:eastAsia="zh-CN"/>
        </w:rPr>
      </w:pPr>
    </w:p>
    <w:p w:rsidR="00664C43" w:rsidRPr="005A7390" w:rsidRDefault="00664C43" w:rsidP="007666CB">
      <w:pPr>
        <w:bidi w:val="0"/>
        <w:adjustRightInd w:val="0"/>
        <w:snapToGrid w:val="0"/>
        <w:spacing w:after="0" w:line="240" w:lineRule="auto"/>
        <w:jc w:val="center"/>
        <w:rPr>
          <w:rFonts w:ascii="Times New Roman" w:hAnsi="Times New Roman" w:cs="Times New Roman"/>
          <w:sz w:val="20"/>
          <w:szCs w:val="20"/>
        </w:rPr>
      </w:pPr>
      <w:r w:rsidRPr="005A7390">
        <w:rPr>
          <w:rFonts w:ascii="Times New Roman" w:hAnsi="Times New Roman" w:cs="Times New Roman"/>
          <w:b/>
          <w:bCs/>
          <w:sz w:val="20"/>
          <w:szCs w:val="20"/>
        </w:rPr>
        <w:t xml:space="preserve">Table (9): </w:t>
      </w:r>
      <w:r w:rsidR="00F3098B" w:rsidRPr="005A7390">
        <w:rPr>
          <w:rFonts w:ascii="Times New Roman" w:hAnsi="Times New Roman" w:cs="Times New Roman"/>
          <w:sz w:val="20"/>
          <w:szCs w:val="20"/>
        </w:rPr>
        <w:t>Comparison</w:t>
      </w:r>
      <w:r w:rsidR="005A7390">
        <w:rPr>
          <w:rFonts w:ascii="Times New Roman" w:hAnsi="Times New Roman" w:cs="Times New Roman"/>
          <w:sz w:val="20"/>
          <w:szCs w:val="20"/>
        </w:rPr>
        <w:t xml:space="preserve"> </w:t>
      </w:r>
      <w:r w:rsidRPr="005A7390">
        <w:rPr>
          <w:rFonts w:ascii="Times New Roman" w:hAnsi="Times New Roman" w:cs="Times New Roman"/>
          <w:sz w:val="20"/>
          <w:szCs w:val="20"/>
        </w:rPr>
        <w:t xml:space="preserve">between low, intermediate and high </w:t>
      </w:r>
      <w:proofErr w:type="spellStart"/>
      <w:r w:rsidRPr="005A7390">
        <w:rPr>
          <w:rFonts w:ascii="Times New Roman" w:hAnsi="Times New Roman" w:cs="Times New Roman"/>
          <w:sz w:val="20"/>
          <w:szCs w:val="20"/>
        </w:rPr>
        <w:t>viremia</w:t>
      </w:r>
      <w:proofErr w:type="spellEnd"/>
      <w:r w:rsidRPr="005A7390">
        <w:rPr>
          <w:rFonts w:ascii="Times New Roman" w:hAnsi="Times New Roman" w:cs="Times New Roman"/>
          <w:sz w:val="20"/>
          <w:szCs w:val="20"/>
        </w:rPr>
        <w:t xml:space="preserve"> as regard duration of dialysis (years).</w:t>
      </w:r>
    </w:p>
    <w:tbl>
      <w:tblPr>
        <w:tblW w:w="5000" w:type="pct"/>
        <w:jc w:val="center"/>
        <w:tblLook w:val="04A0"/>
      </w:tblPr>
      <w:tblGrid>
        <w:gridCol w:w="3077"/>
        <w:gridCol w:w="2306"/>
        <w:gridCol w:w="1904"/>
        <w:gridCol w:w="923"/>
        <w:gridCol w:w="1366"/>
      </w:tblGrid>
      <w:tr w:rsidR="00664C43" w:rsidRPr="005A7390" w:rsidTr="005A7390">
        <w:trPr>
          <w:jc w:val="center"/>
        </w:trPr>
        <w:tc>
          <w:tcPr>
            <w:tcW w:w="1607" w:type="pct"/>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PCR</w:t>
            </w:r>
          </w:p>
        </w:tc>
        <w:tc>
          <w:tcPr>
            <w:tcW w:w="2198" w:type="pct"/>
            <w:gridSpan w:val="2"/>
            <w:tcBorders>
              <w:top w:val="single" w:sz="4" w:space="0" w:color="auto"/>
              <w:left w:val="nil"/>
              <w:bottom w:val="single" w:sz="4" w:space="0" w:color="auto"/>
              <w:right w:val="single" w:sz="4" w:space="0" w:color="000000"/>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Duration of dialysis</w:t>
            </w:r>
            <w:r w:rsidR="005A7390">
              <w:rPr>
                <w:rFonts w:ascii="Times New Roman" w:eastAsia="Times New Roman" w:hAnsi="Times New Roman" w:cs="Times New Roman"/>
                <w:b/>
                <w:bCs/>
                <w:color w:val="000000"/>
                <w:sz w:val="20"/>
                <w:szCs w:val="20"/>
              </w:rPr>
              <w:t xml:space="preserve"> </w:t>
            </w:r>
            <w:r w:rsidRPr="005A7390">
              <w:rPr>
                <w:rFonts w:ascii="Times New Roman" w:eastAsia="Times New Roman" w:hAnsi="Times New Roman" w:cs="Times New Roman"/>
                <w:b/>
                <w:bCs/>
                <w:color w:val="000000"/>
                <w:sz w:val="20"/>
                <w:szCs w:val="20"/>
              </w:rPr>
              <w:t>(years)</w:t>
            </w:r>
          </w:p>
        </w:tc>
        <w:tc>
          <w:tcPr>
            <w:tcW w:w="1196" w:type="pct"/>
            <w:gridSpan w:val="2"/>
            <w:tcBorders>
              <w:top w:val="single" w:sz="4" w:space="0" w:color="auto"/>
              <w:left w:val="nil"/>
              <w:bottom w:val="single" w:sz="4" w:space="0" w:color="auto"/>
              <w:right w:val="single" w:sz="4" w:space="0" w:color="000000"/>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ANOVA</w:t>
            </w:r>
          </w:p>
        </w:tc>
      </w:tr>
      <w:tr w:rsidR="00664C43" w:rsidRPr="005A7390" w:rsidTr="005A7390">
        <w:trPr>
          <w:jc w:val="center"/>
        </w:trPr>
        <w:tc>
          <w:tcPr>
            <w:tcW w:w="1607" w:type="pct"/>
            <w:vMerge/>
            <w:tcBorders>
              <w:top w:val="single" w:sz="4" w:space="0" w:color="auto"/>
              <w:left w:val="single" w:sz="4" w:space="0" w:color="auto"/>
              <w:bottom w:val="single" w:sz="4" w:space="0" w:color="000000"/>
              <w:right w:val="single" w:sz="4" w:space="0" w:color="auto"/>
            </w:tcBorders>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p>
        </w:tc>
        <w:tc>
          <w:tcPr>
            <w:tcW w:w="1204" w:type="pct"/>
            <w:tcBorders>
              <w:top w:val="nil"/>
              <w:left w:val="nil"/>
              <w:bottom w:val="single" w:sz="4" w:space="0" w:color="auto"/>
              <w:right w:val="single" w:sz="4" w:space="0" w:color="auto"/>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Mean</w:t>
            </w:r>
          </w:p>
        </w:tc>
        <w:tc>
          <w:tcPr>
            <w:tcW w:w="994" w:type="pct"/>
            <w:tcBorders>
              <w:top w:val="nil"/>
              <w:left w:val="nil"/>
              <w:bottom w:val="single" w:sz="4" w:space="0" w:color="auto"/>
              <w:right w:val="single" w:sz="4" w:space="0" w:color="auto"/>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Calibri" w:hAnsi="Times New Roman" w:cs="Times New Roman"/>
                <w:color w:val="000000"/>
                <w:sz w:val="20"/>
                <w:szCs w:val="20"/>
                <w:lang w:bidi="ar-EG"/>
              </w:rPr>
              <w:t>±</w:t>
            </w:r>
            <w:r w:rsidRPr="005A7390">
              <w:rPr>
                <w:rFonts w:ascii="Times New Roman" w:eastAsia="Times New Roman" w:hAnsi="Times New Roman" w:cs="Times New Roman"/>
                <w:b/>
                <w:bCs/>
                <w:color w:val="000000"/>
                <w:sz w:val="20"/>
                <w:szCs w:val="20"/>
              </w:rPr>
              <w:t>SD</w:t>
            </w:r>
          </w:p>
        </w:tc>
        <w:tc>
          <w:tcPr>
            <w:tcW w:w="482" w:type="pct"/>
            <w:tcBorders>
              <w:top w:val="nil"/>
              <w:left w:val="nil"/>
              <w:bottom w:val="single" w:sz="4" w:space="0" w:color="auto"/>
              <w:right w:val="single" w:sz="4" w:space="0" w:color="auto"/>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F</w:t>
            </w:r>
          </w:p>
        </w:tc>
        <w:tc>
          <w:tcPr>
            <w:tcW w:w="714" w:type="pct"/>
            <w:tcBorders>
              <w:top w:val="nil"/>
              <w:left w:val="nil"/>
              <w:bottom w:val="single" w:sz="4" w:space="0" w:color="auto"/>
              <w:right w:val="single" w:sz="4" w:space="0" w:color="auto"/>
            </w:tcBorders>
            <w:shd w:val="clear" w:color="000000" w:fill="D9D9D9"/>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i/>
                <w:iCs/>
                <w:color w:val="000000"/>
                <w:sz w:val="20"/>
                <w:szCs w:val="20"/>
              </w:rPr>
              <w:t>p</w:t>
            </w:r>
            <w:r w:rsidRPr="005A7390">
              <w:rPr>
                <w:rFonts w:ascii="Times New Roman" w:eastAsia="Times New Roman" w:hAnsi="Times New Roman" w:cs="Times New Roman"/>
                <w:b/>
                <w:bCs/>
                <w:color w:val="000000"/>
                <w:sz w:val="20"/>
                <w:szCs w:val="20"/>
              </w:rPr>
              <w:t>-value</w:t>
            </w:r>
          </w:p>
        </w:tc>
      </w:tr>
      <w:tr w:rsidR="00664C43" w:rsidRPr="005A7390" w:rsidTr="005A7390">
        <w:trPr>
          <w:jc w:val="center"/>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 xml:space="preserve">Low </w:t>
            </w:r>
            <w:proofErr w:type="spellStart"/>
            <w:r w:rsidRPr="005A7390">
              <w:rPr>
                <w:rFonts w:ascii="Times New Roman" w:eastAsia="Times New Roman" w:hAnsi="Times New Roman" w:cs="Times New Roman"/>
                <w:color w:val="000000"/>
                <w:sz w:val="20"/>
                <w:szCs w:val="20"/>
              </w:rPr>
              <w:t>viremia</w:t>
            </w:r>
            <w:proofErr w:type="spellEnd"/>
          </w:p>
        </w:tc>
        <w:tc>
          <w:tcPr>
            <w:tcW w:w="1204" w:type="pct"/>
            <w:tcBorders>
              <w:top w:val="nil"/>
              <w:left w:val="nil"/>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9.00</w:t>
            </w:r>
          </w:p>
        </w:tc>
        <w:tc>
          <w:tcPr>
            <w:tcW w:w="994" w:type="pct"/>
            <w:tcBorders>
              <w:top w:val="nil"/>
              <w:left w:val="nil"/>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3.32</w:t>
            </w:r>
          </w:p>
        </w:tc>
        <w:tc>
          <w:tcPr>
            <w:tcW w:w="4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8.26</w:t>
            </w:r>
          </w:p>
        </w:tc>
        <w:tc>
          <w:tcPr>
            <w:tcW w:w="7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r w:rsidRPr="005A7390">
              <w:rPr>
                <w:rFonts w:ascii="Times New Roman" w:eastAsia="Times New Roman" w:hAnsi="Times New Roman" w:cs="Times New Roman"/>
                <w:b/>
                <w:bCs/>
                <w:color w:val="000000"/>
                <w:sz w:val="20"/>
                <w:szCs w:val="20"/>
              </w:rPr>
              <w:t>&lt;0.001</w:t>
            </w:r>
          </w:p>
        </w:tc>
      </w:tr>
      <w:tr w:rsidR="00664C43" w:rsidRPr="005A7390" w:rsidTr="005A7390">
        <w:trPr>
          <w:jc w:val="center"/>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 xml:space="preserve">Intermediate </w:t>
            </w:r>
            <w:proofErr w:type="spellStart"/>
            <w:r w:rsidRPr="005A7390">
              <w:rPr>
                <w:rFonts w:ascii="Times New Roman" w:eastAsia="Times New Roman" w:hAnsi="Times New Roman" w:cs="Times New Roman"/>
                <w:color w:val="000000"/>
                <w:sz w:val="20"/>
                <w:szCs w:val="20"/>
              </w:rPr>
              <w:t>viremia</w:t>
            </w:r>
            <w:proofErr w:type="spellEnd"/>
          </w:p>
        </w:tc>
        <w:tc>
          <w:tcPr>
            <w:tcW w:w="1204" w:type="pct"/>
            <w:tcBorders>
              <w:top w:val="nil"/>
              <w:left w:val="nil"/>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4.89</w:t>
            </w:r>
          </w:p>
        </w:tc>
        <w:tc>
          <w:tcPr>
            <w:tcW w:w="994" w:type="pct"/>
            <w:tcBorders>
              <w:top w:val="nil"/>
              <w:left w:val="nil"/>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1.54</w:t>
            </w:r>
          </w:p>
        </w:tc>
        <w:tc>
          <w:tcPr>
            <w:tcW w:w="482" w:type="pct"/>
            <w:vMerge/>
            <w:tcBorders>
              <w:top w:val="nil"/>
              <w:left w:val="single" w:sz="4" w:space="0" w:color="auto"/>
              <w:bottom w:val="single" w:sz="4" w:space="0" w:color="000000"/>
              <w:right w:val="single" w:sz="4" w:space="0" w:color="auto"/>
            </w:tcBorders>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14" w:type="pct"/>
            <w:vMerge/>
            <w:tcBorders>
              <w:top w:val="nil"/>
              <w:left w:val="single" w:sz="4" w:space="0" w:color="auto"/>
              <w:bottom w:val="single" w:sz="4" w:space="0" w:color="000000"/>
              <w:right w:val="single" w:sz="4" w:space="0" w:color="auto"/>
            </w:tcBorders>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r w:rsidR="00664C43" w:rsidRPr="005A7390" w:rsidTr="005A7390">
        <w:trPr>
          <w:jc w:val="center"/>
        </w:trPr>
        <w:tc>
          <w:tcPr>
            <w:tcW w:w="1607" w:type="pct"/>
            <w:tcBorders>
              <w:top w:val="nil"/>
              <w:left w:val="single" w:sz="4" w:space="0" w:color="auto"/>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 xml:space="preserve">High </w:t>
            </w:r>
            <w:proofErr w:type="spellStart"/>
            <w:r w:rsidRPr="005A7390">
              <w:rPr>
                <w:rFonts w:ascii="Times New Roman" w:eastAsia="Times New Roman" w:hAnsi="Times New Roman" w:cs="Times New Roman"/>
                <w:color w:val="000000"/>
                <w:sz w:val="20"/>
                <w:szCs w:val="20"/>
              </w:rPr>
              <w:t>viremia</w:t>
            </w:r>
            <w:proofErr w:type="spellEnd"/>
          </w:p>
        </w:tc>
        <w:tc>
          <w:tcPr>
            <w:tcW w:w="1204" w:type="pct"/>
            <w:tcBorders>
              <w:top w:val="nil"/>
              <w:left w:val="nil"/>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4.00</w:t>
            </w:r>
          </w:p>
        </w:tc>
        <w:tc>
          <w:tcPr>
            <w:tcW w:w="994" w:type="pct"/>
            <w:tcBorders>
              <w:top w:val="nil"/>
              <w:left w:val="nil"/>
              <w:bottom w:val="single" w:sz="4" w:space="0" w:color="auto"/>
              <w:right w:val="single" w:sz="4" w:space="0" w:color="auto"/>
            </w:tcBorders>
            <w:shd w:val="clear" w:color="auto" w:fill="auto"/>
            <w:noWrap/>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r w:rsidRPr="005A7390">
              <w:rPr>
                <w:rFonts w:ascii="Times New Roman" w:eastAsia="Times New Roman" w:hAnsi="Times New Roman" w:cs="Times New Roman"/>
                <w:color w:val="000000"/>
                <w:sz w:val="20"/>
                <w:szCs w:val="20"/>
              </w:rPr>
              <w:t>1.41</w:t>
            </w:r>
          </w:p>
        </w:tc>
        <w:tc>
          <w:tcPr>
            <w:tcW w:w="482" w:type="pct"/>
            <w:vMerge/>
            <w:tcBorders>
              <w:top w:val="nil"/>
              <w:left w:val="single" w:sz="4" w:space="0" w:color="auto"/>
              <w:bottom w:val="single" w:sz="4" w:space="0" w:color="000000"/>
              <w:right w:val="single" w:sz="4" w:space="0" w:color="auto"/>
            </w:tcBorders>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color w:val="000000"/>
                <w:sz w:val="20"/>
                <w:szCs w:val="20"/>
              </w:rPr>
            </w:pPr>
          </w:p>
        </w:tc>
        <w:tc>
          <w:tcPr>
            <w:tcW w:w="714" w:type="pct"/>
            <w:vMerge/>
            <w:tcBorders>
              <w:top w:val="nil"/>
              <w:left w:val="single" w:sz="4" w:space="0" w:color="auto"/>
              <w:bottom w:val="single" w:sz="4" w:space="0" w:color="000000"/>
              <w:right w:val="single" w:sz="4" w:space="0" w:color="auto"/>
            </w:tcBorders>
            <w:vAlign w:val="center"/>
            <w:hideMark/>
          </w:tcPr>
          <w:p w:rsidR="00664C43" w:rsidRPr="005A7390" w:rsidRDefault="00664C43" w:rsidP="00030DDA">
            <w:pPr>
              <w:bidi w:val="0"/>
              <w:adjustRightInd w:val="0"/>
              <w:snapToGrid w:val="0"/>
              <w:spacing w:after="0" w:line="240" w:lineRule="auto"/>
              <w:jc w:val="both"/>
              <w:rPr>
                <w:rFonts w:ascii="Times New Roman" w:eastAsia="Times New Roman" w:hAnsi="Times New Roman" w:cs="Times New Roman"/>
                <w:b/>
                <w:bCs/>
                <w:color w:val="000000"/>
                <w:sz w:val="20"/>
                <w:szCs w:val="20"/>
              </w:rPr>
            </w:pPr>
          </w:p>
        </w:tc>
      </w:tr>
    </w:tbl>
    <w:p w:rsidR="00766539" w:rsidRPr="005A7390" w:rsidRDefault="00766539" w:rsidP="00030DDA">
      <w:pPr>
        <w:bidi w:val="0"/>
        <w:adjustRightInd w:val="0"/>
        <w:snapToGrid w:val="0"/>
        <w:spacing w:after="0" w:line="240" w:lineRule="auto"/>
        <w:ind w:firstLine="425"/>
        <w:jc w:val="both"/>
        <w:rPr>
          <w:rFonts w:ascii="Times New Roman" w:hAnsi="Times New Roman" w:cs="Times New Roman"/>
          <w:sz w:val="20"/>
          <w:szCs w:val="20"/>
          <w:lang w:eastAsia="zh-CN"/>
        </w:rPr>
      </w:pPr>
    </w:p>
    <w:p w:rsidR="00766539" w:rsidRPr="005A7390" w:rsidRDefault="00766539" w:rsidP="00030DDA">
      <w:pPr>
        <w:bidi w:val="0"/>
        <w:adjustRightInd w:val="0"/>
        <w:snapToGrid w:val="0"/>
        <w:spacing w:after="0" w:line="240" w:lineRule="auto"/>
        <w:ind w:firstLine="425"/>
        <w:jc w:val="both"/>
        <w:rPr>
          <w:rFonts w:ascii="Times New Roman" w:hAnsi="Times New Roman" w:cs="Times New Roman"/>
          <w:sz w:val="20"/>
          <w:szCs w:val="20"/>
        </w:rPr>
        <w:sectPr w:rsidR="00766539" w:rsidRPr="005A7390" w:rsidSect="00766539">
          <w:type w:val="continuous"/>
          <w:pgSz w:w="12240" w:h="15840" w:code="1"/>
          <w:pgMar w:top="1440" w:right="1440" w:bottom="1440" w:left="1440" w:header="720" w:footer="720" w:gutter="0"/>
          <w:cols w:space="720"/>
          <w:docGrid w:linePitch="360"/>
        </w:sectPr>
      </w:pPr>
    </w:p>
    <w:p w:rsidR="008F0610" w:rsidRPr="005A7390" w:rsidRDefault="00436E20" w:rsidP="00030DDA">
      <w:pPr>
        <w:bidi w:val="0"/>
        <w:adjustRightInd w:val="0"/>
        <w:snapToGrid w:val="0"/>
        <w:spacing w:after="0" w:line="240" w:lineRule="auto"/>
        <w:jc w:val="both"/>
        <w:rPr>
          <w:rFonts w:ascii="Times New Roman" w:hAnsi="Times New Roman" w:cs="Times New Roman"/>
          <w:b/>
          <w:bCs/>
          <w:sz w:val="20"/>
          <w:szCs w:val="20"/>
        </w:rPr>
      </w:pPr>
      <w:r w:rsidRPr="005A7390">
        <w:rPr>
          <w:rFonts w:ascii="Times New Roman" w:hAnsi="Times New Roman" w:cs="Times New Roman"/>
          <w:b/>
          <w:bCs/>
          <w:sz w:val="20"/>
          <w:szCs w:val="20"/>
        </w:rPr>
        <w:lastRenderedPageBreak/>
        <w:t xml:space="preserve">4. </w:t>
      </w:r>
      <w:r w:rsidR="008F0610" w:rsidRPr="005A7390">
        <w:rPr>
          <w:rFonts w:ascii="Times New Roman" w:hAnsi="Times New Roman" w:cs="Times New Roman"/>
          <w:b/>
          <w:bCs/>
          <w:sz w:val="20"/>
          <w:szCs w:val="20"/>
        </w:rPr>
        <w:t>Discussion:</w:t>
      </w:r>
    </w:p>
    <w:p w:rsidR="00913524" w:rsidRPr="005A7390" w:rsidRDefault="00436E20" w:rsidP="00030DDA">
      <w:pPr>
        <w:bidi w:val="0"/>
        <w:adjustRightInd w:val="0"/>
        <w:snapToGrid w:val="0"/>
        <w:spacing w:after="0" w:line="240" w:lineRule="auto"/>
        <w:ind w:firstLine="425"/>
        <w:jc w:val="both"/>
        <w:rPr>
          <w:rFonts w:ascii="Times New Roman" w:hAnsi="Times New Roman" w:cs="Times New Roman"/>
          <w:sz w:val="20"/>
          <w:szCs w:val="20"/>
        </w:rPr>
      </w:pPr>
      <w:r w:rsidRPr="005A7390">
        <w:rPr>
          <w:rFonts w:ascii="Times New Roman" w:eastAsia="Times New Roman" w:hAnsi="Times New Roman" w:cs="Times New Roman"/>
          <w:sz w:val="20"/>
          <w:szCs w:val="20"/>
        </w:rPr>
        <w:t>Serum</w:t>
      </w:r>
      <w:r w:rsidR="008F0610" w:rsidRPr="005A7390">
        <w:rPr>
          <w:rFonts w:ascii="Times New Roman" w:eastAsia="Times New Roman" w:hAnsi="Times New Roman" w:cs="Times New Roman"/>
          <w:sz w:val="20"/>
          <w:szCs w:val="20"/>
        </w:rPr>
        <w:t xml:space="preserve"> levels of the liver enzymes ALT, and AST are markers of aggression against </w:t>
      </w:r>
      <w:proofErr w:type="spellStart"/>
      <w:r w:rsidR="008F0610" w:rsidRPr="005A7390">
        <w:rPr>
          <w:rFonts w:ascii="Times New Roman" w:eastAsia="Times New Roman" w:hAnsi="Times New Roman" w:cs="Times New Roman"/>
          <w:sz w:val="20"/>
          <w:szCs w:val="20"/>
        </w:rPr>
        <w:t>hepatocytes</w:t>
      </w:r>
      <w:proofErr w:type="spellEnd"/>
      <w:r w:rsidR="008F0610" w:rsidRPr="005A7390">
        <w:rPr>
          <w:rFonts w:ascii="Times New Roman" w:eastAsia="Times New Roman" w:hAnsi="Times New Roman" w:cs="Times New Roman"/>
          <w:sz w:val="20"/>
          <w:szCs w:val="20"/>
        </w:rPr>
        <w:t xml:space="preserve"> </w:t>
      </w:r>
      <w:r w:rsidR="008F0610"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2</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 xml:space="preserve">. Thus, they are elevated in several diseases, such as chronic viral hepatitis </w:t>
      </w:r>
      <w:r w:rsidR="008F0610"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3</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 xml:space="preserve">, non-alcoholic fatty liver disease </w:t>
      </w:r>
      <w:r w:rsidR="008F0610" w:rsidRPr="005A7390">
        <w:rPr>
          <w:rFonts w:ascii="Times New Roman" w:eastAsia="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4</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 xml:space="preserve">, autoimmune hepatitis </w:t>
      </w:r>
      <w:r w:rsidR="008F0610" w:rsidRPr="005A7390">
        <w:rPr>
          <w:rFonts w:ascii="Times New Roman" w:eastAsia="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5</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 xml:space="preserve">, </w:t>
      </w:r>
      <w:proofErr w:type="spellStart"/>
      <w:r w:rsidR="008F0610" w:rsidRPr="005A7390">
        <w:rPr>
          <w:rFonts w:ascii="Times New Roman" w:eastAsia="Times New Roman" w:hAnsi="Times New Roman" w:cs="Times New Roman"/>
          <w:sz w:val="20"/>
          <w:szCs w:val="20"/>
        </w:rPr>
        <w:t>hemochromatosis</w:t>
      </w:r>
      <w:proofErr w:type="spellEnd"/>
      <w:r w:rsidR="008F0610" w:rsidRPr="005A7390">
        <w:rPr>
          <w:rFonts w:ascii="Times New Roman" w:eastAsia="Times New Roman" w:hAnsi="Times New Roman" w:cs="Times New Roman"/>
          <w:sz w:val="20"/>
          <w:szCs w:val="20"/>
        </w:rPr>
        <w:t xml:space="preserve"> </w:t>
      </w:r>
      <w:r w:rsidR="008F0610" w:rsidRPr="005A7390">
        <w:rPr>
          <w:rFonts w:ascii="Times New Roman" w:eastAsia="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6</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 xml:space="preserve">, and alcoholic liver disease </w:t>
      </w:r>
      <w:r w:rsidR="008F0610"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7</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 xml:space="preserve">. These enzymes assist in diagnosis and patient follow-up and response to treatment because they reflect inflammatory activity in the parenchyma of the liver </w:t>
      </w:r>
      <w:r w:rsidR="008F0610"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8, 14, 15</w:t>
      </w:r>
      <w:r w:rsidR="008F0610" w:rsidRPr="005A7390">
        <w:rPr>
          <w:rFonts w:ascii="Times New Roman" w:eastAsia="Times New Roman" w:hAnsi="Times New Roman" w:cs="Times New Roman"/>
          <w:b/>
          <w:bCs/>
          <w:i/>
          <w:iCs/>
          <w:sz w:val="20"/>
          <w:szCs w:val="20"/>
        </w:rPr>
        <w:t>)</w:t>
      </w:r>
      <w:r w:rsidR="008F0610" w:rsidRPr="005A7390">
        <w:rPr>
          <w:rFonts w:ascii="Times New Roman" w:eastAsia="Times New Roman" w:hAnsi="Times New Roman" w:cs="Times New Roman"/>
          <w:sz w:val="20"/>
          <w:szCs w:val="20"/>
        </w:rPr>
        <w:t>.</w:t>
      </w:r>
      <w:r w:rsidR="008F0610" w:rsidRPr="005A7390">
        <w:rPr>
          <w:rFonts w:ascii="Times New Roman" w:hAnsi="Times New Roman" w:cs="Times New Roman"/>
          <w:sz w:val="20"/>
          <w:szCs w:val="20"/>
        </w:rPr>
        <w:t xml:space="preserve">HCV infection still remains a major problem among patients on maintenance HD. The immune suppression seen in this patient population, resulting in an absence of clinical and biochemical evidence of liver disease, is believed to accelerate further dissemination of the virus </w:t>
      </w:r>
      <w:r w:rsidR="008F0610"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16</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 xml:space="preserve">.The importance of prevention of HCV infection and control is due to its well-documented progression to hepatic cirrhosis, liver malignancies, and liver failure </w:t>
      </w:r>
      <w:r w:rsidR="008F0610"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17</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 xml:space="preserve">.The prevalence of HCV infection varies greatly among patients on HD from different geographic regions. In a review of data published in 1999, </w:t>
      </w:r>
      <w:proofErr w:type="spellStart"/>
      <w:r w:rsidR="008F0610" w:rsidRPr="005A7390">
        <w:rPr>
          <w:rFonts w:ascii="Times New Roman" w:hAnsi="Times New Roman" w:cs="Times New Roman"/>
          <w:b/>
          <w:bCs/>
          <w:i/>
          <w:iCs/>
          <w:sz w:val="20"/>
          <w:szCs w:val="20"/>
        </w:rPr>
        <w:t>Wreghitt</w:t>
      </w:r>
      <w:proofErr w:type="spellEnd"/>
      <w:r w:rsidR="008F0610" w:rsidRPr="005A7390">
        <w:rPr>
          <w:rFonts w:ascii="Times New Roman" w:hAnsi="Times New Roman" w:cs="Times New Roman"/>
          <w:sz w:val="20"/>
          <w:szCs w:val="20"/>
        </w:rPr>
        <w:t xml:space="preserve"> described a range from 4% in the United Kingdom (UK) to 71% in Kuwait for HCV prevalence among the HD </w:t>
      </w:r>
      <w:proofErr w:type="gramStart"/>
      <w:r w:rsidR="008F0610" w:rsidRPr="005A7390">
        <w:rPr>
          <w:rFonts w:ascii="Times New Roman" w:hAnsi="Times New Roman" w:cs="Times New Roman"/>
          <w:sz w:val="20"/>
          <w:szCs w:val="20"/>
        </w:rPr>
        <w:t>population</w:t>
      </w:r>
      <w:r w:rsidR="008F0610" w:rsidRPr="005A7390">
        <w:rPr>
          <w:rFonts w:ascii="Times New Roman" w:hAnsi="Times New Roman" w:cs="Times New Roman"/>
          <w:b/>
          <w:bCs/>
          <w:i/>
          <w:iCs/>
          <w:sz w:val="20"/>
          <w:szCs w:val="20"/>
        </w:rPr>
        <w:t>(</w:t>
      </w:r>
      <w:proofErr w:type="gramEnd"/>
      <w:r w:rsidR="00161CBF" w:rsidRPr="005A7390">
        <w:rPr>
          <w:rFonts w:ascii="Times New Roman" w:hAnsi="Times New Roman" w:cs="Times New Roman"/>
          <w:b/>
          <w:bCs/>
          <w:i/>
          <w:iCs/>
          <w:sz w:val="20"/>
          <w:szCs w:val="20"/>
        </w:rPr>
        <w:t>9</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 xml:space="preserve">. In Egypt, the prevalence of HCV antibodies in HD patients was found to be ranging from 52.3 to 82.3% </w:t>
      </w:r>
      <w:r w:rsidR="008F0610"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10</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 xml:space="preserve">. Several studies have reported </w:t>
      </w:r>
      <w:proofErr w:type="spellStart"/>
      <w:r w:rsidR="008F0610" w:rsidRPr="005A7390">
        <w:rPr>
          <w:rFonts w:ascii="Times New Roman" w:hAnsi="Times New Roman" w:cs="Times New Roman"/>
          <w:sz w:val="20"/>
          <w:szCs w:val="20"/>
        </w:rPr>
        <w:t>nosocomial</w:t>
      </w:r>
      <w:proofErr w:type="spellEnd"/>
      <w:r w:rsidR="008F0610" w:rsidRPr="005A7390">
        <w:rPr>
          <w:rFonts w:ascii="Times New Roman" w:hAnsi="Times New Roman" w:cs="Times New Roman"/>
          <w:sz w:val="20"/>
          <w:szCs w:val="20"/>
        </w:rPr>
        <w:t xml:space="preserve"> patient-to patient transmission of HCV infection among HD patients </w:t>
      </w:r>
      <w:r w:rsidR="008F0610"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11,</w:t>
      </w:r>
      <w:r w:rsidR="00D345BB" w:rsidRPr="005A7390">
        <w:rPr>
          <w:rFonts w:ascii="Times New Roman" w:hAnsi="Times New Roman" w:cs="Times New Roman"/>
          <w:b/>
          <w:bCs/>
          <w:i/>
          <w:iCs/>
          <w:sz w:val="20"/>
          <w:szCs w:val="20"/>
        </w:rPr>
        <w:t xml:space="preserve"> </w:t>
      </w:r>
      <w:r w:rsidR="00161CBF" w:rsidRPr="005A7390">
        <w:rPr>
          <w:rFonts w:ascii="Times New Roman" w:hAnsi="Times New Roman" w:cs="Times New Roman"/>
          <w:b/>
          <w:bCs/>
          <w:i/>
          <w:iCs/>
          <w:sz w:val="20"/>
          <w:szCs w:val="20"/>
        </w:rPr>
        <w:t>12</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 As a result, in 2001 the Center for Disease Control and prevention (</w:t>
      </w:r>
      <w:r w:rsidR="008F0610" w:rsidRPr="005A7390">
        <w:rPr>
          <w:rStyle w:val="Emphasis"/>
          <w:rFonts w:ascii="Times New Roman" w:hAnsi="Times New Roman" w:cs="Times New Roman"/>
          <w:sz w:val="20"/>
          <w:szCs w:val="20"/>
        </w:rPr>
        <w:t>CDC)</w:t>
      </w:r>
      <w:r w:rsidR="00D345BB" w:rsidRPr="005A7390">
        <w:rPr>
          <w:rStyle w:val="Emphasis"/>
          <w:rFonts w:ascii="Times New Roman" w:hAnsi="Times New Roman" w:cs="Times New Roman"/>
          <w:sz w:val="20"/>
          <w:szCs w:val="20"/>
        </w:rPr>
        <w:t xml:space="preserve"> </w:t>
      </w:r>
      <w:r w:rsidR="008F0610" w:rsidRPr="005A7390">
        <w:rPr>
          <w:rFonts w:ascii="Times New Roman" w:hAnsi="Times New Roman" w:cs="Times New Roman"/>
          <w:sz w:val="20"/>
          <w:szCs w:val="20"/>
        </w:rPr>
        <w:t xml:space="preserve">recommends that special precautions should be observed in dialysis units, including wearing and changing of gloves and waterproof gowns between patients, systematic decontamination of the equipment circuit and surfaces after each patient treatment, and no sharing of instruments (e.g., tourniquets, stethoscope, blood pressure cuff) or medications (e.g., multiuse vials of heparin) among patients. Although some studies found that </w:t>
      </w:r>
      <w:proofErr w:type="spellStart"/>
      <w:r w:rsidR="008F0610" w:rsidRPr="005A7390">
        <w:rPr>
          <w:rFonts w:ascii="Times New Roman" w:hAnsi="Times New Roman" w:cs="Times New Roman"/>
          <w:sz w:val="20"/>
          <w:szCs w:val="20"/>
        </w:rPr>
        <w:t>nosocomial</w:t>
      </w:r>
      <w:proofErr w:type="spellEnd"/>
      <w:r w:rsidR="008F0610" w:rsidRPr="005A7390">
        <w:rPr>
          <w:rFonts w:ascii="Times New Roman" w:hAnsi="Times New Roman" w:cs="Times New Roman"/>
          <w:sz w:val="20"/>
          <w:szCs w:val="20"/>
        </w:rPr>
        <w:t xml:space="preserve"> spread of HCV declined when HCV-infected patients were treated in dedicated HD units </w:t>
      </w:r>
      <w:r w:rsidR="008F0610"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18, 19</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 xml:space="preserve">, other investigators could control </w:t>
      </w:r>
      <w:proofErr w:type="spellStart"/>
      <w:r w:rsidR="008F0610" w:rsidRPr="005A7390">
        <w:rPr>
          <w:rFonts w:ascii="Times New Roman" w:hAnsi="Times New Roman" w:cs="Times New Roman"/>
          <w:sz w:val="20"/>
          <w:szCs w:val="20"/>
        </w:rPr>
        <w:t>nosocomial</w:t>
      </w:r>
      <w:proofErr w:type="spellEnd"/>
      <w:r w:rsidR="008F0610" w:rsidRPr="005A7390">
        <w:rPr>
          <w:rFonts w:ascii="Times New Roman" w:hAnsi="Times New Roman" w:cs="Times New Roman"/>
          <w:sz w:val="20"/>
          <w:szCs w:val="20"/>
        </w:rPr>
        <w:t xml:space="preserve"> spread of HCV by strict application of hygienic precautions without isolation of HCV-infected subjects or machine segregation </w:t>
      </w:r>
      <w:r w:rsidR="008F0610" w:rsidRPr="005A7390">
        <w:rPr>
          <w:rFonts w:ascii="Times New Roman" w:hAnsi="Times New Roman" w:cs="Times New Roman"/>
          <w:b/>
          <w:bCs/>
          <w:i/>
          <w:iCs/>
          <w:sz w:val="20"/>
          <w:szCs w:val="20"/>
        </w:rPr>
        <w:t>(</w:t>
      </w:r>
      <w:r w:rsidR="00161CBF" w:rsidRPr="005A7390">
        <w:rPr>
          <w:rFonts w:ascii="Times New Roman" w:hAnsi="Times New Roman" w:cs="Times New Roman"/>
          <w:b/>
          <w:bCs/>
          <w:i/>
          <w:iCs/>
          <w:sz w:val="20"/>
          <w:szCs w:val="20"/>
        </w:rPr>
        <w:t>20, 21</w:t>
      </w:r>
      <w:r w:rsidR="008F0610" w:rsidRPr="005A7390">
        <w:rPr>
          <w:rFonts w:ascii="Times New Roman" w:hAnsi="Times New Roman" w:cs="Times New Roman"/>
          <w:b/>
          <w:bCs/>
          <w:i/>
          <w:iCs/>
          <w:sz w:val="20"/>
          <w:szCs w:val="20"/>
        </w:rPr>
        <w:t>)</w:t>
      </w:r>
      <w:r w:rsidR="008F0610" w:rsidRPr="005A7390">
        <w:rPr>
          <w:rFonts w:ascii="Times New Roman" w:hAnsi="Times New Roman" w:cs="Times New Roman"/>
          <w:sz w:val="20"/>
          <w:szCs w:val="20"/>
        </w:rPr>
        <w:t>.</w:t>
      </w:r>
    </w:p>
    <w:p w:rsidR="00913524" w:rsidRPr="005A7390" w:rsidRDefault="008F0610" w:rsidP="00030DDA">
      <w:pPr>
        <w:bidi w:val="0"/>
        <w:adjustRightInd w:val="0"/>
        <w:snapToGrid w:val="0"/>
        <w:spacing w:after="0" w:line="240" w:lineRule="auto"/>
        <w:ind w:firstLine="425"/>
        <w:jc w:val="both"/>
        <w:rPr>
          <w:rFonts w:ascii="Times New Roman" w:hAnsi="Times New Roman" w:cs="Times New Roman"/>
          <w:sz w:val="20"/>
          <w:szCs w:val="20"/>
        </w:rPr>
      </w:pPr>
      <w:r w:rsidRPr="005A7390">
        <w:rPr>
          <w:rFonts w:ascii="Times New Roman" w:hAnsi="Times New Roman" w:cs="Times New Roman"/>
          <w:sz w:val="20"/>
          <w:szCs w:val="20"/>
        </w:rPr>
        <w:t xml:space="preserve">The aim of this study is </w:t>
      </w:r>
      <w:r w:rsidRPr="005A7390">
        <w:rPr>
          <w:rFonts w:ascii="Times New Roman" w:hAnsi="Times New Roman" w:cs="Times New Roman"/>
          <w:sz w:val="20"/>
          <w:szCs w:val="20"/>
          <w:lang w:bidi="ar-EG"/>
        </w:rPr>
        <w:t>to clarify HD related changes in liver function status in HCV antibody positive patients versus negative patients.</w:t>
      </w:r>
    </w:p>
    <w:p w:rsidR="00913524" w:rsidRPr="005A7390" w:rsidRDefault="008F0610" w:rsidP="00030DDA">
      <w:pPr>
        <w:bidi w:val="0"/>
        <w:adjustRightInd w:val="0"/>
        <w:snapToGrid w:val="0"/>
        <w:spacing w:after="0" w:line="240" w:lineRule="auto"/>
        <w:ind w:firstLine="425"/>
        <w:jc w:val="both"/>
        <w:rPr>
          <w:rFonts w:ascii="Times New Roman" w:hAnsi="Times New Roman" w:cs="Times New Roman"/>
          <w:sz w:val="20"/>
          <w:szCs w:val="20"/>
        </w:rPr>
      </w:pPr>
      <w:r w:rsidRPr="005A7390">
        <w:rPr>
          <w:rFonts w:ascii="Times New Roman" w:hAnsi="Times New Roman" w:cs="Times New Roman"/>
          <w:sz w:val="20"/>
          <w:szCs w:val="20"/>
        </w:rPr>
        <w:lastRenderedPageBreak/>
        <w:t xml:space="preserve">The present study included 70 patients with history of CKD on HD for more than 1 year, 40 Patients </w:t>
      </w:r>
      <w:r w:rsidR="00D345BB" w:rsidRPr="005A7390">
        <w:rPr>
          <w:rFonts w:ascii="Times New Roman" w:hAnsi="Times New Roman" w:cs="Times New Roman"/>
          <w:sz w:val="20"/>
          <w:szCs w:val="20"/>
        </w:rPr>
        <w:t>with HCV</w:t>
      </w:r>
      <w:r w:rsidRPr="005A7390">
        <w:rPr>
          <w:rFonts w:ascii="Times New Roman" w:hAnsi="Times New Roman" w:cs="Times New Roman"/>
          <w:sz w:val="20"/>
          <w:szCs w:val="20"/>
        </w:rPr>
        <w:t xml:space="preserve"> are patient group, and 30 Patients HCV </w:t>
      </w:r>
      <w:proofErr w:type="gramStart"/>
      <w:r w:rsidRPr="005A7390">
        <w:rPr>
          <w:rFonts w:ascii="Times New Roman" w:hAnsi="Times New Roman" w:cs="Times New Roman"/>
          <w:sz w:val="20"/>
          <w:szCs w:val="20"/>
        </w:rPr>
        <w:t>virus</w:t>
      </w:r>
      <w:proofErr w:type="gramEnd"/>
      <w:r w:rsidRPr="005A7390">
        <w:rPr>
          <w:rFonts w:ascii="Times New Roman" w:hAnsi="Times New Roman" w:cs="Times New Roman"/>
          <w:sz w:val="20"/>
          <w:szCs w:val="20"/>
        </w:rPr>
        <w:t xml:space="preserve"> are control group.</w:t>
      </w:r>
    </w:p>
    <w:p w:rsidR="008F0610" w:rsidRPr="005A7390" w:rsidRDefault="008F0610" w:rsidP="00030DDA">
      <w:pPr>
        <w:bidi w:val="0"/>
        <w:adjustRightInd w:val="0"/>
        <w:snapToGrid w:val="0"/>
        <w:spacing w:after="0" w:line="240" w:lineRule="auto"/>
        <w:ind w:firstLine="425"/>
        <w:jc w:val="both"/>
        <w:rPr>
          <w:rFonts w:ascii="Times New Roman" w:eastAsia="Times New Roman" w:hAnsi="Times New Roman" w:cs="Times New Roman"/>
          <w:sz w:val="20"/>
          <w:szCs w:val="20"/>
        </w:rPr>
      </w:pPr>
      <w:r w:rsidRPr="005A7390">
        <w:rPr>
          <w:rFonts w:ascii="Times New Roman" w:hAnsi="Times New Roman" w:cs="Times New Roman"/>
          <w:sz w:val="20"/>
          <w:szCs w:val="20"/>
        </w:rPr>
        <w:t>Patient group gender in our study are 22 patients male (55%) and 18 patients female (45%), Of average age (46.98</w:t>
      </w:r>
      <w:r w:rsidRPr="005A7390">
        <w:rPr>
          <w:rFonts w:ascii="Times New Roman" w:eastAsia="Calibri" w:hAnsi="Times New Roman" w:cs="Times New Roman"/>
          <w:sz w:val="20"/>
          <w:szCs w:val="20"/>
          <w:lang w:bidi="ar-EG"/>
        </w:rPr>
        <w:t>±15.62</w:t>
      </w:r>
      <w:r w:rsidRPr="005A7390">
        <w:rPr>
          <w:rFonts w:ascii="Times New Roman" w:hAnsi="Times New Roman" w:cs="Times New Roman"/>
          <w:sz w:val="20"/>
          <w:szCs w:val="20"/>
        </w:rPr>
        <w:t xml:space="preserve"> years), Most of them were on long term HD (7.83</w:t>
      </w:r>
      <w:r w:rsidRPr="005A7390">
        <w:rPr>
          <w:rFonts w:ascii="Times New Roman" w:eastAsia="Calibri" w:hAnsi="Times New Roman" w:cs="Times New Roman"/>
          <w:sz w:val="20"/>
          <w:szCs w:val="20"/>
          <w:lang w:bidi="ar-EG"/>
        </w:rPr>
        <w:t>±3.49</w:t>
      </w:r>
      <w:r w:rsidRPr="005A7390">
        <w:rPr>
          <w:rFonts w:ascii="Times New Roman" w:hAnsi="Times New Roman" w:cs="Times New Roman"/>
          <w:sz w:val="20"/>
          <w:szCs w:val="20"/>
        </w:rPr>
        <w:t xml:space="preserve"> years). 35 ,7 and 13 patients of them (87.5%, 17.5% and 33.5%) are hypertensive, diabetic and ischemic respectively, The remaining 5, 33 and 27 patients (12.5%, 82.5% and 67.5%) are not hypertensive, diabetic or ischemic respectively, </w:t>
      </w:r>
      <w:r w:rsidR="00D345BB" w:rsidRPr="005A7390">
        <w:rPr>
          <w:rFonts w:ascii="Times New Roman" w:hAnsi="Times New Roman" w:cs="Times New Roman"/>
          <w:sz w:val="20"/>
          <w:szCs w:val="20"/>
        </w:rPr>
        <w:t>Access</w:t>
      </w:r>
      <w:r w:rsidRPr="005A7390">
        <w:rPr>
          <w:rFonts w:ascii="Times New Roman" w:hAnsi="Times New Roman" w:cs="Times New Roman"/>
          <w:sz w:val="20"/>
          <w:szCs w:val="20"/>
        </w:rPr>
        <w:t xml:space="preserve"> of HD is </w:t>
      </w:r>
      <w:proofErr w:type="spellStart"/>
      <w:r w:rsidRPr="005A7390">
        <w:rPr>
          <w:rFonts w:ascii="Times New Roman" w:hAnsi="Times New Roman" w:cs="Times New Roman"/>
          <w:sz w:val="20"/>
          <w:szCs w:val="20"/>
        </w:rPr>
        <w:t>Arteriovenous</w:t>
      </w:r>
      <w:proofErr w:type="spellEnd"/>
      <w:r w:rsidRPr="005A7390">
        <w:rPr>
          <w:rFonts w:ascii="Times New Roman" w:hAnsi="Times New Roman" w:cs="Times New Roman"/>
          <w:sz w:val="20"/>
          <w:szCs w:val="20"/>
        </w:rPr>
        <w:t xml:space="preserve"> fistula in 39 patients (97.5%) and </w:t>
      </w:r>
      <w:proofErr w:type="spellStart"/>
      <w:r w:rsidRPr="005A7390">
        <w:rPr>
          <w:rFonts w:ascii="Times New Roman" w:hAnsi="Times New Roman" w:cs="Times New Roman"/>
          <w:sz w:val="20"/>
          <w:szCs w:val="20"/>
        </w:rPr>
        <w:t>Permicath</w:t>
      </w:r>
      <w:proofErr w:type="spellEnd"/>
      <w:r w:rsidRPr="005A7390">
        <w:rPr>
          <w:rFonts w:ascii="Times New Roman" w:hAnsi="Times New Roman" w:cs="Times New Roman"/>
          <w:sz w:val="20"/>
          <w:szCs w:val="20"/>
        </w:rPr>
        <w:t xml:space="preserve"> in 1 patient (2.5%), 30 patients (75%) had taken blood transfusion, With average number of transfusion (1.48</w:t>
      </w:r>
      <w:r w:rsidRPr="005A7390">
        <w:rPr>
          <w:rFonts w:ascii="Times New Roman" w:eastAsia="Calibri" w:hAnsi="Times New Roman" w:cs="Times New Roman"/>
          <w:sz w:val="20"/>
          <w:szCs w:val="20"/>
          <w:lang w:bidi="ar-EG"/>
        </w:rPr>
        <w:t>±1.40</w:t>
      </w:r>
      <w:r w:rsidRPr="005A7390">
        <w:rPr>
          <w:rFonts w:ascii="Times New Roman" w:hAnsi="Times New Roman" w:cs="Times New Roman"/>
          <w:sz w:val="20"/>
          <w:szCs w:val="20"/>
        </w:rPr>
        <w:t>), With average duration between each blood transfusion (27.18</w:t>
      </w:r>
      <w:r w:rsidRPr="005A7390">
        <w:rPr>
          <w:rFonts w:ascii="Times New Roman" w:eastAsia="Calibri" w:hAnsi="Times New Roman" w:cs="Times New Roman"/>
          <w:sz w:val="20"/>
          <w:szCs w:val="20"/>
          <w:lang w:bidi="ar-EG"/>
        </w:rPr>
        <w:t>±24.21</w:t>
      </w:r>
      <w:r w:rsidRPr="005A7390">
        <w:rPr>
          <w:rFonts w:ascii="Times New Roman" w:hAnsi="Times New Roman" w:cs="Times New Roman"/>
          <w:sz w:val="20"/>
          <w:szCs w:val="20"/>
        </w:rPr>
        <w:t xml:space="preserve"> months), While the remaining 10 patients (about 25%) hadn't taken blood transfusion.</w:t>
      </w:r>
    </w:p>
    <w:p w:rsidR="008F0610" w:rsidRPr="005A7390" w:rsidRDefault="00436E20"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A7390">
        <w:rPr>
          <w:rFonts w:ascii="Times New Roman" w:hAnsi="Times New Roman" w:cs="Times New Roman"/>
          <w:sz w:val="20"/>
          <w:szCs w:val="20"/>
        </w:rPr>
        <w:t>Control</w:t>
      </w:r>
      <w:r w:rsidR="008F0610" w:rsidRPr="005A7390">
        <w:rPr>
          <w:rFonts w:ascii="Times New Roman" w:hAnsi="Times New Roman" w:cs="Times New Roman"/>
          <w:sz w:val="20"/>
          <w:szCs w:val="20"/>
        </w:rPr>
        <w:t xml:space="preserve"> group gender in our study are 10 patients male (33.3%) and 20 patients female (66.7%), Of average age (47.90</w:t>
      </w:r>
      <w:r w:rsidR="008F0610" w:rsidRPr="005A7390">
        <w:rPr>
          <w:rFonts w:ascii="Times New Roman" w:eastAsia="Calibri" w:hAnsi="Times New Roman" w:cs="Times New Roman"/>
          <w:sz w:val="20"/>
          <w:szCs w:val="20"/>
          <w:lang w:bidi="ar-EG"/>
        </w:rPr>
        <w:t>±15.18</w:t>
      </w:r>
      <w:r w:rsidR="008F0610" w:rsidRPr="005A7390">
        <w:rPr>
          <w:rFonts w:ascii="Times New Roman" w:hAnsi="Times New Roman" w:cs="Times New Roman"/>
          <w:sz w:val="20"/>
          <w:szCs w:val="20"/>
        </w:rPr>
        <w:t xml:space="preserve"> years), Most of them were on long term HD (7.37</w:t>
      </w:r>
      <w:r w:rsidR="008F0610" w:rsidRPr="005A7390">
        <w:rPr>
          <w:rFonts w:ascii="Times New Roman" w:eastAsia="Calibri" w:hAnsi="Times New Roman" w:cs="Times New Roman"/>
          <w:sz w:val="20"/>
          <w:szCs w:val="20"/>
          <w:lang w:bidi="ar-EG"/>
        </w:rPr>
        <w:t>±3.44</w:t>
      </w:r>
      <w:r w:rsidR="008F0610" w:rsidRPr="005A7390">
        <w:rPr>
          <w:rFonts w:ascii="Times New Roman" w:hAnsi="Times New Roman" w:cs="Times New Roman"/>
          <w:sz w:val="20"/>
          <w:szCs w:val="20"/>
        </w:rPr>
        <w:t xml:space="preserve"> years). 24 ,4 and 8 patients of them (80%, 13.3% and 26.7%) are hypertensive, diabetic and ischemic respectively, The remaining 6, 26 and 22 patients (20%, 86.7% and 73.3%) are not hypertensive, diabetic or ischemic respectively, </w:t>
      </w:r>
      <w:r w:rsidR="00D345BB" w:rsidRPr="005A7390">
        <w:rPr>
          <w:rFonts w:ascii="Times New Roman" w:hAnsi="Times New Roman" w:cs="Times New Roman"/>
          <w:sz w:val="20"/>
          <w:szCs w:val="20"/>
        </w:rPr>
        <w:t>Access</w:t>
      </w:r>
      <w:r w:rsidR="008F0610" w:rsidRPr="005A7390">
        <w:rPr>
          <w:rFonts w:ascii="Times New Roman" w:hAnsi="Times New Roman" w:cs="Times New Roman"/>
          <w:sz w:val="20"/>
          <w:szCs w:val="20"/>
        </w:rPr>
        <w:t xml:space="preserve"> of HD is </w:t>
      </w:r>
      <w:proofErr w:type="spellStart"/>
      <w:r w:rsidR="008F0610" w:rsidRPr="005A7390">
        <w:rPr>
          <w:rFonts w:ascii="Times New Roman" w:hAnsi="Times New Roman" w:cs="Times New Roman"/>
          <w:sz w:val="20"/>
          <w:szCs w:val="20"/>
        </w:rPr>
        <w:t>Arteriovenous</w:t>
      </w:r>
      <w:proofErr w:type="spellEnd"/>
      <w:r w:rsidR="008F0610" w:rsidRPr="005A7390">
        <w:rPr>
          <w:rFonts w:ascii="Times New Roman" w:hAnsi="Times New Roman" w:cs="Times New Roman"/>
          <w:sz w:val="20"/>
          <w:szCs w:val="20"/>
        </w:rPr>
        <w:t xml:space="preserve"> fistula in 28 patients (93.3%) and </w:t>
      </w:r>
      <w:proofErr w:type="spellStart"/>
      <w:r w:rsidR="008F0610" w:rsidRPr="005A7390">
        <w:rPr>
          <w:rFonts w:ascii="Times New Roman" w:hAnsi="Times New Roman" w:cs="Times New Roman"/>
          <w:sz w:val="20"/>
          <w:szCs w:val="20"/>
        </w:rPr>
        <w:t>Permicath</w:t>
      </w:r>
      <w:proofErr w:type="spellEnd"/>
      <w:r w:rsidR="008F0610" w:rsidRPr="005A7390">
        <w:rPr>
          <w:rFonts w:ascii="Times New Roman" w:hAnsi="Times New Roman" w:cs="Times New Roman"/>
          <w:sz w:val="20"/>
          <w:szCs w:val="20"/>
        </w:rPr>
        <w:t xml:space="preserve"> in 2 patient (6.7%), 18 patients (60%) had taken blood transfusion, With average number of transfusion (1.07</w:t>
      </w:r>
      <w:r w:rsidR="008F0610" w:rsidRPr="005A7390">
        <w:rPr>
          <w:rFonts w:ascii="Times New Roman" w:eastAsia="Calibri" w:hAnsi="Times New Roman" w:cs="Times New Roman"/>
          <w:sz w:val="20"/>
          <w:szCs w:val="20"/>
          <w:lang w:bidi="ar-EG"/>
        </w:rPr>
        <w:t>±1.17</w:t>
      </w:r>
      <w:r w:rsidR="008F0610" w:rsidRPr="005A7390">
        <w:rPr>
          <w:rFonts w:ascii="Times New Roman" w:hAnsi="Times New Roman" w:cs="Times New Roman"/>
          <w:sz w:val="20"/>
          <w:szCs w:val="20"/>
        </w:rPr>
        <w:t>), With average duration between each blood transfusion (11.90</w:t>
      </w:r>
      <w:r w:rsidR="008F0610" w:rsidRPr="005A7390">
        <w:rPr>
          <w:rFonts w:ascii="Times New Roman" w:eastAsia="Calibri" w:hAnsi="Times New Roman" w:cs="Times New Roman"/>
          <w:sz w:val="20"/>
          <w:szCs w:val="20"/>
          <w:lang w:bidi="ar-EG"/>
        </w:rPr>
        <w:t>±13.65</w:t>
      </w:r>
      <w:r w:rsidR="008F0610" w:rsidRPr="005A7390">
        <w:rPr>
          <w:rFonts w:ascii="Times New Roman" w:hAnsi="Times New Roman" w:cs="Times New Roman"/>
          <w:sz w:val="20"/>
          <w:szCs w:val="20"/>
        </w:rPr>
        <w:t xml:space="preserve"> months), While the remaining 12 patients (about 40%) hadn't taken blood transfusion.</w:t>
      </w:r>
    </w:p>
    <w:p w:rsidR="008F0610" w:rsidRPr="005A7390" w:rsidRDefault="008F0610" w:rsidP="00030DDA">
      <w:pPr>
        <w:bidi w:val="0"/>
        <w:adjustRightInd w:val="0"/>
        <w:snapToGrid w:val="0"/>
        <w:spacing w:after="0" w:line="240" w:lineRule="auto"/>
        <w:ind w:firstLine="425"/>
        <w:jc w:val="both"/>
        <w:rPr>
          <w:rFonts w:ascii="Times New Roman" w:hAnsi="Times New Roman" w:cs="Times New Roman"/>
          <w:b/>
          <w:bCs/>
          <w:sz w:val="20"/>
          <w:szCs w:val="20"/>
        </w:rPr>
      </w:pPr>
      <w:r w:rsidRPr="005A7390">
        <w:rPr>
          <w:rFonts w:ascii="Times New Roman" w:hAnsi="Times New Roman" w:cs="Times New Roman"/>
          <w:sz w:val="20"/>
          <w:szCs w:val="20"/>
        </w:rPr>
        <w:t>As in the study by</w:t>
      </w:r>
      <w:r w:rsidR="00D345BB" w:rsidRPr="005A7390">
        <w:rPr>
          <w:rFonts w:ascii="Times New Roman" w:hAnsi="Times New Roman" w:cs="Times New Roman"/>
          <w:sz w:val="20"/>
          <w:szCs w:val="20"/>
        </w:rPr>
        <w:t xml:space="preserve"> </w:t>
      </w:r>
      <w:proofErr w:type="spellStart"/>
      <w:r w:rsidRPr="005A7390">
        <w:rPr>
          <w:rFonts w:ascii="Times New Roman" w:hAnsi="Times New Roman" w:cs="Times New Roman"/>
          <w:i/>
          <w:iCs/>
          <w:sz w:val="20"/>
          <w:szCs w:val="20"/>
        </w:rPr>
        <w:t>Fabrizi</w:t>
      </w:r>
      <w:proofErr w:type="spellEnd"/>
      <w:r w:rsidRPr="005A7390">
        <w:rPr>
          <w:rFonts w:ascii="Times New Roman" w:hAnsi="Times New Roman" w:cs="Times New Roman"/>
          <w:sz w:val="20"/>
          <w:szCs w:val="20"/>
        </w:rPr>
        <w:t xml:space="preserve"> </w:t>
      </w:r>
      <w:r w:rsidRPr="005A7390">
        <w:rPr>
          <w:rFonts w:ascii="Times New Roman" w:hAnsi="Times New Roman" w:cs="Times New Roman"/>
          <w:i/>
          <w:iCs/>
          <w:sz w:val="20"/>
          <w:szCs w:val="20"/>
        </w:rPr>
        <w:t>et al</w:t>
      </w:r>
      <w:r w:rsidRPr="005A7390">
        <w:rPr>
          <w:rFonts w:ascii="Times New Roman" w:hAnsi="Times New Roman" w:cs="Times New Roman"/>
          <w:sz w:val="20"/>
          <w:szCs w:val="20"/>
        </w:rPr>
        <w:t xml:space="preserve">, our study showed that serum level of liver </w:t>
      </w:r>
      <w:proofErr w:type="spellStart"/>
      <w:r w:rsidRPr="005A7390">
        <w:rPr>
          <w:rFonts w:ascii="Times New Roman" w:hAnsi="Times New Roman" w:cs="Times New Roman"/>
          <w:sz w:val="20"/>
          <w:szCs w:val="20"/>
        </w:rPr>
        <w:t>transaminases</w:t>
      </w:r>
      <w:proofErr w:type="spellEnd"/>
      <w:r w:rsidRPr="005A7390">
        <w:rPr>
          <w:rFonts w:ascii="Times New Roman" w:hAnsi="Times New Roman" w:cs="Times New Roman"/>
          <w:sz w:val="20"/>
          <w:szCs w:val="20"/>
        </w:rPr>
        <w:t xml:space="preserve"> (ALT and AST) </w:t>
      </w:r>
      <w:proofErr w:type="spellStart"/>
      <w:r w:rsidRPr="005A7390">
        <w:rPr>
          <w:rFonts w:ascii="Times New Roman" w:hAnsi="Times New Roman" w:cs="Times New Roman"/>
          <w:sz w:val="20"/>
          <w:szCs w:val="20"/>
        </w:rPr>
        <w:t>allover</w:t>
      </w:r>
      <w:proofErr w:type="spellEnd"/>
      <w:r w:rsidRPr="005A7390">
        <w:rPr>
          <w:rFonts w:ascii="Times New Roman" w:hAnsi="Times New Roman" w:cs="Times New Roman"/>
          <w:sz w:val="20"/>
          <w:szCs w:val="20"/>
        </w:rPr>
        <w:t xml:space="preserve"> the study are within normal as mean of ALT of HCV patients on </w:t>
      </w:r>
      <w:r w:rsidR="008A063C" w:rsidRPr="005A7390">
        <w:rPr>
          <w:rFonts w:ascii="Times New Roman" w:hAnsi="Times New Roman" w:cs="Times New Roman"/>
          <w:sz w:val="20"/>
          <w:szCs w:val="20"/>
        </w:rPr>
        <w:t>HD</w:t>
      </w:r>
      <w:r w:rsidRPr="005A7390">
        <w:rPr>
          <w:rFonts w:ascii="Times New Roman" w:hAnsi="Times New Roman" w:cs="Times New Roman"/>
          <w:sz w:val="20"/>
          <w:szCs w:val="20"/>
        </w:rPr>
        <w:t xml:space="preserve"> is 39.15, 35, 41.13 and 38.90 versus 35, 31.70, 36.87 and 34.03 of non HCV patients on </w:t>
      </w:r>
      <w:r w:rsidR="008A063C" w:rsidRPr="005A7390">
        <w:rPr>
          <w:rFonts w:ascii="Times New Roman" w:hAnsi="Times New Roman" w:cs="Times New Roman"/>
          <w:sz w:val="20"/>
          <w:szCs w:val="20"/>
        </w:rPr>
        <w:t>HD</w:t>
      </w:r>
      <w:r w:rsidRPr="005A7390">
        <w:rPr>
          <w:rFonts w:ascii="Times New Roman" w:hAnsi="Times New Roman" w:cs="Times New Roman"/>
          <w:sz w:val="20"/>
          <w:szCs w:val="20"/>
        </w:rPr>
        <w:t xml:space="preserve"> at the </w:t>
      </w:r>
      <w:r w:rsidR="00F3098B" w:rsidRPr="005A7390">
        <w:rPr>
          <w:rFonts w:ascii="Times New Roman" w:hAnsi="Times New Roman" w:cs="Times New Roman"/>
          <w:sz w:val="20"/>
          <w:szCs w:val="20"/>
        </w:rPr>
        <w:t>beginning</w:t>
      </w:r>
      <w:r w:rsidRPr="005A7390">
        <w:rPr>
          <w:rFonts w:ascii="Times New Roman" w:hAnsi="Times New Roman" w:cs="Times New Roman"/>
          <w:sz w:val="20"/>
          <w:szCs w:val="20"/>
        </w:rPr>
        <w:t>, middle "3 and 6 months later" and at the end of the study respectively, Also mean of AST</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of HCV patients on </w:t>
      </w:r>
      <w:r w:rsidR="008A063C" w:rsidRPr="005A7390">
        <w:rPr>
          <w:rFonts w:ascii="Times New Roman" w:hAnsi="Times New Roman" w:cs="Times New Roman"/>
          <w:sz w:val="20"/>
          <w:szCs w:val="20"/>
        </w:rPr>
        <w:t>HD</w:t>
      </w:r>
      <w:r w:rsidRPr="005A7390">
        <w:rPr>
          <w:rFonts w:ascii="Times New Roman" w:hAnsi="Times New Roman" w:cs="Times New Roman"/>
          <w:sz w:val="20"/>
          <w:szCs w:val="20"/>
        </w:rPr>
        <w:t xml:space="preserve"> is 26.58, 29.78, 29.68 and 26.58 versus 20.07, 19.23, 19.87 and 17.50 of non HCV patients on </w:t>
      </w:r>
      <w:r w:rsidR="008A063C" w:rsidRPr="005A7390">
        <w:rPr>
          <w:rFonts w:ascii="Times New Roman" w:hAnsi="Times New Roman" w:cs="Times New Roman"/>
          <w:sz w:val="20"/>
          <w:szCs w:val="20"/>
        </w:rPr>
        <w:t>HD</w:t>
      </w:r>
      <w:r w:rsidRPr="005A7390">
        <w:rPr>
          <w:rFonts w:ascii="Times New Roman" w:hAnsi="Times New Roman" w:cs="Times New Roman"/>
          <w:sz w:val="20"/>
          <w:szCs w:val="20"/>
        </w:rPr>
        <w:t xml:space="preserve"> at the </w:t>
      </w:r>
      <w:r w:rsidR="00F3098B" w:rsidRPr="005A7390">
        <w:rPr>
          <w:rFonts w:ascii="Times New Roman" w:hAnsi="Times New Roman" w:cs="Times New Roman"/>
          <w:sz w:val="20"/>
          <w:szCs w:val="20"/>
        </w:rPr>
        <w:t>beginning</w:t>
      </w:r>
      <w:r w:rsidRPr="005A7390">
        <w:rPr>
          <w:rFonts w:ascii="Times New Roman" w:hAnsi="Times New Roman" w:cs="Times New Roman"/>
          <w:sz w:val="20"/>
          <w:szCs w:val="20"/>
        </w:rPr>
        <w:t xml:space="preserve">, middle "3 and 6 months later" and at the end of the study respectively </w:t>
      </w:r>
      <w:r w:rsidRPr="005A7390">
        <w:rPr>
          <w:rFonts w:ascii="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22</w:t>
      </w:r>
      <w:r w:rsidRPr="005A7390">
        <w:rPr>
          <w:rFonts w:ascii="Times New Roman" w:eastAsia="Times New Roman" w:hAnsi="Times New Roman" w:cs="Times New Roman"/>
          <w:b/>
          <w:bCs/>
          <w:i/>
          <w:iCs/>
          <w:sz w:val="20"/>
          <w:szCs w:val="20"/>
        </w:rPr>
        <w:t>)</w:t>
      </w:r>
      <w:r w:rsidRPr="005A7390">
        <w:rPr>
          <w:rFonts w:ascii="Times New Roman" w:hAnsi="Times New Roman" w:cs="Times New Roman"/>
          <w:sz w:val="20"/>
          <w:szCs w:val="20"/>
        </w:rPr>
        <w:t xml:space="preserve">. Our study showed </w:t>
      </w:r>
      <w:r w:rsidRPr="005A7390">
        <w:rPr>
          <w:rFonts w:ascii="Times New Roman" w:eastAsia="Calibri" w:hAnsi="Times New Roman" w:cs="Times New Roman"/>
          <w:sz w:val="20"/>
          <w:szCs w:val="20"/>
          <w:lang w:bidi="ar-EG"/>
        </w:rPr>
        <w:t>non-significant differences</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rPr>
        <w:t>between</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patients and control as regard ALT(T = 1.016,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0.129, T = 2.612,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0.081, T = 1.573, </w:t>
      </w:r>
      <w:r w:rsidRPr="005A7390">
        <w:rPr>
          <w:rFonts w:ascii="Times New Roman" w:hAnsi="Times New Roman" w:cs="Times New Roman"/>
          <w:sz w:val="20"/>
          <w:szCs w:val="20"/>
        </w:rPr>
        <w:lastRenderedPageBreak/>
        <w:t xml:space="preserve">P value = 0.098 and T = 1.085,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0.144) and AST (T = 1.421,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0.077, T = 0.153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0.155, T = 0.790,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0.126 and T = 0.296,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 0.141) at the </w:t>
      </w:r>
      <w:r w:rsidR="00F3098B" w:rsidRPr="005A7390">
        <w:rPr>
          <w:rFonts w:ascii="Times New Roman" w:hAnsi="Times New Roman" w:cs="Times New Roman"/>
          <w:sz w:val="20"/>
          <w:szCs w:val="20"/>
        </w:rPr>
        <w:t>beginning</w:t>
      </w:r>
      <w:r w:rsidRPr="005A7390">
        <w:rPr>
          <w:rFonts w:ascii="Times New Roman" w:hAnsi="Times New Roman" w:cs="Times New Roman"/>
          <w:sz w:val="20"/>
          <w:szCs w:val="20"/>
        </w:rPr>
        <w:t xml:space="preserve">, middle "3 and 6 months later" and at the end of the study respectively, in contrary to </w:t>
      </w:r>
      <w:proofErr w:type="spellStart"/>
      <w:r w:rsidRPr="005A7390">
        <w:rPr>
          <w:rFonts w:ascii="Times New Roman" w:hAnsi="Times New Roman" w:cs="Times New Roman"/>
          <w:sz w:val="20"/>
          <w:szCs w:val="20"/>
        </w:rPr>
        <w:t>Fabrizi</w:t>
      </w:r>
      <w:proofErr w:type="spellEnd"/>
      <w:r w:rsidR="00F3098B" w:rsidRPr="005A7390">
        <w:rPr>
          <w:rFonts w:ascii="Times New Roman" w:hAnsi="Times New Roman" w:cs="Times New Roman"/>
          <w:sz w:val="20"/>
          <w:szCs w:val="20"/>
        </w:rPr>
        <w:t xml:space="preserve"> </w:t>
      </w:r>
      <w:r w:rsidRPr="005A7390">
        <w:rPr>
          <w:rFonts w:ascii="Times New Roman" w:hAnsi="Times New Roman" w:cs="Times New Roman"/>
          <w:i/>
          <w:iCs/>
          <w:sz w:val="20"/>
          <w:szCs w:val="20"/>
        </w:rPr>
        <w:t>et al</w:t>
      </w:r>
      <w:r w:rsidR="009A0ACE" w:rsidRPr="005A7390">
        <w:rPr>
          <w:rFonts w:ascii="Times New Roman" w:hAnsi="Times New Roman" w:cs="Times New Roman"/>
          <w:i/>
          <w:iCs/>
          <w:sz w:val="20"/>
          <w:szCs w:val="20"/>
        </w:rPr>
        <w:t>.</w:t>
      </w:r>
      <w:r w:rsidR="00F3098B" w:rsidRPr="005A7390">
        <w:rPr>
          <w:rFonts w:ascii="Times New Roman" w:hAnsi="Times New Roman" w:cs="Times New Roman"/>
          <w:i/>
          <w:iCs/>
          <w:sz w:val="20"/>
          <w:szCs w:val="20"/>
        </w:rPr>
        <w:t xml:space="preserve"> </w:t>
      </w:r>
      <w:r w:rsidRPr="005A7390">
        <w:rPr>
          <w:rFonts w:ascii="Times New Roman" w:hAnsi="Times New Roman" w:cs="Times New Roman"/>
          <w:sz w:val="20"/>
          <w:szCs w:val="20"/>
        </w:rPr>
        <w:t>who found</w:t>
      </w:r>
      <w:r w:rsidR="005A7390">
        <w:rPr>
          <w:rFonts w:ascii="Times New Roman" w:hAnsi="Times New Roman" w:cs="Times New Roman"/>
          <w:sz w:val="20"/>
          <w:szCs w:val="20"/>
        </w:rPr>
        <w:t xml:space="preserve"> </w:t>
      </w:r>
      <w:r w:rsidRPr="005A7390">
        <w:rPr>
          <w:rFonts w:ascii="Times New Roman" w:hAnsi="Times New Roman" w:cs="Times New Roman"/>
          <w:sz w:val="20"/>
          <w:szCs w:val="20"/>
        </w:rPr>
        <w:t xml:space="preserve">serum ALT and AST levels were significantly higher (P value = 0.008 and 0.009 respectively) in </w:t>
      </w:r>
      <w:proofErr w:type="spellStart"/>
      <w:r w:rsidRPr="005A7390">
        <w:rPr>
          <w:rFonts w:ascii="Times New Roman" w:hAnsi="Times New Roman" w:cs="Times New Roman"/>
          <w:sz w:val="20"/>
          <w:szCs w:val="20"/>
        </w:rPr>
        <w:t>viraemic</w:t>
      </w:r>
      <w:proofErr w:type="spellEnd"/>
      <w:r w:rsidRPr="005A7390">
        <w:rPr>
          <w:rFonts w:ascii="Times New Roman" w:hAnsi="Times New Roman" w:cs="Times New Roman"/>
          <w:sz w:val="20"/>
          <w:szCs w:val="20"/>
        </w:rPr>
        <w:t xml:space="preserve"> patients than in individuals with no detectable HCV RNA in serum</w:t>
      </w:r>
      <w:r w:rsidR="007666CB">
        <w:rPr>
          <w:rFonts w:ascii="Times New Roman" w:hAnsi="Times New Roman" w:cs="Times New Roman" w:hint="eastAsia"/>
          <w:sz w:val="20"/>
          <w:szCs w:val="20"/>
          <w:lang w:eastAsia="zh-CN"/>
        </w:rPr>
        <w:t xml:space="preserve"> </w:t>
      </w:r>
      <w:r w:rsidRPr="005A7390">
        <w:rPr>
          <w:rFonts w:ascii="Times New Roman" w:hAnsi="Times New Roman" w:cs="Times New Roman"/>
          <w:b/>
          <w:bCs/>
          <w:i/>
          <w:iCs/>
          <w:sz w:val="20"/>
          <w:szCs w:val="20"/>
        </w:rPr>
        <w:t>(</w:t>
      </w:r>
      <w:r w:rsidR="00161CBF" w:rsidRPr="005A7390">
        <w:rPr>
          <w:rFonts w:ascii="Times New Roman" w:eastAsia="Times New Roman" w:hAnsi="Times New Roman" w:cs="Times New Roman"/>
          <w:b/>
          <w:bCs/>
          <w:i/>
          <w:iCs/>
          <w:sz w:val="20"/>
          <w:szCs w:val="20"/>
        </w:rPr>
        <w:t>22</w:t>
      </w:r>
      <w:r w:rsidRPr="005A7390">
        <w:rPr>
          <w:rFonts w:ascii="Times New Roman" w:eastAsia="Times New Roman" w:hAnsi="Times New Roman" w:cs="Times New Roman"/>
          <w:b/>
          <w:bCs/>
          <w:i/>
          <w:iCs/>
          <w:sz w:val="20"/>
          <w:szCs w:val="20"/>
        </w:rPr>
        <w:t>)</w:t>
      </w:r>
      <w:r w:rsidRPr="005A7390">
        <w:rPr>
          <w:rFonts w:ascii="Times New Roman" w:hAnsi="Times New Roman" w:cs="Times New Roman"/>
          <w:sz w:val="20"/>
          <w:szCs w:val="20"/>
        </w:rPr>
        <w:t>.</w:t>
      </w:r>
      <w:r w:rsidR="007666CB">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This may be explained by:-</w:t>
      </w:r>
      <w:r w:rsidRPr="005A7390">
        <w:rPr>
          <w:rFonts w:ascii="Times New Roman" w:hAnsi="Times New Roman" w:cs="Times New Roman"/>
          <w:sz w:val="20"/>
          <w:szCs w:val="20"/>
          <w:lang w:bidi="ar-EG"/>
        </w:rPr>
        <w:t>Patients in our study are 70 patients, while they are 394 patient</w:t>
      </w:r>
      <w:r w:rsidR="008A063C" w:rsidRPr="005A7390">
        <w:rPr>
          <w:rFonts w:ascii="Times New Roman" w:hAnsi="Times New Roman" w:cs="Times New Roman"/>
          <w:sz w:val="20"/>
          <w:szCs w:val="20"/>
          <w:lang w:bidi="ar-EG"/>
        </w:rPr>
        <w:t xml:space="preserve">s by the study of </w:t>
      </w:r>
      <w:proofErr w:type="spellStart"/>
      <w:r w:rsidR="008A063C" w:rsidRPr="005A7390">
        <w:rPr>
          <w:rFonts w:ascii="Times New Roman" w:hAnsi="Times New Roman" w:cs="Times New Roman"/>
          <w:sz w:val="20"/>
          <w:szCs w:val="20"/>
          <w:lang w:bidi="ar-EG"/>
        </w:rPr>
        <w:t>Fabrizi</w:t>
      </w:r>
      <w:proofErr w:type="spellEnd"/>
      <w:r w:rsidR="00F3098B" w:rsidRPr="005A7390">
        <w:rPr>
          <w:rFonts w:ascii="Times New Roman" w:hAnsi="Times New Roman" w:cs="Times New Roman"/>
          <w:sz w:val="20"/>
          <w:szCs w:val="20"/>
          <w:lang w:bidi="ar-EG"/>
        </w:rPr>
        <w:t xml:space="preserve"> </w:t>
      </w:r>
      <w:r w:rsidR="008A063C" w:rsidRPr="005A7390">
        <w:rPr>
          <w:rFonts w:ascii="Times New Roman" w:hAnsi="Times New Roman" w:cs="Times New Roman"/>
          <w:i/>
          <w:iCs/>
          <w:sz w:val="20"/>
          <w:szCs w:val="20"/>
          <w:lang w:bidi="ar-EG"/>
        </w:rPr>
        <w:t>et al</w:t>
      </w:r>
      <w:r w:rsidR="009A0ACE" w:rsidRPr="005A7390">
        <w:rPr>
          <w:rFonts w:ascii="Times New Roman" w:hAnsi="Times New Roman" w:cs="Times New Roman"/>
          <w:i/>
          <w:iCs/>
          <w:sz w:val="20"/>
          <w:szCs w:val="20"/>
          <w:lang w:bidi="ar-EG"/>
        </w:rPr>
        <w:t>.</w:t>
      </w:r>
      <w:r w:rsidR="008A063C" w:rsidRPr="005A7390">
        <w:rPr>
          <w:rFonts w:ascii="Times New Roman" w:hAnsi="Times New Roman" w:cs="Times New Roman"/>
          <w:i/>
          <w:iCs/>
          <w:sz w:val="20"/>
          <w:szCs w:val="20"/>
          <w:lang w:bidi="ar-EG"/>
        </w:rPr>
        <w:t>,</w:t>
      </w:r>
      <w:r w:rsidR="00F3098B" w:rsidRPr="005A7390">
        <w:rPr>
          <w:rFonts w:ascii="Times New Roman" w:hAnsi="Times New Roman" w:cs="Times New Roman"/>
          <w:i/>
          <w:iCs/>
          <w:sz w:val="20"/>
          <w:szCs w:val="20"/>
          <w:lang w:bidi="ar-EG"/>
        </w:rPr>
        <w:t xml:space="preserve"> </w:t>
      </w:r>
      <w:r w:rsidRPr="005A7390">
        <w:rPr>
          <w:rFonts w:ascii="Times New Roman" w:hAnsi="Times New Roman" w:cs="Times New Roman"/>
          <w:sz w:val="20"/>
          <w:szCs w:val="20"/>
          <w:lang w:bidi="ar-EG"/>
        </w:rPr>
        <w:t>Serum ALT and AST in our study are measured 4 times with 3 months between each one,</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 xml:space="preserve">while in the study of </w:t>
      </w:r>
      <w:proofErr w:type="spellStart"/>
      <w:r w:rsidRPr="005A7390">
        <w:rPr>
          <w:rFonts w:ascii="Times New Roman" w:hAnsi="Times New Roman" w:cs="Times New Roman"/>
          <w:sz w:val="20"/>
          <w:szCs w:val="20"/>
          <w:lang w:bidi="ar-EG"/>
        </w:rPr>
        <w:t>Febri</w:t>
      </w:r>
      <w:r w:rsidR="008A063C" w:rsidRPr="005A7390">
        <w:rPr>
          <w:rFonts w:ascii="Times New Roman" w:hAnsi="Times New Roman" w:cs="Times New Roman"/>
          <w:sz w:val="20"/>
          <w:szCs w:val="20"/>
          <w:lang w:bidi="ar-EG"/>
        </w:rPr>
        <w:t>zi</w:t>
      </w:r>
      <w:proofErr w:type="spellEnd"/>
      <w:r w:rsidR="00F3098B" w:rsidRPr="005A7390">
        <w:rPr>
          <w:rFonts w:ascii="Times New Roman" w:hAnsi="Times New Roman" w:cs="Times New Roman"/>
          <w:sz w:val="20"/>
          <w:szCs w:val="20"/>
          <w:lang w:bidi="ar-EG"/>
        </w:rPr>
        <w:t xml:space="preserve"> </w:t>
      </w:r>
      <w:r w:rsidR="009A0ACE" w:rsidRPr="005A7390">
        <w:rPr>
          <w:rFonts w:ascii="Times New Roman" w:hAnsi="Times New Roman" w:cs="Times New Roman"/>
          <w:i/>
          <w:iCs/>
          <w:sz w:val="20"/>
          <w:szCs w:val="20"/>
          <w:lang w:bidi="ar-EG"/>
        </w:rPr>
        <w:t>et al.,</w:t>
      </w:r>
      <w:r w:rsidR="008A063C" w:rsidRPr="005A7390">
        <w:rPr>
          <w:rFonts w:ascii="Times New Roman" w:hAnsi="Times New Roman" w:cs="Times New Roman"/>
          <w:sz w:val="20"/>
          <w:szCs w:val="20"/>
          <w:lang w:bidi="ar-EG"/>
        </w:rPr>
        <w:t xml:space="preserve"> they are measured once, </w:t>
      </w:r>
      <w:r w:rsidRPr="005A7390">
        <w:rPr>
          <w:rFonts w:ascii="Times New Roman" w:hAnsi="Times New Roman" w:cs="Times New Roman"/>
          <w:sz w:val="20"/>
          <w:szCs w:val="20"/>
          <w:lang w:bidi="ar-EG"/>
        </w:rPr>
        <w:t>Mean of</w:t>
      </w:r>
      <w:r w:rsidR="005A7390">
        <w:rPr>
          <w:rFonts w:ascii="Times New Roman" w:hAnsi="Times New Roman" w:cs="Times New Roman"/>
          <w:sz w:val="20"/>
          <w:szCs w:val="20"/>
          <w:lang w:bidi="ar-EG"/>
        </w:rPr>
        <w:t xml:space="preserve"> </w:t>
      </w:r>
      <w:r w:rsidRPr="005A7390">
        <w:rPr>
          <w:rFonts w:ascii="Times New Roman" w:hAnsi="Times New Roman" w:cs="Times New Roman"/>
          <w:sz w:val="20"/>
          <w:szCs w:val="20"/>
          <w:lang w:bidi="ar-EG"/>
        </w:rPr>
        <w:t>duration of starting dialysis in our study in patients and control is 7.37 and 7.83 years respectively, with no significant differences in between,</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 xml:space="preserve">while in the study of </w:t>
      </w:r>
      <w:proofErr w:type="spellStart"/>
      <w:r w:rsidRPr="005A7390">
        <w:rPr>
          <w:rFonts w:ascii="Times New Roman" w:hAnsi="Times New Roman" w:cs="Times New Roman"/>
          <w:sz w:val="20"/>
          <w:szCs w:val="20"/>
          <w:lang w:bidi="ar-EG"/>
        </w:rPr>
        <w:t>Febrizi</w:t>
      </w:r>
      <w:proofErr w:type="spellEnd"/>
      <w:r w:rsidR="00F3098B" w:rsidRPr="005A7390">
        <w:rPr>
          <w:rFonts w:ascii="Times New Roman" w:hAnsi="Times New Roman" w:cs="Times New Roman"/>
          <w:sz w:val="20"/>
          <w:szCs w:val="20"/>
          <w:lang w:bidi="ar-EG"/>
        </w:rPr>
        <w:t xml:space="preserve"> </w:t>
      </w:r>
      <w:r w:rsidR="009A0ACE" w:rsidRPr="005A7390">
        <w:rPr>
          <w:rFonts w:ascii="Times New Roman" w:hAnsi="Times New Roman" w:cs="Times New Roman"/>
          <w:i/>
          <w:iCs/>
          <w:sz w:val="20"/>
          <w:szCs w:val="20"/>
          <w:lang w:bidi="ar-EG"/>
        </w:rPr>
        <w:t>et al.,</w:t>
      </w:r>
      <w:r w:rsidR="005A7390" w:rsidRPr="005A7390">
        <w:rPr>
          <w:rFonts w:ascii="Times New Roman" w:hAnsi="Times New Roman" w:cs="Times New Roman" w:hint="eastAsia"/>
          <w:i/>
          <w:iCs/>
          <w:sz w:val="20"/>
          <w:szCs w:val="20"/>
          <w:lang w:eastAsia="zh-CN" w:bidi="ar-EG"/>
        </w:rPr>
        <w:t xml:space="preserve"> </w:t>
      </w:r>
      <w:r w:rsidRPr="005A7390">
        <w:rPr>
          <w:rFonts w:ascii="Times New Roman" w:hAnsi="Times New Roman" w:cs="Times New Roman"/>
          <w:sz w:val="20"/>
          <w:szCs w:val="20"/>
          <w:lang w:bidi="ar-EG"/>
        </w:rPr>
        <w:t>it is not clear.</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rPr>
        <w:t xml:space="preserve">The serum </w:t>
      </w:r>
      <w:proofErr w:type="spellStart"/>
      <w:r w:rsidRPr="005A7390">
        <w:rPr>
          <w:rFonts w:ascii="Times New Roman" w:hAnsi="Times New Roman" w:cs="Times New Roman"/>
          <w:sz w:val="20"/>
          <w:szCs w:val="20"/>
        </w:rPr>
        <w:t>aminotransferase</w:t>
      </w:r>
      <w:proofErr w:type="spellEnd"/>
      <w:r w:rsidRPr="005A7390">
        <w:rPr>
          <w:rFonts w:ascii="Times New Roman" w:hAnsi="Times New Roman" w:cs="Times New Roman"/>
          <w:sz w:val="20"/>
          <w:szCs w:val="20"/>
        </w:rPr>
        <w:t xml:space="preserve"> levels are within normal in</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CKD patients on HD (with or without viral hepatitis) this is related to factors such as </w:t>
      </w:r>
      <w:proofErr w:type="spellStart"/>
      <w:r w:rsidRPr="005A7390">
        <w:rPr>
          <w:rFonts w:ascii="Times New Roman" w:hAnsi="Times New Roman" w:cs="Times New Roman"/>
          <w:sz w:val="20"/>
          <w:szCs w:val="20"/>
        </w:rPr>
        <w:t>hemodilution</w:t>
      </w:r>
      <w:proofErr w:type="spellEnd"/>
      <w:r w:rsidRPr="005A7390">
        <w:rPr>
          <w:rFonts w:ascii="Times New Roman" w:hAnsi="Times New Roman" w:cs="Times New Roman"/>
          <w:sz w:val="20"/>
          <w:szCs w:val="20"/>
        </w:rPr>
        <w:t xml:space="preserve">, pyridoxine deficiency and </w:t>
      </w:r>
      <w:proofErr w:type="spellStart"/>
      <w:r w:rsidRPr="005A7390">
        <w:rPr>
          <w:rFonts w:ascii="Times New Roman" w:hAnsi="Times New Roman" w:cs="Times New Roman"/>
          <w:sz w:val="20"/>
          <w:szCs w:val="20"/>
        </w:rPr>
        <w:t>hyperhomocysteinemia</w:t>
      </w:r>
      <w:proofErr w:type="spellEnd"/>
      <w:r w:rsidRPr="005A7390">
        <w:rPr>
          <w:rFonts w:ascii="Times New Roman" w:hAnsi="Times New Roman" w:cs="Times New Roman"/>
          <w:sz w:val="20"/>
          <w:szCs w:val="20"/>
        </w:rPr>
        <w:t xml:space="preserve"> and, in patients with viral hepatitis, is associated with low viral load.</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As in the study by</w:t>
      </w:r>
      <w:r w:rsidR="005A7390" w:rsidRPr="005A7390">
        <w:rPr>
          <w:rFonts w:ascii="Times New Roman" w:hAnsi="Times New Roman" w:cs="Times New Roman" w:hint="eastAsia"/>
          <w:sz w:val="20"/>
          <w:szCs w:val="20"/>
          <w:lang w:eastAsia="zh-CN"/>
        </w:rPr>
        <w:t xml:space="preserve"> </w:t>
      </w:r>
      <w:r w:rsidRPr="005A7390">
        <w:rPr>
          <w:rFonts w:ascii="Times New Roman" w:eastAsia="Times New Roman" w:hAnsi="Times New Roman" w:cs="Times New Roman"/>
          <w:b/>
          <w:bCs/>
          <w:i/>
          <w:iCs/>
          <w:sz w:val="20"/>
          <w:szCs w:val="20"/>
        </w:rPr>
        <w:t>Kaiser</w:t>
      </w:r>
      <w:r w:rsidR="00F3098B" w:rsidRPr="005A7390">
        <w:rPr>
          <w:rFonts w:ascii="Times New Roman" w:eastAsia="Times New Roman" w:hAnsi="Times New Roman" w:cs="Times New Roman"/>
          <w:b/>
          <w:bCs/>
          <w:i/>
          <w:iCs/>
          <w:sz w:val="20"/>
          <w:szCs w:val="20"/>
        </w:rPr>
        <w:t xml:space="preserve"> </w:t>
      </w:r>
      <w:r w:rsidR="009A0ACE" w:rsidRPr="005A7390">
        <w:rPr>
          <w:rFonts w:ascii="Times New Roman" w:hAnsi="Times New Roman" w:cs="Times New Roman"/>
          <w:i/>
          <w:iCs/>
          <w:sz w:val="20"/>
          <w:szCs w:val="20"/>
          <w:lang w:bidi="ar-EG"/>
        </w:rPr>
        <w:t>et al.,</w:t>
      </w:r>
      <w:r w:rsidR="007666CB">
        <w:rPr>
          <w:rFonts w:ascii="Times New Roman" w:hAnsi="Times New Roman" w:cs="Times New Roman" w:hint="eastAsia"/>
          <w:i/>
          <w:iCs/>
          <w:sz w:val="20"/>
          <w:szCs w:val="20"/>
          <w:lang w:eastAsia="zh-CN" w:bidi="ar-EG"/>
        </w:rPr>
        <w:t xml:space="preserve"> </w:t>
      </w:r>
      <w:r w:rsidRPr="005A7390">
        <w:rPr>
          <w:rFonts w:ascii="Times New Roman" w:eastAsia="Times New Roman" w:hAnsi="Times New Roman" w:cs="Times New Roman"/>
          <w:sz w:val="20"/>
          <w:szCs w:val="20"/>
        </w:rPr>
        <w:t xml:space="preserve">evaluated the </w:t>
      </w:r>
      <w:proofErr w:type="spellStart"/>
      <w:r w:rsidRPr="005A7390">
        <w:rPr>
          <w:rFonts w:ascii="Times New Roman" w:eastAsia="Times New Roman" w:hAnsi="Times New Roman" w:cs="Times New Roman"/>
          <w:sz w:val="20"/>
          <w:szCs w:val="20"/>
        </w:rPr>
        <w:t>viremia</w:t>
      </w:r>
      <w:proofErr w:type="spellEnd"/>
      <w:r w:rsidRPr="005A7390">
        <w:rPr>
          <w:rFonts w:ascii="Times New Roman" w:eastAsia="Times New Roman" w:hAnsi="Times New Roman" w:cs="Times New Roman"/>
          <w:sz w:val="20"/>
          <w:szCs w:val="20"/>
        </w:rPr>
        <w:t xml:space="preserve"> and serology of HCV-infected patients during 20 HD sessions and demonstrated both anti-HCV and HCV-RNA decline during the dialysis procedure. They also observed that there was a linear 77% reduction in anti-HCV titers during the HD session and a 73% reduction of HCV-RNA at the end of the HD session</w:t>
      </w:r>
      <w:r w:rsidR="005A7390" w:rsidRPr="005A7390">
        <w:rPr>
          <w:rFonts w:ascii="Times New Roman" w:hAnsi="Times New Roman" w:cs="Times New Roman" w:hint="eastAsia"/>
          <w:sz w:val="20"/>
          <w:szCs w:val="20"/>
          <w:lang w:eastAsia="zh-CN"/>
        </w:rPr>
        <w:t xml:space="preserve"> </w:t>
      </w:r>
      <w:r w:rsidRPr="005A7390">
        <w:rPr>
          <w:rFonts w:ascii="Times New Roman" w:eastAsia="Times New Roman" w:hAnsi="Times New Roman" w:cs="Times New Roman"/>
          <w:b/>
          <w:bCs/>
          <w:i/>
          <w:iCs/>
          <w:sz w:val="20"/>
          <w:szCs w:val="20"/>
        </w:rPr>
        <w:t>(</w:t>
      </w:r>
      <w:r w:rsidR="00161CBF" w:rsidRPr="005A7390">
        <w:rPr>
          <w:rFonts w:ascii="Times New Roman" w:hAnsi="Times New Roman" w:cs="Times New Roman"/>
          <w:b/>
          <w:bCs/>
          <w:i/>
          <w:iCs/>
          <w:sz w:val="20"/>
          <w:szCs w:val="20"/>
        </w:rPr>
        <w:t>23</w:t>
      </w:r>
      <w:r w:rsidRPr="005A7390">
        <w:rPr>
          <w:rFonts w:ascii="Times New Roman" w:eastAsia="Times New Roman" w:hAnsi="Times New Roman" w:cs="Times New Roman"/>
          <w:b/>
          <w:bCs/>
          <w:i/>
          <w:iCs/>
          <w:sz w:val="20"/>
          <w:szCs w:val="20"/>
        </w:rPr>
        <w:t>)</w:t>
      </w:r>
      <w:r w:rsidRPr="005A7390">
        <w:rPr>
          <w:rFonts w:ascii="Times New Roman" w:eastAsia="Times New Roman" w:hAnsi="Times New Roman" w:cs="Times New Roman"/>
          <w:sz w:val="20"/>
          <w:szCs w:val="20"/>
        </w:rPr>
        <w:t>.</w:t>
      </w:r>
      <w:r w:rsidR="005A7390" w:rsidRPr="005A7390">
        <w:rPr>
          <w:rFonts w:ascii="Times New Roman" w:hAnsi="Times New Roman" w:cs="Times New Roman" w:hint="eastAsia"/>
          <w:sz w:val="20"/>
          <w:szCs w:val="20"/>
          <w:lang w:eastAsia="zh-CN"/>
        </w:rPr>
        <w:t xml:space="preserve"> O</w:t>
      </w:r>
      <w:r w:rsidRPr="005A7390">
        <w:rPr>
          <w:rFonts w:ascii="Times New Roman" w:hAnsi="Times New Roman" w:cs="Times New Roman"/>
          <w:sz w:val="20"/>
          <w:szCs w:val="20"/>
        </w:rPr>
        <w:t>ur study showed that:-</w:t>
      </w:r>
      <w:r w:rsidRPr="005A7390">
        <w:rPr>
          <w:rFonts w:ascii="Times New Roman" w:hAnsi="Times New Roman" w:cs="Times New Roman"/>
          <w:sz w:val="20"/>
          <w:szCs w:val="20"/>
          <w:lang w:bidi="ar-EG"/>
        </w:rPr>
        <w:t xml:space="preserve">29 patients are in low </w:t>
      </w:r>
      <w:proofErr w:type="spellStart"/>
      <w:r w:rsidRPr="005A7390">
        <w:rPr>
          <w:rFonts w:ascii="Times New Roman" w:hAnsi="Times New Roman" w:cs="Times New Roman"/>
          <w:sz w:val="20"/>
          <w:szCs w:val="20"/>
          <w:lang w:bidi="ar-EG"/>
        </w:rPr>
        <w:t>viremia</w:t>
      </w:r>
      <w:proofErr w:type="spellEnd"/>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(72.5</w:t>
      </w:r>
      <w:r w:rsidRPr="005A7390">
        <w:rPr>
          <w:rFonts w:ascii="Times New Roman" w:hAnsi="Times New Roman" w:cs="Times New Roman"/>
          <w:b/>
          <w:bCs/>
          <w:sz w:val="20"/>
          <w:szCs w:val="20"/>
        </w:rPr>
        <w:t>%</w:t>
      </w:r>
      <w:r w:rsidRPr="005A7390">
        <w:rPr>
          <w:rFonts w:ascii="Times New Roman" w:hAnsi="Times New Roman" w:cs="Times New Roman"/>
          <w:sz w:val="20"/>
          <w:szCs w:val="20"/>
          <w:lang w:bidi="ar-EG"/>
        </w:rPr>
        <w:t>)</w:t>
      </w:r>
      <w:r w:rsidR="008A063C" w:rsidRPr="005A7390">
        <w:rPr>
          <w:rFonts w:ascii="Times New Roman" w:hAnsi="Times New Roman" w:cs="Times New Roman"/>
          <w:sz w:val="20"/>
          <w:szCs w:val="20"/>
          <w:lang w:bidi="ar-EG"/>
        </w:rPr>
        <w:t>,</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 xml:space="preserve">9 patients are in intermediate </w:t>
      </w:r>
      <w:proofErr w:type="spellStart"/>
      <w:r w:rsidRPr="005A7390">
        <w:rPr>
          <w:rFonts w:ascii="Times New Roman" w:hAnsi="Times New Roman" w:cs="Times New Roman"/>
          <w:sz w:val="20"/>
          <w:szCs w:val="20"/>
          <w:lang w:bidi="ar-EG"/>
        </w:rPr>
        <w:t>viremia</w:t>
      </w:r>
      <w:proofErr w:type="spellEnd"/>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(22.5</w:t>
      </w:r>
      <w:r w:rsidRPr="005A7390">
        <w:rPr>
          <w:rFonts w:ascii="Times New Roman" w:hAnsi="Times New Roman" w:cs="Times New Roman"/>
          <w:b/>
          <w:bCs/>
          <w:sz w:val="20"/>
          <w:szCs w:val="20"/>
        </w:rPr>
        <w:t>%</w:t>
      </w:r>
      <w:r w:rsidRPr="005A7390">
        <w:rPr>
          <w:rFonts w:ascii="Times New Roman" w:hAnsi="Times New Roman" w:cs="Times New Roman"/>
          <w:sz w:val="20"/>
          <w:szCs w:val="20"/>
          <w:lang w:bidi="ar-EG"/>
        </w:rPr>
        <w:t>)</w:t>
      </w:r>
      <w:r w:rsidR="008A063C" w:rsidRPr="005A7390">
        <w:rPr>
          <w:rFonts w:ascii="Times New Roman" w:hAnsi="Times New Roman" w:cs="Times New Roman"/>
          <w:sz w:val="20"/>
          <w:szCs w:val="20"/>
          <w:lang w:bidi="ar-EG"/>
        </w:rPr>
        <w:t xml:space="preserve">, </w:t>
      </w:r>
      <w:r w:rsidRPr="005A7390">
        <w:rPr>
          <w:rFonts w:ascii="Times New Roman" w:hAnsi="Times New Roman" w:cs="Times New Roman"/>
          <w:sz w:val="20"/>
          <w:szCs w:val="20"/>
          <w:lang w:bidi="ar-EG"/>
        </w:rPr>
        <w:t xml:space="preserve">2 patients are in high </w:t>
      </w:r>
      <w:proofErr w:type="spellStart"/>
      <w:r w:rsidRPr="005A7390">
        <w:rPr>
          <w:rFonts w:ascii="Times New Roman" w:hAnsi="Times New Roman" w:cs="Times New Roman"/>
          <w:sz w:val="20"/>
          <w:szCs w:val="20"/>
          <w:lang w:bidi="ar-EG"/>
        </w:rPr>
        <w:t>viremia</w:t>
      </w:r>
      <w:proofErr w:type="spellEnd"/>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(5</w:t>
      </w:r>
      <w:r w:rsidRPr="005A7390">
        <w:rPr>
          <w:rFonts w:ascii="Times New Roman" w:hAnsi="Times New Roman" w:cs="Times New Roman"/>
          <w:b/>
          <w:bCs/>
          <w:sz w:val="20"/>
          <w:szCs w:val="20"/>
        </w:rPr>
        <w:t>%)</w:t>
      </w:r>
      <w:r w:rsidRPr="005A7390">
        <w:rPr>
          <w:rFonts w:ascii="Times New Roman" w:hAnsi="Times New Roman" w:cs="Times New Roman"/>
          <w:sz w:val="20"/>
          <w:szCs w:val="20"/>
          <w:lang w:bidi="ar-EG"/>
        </w:rPr>
        <w:t>.</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lang w:bidi="ar-EG"/>
        </w:rPr>
        <w:t xml:space="preserve">And with </w:t>
      </w:r>
      <w:r w:rsidR="00F3098B" w:rsidRPr="005A7390">
        <w:rPr>
          <w:rFonts w:ascii="Times New Roman" w:hAnsi="Times New Roman" w:cs="Times New Roman"/>
          <w:sz w:val="20"/>
          <w:szCs w:val="20"/>
        </w:rPr>
        <w:t>Comparative</w:t>
      </w:r>
      <w:r w:rsidRPr="005A7390">
        <w:rPr>
          <w:rFonts w:ascii="Times New Roman" w:hAnsi="Times New Roman" w:cs="Times New Roman"/>
          <w:sz w:val="20"/>
          <w:szCs w:val="20"/>
        </w:rPr>
        <w:t xml:space="preserve"> study between low, intermediate and high </w:t>
      </w:r>
      <w:proofErr w:type="spellStart"/>
      <w:r w:rsidRPr="005A7390">
        <w:rPr>
          <w:rFonts w:ascii="Times New Roman" w:hAnsi="Times New Roman" w:cs="Times New Roman"/>
          <w:sz w:val="20"/>
          <w:szCs w:val="20"/>
        </w:rPr>
        <w:t>viremia</w:t>
      </w:r>
      <w:proofErr w:type="spellEnd"/>
      <w:r w:rsidRPr="005A7390">
        <w:rPr>
          <w:rFonts w:ascii="Times New Roman" w:hAnsi="Times New Roman" w:cs="Times New Roman"/>
          <w:sz w:val="20"/>
          <w:szCs w:val="20"/>
        </w:rPr>
        <w:t xml:space="preserve"> as regard duration of starting dialysis (years) using</w:t>
      </w:r>
      <w:r w:rsidRPr="005A7390">
        <w:rPr>
          <w:rFonts w:ascii="Times New Roman" w:hAnsi="Times New Roman" w:cs="Times New Roman"/>
          <w:sz w:val="20"/>
          <w:szCs w:val="20"/>
          <w:lang w:eastAsia="ar-SA"/>
        </w:rPr>
        <w:t xml:space="preserve"> A one-way analysis of variance (ANOVA)</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lang w:eastAsia="ar-SA"/>
        </w:rPr>
        <w:t>test</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lang w:bidi="ar-EG"/>
        </w:rPr>
        <w:t xml:space="preserve">revealed </w:t>
      </w:r>
      <w:r w:rsidRPr="005A7390">
        <w:rPr>
          <w:rFonts w:ascii="Times New Roman" w:eastAsia="Calibri" w:hAnsi="Times New Roman" w:cs="Times New Roman"/>
          <w:sz w:val="20"/>
          <w:szCs w:val="20"/>
          <w:lang w:bidi="ar-EG"/>
        </w:rPr>
        <w:t>highly significance</w:t>
      </w:r>
      <w:r w:rsidR="00F3098B" w:rsidRPr="005A7390">
        <w:rPr>
          <w:rFonts w:ascii="Times New Roman" w:eastAsia="Calibri" w:hAnsi="Times New Roman" w:cs="Times New Roman"/>
          <w:sz w:val="20"/>
          <w:szCs w:val="20"/>
          <w:lang w:bidi="ar-EG"/>
        </w:rPr>
        <w:t xml:space="preserve"> </w:t>
      </w:r>
      <w:r w:rsidRPr="005A7390">
        <w:rPr>
          <w:rFonts w:ascii="Times New Roman" w:hAnsi="Times New Roman" w:cs="Times New Roman"/>
          <w:i/>
          <w:iCs/>
          <w:sz w:val="20"/>
          <w:szCs w:val="20"/>
          <w:lang w:bidi="ar-EG"/>
        </w:rPr>
        <w:t>p</w:t>
      </w:r>
      <w:r w:rsidRPr="005A7390">
        <w:rPr>
          <w:rFonts w:ascii="Times New Roman" w:hAnsi="Times New Roman" w:cs="Times New Roman"/>
          <w:sz w:val="20"/>
          <w:szCs w:val="20"/>
          <w:lang w:bidi="ar-EG"/>
        </w:rPr>
        <w:t>-value (</w:t>
      </w:r>
      <w:r w:rsidRPr="005A7390">
        <w:rPr>
          <w:rFonts w:ascii="Times New Roman" w:eastAsia="Times New Roman" w:hAnsi="Times New Roman" w:cs="Times New Roman"/>
          <w:b/>
          <w:bCs/>
          <w:sz w:val="20"/>
          <w:szCs w:val="20"/>
        </w:rPr>
        <w:t>&lt;</w:t>
      </w:r>
      <w:r w:rsidRPr="005A7390">
        <w:rPr>
          <w:rFonts w:ascii="Times New Roman" w:hAnsi="Times New Roman" w:cs="Times New Roman"/>
          <w:sz w:val="20"/>
          <w:szCs w:val="20"/>
          <w:lang w:bidi="ar-EG"/>
        </w:rPr>
        <w:t>0.001), indicating that: There is</w:t>
      </w:r>
      <w:r w:rsidR="005A7390" w:rsidRPr="005A7390">
        <w:rPr>
          <w:rFonts w:ascii="Times New Roman" w:hAnsi="Times New Roman" w:cs="Times New Roman" w:hint="eastAsia"/>
          <w:sz w:val="20"/>
          <w:szCs w:val="20"/>
          <w:lang w:eastAsia="zh-CN" w:bidi="ar-EG"/>
        </w:rPr>
        <w:t xml:space="preserve"> </w:t>
      </w:r>
      <w:r w:rsidRPr="005A7390">
        <w:rPr>
          <w:rFonts w:ascii="Times New Roman" w:eastAsia="Calibri" w:hAnsi="Times New Roman" w:cs="Times New Roman"/>
          <w:sz w:val="20"/>
          <w:szCs w:val="20"/>
          <w:lang w:bidi="ar-EG"/>
        </w:rPr>
        <w:t>inverse association with increase duration of starting dialysis there is decrease in hepatitis C viral load.</w:t>
      </w:r>
      <w:r w:rsidR="005A7390" w:rsidRPr="005A7390">
        <w:rPr>
          <w:rFonts w:ascii="Times New Roman" w:hAnsi="Times New Roman" w:cs="Times New Roman" w:hint="eastAsia"/>
          <w:sz w:val="20"/>
          <w:szCs w:val="20"/>
          <w:lang w:eastAsia="zh-CN" w:bidi="ar-EG"/>
        </w:rPr>
        <w:t xml:space="preserve"> </w:t>
      </w:r>
      <w:r w:rsidRPr="005A7390">
        <w:rPr>
          <w:rFonts w:ascii="Times New Roman" w:hAnsi="Times New Roman" w:cs="Times New Roman"/>
          <w:sz w:val="20"/>
          <w:szCs w:val="20"/>
        </w:rPr>
        <w:t>Our data confirm that patients with CKD on HD with HCV have normal level of</w:t>
      </w:r>
      <w:r w:rsidR="005A7390">
        <w:rPr>
          <w:rFonts w:ascii="Times New Roman" w:hAnsi="Times New Roman" w:cs="Times New Roman"/>
          <w:sz w:val="20"/>
          <w:szCs w:val="20"/>
        </w:rPr>
        <w:t xml:space="preserve"> </w:t>
      </w:r>
      <w:r w:rsidRPr="005A7390">
        <w:rPr>
          <w:rFonts w:ascii="Times New Roman" w:hAnsi="Times New Roman" w:cs="Times New Roman"/>
          <w:sz w:val="20"/>
          <w:szCs w:val="20"/>
        </w:rPr>
        <w:t xml:space="preserve">liver </w:t>
      </w:r>
      <w:proofErr w:type="spellStart"/>
      <w:r w:rsidRPr="005A7390">
        <w:rPr>
          <w:rFonts w:ascii="Times New Roman" w:hAnsi="Times New Roman" w:cs="Times New Roman"/>
          <w:sz w:val="20"/>
          <w:szCs w:val="20"/>
        </w:rPr>
        <w:t>aminotransferases</w:t>
      </w:r>
      <w:proofErr w:type="spellEnd"/>
      <w:r w:rsidRPr="005A7390">
        <w:rPr>
          <w:rFonts w:ascii="Times New Roman" w:hAnsi="Times New Roman" w:cs="Times New Roman"/>
          <w:sz w:val="20"/>
          <w:szCs w:val="20"/>
        </w:rPr>
        <w:t xml:space="preserve">, and low </w:t>
      </w:r>
      <w:proofErr w:type="spellStart"/>
      <w:r w:rsidRPr="005A7390">
        <w:rPr>
          <w:rFonts w:ascii="Times New Roman" w:hAnsi="Times New Roman" w:cs="Times New Roman"/>
          <w:sz w:val="20"/>
          <w:szCs w:val="20"/>
        </w:rPr>
        <w:t>viremia</w:t>
      </w:r>
      <w:proofErr w:type="spellEnd"/>
      <w:r w:rsidRPr="005A7390">
        <w:rPr>
          <w:rFonts w:ascii="Times New Roman" w:hAnsi="Times New Roman" w:cs="Times New Roman"/>
          <w:sz w:val="20"/>
          <w:szCs w:val="20"/>
        </w:rPr>
        <w:t xml:space="preserve"> in HCV patients on HD is an important factor in maintaining them within normal ranges, and this low viral load may be related t</w:t>
      </w:r>
      <w:r w:rsidR="00913524" w:rsidRPr="005A7390">
        <w:rPr>
          <w:rFonts w:ascii="Times New Roman" w:hAnsi="Times New Roman" w:cs="Times New Roman"/>
          <w:sz w:val="20"/>
          <w:szCs w:val="20"/>
        </w:rPr>
        <w:t>o duration since starting of HD</w:t>
      </w:r>
      <w:r w:rsidRPr="005A7390">
        <w:rPr>
          <w:rFonts w:ascii="Times New Roman" w:hAnsi="Times New Roman" w:cs="Times New Roman"/>
          <w:sz w:val="20"/>
          <w:szCs w:val="20"/>
        </w:rPr>
        <w:t>.</w:t>
      </w:r>
      <w:r w:rsidR="00F3098B" w:rsidRPr="005A7390">
        <w:rPr>
          <w:rFonts w:ascii="Times New Roman" w:hAnsi="Times New Roman" w:cs="Times New Roman"/>
          <w:sz w:val="20"/>
          <w:szCs w:val="20"/>
        </w:rPr>
        <w:t xml:space="preserve"> Comparative</w:t>
      </w:r>
      <w:r w:rsidRPr="005A7390">
        <w:rPr>
          <w:rFonts w:ascii="Times New Roman" w:hAnsi="Times New Roman" w:cs="Times New Roman"/>
          <w:sz w:val="20"/>
          <w:szCs w:val="20"/>
        </w:rPr>
        <w:t xml:space="preserve"> study between patients and control as regard serum albumin</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showed that mean of patients is (3.77, 3.83, 3.89 and 4.06) versus (3.88, 3.96, 3.88 and 4.02) of control</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all are within normal with no significance between them as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(0.011, 0.098, 0.876 and 0.510)</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at the beginning, middle"3 and 6 months later" and at the end of the study respectively.</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Also </w:t>
      </w:r>
      <w:r w:rsidR="00F3098B" w:rsidRPr="005A7390">
        <w:rPr>
          <w:rFonts w:ascii="Times New Roman" w:hAnsi="Times New Roman" w:cs="Times New Roman"/>
          <w:sz w:val="20"/>
          <w:szCs w:val="20"/>
        </w:rPr>
        <w:t>Comparative</w:t>
      </w:r>
      <w:r w:rsidRPr="005A7390">
        <w:rPr>
          <w:rFonts w:ascii="Times New Roman" w:hAnsi="Times New Roman" w:cs="Times New Roman"/>
          <w:sz w:val="20"/>
          <w:szCs w:val="20"/>
        </w:rPr>
        <w:t xml:space="preserve"> study between patients and control as </w:t>
      </w:r>
      <w:r w:rsidR="008A063C" w:rsidRPr="005A7390">
        <w:rPr>
          <w:rFonts w:ascii="Times New Roman" w:hAnsi="Times New Roman" w:cs="Times New Roman"/>
          <w:sz w:val="20"/>
          <w:szCs w:val="20"/>
        </w:rPr>
        <w:t>regard INR</w:t>
      </w:r>
      <w:r w:rsidRPr="005A7390">
        <w:rPr>
          <w:rFonts w:ascii="Times New Roman" w:hAnsi="Times New Roman" w:cs="Times New Roman"/>
          <w:sz w:val="20"/>
          <w:szCs w:val="20"/>
        </w:rPr>
        <w:t xml:space="preserve"> showed that mean of patients is (1.02, 1.04, 1.02 and 1.02) versus (1.02, 1.01, 1.00 and 1.01) of control</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all are within normal with no significance </w:t>
      </w:r>
      <w:r w:rsidRPr="005A7390">
        <w:rPr>
          <w:rFonts w:ascii="Times New Roman" w:hAnsi="Times New Roman" w:cs="Times New Roman"/>
          <w:sz w:val="20"/>
          <w:szCs w:val="20"/>
        </w:rPr>
        <w:lastRenderedPageBreak/>
        <w:t xml:space="preserve">between them as </w:t>
      </w:r>
      <w:r w:rsidRPr="005A7390">
        <w:rPr>
          <w:rFonts w:ascii="Times New Roman" w:hAnsi="Times New Roman" w:cs="Times New Roman"/>
          <w:i/>
          <w:iCs/>
          <w:sz w:val="20"/>
          <w:szCs w:val="20"/>
        </w:rPr>
        <w:t>P</w:t>
      </w:r>
      <w:r w:rsidRPr="005A7390">
        <w:rPr>
          <w:rFonts w:ascii="Times New Roman" w:hAnsi="Times New Roman" w:cs="Times New Roman"/>
          <w:sz w:val="20"/>
          <w:szCs w:val="20"/>
        </w:rPr>
        <w:t xml:space="preserve"> value (0.654, 0.114, 0.101 and 0.079) at the beginning, middle"3 and 6 months later" and at the end of the study respectively.</w:t>
      </w:r>
      <w:r w:rsidR="005A7390" w:rsidRPr="005A7390">
        <w:rPr>
          <w:rFonts w:ascii="Times New Roman" w:hAnsi="Times New Roman" w:cs="Times New Roman" w:hint="eastAsia"/>
          <w:sz w:val="20"/>
          <w:szCs w:val="20"/>
          <w:lang w:eastAsia="zh-CN"/>
        </w:rPr>
        <w:t xml:space="preserve"> </w:t>
      </w:r>
      <w:r w:rsidRPr="005A7390">
        <w:rPr>
          <w:rFonts w:ascii="Times New Roman" w:hAnsi="Times New Roman" w:cs="Times New Roman"/>
          <w:sz w:val="20"/>
          <w:szCs w:val="20"/>
        </w:rPr>
        <w:t xml:space="preserve">Both serum albumin and INR are synthetic functions of liver, </w:t>
      </w:r>
      <w:proofErr w:type="gramStart"/>
      <w:r w:rsidRPr="005A7390">
        <w:rPr>
          <w:rFonts w:ascii="Times New Roman" w:hAnsi="Times New Roman" w:cs="Times New Roman"/>
          <w:sz w:val="20"/>
          <w:szCs w:val="20"/>
        </w:rPr>
        <w:t>Although</w:t>
      </w:r>
      <w:proofErr w:type="gramEnd"/>
      <w:r w:rsidRPr="005A7390">
        <w:rPr>
          <w:rFonts w:ascii="Times New Roman" w:hAnsi="Times New Roman" w:cs="Times New Roman"/>
          <w:sz w:val="20"/>
          <w:szCs w:val="20"/>
        </w:rPr>
        <w:t xml:space="preserve"> they are within normal, they are affected by many factors such as </w:t>
      </w:r>
      <w:r w:rsidR="00F3098B" w:rsidRPr="005A7390">
        <w:rPr>
          <w:rFonts w:ascii="Times New Roman" w:hAnsi="Times New Roman" w:cs="Times New Roman"/>
          <w:sz w:val="20"/>
          <w:szCs w:val="20"/>
        </w:rPr>
        <w:t xml:space="preserve">nutritional </w:t>
      </w:r>
      <w:r w:rsidRPr="005A7390">
        <w:rPr>
          <w:rFonts w:ascii="Times New Roman" w:hAnsi="Times New Roman" w:cs="Times New Roman"/>
          <w:sz w:val="20"/>
          <w:szCs w:val="20"/>
        </w:rPr>
        <w:t xml:space="preserve">status of patients and also their </w:t>
      </w:r>
      <w:proofErr w:type="spellStart"/>
      <w:r w:rsidRPr="005A7390">
        <w:rPr>
          <w:rFonts w:ascii="Times New Roman" w:hAnsi="Times New Roman" w:cs="Times New Roman"/>
          <w:sz w:val="20"/>
          <w:szCs w:val="20"/>
        </w:rPr>
        <w:t>heparinization</w:t>
      </w:r>
      <w:proofErr w:type="spellEnd"/>
      <w:r w:rsidRPr="005A7390">
        <w:rPr>
          <w:rFonts w:ascii="Times New Roman" w:hAnsi="Times New Roman" w:cs="Times New Roman"/>
          <w:sz w:val="20"/>
          <w:szCs w:val="20"/>
        </w:rPr>
        <w:t xml:space="preserve"> during HD session.</w:t>
      </w:r>
      <w:r w:rsidR="005A7390" w:rsidRPr="005A7390">
        <w:rPr>
          <w:rFonts w:ascii="Times New Roman" w:hAnsi="Times New Roman" w:cs="Times New Roman" w:hint="eastAsia"/>
          <w:sz w:val="20"/>
          <w:szCs w:val="20"/>
          <w:lang w:eastAsia="zh-CN"/>
        </w:rPr>
        <w:t xml:space="preserve"> </w:t>
      </w:r>
      <w:r w:rsidRPr="005A7390">
        <w:rPr>
          <w:rFonts w:ascii="Times New Roman" w:eastAsia="Times New Roman" w:hAnsi="Times New Roman" w:cs="Times New Roman"/>
          <w:sz w:val="20"/>
          <w:szCs w:val="20"/>
        </w:rPr>
        <w:t xml:space="preserve">Finally, it was confirmed that, with or without HCV infection, serum </w:t>
      </w:r>
      <w:proofErr w:type="spellStart"/>
      <w:r w:rsidRPr="005A7390">
        <w:rPr>
          <w:rFonts w:ascii="Times New Roman" w:eastAsia="Times New Roman" w:hAnsi="Times New Roman" w:cs="Times New Roman"/>
          <w:sz w:val="20"/>
          <w:szCs w:val="20"/>
        </w:rPr>
        <w:t>aminotransferases</w:t>
      </w:r>
      <w:proofErr w:type="spellEnd"/>
      <w:r w:rsidRPr="005A7390">
        <w:rPr>
          <w:rFonts w:ascii="Times New Roman" w:eastAsia="Times New Roman" w:hAnsi="Times New Roman" w:cs="Times New Roman"/>
          <w:sz w:val="20"/>
          <w:szCs w:val="20"/>
        </w:rPr>
        <w:t xml:space="preserve"> are within normal in patients with CKD on HD. </w:t>
      </w:r>
      <w:proofErr w:type="spellStart"/>
      <w:r w:rsidRPr="005A7390">
        <w:rPr>
          <w:rFonts w:ascii="Times New Roman" w:eastAsia="Times New Roman" w:hAnsi="Times New Roman" w:cs="Times New Roman"/>
          <w:sz w:val="20"/>
          <w:szCs w:val="20"/>
        </w:rPr>
        <w:t>Hemodilution</w:t>
      </w:r>
      <w:proofErr w:type="spellEnd"/>
      <w:r w:rsidRPr="005A7390">
        <w:rPr>
          <w:rFonts w:ascii="Times New Roman" w:eastAsia="Times New Roman" w:hAnsi="Times New Roman" w:cs="Times New Roman"/>
          <w:sz w:val="20"/>
          <w:szCs w:val="20"/>
        </w:rPr>
        <w:t xml:space="preserve"> is involved in this reduction; other factors, such as pyridoxine deficiency or increased </w:t>
      </w:r>
      <w:proofErr w:type="spellStart"/>
      <w:r w:rsidRPr="005A7390">
        <w:rPr>
          <w:rFonts w:ascii="Times New Roman" w:eastAsia="Times New Roman" w:hAnsi="Times New Roman" w:cs="Times New Roman"/>
          <w:sz w:val="20"/>
          <w:szCs w:val="20"/>
        </w:rPr>
        <w:t>homocysteine</w:t>
      </w:r>
      <w:proofErr w:type="spellEnd"/>
      <w:r w:rsidRPr="005A7390">
        <w:rPr>
          <w:rFonts w:ascii="Times New Roman" w:eastAsia="Times New Roman" w:hAnsi="Times New Roman" w:cs="Times New Roman"/>
          <w:sz w:val="20"/>
          <w:szCs w:val="20"/>
        </w:rPr>
        <w:t xml:space="preserve">, may also be involved. In HCV-infected patients, the serum levels of these enzymes are potentially within normal due to the reduction of the viral load. Further studies are required to investigate the reduction of HCV </w:t>
      </w:r>
      <w:proofErr w:type="spellStart"/>
      <w:r w:rsidRPr="005A7390">
        <w:rPr>
          <w:rFonts w:ascii="Times New Roman" w:eastAsia="Times New Roman" w:hAnsi="Times New Roman" w:cs="Times New Roman"/>
          <w:sz w:val="20"/>
          <w:szCs w:val="20"/>
        </w:rPr>
        <w:t>viremia</w:t>
      </w:r>
      <w:proofErr w:type="spellEnd"/>
      <w:r w:rsidRPr="005A7390">
        <w:rPr>
          <w:rFonts w:ascii="Times New Roman" w:eastAsia="Times New Roman" w:hAnsi="Times New Roman" w:cs="Times New Roman"/>
          <w:sz w:val="20"/>
          <w:szCs w:val="20"/>
        </w:rPr>
        <w:t xml:space="preserve"> and the involvement of pyridoxine and </w:t>
      </w:r>
      <w:proofErr w:type="spellStart"/>
      <w:r w:rsidRPr="005A7390">
        <w:rPr>
          <w:rFonts w:ascii="Times New Roman" w:eastAsia="Times New Roman" w:hAnsi="Times New Roman" w:cs="Times New Roman"/>
          <w:sz w:val="20"/>
          <w:szCs w:val="20"/>
        </w:rPr>
        <w:t>homocysteine</w:t>
      </w:r>
      <w:proofErr w:type="spellEnd"/>
      <w:r w:rsidRPr="005A7390">
        <w:rPr>
          <w:rFonts w:ascii="Times New Roman" w:eastAsia="Times New Roman" w:hAnsi="Times New Roman" w:cs="Times New Roman"/>
          <w:sz w:val="20"/>
          <w:szCs w:val="20"/>
        </w:rPr>
        <w:t xml:space="preserve"> in patients with CKD on HD.</w:t>
      </w:r>
    </w:p>
    <w:p w:rsidR="008A063C" w:rsidRPr="005A7390" w:rsidRDefault="008A063C" w:rsidP="00030DDA">
      <w:pPr>
        <w:bidi w:val="0"/>
        <w:adjustRightInd w:val="0"/>
        <w:snapToGrid w:val="0"/>
        <w:spacing w:after="0" w:line="240" w:lineRule="auto"/>
        <w:ind w:firstLine="425"/>
        <w:jc w:val="both"/>
        <w:rPr>
          <w:rFonts w:ascii="Times New Roman" w:eastAsia="Times New Roman" w:hAnsi="Times New Roman" w:cs="Times New Roman"/>
          <w:sz w:val="20"/>
          <w:szCs w:val="20"/>
        </w:rPr>
      </w:pPr>
    </w:p>
    <w:p w:rsidR="00D262ED" w:rsidRPr="005A7390" w:rsidRDefault="00D262ED" w:rsidP="00030DDA">
      <w:pPr>
        <w:bidi w:val="0"/>
        <w:adjustRightInd w:val="0"/>
        <w:snapToGrid w:val="0"/>
        <w:spacing w:after="0" w:line="240" w:lineRule="auto"/>
        <w:jc w:val="both"/>
        <w:rPr>
          <w:rFonts w:ascii="Times New Roman" w:hAnsi="Times New Roman" w:cs="Times New Roman"/>
          <w:b/>
          <w:bCs/>
          <w:sz w:val="20"/>
          <w:szCs w:val="20"/>
        </w:rPr>
      </w:pPr>
      <w:r w:rsidRPr="005A7390">
        <w:rPr>
          <w:rFonts w:ascii="Times New Roman" w:hAnsi="Times New Roman" w:cs="Times New Roman"/>
          <w:b/>
          <w:bCs/>
          <w:sz w:val="20"/>
          <w:szCs w:val="20"/>
        </w:rPr>
        <w:t>Conclusion:</w:t>
      </w:r>
    </w:p>
    <w:p w:rsidR="00D262ED" w:rsidRPr="005A7390" w:rsidRDefault="00436E20" w:rsidP="00030DDA">
      <w:pPr>
        <w:bidi w:val="0"/>
        <w:adjustRightInd w:val="0"/>
        <w:snapToGrid w:val="0"/>
        <w:spacing w:after="0" w:line="240" w:lineRule="auto"/>
        <w:ind w:firstLine="425"/>
        <w:jc w:val="both"/>
        <w:rPr>
          <w:rFonts w:ascii="Times New Roman" w:eastAsia="Times New Roman" w:hAnsi="Times New Roman" w:cs="Times New Roman"/>
          <w:sz w:val="20"/>
          <w:szCs w:val="20"/>
        </w:rPr>
      </w:pPr>
      <w:r w:rsidRPr="005A7390">
        <w:rPr>
          <w:rFonts w:ascii="Times New Roman" w:eastAsia="Times New Roman" w:hAnsi="Times New Roman" w:cs="Times New Roman"/>
          <w:sz w:val="20"/>
          <w:szCs w:val="20"/>
        </w:rPr>
        <w:t>Patients</w:t>
      </w:r>
      <w:r w:rsidR="00D262ED" w:rsidRPr="005A7390">
        <w:rPr>
          <w:rFonts w:ascii="Times New Roman" w:eastAsia="Times New Roman" w:hAnsi="Times New Roman" w:cs="Times New Roman"/>
          <w:sz w:val="20"/>
          <w:szCs w:val="20"/>
        </w:rPr>
        <w:t xml:space="preserve"> with CKD on HD have reduced serum </w:t>
      </w:r>
      <w:proofErr w:type="spellStart"/>
      <w:r w:rsidR="00D262ED" w:rsidRPr="005A7390">
        <w:rPr>
          <w:rFonts w:ascii="Times New Roman" w:eastAsia="Times New Roman" w:hAnsi="Times New Roman" w:cs="Times New Roman"/>
          <w:sz w:val="20"/>
          <w:szCs w:val="20"/>
        </w:rPr>
        <w:t>aminotransferase</w:t>
      </w:r>
      <w:proofErr w:type="spellEnd"/>
      <w:r w:rsidR="00D262ED" w:rsidRPr="005A7390">
        <w:rPr>
          <w:rFonts w:ascii="Times New Roman" w:eastAsia="Times New Roman" w:hAnsi="Times New Roman" w:cs="Times New Roman"/>
          <w:sz w:val="20"/>
          <w:szCs w:val="20"/>
        </w:rPr>
        <w:t xml:space="preserve"> levels. The reasons for this reduction remain unclear; however, they likely begin before dialysis and are due in part to </w:t>
      </w:r>
      <w:proofErr w:type="spellStart"/>
      <w:r w:rsidR="00D262ED" w:rsidRPr="005A7390">
        <w:rPr>
          <w:rFonts w:ascii="Times New Roman" w:eastAsia="Times New Roman" w:hAnsi="Times New Roman" w:cs="Times New Roman"/>
          <w:sz w:val="20"/>
          <w:szCs w:val="20"/>
        </w:rPr>
        <w:t>hemodilution</w:t>
      </w:r>
      <w:proofErr w:type="spellEnd"/>
      <w:r w:rsidR="00D262ED" w:rsidRPr="005A7390">
        <w:rPr>
          <w:rFonts w:ascii="Times New Roman" w:eastAsia="Times New Roman" w:hAnsi="Times New Roman" w:cs="Times New Roman"/>
          <w:sz w:val="20"/>
          <w:szCs w:val="20"/>
        </w:rPr>
        <w:t xml:space="preserve"> in patients before dialysis, lower pyridoxine serum levels, and higher </w:t>
      </w:r>
      <w:proofErr w:type="spellStart"/>
      <w:r w:rsidR="00D262ED" w:rsidRPr="005A7390">
        <w:rPr>
          <w:rFonts w:ascii="Times New Roman" w:eastAsia="Times New Roman" w:hAnsi="Times New Roman" w:cs="Times New Roman"/>
          <w:sz w:val="20"/>
          <w:szCs w:val="20"/>
        </w:rPr>
        <w:t>homocysteine</w:t>
      </w:r>
      <w:proofErr w:type="spellEnd"/>
      <w:r w:rsidR="00D262ED" w:rsidRPr="005A7390">
        <w:rPr>
          <w:rFonts w:ascii="Times New Roman" w:eastAsia="Times New Roman" w:hAnsi="Times New Roman" w:cs="Times New Roman"/>
          <w:sz w:val="20"/>
          <w:szCs w:val="20"/>
        </w:rPr>
        <w:t xml:space="preserve"> levels.CKD patients who are on HD and infected with HCV also present reduced </w:t>
      </w:r>
      <w:proofErr w:type="spellStart"/>
      <w:r w:rsidR="00D262ED" w:rsidRPr="005A7390">
        <w:rPr>
          <w:rFonts w:ascii="Times New Roman" w:eastAsia="Times New Roman" w:hAnsi="Times New Roman" w:cs="Times New Roman"/>
          <w:sz w:val="20"/>
          <w:szCs w:val="20"/>
        </w:rPr>
        <w:t>aminotransferase</w:t>
      </w:r>
      <w:proofErr w:type="spellEnd"/>
      <w:r w:rsidR="00D262ED" w:rsidRPr="005A7390">
        <w:rPr>
          <w:rFonts w:ascii="Times New Roman" w:eastAsia="Times New Roman" w:hAnsi="Times New Roman" w:cs="Times New Roman"/>
          <w:sz w:val="20"/>
          <w:szCs w:val="20"/>
        </w:rPr>
        <w:t xml:space="preserve"> levels compared with patients with these infections who do not have CKD. This reduction is due to factors related to CKD and the reduced </w:t>
      </w:r>
      <w:proofErr w:type="spellStart"/>
      <w:r w:rsidR="00D262ED" w:rsidRPr="005A7390">
        <w:rPr>
          <w:rFonts w:ascii="Times New Roman" w:eastAsia="Times New Roman" w:hAnsi="Times New Roman" w:cs="Times New Roman"/>
          <w:sz w:val="20"/>
          <w:szCs w:val="20"/>
        </w:rPr>
        <w:t>viremia</w:t>
      </w:r>
      <w:proofErr w:type="spellEnd"/>
      <w:r w:rsidR="00D262ED" w:rsidRPr="005A7390">
        <w:rPr>
          <w:rFonts w:ascii="Times New Roman" w:eastAsia="Times New Roman" w:hAnsi="Times New Roman" w:cs="Times New Roman"/>
          <w:sz w:val="20"/>
          <w:szCs w:val="20"/>
        </w:rPr>
        <w:t xml:space="preserve"> during dialysis, the production of HGF and INF-</w:t>
      </w:r>
      <w:proofErr w:type="gramStart"/>
      <w:r w:rsidR="00D262ED" w:rsidRPr="005A7390">
        <w:rPr>
          <w:rFonts w:ascii="Times New Roman" w:eastAsia="Times New Roman" w:hAnsi="Times New Roman" w:cs="Times New Roman"/>
          <w:sz w:val="20"/>
          <w:szCs w:val="20"/>
        </w:rPr>
        <w:t>α,</w:t>
      </w:r>
      <w:proofErr w:type="gramEnd"/>
      <w:r w:rsidR="00D262ED" w:rsidRPr="005A7390">
        <w:rPr>
          <w:rFonts w:ascii="Times New Roman" w:eastAsia="Times New Roman" w:hAnsi="Times New Roman" w:cs="Times New Roman"/>
          <w:sz w:val="20"/>
          <w:szCs w:val="20"/>
        </w:rPr>
        <w:t xml:space="preserve"> and the lymphocyte activation induced by HD, which together could decrease viral action in the liver tissue.</w:t>
      </w:r>
    </w:p>
    <w:p w:rsidR="00D262ED" w:rsidRPr="005A7390" w:rsidRDefault="00D262ED" w:rsidP="00030DDA">
      <w:pPr>
        <w:pStyle w:val="ListParagraph"/>
        <w:bidi w:val="0"/>
        <w:adjustRightInd w:val="0"/>
        <w:snapToGrid w:val="0"/>
        <w:spacing w:after="0" w:line="240" w:lineRule="auto"/>
        <w:ind w:left="0" w:firstLine="425"/>
        <w:contextualSpacing w:val="0"/>
        <w:jc w:val="both"/>
        <w:rPr>
          <w:rFonts w:ascii="Times New Roman" w:hAnsi="Times New Roman" w:cs="Times New Roman"/>
          <w:b/>
          <w:bCs/>
          <w:sz w:val="20"/>
          <w:szCs w:val="20"/>
        </w:rPr>
      </w:pPr>
    </w:p>
    <w:p w:rsidR="00D262ED" w:rsidRPr="005A7390" w:rsidRDefault="00D262ED" w:rsidP="00030DDA">
      <w:pPr>
        <w:pStyle w:val="ListParagraph"/>
        <w:bidi w:val="0"/>
        <w:adjustRightInd w:val="0"/>
        <w:snapToGrid w:val="0"/>
        <w:spacing w:after="0" w:line="240" w:lineRule="auto"/>
        <w:ind w:left="0"/>
        <w:contextualSpacing w:val="0"/>
        <w:jc w:val="both"/>
        <w:rPr>
          <w:rFonts w:ascii="Times New Roman" w:hAnsi="Times New Roman" w:cs="Times New Roman"/>
          <w:sz w:val="20"/>
          <w:szCs w:val="20"/>
        </w:rPr>
      </w:pPr>
      <w:r w:rsidRPr="005A7390">
        <w:rPr>
          <w:rFonts w:ascii="Times New Roman" w:hAnsi="Times New Roman" w:cs="Times New Roman"/>
          <w:b/>
          <w:bCs/>
          <w:sz w:val="20"/>
          <w:szCs w:val="20"/>
        </w:rPr>
        <w:t>References:</w:t>
      </w:r>
    </w:p>
    <w:p w:rsidR="00E74F03" w:rsidRPr="005A7390" w:rsidRDefault="00E74F03" w:rsidP="00030DDA">
      <w:pPr>
        <w:pStyle w:val="ref"/>
        <w:numPr>
          <w:ilvl w:val="0"/>
          <w:numId w:val="19"/>
        </w:numPr>
        <w:adjustRightInd w:val="0"/>
        <w:snapToGrid w:val="0"/>
        <w:spacing w:before="0" w:beforeAutospacing="0" w:after="0" w:afterAutospacing="0"/>
        <w:ind w:left="425" w:hanging="425"/>
        <w:jc w:val="both"/>
        <w:rPr>
          <w:sz w:val="20"/>
          <w:szCs w:val="20"/>
        </w:rPr>
      </w:pPr>
      <w:r w:rsidRPr="005A7390">
        <w:rPr>
          <w:bCs/>
          <w:sz w:val="20"/>
          <w:szCs w:val="20"/>
        </w:rPr>
        <w:t>National Kidney Foundation (2002)</w:t>
      </w:r>
      <w:r w:rsidRPr="005A7390">
        <w:rPr>
          <w:sz w:val="20"/>
          <w:szCs w:val="20"/>
        </w:rPr>
        <w:t>. "K/DOQI clinical practice guidelines for chronic kidney disease". 2008-06-29.</w:t>
      </w:r>
    </w:p>
    <w:p w:rsidR="00E74F03" w:rsidRPr="005A7390" w:rsidRDefault="00E74F03" w:rsidP="00030DDA">
      <w:pPr>
        <w:pStyle w:val="ref"/>
        <w:numPr>
          <w:ilvl w:val="0"/>
          <w:numId w:val="19"/>
        </w:numPr>
        <w:adjustRightInd w:val="0"/>
        <w:snapToGrid w:val="0"/>
        <w:spacing w:before="0" w:beforeAutospacing="0" w:after="0" w:afterAutospacing="0"/>
        <w:ind w:left="425" w:hanging="425"/>
        <w:jc w:val="both"/>
        <w:rPr>
          <w:sz w:val="20"/>
          <w:szCs w:val="20"/>
        </w:rPr>
      </w:pPr>
      <w:r w:rsidRPr="005A7390">
        <w:rPr>
          <w:bCs/>
          <w:sz w:val="20"/>
          <w:szCs w:val="20"/>
        </w:rPr>
        <w:t>Pratt DS, Kaplan MM</w:t>
      </w:r>
      <w:r w:rsidRPr="005A7390">
        <w:rPr>
          <w:sz w:val="20"/>
          <w:szCs w:val="20"/>
        </w:rPr>
        <w:t>. Evaluation of abnormal liver-enzyme resu</w:t>
      </w:r>
      <w:r w:rsidR="005A7390" w:rsidRPr="005A7390">
        <w:rPr>
          <w:sz w:val="20"/>
          <w:szCs w:val="20"/>
        </w:rPr>
        <w:t>lts in asymptomatic patients. N</w:t>
      </w:r>
      <w:r w:rsidR="005A7390" w:rsidRPr="005A7390">
        <w:rPr>
          <w:rFonts w:eastAsiaTheme="minorEastAsia" w:hint="eastAsia"/>
          <w:sz w:val="20"/>
          <w:szCs w:val="20"/>
          <w:lang w:eastAsia="zh-CN"/>
        </w:rPr>
        <w:t xml:space="preserve"> </w:t>
      </w:r>
      <w:proofErr w:type="spellStart"/>
      <w:r w:rsidRPr="005A7390">
        <w:rPr>
          <w:sz w:val="20"/>
          <w:szCs w:val="20"/>
        </w:rPr>
        <w:t>Engl</w:t>
      </w:r>
      <w:proofErr w:type="spellEnd"/>
      <w:r w:rsidR="005A7390" w:rsidRPr="005A7390">
        <w:rPr>
          <w:rFonts w:eastAsiaTheme="minorEastAsia" w:hint="eastAsia"/>
          <w:sz w:val="20"/>
          <w:szCs w:val="20"/>
          <w:lang w:eastAsia="zh-CN"/>
        </w:rPr>
        <w:t xml:space="preserve"> </w:t>
      </w:r>
      <w:r w:rsidR="005A7390" w:rsidRPr="005A7390">
        <w:rPr>
          <w:sz w:val="20"/>
          <w:szCs w:val="20"/>
        </w:rPr>
        <w:t>J</w:t>
      </w:r>
      <w:r w:rsidR="005A7390" w:rsidRPr="005A7390">
        <w:rPr>
          <w:rFonts w:eastAsiaTheme="minorEastAsia" w:hint="eastAsia"/>
          <w:sz w:val="20"/>
          <w:szCs w:val="20"/>
          <w:lang w:eastAsia="zh-CN"/>
        </w:rPr>
        <w:t xml:space="preserve"> </w:t>
      </w:r>
      <w:r w:rsidRPr="005A7390">
        <w:rPr>
          <w:sz w:val="20"/>
          <w:szCs w:val="20"/>
        </w:rPr>
        <w:t>Med. 2000</w:t>
      </w:r>
      <w:proofErr w:type="gramStart"/>
      <w:r w:rsidRPr="005A7390">
        <w:rPr>
          <w:sz w:val="20"/>
          <w:szCs w:val="20"/>
        </w:rPr>
        <w:t>;342</w:t>
      </w:r>
      <w:proofErr w:type="gramEnd"/>
      <w:r w:rsidRPr="005A7390">
        <w:rPr>
          <w:sz w:val="20"/>
          <w:szCs w:val="20"/>
        </w:rPr>
        <w:t>(17):1266-71.</w:t>
      </w:r>
    </w:p>
    <w:p w:rsidR="00E74F03" w:rsidRPr="005A7390" w:rsidRDefault="00E74F03" w:rsidP="00030DDA">
      <w:pPr>
        <w:pStyle w:val="ref"/>
        <w:numPr>
          <w:ilvl w:val="0"/>
          <w:numId w:val="19"/>
        </w:numPr>
        <w:adjustRightInd w:val="0"/>
        <w:snapToGrid w:val="0"/>
        <w:spacing w:before="0" w:beforeAutospacing="0" w:after="0" w:afterAutospacing="0"/>
        <w:ind w:left="425" w:hanging="425"/>
        <w:jc w:val="both"/>
        <w:rPr>
          <w:sz w:val="20"/>
          <w:szCs w:val="20"/>
        </w:rPr>
      </w:pPr>
      <w:proofErr w:type="spellStart"/>
      <w:r w:rsidRPr="005A7390">
        <w:rPr>
          <w:bCs/>
          <w:sz w:val="20"/>
          <w:szCs w:val="20"/>
        </w:rPr>
        <w:t>Katkov</w:t>
      </w:r>
      <w:proofErr w:type="spellEnd"/>
      <w:r w:rsidRPr="005A7390">
        <w:rPr>
          <w:bCs/>
          <w:sz w:val="20"/>
          <w:szCs w:val="20"/>
        </w:rPr>
        <w:t xml:space="preserve"> WN</w:t>
      </w:r>
      <w:r w:rsidRPr="005A7390">
        <w:rPr>
          <w:sz w:val="20"/>
          <w:szCs w:val="20"/>
        </w:rPr>
        <w:t xml:space="preserve">. Elevated Serum </w:t>
      </w:r>
      <w:proofErr w:type="spellStart"/>
      <w:r w:rsidRPr="005A7390">
        <w:rPr>
          <w:sz w:val="20"/>
          <w:szCs w:val="20"/>
        </w:rPr>
        <w:t>Alanine</w:t>
      </w:r>
      <w:proofErr w:type="spellEnd"/>
      <w:r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Levels in Blood Donors: The Contribution of Hepatitis C Virus. Ann Intern Med. 1991</w:t>
      </w:r>
      <w:proofErr w:type="gramStart"/>
      <w:r w:rsidRPr="005A7390">
        <w:rPr>
          <w:sz w:val="20"/>
          <w:szCs w:val="20"/>
        </w:rPr>
        <w:t>;115</w:t>
      </w:r>
      <w:proofErr w:type="gramEnd"/>
      <w:r w:rsidRPr="005A7390">
        <w:rPr>
          <w:sz w:val="20"/>
          <w:szCs w:val="20"/>
        </w:rPr>
        <w:t xml:space="preserve">(11):882, </w:t>
      </w:r>
      <w:hyperlink r:id="rId24" w:tgtFrame="_blank" w:history="1">
        <w:r w:rsidRPr="005A7390">
          <w:rPr>
            <w:rStyle w:val="Hyperlink"/>
            <w:rFonts w:eastAsia="Cambria"/>
            <w:color w:val="auto"/>
            <w:sz w:val="20"/>
            <w:szCs w:val="20"/>
            <w:u w:val="none"/>
          </w:rPr>
          <w:t>http://dx.doi.org/10.7326/0003-4819-115-11-882</w:t>
        </w:r>
      </w:hyperlink>
      <w:r w:rsidRPr="005A7390">
        <w:rPr>
          <w:sz w:val="20"/>
          <w:szCs w:val="20"/>
        </w:rPr>
        <w:t>.</w:t>
      </w:r>
    </w:p>
    <w:p w:rsidR="00E74F03" w:rsidRPr="005A7390" w:rsidRDefault="00E74F03" w:rsidP="00030DDA">
      <w:pPr>
        <w:pStyle w:val="ref"/>
        <w:numPr>
          <w:ilvl w:val="0"/>
          <w:numId w:val="19"/>
        </w:numPr>
        <w:adjustRightInd w:val="0"/>
        <w:snapToGrid w:val="0"/>
        <w:spacing w:before="0" w:beforeAutospacing="0" w:after="0" w:afterAutospacing="0"/>
        <w:ind w:left="425" w:hanging="425"/>
        <w:jc w:val="both"/>
        <w:rPr>
          <w:sz w:val="20"/>
          <w:szCs w:val="20"/>
        </w:rPr>
      </w:pPr>
      <w:proofErr w:type="spellStart"/>
      <w:r w:rsidRPr="005A7390">
        <w:rPr>
          <w:bCs/>
          <w:sz w:val="20"/>
          <w:szCs w:val="20"/>
        </w:rPr>
        <w:t>Schindhelm</w:t>
      </w:r>
      <w:proofErr w:type="spellEnd"/>
      <w:r w:rsidRPr="005A7390">
        <w:rPr>
          <w:bCs/>
          <w:sz w:val="20"/>
          <w:szCs w:val="20"/>
        </w:rPr>
        <w:t xml:space="preserve"> RK, </w:t>
      </w:r>
      <w:proofErr w:type="spellStart"/>
      <w:r w:rsidRPr="005A7390">
        <w:rPr>
          <w:bCs/>
          <w:sz w:val="20"/>
          <w:szCs w:val="20"/>
        </w:rPr>
        <w:t>Diamant</w:t>
      </w:r>
      <w:proofErr w:type="spellEnd"/>
      <w:r w:rsidRPr="005A7390">
        <w:rPr>
          <w:bCs/>
          <w:sz w:val="20"/>
          <w:szCs w:val="20"/>
        </w:rPr>
        <w:t xml:space="preserve"> M, Dekker JM, </w:t>
      </w:r>
      <w:proofErr w:type="spellStart"/>
      <w:r w:rsidRPr="005A7390">
        <w:rPr>
          <w:bCs/>
          <w:sz w:val="20"/>
          <w:szCs w:val="20"/>
        </w:rPr>
        <w:t>Tushuizen</w:t>
      </w:r>
      <w:proofErr w:type="spellEnd"/>
      <w:r w:rsidRPr="005A7390">
        <w:rPr>
          <w:bCs/>
          <w:sz w:val="20"/>
          <w:szCs w:val="20"/>
        </w:rPr>
        <w:t xml:space="preserve"> ME, </w:t>
      </w:r>
      <w:proofErr w:type="spellStart"/>
      <w:r w:rsidRPr="005A7390">
        <w:rPr>
          <w:bCs/>
          <w:sz w:val="20"/>
          <w:szCs w:val="20"/>
        </w:rPr>
        <w:t>Teerlink</w:t>
      </w:r>
      <w:proofErr w:type="spellEnd"/>
      <w:r w:rsidRPr="005A7390">
        <w:rPr>
          <w:bCs/>
          <w:sz w:val="20"/>
          <w:szCs w:val="20"/>
        </w:rPr>
        <w:t xml:space="preserve"> T, Heine RJ</w:t>
      </w:r>
      <w:r w:rsidRPr="005A7390">
        <w:rPr>
          <w:sz w:val="20"/>
          <w:szCs w:val="20"/>
        </w:rPr>
        <w:t xml:space="preserve">. </w:t>
      </w:r>
      <w:proofErr w:type="spellStart"/>
      <w:r w:rsidRPr="005A7390">
        <w:rPr>
          <w:sz w:val="20"/>
          <w:szCs w:val="20"/>
        </w:rPr>
        <w:t>Alanine</w:t>
      </w:r>
      <w:proofErr w:type="spellEnd"/>
      <w:r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as a marker of non-alcoholic fatty liver disease in relation to type 2 diabetes mellitus and cardiovascular disease. Diabetes </w:t>
      </w:r>
      <w:proofErr w:type="spellStart"/>
      <w:r w:rsidRPr="005A7390">
        <w:rPr>
          <w:sz w:val="20"/>
          <w:szCs w:val="20"/>
        </w:rPr>
        <w:t>Metab</w:t>
      </w:r>
      <w:proofErr w:type="spellEnd"/>
      <w:r w:rsidRPr="005A7390">
        <w:rPr>
          <w:sz w:val="20"/>
          <w:szCs w:val="20"/>
        </w:rPr>
        <w:t xml:space="preserve"> Res Rev. 2006</w:t>
      </w:r>
      <w:r w:rsidR="00D345BB" w:rsidRPr="005A7390">
        <w:rPr>
          <w:sz w:val="20"/>
          <w:szCs w:val="20"/>
        </w:rPr>
        <w:t>; 22</w:t>
      </w:r>
      <w:r w:rsidRPr="005A7390">
        <w:rPr>
          <w:sz w:val="20"/>
          <w:szCs w:val="20"/>
        </w:rPr>
        <w:t>(6):437-43.</w:t>
      </w:r>
    </w:p>
    <w:p w:rsidR="000A4A58" w:rsidRPr="005A7390" w:rsidRDefault="00E74F03" w:rsidP="00030DDA">
      <w:pPr>
        <w:pStyle w:val="ListParagraph"/>
        <w:numPr>
          <w:ilvl w:val="0"/>
          <w:numId w:val="19"/>
        </w:numPr>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A7390">
        <w:rPr>
          <w:rFonts w:ascii="Times New Roman" w:hAnsi="Times New Roman" w:cs="Times New Roman"/>
          <w:bCs/>
          <w:sz w:val="20"/>
          <w:szCs w:val="20"/>
        </w:rPr>
        <w:t xml:space="preserve">Alvarez F, Berg PA, Bianchi FB, Bianchi L, Burroughs AK, </w:t>
      </w:r>
      <w:proofErr w:type="spellStart"/>
      <w:proofErr w:type="gramStart"/>
      <w:r w:rsidRPr="005A7390">
        <w:rPr>
          <w:rFonts w:ascii="Times New Roman" w:hAnsi="Times New Roman" w:cs="Times New Roman"/>
          <w:bCs/>
          <w:sz w:val="20"/>
          <w:szCs w:val="20"/>
        </w:rPr>
        <w:t>Cancado</w:t>
      </w:r>
      <w:proofErr w:type="spellEnd"/>
      <w:proofErr w:type="gramEnd"/>
      <w:r w:rsidRPr="005A7390">
        <w:rPr>
          <w:rFonts w:ascii="Times New Roman" w:hAnsi="Times New Roman" w:cs="Times New Roman"/>
          <w:bCs/>
          <w:sz w:val="20"/>
          <w:szCs w:val="20"/>
        </w:rPr>
        <w:t xml:space="preserve"> EL, </w:t>
      </w:r>
      <w:r w:rsidRPr="005A7390">
        <w:rPr>
          <w:rFonts w:ascii="Times New Roman" w:hAnsi="Times New Roman" w:cs="Times New Roman"/>
          <w:bCs/>
          <w:i/>
          <w:iCs/>
          <w:sz w:val="20"/>
          <w:szCs w:val="20"/>
        </w:rPr>
        <w:t>et al</w:t>
      </w:r>
      <w:r w:rsidRPr="005A7390">
        <w:rPr>
          <w:rFonts w:ascii="Times New Roman" w:hAnsi="Times New Roman" w:cs="Times New Roman"/>
          <w:i/>
          <w:iCs/>
          <w:sz w:val="20"/>
          <w:szCs w:val="20"/>
        </w:rPr>
        <w:t>.</w:t>
      </w:r>
      <w:r w:rsidRPr="005A7390">
        <w:rPr>
          <w:rFonts w:ascii="Times New Roman" w:hAnsi="Times New Roman" w:cs="Times New Roman"/>
          <w:sz w:val="20"/>
          <w:szCs w:val="20"/>
        </w:rPr>
        <w:t xml:space="preserve"> International Autoimmune Hepatitis Group Report: review of </w:t>
      </w:r>
      <w:r w:rsidRPr="005A7390">
        <w:rPr>
          <w:rFonts w:ascii="Times New Roman" w:hAnsi="Times New Roman" w:cs="Times New Roman"/>
          <w:sz w:val="20"/>
          <w:szCs w:val="20"/>
        </w:rPr>
        <w:lastRenderedPageBreak/>
        <w:t>criteria for diagn</w:t>
      </w:r>
      <w:r w:rsidR="007666CB">
        <w:rPr>
          <w:rFonts w:ascii="Times New Roman" w:hAnsi="Times New Roman" w:cs="Times New Roman"/>
          <w:sz w:val="20"/>
          <w:szCs w:val="20"/>
        </w:rPr>
        <w:t>osis of autoimmune hepatitis. J</w:t>
      </w:r>
      <w:r w:rsidR="007666CB">
        <w:rPr>
          <w:rFonts w:ascii="Times New Roman" w:hAnsi="Times New Roman" w:cs="Times New Roman" w:hint="eastAsia"/>
          <w:sz w:val="20"/>
          <w:szCs w:val="20"/>
          <w:lang w:eastAsia="zh-CN"/>
        </w:rPr>
        <w:t xml:space="preserve"> </w:t>
      </w:r>
      <w:proofErr w:type="spellStart"/>
      <w:r w:rsidRPr="005A7390">
        <w:rPr>
          <w:rFonts w:ascii="Times New Roman" w:hAnsi="Times New Roman" w:cs="Times New Roman"/>
          <w:sz w:val="20"/>
          <w:szCs w:val="20"/>
        </w:rPr>
        <w:t>Hepatol</w:t>
      </w:r>
      <w:proofErr w:type="spellEnd"/>
      <w:r w:rsidRPr="005A7390">
        <w:rPr>
          <w:rFonts w:ascii="Times New Roman" w:hAnsi="Times New Roman" w:cs="Times New Roman"/>
          <w:sz w:val="20"/>
          <w:szCs w:val="20"/>
        </w:rPr>
        <w:t>. 1999</w:t>
      </w:r>
      <w:r w:rsidR="00D345BB" w:rsidRPr="005A7390">
        <w:rPr>
          <w:rFonts w:ascii="Times New Roman" w:hAnsi="Times New Roman" w:cs="Times New Roman"/>
          <w:sz w:val="20"/>
          <w:szCs w:val="20"/>
        </w:rPr>
        <w:t>; 31</w:t>
      </w:r>
      <w:r w:rsidRPr="005A7390">
        <w:rPr>
          <w:rFonts w:ascii="Times New Roman" w:hAnsi="Times New Roman" w:cs="Times New Roman"/>
          <w:sz w:val="20"/>
          <w:szCs w:val="20"/>
        </w:rPr>
        <w:t>(5):929-38.</w:t>
      </w:r>
    </w:p>
    <w:p w:rsidR="00E74F03" w:rsidRPr="005A7390" w:rsidRDefault="00E74F03" w:rsidP="00030DDA">
      <w:pPr>
        <w:pStyle w:val="ref"/>
        <w:numPr>
          <w:ilvl w:val="0"/>
          <w:numId w:val="19"/>
        </w:numPr>
        <w:adjustRightInd w:val="0"/>
        <w:snapToGrid w:val="0"/>
        <w:spacing w:before="0" w:beforeAutospacing="0" w:after="0" w:afterAutospacing="0"/>
        <w:ind w:left="425" w:hanging="425"/>
        <w:jc w:val="both"/>
        <w:rPr>
          <w:sz w:val="20"/>
          <w:szCs w:val="20"/>
        </w:rPr>
      </w:pPr>
      <w:r w:rsidRPr="005A7390">
        <w:rPr>
          <w:bCs/>
          <w:sz w:val="20"/>
          <w:szCs w:val="20"/>
        </w:rPr>
        <w:t xml:space="preserve">Allen KJ, </w:t>
      </w:r>
      <w:proofErr w:type="spellStart"/>
      <w:r w:rsidRPr="005A7390">
        <w:rPr>
          <w:bCs/>
          <w:sz w:val="20"/>
          <w:szCs w:val="20"/>
        </w:rPr>
        <w:t>Gurrin</w:t>
      </w:r>
      <w:proofErr w:type="spellEnd"/>
      <w:r w:rsidRPr="005A7390">
        <w:rPr>
          <w:bCs/>
          <w:sz w:val="20"/>
          <w:szCs w:val="20"/>
        </w:rPr>
        <w:t xml:space="preserve"> LC, Constantine CC, Osborne NJ, </w:t>
      </w:r>
      <w:proofErr w:type="spellStart"/>
      <w:r w:rsidRPr="005A7390">
        <w:rPr>
          <w:bCs/>
          <w:sz w:val="20"/>
          <w:szCs w:val="20"/>
        </w:rPr>
        <w:t>Delatycki</w:t>
      </w:r>
      <w:proofErr w:type="spellEnd"/>
      <w:r w:rsidRPr="005A7390">
        <w:rPr>
          <w:bCs/>
          <w:sz w:val="20"/>
          <w:szCs w:val="20"/>
        </w:rPr>
        <w:t xml:space="preserve"> MB, </w:t>
      </w:r>
      <w:proofErr w:type="spellStart"/>
      <w:r w:rsidRPr="005A7390">
        <w:rPr>
          <w:bCs/>
          <w:sz w:val="20"/>
          <w:szCs w:val="20"/>
        </w:rPr>
        <w:t>Nicoll</w:t>
      </w:r>
      <w:proofErr w:type="spellEnd"/>
      <w:r w:rsidRPr="005A7390">
        <w:rPr>
          <w:bCs/>
          <w:sz w:val="20"/>
          <w:szCs w:val="20"/>
        </w:rPr>
        <w:t xml:space="preserve"> AJ, </w:t>
      </w:r>
      <w:r w:rsidRPr="005A7390">
        <w:rPr>
          <w:bCs/>
          <w:i/>
          <w:iCs/>
          <w:sz w:val="20"/>
          <w:szCs w:val="20"/>
        </w:rPr>
        <w:t>et al</w:t>
      </w:r>
      <w:r w:rsidRPr="005A7390">
        <w:rPr>
          <w:i/>
          <w:iCs/>
          <w:sz w:val="20"/>
          <w:szCs w:val="20"/>
        </w:rPr>
        <w:t>.</w:t>
      </w:r>
      <w:r w:rsidRPr="005A7390">
        <w:rPr>
          <w:sz w:val="20"/>
          <w:szCs w:val="20"/>
        </w:rPr>
        <w:t xml:space="preserve"> Iron-overload-related disease in HFE hereditary </w:t>
      </w:r>
      <w:proofErr w:type="spellStart"/>
      <w:r w:rsidRPr="005A7390">
        <w:rPr>
          <w:sz w:val="20"/>
          <w:szCs w:val="20"/>
        </w:rPr>
        <w:t>hemochromatosis</w:t>
      </w:r>
      <w:proofErr w:type="spellEnd"/>
      <w:r w:rsidRPr="005A7390">
        <w:rPr>
          <w:sz w:val="20"/>
          <w:szCs w:val="20"/>
        </w:rPr>
        <w:t>. N</w:t>
      </w:r>
      <w:r w:rsidR="005A7390" w:rsidRPr="005A7390">
        <w:rPr>
          <w:rFonts w:eastAsiaTheme="minorEastAsia" w:hint="eastAsia"/>
          <w:sz w:val="20"/>
          <w:szCs w:val="20"/>
          <w:lang w:eastAsia="zh-CN"/>
        </w:rPr>
        <w:t xml:space="preserve"> </w:t>
      </w:r>
      <w:proofErr w:type="spellStart"/>
      <w:r w:rsidRPr="005A7390">
        <w:rPr>
          <w:sz w:val="20"/>
          <w:szCs w:val="20"/>
        </w:rPr>
        <w:t>Engl</w:t>
      </w:r>
      <w:proofErr w:type="spellEnd"/>
      <w:r w:rsidR="005A7390" w:rsidRPr="005A7390">
        <w:rPr>
          <w:rFonts w:eastAsiaTheme="minorEastAsia" w:hint="eastAsia"/>
          <w:sz w:val="20"/>
          <w:szCs w:val="20"/>
          <w:lang w:eastAsia="zh-CN"/>
        </w:rPr>
        <w:t xml:space="preserve"> </w:t>
      </w:r>
      <w:r w:rsidRPr="005A7390">
        <w:rPr>
          <w:sz w:val="20"/>
          <w:szCs w:val="20"/>
        </w:rPr>
        <w:t>J</w:t>
      </w:r>
      <w:r w:rsidR="005A7390" w:rsidRPr="005A7390">
        <w:rPr>
          <w:rFonts w:eastAsiaTheme="minorEastAsia" w:hint="eastAsia"/>
          <w:sz w:val="20"/>
          <w:szCs w:val="20"/>
          <w:lang w:eastAsia="zh-CN"/>
        </w:rPr>
        <w:t xml:space="preserve"> </w:t>
      </w:r>
      <w:r w:rsidRPr="005A7390">
        <w:rPr>
          <w:sz w:val="20"/>
          <w:szCs w:val="20"/>
        </w:rPr>
        <w:t>Med. 2008;</w:t>
      </w:r>
      <w:r w:rsidR="00F3098B" w:rsidRPr="005A7390">
        <w:rPr>
          <w:sz w:val="20"/>
          <w:szCs w:val="20"/>
        </w:rPr>
        <w:t xml:space="preserve"> </w:t>
      </w:r>
      <w:r w:rsidRPr="005A7390">
        <w:rPr>
          <w:sz w:val="20"/>
          <w:szCs w:val="20"/>
        </w:rPr>
        <w:t>358(3):</w:t>
      </w:r>
      <w:r w:rsidR="00F3098B" w:rsidRPr="005A7390">
        <w:rPr>
          <w:sz w:val="20"/>
          <w:szCs w:val="20"/>
        </w:rPr>
        <w:t xml:space="preserve"> </w:t>
      </w:r>
      <w:r w:rsidRPr="005A7390">
        <w:rPr>
          <w:sz w:val="20"/>
          <w:szCs w:val="20"/>
        </w:rPr>
        <w:t>221-30.</w:t>
      </w:r>
    </w:p>
    <w:p w:rsidR="00E74F03" w:rsidRPr="005A7390" w:rsidRDefault="00E74F03" w:rsidP="00030DDA">
      <w:pPr>
        <w:pStyle w:val="ref"/>
        <w:numPr>
          <w:ilvl w:val="0"/>
          <w:numId w:val="19"/>
        </w:numPr>
        <w:adjustRightInd w:val="0"/>
        <w:snapToGrid w:val="0"/>
        <w:spacing w:before="0" w:beforeAutospacing="0" w:after="0" w:afterAutospacing="0"/>
        <w:ind w:left="425" w:hanging="425"/>
        <w:jc w:val="both"/>
        <w:rPr>
          <w:sz w:val="20"/>
          <w:szCs w:val="20"/>
        </w:rPr>
      </w:pPr>
      <w:proofErr w:type="spellStart"/>
      <w:r w:rsidRPr="005A7390">
        <w:rPr>
          <w:bCs/>
          <w:sz w:val="20"/>
          <w:szCs w:val="20"/>
        </w:rPr>
        <w:t>Sorbi</w:t>
      </w:r>
      <w:proofErr w:type="spellEnd"/>
      <w:r w:rsidRPr="005A7390">
        <w:rPr>
          <w:bCs/>
          <w:sz w:val="20"/>
          <w:szCs w:val="20"/>
        </w:rPr>
        <w:t xml:space="preserve"> D, Boynton J, </w:t>
      </w:r>
      <w:proofErr w:type="spellStart"/>
      <w:r w:rsidRPr="005A7390">
        <w:rPr>
          <w:bCs/>
          <w:sz w:val="20"/>
          <w:szCs w:val="20"/>
        </w:rPr>
        <w:t>Lindor</w:t>
      </w:r>
      <w:proofErr w:type="spellEnd"/>
      <w:r w:rsidRPr="005A7390">
        <w:rPr>
          <w:bCs/>
          <w:sz w:val="20"/>
          <w:szCs w:val="20"/>
        </w:rPr>
        <w:t xml:space="preserve"> KD</w:t>
      </w:r>
      <w:r w:rsidRPr="005A7390">
        <w:rPr>
          <w:sz w:val="20"/>
          <w:szCs w:val="20"/>
        </w:rPr>
        <w:t xml:space="preserve">. The ratio of </w:t>
      </w:r>
      <w:proofErr w:type="spellStart"/>
      <w:r w:rsidRPr="005A7390">
        <w:rPr>
          <w:sz w:val="20"/>
          <w:szCs w:val="20"/>
        </w:rPr>
        <w:t>aspartate</w:t>
      </w:r>
      <w:proofErr w:type="spellEnd"/>
      <w:r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to </w:t>
      </w:r>
      <w:proofErr w:type="spellStart"/>
      <w:r w:rsidRPr="005A7390">
        <w:rPr>
          <w:sz w:val="20"/>
          <w:szCs w:val="20"/>
        </w:rPr>
        <w:t>alanine</w:t>
      </w:r>
      <w:proofErr w:type="spellEnd"/>
      <w:r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potential value in differentiating nonalcoholic </w:t>
      </w:r>
      <w:proofErr w:type="spellStart"/>
      <w:r w:rsidRPr="005A7390">
        <w:rPr>
          <w:sz w:val="20"/>
          <w:szCs w:val="20"/>
        </w:rPr>
        <w:t>steatohepatitis</w:t>
      </w:r>
      <w:proofErr w:type="spellEnd"/>
      <w:r w:rsidRPr="005A7390">
        <w:rPr>
          <w:sz w:val="20"/>
          <w:szCs w:val="20"/>
        </w:rPr>
        <w:t xml:space="preserve"> from alcoholic liver disease. Am</w:t>
      </w:r>
      <w:r w:rsidR="007666CB">
        <w:rPr>
          <w:rFonts w:eastAsiaTheme="minorEastAsia" w:hint="eastAsia"/>
          <w:sz w:val="20"/>
          <w:szCs w:val="20"/>
          <w:lang w:eastAsia="zh-CN"/>
        </w:rPr>
        <w:t xml:space="preserve"> </w:t>
      </w:r>
      <w:r w:rsidRPr="005A7390">
        <w:rPr>
          <w:sz w:val="20"/>
          <w:szCs w:val="20"/>
        </w:rPr>
        <w:t>J</w:t>
      </w:r>
      <w:r w:rsidR="007666CB">
        <w:rPr>
          <w:rFonts w:eastAsiaTheme="minorEastAsia" w:hint="eastAsia"/>
          <w:sz w:val="20"/>
          <w:szCs w:val="20"/>
          <w:lang w:eastAsia="zh-CN"/>
        </w:rPr>
        <w:t xml:space="preserve"> </w:t>
      </w:r>
      <w:proofErr w:type="spellStart"/>
      <w:r w:rsidRPr="005A7390">
        <w:rPr>
          <w:sz w:val="20"/>
          <w:szCs w:val="20"/>
        </w:rPr>
        <w:t>Gastroenterol</w:t>
      </w:r>
      <w:proofErr w:type="spellEnd"/>
      <w:r w:rsidRPr="005A7390">
        <w:rPr>
          <w:sz w:val="20"/>
          <w:szCs w:val="20"/>
        </w:rPr>
        <w:t>. 1999</w:t>
      </w:r>
      <w:proofErr w:type="gramStart"/>
      <w:r w:rsidRPr="005A7390">
        <w:rPr>
          <w:sz w:val="20"/>
          <w:szCs w:val="20"/>
        </w:rPr>
        <w:t>;94</w:t>
      </w:r>
      <w:proofErr w:type="gramEnd"/>
      <w:r w:rsidRPr="005A7390">
        <w:rPr>
          <w:sz w:val="20"/>
          <w:szCs w:val="20"/>
        </w:rPr>
        <w:t>(4):1018-22.</w:t>
      </w:r>
    </w:p>
    <w:p w:rsidR="00634E56" w:rsidRPr="005A7390" w:rsidRDefault="00634E56" w:rsidP="00030DDA">
      <w:pPr>
        <w:pStyle w:val="ref"/>
        <w:numPr>
          <w:ilvl w:val="0"/>
          <w:numId w:val="19"/>
        </w:numPr>
        <w:adjustRightInd w:val="0"/>
        <w:snapToGrid w:val="0"/>
        <w:spacing w:before="0" w:beforeAutospacing="0" w:after="0" w:afterAutospacing="0"/>
        <w:ind w:left="425" w:hanging="425"/>
        <w:jc w:val="both"/>
        <w:rPr>
          <w:sz w:val="20"/>
          <w:szCs w:val="20"/>
        </w:rPr>
      </w:pPr>
      <w:r w:rsidRPr="005A7390">
        <w:rPr>
          <w:bCs/>
          <w:sz w:val="20"/>
          <w:szCs w:val="20"/>
        </w:rPr>
        <w:t xml:space="preserve">Kim YJ, Jang BK, Kim ES, Park KS, Cho KB, Chung WJ, </w:t>
      </w:r>
      <w:r w:rsidR="009A0ACE" w:rsidRPr="005A7390">
        <w:rPr>
          <w:bCs/>
          <w:i/>
          <w:iCs/>
          <w:sz w:val="20"/>
          <w:szCs w:val="20"/>
        </w:rPr>
        <w:t>et al</w:t>
      </w:r>
      <w:r w:rsidR="009A0ACE" w:rsidRPr="005A7390">
        <w:rPr>
          <w:i/>
          <w:iCs/>
          <w:sz w:val="20"/>
          <w:szCs w:val="20"/>
        </w:rPr>
        <w:t>.</w:t>
      </w:r>
      <w:r w:rsidRPr="005A7390">
        <w:rPr>
          <w:sz w:val="20"/>
          <w:szCs w:val="20"/>
        </w:rPr>
        <w:t xml:space="preserve"> Rapid normalization of </w:t>
      </w:r>
      <w:proofErr w:type="spellStart"/>
      <w:r w:rsidRPr="005A7390">
        <w:rPr>
          <w:sz w:val="20"/>
          <w:szCs w:val="20"/>
        </w:rPr>
        <w:t>alanine</w:t>
      </w:r>
      <w:proofErr w:type="spellEnd"/>
      <w:r w:rsidRPr="005A7390">
        <w:rPr>
          <w:sz w:val="20"/>
          <w:szCs w:val="20"/>
        </w:rPr>
        <w:t xml:space="preserve"> </w:t>
      </w:r>
      <w:proofErr w:type="spellStart"/>
      <w:r w:rsidRPr="005A7390">
        <w:rPr>
          <w:sz w:val="20"/>
          <w:szCs w:val="20"/>
        </w:rPr>
        <w:t>aminotransferase</w:t>
      </w:r>
      <w:proofErr w:type="spellEnd"/>
      <w:r w:rsidRPr="005A7390">
        <w:rPr>
          <w:sz w:val="20"/>
          <w:szCs w:val="20"/>
        </w:rPr>
        <w:t xml:space="preserve"> predicts viral response during combined </w:t>
      </w:r>
      <w:proofErr w:type="spellStart"/>
      <w:r w:rsidRPr="005A7390">
        <w:rPr>
          <w:sz w:val="20"/>
          <w:szCs w:val="20"/>
        </w:rPr>
        <w:t>peginterferon</w:t>
      </w:r>
      <w:proofErr w:type="spellEnd"/>
      <w:r w:rsidRPr="005A7390">
        <w:rPr>
          <w:sz w:val="20"/>
          <w:szCs w:val="20"/>
        </w:rPr>
        <w:t xml:space="preserve"> and </w:t>
      </w:r>
      <w:proofErr w:type="spellStart"/>
      <w:r w:rsidRPr="005A7390">
        <w:rPr>
          <w:sz w:val="20"/>
          <w:szCs w:val="20"/>
        </w:rPr>
        <w:t>ribavirin</w:t>
      </w:r>
      <w:proofErr w:type="spellEnd"/>
      <w:r w:rsidRPr="005A7390">
        <w:rPr>
          <w:sz w:val="20"/>
          <w:szCs w:val="20"/>
        </w:rPr>
        <w:t xml:space="preserve"> treatment in chron</w:t>
      </w:r>
      <w:r w:rsidR="007666CB">
        <w:rPr>
          <w:sz w:val="20"/>
          <w:szCs w:val="20"/>
        </w:rPr>
        <w:t>ic hepatitis C patients. Korean</w:t>
      </w:r>
      <w:r w:rsidR="007666CB">
        <w:rPr>
          <w:rFonts w:eastAsiaTheme="minorEastAsia" w:hint="eastAsia"/>
          <w:sz w:val="20"/>
          <w:szCs w:val="20"/>
          <w:lang w:eastAsia="zh-CN"/>
        </w:rPr>
        <w:t xml:space="preserve"> </w:t>
      </w:r>
      <w:r w:rsidRPr="005A7390">
        <w:rPr>
          <w:sz w:val="20"/>
          <w:szCs w:val="20"/>
        </w:rPr>
        <w:t>J</w:t>
      </w:r>
      <w:r w:rsidR="007666CB">
        <w:rPr>
          <w:rFonts w:eastAsiaTheme="minorEastAsia" w:hint="eastAsia"/>
          <w:sz w:val="20"/>
          <w:szCs w:val="20"/>
          <w:lang w:eastAsia="zh-CN"/>
        </w:rPr>
        <w:t xml:space="preserve"> </w:t>
      </w:r>
      <w:proofErr w:type="spellStart"/>
      <w:r w:rsidRPr="005A7390">
        <w:rPr>
          <w:sz w:val="20"/>
          <w:szCs w:val="20"/>
        </w:rPr>
        <w:t>Hepatol</w:t>
      </w:r>
      <w:proofErr w:type="spellEnd"/>
      <w:r w:rsidRPr="005A7390">
        <w:rPr>
          <w:sz w:val="20"/>
          <w:szCs w:val="20"/>
        </w:rPr>
        <w:t>. 2012</w:t>
      </w:r>
      <w:proofErr w:type="gramStart"/>
      <w:r w:rsidRPr="005A7390">
        <w:rPr>
          <w:sz w:val="20"/>
          <w:szCs w:val="20"/>
        </w:rPr>
        <w:t>;18</w:t>
      </w:r>
      <w:proofErr w:type="gramEnd"/>
      <w:r w:rsidRPr="005A7390">
        <w:rPr>
          <w:sz w:val="20"/>
          <w:szCs w:val="20"/>
        </w:rPr>
        <w:t>(1):41-7.</w:t>
      </w:r>
    </w:p>
    <w:p w:rsidR="00634E56" w:rsidRPr="005A7390" w:rsidRDefault="00634E56"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rPr>
        <w:t>Wreghitt</w:t>
      </w:r>
      <w:proofErr w:type="spellEnd"/>
      <w:r w:rsidRPr="005A7390">
        <w:rPr>
          <w:rFonts w:ascii="Times New Roman" w:eastAsia="Times New Roman" w:hAnsi="Times New Roman" w:cs="Times New Roman"/>
          <w:bCs/>
          <w:sz w:val="20"/>
          <w:szCs w:val="20"/>
        </w:rPr>
        <w:t xml:space="preserve"> TG</w:t>
      </w:r>
      <w:r w:rsidRPr="005A7390">
        <w:rPr>
          <w:rFonts w:ascii="Times New Roman" w:eastAsia="Times New Roman" w:hAnsi="Times New Roman" w:cs="Times New Roman"/>
          <w:sz w:val="20"/>
          <w:szCs w:val="20"/>
        </w:rPr>
        <w:t>. Blood-borne virus infections in dialysis units. Reviews in Medical Virology. 1999</w:t>
      </w:r>
      <w:r w:rsidR="00D345BB" w:rsidRPr="005A7390">
        <w:rPr>
          <w:rFonts w:ascii="Times New Roman" w:eastAsia="Times New Roman" w:hAnsi="Times New Roman" w:cs="Times New Roman"/>
          <w:sz w:val="20"/>
          <w:szCs w:val="20"/>
        </w:rPr>
        <w:t>; 9:101</w:t>
      </w:r>
      <w:r w:rsidRPr="005A7390">
        <w:rPr>
          <w:rFonts w:ascii="Times New Roman" w:eastAsia="Times New Roman" w:hAnsi="Times New Roman" w:cs="Times New Roman"/>
          <w:sz w:val="20"/>
          <w:szCs w:val="20"/>
        </w:rPr>
        <w:t>–109.</w:t>
      </w:r>
    </w:p>
    <w:p w:rsidR="00634E56" w:rsidRPr="005A7390" w:rsidRDefault="00634E56"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5A7390">
        <w:rPr>
          <w:rFonts w:ascii="Times New Roman" w:eastAsia="Times New Roman" w:hAnsi="Times New Roman" w:cs="Times New Roman"/>
          <w:bCs/>
          <w:sz w:val="20"/>
          <w:szCs w:val="20"/>
        </w:rPr>
        <w:t xml:space="preserve">Hassan A, </w:t>
      </w:r>
      <w:proofErr w:type="spellStart"/>
      <w:r w:rsidRPr="005A7390">
        <w:rPr>
          <w:rFonts w:ascii="Times New Roman" w:eastAsia="Times New Roman" w:hAnsi="Times New Roman" w:cs="Times New Roman"/>
          <w:bCs/>
          <w:sz w:val="20"/>
          <w:szCs w:val="20"/>
        </w:rPr>
        <w:t>Khalil</w:t>
      </w:r>
      <w:proofErr w:type="spellEnd"/>
      <w:r w:rsidRPr="005A7390">
        <w:rPr>
          <w:rFonts w:ascii="Times New Roman" w:eastAsia="Times New Roman" w:hAnsi="Times New Roman" w:cs="Times New Roman"/>
          <w:bCs/>
          <w:sz w:val="20"/>
          <w:szCs w:val="20"/>
        </w:rPr>
        <w:t xml:space="preserve"> R</w:t>
      </w:r>
      <w:r w:rsidRPr="005A7390">
        <w:rPr>
          <w:rFonts w:ascii="Times New Roman" w:eastAsia="Times New Roman" w:hAnsi="Times New Roman" w:cs="Times New Roman"/>
          <w:sz w:val="20"/>
          <w:szCs w:val="20"/>
        </w:rPr>
        <w:t>.</w:t>
      </w:r>
      <w:r w:rsidR="005A7390" w:rsidRPr="005A7390">
        <w:rPr>
          <w:rFonts w:ascii="Times New Roman" w:hAnsi="Times New Roman" w:cs="Times New Roman" w:hint="eastAsia"/>
          <w:sz w:val="20"/>
          <w:szCs w:val="20"/>
          <w:lang w:eastAsia="zh-CN"/>
        </w:rPr>
        <w:t xml:space="preserve"> </w:t>
      </w:r>
      <w:r w:rsidRPr="005A7390">
        <w:rPr>
          <w:rFonts w:ascii="Times New Roman" w:eastAsia="Times New Roman" w:hAnsi="Times New Roman" w:cs="Times New Roman"/>
          <w:sz w:val="20"/>
          <w:szCs w:val="20"/>
        </w:rPr>
        <w:t>Hepatitis C in dialysis patients in Egypt: relationship to dialysis duration, blood transfusion, and liver disease. Saudi Journal of Kidney Diseases and Transplantation. 2000</w:t>
      </w:r>
      <w:r w:rsidR="00D345BB" w:rsidRPr="005A7390">
        <w:rPr>
          <w:rFonts w:ascii="Times New Roman" w:eastAsia="Times New Roman" w:hAnsi="Times New Roman" w:cs="Times New Roman"/>
          <w:sz w:val="20"/>
          <w:szCs w:val="20"/>
        </w:rPr>
        <w:t>; 11:72</w:t>
      </w:r>
      <w:r w:rsidRPr="005A7390">
        <w:rPr>
          <w:rFonts w:ascii="Times New Roman" w:eastAsia="Times New Roman" w:hAnsi="Times New Roman" w:cs="Times New Roman"/>
          <w:sz w:val="20"/>
          <w:szCs w:val="20"/>
        </w:rPr>
        <w:t>–73.</w:t>
      </w:r>
    </w:p>
    <w:p w:rsidR="00634E56" w:rsidRPr="005A7390" w:rsidRDefault="00634E56"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5A7390">
        <w:rPr>
          <w:rFonts w:ascii="Times New Roman" w:eastAsia="Times New Roman" w:hAnsi="Times New Roman" w:cs="Times New Roman"/>
          <w:bCs/>
          <w:sz w:val="20"/>
          <w:szCs w:val="20"/>
        </w:rPr>
        <w:t xml:space="preserve">Iwasaki Y, </w:t>
      </w:r>
      <w:proofErr w:type="spellStart"/>
      <w:r w:rsidRPr="005A7390">
        <w:rPr>
          <w:rFonts w:ascii="Times New Roman" w:eastAsia="Times New Roman" w:hAnsi="Times New Roman" w:cs="Times New Roman"/>
          <w:bCs/>
          <w:sz w:val="20"/>
          <w:szCs w:val="20"/>
        </w:rPr>
        <w:t>Esumi</w:t>
      </w:r>
      <w:proofErr w:type="spellEnd"/>
      <w:r w:rsidRPr="005A7390">
        <w:rPr>
          <w:rFonts w:ascii="Times New Roman" w:eastAsia="Times New Roman" w:hAnsi="Times New Roman" w:cs="Times New Roman"/>
          <w:bCs/>
          <w:sz w:val="20"/>
          <w:szCs w:val="20"/>
        </w:rPr>
        <w:t xml:space="preserve"> M, Hosokawa N, </w:t>
      </w:r>
      <w:proofErr w:type="spellStart"/>
      <w:r w:rsidRPr="005A7390">
        <w:rPr>
          <w:rFonts w:ascii="Times New Roman" w:eastAsia="Times New Roman" w:hAnsi="Times New Roman" w:cs="Times New Roman"/>
          <w:bCs/>
          <w:sz w:val="20"/>
          <w:szCs w:val="20"/>
        </w:rPr>
        <w:t>Yanai</w:t>
      </w:r>
      <w:proofErr w:type="spellEnd"/>
      <w:r w:rsidRPr="005A7390">
        <w:rPr>
          <w:rFonts w:ascii="Times New Roman" w:eastAsia="Times New Roman" w:hAnsi="Times New Roman" w:cs="Times New Roman"/>
          <w:bCs/>
          <w:sz w:val="20"/>
          <w:szCs w:val="20"/>
        </w:rPr>
        <w:t xml:space="preserve"> M, Kawano K</w:t>
      </w:r>
      <w:r w:rsidRPr="005A7390">
        <w:rPr>
          <w:rFonts w:ascii="Times New Roman" w:eastAsia="Times New Roman" w:hAnsi="Times New Roman" w:cs="Times New Roman"/>
          <w:sz w:val="20"/>
          <w:szCs w:val="20"/>
        </w:rPr>
        <w:t xml:space="preserve">. Occasional infection of hepatitis C virus occurring in </w:t>
      </w:r>
      <w:proofErr w:type="spellStart"/>
      <w:r w:rsidRPr="005A7390">
        <w:rPr>
          <w:rFonts w:ascii="Times New Roman" w:eastAsia="Times New Roman" w:hAnsi="Times New Roman" w:cs="Times New Roman"/>
          <w:sz w:val="20"/>
          <w:szCs w:val="20"/>
        </w:rPr>
        <w:t>haemodialysis</w:t>
      </w:r>
      <w:proofErr w:type="spellEnd"/>
      <w:r w:rsidRPr="005A7390">
        <w:rPr>
          <w:rFonts w:ascii="Times New Roman" w:eastAsia="Times New Roman" w:hAnsi="Times New Roman" w:cs="Times New Roman"/>
          <w:sz w:val="20"/>
          <w:szCs w:val="20"/>
        </w:rPr>
        <w:t xml:space="preserve"> units identified by serial monitoring of the virus infection. Journal of Hospital Infection. 2000</w:t>
      </w:r>
      <w:proofErr w:type="gramStart"/>
      <w:r w:rsidRPr="005A7390">
        <w:rPr>
          <w:rFonts w:ascii="Times New Roman" w:eastAsia="Times New Roman" w:hAnsi="Times New Roman" w:cs="Times New Roman"/>
          <w:sz w:val="20"/>
          <w:szCs w:val="20"/>
        </w:rPr>
        <w:t>;45</w:t>
      </w:r>
      <w:proofErr w:type="gramEnd"/>
      <w:r w:rsidRPr="005A7390">
        <w:rPr>
          <w:rFonts w:ascii="Times New Roman" w:eastAsia="Times New Roman" w:hAnsi="Times New Roman" w:cs="Times New Roman"/>
          <w:sz w:val="20"/>
          <w:szCs w:val="20"/>
        </w:rPr>
        <w:t>(1):54–61.</w:t>
      </w:r>
    </w:p>
    <w:p w:rsidR="00634E56" w:rsidRPr="005A7390" w:rsidRDefault="00634E56"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rPr>
        <w:t>Schneeberger</w:t>
      </w:r>
      <w:proofErr w:type="spellEnd"/>
      <w:r w:rsidRPr="005A7390">
        <w:rPr>
          <w:rFonts w:ascii="Times New Roman" w:eastAsia="Times New Roman" w:hAnsi="Times New Roman" w:cs="Times New Roman"/>
          <w:bCs/>
          <w:sz w:val="20"/>
          <w:szCs w:val="20"/>
        </w:rPr>
        <w:t xml:space="preserve"> PM, </w:t>
      </w:r>
      <w:proofErr w:type="spellStart"/>
      <w:r w:rsidRPr="005A7390">
        <w:rPr>
          <w:rFonts w:ascii="Times New Roman" w:eastAsia="Times New Roman" w:hAnsi="Times New Roman" w:cs="Times New Roman"/>
          <w:bCs/>
          <w:sz w:val="20"/>
          <w:szCs w:val="20"/>
        </w:rPr>
        <w:t>Keur</w:t>
      </w:r>
      <w:proofErr w:type="spellEnd"/>
      <w:r w:rsidRPr="005A7390">
        <w:rPr>
          <w:rFonts w:ascii="Times New Roman" w:eastAsia="Times New Roman" w:hAnsi="Times New Roman" w:cs="Times New Roman"/>
          <w:bCs/>
          <w:sz w:val="20"/>
          <w:szCs w:val="20"/>
        </w:rPr>
        <w:t xml:space="preserve"> I, Van Loon AM, </w:t>
      </w:r>
      <w:r w:rsidR="009A0ACE" w:rsidRPr="005A7390">
        <w:rPr>
          <w:rFonts w:ascii="Times New Roman" w:hAnsi="Times New Roman" w:cs="Times New Roman"/>
          <w:bCs/>
          <w:i/>
          <w:iCs/>
          <w:sz w:val="20"/>
          <w:szCs w:val="20"/>
        </w:rPr>
        <w:t>et al</w:t>
      </w:r>
      <w:r w:rsidR="009A0ACE" w:rsidRPr="005A7390">
        <w:rPr>
          <w:rFonts w:ascii="Times New Roman" w:hAnsi="Times New Roman" w:cs="Times New Roman"/>
          <w:i/>
          <w:iCs/>
          <w:sz w:val="20"/>
          <w:szCs w:val="20"/>
        </w:rPr>
        <w:t>.</w:t>
      </w:r>
      <w:r w:rsidRPr="005A7390">
        <w:rPr>
          <w:rFonts w:ascii="Times New Roman" w:eastAsia="Times New Roman" w:hAnsi="Times New Roman" w:cs="Times New Roman"/>
          <w:sz w:val="20"/>
          <w:szCs w:val="20"/>
        </w:rPr>
        <w:t xml:space="preserve"> The prevalence and incidence of hepatitis C virus infections among dialysis patients in The Netherlands: a nationwide prospective study. Journal of Infectious Diseases. 2000</w:t>
      </w:r>
      <w:proofErr w:type="gramStart"/>
      <w:r w:rsidRPr="005A7390">
        <w:rPr>
          <w:rFonts w:ascii="Times New Roman" w:eastAsia="Times New Roman" w:hAnsi="Times New Roman" w:cs="Times New Roman"/>
          <w:sz w:val="20"/>
          <w:szCs w:val="20"/>
        </w:rPr>
        <w:t>;182</w:t>
      </w:r>
      <w:proofErr w:type="gramEnd"/>
      <w:r w:rsidRPr="005A7390">
        <w:rPr>
          <w:rFonts w:ascii="Times New Roman" w:eastAsia="Times New Roman" w:hAnsi="Times New Roman" w:cs="Times New Roman"/>
          <w:sz w:val="20"/>
          <w:szCs w:val="20"/>
        </w:rPr>
        <w:t>(5):1291–1299.</w:t>
      </w:r>
    </w:p>
    <w:p w:rsidR="00634E56" w:rsidRPr="005A7390" w:rsidRDefault="00634E56" w:rsidP="00030DDA">
      <w:pPr>
        <w:pStyle w:val="ref"/>
        <w:numPr>
          <w:ilvl w:val="0"/>
          <w:numId w:val="19"/>
        </w:numPr>
        <w:adjustRightInd w:val="0"/>
        <w:snapToGrid w:val="0"/>
        <w:spacing w:before="0" w:beforeAutospacing="0" w:after="0" w:afterAutospacing="0"/>
        <w:ind w:left="425" w:hanging="425"/>
        <w:jc w:val="both"/>
        <w:rPr>
          <w:sz w:val="20"/>
          <w:szCs w:val="20"/>
        </w:rPr>
      </w:pPr>
      <w:proofErr w:type="spellStart"/>
      <w:r w:rsidRPr="005A7390">
        <w:rPr>
          <w:bCs/>
          <w:sz w:val="20"/>
          <w:szCs w:val="20"/>
        </w:rPr>
        <w:t>Liberato</w:t>
      </w:r>
      <w:proofErr w:type="spellEnd"/>
      <w:r w:rsidRPr="005A7390">
        <w:rPr>
          <w:bCs/>
          <w:sz w:val="20"/>
          <w:szCs w:val="20"/>
        </w:rPr>
        <w:t xml:space="preserve"> I, Lopes E, </w:t>
      </w:r>
      <w:proofErr w:type="spellStart"/>
      <w:r w:rsidRPr="005A7390">
        <w:rPr>
          <w:bCs/>
          <w:sz w:val="20"/>
          <w:szCs w:val="20"/>
        </w:rPr>
        <w:t>Cavalcante</w:t>
      </w:r>
      <w:proofErr w:type="spellEnd"/>
      <w:r w:rsidRPr="005A7390">
        <w:rPr>
          <w:bCs/>
          <w:sz w:val="20"/>
          <w:szCs w:val="20"/>
        </w:rPr>
        <w:t xml:space="preserve"> M, Pinto T, </w:t>
      </w:r>
      <w:proofErr w:type="spellStart"/>
      <w:r w:rsidRPr="005A7390">
        <w:rPr>
          <w:bCs/>
          <w:sz w:val="20"/>
          <w:szCs w:val="20"/>
        </w:rPr>
        <w:t>Moura</w:t>
      </w:r>
      <w:proofErr w:type="spellEnd"/>
      <w:r w:rsidRPr="005A7390">
        <w:rPr>
          <w:bCs/>
          <w:sz w:val="20"/>
          <w:szCs w:val="20"/>
        </w:rPr>
        <w:t xml:space="preserve"> I, </w:t>
      </w:r>
      <w:proofErr w:type="spellStart"/>
      <w:r w:rsidRPr="005A7390">
        <w:rPr>
          <w:bCs/>
          <w:sz w:val="20"/>
          <w:szCs w:val="20"/>
        </w:rPr>
        <w:t>Loureiro-Jr</w:t>
      </w:r>
      <w:proofErr w:type="spellEnd"/>
      <w:r w:rsidRPr="005A7390">
        <w:rPr>
          <w:bCs/>
          <w:sz w:val="20"/>
          <w:szCs w:val="20"/>
        </w:rPr>
        <w:t xml:space="preserve"> L</w:t>
      </w:r>
      <w:r w:rsidRPr="005A7390">
        <w:rPr>
          <w:sz w:val="20"/>
          <w:szCs w:val="20"/>
        </w:rPr>
        <w:t xml:space="preserve">. Liver enzymes in patients with chronic kidney disease undergoing peritoneal dialysis and </w:t>
      </w:r>
      <w:proofErr w:type="spellStart"/>
      <w:r w:rsidRPr="005A7390">
        <w:rPr>
          <w:sz w:val="20"/>
          <w:szCs w:val="20"/>
        </w:rPr>
        <w:t>hemodialysis</w:t>
      </w:r>
      <w:proofErr w:type="spellEnd"/>
      <w:r w:rsidRPr="005A7390">
        <w:rPr>
          <w:sz w:val="20"/>
          <w:szCs w:val="20"/>
        </w:rPr>
        <w:t>. Clinics. 2012</w:t>
      </w:r>
      <w:proofErr w:type="gramStart"/>
      <w:r w:rsidRPr="005A7390">
        <w:rPr>
          <w:sz w:val="20"/>
          <w:szCs w:val="20"/>
        </w:rPr>
        <w:t>;67</w:t>
      </w:r>
      <w:proofErr w:type="gramEnd"/>
      <w:r w:rsidRPr="005A7390">
        <w:rPr>
          <w:sz w:val="20"/>
          <w:szCs w:val="20"/>
        </w:rPr>
        <w:t xml:space="preserve">(2):131-4, </w:t>
      </w:r>
      <w:hyperlink r:id="rId25" w:tgtFrame="_blank" w:history="1">
        <w:r w:rsidRPr="005A7390">
          <w:rPr>
            <w:rStyle w:val="Hyperlink"/>
            <w:rFonts w:eastAsia="Cambria"/>
            <w:color w:val="auto"/>
            <w:sz w:val="20"/>
            <w:szCs w:val="20"/>
            <w:u w:val="none"/>
          </w:rPr>
          <w:t>http://dx.doi.org/10.6061/clinics/2012(02)07</w:t>
        </w:r>
      </w:hyperlink>
      <w:r w:rsidRPr="005A7390">
        <w:rPr>
          <w:sz w:val="20"/>
          <w:szCs w:val="20"/>
        </w:rPr>
        <w:t>.</w:t>
      </w:r>
    </w:p>
    <w:p w:rsidR="00B00D87" w:rsidRPr="005A7390" w:rsidRDefault="00B00D87" w:rsidP="00030DDA">
      <w:pPr>
        <w:pStyle w:val="ref"/>
        <w:numPr>
          <w:ilvl w:val="0"/>
          <w:numId w:val="19"/>
        </w:numPr>
        <w:adjustRightInd w:val="0"/>
        <w:snapToGrid w:val="0"/>
        <w:spacing w:before="0" w:beforeAutospacing="0" w:after="0" w:afterAutospacing="0"/>
        <w:ind w:left="425" w:hanging="425"/>
        <w:jc w:val="both"/>
        <w:rPr>
          <w:sz w:val="20"/>
          <w:szCs w:val="20"/>
        </w:rPr>
      </w:pPr>
      <w:r w:rsidRPr="005A7390">
        <w:rPr>
          <w:bCs/>
          <w:sz w:val="20"/>
          <w:szCs w:val="20"/>
        </w:rPr>
        <w:t xml:space="preserve">Whitfield JB. Gamma </w:t>
      </w:r>
      <w:proofErr w:type="spellStart"/>
      <w:r w:rsidRPr="005A7390">
        <w:rPr>
          <w:bCs/>
          <w:sz w:val="20"/>
          <w:szCs w:val="20"/>
        </w:rPr>
        <w:t>glutamyltransferase</w:t>
      </w:r>
      <w:proofErr w:type="spellEnd"/>
      <w:r w:rsidRPr="005A7390">
        <w:rPr>
          <w:sz w:val="20"/>
          <w:szCs w:val="20"/>
        </w:rPr>
        <w:t xml:space="preserve">. </w:t>
      </w:r>
      <w:proofErr w:type="spellStart"/>
      <w:r w:rsidRPr="005A7390">
        <w:rPr>
          <w:sz w:val="20"/>
          <w:szCs w:val="20"/>
        </w:rPr>
        <w:t>Crit</w:t>
      </w:r>
      <w:proofErr w:type="spellEnd"/>
      <w:r w:rsidRPr="005A7390">
        <w:rPr>
          <w:sz w:val="20"/>
          <w:szCs w:val="20"/>
        </w:rPr>
        <w:t xml:space="preserve"> Rev </w:t>
      </w:r>
      <w:proofErr w:type="spellStart"/>
      <w:r w:rsidRPr="005A7390">
        <w:rPr>
          <w:sz w:val="20"/>
          <w:szCs w:val="20"/>
        </w:rPr>
        <w:t>Clin</w:t>
      </w:r>
      <w:proofErr w:type="spellEnd"/>
      <w:r w:rsidRPr="005A7390">
        <w:rPr>
          <w:sz w:val="20"/>
          <w:szCs w:val="20"/>
        </w:rPr>
        <w:t xml:space="preserve"> Lab Sci. 2001</w:t>
      </w:r>
      <w:proofErr w:type="gramStart"/>
      <w:r w:rsidRPr="005A7390">
        <w:rPr>
          <w:sz w:val="20"/>
          <w:szCs w:val="20"/>
        </w:rPr>
        <w:t>;38</w:t>
      </w:r>
      <w:proofErr w:type="gramEnd"/>
      <w:r w:rsidRPr="005A7390">
        <w:rPr>
          <w:sz w:val="20"/>
          <w:szCs w:val="20"/>
        </w:rPr>
        <w:t xml:space="preserve">(4):263-355, </w:t>
      </w:r>
      <w:hyperlink r:id="rId26" w:tgtFrame="_blank" w:history="1">
        <w:r w:rsidRPr="005A7390">
          <w:rPr>
            <w:rStyle w:val="Hyperlink"/>
            <w:rFonts w:eastAsia="Cambria"/>
            <w:color w:val="auto"/>
            <w:sz w:val="20"/>
            <w:szCs w:val="20"/>
            <w:u w:val="none"/>
          </w:rPr>
          <w:t>http://dx.doi.org/10.1080/20014091084227</w:t>
        </w:r>
      </w:hyperlink>
      <w:r w:rsidRPr="005A7390">
        <w:rPr>
          <w:sz w:val="20"/>
          <w:szCs w:val="20"/>
        </w:rPr>
        <w:t>.</w:t>
      </w:r>
    </w:p>
    <w:p w:rsidR="000A4A58" w:rsidRPr="005A7390" w:rsidRDefault="00B00D87" w:rsidP="00030DDA">
      <w:pPr>
        <w:pStyle w:val="ref"/>
        <w:numPr>
          <w:ilvl w:val="0"/>
          <w:numId w:val="19"/>
        </w:numPr>
        <w:adjustRightInd w:val="0"/>
        <w:snapToGrid w:val="0"/>
        <w:spacing w:before="0" w:beforeAutospacing="0" w:after="0" w:afterAutospacing="0"/>
        <w:ind w:left="425" w:hanging="425"/>
        <w:jc w:val="both"/>
        <w:rPr>
          <w:sz w:val="20"/>
          <w:szCs w:val="20"/>
        </w:rPr>
      </w:pPr>
      <w:proofErr w:type="spellStart"/>
      <w:r w:rsidRPr="005A7390">
        <w:rPr>
          <w:bCs/>
          <w:sz w:val="20"/>
          <w:szCs w:val="20"/>
          <w:lang w:val="fr-FR"/>
        </w:rPr>
        <w:lastRenderedPageBreak/>
        <w:t>Villela</w:t>
      </w:r>
      <w:proofErr w:type="spellEnd"/>
      <w:r w:rsidRPr="005A7390">
        <w:rPr>
          <w:bCs/>
          <w:sz w:val="20"/>
          <w:szCs w:val="20"/>
          <w:lang w:val="fr-FR"/>
        </w:rPr>
        <w:t>-</w:t>
      </w:r>
      <w:proofErr w:type="spellStart"/>
      <w:r w:rsidRPr="005A7390">
        <w:rPr>
          <w:bCs/>
          <w:sz w:val="20"/>
          <w:szCs w:val="20"/>
          <w:lang w:val="fr-FR"/>
        </w:rPr>
        <w:t>Nogueira</w:t>
      </w:r>
      <w:proofErr w:type="spellEnd"/>
      <w:r w:rsidRPr="005A7390">
        <w:rPr>
          <w:bCs/>
          <w:sz w:val="20"/>
          <w:szCs w:val="20"/>
          <w:lang w:val="fr-FR"/>
        </w:rPr>
        <w:t xml:space="preserve"> CA, Perez RM, de </w:t>
      </w:r>
      <w:proofErr w:type="spellStart"/>
      <w:r w:rsidRPr="005A7390">
        <w:rPr>
          <w:bCs/>
          <w:sz w:val="20"/>
          <w:szCs w:val="20"/>
          <w:lang w:val="fr-FR"/>
        </w:rPr>
        <w:t>Segadas</w:t>
      </w:r>
      <w:proofErr w:type="spellEnd"/>
      <w:r w:rsidR="005A7390">
        <w:rPr>
          <w:rFonts w:eastAsiaTheme="minorEastAsia" w:hint="eastAsia"/>
          <w:bCs/>
          <w:sz w:val="20"/>
          <w:szCs w:val="20"/>
          <w:lang w:val="fr-FR" w:eastAsia="zh-CN"/>
        </w:rPr>
        <w:t xml:space="preserve"> </w:t>
      </w:r>
      <w:r w:rsidRPr="005A7390">
        <w:rPr>
          <w:bCs/>
          <w:sz w:val="20"/>
          <w:szCs w:val="20"/>
          <w:lang w:val="fr-FR"/>
        </w:rPr>
        <w:t>Soares JA, Coelho HSM</w:t>
      </w:r>
      <w:r w:rsidRPr="005A7390">
        <w:rPr>
          <w:sz w:val="20"/>
          <w:szCs w:val="20"/>
          <w:lang w:val="fr-FR"/>
        </w:rPr>
        <w:t xml:space="preserve">. </w:t>
      </w:r>
      <w:r w:rsidRPr="005A7390">
        <w:rPr>
          <w:sz w:val="20"/>
          <w:szCs w:val="20"/>
        </w:rPr>
        <w:t>Gamma-</w:t>
      </w:r>
      <w:proofErr w:type="spellStart"/>
      <w:r w:rsidRPr="005A7390">
        <w:rPr>
          <w:sz w:val="20"/>
          <w:szCs w:val="20"/>
        </w:rPr>
        <w:t>glutamyltransferase</w:t>
      </w:r>
      <w:proofErr w:type="spellEnd"/>
      <w:r w:rsidRPr="005A7390">
        <w:rPr>
          <w:sz w:val="20"/>
          <w:szCs w:val="20"/>
        </w:rPr>
        <w:t xml:space="preserve"> (GGT) as an independent predictive factor of sustained </w:t>
      </w:r>
      <w:proofErr w:type="spellStart"/>
      <w:r w:rsidRPr="005A7390">
        <w:rPr>
          <w:sz w:val="20"/>
          <w:szCs w:val="20"/>
        </w:rPr>
        <w:t>virologic</w:t>
      </w:r>
      <w:proofErr w:type="spellEnd"/>
      <w:r w:rsidRPr="005A7390">
        <w:rPr>
          <w:sz w:val="20"/>
          <w:szCs w:val="20"/>
        </w:rPr>
        <w:t xml:space="preserve"> response in patients with hepatitis C treated with interferon-alpha and </w:t>
      </w:r>
      <w:proofErr w:type="spellStart"/>
      <w:r w:rsidRPr="005A7390">
        <w:rPr>
          <w:sz w:val="20"/>
          <w:szCs w:val="20"/>
        </w:rPr>
        <w:t>ribavirin</w:t>
      </w:r>
      <w:proofErr w:type="spellEnd"/>
      <w:r w:rsidRPr="005A7390">
        <w:rPr>
          <w:sz w:val="20"/>
          <w:szCs w:val="20"/>
        </w:rPr>
        <w:t>. J</w:t>
      </w:r>
      <w:r w:rsidR="005A7390">
        <w:rPr>
          <w:rFonts w:eastAsiaTheme="minorEastAsia" w:hint="eastAsia"/>
          <w:sz w:val="20"/>
          <w:szCs w:val="20"/>
          <w:lang w:eastAsia="zh-CN"/>
        </w:rPr>
        <w:t xml:space="preserve"> </w:t>
      </w:r>
      <w:proofErr w:type="spellStart"/>
      <w:r w:rsidRPr="005A7390">
        <w:rPr>
          <w:sz w:val="20"/>
          <w:szCs w:val="20"/>
        </w:rPr>
        <w:t>Clin</w:t>
      </w:r>
      <w:proofErr w:type="spellEnd"/>
      <w:r w:rsidR="005A7390">
        <w:rPr>
          <w:rFonts w:eastAsiaTheme="minorEastAsia" w:hint="eastAsia"/>
          <w:sz w:val="20"/>
          <w:szCs w:val="20"/>
          <w:lang w:eastAsia="zh-CN"/>
        </w:rPr>
        <w:t xml:space="preserve"> </w:t>
      </w:r>
      <w:proofErr w:type="spellStart"/>
      <w:r w:rsidRPr="005A7390">
        <w:rPr>
          <w:sz w:val="20"/>
          <w:szCs w:val="20"/>
        </w:rPr>
        <w:t>Gastroenterol</w:t>
      </w:r>
      <w:proofErr w:type="spellEnd"/>
      <w:r w:rsidRPr="005A7390">
        <w:rPr>
          <w:sz w:val="20"/>
          <w:szCs w:val="20"/>
        </w:rPr>
        <w:t>. 2005</w:t>
      </w:r>
      <w:proofErr w:type="gramStart"/>
      <w:r w:rsidRPr="005A7390">
        <w:rPr>
          <w:sz w:val="20"/>
          <w:szCs w:val="20"/>
        </w:rPr>
        <w:t>;39</w:t>
      </w:r>
      <w:proofErr w:type="gramEnd"/>
      <w:r w:rsidRPr="005A7390">
        <w:rPr>
          <w:sz w:val="20"/>
          <w:szCs w:val="20"/>
        </w:rPr>
        <w:t xml:space="preserve">(8):728-30, </w:t>
      </w:r>
      <w:hyperlink r:id="rId27" w:tgtFrame="_blank" w:history="1">
        <w:r w:rsidRPr="005A7390">
          <w:rPr>
            <w:rStyle w:val="Hyperlink"/>
            <w:rFonts w:eastAsia="Cambria"/>
            <w:color w:val="auto"/>
            <w:sz w:val="20"/>
            <w:szCs w:val="20"/>
            <w:u w:val="none"/>
          </w:rPr>
          <w:t>http://dx.doi.org/10.1097/01.mcg.0000174025.19214.32</w:t>
        </w:r>
      </w:hyperlink>
      <w:r w:rsidRPr="005A7390">
        <w:rPr>
          <w:sz w:val="20"/>
          <w:szCs w:val="20"/>
        </w:rPr>
        <w:t>.</w:t>
      </w:r>
    </w:p>
    <w:p w:rsidR="00B00D87" w:rsidRPr="005A7390" w:rsidRDefault="00B00D87"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lang w:val="fr-FR"/>
        </w:rPr>
        <w:t>Carneiro</w:t>
      </w:r>
      <w:proofErr w:type="spellEnd"/>
      <w:r w:rsidRPr="005A7390">
        <w:rPr>
          <w:rFonts w:ascii="Times New Roman" w:eastAsia="Times New Roman" w:hAnsi="Times New Roman" w:cs="Times New Roman"/>
          <w:bCs/>
          <w:sz w:val="20"/>
          <w:szCs w:val="20"/>
          <w:lang w:val="fr-FR"/>
        </w:rPr>
        <w:t xml:space="preserve"> MA, </w:t>
      </w:r>
      <w:proofErr w:type="spellStart"/>
      <w:r w:rsidRPr="005A7390">
        <w:rPr>
          <w:rFonts w:ascii="Times New Roman" w:eastAsia="Times New Roman" w:hAnsi="Times New Roman" w:cs="Times New Roman"/>
          <w:bCs/>
          <w:sz w:val="20"/>
          <w:szCs w:val="20"/>
          <w:lang w:val="fr-FR"/>
        </w:rPr>
        <w:t>Teles</w:t>
      </w:r>
      <w:proofErr w:type="spellEnd"/>
      <w:r w:rsidRPr="005A7390">
        <w:rPr>
          <w:rFonts w:ascii="Times New Roman" w:eastAsia="Times New Roman" w:hAnsi="Times New Roman" w:cs="Times New Roman"/>
          <w:bCs/>
          <w:sz w:val="20"/>
          <w:szCs w:val="20"/>
          <w:lang w:val="fr-FR"/>
        </w:rPr>
        <w:t xml:space="preserve"> SA, Dias MA, </w:t>
      </w:r>
      <w:r w:rsidR="00FB29C8" w:rsidRPr="005A7390">
        <w:rPr>
          <w:rFonts w:ascii="Times New Roman" w:hAnsi="Times New Roman" w:cs="Times New Roman"/>
          <w:bCs/>
          <w:i/>
          <w:iCs/>
          <w:sz w:val="20"/>
          <w:szCs w:val="20"/>
          <w:lang w:val="fr-FR"/>
        </w:rPr>
        <w:t>et al</w:t>
      </w:r>
      <w:r w:rsidR="00FB29C8" w:rsidRPr="005A7390">
        <w:rPr>
          <w:rFonts w:ascii="Times New Roman" w:hAnsi="Times New Roman" w:cs="Times New Roman"/>
          <w:i/>
          <w:iCs/>
          <w:sz w:val="20"/>
          <w:szCs w:val="20"/>
          <w:lang w:val="fr-FR"/>
        </w:rPr>
        <w:t>.</w:t>
      </w:r>
      <w:r w:rsidR="007666CB">
        <w:rPr>
          <w:rFonts w:ascii="Times New Roman" w:hAnsi="Times New Roman" w:cs="Times New Roman" w:hint="eastAsia"/>
          <w:i/>
          <w:iCs/>
          <w:sz w:val="20"/>
          <w:szCs w:val="20"/>
          <w:lang w:val="fr-FR" w:eastAsia="zh-CN"/>
        </w:rPr>
        <w:t xml:space="preserve"> </w:t>
      </w:r>
      <w:r w:rsidRPr="005A7390">
        <w:rPr>
          <w:rFonts w:ascii="Times New Roman" w:eastAsia="Times New Roman" w:hAnsi="Times New Roman" w:cs="Times New Roman"/>
          <w:sz w:val="20"/>
          <w:szCs w:val="20"/>
        </w:rPr>
        <w:t xml:space="preserve">Decline of hepatitis C infection in </w:t>
      </w:r>
      <w:proofErr w:type="spellStart"/>
      <w:r w:rsidRPr="005A7390">
        <w:rPr>
          <w:rFonts w:ascii="Times New Roman" w:eastAsia="Times New Roman" w:hAnsi="Times New Roman" w:cs="Times New Roman"/>
          <w:sz w:val="20"/>
          <w:szCs w:val="20"/>
        </w:rPr>
        <w:t>hemodialysis</w:t>
      </w:r>
      <w:proofErr w:type="spellEnd"/>
      <w:r w:rsidRPr="005A7390">
        <w:rPr>
          <w:rFonts w:ascii="Times New Roman" w:eastAsia="Times New Roman" w:hAnsi="Times New Roman" w:cs="Times New Roman"/>
          <w:sz w:val="20"/>
          <w:szCs w:val="20"/>
        </w:rPr>
        <w:t xml:space="preserve"> patients in Central Brazil: </w:t>
      </w:r>
      <w:proofErr w:type="gramStart"/>
      <w:r w:rsidRPr="005A7390">
        <w:rPr>
          <w:rFonts w:ascii="Times New Roman" w:eastAsia="Times New Roman" w:hAnsi="Times New Roman" w:cs="Times New Roman"/>
          <w:sz w:val="20"/>
          <w:szCs w:val="20"/>
        </w:rPr>
        <w:t>a ten</w:t>
      </w:r>
      <w:proofErr w:type="gramEnd"/>
      <w:r w:rsidRPr="005A7390">
        <w:rPr>
          <w:rFonts w:ascii="Times New Roman" w:eastAsia="Times New Roman" w:hAnsi="Times New Roman" w:cs="Times New Roman"/>
          <w:sz w:val="20"/>
          <w:szCs w:val="20"/>
        </w:rPr>
        <w:t xml:space="preserve"> years of sur</w:t>
      </w:r>
      <w:r w:rsidRPr="005A7390">
        <w:rPr>
          <w:rFonts w:ascii="Times New Roman" w:eastAsia="Times New Roman" w:hAnsi="Times New Roman" w:cs="Times New Roman"/>
          <w:sz w:val="20"/>
          <w:szCs w:val="20"/>
        </w:rPr>
        <w:softHyphen/>
        <w:t xml:space="preserve">veillance. </w:t>
      </w:r>
      <w:proofErr w:type="spellStart"/>
      <w:r w:rsidRPr="005A7390">
        <w:rPr>
          <w:rFonts w:ascii="Times New Roman" w:eastAsia="Times New Roman" w:hAnsi="Times New Roman" w:cs="Times New Roman"/>
          <w:sz w:val="20"/>
          <w:szCs w:val="20"/>
        </w:rPr>
        <w:t>Memórias</w:t>
      </w:r>
      <w:proofErr w:type="spellEnd"/>
      <w:r w:rsidRPr="005A7390">
        <w:rPr>
          <w:rFonts w:ascii="Times New Roman" w:eastAsia="Times New Roman" w:hAnsi="Times New Roman" w:cs="Times New Roman"/>
          <w:sz w:val="20"/>
          <w:szCs w:val="20"/>
        </w:rPr>
        <w:t xml:space="preserve"> do </w:t>
      </w:r>
      <w:proofErr w:type="spellStart"/>
      <w:r w:rsidRPr="005A7390">
        <w:rPr>
          <w:rFonts w:ascii="Times New Roman" w:eastAsia="Times New Roman" w:hAnsi="Times New Roman" w:cs="Times New Roman"/>
          <w:sz w:val="20"/>
          <w:szCs w:val="20"/>
        </w:rPr>
        <w:t>Instituto</w:t>
      </w:r>
      <w:proofErr w:type="spellEnd"/>
      <w:r w:rsidR="00D345BB" w:rsidRPr="005A7390">
        <w:rPr>
          <w:rFonts w:ascii="Times New Roman" w:eastAsia="Times New Roman" w:hAnsi="Times New Roman" w:cs="Times New Roman"/>
          <w:sz w:val="20"/>
          <w:szCs w:val="20"/>
        </w:rPr>
        <w:t xml:space="preserve"> </w:t>
      </w:r>
      <w:proofErr w:type="spellStart"/>
      <w:r w:rsidRPr="005A7390">
        <w:rPr>
          <w:rFonts w:ascii="Times New Roman" w:eastAsia="Times New Roman" w:hAnsi="Times New Roman" w:cs="Times New Roman"/>
          <w:sz w:val="20"/>
          <w:szCs w:val="20"/>
        </w:rPr>
        <w:t>Oswaldo</w:t>
      </w:r>
      <w:proofErr w:type="spellEnd"/>
      <w:r w:rsidRPr="005A7390">
        <w:rPr>
          <w:rFonts w:ascii="Times New Roman" w:eastAsia="Times New Roman" w:hAnsi="Times New Roman" w:cs="Times New Roman"/>
          <w:sz w:val="20"/>
          <w:szCs w:val="20"/>
        </w:rPr>
        <w:t xml:space="preserve"> Cruz. 2005</w:t>
      </w:r>
      <w:r w:rsidR="00D345BB" w:rsidRPr="005A7390">
        <w:rPr>
          <w:rFonts w:ascii="Times New Roman" w:eastAsia="Times New Roman" w:hAnsi="Times New Roman" w:cs="Times New Roman"/>
          <w:sz w:val="20"/>
          <w:szCs w:val="20"/>
        </w:rPr>
        <w:t>; 100</w:t>
      </w:r>
      <w:r w:rsidRPr="005A7390">
        <w:rPr>
          <w:rFonts w:ascii="Times New Roman" w:eastAsia="Times New Roman" w:hAnsi="Times New Roman" w:cs="Times New Roman"/>
          <w:sz w:val="20"/>
          <w:szCs w:val="20"/>
        </w:rPr>
        <w:t>(4):345–349.</w:t>
      </w:r>
    </w:p>
    <w:p w:rsidR="00B00D87" w:rsidRPr="005A7390" w:rsidRDefault="00B00D87"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rPr>
        <w:t>Bukh</w:t>
      </w:r>
      <w:proofErr w:type="spellEnd"/>
      <w:r w:rsidRPr="005A7390">
        <w:rPr>
          <w:rFonts w:ascii="Times New Roman" w:eastAsia="Times New Roman" w:hAnsi="Times New Roman" w:cs="Times New Roman"/>
          <w:bCs/>
          <w:sz w:val="20"/>
          <w:szCs w:val="20"/>
        </w:rPr>
        <w:t xml:space="preserve"> J, </w:t>
      </w:r>
      <w:proofErr w:type="spellStart"/>
      <w:r w:rsidRPr="005A7390">
        <w:rPr>
          <w:rFonts w:ascii="Times New Roman" w:eastAsia="Times New Roman" w:hAnsi="Times New Roman" w:cs="Times New Roman"/>
          <w:bCs/>
          <w:sz w:val="20"/>
          <w:szCs w:val="20"/>
        </w:rPr>
        <w:t>Wantzin</w:t>
      </w:r>
      <w:proofErr w:type="spellEnd"/>
      <w:r w:rsidRPr="005A7390">
        <w:rPr>
          <w:rFonts w:ascii="Times New Roman" w:eastAsia="Times New Roman" w:hAnsi="Times New Roman" w:cs="Times New Roman"/>
          <w:bCs/>
          <w:sz w:val="20"/>
          <w:szCs w:val="20"/>
        </w:rPr>
        <w:t xml:space="preserve"> P, </w:t>
      </w:r>
      <w:proofErr w:type="spellStart"/>
      <w:r w:rsidRPr="005A7390">
        <w:rPr>
          <w:rFonts w:ascii="Times New Roman" w:eastAsia="Times New Roman" w:hAnsi="Times New Roman" w:cs="Times New Roman"/>
          <w:bCs/>
          <w:sz w:val="20"/>
          <w:szCs w:val="20"/>
        </w:rPr>
        <w:t>Krogsgaard</w:t>
      </w:r>
      <w:proofErr w:type="spellEnd"/>
      <w:r w:rsidRPr="005A7390">
        <w:rPr>
          <w:rFonts w:ascii="Times New Roman" w:eastAsia="Times New Roman" w:hAnsi="Times New Roman" w:cs="Times New Roman"/>
          <w:bCs/>
          <w:sz w:val="20"/>
          <w:szCs w:val="20"/>
        </w:rPr>
        <w:t xml:space="preserve"> K, Knudsen F, Purcell RH, Miller RH</w:t>
      </w:r>
      <w:r w:rsidRPr="005A7390">
        <w:rPr>
          <w:rFonts w:ascii="Times New Roman" w:eastAsia="Times New Roman" w:hAnsi="Times New Roman" w:cs="Times New Roman"/>
          <w:sz w:val="20"/>
          <w:szCs w:val="20"/>
        </w:rPr>
        <w:t>. High prevalence of hepatitis C virus (HCV) RNA in dialysis patients: failure of commercially available antibody tests to identify a significant number of patients with HCV infection. Journal of Infectious Diseases. 1993</w:t>
      </w:r>
      <w:proofErr w:type="gramStart"/>
      <w:r w:rsidRPr="005A7390">
        <w:rPr>
          <w:rFonts w:ascii="Times New Roman" w:eastAsia="Times New Roman" w:hAnsi="Times New Roman" w:cs="Times New Roman"/>
          <w:sz w:val="20"/>
          <w:szCs w:val="20"/>
        </w:rPr>
        <w:t>;168</w:t>
      </w:r>
      <w:proofErr w:type="gramEnd"/>
      <w:r w:rsidRPr="005A7390">
        <w:rPr>
          <w:rFonts w:ascii="Times New Roman" w:eastAsia="Times New Roman" w:hAnsi="Times New Roman" w:cs="Times New Roman"/>
          <w:sz w:val="20"/>
          <w:szCs w:val="20"/>
        </w:rPr>
        <w:t>(6):1343–1348.</w:t>
      </w:r>
    </w:p>
    <w:p w:rsidR="009B4C68" w:rsidRPr="005A7390" w:rsidRDefault="009B4C68"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rPr>
        <w:t>Gallego</w:t>
      </w:r>
      <w:proofErr w:type="spellEnd"/>
      <w:r w:rsidRPr="005A7390">
        <w:rPr>
          <w:rFonts w:ascii="Times New Roman" w:eastAsia="Times New Roman" w:hAnsi="Times New Roman" w:cs="Times New Roman"/>
          <w:bCs/>
          <w:sz w:val="20"/>
          <w:szCs w:val="20"/>
        </w:rPr>
        <w:t xml:space="preserve"> E, Lopez A, Perez J, </w:t>
      </w:r>
      <w:r w:rsidR="00FB29C8" w:rsidRPr="005A7390">
        <w:rPr>
          <w:rFonts w:ascii="Times New Roman" w:hAnsi="Times New Roman" w:cs="Times New Roman"/>
          <w:bCs/>
          <w:i/>
          <w:iCs/>
          <w:sz w:val="20"/>
          <w:szCs w:val="20"/>
        </w:rPr>
        <w:t>et al</w:t>
      </w:r>
      <w:r w:rsidR="00FB29C8" w:rsidRPr="005A7390">
        <w:rPr>
          <w:rFonts w:ascii="Times New Roman" w:hAnsi="Times New Roman" w:cs="Times New Roman"/>
          <w:i/>
          <w:iCs/>
          <w:sz w:val="20"/>
          <w:szCs w:val="20"/>
        </w:rPr>
        <w:t>.</w:t>
      </w:r>
      <w:r w:rsidRPr="005A7390">
        <w:rPr>
          <w:rFonts w:ascii="Times New Roman" w:eastAsia="Times New Roman" w:hAnsi="Times New Roman" w:cs="Times New Roman"/>
          <w:sz w:val="20"/>
          <w:szCs w:val="20"/>
        </w:rPr>
        <w:t xml:space="preserve"> Effect of isolation measures on the incidence and pre</w:t>
      </w:r>
      <w:r w:rsidRPr="005A7390">
        <w:rPr>
          <w:rFonts w:ascii="Times New Roman" w:eastAsia="Times New Roman" w:hAnsi="Times New Roman" w:cs="Times New Roman"/>
          <w:sz w:val="20"/>
          <w:szCs w:val="20"/>
        </w:rPr>
        <w:softHyphen/>
        <w:t xml:space="preserve">valence of hepatitis C virus infection in </w:t>
      </w:r>
      <w:proofErr w:type="spellStart"/>
      <w:r w:rsidRPr="005A7390">
        <w:rPr>
          <w:rFonts w:ascii="Times New Roman" w:eastAsia="Times New Roman" w:hAnsi="Times New Roman" w:cs="Times New Roman"/>
          <w:sz w:val="20"/>
          <w:szCs w:val="20"/>
        </w:rPr>
        <w:t>hemo</w:t>
      </w:r>
      <w:r w:rsidRPr="005A7390">
        <w:rPr>
          <w:rFonts w:ascii="Times New Roman" w:eastAsia="Times New Roman" w:hAnsi="Times New Roman" w:cs="Times New Roman"/>
          <w:sz w:val="20"/>
          <w:szCs w:val="20"/>
        </w:rPr>
        <w:softHyphen/>
        <w:t>dialysis</w:t>
      </w:r>
      <w:proofErr w:type="spellEnd"/>
      <w:r w:rsidRPr="005A7390">
        <w:rPr>
          <w:rFonts w:ascii="Times New Roman" w:eastAsia="Times New Roman" w:hAnsi="Times New Roman" w:cs="Times New Roman"/>
          <w:sz w:val="20"/>
          <w:szCs w:val="20"/>
        </w:rPr>
        <w:t xml:space="preserve">. </w:t>
      </w:r>
      <w:proofErr w:type="spellStart"/>
      <w:r w:rsidRPr="005A7390">
        <w:rPr>
          <w:rFonts w:ascii="Times New Roman" w:eastAsia="Times New Roman" w:hAnsi="Times New Roman" w:cs="Times New Roman"/>
          <w:sz w:val="20"/>
          <w:szCs w:val="20"/>
        </w:rPr>
        <w:t>Nephron</w:t>
      </w:r>
      <w:proofErr w:type="spellEnd"/>
      <w:r w:rsidRPr="005A7390">
        <w:rPr>
          <w:rFonts w:ascii="Times New Roman" w:eastAsia="Times New Roman" w:hAnsi="Times New Roman" w:cs="Times New Roman"/>
          <w:sz w:val="20"/>
          <w:szCs w:val="20"/>
        </w:rPr>
        <w:t xml:space="preserve"> Clinical Practice. 2006</w:t>
      </w:r>
      <w:r w:rsidR="00D345BB" w:rsidRPr="005A7390">
        <w:rPr>
          <w:rFonts w:ascii="Times New Roman" w:eastAsia="Times New Roman" w:hAnsi="Times New Roman" w:cs="Times New Roman"/>
          <w:sz w:val="20"/>
          <w:szCs w:val="20"/>
        </w:rPr>
        <w:t>; 104:c1</w:t>
      </w:r>
      <w:r w:rsidRPr="005A7390">
        <w:rPr>
          <w:rFonts w:ascii="Times New Roman" w:eastAsia="Times New Roman" w:hAnsi="Times New Roman" w:cs="Times New Roman"/>
          <w:sz w:val="20"/>
          <w:szCs w:val="20"/>
        </w:rPr>
        <w:t>–c6.</w:t>
      </w:r>
    </w:p>
    <w:p w:rsidR="009B4C68" w:rsidRPr="005A7390" w:rsidRDefault="009B4C68"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5A7390">
        <w:rPr>
          <w:rFonts w:ascii="Times New Roman" w:eastAsia="Times New Roman" w:hAnsi="Times New Roman" w:cs="Times New Roman"/>
          <w:bCs/>
          <w:sz w:val="20"/>
          <w:szCs w:val="20"/>
        </w:rPr>
        <w:t xml:space="preserve">Yang CS, Chang HH, Chou CC, </w:t>
      </w:r>
      <w:proofErr w:type="spellStart"/>
      <w:r w:rsidRPr="005A7390">
        <w:rPr>
          <w:rFonts w:ascii="Times New Roman" w:eastAsia="Times New Roman" w:hAnsi="Times New Roman" w:cs="Times New Roman"/>
          <w:bCs/>
          <w:sz w:val="20"/>
          <w:szCs w:val="20"/>
        </w:rPr>
        <w:t>Peng</w:t>
      </w:r>
      <w:proofErr w:type="spellEnd"/>
      <w:r w:rsidRPr="005A7390">
        <w:rPr>
          <w:rFonts w:ascii="Times New Roman" w:eastAsia="Times New Roman" w:hAnsi="Times New Roman" w:cs="Times New Roman"/>
          <w:bCs/>
          <w:sz w:val="20"/>
          <w:szCs w:val="20"/>
        </w:rPr>
        <w:t xml:space="preserve"> SJ</w:t>
      </w:r>
      <w:r w:rsidRPr="005A7390">
        <w:rPr>
          <w:rFonts w:ascii="Times New Roman" w:eastAsia="Times New Roman" w:hAnsi="Times New Roman" w:cs="Times New Roman"/>
          <w:sz w:val="20"/>
          <w:szCs w:val="20"/>
        </w:rPr>
        <w:t xml:space="preserve">. </w:t>
      </w:r>
      <w:r w:rsidRPr="005A7390">
        <w:rPr>
          <w:rFonts w:ascii="Times New Roman" w:eastAsia="Times New Roman" w:hAnsi="Times New Roman" w:cs="Times New Roman"/>
          <w:sz w:val="20"/>
          <w:szCs w:val="20"/>
        </w:rPr>
        <w:softHyphen/>
      </w:r>
      <w:proofErr w:type="spellStart"/>
      <w:r w:rsidRPr="005A7390">
        <w:rPr>
          <w:rFonts w:ascii="Times New Roman" w:eastAsia="Times New Roman" w:hAnsi="Times New Roman" w:cs="Times New Roman"/>
          <w:sz w:val="20"/>
          <w:szCs w:val="20"/>
        </w:rPr>
        <w:t>lation</w:t>
      </w:r>
      <w:proofErr w:type="spellEnd"/>
      <w:r w:rsidRPr="005A7390">
        <w:rPr>
          <w:rFonts w:ascii="Times New Roman" w:eastAsia="Times New Roman" w:hAnsi="Times New Roman" w:cs="Times New Roman"/>
          <w:sz w:val="20"/>
          <w:szCs w:val="20"/>
        </w:rPr>
        <w:t xml:space="preserve"> effectively prevents the transmission of hepatitis C virus in the </w:t>
      </w:r>
      <w:proofErr w:type="spellStart"/>
      <w:r w:rsidRPr="005A7390">
        <w:rPr>
          <w:rFonts w:ascii="Times New Roman" w:eastAsia="Times New Roman" w:hAnsi="Times New Roman" w:cs="Times New Roman"/>
          <w:sz w:val="20"/>
          <w:szCs w:val="20"/>
        </w:rPr>
        <w:t>hemodialysis</w:t>
      </w:r>
      <w:proofErr w:type="spellEnd"/>
      <w:r w:rsidRPr="005A7390">
        <w:rPr>
          <w:rFonts w:ascii="Times New Roman" w:eastAsia="Times New Roman" w:hAnsi="Times New Roman" w:cs="Times New Roman"/>
          <w:sz w:val="20"/>
          <w:szCs w:val="20"/>
        </w:rPr>
        <w:t xml:space="preserve"> unit. Journal of the Formosan Medical Association. 2003</w:t>
      </w:r>
      <w:proofErr w:type="gramStart"/>
      <w:r w:rsidRPr="005A7390">
        <w:rPr>
          <w:rFonts w:ascii="Times New Roman" w:eastAsia="Times New Roman" w:hAnsi="Times New Roman" w:cs="Times New Roman"/>
          <w:sz w:val="20"/>
          <w:szCs w:val="20"/>
        </w:rPr>
        <w:t>;102:79</w:t>
      </w:r>
      <w:proofErr w:type="gramEnd"/>
      <w:r w:rsidRPr="005A7390">
        <w:rPr>
          <w:rFonts w:ascii="Times New Roman" w:eastAsia="Times New Roman" w:hAnsi="Times New Roman" w:cs="Times New Roman"/>
          <w:sz w:val="20"/>
          <w:szCs w:val="20"/>
        </w:rPr>
        <w:t>–85.</w:t>
      </w:r>
    </w:p>
    <w:p w:rsidR="009B4C68" w:rsidRPr="005A7390" w:rsidRDefault="009B4C68"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lang w:val="fr-FR"/>
        </w:rPr>
        <w:t>Gilli</w:t>
      </w:r>
      <w:proofErr w:type="spellEnd"/>
      <w:r w:rsidRPr="005A7390">
        <w:rPr>
          <w:rFonts w:ascii="Times New Roman" w:eastAsia="Times New Roman" w:hAnsi="Times New Roman" w:cs="Times New Roman"/>
          <w:bCs/>
          <w:sz w:val="20"/>
          <w:szCs w:val="20"/>
          <w:lang w:val="fr-FR"/>
        </w:rPr>
        <w:t xml:space="preserve"> P, </w:t>
      </w:r>
      <w:proofErr w:type="spellStart"/>
      <w:r w:rsidRPr="005A7390">
        <w:rPr>
          <w:rFonts w:ascii="Times New Roman" w:eastAsia="Times New Roman" w:hAnsi="Times New Roman" w:cs="Times New Roman"/>
          <w:bCs/>
          <w:sz w:val="20"/>
          <w:szCs w:val="20"/>
          <w:lang w:val="fr-FR"/>
        </w:rPr>
        <w:t>Soffritti</w:t>
      </w:r>
      <w:proofErr w:type="spellEnd"/>
      <w:r w:rsidRPr="005A7390">
        <w:rPr>
          <w:rFonts w:ascii="Times New Roman" w:eastAsia="Times New Roman" w:hAnsi="Times New Roman" w:cs="Times New Roman"/>
          <w:bCs/>
          <w:sz w:val="20"/>
          <w:szCs w:val="20"/>
          <w:lang w:val="fr-FR"/>
        </w:rPr>
        <w:t xml:space="preserve"> S, De Paoli </w:t>
      </w:r>
      <w:proofErr w:type="spellStart"/>
      <w:r w:rsidRPr="005A7390">
        <w:rPr>
          <w:rFonts w:ascii="Times New Roman" w:eastAsia="Times New Roman" w:hAnsi="Times New Roman" w:cs="Times New Roman"/>
          <w:bCs/>
          <w:sz w:val="20"/>
          <w:szCs w:val="20"/>
          <w:lang w:val="fr-FR"/>
        </w:rPr>
        <w:t>Vitali</w:t>
      </w:r>
      <w:proofErr w:type="spellEnd"/>
      <w:r w:rsidRPr="005A7390">
        <w:rPr>
          <w:rFonts w:ascii="Times New Roman" w:eastAsia="Times New Roman" w:hAnsi="Times New Roman" w:cs="Times New Roman"/>
          <w:bCs/>
          <w:sz w:val="20"/>
          <w:szCs w:val="20"/>
          <w:lang w:val="fr-FR"/>
        </w:rPr>
        <w:t xml:space="preserve"> E, </w:t>
      </w:r>
      <w:proofErr w:type="spellStart"/>
      <w:r w:rsidRPr="005A7390">
        <w:rPr>
          <w:rFonts w:ascii="Times New Roman" w:eastAsia="Times New Roman" w:hAnsi="Times New Roman" w:cs="Times New Roman"/>
          <w:bCs/>
          <w:sz w:val="20"/>
          <w:szCs w:val="20"/>
          <w:lang w:val="fr-FR"/>
        </w:rPr>
        <w:t>Bedani</w:t>
      </w:r>
      <w:proofErr w:type="spellEnd"/>
      <w:r w:rsidRPr="005A7390">
        <w:rPr>
          <w:rFonts w:ascii="Times New Roman" w:eastAsia="Times New Roman" w:hAnsi="Times New Roman" w:cs="Times New Roman"/>
          <w:bCs/>
          <w:sz w:val="20"/>
          <w:szCs w:val="20"/>
          <w:lang w:val="fr-FR"/>
        </w:rPr>
        <w:t xml:space="preserve"> PL</w:t>
      </w:r>
      <w:r w:rsidRPr="005A7390">
        <w:rPr>
          <w:rFonts w:ascii="Times New Roman" w:eastAsia="Times New Roman" w:hAnsi="Times New Roman" w:cs="Times New Roman"/>
          <w:sz w:val="20"/>
          <w:szCs w:val="20"/>
          <w:lang w:val="fr-FR"/>
        </w:rPr>
        <w:t xml:space="preserve">. </w:t>
      </w:r>
      <w:r w:rsidRPr="005A7390">
        <w:rPr>
          <w:rFonts w:ascii="Times New Roman" w:eastAsia="Times New Roman" w:hAnsi="Times New Roman" w:cs="Times New Roman"/>
          <w:sz w:val="20"/>
          <w:szCs w:val="20"/>
        </w:rPr>
        <w:t xml:space="preserve">Prevention of hepatitis C virus in dialysis units. </w:t>
      </w:r>
      <w:proofErr w:type="spellStart"/>
      <w:r w:rsidRPr="005A7390">
        <w:rPr>
          <w:rFonts w:ascii="Times New Roman" w:eastAsia="Times New Roman" w:hAnsi="Times New Roman" w:cs="Times New Roman"/>
          <w:sz w:val="20"/>
          <w:szCs w:val="20"/>
        </w:rPr>
        <w:t>Nephron</w:t>
      </w:r>
      <w:proofErr w:type="spellEnd"/>
      <w:r w:rsidRPr="005A7390">
        <w:rPr>
          <w:rFonts w:ascii="Times New Roman" w:eastAsia="Times New Roman" w:hAnsi="Times New Roman" w:cs="Times New Roman"/>
          <w:sz w:val="20"/>
          <w:szCs w:val="20"/>
        </w:rPr>
        <w:t>. 1995</w:t>
      </w:r>
      <w:proofErr w:type="gramStart"/>
      <w:r w:rsidRPr="005A7390">
        <w:rPr>
          <w:rFonts w:ascii="Times New Roman" w:eastAsia="Times New Roman" w:hAnsi="Times New Roman" w:cs="Times New Roman"/>
          <w:sz w:val="20"/>
          <w:szCs w:val="20"/>
        </w:rPr>
        <w:t>;70</w:t>
      </w:r>
      <w:proofErr w:type="gramEnd"/>
      <w:r w:rsidRPr="005A7390">
        <w:rPr>
          <w:rFonts w:ascii="Times New Roman" w:eastAsia="Times New Roman" w:hAnsi="Times New Roman" w:cs="Times New Roman"/>
          <w:sz w:val="20"/>
          <w:szCs w:val="20"/>
        </w:rPr>
        <w:t>(3):301–306.</w:t>
      </w:r>
    </w:p>
    <w:p w:rsidR="009B4C68" w:rsidRPr="005A7390" w:rsidRDefault="009B4C68"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A7390">
        <w:rPr>
          <w:rFonts w:ascii="Times New Roman" w:eastAsia="Times New Roman" w:hAnsi="Times New Roman" w:cs="Times New Roman"/>
          <w:bCs/>
          <w:sz w:val="20"/>
          <w:szCs w:val="20"/>
        </w:rPr>
        <w:t>Shaheen</w:t>
      </w:r>
      <w:proofErr w:type="spellEnd"/>
      <w:r w:rsidRPr="005A7390">
        <w:rPr>
          <w:rFonts w:ascii="Times New Roman" w:eastAsia="Times New Roman" w:hAnsi="Times New Roman" w:cs="Times New Roman"/>
          <w:bCs/>
          <w:sz w:val="20"/>
          <w:szCs w:val="20"/>
        </w:rPr>
        <w:t xml:space="preserve"> FA, </w:t>
      </w:r>
      <w:proofErr w:type="spellStart"/>
      <w:r w:rsidRPr="005A7390">
        <w:rPr>
          <w:rFonts w:ascii="Times New Roman" w:eastAsia="Times New Roman" w:hAnsi="Times New Roman" w:cs="Times New Roman"/>
          <w:bCs/>
          <w:sz w:val="20"/>
          <w:szCs w:val="20"/>
        </w:rPr>
        <w:t>Huraib</w:t>
      </w:r>
      <w:proofErr w:type="spellEnd"/>
      <w:r w:rsidRPr="005A7390">
        <w:rPr>
          <w:rFonts w:ascii="Times New Roman" w:eastAsia="Times New Roman" w:hAnsi="Times New Roman" w:cs="Times New Roman"/>
          <w:bCs/>
          <w:sz w:val="20"/>
          <w:szCs w:val="20"/>
        </w:rPr>
        <w:t xml:space="preserve"> SO, Al-</w:t>
      </w:r>
      <w:proofErr w:type="spellStart"/>
      <w:r w:rsidRPr="005A7390">
        <w:rPr>
          <w:rFonts w:ascii="Times New Roman" w:eastAsia="Times New Roman" w:hAnsi="Times New Roman" w:cs="Times New Roman"/>
          <w:bCs/>
          <w:sz w:val="20"/>
          <w:szCs w:val="20"/>
        </w:rPr>
        <w:t>Rashed</w:t>
      </w:r>
      <w:proofErr w:type="spellEnd"/>
      <w:r w:rsidRPr="005A7390">
        <w:rPr>
          <w:rFonts w:ascii="Times New Roman" w:eastAsia="Times New Roman" w:hAnsi="Times New Roman" w:cs="Times New Roman"/>
          <w:bCs/>
          <w:sz w:val="20"/>
          <w:szCs w:val="20"/>
        </w:rPr>
        <w:t xml:space="preserve"> R, </w:t>
      </w:r>
      <w:r w:rsidR="00FB29C8" w:rsidRPr="005A7390">
        <w:rPr>
          <w:rFonts w:ascii="Times New Roman" w:hAnsi="Times New Roman" w:cs="Times New Roman"/>
          <w:bCs/>
          <w:i/>
          <w:iCs/>
          <w:sz w:val="20"/>
          <w:szCs w:val="20"/>
        </w:rPr>
        <w:t>et al</w:t>
      </w:r>
      <w:r w:rsidR="00FB29C8" w:rsidRPr="005A7390">
        <w:rPr>
          <w:rFonts w:ascii="Times New Roman" w:hAnsi="Times New Roman" w:cs="Times New Roman"/>
          <w:i/>
          <w:iCs/>
          <w:sz w:val="20"/>
          <w:szCs w:val="20"/>
        </w:rPr>
        <w:t>.</w:t>
      </w:r>
      <w:r w:rsidRPr="005A7390">
        <w:rPr>
          <w:rFonts w:ascii="Times New Roman" w:eastAsia="Times New Roman" w:hAnsi="Times New Roman" w:cs="Times New Roman"/>
          <w:sz w:val="20"/>
          <w:szCs w:val="20"/>
        </w:rPr>
        <w:t xml:space="preserve"> Prevalence of hepatitis C antibodies among </w:t>
      </w:r>
      <w:proofErr w:type="spellStart"/>
      <w:r w:rsidRPr="005A7390">
        <w:rPr>
          <w:rFonts w:ascii="Times New Roman" w:eastAsia="Times New Roman" w:hAnsi="Times New Roman" w:cs="Times New Roman"/>
          <w:sz w:val="20"/>
          <w:szCs w:val="20"/>
        </w:rPr>
        <w:t>he</w:t>
      </w:r>
      <w:r w:rsidRPr="005A7390">
        <w:rPr>
          <w:rFonts w:ascii="Times New Roman" w:eastAsia="Times New Roman" w:hAnsi="Times New Roman" w:cs="Times New Roman"/>
          <w:sz w:val="20"/>
          <w:szCs w:val="20"/>
        </w:rPr>
        <w:softHyphen/>
        <w:t>modialysis</w:t>
      </w:r>
      <w:proofErr w:type="spellEnd"/>
      <w:r w:rsidRPr="005A7390">
        <w:rPr>
          <w:rFonts w:ascii="Times New Roman" w:eastAsia="Times New Roman" w:hAnsi="Times New Roman" w:cs="Times New Roman"/>
          <w:sz w:val="20"/>
          <w:szCs w:val="20"/>
        </w:rPr>
        <w:t xml:space="preserve"> patients in Jeddah area, Saudi Arabia. Saudi Medical Journals. 2003</w:t>
      </w:r>
      <w:r w:rsidR="00D345BB" w:rsidRPr="005A7390">
        <w:rPr>
          <w:rFonts w:ascii="Times New Roman" w:eastAsia="Times New Roman" w:hAnsi="Times New Roman" w:cs="Times New Roman"/>
          <w:sz w:val="20"/>
          <w:szCs w:val="20"/>
        </w:rPr>
        <w:t>; 2:S125</w:t>
      </w:r>
      <w:r w:rsidRPr="005A7390">
        <w:rPr>
          <w:rFonts w:ascii="Times New Roman" w:eastAsia="Times New Roman" w:hAnsi="Times New Roman" w:cs="Times New Roman"/>
          <w:sz w:val="20"/>
          <w:szCs w:val="20"/>
        </w:rPr>
        <w:t>–S126.</w:t>
      </w:r>
    </w:p>
    <w:p w:rsidR="009B4C68" w:rsidRPr="005A7390" w:rsidRDefault="009B4C68" w:rsidP="00030DDA">
      <w:pPr>
        <w:pStyle w:val="ListParagraph"/>
        <w:numPr>
          <w:ilvl w:val="0"/>
          <w:numId w:val="19"/>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5A7390">
        <w:rPr>
          <w:rFonts w:ascii="Times New Roman" w:eastAsia="Times New Roman" w:hAnsi="Times New Roman" w:cs="Times New Roman"/>
          <w:bCs/>
          <w:sz w:val="20"/>
          <w:szCs w:val="20"/>
          <w:lang w:val="fr-FR"/>
        </w:rPr>
        <w:t xml:space="preserve">F. </w:t>
      </w:r>
      <w:proofErr w:type="spellStart"/>
      <w:r w:rsidRPr="005A7390">
        <w:rPr>
          <w:rFonts w:ascii="Times New Roman" w:eastAsia="Times New Roman" w:hAnsi="Times New Roman" w:cs="Times New Roman"/>
          <w:bCs/>
          <w:sz w:val="20"/>
          <w:szCs w:val="20"/>
          <w:lang w:val="fr-FR"/>
        </w:rPr>
        <w:t>Fabrizi</w:t>
      </w:r>
      <w:proofErr w:type="spellEnd"/>
      <w:r w:rsidRPr="005A7390">
        <w:rPr>
          <w:rFonts w:ascii="Times New Roman" w:eastAsia="Times New Roman" w:hAnsi="Times New Roman" w:cs="Times New Roman"/>
          <w:bCs/>
          <w:sz w:val="20"/>
          <w:szCs w:val="20"/>
          <w:lang w:val="fr-FR"/>
        </w:rPr>
        <w:t xml:space="preserve">, P. Martin, V. Dixit </w:t>
      </w:r>
      <w:r w:rsidR="00FB29C8" w:rsidRPr="005A7390">
        <w:rPr>
          <w:rFonts w:ascii="Times New Roman" w:hAnsi="Times New Roman" w:cs="Times New Roman"/>
          <w:bCs/>
          <w:i/>
          <w:iCs/>
          <w:sz w:val="20"/>
          <w:szCs w:val="20"/>
          <w:lang w:val="fr-FR"/>
        </w:rPr>
        <w:t>et al</w:t>
      </w:r>
      <w:r w:rsidR="00FB29C8" w:rsidRPr="005A7390">
        <w:rPr>
          <w:rFonts w:ascii="Times New Roman" w:hAnsi="Times New Roman" w:cs="Times New Roman"/>
          <w:i/>
          <w:iCs/>
          <w:sz w:val="20"/>
          <w:szCs w:val="20"/>
          <w:lang w:val="fr-FR"/>
        </w:rPr>
        <w:t>.</w:t>
      </w:r>
      <w:r w:rsidR="005A7390" w:rsidRPr="005A7390">
        <w:rPr>
          <w:rFonts w:ascii="Times New Roman" w:hAnsi="Times New Roman" w:cs="Times New Roman" w:hint="eastAsia"/>
          <w:i/>
          <w:iCs/>
          <w:sz w:val="20"/>
          <w:szCs w:val="20"/>
          <w:lang w:val="fr-FR" w:eastAsia="zh-CN"/>
        </w:rPr>
        <w:t xml:space="preserve"> </w:t>
      </w:r>
      <w:r w:rsidRPr="005A7390">
        <w:rPr>
          <w:rFonts w:ascii="Times New Roman" w:eastAsia="Times New Roman" w:hAnsi="Times New Roman" w:cs="Times New Roman"/>
          <w:sz w:val="20"/>
          <w:szCs w:val="20"/>
        </w:rPr>
        <w:t xml:space="preserve">“Quantitative assessment of HCV load in chronic </w:t>
      </w:r>
      <w:proofErr w:type="spellStart"/>
      <w:r w:rsidRPr="005A7390">
        <w:rPr>
          <w:rFonts w:ascii="Times New Roman" w:eastAsia="Times New Roman" w:hAnsi="Times New Roman" w:cs="Times New Roman"/>
          <w:sz w:val="20"/>
          <w:szCs w:val="20"/>
        </w:rPr>
        <w:t>hemodialysis</w:t>
      </w:r>
      <w:proofErr w:type="spellEnd"/>
      <w:r w:rsidRPr="005A7390">
        <w:rPr>
          <w:rFonts w:ascii="Times New Roman" w:eastAsia="Times New Roman" w:hAnsi="Times New Roman" w:cs="Times New Roman"/>
          <w:sz w:val="20"/>
          <w:szCs w:val="20"/>
        </w:rPr>
        <w:t xml:space="preserve"> patients: a cross-sectional survey,” </w:t>
      </w:r>
      <w:proofErr w:type="spellStart"/>
      <w:r w:rsidRPr="005A7390">
        <w:rPr>
          <w:rFonts w:ascii="Times New Roman" w:eastAsia="Times New Roman" w:hAnsi="Times New Roman" w:cs="Times New Roman"/>
          <w:sz w:val="20"/>
          <w:szCs w:val="20"/>
        </w:rPr>
        <w:t>Nephron</w:t>
      </w:r>
      <w:proofErr w:type="spellEnd"/>
      <w:r w:rsidRPr="005A7390">
        <w:rPr>
          <w:rFonts w:ascii="Times New Roman" w:eastAsia="Times New Roman" w:hAnsi="Times New Roman" w:cs="Times New Roman"/>
          <w:sz w:val="20"/>
          <w:szCs w:val="20"/>
        </w:rPr>
        <w:t>, vol. 80, no. 4, pp. 428–433, 1998.</w:t>
      </w:r>
    </w:p>
    <w:p w:rsidR="00766539" w:rsidRPr="005A7390" w:rsidRDefault="009B4C68" w:rsidP="00030DDA">
      <w:pPr>
        <w:pStyle w:val="ref"/>
        <w:numPr>
          <w:ilvl w:val="0"/>
          <w:numId w:val="19"/>
        </w:numPr>
        <w:adjustRightInd w:val="0"/>
        <w:snapToGrid w:val="0"/>
        <w:spacing w:before="0" w:beforeAutospacing="0" w:after="0" w:afterAutospacing="0"/>
        <w:ind w:left="425" w:hanging="425"/>
        <w:jc w:val="both"/>
        <w:rPr>
          <w:sz w:val="20"/>
          <w:szCs w:val="20"/>
        </w:rPr>
      </w:pPr>
      <w:r w:rsidRPr="005A7390">
        <w:rPr>
          <w:bCs/>
          <w:sz w:val="20"/>
          <w:szCs w:val="20"/>
        </w:rPr>
        <w:t xml:space="preserve">Kaiser T, </w:t>
      </w:r>
      <w:proofErr w:type="spellStart"/>
      <w:r w:rsidRPr="005A7390">
        <w:rPr>
          <w:bCs/>
          <w:sz w:val="20"/>
          <w:szCs w:val="20"/>
        </w:rPr>
        <w:t>Damerow</w:t>
      </w:r>
      <w:proofErr w:type="spellEnd"/>
      <w:r w:rsidRPr="005A7390">
        <w:rPr>
          <w:bCs/>
          <w:sz w:val="20"/>
          <w:szCs w:val="20"/>
        </w:rPr>
        <w:t xml:space="preserve"> HC, </w:t>
      </w:r>
      <w:proofErr w:type="spellStart"/>
      <w:r w:rsidRPr="005A7390">
        <w:rPr>
          <w:bCs/>
          <w:sz w:val="20"/>
          <w:szCs w:val="20"/>
        </w:rPr>
        <w:t>Tenckhoff</w:t>
      </w:r>
      <w:proofErr w:type="spellEnd"/>
      <w:r w:rsidRPr="005A7390">
        <w:rPr>
          <w:bCs/>
          <w:sz w:val="20"/>
          <w:szCs w:val="20"/>
        </w:rPr>
        <w:t xml:space="preserve"> S, Finger A, </w:t>
      </w:r>
      <w:proofErr w:type="spellStart"/>
      <w:r w:rsidRPr="005A7390">
        <w:rPr>
          <w:bCs/>
          <w:sz w:val="20"/>
          <w:szCs w:val="20"/>
        </w:rPr>
        <w:t>Böttcher</w:t>
      </w:r>
      <w:proofErr w:type="spellEnd"/>
      <w:r w:rsidRPr="005A7390">
        <w:rPr>
          <w:bCs/>
          <w:sz w:val="20"/>
          <w:szCs w:val="20"/>
        </w:rPr>
        <w:t xml:space="preserve"> I, </w:t>
      </w:r>
      <w:proofErr w:type="spellStart"/>
      <w:r w:rsidRPr="005A7390">
        <w:rPr>
          <w:bCs/>
          <w:sz w:val="20"/>
          <w:szCs w:val="20"/>
        </w:rPr>
        <w:t>Hafer</w:t>
      </w:r>
      <w:proofErr w:type="spellEnd"/>
      <w:r w:rsidRPr="005A7390">
        <w:rPr>
          <w:bCs/>
          <w:sz w:val="20"/>
          <w:szCs w:val="20"/>
        </w:rPr>
        <w:t xml:space="preserve"> C, </w:t>
      </w:r>
      <w:r w:rsidR="00FB29C8" w:rsidRPr="005A7390">
        <w:rPr>
          <w:bCs/>
          <w:i/>
          <w:iCs/>
          <w:sz w:val="20"/>
          <w:szCs w:val="20"/>
        </w:rPr>
        <w:t>et al</w:t>
      </w:r>
      <w:r w:rsidR="00FB29C8" w:rsidRPr="005A7390">
        <w:rPr>
          <w:i/>
          <w:iCs/>
          <w:sz w:val="20"/>
          <w:szCs w:val="20"/>
        </w:rPr>
        <w:t>.</w:t>
      </w:r>
      <w:r w:rsidRPr="005A7390">
        <w:rPr>
          <w:sz w:val="20"/>
          <w:szCs w:val="20"/>
        </w:rPr>
        <w:t xml:space="preserve"> Kinetics of hepatitis C viral RNA and HCV-antigen during dialysis sessions: evidence for differential viral load reduction on dialysis. J</w:t>
      </w:r>
      <w:r w:rsidR="005A7390" w:rsidRPr="005A7390">
        <w:rPr>
          <w:rFonts w:eastAsiaTheme="minorEastAsia" w:hint="eastAsia"/>
          <w:sz w:val="20"/>
          <w:szCs w:val="20"/>
          <w:lang w:eastAsia="zh-CN"/>
        </w:rPr>
        <w:t xml:space="preserve"> </w:t>
      </w:r>
      <w:r w:rsidRPr="005A7390">
        <w:rPr>
          <w:sz w:val="20"/>
          <w:szCs w:val="20"/>
        </w:rPr>
        <w:t xml:space="preserve">Med </w:t>
      </w:r>
      <w:proofErr w:type="spellStart"/>
      <w:r w:rsidRPr="005A7390">
        <w:rPr>
          <w:sz w:val="20"/>
          <w:szCs w:val="20"/>
        </w:rPr>
        <w:t>Virol</w:t>
      </w:r>
      <w:proofErr w:type="spellEnd"/>
      <w:r w:rsidRPr="005A7390">
        <w:rPr>
          <w:sz w:val="20"/>
          <w:szCs w:val="20"/>
        </w:rPr>
        <w:t>. 2008</w:t>
      </w:r>
      <w:proofErr w:type="gramStart"/>
      <w:r w:rsidRPr="005A7390">
        <w:rPr>
          <w:sz w:val="20"/>
          <w:szCs w:val="20"/>
        </w:rPr>
        <w:t>;80</w:t>
      </w:r>
      <w:proofErr w:type="gramEnd"/>
      <w:r w:rsidRPr="005A7390">
        <w:rPr>
          <w:sz w:val="20"/>
          <w:szCs w:val="20"/>
        </w:rPr>
        <w:t>(7):</w:t>
      </w:r>
      <w:bookmarkStart w:id="27" w:name="_GoBack"/>
      <w:bookmarkEnd w:id="27"/>
      <w:r w:rsidRPr="005A7390">
        <w:rPr>
          <w:sz w:val="20"/>
          <w:szCs w:val="20"/>
        </w:rPr>
        <w:t>1195-201,</w:t>
      </w:r>
      <w:r w:rsidR="005A7390" w:rsidRPr="005A7390">
        <w:rPr>
          <w:rFonts w:eastAsiaTheme="minorEastAsia" w:hint="eastAsia"/>
          <w:sz w:val="20"/>
          <w:szCs w:val="20"/>
          <w:lang w:eastAsia="zh-CN"/>
        </w:rPr>
        <w:t xml:space="preserve"> </w:t>
      </w:r>
      <w:hyperlink r:id="rId28" w:tgtFrame="_blank" w:history="1">
        <w:r w:rsidRPr="005A7390">
          <w:rPr>
            <w:rStyle w:val="Hyperlink"/>
            <w:rFonts w:eastAsia="Cambria"/>
            <w:color w:val="auto"/>
            <w:sz w:val="20"/>
            <w:szCs w:val="20"/>
            <w:u w:val="none"/>
          </w:rPr>
          <w:t>http://dx.doi.org/10.1002/jmv.21190</w:t>
        </w:r>
      </w:hyperlink>
      <w:r w:rsidRPr="005A7390">
        <w:rPr>
          <w:sz w:val="20"/>
          <w:szCs w:val="20"/>
        </w:rPr>
        <w:t>.</w:t>
      </w:r>
      <w:r w:rsidR="005A7390" w:rsidRPr="005A7390">
        <w:rPr>
          <w:rFonts w:eastAsiaTheme="minorEastAsia" w:hint="eastAsia"/>
          <w:sz w:val="20"/>
          <w:szCs w:val="20"/>
          <w:lang w:eastAsia="zh-CN"/>
        </w:rPr>
        <w:t xml:space="preserve"> </w:t>
      </w:r>
    </w:p>
    <w:p w:rsidR="00766539" w:rsidRPr="005A7390" w:rsidRDefault="00766539" w:rsidP="00030DDA">
      <w:pPr>
        <w:pStyle w:val="a2"/>
        <w:adjustRightInd w:val="0"/>
        <w:snapToGrid w:val="0"/>
        <w:spacing w:before="0" w:beforeAutospacing="0" w:after="0" w:afterAutospacing="0"/>
        <w:ind w:left="425" w:hanging="425"/>
        <w:jc w:val="both"/>
        <w:rPr>
          <w:sz w:val="20"/>
          <w:szCs w:val="20"/>
        </w:rPr>
        <w:sectPr w:rsidR="00766539" w:rsidRPr="005A7390" w:rsidSect="00766539">
          <w:type w:val="continuous"/>
          <w:pgSz w:w="12240" w:h="15840" w:code="1"/>
          <w:pgMar w:top="1440" w:right="1440" w:bottom="1440" w:left="1440" w:header="720" w:footer="720" w:gutter="0"/>
          <w:cols w:num="2" w:space="425"/>
          <w:docGrid w:linePitch="360"/>
        </w:sectPr>
      </w:pPr>
    </w:p>
    <w:p w:rsidR="00766539" w:rsidRPr="005A7390" w:rsidRDefault="00766539" w:rsidP="00030DDA">
      <w:pPr>
        <w:bidi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766539" w:rsidRPr="005A7390" w:rsidRDefault="00766539" w:rsidP="00030DDA">
      <w:pPr>
        <w:bidi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766539" w:rsidRPr="005A7390" w:rsidRDefault="00766539" w:rsidP="00030DDA">
      <w:pPr>
        <w:bidi w:val="0"/>
        <w:adjustRightInd w:val="0"/>
        <w:snapToGrid w:val="0"/>
        <w:spacing w:after="0" w:line="240" w:lineRule="auto"/>
        <w:ind w:left="425" w:hanging="425"/>
        <w:jc w:val="both"/>
        <w:rPr>
          <w:rFonts w:ascii="Times New Roman" w:hAnsi="Times New Roman" w:cs="Times New Roman"/>
          <w:sz w:val="20"/>
          <w:szCs w:val="20"/>
          <w:lang w:bidi="ar-EG"/>
        </w:rPr>
      </w:pPr>
    </w:p>
    <w:p w:rsidR="00D75BC4" w:rsidRPr="005A7390" w:rsidRDefault="00766539" w:rsidP="00030DDA">
      <w:pPr>
        <w:bidi w:val="0"/>
        <w:adjustRightInd w:val="0"/>
        <w:snapToGrid w:val="0"/>
        <w:spacing w:after="0" w:line="240" w:lineRule="auto"/>
        <w:ind w:left="425" w:hanging="425"/>
        <w:jc w:val="both"/>
        <w:rPr>
          <w:rFonts w:ascii="Times New Roman" w:hAnsi="Times New Roman" w:cs="Times New Roman"/>
          <w:sz w:val="20"/>
          <w:szCs w:val="20"/>
          <w:lang w:bidi="ar-EG"/>
        </w:rPr>
      </w:pPr>
      <w:r w:rsidRPr="005A7390">
        <w:rPr>
          <w:rFonts w:ascii="Times New Roman" w:hAnsi="Times New Roman" w:cs="Times New Roman"/>
          <w:sz w:val="20"/>
          <w:szCs w:val="20"/>
          <w:lang w:bidi="ar-EG"/>
        </w:rPr>
        <w:t>2/21/2016</w:t>
      </w:r>
    </w:p>
    <w:sectPr w:rsidR="00D75BC4" w:rsidRPr="005A7390" w:rsidSect="00242C8C">
      <w:headerReference w:type="default" r:id="rId29"/>
      <w:footerReference w:type="default" r:id="rId30"/>
      <w:type w:val="continuous"/>
      <w:pgSz w:w="12240" w:h="15840" w:code="1"/>
      <w:pgMar w:top="1440" w:right="1440" w:bottom="1440" w:left="1440" w:header="720" w:footer="720" w:gutter="0"/>
      <w:cols w:space="708"/>
      <w:bidi/>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9B253" w15:done="0"/>
  <w15:commentEx w15:paraId="055AEADB" w15:done="0"/>
  <w15:commentEx w15:paraId="0BF078BA" w15:done="0"/>
  <w15:commentEx w15:paraId="23542EA5" w15:done="0"/>
  <w15:commentEx w15:paraId="6F8E36D2" w15:done="0"/>
  <w15:commentEx w15:paraId="3DDA100C" w15:done="0"/>
  <w15:commentEx w15:paraId="71A67CA4" w15:done="0"/>
  <w15:commentEx w15:paraId="1B088914" w15:paraIdParent="71A67CA4" w15:done="0"/>
  <w15:commentEx w15:paraId="317F9484" w15:done="0"/>
  <w15:commentEx w15:paraId="0671540A" w15:done="0"/>
  <w15:commentEx w15:paraId="44B1AD11" w15:done="0"/>
  <w15:commentEx w15:paraId="6F49502C" w15:done="0"/>
  <w15:commentEx w15:paraId="6A959082" w15:done="0"/>
  <w15:commentEx w15:paraId="06D5B40E" w15:done="0"/>
  <w15:commentEx w15:paraId="4F6934FB" w15:done="0"/>
  <w15:commentEx w15:paraId="12226E5B" w15:done="0"/>
  <w15:commentEx w15:paraId="4DF0657C" w15:done="0"/>
  <w15:commentEx w15:paraId="1A722A61" w15:done="0"/>
  <w15:commentEx w15:paraId="28D08708" w15:done="0"/>
  <w15:commentEx w15:paraId="62D915CC" w15:done="0"/>
  <w15:commentEx w15:paraId="3D260F6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90" w:rsidRDefault="005A7390" w:rsidP="00EC5376">
      <w:pPr>
        <w:spacing w:after="0" w:line="240" w:lineRule="auto"/>
      </w:pPr>
      <w:r>
        <w:separator/>
      </w:r>
    </w:p>
  </w:endnote>
  <w:endnote w:type="continuationSeparator" w:id="0">
    <w:p w:rsidR="005A7390" w:rsidRDefault="005A7390" w:rsidP="00EC5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761FE9" w:rsidP="00766539">
    <w:pPr>
      <w:bidi w:val="0"/>
      <w:spacing w:after="0" w:line="240" w:lineRule="auto"/>
      <w:jc w:val="center"/>
      <w:rPr>
        <w:rFonts w:ascii="Times New Roman" w:hAnsi="Times New Roman" w:cs="Times New Roman"/>
        <w:sz w:val="20"/>
      </w:rPr>
    </w:pPr>
    <w:r w:rsidRPr="00766539">
      <w:rPr>
        <w:rFonts w:ascii="Times New Roman" w:hAnsi="Times New Roman" w:cs="Times New Roman"/>
        <w:sz w:val="20"/>
      </w:rPr>
      <w:fldChar w:fldCharType="begin"/>
    </w:r>
    <w:r w:rsidR="005A7390" w:rsidRPr="00766539">
      <w:rPr>
        <w:rFonts w:ascii="Times New Roman" w:hAnsi="Times New Roman" w:cs="Times New Roman"/>
        <w:sz w:val="20"/>
      </w:rPr>
      <w:instrText xml:space="preserve"> page </w:instrText>
    </w:r>
    <w:r w:rsidRPr="00766539">
      <w:rPr>
        <w:rFonts w:ascii="Times New Roman" w:hAnsi="Times New Roman" w:cs="Times New Roman"/>
        <w:sz w:val="20"/>
      </w:rPr>
      <w:fldChar w:fldCharType="separate"/>
    </w:r>
    <w:r w:rsidR="00F17BF5">
      <w:rPr>
        <w:rFonts w:ascii="Times New Roman" w:hAnsi="Times New Roman" w:cs="Times New Roman"/>
        <w:noProof/>
        <w:sz w:val="20"/>
      </w:rPr>
      <w:t>1</w:t>
    </w:r>
    <w:r w:rsidRPr="0076653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761FE9" w:rsidP="00766539">
    <w:pPr>
      <w:bidi w:val="0"/>
      <w:spacing w:after="0" w:line="240" w:lineRule="auto"/>
      <w:jc w:val="center"/>
      <w:rPr>
        <w:rFonts w:ascii="Times New Roman" w:hAnsi="Times New Roman" w:cs="Times New Roman"/>
        <w:sz w:val="20"/>
      </w:rPr>
    </w:pPr>
    <w:r w:rsidRPr="00766539">
      <w:rPr>
        <w:rFonts w:ascii="Times New Roman" w:hAnsi="Times New Roman" w:cs="Times New Roman"/>
        <w:sz w:val="20"/>
      </w:rPr>
      <w:fldChar w:fldCharType="begin"/>
    </w:r>
    <w:r w:rsidR="005A7390" w:rsidRPr="00766539">
      <w:rPr>
        <w:rFonts w:ascii="Times New Roman" w:hAnsi="Times New Roman" w:cs="Times New Roman"/>
        <w:sz w:val="20"/>
      </w:rPr>
      <w:instrText xml:space="preserve"> page </w:instrText>
    </w:r>
    <w:r w:rsidRPr="00766539">
      <w:rPr>
        <w:rFonts w:ascii="Times New Roman" w:hAnsi="Times New Roman" w:cs="Times New Roman"/>
        <w:sz w:val="20"/>
      </w:rPr>
      <w:fldChar w:fldCharType="separate"/>
    </w:r>
    <w:r w:rsidR="00F17BF5">
      <w:rPr>
        <w:rFonts w:ascii="Times New Roman" w:hAnsi="Times New Roman" w:cs="Times New Roman"/>
        <w:noProof/>
        <w:sz w:val="20"/>
      </w:rPr>
      <w:t>2</w:t>
    </w:r>
    <w:r w:rsidRPr="0076653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761FE9" w:rsidP="00766539">
    <w:pPr>
      <w:bidi w:val="0"/>
      <w:spacing w:after="0" w:line="240" w:lineRule="auto"/>
      <w:jc w:val="center"/>
      <w:rPr>
        <w:rFonts w:ascii="Times New Roman" w:hAnsi="Times New Roman" w:cs="Times New Roman"/>
        <w:sz w:val="20"/>
      </w:rPr>
    </w:pPr>
    <w:r w:rsidRPr="00766539">
      <w:rPr>
        <w:rFonts w:ascii="Times New Roman" w:hAnsi="Times New Roman" w:cs="Times New Roman"/>
        <w:sz w:val="20"/>
      </w:rPr>
      <w:fldChar w:fldCharType="begin"/>
    </w:r>
    <w:r w:rsidR="005A7390" w:rsidRPr="00766539">
      <w:rPr>
        <w:rFonts w:ascii="Times New Roman" w:hAnsi="Times New Roman" w:cs="Times New Roman"/>
        <w:sz w:val="20"/>
      </w:rPr>
      <w:instrText xml:space="preserve"> page </w:instrText>
    </w:r>
    <w:r w:rsidRPr="00766539">
      <w:rPr>
        <w:rFonts w:ascii="Times New Roman" w:hAnsi="Times New Roman" w:cs="Times New Roman"/>
        <w:sz w:val="20"/>
      </w:rPr>
      <w:fldChar w:fldCharType="separate"/>
    </w:r>
    <w:r w:rsidR="00F17BF5">
      <w:rPr>
        <w:rFonts w:ascii="Times New Roman" w:hAnsi="Times New Roman" w:cs="Times New Roman"/>
        <w:noProof/>
        <w:sz w:val="20"/>
      </w:rPr>
      <w:t>3</w:t>
    </w:r>
    <w:r w:rsidRPr="0076653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761FE9" w:rsidP="00766539">
    <w:pPr>
      <w:bidi w:val="0"/>
      <w:spacing w:after="0" w:line="240" w:lineRule="auto"/>
      <w:jc w:val="center"/>
      <w:rPr>
        <w:rFonts w:ascii="Times New Roman" w:hAnsi="Times New Roman" w:cs="Times New Roman"/>
        <w:sz w:val="20"/>
      </w:rPr>
    </w:pPr>
    <w:r w:rsidRPr="00766539">
      <w:rPr>
        <w:rFonts w:ascii="Times New Roman" w:hAnsi="Times New Roman" w:cs="Times New Roman"/>
        <w:sz w:val="20"/>
      </w:rPr>
      <w:fldChar w:fldCharType="begin"/>
    </w:r>
    <w:r w:rsidR="005A7390" w:rsidRPr="00766539">
      <w:rPr>
        <w:rFonts w:ascii="Times New Roman" w:hAnsi="Times New Roman" w:cs="Times New Roman"/>
        <w:sz w:val="20"/>
      </w:rPr>
      <w:instrText xml:space="preserve"> page </w:instrText>
    </w:r>
    <w:r w:rsidRPr="00766539">
      <w:rPr>
        <w:rFonts w:ascii="Times New Roman" w:hAnsi="Times New Roman" w:cs="Times New Roman"/>
        <w:sz w:val="20"/>
      </w:rPr>
      <w:fldChar w:fldCharType="separate"/>
    </w:r>
    <w:r w:rsidR="00F17BF5">
      <w:rPr>
        <w:rFonts w:ascii="Times New Roman" w:hAnsi="Times New Roman" w:cs="Times New Roman"/>
        <w:noProof/>
        <w:sz w:val="20"/>
      </w:rPr>
      <w:t>8</w:t>
    </w:r>
    <w:r w:rsidRPr="0076653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761FE9" w:rsidP="00766539">
    <w:pPr>
      <w:bidi w:val="0"/>
      <w:spacing w:after="0" w:line="240" w:lineRule="auto"/>
      <w:jc w:val="center"/>
      <w:rPr>
        <w:rFonts w:ascii="Times New Roman" w:hAnsi="Times New Roman" w:cs="Times New Roman"/>
        <w:sz w:val="20"/>
      </w:rPr>
    </w:pPr>
    <w:r w:rsidRPr="00766539">
      <w:rPr>
        <w:rFonts w:ascii="Times New Roman" w:hAnsi="Times New Roman" w:cs="Times New Roman"/>
        <w:sz w:val="20"/>
      </w:rPr>
      <w:fldChar w:fldCharType="begin"/>
    </w:r>
    <w:r w:rsidR="005A7390" w:rsidRPr="00766539">
      <w:rPr>
        <w:rFonts w:ascii="Times New Roman" w:hAnsi="Times New Roman" w:cs="Times New Roman"/>
        <w:sz w:val="20"/>
      </w:rPr>
      <w:instrText xml:space="preserve"> page </w:instrText>
    </w:r>
    <w:r w:rsidRPr="00766539">
      <w:rPr>
        <w:rFonts w:ascii="Times New Roman" w:hAnsi="Times New Roman" w:cs="Times New Roman"/>
        <w:sz w:val="20"/>
      </w:rPr>
      <w:fldChar w:fldCharType="separate"/>
    </w:r>
    <w:r w:rsidR="00030DDA">
      <w:rPr>
        <w:rFonts w:ascii="Times New Roman" w:hAnsi="Times New Roman" w:cs="Times New Roman"/>
        <w:noProof/>
        <w:sz w:val="20"/>
      </w:rPr>
      <w:t>9</w:t>
    </w:r>
    <w:r w:rsidRPr="0076653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90" w:rsidRDefault="005A7390" w:rsidP="00EC5376">
      <w:pPr>
        <w:spacing w:after="0" w:line="240" w:lineRule="auto"/>
      </w:pPr>
      <w:r>
        <w:separator/>
      </w:r>
    </w:p>
  </w:footnote>
  <w:footnote w:type="continuationSeparator" w:id="0">
    <w:p w:rsidR="005A7390" w:rsidRDefault="005A7390" w:rsidP="00EC5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5A7390" w:rsidP="0076653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66539">
      <w:rPr>
        <w:rFonts w:ascii="Times New Roman" w:hAnsi="Times New Roman" w:cs="Times New Roman" w:hint="eastAsia"/>
        <w:sz w:val="20"/>
        <w:szCs w:val="20"/>
      </w:rPr>
      <w:tab/>
    </w:r>
    <w:r w:rsidRPr="00766539">
      <w:rPr>
        <w:rFonts w:ascii="Times New Roman" w:hAnsi="Times New Roman" w:cs="Times New Roman"/>
        <w:sz w:val="20"/>
        <w:szCs w:val="20"/>
      </w:rPr>
      <w:t>New York Science Journal 201</w:t>
    </w:r>
    <w:r w:rsidRPr="00766539">
      <w:rPr>
        <w:rFonts w:ascii="Times New Roman" w:hAnsi="Times New Roman" w:cs="Times New Roman" w:hint="eastAsia"/>
        <w:sz w:val="20"/>
        <w:szCs w:val="20"/>
      </w:rPr>
      <w:t>6</w:t>
    </w:r>
    <w:proofErr w:type="gramStart"/>
    <w:r w:rsidRPr="00766539">
      <w:rPr>
        <w:rFonts w:ascii="Times New Roman" w:hAnsi="Times New Roman" w:cs="Times New Roman"/>
        <w:sz w:val="20"/>
        <w:szCs w:val="20"/>
      </w:rPr>
      <w:t>;</w:t>
    </w:r>
    <w:r w:rsidRPr="00766539">
      <w:rPr>
        <w:rFonts w:ascii="Times New Roman" w:hAnsi="Times New Roman" w:cs="Times New Roman" w:hint="eastAsia"/>
        <w:sz w:val="20"/>
        <w:szCs w:val="20"/>
      </w:rPr>
      <w:t>9</w:t>
    </w:r>
    <w:proofErr w:type="gramEnd"/>
    <w:r w:rsidRPr="00766539">
      <w:rPr>
        <w:rFonts w:ascii="Times New Roman" w:hAnsi="Times New Roman" w:cs="Times New Roman"/>
        <w:sz w:val="20"/>
        <w:szCs w:val="20"/>
      </w:rPr>
      <w:t>(</w:t>
    </w:r>
    <w:r w:rsidR="00F17BF5">
      <w:rPr>
        <w:rFonts w:ascii="Times New Roman" w:hAnsi="Times New Roman" w:cs="Times New Roman" w:hint="eastAsia"/>
        <w:sz w:val="20"/>
        <w:szCs w:val="20"/>
        <w:lang w:eastAsia="zh-CN"/>
      </w:rPr>
      <w:t>2</w:t>
    </w:r>
    <w:r w:rsidRPr="00766539">
      <w:rPr>
        <w:rFonts w:ascii="Times New Roman" w:hAnsi="Times New Roman" w:cs="Times New Roman"/>
        <w:sz w:val="20"/>
        <w:szCs w:val="20"/>
      </w:rPr>
      <w:t>)</w:t>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ab/>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 xml:space="preserve"> </w:t>
    </w:r>
    <w:r w:rsidRPr="00766539">
      <w:rPr>
        <w:rFonts w:ascii="Times New Roman" w:hAnsi="Times New Roman" w:cs="Times New Roman"/>
        <w:iCs/>
        <w:sz w:val="20"/>
        <w:szCs w:val="20"/>
      </w:rPr>
      <w:t xml:space="preserve">   </w:t>
    </w:r>
    <w:hyperlink r:id="rId1" w:history="1">
      <w:r w:rsidRPr="00766539">
        <w:rPr>
          <w:rStyle w:val="Hyperlink"/>
          <w:rFonts w:ascii="Times New Roman" w:hAnsi="Times New Roman" w:cs="Times New Roman"/>
          <w:sz w:val="20"/>
          <w:szCs w:val="20"/>
        </w:rPr>
        <w:t>http://www.sciencepub.net/newyork</w:t>
      </w:r>
    </w:hyperlink>
  </w:p>
  <w:p w:rsidR="005A7390" w:rsidRPr="00766539" w:rsidRDefault="005A7390" w:rsidP="0076653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5A7390" w:rsidP="0076653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66539">
      <w:rPr>
        <w:rFonts w:ascii="Times New Roman" w:hAnsi="Times New Roman" w:cs="Times New Roman" w:hint="eastAsia"/>
        <w:sz w:val="20"/>
        <w:szCs w:val="20"/>
      </w:rPr>
      <w:tab/>
    </w:r>
    <w:r w:rsidRPr="00766539">
      <w:rPr>
        <w:rFonts w:ascii="Times New Roman" w:hAnsi="Times New Roman" w:cs="Times New Roman"/>
        <w:sz w:val="20"/>
        <w:szCs w:val="20"/>
      </w:rPr>
      <w:t>New York Science Journal 201</w:t>
    </w:r>
    <w:r w:rsidRPr="00766539">
      <w:rPr>
        <w:rFonts w:ascii="Times New Roman" w:hAnsi="Times New Roman" w:cs="Times New Roman" w:hint="eastAsia"/>
        <w:sz w:val="20"/>
        <w:szCs w:val="20"/>
      </w:rPr>
      <w:t>6</w:t>
    </w:r>
    <w:proofErr w:type="gramStart"/>
    <w:r w:rsidRPr="00766539">
      <w:rPr>
        <w:rFonts w:ascii="Times New Roman" w:hAnsi="Times New Roman" w:cs="Times New Roman"/>
        <w:sz w:val="20"/>
        <w:szCs w:val="20"/>
      </w:rPr>
      <w:t>;</w:t>
    </w:r>
    <w:r w:rsidRPr="00766539">
      <w:rPr>
        <w:rFonts w:ascii="Times New Roman" w:hAnsi="Times New Roman" w:cs="Times New Roman" w:hint="eastAsia"/>
        <w:sz w:val="20"/>
        <w:szCs w:val="20"/>
      </w:rPr>
      <w:t>9</w:t>
    </w:r>
    <w:proofErr w:type="gramEnd"/>
    <w:r w:rsidRPr="00766539">
      <w:rPr>
        <w:rFonts w:ascii="Times New Roman" w:hAnsi="Times New Roman" w:cs="Times New Roman"/>
        <w:sz w:val="20"/>
        <w:szCs w:val="20"/>
      </w:rPr>
      <w:t>(</w:t>
    </w:r>
    <w:r w:rsidR="00F17BF5">
      <w:rPr>
        <w:rFonts w:ascii="Times New Roman" w:hAnsi="Times New Roman" w:cs="Times New Roman" w:hint="eastAsia"/>
        <w:sz w:val="20"/>
        <w:szCs w:val="20"/>
        <w:lang w:eastAsia="zh-CN"/>
      </w:rPr>
      <w:t>2</w:t>
    </w:r>
    <w:r w:rsidRPr="00766539">
      <w:rPr>
        <w:rFonts w:ascii="Times New Roman" w:hAnsi="Times New Roman" w:cs="Times New Roman"/>
        <w:sz w:val="20"/>
        <w:szCs w:val="20"/>
      </w:rPr>
      <w:t>)</w:t>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ab/>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 xml:space="preserve"> </w:t>
    </w:r>
    <w:r w:rsidRPr="00766539">
      <w:rPr>
        <w:rFonts w:ascii="Times New Roman" w:hAnsi="Times New Roman" w:cs="Times New Roman"/>
        <w:iCs/>
        <w:sz w:val="20"/>
        <w:szCs w:val="20"/>
      </w:rPr>
      <w:t xml:space="preserve">   </w:t>
    </w:r>
    <w:hyperlink r:id="rId1" w:history="1">
      <w:r w:rsidRPr="00766539">
        <w:rPr>
          <w:rStyle w:val="Hyperlink"/>
          <w:rFonts w:ascii="Times New Roman" w:hAnsi="Times New Roman" w:cs="Times New Roman"/>
          <w:sz w:val="20"/>
          <w:szCs w:val="20"/>
        </w:rPr>
        <w:t>http://www.sciencepub.net/newyork</w:t>
      </w:r>
    </w:hyperlink>
  </w:p>
  <w:p w:rsidR="005A7390" w:rsidRPr="00766539" w:rsidRDefault="005A7390" w:rsidP="0076653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5A7390" w:rsidP="0076653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66539">
      <w:rPr>
        <w:rFonts w:ascii="Times New Roman" w:hAnsi="Times New Roman" w:cs="Times New Roman" w:hint="eastAsia"/>
        <w:sz w:val="20"/>
        <w:szCs w:val="20"/>
      </w:rPr>
      <w:tab/>
    </w:r>
    <w:r w:rsidRPr="00766539">
      <w:rPr>
        <w:rFonts w:ascii="Times New Roman" w:hAnsi="Times New Roman" w:cs="Times New Roman"/>
        <w:sz w:val="20"/>
        <w:szCs w:val="20"/>
      </w:rPr>
      <w:t>New York Science Journal 201</w:t>
    </w:r>
    <w:r w:rsidRPr="00766539">
      <w:rPr>
        <w:rFonts w:ascii="Times New Roman" w:hAnsi="Times New Roman" w:cs="Times New Roman" w:hint="eastAsia"/>
        <w:sz w:val="20"/>
        <w:szCs w:val="20"/>
      </w:rPr>
      <w:t>6</w:t>
    </w:r>
    <w:proofErr w:type="gramStart"/>
    <w:r w:rsidRPr="00766539">
      <w:rPr>
        <w:rFonts w:ascii="Times New Roman" w:hAnsi="Times New Roman" w:cs="Times New Roman"/>
        <w:sz w:val="20"/>
        <w:szCs w:val="20"/>
      </w:rPr>
      <w:t>;</w:t>
    </w:r>
    <w:r w:rsidRPr="00766539">
      <w:rPr>
        <w:rFonts w:ascii="Times New Roman" w:hAnsi="Times New Roman" w:cs="Times New Roman" w:hint="eastAsia"/>
        <w:sz w:val="20"/>
        <w:szCs w:val="20"/>
      </w:rPr>
      <w:t>9</w:t>
    </w:r>
    <w:proofErr w:type="gramEnd"/>
    <w:r w:rsidRPr="00766539">
      <w:rPr>
        <w:rFonts w:ascii="Times New Roman" w:hAnsi="Times New Roman" w:cs="Times New Roman"/>
        <w:sz w:val="20"/>
        <w:szCs w:val="20"/>
      </w:rPr>
      <w:t>(</w:t>
    </w:r>
    <w:r w:rsidR="00F17BF5">
      <w:rPr>
        <w:rFonts w:ascii="Times New Roman" w:hAnsi="Times New Roman" w:cs="Times New Roman" w:hint="eastAsia"/>
        <w:sz w:val="20"/>
        <w:szCs w:val="20"/>
        <w:lang w:eastAsia="zh-CN"/>
      </w:rPr>
      <w:t>2</w:t>
    </w:r>
    <w:r w:rsidRPr="00766539">
      <w:rPr>
        <w:rFonts w:ascii="Times New Roman" w:hAnsi="Times New Roman" w:cs="Times New Roman"/>
        <w:sz w:val="20"/>
        <w:szCs w:val="20"/>
      </w:rPr>
      <w:t>)</w:t>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ab/>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 xml:space="preserve"> </w:t>
    </w:r>
    <w:r w:rsidRPr="00766539">
      <w:rPr>
        <w:rFonts w:ascii="Times New Roman" w:hAnsi="Times New Roman" w:cs="Times New Roman"/>
        <w:iCs/>
        <w:sz w:val="20"/>
        <w:szCs w:val="20"/>
      </w:rPr>
      <w:t xml:space="preserve">   </w:t>
    </w:r>
    <w:hyperlink r:id="rId1" w:history="1">
      <w:r w:rsidRPr="00766539">
        <w:rPr>
          <w:rStyle w:val="Hyperlink"/>
          <w:rFonts w:ascii="Times New Roman" w:hAnsi="Times New Roman" w:cs="Times New Roman"/>
          <w:sz w:val="20"/>
          <w:szCs w:val="20"/>
        </w:rPr>
        <w:t>http://www.sciencepub.net/newyork</w:t>
      </w:r>
    </w:hyperlink>
  </w:p>
  <w:p w:rsidR="005A7390" w:rsidRPr="00766539" w:rsidRDefault="005A7390" w:rsidP="0076653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5A7390" w:rsidP="0076653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66539">
      <w:rPr>
        <w:rFonts w:ascii="Times New Roman" w:hAnsi="Times New Roman" w:cs="Times New Roman" w:hint="eastAsia"/>
        <w:sz w:val="20"/>
        <w:szCs w:val="20"/>
      </w:rPr>
      <w:tab/>
    </w:r>
    <w:r w:rsidRPr="00766539">
      <w:rPr>
        <w:rFonts w:ascii="Times New Roman" w:hAnsi="Times New Roman" w:cs="Times New Roman"/>
        <w:sz w:val="20"/>
        <w:szCs w:val="20"/>
      </w:rPr>
      <w:t>New York Science Journal 201</w:t>
    </w:r>
    <w:r w:rsidRPr="00766539">
      <w:rPr>
        <w:rFonts w:ascii="Times New Roman" w:hAnsi="Times New Roman" w:cs="Times New Roman" w:hint="eastAsia"/>
        <w:sz w:val="20"/>
        <w:szCs w:val="20"/>
      </w:rPr>
      <w:t>6</w:t>
    </w:r>
    <w:proofErr w:type="gramStart"/>
    <w:r w:rsidRPr="00766539">
      <w:rPr>
        <w:rFonts w:ascii="Times New Roman" w:hAnsi="Times New Roman" w:cs="Times New Roman"/>
        <w:sz w:val="20"/>
        <w:szCs w:val="20"/>
      </w:rPr>
      <w:t>;</w:t>
    </w:r>
    <w:r w:rsidRPr="00766539">
      <w:rPr>
        <w:rFonts w:ascii="Times New Roman" w:hAnsi="Times New Roman" w:cs="Times New Roman" w:hint="eastAsia"/>
        <w:sz w:val="20"/>
        <w:szCs w:val="20"/>
      </w:rPr>
      <w:t>9</w:t>
    </w:r>
    <w:proofErr w:type="gramEnd"/>
    <w:r w:rsidRPr="00766539">
      <w:rPr>
        <w:rFonts w:ascii="Times New Roman" w:hAnsi="Times New Roman" w:cs="Times New Roman"/>
        <w:sz w:val="20"/>
        <w:szCs w:val="20"/>
      </w:rPr>
      <w:t>(</w:t>
    </w:r>
    <w:r w:rsidR="00F17BF5">
      <w:rPr>
        <w:rFonts w:ascii="Times New Roman" w:hAnsi="Times New Roman" w:cs="Times New Roman" w:hint="eastAsia"/>
        <w:sz w:val="20"/>
        <w:szCs w:val="20"/>
        <w:lang w:eastAsia="zh-CN"/>
      </w:rPr>
      <w:t>2</w:t>
    </w:r>
    <w:r w:rsidRPr="00766539">
      <w:rPr>
        <w:rFonts w:ascii="Times New Roman" w:hAnsi="Times New Roman" w:cs="Times New Roman"/>
        <w:sz w:val="20"/>
        <w:szCs w:val="20"/>
      </w:rPr>
      <w:t>)</w:t>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ab/>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 xml:space="preserve"> </w:t>
    </w:r>
    <w:r w:rsidRPr="00766539">
      <w:rPr>
        <w:rFonts w:ascii="Times New Roman" w:hAnsi="Times New Roman" w:cs="Times New Roman"/>
        <w:iCs/>
        <w:sz w:val="20"/>
        <w:szCs w:val="20"/>
      </w:rPr>
      <w:t xml:space="preserve">   </w:t>
    </w:r>
    <w:hyperlink r:id="rId1" w:history="1">
      <w:r w:rsidRPr="00766539">
        <w:rPr>
          <w:rStyle w:val="Hyperlink"/>
          <w:rFonts w:ascii="Times New Roman" w:hAnsi="Times New Roman" w:cs="Times New Roman"/>
          <w:sz w:val="20"/>
          <w:szCs w:val="20"/>
        </w:rPr>
        <w:t>http://www.sciencepub.net/newyork</w:t>
      </w:r>
    </w:hyperlink>
  </w:p>
  <w:p w:rsidR="005A7390" w:rsidRPr="00766539" w:rsidRDefault="005A7390" w:rsidP="0076653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390" w:rsidRPr="00766539" w:rsidRDefault="005A7390" w:rsidP="0076653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66539">
      <w:rPr>
        <w:rFonts w:ascii="Times New Roman" w:hAnsi="Times New Roman" w:cs="Times New Roman" w:hint="eastAsia"/>
        <w:sz w:val="20"/>
        <w:szCs w:val="20"/>
      </w:rPr>
      <w:tab/>
    </w:r>
    <w:r w:rsidRPr="00766539">
      <w:rPr>
        <w:rFonts w:ascii="Times New Roman" w:hAnsi="Times New Roman" w:cs="Times New Roman"/>
        <w:sz w:val="20"/>
        <w:szCs w:val="20"/>
      </w:rPr>
      <w:t>New York Science Journal 201</w:t>
    </w:r>
    <w:r w:rsidRPr="00766539">
      <w:rPr>
        <w:rFonts w:ascii="Times New Roman" w:hAnsi="Times New Roman" w:cs="Times New Roman" w:hint="eastAsia"/>
        <w:sz w:val="20"/>
        <w:szCs w:val="20"/>
      </w:rPr>
      <w:t>6</w:t>
    </w:r>
    <w:proofErr w:type="gramStart"/>
    <w:r w:rsidRPr="00766539">
      <w:rPr>
        <w:rFonts w:ascii="Times New Roman" w:hAnsi="Times New Roman" w:cs="Times New Roman"/>
        <w:sz w:val="20"/>
        <w:szCs w:val="20"/>
      </w:rPr>
      <w:t>;</w:t>
    </w:r>
    <w:r w:rsidRPr="00766539">
      <w:rPr>
        <w:rFonts w:ascii="Times New Roman" w:hAnsi="Times New Roman" w:cs="Times New Roman" w:hint="eastAsia"/>
        <w:sz w:val="20"/>
        <w:szCs w:val="20"/>
      </w:rPr>
      <w:t>9</w:t>
    </w:r>
    <w:proofErr w:type="gramEnd"/>
    <w:r w:rsidRPr="00766539">
      <w:rPr>
        <w:rFonts w:ascii="Times New Roman" w:hAnsi="Times New Roman" w:cs="Times New Roman"/>
        <w:sz w:val="20"/>
        <w:szCs w:val="20"/>
      </w:rPr>
      <w:t>(</w:t>
    </w:r>
    <w:r w:rsidRPr="00766539">
      <w:rPr>
        <w:rFonts w:ascii="Times New Roman" w:hAnsi="Times New Roman" w:cs="Times New Roman" w:hint="eastAsia"/>
        <w:sz w:val="20"/>
        <w:szCs w:val="20"/>
      </w:rPr>
      <w:t>3</w:t>
    </w:r>
    <w:r w:rsidRPr="00766539">
      <w:rPr>
        <w:rFonts w:ascii="Times New Roman" w:hAnsi="Times New Roman" w:cs="Times New Roman"/>
        <w:sz w:val="20"/>
        <w:szCs w:val="20"/>
      </w:rPr>
      <w:t>)</w:t>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ab/>
    </w:r>
    <w:r w:rsidRPr="00766539">
      <w:rPr>
        <w:rFonts w:ascii="Times New Roman" w:hAnsi="Times New Roman" w:cs="Times New Roman"/>
        <w:iCs/>
        <w:sz w:val="20"/>
        <w:szCs w:val="20"/>
      </w:rPr>
      <w:t xml:space="preserve"> </w:t>
    </w:r>
    <w:r w:rsidRPr="00766539">
      <w:rPr>
        <w:rFonts w:ascii="Times New Roman" w:hAnsi="Times New Roman" w:cs="Times New Roman" w:hint="eastAsia"/>
        <w:iCs/>
        <w:sz w:val="20"/>
        <w:szCs w:val="20"/>
      </w:rPr>
      <w:t xml:space="preserve"> </w:t>
    </w:r>
    <w:r w:rsidRPr="00766539">
      <w:rPr>
        <w:rFonts w:ascii="Times New Roman" w:hAnsi="Times New Roman" w:cs="Times New Roman"/>
        <w:iCs/>
        <w:sz w:val="20"/>
        <w:szCs w:val="20"/>
      </w:rPr>
      <w:t xml:space="preserve">   </w:t>
    </w:r>
    <w:hyperlink r:id="rId1" w:history="1">
      <w:r w:rsidRPr="00766539">
        <w:rPr>
          <w:rStyle w:val="Hyperlink"/>
          <w:rFonts w:ascii="Times New Roman" w:hAnsi="Times New Roman" w:cs="Times New Roman"/>
          <w:sz w:val="20"/>
          <w:szCs w:val="20"/>
        </w:rPr>
        <w:t>http://www.sciencepub.net/newyork</w:t>
      </w:r>
    </w:hyperlink>
  </w:p>
  <w:p w:rsidR="005A7390" w:rsidRPr="00766539" w:rsidRDefault="005A7390" w:rsidP="0076653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0895"/>
    <w:multiLevelType w:val="hybridMultilevel"/>
    <w:tmpl w:val="E8E2D2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0336"/>
    <w:multiLevelType w:val="hybridMultilevel"/>
    <w:tmpl w:val="79345036"/>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17FC9"/>
    <w:multiLevelType w:val="hybridMultilevel"/>
    <w:tmpl w:val="08A8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4678E"/>
    <w:multiLevelType w:val="hybridMultilevel"/>
    <w:tmpl w:val="0F38387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07F63A9"/>
    <w:multiLevelType w:val="hybridMultilevel"/>
    <w:tmpl w:val="29006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56F230F"/>
    <w:multiLevelType w:val="hybridMultilevel"/>
    <w:tmpl w:val="50CE4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4621B"/>
    <w:multiLevelType w:val="hybridMultilevel"/>
    <w:tmpl w:val="F65CD3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EC7C11"/>
    <w:multiLevelType w:val="hybridMultilevel"/>
    <w:tmpl w:val="A37A2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15179"/>
    <w:multiLevelType w:val="hybridMultilevel"/>
    <w:tmpl w:val="AFCEF1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F60DD9"/>
    <w:multiLevelType w:val="hybridMultilevel"/>
    <w:tmpl w:val="FDB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854B4E"/>
    <w:multiLevelType w:val="hybridMultilevel"/>
    <w:tmpl w:val="42B0D14C"/>
    <w:lvl w:ilvl="0" w:tplc="E076B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350F1"/>
    <w:multiLevelType w:val="hybridMultilevel"/>
    <w:tmpl w:val="E1A03B4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A18714E"/>
    <w:multiLevelType w:val="hybridMultilevel"/>
    <w:tmpl w:val="351866B2"/>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F7215"/>
    <w:multiLevelType w:val="hybridMultilevel"/>
    <w:tmpl w:val="BB14778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nsid w:val="79283E17"/>
    <w:multiLevelType w:val="hybridMultilevel"/>
    <w:tmpl w:val="4E322E9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F8151FB"/>
    <w:multiLevelType w:val="hybridMultilevel"/>
    <w:tmpl w:val="0C9407E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4"/>
  </w:num>
  <w:num w:numId="6">
    <w:abstractNumId w:val="14"/>
  </w:num>
  <w:num w:numId="7">
    <w:abstractNumId w:val="8"/>
  </w:num>
  <w:num w:numId="8">
    <w:abstractNumId w:val="13"/>
  </w:num>
  <w:num w:numId="9">
    <w:abstractNumId w:val="1"/>
  </w:num>
  <w:num w:numId="10">
    <w:abstractNumId w:val="12"/>
  </w:num>
  <w:num w:numId="11">
    <w:abstractNumId w:val="10"/>
  </w:num>
  <w:num w:numId="12">
    <w:abstractNumId w:val="5"/>
  </w:num>
  <w:num w:numId="13">
    <w:abstractNumId w:val="0"/>
  </w:num>
  <w:num w:numId="14">
    <w:abstractNumId w:val="6"/>
  </w:num>
  <w:num w:numId="15">
    <w:abstractNumId w:val="11"/>
  </w:num>
  <w:num w:numId="16">
    <w:abstractNumId w:val="16"/>
  </w:num>
  <w:num w:numId="17">
    <w:abstractNumId w:val="9"/>
  </w:num>
  <w:num w:numId="18">
    <w:abstractNumId w:val="7"/>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57856"/>
    <w:rsid w:val="00030DDA"/>
    <w:rsid w:val="00051F1D"/>
    <w:rsid w:val="000A4A58"/>
    <w:rsid w:val="00125F8E"/>
    <w:rsid w:val="00133694"/>
    <w:rsid w:val="001346DC"/>
    <w:rsid w:val="00161CBF"/>
    <w:rsid w:val="001A487C"/>
    <w:rsid w:val="001C3B97"/>
    <w:rsid w:val="001F3F71"/>
    <w:rsid w:val="0020732D"/>
    <w:rsid w:val="002073D7"/>
    <w:rsid w:val="00242C8C"/>
    <w:rsid w:val="002505C7"/>
    <w:rsid w:val="002F7EAE"/>
    <w:rsid w:val="00343512"/>
    <w:rsid w:val="003B645E"/>
    <w:rsid w:val="00436E20"/>
    <w:rsid w:val="00442532"/>
    <w:rsid w:val="00447BC5"/>
    <w:rsid w:val="00496280"/>
    <w:rsid w:val="004A6F57"/>
    <w:rsid w:val="004D7722"/>
    <w:rsid w:val="005A7390"/>
    <w:rsid w:val="005B6CCC"/>
    <w:rsid w:val="005C1AFA"/>
    <w:rsid w:val="005C5702"/>
    <w:rsid w:val="005E2F63"/>
    <w:rsid w:val="005F1F7A"/>
    <w:rsid w:val="006171FF"/>
    <w:rsid w:val="00634E56"/>
    <w:rsid w:val="00662CCC"/>
    <w:rsid w:val="00664C43"/>
    <w:rsid w:val="00680018"/>
    <w:rsid w:val="006E4FC2"/>
    <w:rsid w:val="006F7734"/>
    <w:rsid w:val="00703C0D"/>
    <w:rsid w:val="00710A38"/>
    <w:rsid w:val="007333D9"/>
    <w:rsid w:val="00757856"/>
    <w:rsid w:val="00761FE9"/>
    <w:rsid w:val="00766539"/>
    <w:rsid w:val="007666CB"/>
    <w:rsid w:val="00794E6A"/>
    <w:rsid w:val="007A112B"/>
    <w:rsid w:val="007C70F6"/>
    <w:rsid w:val="0081016A"/>
    <w:rsid w:val="008647BD"/>
    <w:rsid w:val="00893F31"/>
    <w:rsid w:val="008A063C"/>
    <w:rsid w:val="008A3062"/>
    <w:rsid w:val="008A6CED"/>
    <w:rsid w:val="008B7015"/>
    <w:rsid w:val="008C0112"/>
    <w:rsid w:val="008D26B3"/>
    <w:rsid w:val="008F0610"/>
    <w:rsid w:val="008F287F"/>
    <w:rsid w:val="00913524"/>
    <w:rsid w:val="00916D05"/>
    <w:rsid w:val="0095120C"/>
    <w:rsid w:val="009970E0"/>
    <w:rsid w:val="009A0ACE"/>
    <w:rsid w:val="009B4C68"/>
    <w:rsid w:val="00A64084"/>
    <w:rsid w:val="00A71B33"/>
    <w:rsid w:val="00A75701"/>
    <w:rsid w:val="00AC3DEF"/>
    <w:rsid w:val="00B00D87"/>
    <w:rsid w:val="00B0113B"/>
    <w:rsid w:val="00B719A8"/>
    <w:rsid w:val="00B73030"/>
    <w:rsid w:val="00BB31B4"/>
    <w:rsid w:val="00C235A6"/>
    <w:rsid w:val="00C436C2"/>
    <w:rsid w:val="00C43A3E"/>
    <w:rsid w:val="00C7679F"/>
    <w:rsid w:val="00C76EFF"/>
    <w:rsid w:val="00C971BA"/>
    <w:rsid w:val="00CA45D9"/>
    <w:rsid w:val="00CB3D0F"/>
    <w:rsid w:val="00CD7015"/>
    <w:rsid w:val="00CF6DBB"/>
    <w:rsid w:val="00D2502C"/>
    <w:rsid w:val="00D262ED"/>
    <w:rsid w:val="00D33ABF"/>
    <w:rsid w:val="00D345BB"/>
    <w:rsid w:val="00D75BC4"/>
    <w:rsid w:val="00D806A5"/>
    <w:rsid w:val="00DA0F09"/>
    <w:rsid w:val="00DE0306"/>
    <w:rsid w:val="00DE6A12"/>
    <w:rsid w:val="00E25237"/>
    <w:rsid w:val="00E55635"/>
    <w:rsid w:val="00E65BA9"/>
    <w:rsid w:val="00E74F03"/>
    <w:rsid w:val="00EA5BAA"/>
    <w:rsid w:val="00EC2F88"/>
    <w:rsid w:val="00EC5376"/>
    <w:rsid w:val="00ED00A3"/>
    <w:rsid w:val="00ED7951"/>
    <w:rsid w:val="00EE2771"/>
    <w:rsid w:val="00EE3347"/>
    <w:rsid w:val="00F17BF5"/>
    <w:rsid w:val="00F3098B"/>
    <w:rsid w:val="00F544B8"/>
    <w:rsid w:val="00F55C38"/>
    <w:rsid w:val="00F879A5"/>
    <w:rsid w:val="00F97343"/>
    <w:rsid w:val="00FB29C8"/>
    <w:rsid w:val="00FE5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5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56"/>
    <w:pPr>
      <w:ind w:left="720"/>
      <w:contextualSpacing/>
    </w:pPr>
  </w:style>
  <w:style w:type="paragraph" w:styleId="NormalWeb">
    <w:name w:val="Normal (Web)"/>
    <w:basedOn w:val="Normal"/>
    <w:uiPriority w:val="99"/>
    <w:unhideWhenUsed/>
    <w:rsid w:val="0075785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ing">
    <w:name w:val="writing"/>
    <w:basedOn w:val="Normal"/>
    <w:qFormat/>
    <w:rsid w:val="00757856"/>
    <w:pPr>
      <w:bidi w:val="0"/>
      <w:spacing w:after="0" w:line="360" w:lineRule="auto"/>
      <w:ind w:left="-432" w:right="-432" w:firstLine="288"/>
    </w:pPr>
    <w:rPr>
      <w:rFonts w:ascii="Times New Roman" w:eastAsia="Times New Roman" w:hAnsi="Times New Roman" w:cs="Times New Roman"/>
      <w:sz w:val="28"/>
      <w:szCs w:val="28"/>
    </w:rPr>
  </w:style>
  <w:style w:type="table" w:customStyle="1" w:styleId="TableGrid1">
    <w:name w:val="Table Grid1"/>
    <w:basedOn w:val="TableNormal"/>
    <w:uiPriority w:val="59"/>
    <w:rsid w:val="00C971B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544B8"/>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35"/>
    <w:rPr>
      <w:rFonts w:ascii="Tahoma" w:hAnsi="Tahoma" w:cs="Tahoma"/>
      <w:sz w:val="16"/>
      <w:szCs w:val="16"/>
    </w:rPr>
  </w:style>
  <w:style w:type="paragraph" w:customStyle="1" w:styleId="a2">
    <w:name w:val="a2"/>
    <w:basedOn w:val="Normal"/>
    <w:uiPriority w:val="99"/>
    <w:rsid w:val="008F0610"/>
    <w:pPr>
      <w:bidi w:val="0"/>
      <w:spacing w:before="100" w:beforeAutospacing="1" w:after="100" w:afterAutospacing="1" w:line="240" w:lineRule="auto"/>
    </w:pPr>
    <w:rPr>
      <w:rFonts w:ascii="Times New Roman" w:eastAsia="Times New Roman" w:hAnsi="Times New Roman" w:cs="Times New Roman"/>
    </w:rPr>
  </w:style>
  <w:style w:type="paragraph" w:customStyle="1" w:styleId="p">
    <w:name w:val="p"/>
    <w:basedOn w:val="Normal"/>
    <w:rsid w:val="008F06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610"/>
    <w:rPr>
      <w:i/>
      <w:iCs/>
    </w:rPr>
  </w:style>
  <w:style w:type="paragraph" w:customStyle="1" w:styleId="ref">
    <w:name w:val="ref"/>
    <w:basedOn w:val="Normal"/>
    <w:rsid w:val="00E74F0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74F03"/>
    <w:rPr>
      <w:color w:val="0000FF"/>
      <w:u w:val="single"/>
    </w:rPr>
  </w:style>
  <w:style w:type="paragraph" w:styleId="Header">
    <w:name w:val="header"/>
    <w:basedOn w:val="Normal"/>
    <w:link w:val="HeaderChar"/>
    <w:uiPriority w:val="99"/>
    <w:unhideWhenUsed/>
    <w:rsid w:val="00EC53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376"/>
  </w:style>
  <w:style w:type="paragraph" w:styleId="Footer">
    <w:name w:val="footer"/>
    <w:basedOn w:val="Normal"/>
    <w:link w:val="FooterChar"/>
    <w:uiPriority w:val="99"/>
    <w:unhideWhenUsed/>
    <w:rsid w:val="00EC53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376"/>
  </w:style>
  <w:style w:type="character" w:styleId="CommentReference">
    <w:name w:val="annotation reference"/>
    <w:basedOn w:val="DefaultParagraphFont"/>
    <w:uiPriority w:val="99"/>
    <w:semiHidden/>
    <w:unhideWhenUsed/>
    <w:rsid w:val="00CB3D0F"/>
    <w:rPr>
      <w:sz w:val="16"/>
      <w:szCs w:val="16"/>
    </w:rPr>
  </w:style>
  <w:style w:type="paragraph" w:styleId="CommentText">
    <w:name w:val="annotation text"/>
    <w:basedOn w:val="Normal"/>
    <w:link w:val="CommentTextChar"/>
    <w:uiPriority w:val="99"/>
    <w:semiHidden/>
    <w:unhideWhenUsed/>
    <w:rsid w:val="00CB3D0F"/>
    <w:pPr>
      <w:spacing w:line="240" w:lineRule="auto"/>
    </w:pPr>
    <w:rPr>
      <w:sz w:val="20"/>
      <w:szCs w:val="20"/>
    </w:rPr>
  </w:style>
  <w:style w:type="character" w:customStyle="1" w:styleId="CommentTextChar">
    <w:name w:val="Comment Text Char"/>
    <w:basedOn w:val="DefaultParagraphFont"/>
    <w:link w:val="CommentText"/>
    <w:uiPriority w:val="99"/>
    <w:semiHidden/>
    <w:rsid w:val="00CB3D0F"/>
    <w:rPr>
      <w:sz w:val="20"/>
      <w:szCs w:val="20"/>
    </w:rPr>
  </w:style>
  <w:style w:type="paragraph" w:styleId="CommentSubject">
    <w:name w:val="annotation subject"/>
    <w:basedOn w:val="CommentText"/>
    <w:next w:val="CommentText"/>
    <w:link w:val="CommentSubjectChar"/>
    <w:uiPriority w:val="99"/>
    <w:semiHidden/>
    <w:unhideWhenUsed/>
    <w:rsid w:val="00CB3D0F"/>
    <w:rPr>
      <w:b/>
      <w:bCs/>
    </w:rPr>
  </w:style>
  <w:style w:type="character" w:customStyle="1" w:styleId="CommentSubjectChar">
    <w:name w:val="Comment Subject Char"/>
    <w:basedOn w:val="CommentTextChar"/>
    <w:link w:val="CommentSubject"/>
    <w:uiPriority w:val="99"/>
    <w:semiHidden/>
    <w:rsid w:val="00CB3D0F"/>
    <w:rPr>
      <w:b/>
      <w:bCs/>
      <w:sz w:val="20"/>
      <w:szCs w:val="20"/>
    </w:rPr>
  </w:style>
</w:styles>
</file>

<file path=word/webSettings.xml><?xml version="1.0" encoding="utf-8"?>
<w:webSettings xmlns:r="http://schemas.openxmlformats.org/officeDocument/2006/relationships" xmlns:w="http://schemas.openxmlformats.org/wordprocessingml/2006/main">
  <w:divs>
    <w:div w:id="4590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dx.doi.org/10.1080/20014091084227" TargetMode="External"/><Relationship Id="rId3" Type="http://schemas.openxmlformats.org/officeDocument/2006/relationships/settings" Target="settings.xml"/><Relationship Id="rId21" Type="http://schemas.openxmlformats.org/officeDocument/2006/relationships/image" Target="media/image5.png"/><Relationship Id="rId34" Type="http://schemas.microsoft.com/office/2011/relationships/commentsExtended" Target="commentsExtended.xml"/><Relationship Id="rId7" Type="http://schemas.openxmlformats.org/officeDocument/2006/relationships/hyperlink" Target="mailto:Swallow_special_boss@yahoo.com"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dx.doi.org/10.6061/clinics/2012%2802%2907"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dx.doi.org/10.7326/0003-4819-115-11-88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dx.doi.org/10.1002/jmv.21190"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09021601"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dx.doi.org/10.1097/01.mcg.0000174025.19214.32"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New\Dr.%20Ibrahim%20hamdy%20()%20state\new%20master%20sheeta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ar-EG"/>
          </a:pPr>
          <a:endParaRPr lang="en-US"/>
        </a:p>
      </c:txPr>
    </c:title>
    <c:view3D>
      <c:rotX val="30"/>
      <c:rotY val="360"/>
      <c:perspective val="30"/>
    </c:view3D>
    <c:plotArea>
      <c:layout>
        <c:manualLayout>
          <c:layoutTarget val="inner"/>
          <c:xMode val="edge"/>
          <c:yMode val="edge"/>
          <c:x val="8.4722222222224766E-2"/>
          <c:y val="0.3080511811023704"/>
          <c:w val="0.81388888888889765"/>
          <c:h val="0.64767096821230674"/>
        </c:manualLayout>
      </c:layout>
      <c:pie3DChart>
        <c:varyColors val="1"/>
        <c:ser>
          <c:idx val="0"/>
          <c:order val="0"/>
          <c:tx>
            <c:strRef>
              <c:f>Sheet1!$D$584</c:f>
              <c:strCache>
                <c:ptCount val="1"/>
                <c:pt idx="0">
                  <c:v>PCR</c:v>
                </c:pt>
              </c:strCache>
            </c:strRef>
          </c:tx>
          <c:spPr>
            <a:ln>
              <a:solidFill>
                <a:sysClr val="windowText" lastClr="000000">
                  <a:tint val="75000"/>
                  <a:shade val="95000"/>
                  <a:satMod val="105000"/>
                </a:sysClr>
              </a:solidFill>
            </a:ln>
          </c:spPr>
          <c:dLbls>
            <c:numFmt formatCode="0.0%" sourceLinked="0"/>
            <c:spPr>
              <a:noFill/>
              <a:ln>
                <a:noFill/>
              </a:ln>
              <a:effectLst/>
            </c:spPr>
            <c:txPr>
              <a:bodyPr/>
              <a:lstStyle/>
              <a:p>
                <a:pPr>
                  <a:defRPr lang="ar-EG"/>
                </a:pPr>
                <a:endParaRPr lang="en-US"/>
              </a:p>
            </c:txPr>
            <c:showCatName val="1"/>
            <c:showPercent val="1"/>
            <c:showLeaderLines val="1"/>
            <c:extLst>
              <c:ext xmlns:c15="http://schemas.microsoft.com/office/drawing/2012/chart" uri="{CE6537A1-D6FC-4f65-9D91-7224C49458BB}"/>
            </c:extLst>
          </c:dLbls>
          <c:cat>
            <c:strRef>
              <c:f>Sheet1!$C$585:$C$587</c:f>
              <c:strCache>
                <c:ptCount val="3"/>
                <c:pt idx="0">
                  <c:v>Low viremia</c:v>
                </c:pt>
                <c:pt idx="1">
                  <c:v>Intermediate viremia</c:v>
                </c:pt>
                <c:pt idx="2">
                  <c:v>High viremia</c:v>
                </c:pt>
              </c:strCache>
            </c:strRef>
          </c:cat>
          <c:val>
            <c:numRef>
              <c:f>Sheet1!$D$585:$D$587</c:f>
              <c:numCache>
                <c:formatCode>General</c:formatCode>
                <c:ptCount val="3"/>
                <c:pt idx="0">
                  <c:v>29</c:v>
                </c:pt>
                <c:pt idx="1">
                  <c:v>9</c:v>
                </c:pt>
                <c:pt idx="2">
                  <c:v>2</c:v>
                </c:pt>
              </c:numCache>
            </c:numRef>
          </c:val>
        </c:ser>
        <c:dLbls>
          <c:showCatName val="1"/>
          <c:showPercent val="1"/>
        </c:dLbls>
      </c:pie3DChart>
    </c:plotArea>
    <c:plotVisOnly val="1"/>
    <c:dispBlanksAs val="zero"/>
  </c:chart>
  <c:spPr>
    <a:ln cmpd="sng">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EL-kalashy70</dc:creator>
  <cp:lastModifiedBy>Administrator</cp:lastModifiedBy>
  <cp:revision>6</cp:revision>
  <cp:lastPrinted>2016-02-23T02:10:00Z</cp:lastPrinted>
  <dcterms:created xsi:type="dcterms:W3CDTF">2016-02-23T09:27:00Z</dcterms:created>
  <dcterms:modified xsi:type="dcterms:W3CDTF">2016-02-23T03:35:00Z</dcterms:modified>
</cp:coreProperties>
</file>